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01" w:rsidRDefault="00233B01" w:rsidP="008E4761">
      <w:pPr>
        <w:jc w:val="center"/>
      </w:pPr>
      <w:r w:rsidRPr="000213DD">
        <w:rPr>
          <w:noProof/>
          <w:lang w:eastAsia="en-CA"/>
        </w:rPr>
        <w:drawing>
          <wp:inline distT="0" distB="0" distL="0" distR="0" wp14:anchorId="7967011A" wp14:editId="7FA22A38">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8E4761" w:rsidRDefault="008E4761" w:rsidP="008E4761">
      <w:pPr>
        <w:jc w:val="center"/>
      </w:pPr>
    </w:p>
    <w:p w:rsidR="008E4761" w:rsidRPr="000213DD" w:rsidRDefault="008E4761" w:rsidP="008E476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233B01" w:rsidRPr="000213DD" w:rsidTr="00F66947">
        <w:tc>
          <w:tcPr>
            <w:tcW w:w="4518" w:type="dxa"/>
          </w:tcPr>
          <w:p w:rsidR="00233B01" w:rsidRPr="000213DD" w:rsidRDefault="00233B01" w:rsidP="00F66947">
            <w:pPr>
              <w:tabs>
                <w:tab w:val="left" w:pos="6075"/>
              </w:tabs>
              <w:jc w:val="center"/>
              <w:rPr>
                <w:b/>
                <w:sz w:val="32"/>
                <w:szCs w:val="32"/>
              </w:rPr>
            </w:pPr>
            <w:r w:rsidRPr="000213DD">
              <w:rPr>
                <w:b/>
                <w:sz w:val="32"/>
                <w:szCs w:val="32"/>
              </w:rPr>
              <w:t>SUPREME COURT OF CANADA</w:t>
            </w:r>
          </w:p>
        </w:tc>
        <w:tc>
          <w:tcPr>
            <w:tcW w:w="630" w:type="dxa"/>
          </w:tcPr>
          <w:p w:rsidR="00233B01" w:rsidRPr="000213DD" w:rsidRDefault="00233B01" w:rsidP="00F66947">
            <w:pPr>
              <w:tabs>
                <w:tab w:val="left" w:pos="6075"/>
              </w:tabs>
              <w:jc w:val="center"/>
              <w:rPr>
                <w:sz w:val="32"/>
                <w:szCs w:val="32"/>
              </w:rPr>
            </w:pPr>
          </w:p>
        </w:tc>
        <w:tc>
          <w:tcPr>
            <w:tcW w:w="4428" w:type="dxa"/>
          </w:tcPr>
          <w:p w:rsidR="00233B01" w:rsidRPr="000213DD" w:rsidRDefault="00233B01" w:rsidP="00F66947">
            <w:pPr>
              <w:tabs>
                <w:tab w:val="left" w:pos="6075"/>
              </w:tabs>
              <w:jc w:val="center"/>
              <w:rPr>
                <w:b/>
                <w:sz w:val="32"/>
                <w:szCs w:val="32"/>
                <w:lang w:val="fr-CA"/>
              </w:rPr>
            </w:pPr>
            <w:r w:rsidRPr="000213DD">
              <w:rPr>
                <w:b/>
                <w:sz w:val="32"/>
                <w:szCs w:val="32"/>
                <w:lang w:val="fr-CA"/>
              </w:rPr>
              <w:t>COUR SUPRÊME DU CANADA</w:t>
            </w:r>
          </w:p>
        </w:tc>
      </w:tr>
      <w:tr w:rsidR="00233B01" w:rsidRPr="000213DD" w:rsidTr="00F66947">
        <w:tc>
          <w:tcPr>
            <w:tcW w:w="4518" w:type="dxa"/>
          </w:tcPr>
          <w:p w:rsidR="00233B01" w:rsidRPr="000213DD" w:rsidRDefault="00233B01" w:rsidP="00F66947">
            <w:pPr>
              <w:tabs>
                <w:tab w:val="left" w:pos="6075"/>
              </w:tabs>
            </w:pPr>
          </w:p>
          <w:p w:rsidR="00233B01" w:rsidRPr="000213DD" w:rsidRDefault="00233B01" w:rsidP="00F66947">
            <w:pPr>
              <w:tabs>
                <w:tab w:val="left" w:pos="6075"/>
              </w:tabs>
            </w:pPr>
          </w:p>
          <w:p w:rsidR="00233B01" w:rsidRPr="000213DD" w:rsidRDefault="00233B01" w:rsidP="00F66947">
            <w:pPr>
              <w:tabs>
                <w:tab w:val="left" w:pos="6075"/>
              </w:tabs>
            </w:pPr>
          </w:p>
        </w:tc>
        <w:tc>
          <w:tcPr>
            <w:tcW w:w="630" w:type="dxa"/>
          </w:tcPr>
          <w:p w:rsidR="00233B01" w:rsidRPr="000213DD" w:rsidRDefault="00233B01" w:rsidP="00F66947">
            <w:pPr>
              <w:tabs>
                <w:tab w:val="left" w:pos="6075"/>
              </w:tabs>
            </w:pPr>
          </w:p>
        </w:tc>
        <w:tc>
          <w:tcPr>
            <w:tcW w:w="4428" w:type="dxa"/>
          </w:tcPr>
          <w:p w:rsidR="00233B01" w:rsidRPr="000213DD" w:rsidRDefault="00233B01" w:rsidP="00F66947">
            <w:pPr>
              <w:tabs>
                <w:tab w:val="left" w:pos="6075"/>
              </w:tabs>
              <w:rPr>
                <w:lang w:val="fr-CA"/>
              </w:rPr>
            </w:pPr>
          </w:p>
        </w:tc>
      </w:tr>
      <w:tr w:rsidR="00233B01" w:rsidRPr="000213DD" w:rsidTr="00F66947">
        <w:tc>
          <w:tcPr>
            <w:tcW w:w="4518" w:type="dxa"/>
          </w:tcPr>
          <w:p w:rsidR="00233B01" w:rsidRPr="000213DD" w:rsidRDefault="00233B01" w:rsidP="00F66947">
            <w:pPr>
              <w:tabs>
                <w:tab w:val="left" w:pos="6075"/>
              </w:tabs>
              <w:jc w:val="center"/>
              <w:rPr>
                <w:sz w:val="28"/>
                <w:szCs w:val="28"/>
              </w:rPr>
            </w:pPr>
            <w:r w:rsidRPr="000213DD">
              <w:rPr>
                <w:sz w:val="28"/>
                <w:szCs w:val="28"/>
              </w:rPr>
              <w:t>BULLETIN OF</w:t>
            </w:r>
          </w:p>
          <w:p w:rsidR="00233B01" w:rsidRPr="000213DD" w:rsidRDefault="00233B01" w:rsidP="00F66947">
            <w:pPr>
              <w:tabs>
                <w:tab w:val="left" w:pos="6075"/>
              </w:tabs>
              <w:jc w:val="center"/>
              <w:rPr>
                <w:sz w:val="28"/>
                <w:szCs w:val="28"/>
              </w:rPr>
            </w:pPr>
            <w:r w:rsidRPr="000213DD">
              <w:rPr>
                <w:sz w:val="28"/>
                <w:szCs w:val="28"/>
              </w:rPr>
              <w:t xml:space="preserve"> PROCEEDINGS</w:t>
            </w:r>
          </w:p>
        </w:tc>
        <w:tc>
          <w:tcPr>
            <w:tcW w:w="630" w:type="dxa"/>
          </w:tcPr>
          <w:p w:rsidR="00233B01" w:rsidRPr="000213DD" w:rsidRDefault="00233B01" w:rsidP="00F66947">
            <w:pPr>
              <w:tabs>
                <w:tab w:val="left" w:pos="6075"/>
              </w:tabs>
            </w:pPr>
          </w:p>
        </w:tc>
        <w:tc>
          <w:tcPr>
            <w:tcW w:w="4428" w:type="dxa"/>
          </w:tcPr>
          <w:p w:rsidR="00233B01" w:rsidRPr="000213DD" w:rsidRDefault="00233B01" w:rsidP="00F66947">
            <w:pPr>
              <w:tabs>
                <w:tab w:val="left" w:pos="6075"/>
              </w:tabs>
              <w:jc w:val="center"/>
              <w:rPr>
                <w:sz w:val="28"/>
                <w:szCs w:val="28"/>
                <w:lang w:val="fr-CA"/>
              </w:rPr>
            </w:pPr>
            <w:r w:rsidRPr="000213DD">
              <w:rPr>
                <w:sz w:val="28"/>
                <w:szCs w:val="28"/>
                <w:lang w:val="fr-CA"/>
              </w:rPr>
              <w:t>BULLETIN DES</w:t>
            </w:r>
          </w:p>
          <w:p w:rsidR="00233B01" w:rsidRPr="000213DD" w:rsidRDefault="00233B01" w:rsidP="00F66947">
            <w:pPr>
              <w:tabs>
                <w:tab w:val="left" w:pos="6075"/>
              </w:tabs>
              <w:jc w:val="center"/>
              <w:rPr>
                <w:sz w:val="28"/>
                <w:szCs w:val="28"/>
                <w:lang w:val="fr-CA"/>
              </w:rPr>
            </w:pPr>
            <w:r w:rsidRPr="000213DD">
              <w:rPr>
                <w:sz w:val="28"/>
                <w:szCs w:val="28"/>
                <w:lang w:val="fr-CA"/>
              </w:rPr>
              <w:t xml:space="preserve"> PROCÉDURES</w:t>
            </w:r>
          </w:p>
        </w:tc>
      </w:tr>
      <w:tr w:rsidR="00233B01" w:rsidRPr="000213DD" w:rsidTr="00F66947">
        <w:tc>
          <w:tcPr>
            <w:tcW w:w="4518" w:type="dxa"/>
          </w:tcPr>
          <w:p w:rsidR="00233B01" w:rsidRPr="000213DD" w:rsidRDefault="00233B01" w:rsidP="00F66947">
            <w:pPr>
              <w:tabs>
                <w:tab w:val="left" w:pos="6075"/>
              </w:tabs>
            </w:pPr>
          </w:p>
          <w:p w:rsidR="00233B01" w:rsidRPr="000213DD" w:rsidRDefault="00233B01" w:rsidP="00F66947">
            <w:pPr>
              <w:tabs>
                <w:tab w:val="left" w:pos="6075"/>
              </w:tabs>
            </w:pPr>
          </w:p>
        </w:tc>
        <w:tc>
          <w:tcPr>
            <w:tcW w:w="630" w:type="dxa"/>
          </w:tcPr>
          <w:p w:rsidR="00233B01" w:rsidRPr="000213DD" w:rsidRDefault="00233B01" w:rsidP="00F66947">
            <w:pPr>
              <w:tabs>
                <w:tab w:val="left" w:pos="6075"/>
              </w:tabs>
            </w:pPr>
          </w:p>
        </w:tc>
        <w:tc>
          <w:tcPr>
            <w:tcW w:w="4428" w:type="dxa"/>
          </w:tcPr>
          <w:p w:rsidR="00233B01" w:rsidRPr="000213DD" w:rsidRDefault="00233B01" w:rsidP="00F66947">
            <w:pPr>
              <w:tabs>
                <w:tab w:val="left" w:pos="6075"/>
              </w:tabs>
              <w:rPr>
                <w:lang w:val="fr-CA"/>
              </w:rPr>
            </w:pPr>
          </w:p>
        </w:tc>
      </w:tr>
      <w:tr w:rsidR="00233B01" w:rsidRPr="009F3029" w:rsidTr="00F66947">
        <w:tc>
          <w:tcPr>
            <w:tcW w:w="4518" w:type="dxa"/>
          </w:tcPr>
          <w:p w:rsidR="00233B01" w:rsidRPr="000213DD" w:rsidRDefault="00233B01" w:rsidP="00F66947">
            <w:pPr>
              <w:tabs>
                <w:tab w:val="left" w:pos="6075"/>
              </w:tabs>
              <w:jc w:val="both"/>
              <w:rPr>
                <w:rFonts w:ascii="Arial" w:hAnsi="Arial" w:cs="Arial"/>
                <w:i/>
                <w:sz w:val="20"/>
                <w:szCs w:val="20"/>
              </w:rPr>
            </w:pPr>
            <w:r w:rsidRPr="000213D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233B01" w:rsidRPr="000213DD" w:rsidRDefault="00233B01" w:rsidP="00F66947">
            <w:pPr>
              <w:tabs>
                <w:tab w:val="left" w:pos="6075"/>
              </w:tabs>
              <w:jc w:val="both"/>
              <w:rPr>
                <w:rFonts w:ascii="Arial" w:hAnsi="Arial" w:cs="Arial"/>
                <w:i/>
                <w:sz w:val="20"/>
                <w:szCs w:val="20"/>
              </w:rPr>
            </w:pPr>
          </w:p>
        </w:tc>
        <w:tc>
          <w:tcPr>
            <w:tcW w:w="4428" w:type="dxa"/>
          </w:tcPr>
          <w:p w:rsidR="00233B01" w:rsidRPr="000213DD" w:rsidRDefault="00233B01" w:rsidP="00F66947">
            <w:pPr>
              <w:tabs>
                <w:tab w:val="left" w:pos="6075"/>
              </w:tabs>
              <w:jc w:val="both"/>
              <w:rPr>
                <w:rFonts w:ascii="Arial" w:hAnsi="Arial" w:cs="Arial"/>
                <w:i/>
                <w:sz w:val="20"/>
                <w:szCs w:val="20"/>
                <w:lang w:val="fr-CA"/>
              </w:rPr>
            </w:pPr>
            <w:r w:rsidRPr="000213D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233B01" w:rsidRPr="009F3029" w:rsidTr="00F66947">
        <w:tc>
          <w:tcPr>
            <w:tcW w:w="4518" w:type="dxa"/>
          </w:tcPr>
          <w:p w:rsidR="00233B01" w:rsidRPr="000213DD" w:rsidRDefault="00233B01" w:rsidP="00F66947">
            <w:pPr>
              <w:tabs>
                <w:tab w:val="left" w:pos="6075"/>
              </w:tabs>
              <w:rPr>
                <w:lang w:val="fr-CA"/>
              </w:rPr>
            </w:pPr>
          </w:p>
          <w:p w:rsidR="00233B01" w:rsidRPr="000213DD" w:rsidRDefault="00233B01" w:rsidP="00F66947">
            <w:pPr>
              <w:tabs>
                <w:tab w:val="left" w:pos="6075"/>
              </w:tabs>
              <w:rPr>
                <w:lang w:val="fr-CA"/>
              </w:rPr>
            </w:pPr>
          </w:p>
        </w:tc>
        <w:tc>
          <w:tcPr>
            <w:tcW w:w="630" w:type="dxa"/>
          </w:tcPr>
          <w:p w:rsidR="00233B01" w:rsidRPr="000213DD" w:rsidRDefault="00233B01" w:rsidP="00F66947">
            <w:pPr>
              <w:tabs>
                <w:tab w:val="left" w:pos="6075"/>
              </w:tabs>
              <w:rPr>
                <w:lang w:val="fr-CA"/>
              </w:rPr>
            </w:pPr>
          </w:p>
        </w:tc>
        <w:tc>
          <w:tcPr>
            <w:tcW w:w="4428" w:type="dxa"/>
          </w:tcPr>
          <w:p w:rsidR="00233B01" w:rsidRPr="000213DD" w:rsidRDefault="00233B01" w:rsidP="00F66947">
            <w:pPr>
              <w:tabs>
                <w:tab w:val="left" w:pos="6075"/>
              </w:tabs>
              <w:rPr>
                <w:lang w:val="fr-CA"/>
              </w:rPr>
            </w:pPr>
          </w:p>
        </w:tc>
      </w:tr>
      <w:tr w:rsidR="00233B01" w:rsidRPr="009F3029" w:rsidTr="00F66947">
        <w:tc>
          <w:tcPr>
            <w:tcW w:w="4518" w:type="dxa"/>
          </w:tcPr>
          <w:p w:rsidR="00233B01" w:rsidRPr="000213DD" w:rsidRDefault="00233B01" w:rsidP="00F66947">
            <w:pPr>
              <w:tabs>
                <w:tab w:val="left" w:pos="6075"/>
              </w:tabs>
              <w:jc w:val="both"/>
              <w:rPr>
                <w:rFonts w:ascii="Arial" w:hAnsi="Arial" w:cs="Arial"/>
                <w:i/>
                <w:sz w:val="20"/>
                <w:szCs w:val="20"/>
              </w:rPr>
            </w:pPr>
            <w:r w:rsidRPr="000213DD">
              <w:rPr>
                <w:rFonts w:ascii="Arial" w:hAnsi="Arial" w:cs="Arial"/>
                <w:i/>
                <w:sz w:val="20"/>
                <w:szCs w:val="20"/>
              </w:rPr>
              <w:t>During Court sessions the Bulletin is usually issued weekly.</w:t>
            </w:r>
          </w:p>
        </w:tc>
        <w:tc>
          <w:tcPr>
            <w:tcW w:w="630" w:type="dxa"/>
          </w:tcPr>
          <w:p w:rsidR="00233B01" w:rsidRPr="000213DD" w:rsidRDefault="00233B01" w:rsidP="00F66947">
            <w:pPr>
              <w:tabs>
                <w:tab w:val="left" w:pos="6075"/>
              </w:tabs>
              <w:jc w:val="both"/>
              <w:rPr>
                <w:rFonts w:ascii="Arial" w:hAnsi="Arial" w:cs="Arial"/>
                <w:i/>
                <w:sz w:val="20"/>
                <w:szCs w:val="20"/>
              </w:rPr>
            </w:pPr>
          </w:p>
        </w:tc>
        <w:tc>
          <w:tcPr>
            <w:tcW w:w="4428" w:type="dxa"/>
          </w:tcPr>
          <w:p w:rsidR="00233B01" w:rsidRPr="000213DD" w:rsidRDefault="00233B01" w:rsidP="00F66947">
            <w:pPr>
              <w:tabs>
                <w:tab w:val="left" w:pos="6075"/>
              </w:tabs>
              <w:jc w:val="both"/>
              <w:rPr>
                <w:rFonts w:ascii="Arial" w:hAnsi="Arial" w:cs="Arial"/>
                <w:i/>
                <w:sz w:val="20"/>
                <w:szCs w:val="20"/>
                <w:lang w:val="fr-CA"/>
              </w:rPr>
            </w:pPr>
            <w:r w:rsidRPr="000213DD">
              <w:rPr>
                <w:rFonts w:ascii="Arial" w:hAnsi="Arial" w:cs="Arial"/>
                <w:i/>
                <w:sz w:val="20"/>
                <w:szCs w:val="20"/>
                <w:lang w:val="fr-CA"/>
              </w:rPr>
              <w:t>Le Bulletin paraît en principe toutes les semaines pendant les sessions de la Cour.</w:t>
            </w:r>
          </w:p>
        </w:tc>
      </w:tr>
      <w:tr w:rsidR="00233B01" w:rsidRPr="009F3029" w:rsidTr="00F66947">
        <w:tc>
          <w:tcPr>
            <w:tcW w:w="4518" w:type="dxa"/>
          </w:tcPr>
          <w:p w:rsidR="00233B01" w:rsidRPr="000213DD" w:rsidRDefault="00233B01" w:rsidP="00F66947">
            <w:pPr>
              <w:tabs>
                <w:tab w:val="left" w:pos="6075"/>
              </w:tabs>
              <w:rPr>
                <w:lang w:val="fr-CA"/>
              </w:rPr>
            </w:pPr>
          </w:p>
          <w:p w:rsidR="00233B01" w:rsidRPr="000213DD" w:rsidRDefault="00233B01" w:rsidP="00F66947">
            <w:pPr>
              <w:tabs>
                <w:tab w:val="left" w:pos="6075"/>
              </w:tabs>
              <w:rPr>
                <w:lang w:val="fr-CA"/>
              </w:rPr>
            </w:pPr>
          </w:p>
        </w:tc>
        <w:tc>
          <w:tcPr>
            <w:tcW w:w="630" w:type="dxa"/>
          </w:tcPr>
          <w:p w:rsidR="00233B01" w:rsidRPr="000213DD" w:rsidRDefault="00233B01" w:rsidP="00F66947">
            <w:pPr>
              <w:tabs>
                <w:tab w:val="left" w:pos="6075"/>
              </w:tabs>
              <w:rPr>
                <w:lang w:val="fr-CA"/>
              </w:rPr>
            </w:pPr>
          </w:p>
        </w:tc>
        <w:tc>
          <w:tcPr>
            <w:tcW w:w="4428" w:type="dxa"/>
          </w:tcPr>
          <w:p w:rsidR="00233B01" w:rsidRPr="000213DD" w:rsidRDefault="00233B01" w:rsidP="00F66947">
            <w:pPr>
              <w:tabs>
                <w:tab w:val="left" w:pos="6075"/>
              </w:tabs>
              <w:rPr>
                <w:lang w:val="fr-CA"/>
              </w:rPr>
            </w:pPr>
          </w:p>
        </w:tc>
      </w:tr>
      <w:tr w:rsidR="00233B01" w:rsidRPr="009F3029" w:rsidTr="00F66947">
        <w:tc>
          <w:tcPr>
            <w:tcW w:w="4518" w:type="dxa"/>
          </w:tcPr>
          <w:p w:rsidR="00233B01" w:rsidRPr="000213DD" w:rsidRDefault="00233B01" w:rsidP="00F66947">
            <w:pPr>
              <w:tabs>
                <w:tab w:val="left" w:pos="6075"/>
              </w:tabs>
              <w:jc w:val="both"/>
              <w:rPr>
                <w:rFonts w:ascii="Arial" w:hAnsi="Arial" w:cs="Arial"/>
                <w:i/>
                <w:sz w:val="20"/>
                <w:szCs w:val="20"/>
              </w:rPr>
            </w:pPr>
            <w:r w:rsidRPr="000213DD">
              <w:rPr>
                <w:rFonts w:ascii="Arial" w:hAnsi="Arial" w:cs="Arial"/>
                <w:i/>
                <w:sz w:val="20"/>
                <w:szCs w:val="20"/>
              </w:rPr>
              <w:fldChar w:fldCharType="begin"/>
            </w:r>
            <w:r w:rsidRPr="000213DD">
              <w:rPr>
                <w:rFonts w:ascii="Arial" w:hAnsi="Arial" w:cs="Arial"/>
                <w:i/>
                <w:sz w:val="20"/>
                <w:szCs w:val="20"/>
              </w:rPr>
              <w:instrText xml:space="preserve"> SEQ CHAPTER \h \r 1</w:instrText>
            </w:r>
            <w:r w:rsidRPr="000213DD">
              <w:rPr>
                <w:rFonts w:ascii="Arial" w:hAnsi="Arial" w:cs="Arial"/>
                <w:i/>
                <w:sz w:val="20"/>
                <w:szCs w:val="20"/>
              </w:rPr>
              <w:fldChar w:fldCharType="end"/>
            </w:r>
            <w:r w:rsidRPr="000213D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233B01" w:rsidRPr="000213DD" w:rsidRDefault="00233B01" w:rsidP="00F66947">
            <w:pPr>
              <w:tabs>
                <w:tab w:val="left" w:pos="6075"/>
              </w:tabs>
              <w:jc w:val="both"/>
              <w:rPr>
                <w:rFonts w:ascii="Arial" w:hAnsi="Arial" w:cs="Arial"/>
                <w:i/>
                <w:sz w:val="20"/>
                <w:szCs w:val="20"/>
              </w:rPr>
            </w:pPr>
          </w:p>
        </w:tc>
        <w:tc>
          <w:tcPr>
            <w:tcW w:w="4428" w:type="dxa"/>
          </w:tcPr>
          <w:p w:rsidR="00233B01" w:rsidRPr="000213DD" w:rsidRDefault="00233B01" w:rsidP="00F66947">
            <w:pPr>
              <w:tabs>
                <w:tab w:val="left" w:pos="6075"/>
              </w:tabs>
              <w:jc w:val="both"/>
              <w:rPr>
                <w:rFonts w:ascii="Arial" w:hAnsi="Arial" w:cs="Arial"/>
                <w:i/>
                <w:sz w:val="20"/>
                <w:szCs w:val="20"/>
                <w:lang w:val="fr-CA"/>
              </w:rPr>
            </w:pPr>
            <w:r w:rsidRPr="000213DD">
              <w:rPr>
                <w:rFonts w:ascii="Arial" w:hAnsi="Arial" w:cs="Arial"/>
                <w:i/>
                <w:sz w:val="20"/>
                <w:szCs w:val="20"/>
                <w:lang w:val="fr-CA"/>
              </w:rPr>
              <w:fldChar w:fldCharType="begin"/>
            </w:r>
            <w:r w:rsidRPr="000213DD">
              <w:rPr>
                <w:rFonts w:ascii="Arial" w:hAnsi="Arial" w:cs="Arial"/>
                <w:i/>
                <w:sz w:val="20"/>
                <w:szCs w:val="20"/>
                <w:lang w:val="fr-CA"/>
              </w:rPr>
              <w:instrText xml:space="preserve"> SEQ CHAPTER \h \r 1</w:instrText>
            </w:r>
            <w:r w:rsidRPr="000213DD">
              <w:rPr>
                <w:rFonts w:ascii="Arial" w:hAnsi="Arial" w:cs="Arial"/>
                <w:i/>
                <w:sz w:val="20"/>
                <w:szCs w:val="20"/>
                <w:lang w:val="fr-CA"/>
              </w:rPr>
              <w:fldChar w:fldCharType="end"/>
            </w:r>
            <w:r w:rsidRPr="000213D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233B01" w:rsidRPr="009F3029" w:rsidTr="00F66947">
        <w:tc>
          <w:tcPr>
            <w:tcW w:w="4518" w:type="dxa"/>
          </w:tcPr>
          <w:p w:rsidR="00233B01" w:rsidRPr="000213DD" w:rsidRDefault="00233B01" w:rsidP="00F66947">
            <w:pPr>
              <w:tabs>
                <w:tab w:val="left" w:pos="6075"/>
              </w:tabs>
              <w:rPr>
                <w:rFonts w:cs="Times New Roman"/>
                <w:szCs w:val="24"/>
                <w:lang w:val="fr-CA"/>
              </w:rPr>
            </w:pPr>
          </w:p>
          <w:p w:rsidR="00233B01" w:rsidRPr="000213DD" w:rsidRDefault="00233B01" w:rsidP="00F66947">
            <w:pPr>
              <w:tabs>
                <w:tab w:val="left" w:pos="6075"/>
              </w:tabs>
              <w:rPr>
                <w:rFonts w:cs="Times New Roman"/>
                <w:szCs w:val="24"/>
                <w:lang w:val="fr-CA"/>
              </w:rPr>
            </w:pPr>
          </w:p>
        </w:tc>
        <w:tc>
          <w:tcPr>
            <w:tcW w:w="630" w:type="dxa"/>
          </w:tcPr>
          <w:p w:rsidR="00233B01" w:rsidRPr="000213DD" w:rsidRDefault="00233B01" w:rsidP="00F66947">
            <w:pPr>
              <w:tabs>
                <w:tab w:val="left" w:pos="6075"/>
              </w:tabs>
              <w:rPr>
                <w:rFonts w:cs="Times New Roman"/>
                <w:szCs w:val="24"/>
                <w:lang w:val="fr-CA"/>
              </w:rPr>
            </w:pPr>
          </w:p>
        </w:tc>
        <w:tc>
          <w:tcPr>
            <w:tcW w:w="4428" w:type="dxa"/>
          </w:tcPr>
          <w:p w:rsidR="00233B01" w:rsidRPr="000213DD" w:rsidRDefault="00233B01" w:rsidP="00F66947">
            <w:pPr>
              <w:tabs>
                <w:tab w:val="left" w:pos="6075"/>
              </w:tabs>
              <w:rPr>
                <w:rFonts w:cs="Times New Roman"/>
                <w:szCs w:val="24"/>
                <w:lang w:val="fr-CA"/>
              </w:rPr>
            </w:pPr>
          </w:p>
        </w:tc>
      </w:tr>
      <w:tr w:rsidR="00233B01" w:rsidRPr="009F3029" w:rsidTr="00F66947">
        <w:tc>
          <w:tcPr>
            <w:tcW w:w="4518" w:type="dxa"/>
          </w:tcPr>
          <w:p w:rsidR="00233B01" w:rsidRPr="000213DD" w:rsidRDefault="00233B01" w:rsidP="00F66947">
            <w:pPr>
              <w:tabs>
                <w:tab w:val="left" w:pos="6075"/>
              </w:tabs>
              <w:jc w:val="both"/>
              <w:rPr>
                <w:rFonts w:ascii="Arial" w:hAnsi="Arial" w:cs="Arial"/>
                <w:i/>
                <w:sz w:val="20"/>
                <w:szCs w:val="20"/>
              </w:rPr>
            </w:pPr>
            <w:r w:rsidRPr="000213DD">
              <w:rPr>
                <w:rFonts w:ascii="Arial" w:hAnsi="Arial" w:cs="Arial"/>
                <w:i/>
                <w:sz w:val="20"/>
                <w:szCs w:val="20"/>
              </w:rPr>
              <w:t xml:space="preserve">Consult the Supreme Court of Canada website at </w:t>
            </w:r>
            <w:hyperlink r:id="rId8" w:history="1">
              <w:r w:rsidRPr="000213DD">
                <w:rPr>
                  <w:rStyle w:val="Hyperlink"/>
                  <w:rFonts w:ascii="Arial" w:hAnsi="Arial" w:cs="Arial"/>
                  <w:i/>
                  <w:sz w:val="20"/>
                  <w:szCs w:val="20"/>
                </w:rPr>
                <w:t>www.scc-csc.ca</w:t>
              </w:r>
            </w:hyperlink>
            <w:r w:rsidRPr="000213DD">
              <w:rPr>
                <w:rFonts w:ascii="Arial" w:hAnsi="Arial" w:cs="Arial"/>
                <w:i/>
                <w:sz w:val="20"/>
                <w:szCs w:val="20"/>
              </w:rPr>
              <w:t xml:space="preserve"> for more information.</w:t>
            </w:r>
          </w:p>
        </w:tc>
        <w:tc>
          <w:tcPr>
            <w:tcW w:w="630" w:type="dxa"/>
          </w:tcPr>
          <w:p w:rsidR="00233B01" w:rsidRPr="000213DD" w:rsidRDefault="00233B01" w:rsidP="00F66947">
            <w:pPr>
              <w:tabs>
                <w:tab w:val="left" w:pos="6075"/>
              </w:tabs>
              <w:jc w:val="both"/>
              <w:rPr>
                <w:rFonts w:ascii="Arial" w:hAnsi="Arial" w:cs="Arial"/>
                <w:i/>
                <w:sz w:val="20"/>
                <w:szCs w:val="20"/>
              </w:rPr>
            </w:pPr>
          </w:p>
        </w:tc>
        <w:tc>
          <w:tcPr>
            <w:tcW w:w="4428" w:type="dxa"/>
          </w:tcPr>
          <w:p w:rsidR="00233B01" w:rsidRPr="000213DD" w:rsidRDefault="00233B01" w:rsidP="00F66947">
            <w:pPr>
              <w:tabs>
                <w:tab w:val="left" w:pos="6075"/>
              </w:tabs>
              <w:jc w:val="both"/>
              <w:rPr>
                <w:rFonts w:ascii="Arial" w:hAnsi="Arial" w:cs="Arial"/>
                <w:i/>
                <w:sz w:val="20"/>
                <w:szCs w:val="20"/>
                <w:lang w:val="fr-CA"/>
              </w:rPr>
            </w:pPr>
            <w:r w:rsidRPr="000213DD">
              <w:rPr>
                <w:rFonts w:ascii="Arial" w:hAnsi="Arial" w:cs="Arial"/>
                <w:i/>
                <w:sz w:val="20"/>
                <w:szCs w:val="20"/>
                <w:lang w:val="fr-CA"/>
              </w:rPr>
              <w:t xml:space="preserve">Pour de plus amples informations, consulter le site Web de la Cour suprême du Canada à l’adresse suivante : </w:t>
            </w:r>
            <w:hyperlink r:id="rId9" w:history="1">
              <w:r w:rsidRPr="000213DD">
                <w:rPr>
                  <w:rStyle w:val="Hyperlink"/>
                  <w:rFonts w:ascii="Arial" w:hAnsi="Arial" w:cs="Arial"/>
                  <w:i/>
                  <w:sz w:val="20"/>
                  <w:szCs w:val="20"/>
                  <w:lang w:val="fr-CA"/>
                </w:rPr>
                <w:t>www.scc-csc.ca</w:t>
              </w:r>
            </w:hyperlink>
            <w:r w:rsidRPr="000213DD">
              <w:rPr>
                <w:rFonts w:ascii="Arial" w:hAnsi="Arial" w:cs="Arial"/>
                <w:i/>
                <w:sz w:val="20"/>
                <w:szCs w:val="20"/>
                <w:lang w:val="fr-CA"/>
              </w:rPr>
              <w:t xml:space="preserve"> </w:t>
            </w:r>
          </w:p>
        </w:tc>
      </w:tr>
    </w:tbl>
    <w:p w:rsidR="00233B01" w:rsidRPr="000213DD" w:rsidRDefault="00233B01" w:rsidP="00233B01">
      <w:pPr>
        <w:tabs>
          <w:tab w:val="left" w:pos="6075"/>
        </w:tabs>
        <w:rPr>
          <w:lang w:val="fr-CA"/>
        </w:rPr>
      </w:pPr>
    </w:p>
    <w:p w:rsidR="00233B01" w:rsidRPr="000213DD" w:rsidRDefault="00233B01" w:rsidP="00233B01">
      <w:pPr>
        <w:pBdr>
          <w:bottom w:val="single" w:sz="6" w:space="1" w:color="auto"/>
        </w:pBdr>
        <w:tabs>
          <w:tab w:val="left" w:pos="6075"/>
        </w:tabs>
        <w:rPr>
          <w:lang w:val="fr-CA"/>
        </w:rPr>
      </w:pPr>
    </w:p>
    <w:p w:rsidR="00233B01" w:rsidRPr="000213DD" w:rsidRDefault="00233B01" w:rsidP="00233B01">
      <w:pPr>
        <w:rPr>
          <w:lang w:val="fr-CA"/>
        </w:rPr>
      </w:pPr>
    </w:p>
    <w:p w:rsidR="00233B01" w:rsidRPr="000213DD" w:rsidRDefault="00233B01" w:rsidP="00233B01">
      <w:pPr>
        <w:pBdr>
          <w:bottom w:val="single" w:sz="6" w:space="1" w:color="auto"/>
        </w:pBdr>
        <w:tabs>
          <w:tab w:val="center" w:pos="4680"/>
          <w:tab w:val="right" w:pos="9360"/>
        </w:tabs>
        <w:rPr>
          <w:lang w:val="fr-CA"/>
        </w:rPr>
      </w:pPr>
      <w:r w:rsidRPr="000213DD">
        <w:rPr>
          <w:lang w:val="fr-CA"/>
        </w:rPr>
        <w:t xml:space="preserve">April </w:t>
      </w:r>
      <w:r>
        <w:rPr>
          <w:lang w:val="fr-CA"/>
        </w:rPr>
        <w:t>15</w:t>
      </w:r>
      <w:r w:rsidRPr="000213DD">
        <w:rPr>
          <w:lang w:val="fr-CA"/>
        </w:rPr>
        <w:t>, 2016</w:t>
      </w:r>
      <w:r w:rsidRPr="000213DD">
        <w:rPr>
          <w:lang w:val="fr-CA"/>
        </w:rPr>
        <w:tab/>
      </w:r>
      <w:r w:rsidR="00910C97">
        <w:rPr>
          <w:lang w:val="fr-CA"/>
        </w:rPr>
        <w:t>487</w:t>
      </w:r>
      <w:r w:rsidRPr="000213DD">
        <w:rPr>
          <w:lang w:val="fr-CA"/>
        </w:rPr>
        <w:t xml:space="preserve"> - </w:t>
      </w:r>
      <w:r w:rsidR="00910C97">
        <w:rPr>
          <w:lang w:val="fr-CA"/>
        </w:rPr>
        <w:t>564</w:t>
      </w:r>
      <w:r w:rsidRPr="000213DD">
        <w:rPr>
          <w:lang w:val="fr-CA"/>
        </w:rPr>
        <w:tab/>
        <w:t xml:space="preserve">Le </w:t>
      </w:r>
      <w:r>
        <w:rPr>
          <w:lang w:val="fr-CA"/>
        </w:rPr>
        <w:t>15</w:t>
      </w:r>
      <w:r w:rsidRPr="000213DD">
        <w:rPr>
          <w:lang w:val="fr-CA"/>
        </w:rPr>
        <w:t xml:space="preserve"> avril 2016</w:t>
      </w:r>
    </w:p>
    <w:p w:rsidR="00233B01" w:rsidRPr="000213DD" w:rsidRDefault="00233B01" w:rsidP="00233B01">
      <w:pPr>
        <w:pBdr>
          <w:bottom w:val="single" w:sz="6" w:space="1" w:color="auto"/>
        </w:pBdr>
        <w:tabs>
          <w:tab w:val="right" w:pos="9360"/>
        </w:tabs>
        <w:rPr>
          <w:lang w:val="fr-CA"/>
        </w:rPr>
      </w:pPr>
    </w:p>
    <w:p w:rsidR="00233B01" w:rsidRPr="000213DD" w:rsidRDefault="00233B01" w:rsidP="00233B01">
      <w:pPr>
        <w:pBdr>
          <w:bottom w:val="single" w:sz="6" w:space="1" w:color="auto"/>
        </w:pBdr>
        <w:tabs>
          <w:tab w:val="right" w:pos="9360"/>
        </w:tabs>
        <w:rPr>
          <w:sz w:val="18"/>
          <w:szCs w:val="18"/>
          <w:lang w:val="fr-CA"/>
        </w:rPr>
      </w:pPr>
      <w:r w:rsidRPr="00EC22D2">
        <w:rPr>
          <w:sz w:val="18"/>
          <w:szCs w:val="18"/>
          <w:lang w:val="fr-CA"/>
        </w:rPr>
        <w:t>© Supreme Court of Canada (2016)</w:t>
      </w:r>
      <w:r w:rsidRPr="00EC22D2">
        <w:rPr>
          <w:sz w:val="18"/>
          <w:szCs w:val="18"/>
          <w:lang w:val="fr-CA"/>
        </w:rPr>
        <w:tab/>
        <w:t>© Cour suprême du Canada (2016)</w:t>
      </w:r>
      <w:r w:rsidR="00EC22D2" w:rsidRPr="00EC22D2">
        <w:rPr>
          <w:sz w:val="18"/>
          <w:szCs w:val="18"/>
          <w:lang w:val="fr-CA"/>
        </w:rPr>
        <w:br/>
      </w:r>
      <w:r w:rsidRPr="000213DD">
        <w:rPr>
          <w:sz w:val="18"/>
          <w:szCs w:val="18"/>
          <w:lang w:val="fr-CA"/>
        </w:rPr>
        <w:t>ISSN 1918-8358 (Online)</w:t>
      </w:r>
      <w:r w:rsidRPr="000213DD">
        <w:rPr>
          <w:sz w:val="18"/>
          <w:szCs w:val="18"/>
          <w:lang w:val="fr-CA"/>
        </w:rPr>
        <w:tab/>
        <w:t>ISSN 1918-8358 (En ligne)</w:t>
      </w:r>
      <w:r w:rsidR="00EC22D2">
        <w:rPr>
          <w:sz w:val="18"/>
          <w:szCs w:val="18"/>
          <w:lang w:val="fr-CA"/>
        </w:rPr>
        <w:br/>
      </w: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C22D2" w:rsidTr="00245129">
        <w:tc>
          <w:tcPr>
            <w:tcW w:w="4290" w:type="dxa"/>
            <w:shd w:val="clear" w:color="auto" w:fill="auto"/>
            <w:tcMar>
              <w:left w:w="0" w:type="dxa"/>
              <w:right w:w="0" w:type="dxa"/>
            </w:tcMar>
          </w:tcPr>
          <w:p w:rsidR="00245129" w:rsidRPr="00EC22D2" w:rsidRDefault="00245129" w:rsidP="00245129">
            <w:pPr>
              <w:jc w:val="both"/>
              <w:rPr>
                <w:rFonts w:eastAsia="Times New Roman" w:cs="Times New Roman"/>
                <w:b/>
                <w:sz w:val="20"/>
                <w:szCs w:val="20"/>
                <w:lang w:val="fr-CA" w:eastAsia="en-CA"/>
              </w:rPr>
            </w:pPr>
            <w:r w:rsidRPr="00EC22D2">
              <w:rPr>
                <w:b/>
                <w:lang w:val="fr-CA"/>
              </w:rPr>
              <w:lastRenderedPageBreak/>
              <w:t>CONTENTS</w:t>
            </w:r>
          </w:p>
        </w:tc>
        <w:tc>
          <w:tcPr>
            <w:tcW w:w="1200" w:type="dxa"/>
            <w:shd w:val="clear" w:color="auto" w:fill="auto"/>
            <w:tcMar>
              <w:left w:w="0" w:type="dxa"/>
              <w:right w:w="0" w:type="dxa"/>
            </w:tcMar>
          </w:tcPr>
          <w:p w:rsidR="00245129" w:rsidRPr="00EC22D2" w:rsidRDefault="00245129" w:rsidP="00245129">
            <w:pPr>
              <w:jc w:val="center"/>
              <w:rPr>
                <w:rFonts w:eastAsia="Times New Roman" w:cs="Times New Roman"/>
                <w:b/>
                <w:sz w:val="20"/>
                <w:szCs w:val="20"/>
                <w:lang w:val="fr-CA" w:eastAsia="en-CA"/>
              </w:rPr>
            </w:pPr>
          </w:p>
          <w:p w:rsidR="00245129" w:rsidRPr="00EC22D2" w:rsidRDefault="00245129" w:rsidP="00245129">
            <w:pPr>
              <w:rPr>
                <w:rFonts w:eastAsia="Times New Roman" w:cs="Times New Roman"/>
                <w:b/>
                <w:sz w:val="20"/>
                <w:szCs w:val="20"/>
                <w:lang w:val="fr-CA"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EC22D2" w:rsidRDefault="0095096B" w:rsidP="00245129">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F32B3" w:rsidRDefault="0095096B" w:rsidP="0095096B">
            <w:pPr>
              <w:tabs>
                <w:tab w:val="right" w:pos="9360"/>
              </w:tabs>
              <w:rPr>
                <w:rFonts w:cs="Times New Roman"/>
                <w:sz w:val="20"/>
                <w:szCs w:val="20"/>
              </w:rPr>
            </w:pPr>
            <w:r w:rsidRPr="002F32B3">
              <w:rPr>
                <w:rFonts w:cs="Times New Roman"/>
                <w:sz w:val="20"/>
                <w:szCs w:val="20"/>
              </w:rPr>
              <w:t xml:space="preserve">Applications for leave to appeal </w:t>
            </w:r>
          </w:p>
          <w:p w:rsidR="0095096B" w:rsidRPr="002F32B3" w:rsidRDefault="0095096B" w:rsidP="0095096B">
            <w:pPr>
              <w:tabs>
                <w:tab w:val="right" w:pos="9360"/>
              </w:tabs>
              <w:rPr>
                <w:rFonts w:cs="Times New Roman"/>
                <w:sz w:val="20"/>
                <w:szCs w:val="20"/>
              </w:rPr>
            </w:pPr>
            <w:r w:rsidRPr="002F32B3">
              <w:rPr>
                <w:rFonts w:cs="Times New Roman"/>
                <w:sz w:val="20"/>
                <w:szCs w:val="20"/>
              </w:rPr>
              <w:t>filed</w:t>
            </w:r>
          </w:p>
          <w:p w:rsidR="0095096B" w:rsidRPr="002F32B3"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F32B3">
              <w:rPr>
                <w:rFonts w:cs="Times New Roman"/>
                <w:sz w:val="20"/>
                <w:szCs w:val="20"/>
              </w:rPr>
              <w:t>Applications for leave sub</w:t>
            </w:r>
            <w:r w:rsidRPr="002E2327">
              <w:rPr>
                <w:rFonts w:cs="Times New Roman"/>
                <w:sz w:val="20"/>
                <w:szCs w:val="20"/>
              </w:rPr>
              <w:t xml:space="preserve">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8C06D2">
            <w:pPr>
              <w:tabs>
                <w:tab w:val="right" w:pos="9360"/>
              </w:tabs>
              <w:rPr>
                <w:rFonts w:cs="Times New Roman"/>
                <w:sz w:val="20"/>
                <w:szCs w:val="20"/>
              </w:rPr>
            </w:pPr>
          </w:p>
        </w:tc>
        <w:tc>
          <w:tcPr>
            <w:tcW w:w="1980" w:type="dxa"/>
          </w:tcPr>
          <w:p w:rsidR="00A87207" w:rsidRPr="008A719E" w:rsidRDefault="00910C97" w:rsidP="00910C97">
            <w:pPr>
              <w:jc w:val="center"/>
              <w:rPr>
                <w:rFonts w:cs="Times New Roman"/>
                <w:sz w:val="20"/>
                <w:szCs w:val="20"/>
                <w:lang w:val="fr-CA"/>
              </w:rPr>
            </w:pPr>
            <w:r>
              <w:rPr>
                <w:rFonts w:cs="Times New Roman"/>
                <w:sz w:val="20"/>
                <w:szCs w:val="20"/>
                <w:lang w:val="fr-CA"/>
              </w:rPr>
              <w:t>487</w:t>
            </w:r>
            <w:r w:rsidR="002F3867" w:rsidRPr="008A719E">
              <w:rPr>
                <w:rFonts w:cs="Times New Roman"/>
                <w:sz w:val="20"/>
                <w:szCs w:val="20"/>
                <w:lang w:val="fr-CA"/>
              </w:rPr>
              <w:t xml:space="preserve"> </w:t>
            </w:r>
            <w:r w:rsidR="000E27A5" w:rsidRPr="002E2327">
              <w:rPr>
                <w:rFonts w:cs="Times New Roman"/>
                <w:sz w:val="20"/>
                <w:szCs w:val="20"/>
              </w:rPr>
              <w:fldChar w:fldCharType="begin"/>
            </w:r>
            <w:r w:rsidR="0095096B" w:rsidRPr="008A719E">
              <w:rPr>
                <w:rFonts w:cs="Times New Roman"/>
                <w:sz w:val="20"/>
                <w:szCs w:val="20"/>
                <w:lang w:val="fr-CA"/>
              </w:rPr>
              <w:instrText xml:space="preserve"> SEQ CHAPTER \h \r 1</w:instrText>
            </w:r>
            <w:r w:rsidR="000E27A5" w:rsidRPr="002E2327">
              <w:rPr>
                <w:rFonts w:cs="Times New Roman"/>
                <w:sz w:val="20"/>
                <w:szCs w:val="20"/>
              </w:rPr>
              <w:fldChar w:fldCharType="end"/>
            </w:r>
            <w:r w:rsidR="008A719E" w:rsidRPr="008A719E">
              <w:rPr>
                <w:rFonts w:cs="Times New Roman"/>
                <w:sz w:val="20"/>
                <w:szCs w:val="20"/>
                <w:lang w:val="fr-CA"/>
              </w:rPr>
              <w:t>–</w:t>
            </w:r>
            <w:r w:rsidR="002F3867" w:rsidRPr="008A719E">
              <w:rPr>
                <w:rFonts w:cs="Times New Roman"/>
                <w:sz w:val="20"/>
                <w:szCs w:val="20"/>
                <w:lang w:val="fr-CA"/>
              </w:rPr>
              <w:t xml:space="preserve"> </w:t>
            </w:r>
            <w:r>
              <w:rPr>
                <w:rFonts w:cs="Times New Roman"/>
                <w:sz w:val="20"/>
                <w:szCs w:val="20"/>
                <w:lang w:val="fr-CA"/>
              </w:rPr>
              <w:t>488</w:t>
            </w:r>
            <w:r w:rsidR="008A719E" w:rsidRP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489</w:t>
            </w:r>
            <w:r w:rsid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490</w:t>
            </w:r>
            <w:r w:rsidR="002F3867" w:rsidRPr="008A719E">
              <w:rPr>
                <w:rFonts w:cs="Times New Roman"/>
                <w:sz w:val="20"/>
                <w:szCs w:val="20"/>
                <w:lang w:val="fr-CA"/>
              </w:rPr>
              <w:t xml:space="preserve"> </w:t>
            </w:r>
            <w:r w:rsidR="008A719E">
              <w:rPr>
                <w:rFonts w:cs="Times New Roman"/>
                <w:sz w:val="20"/>
                <w:szCs w:val="20"/>
                <w:lang w:val="fr-CA"/>
              </w:rPr>
              <w:t>–</w:t>
            </w:r>
            <w:r w:rsidR="002F3867" w:rsidRPr="008A719E">
              <w:rPr>
                <w:rFonts w:cs="Times New Roman"/>
                <w:sz w:val="20"/>
                <w:szCs w:val="20"/>
                <w:lang w:val="fr-CA"/>
              </w:rPr>
              <w:t xml:space="preserve"> </w:t>
            </w:r>
            <w:r>
              <w:rPr>
                <w:rFonts w:cs="Times New Roman"/>
                <w:sz w:val="20"/>
                <w:szCs w:val="20"/>
                <w:lang w:val="fr-CA"/>
              </w:rPr>
              <w:t>538</w:t>
            </w:r>
            <w:r w:rsid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539</w:t>
            </w:r>
            <w:r w:rsidR="002F3867" w:rsidRPr="008A719E">
              <w:rPr>
                <w:rFonts w:cs="Times New Roman"/>
                <w:sz w:val="20"/>
                <w:szCs w:val="20"/>
                <w:lang w:val="fr-CA"/>
              </w:rPr>
              <w:t xml:space="preserve"> </w:t>
            </w:r>
            <w:r w:rsidR="008A719E">
              <w:rPr>
                <w:rFonts w:cs="Times New Roman"/>
                <w:sz w:val="20"/>
                <w:szCs w:val="20"/>
                <w:lang w:val="fr-CA"/>
              </w:rPr>
              <w:t>–</w:t>
            </w:r>
            <w:r w:rsidR="002F3867" w:rsidRPr="008A719E">
              <w:rPr>
                <w:rFonts w:cs="Times New Roman"/>
                <w:sz w:val="20"/>
                <w:szCs w:val="20"/>
                <w:lang w:val="fr-CA"/>
              </w:rPr>
              <w:t xml:space="preserve"> </w:t>
            </w:r>
            <w:r>
              <w:rPr>
                <w:rFonts w:cs="Times New Roman"/>
                <w:sz w:val="20"/>
                <w:szCs w:val="20"/>
                <w:lang w:val="fr-CA"/>
              </w:rPr>
              <w:t>540</w:t>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541</w:t>
            </w:r>
            <w:r w:rsid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542</w:t>
            </w:r>
            <w:r w:rsid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543</w:t>
            </w:r>
            <w:r w:rsidR="00273135" w:rsidRPr="008A719E">
              <w:rPr>
                <w:rFonts w:cs="Times New Roman"/>
                <w:sz w:val="20"/>
                <w:szCs w:val="20"/>
                <w:lang w:val="fr-CA"/>
              </w:rPr>
              <w:t xml:space="preserve"> </w:t>
            </w:r>
            <w:r w:rsidR="008A719E">
              <w:rPr>
                <w:rFonts w:cs="Times New Roman"/>
                <w:sz w:val="20"/>
                <w:szCs w:val="20"/>
                <w:lang w:val="fr-CA"/>
              </w:rPr>
              <w:t>–</w:t>
            </w:r>
            <w:r w:rsidR="00273135" w:rsidRPr="008A719E">
              <w:rPr>
                <w:rFonts w:cs="Times New Roman"/>
                <w:sz w:val="20"/>
                <w:szCs w:val="20"/>
                <w:lang w:val="fr-CA"/>
              </w:rPr>
              <w:t xml:space="preserve"> </w:t>
            </w:r>
            <w:r>
              <w:rPr>
                <w:rFonts w:cs="Times New Roman"/>
                <w:sz w:val="20"/>
                <w:szCs w:val="20"/>
                <w:lang w:val="fr-CA"/>
              </w:rPr>
              <w:t>544</w:t>
            </w:r>
            <w:r w:rsidR="008A719E">
              <w:rPr>
                <w:rFonts w:cs="Times New Roman"/>
                <w:sz w:val="20"/>
                <w:szCs w:val="20"/>
                <w:lang w:val="fr-CA"/>
              </w:rPr>
              <w:br/>
            </w:r>
            <w:r w:rsidR="008A719E">
              <w:rPr>
                <w:rFonts w:cs="Times New Roman"/>
                <w:sz w:val="20"/>
                <w:szCs w:val="20"/>
                <w:lang w:val="fr-CA"/>
              </w:rPr>
              <w:br/>
            </w:r>
            <w:r w:rsidR="008A719E">
              <w:rPr>
                <w:rFonts w:cs="Times New Roman"/>
                <w:sz w:val="20"/>
                <w:szCs w:val="20"/>
                <w:lang w:val="fr-CA"/>
              </w:rPr>
              <w:br/>
            </w:r>
            <w:r>
              <w:rPr>
                <w:rFonts w:cs="Times New Roman"/>
                <w:sz w:val="20"/>
                <w:szCs w:val="20"/>
                <w:lang w:val="fr-CA"/>
              </w:rPr>
              <w:t>545</w:t>
            </w:r>
            <w:r w:rsidR="00273135" w:rsidRPr="008A719E">
              <w:rPr>
                <w:rFonts w:cs="Times New Roman"/>
                <w:sz w:val="20"/>
                <w:szCs w:val="20"/>
                <w:lang w:val="fr-CA"/>
              </w:rPr>
              <w:t xml:space="preserve"> </w:t>
            </w:r>
            <w:r w:rsidR="008A719E">
              <w:rPr>
                <w:rFonts w:cs="Times New Roman"/>
                <w:sz w:val="20"/>
                <w:szCs w:val="20"/>
                <w:lang w:val="fr-CA"/>
              </w:rPr>
              <w:t>–</w:t>
            </w:r>
            <w:r w:rsidR="00A1150B" w:rsidRPr="008A719E">
              <w:rPr>
                <w:rFonts w:cs="Times New Roman"/>
                <w:sz w:val="20"/>
                <w:szCs w:val="20"/>
                <w:lang w:val="fr-CA"/>
              </w:rPr>
              <w:t xml:space="preserve"> </w:t>
            </w:r>
            <w:r>
              <w:rPr>
                <w:rFonts w:cs="Times New Roman"/>
                <w:sz w:val="20"/>
                <w:szCs w:val="20"/>
                <w:lang w:val="fr-CA"/>
              </w:rPr>
              <w:t>564</w:t>
            </w:r>
            <w:r w:rsidR="008A719E">
              <w:rPr>
                <w:rFonts w:cs="Times New Roman"/>
                <w:sz w:val="20"/>
                <w:szCs w:val="20"/>
                <w:lang w:val="fr-CA"/>
              </w:rPr>
              <w:br/>
            </w:r>
            <w:r w:rsidR="008A719E">
              <w:rPr>
                <w:rFonts w:cs="Times New Roman"/>
                <w:sz w:val="20"/>
                <w:szCs w:val="20"/>
                <w:lang w:val="fr-CA"/>
              </w:rPr>
              <w:br/>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C06D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F302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Default="0079724F" w:rsidP="00215F7C">
            <w:pPr>
              <w:keepNext/>
              <w:tabs>
                <w:tab w:val="right" w:pos="9360"/>
              </w:tabs>
              <w:jc w:val="both"/>
              <w:rPr>
                <w:szCs w:val="24"/>
                <w:lang w:val="fr-CA"/>
              </w:rPr>
            </w:pPr>
            <w:r w:rsidRPr="00245129">
              <w:rPr>
                <w:szCs w:val="24"/>
                <w:lang w:val="fr-CA"/>
              </w:rPr>
              <w:t>Les résumés de dossiers publiés dans le bulletin sont préparés par le Bureau du registraire (Direction générale du droit) uniquement à titre d’information.</w:t>
            </w:r>
          </w:p>
          <w:p w:rsidR="000E41A9" w:rsidRPr="001D0D5F" w:rsidRDefault="000E41A9" w:rsidP="00215F7C">
            <w:pPr>
              <w:keepNext/>
              <w:tabs>
                <w:tab w:val="right" w:pos="9360"/>
              </w:tabs>
              <w:jc w:val="both"/>
              <w:rPr>
                <w:sz w:val="20"/>
                <w:szCs w:val="20"/>
                <w:lang w:val="fr-CA"/>
              </w:rPr>
            </w:pP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8A719E">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421"/>
      </w:tblGrid>
      <w:tr w:rsidR="00C21644" w:rsidRPr="00C21644" w:rsidTr="008A719E">
        <w:tc>
          <w:tcPr>
            <w:tcW w:w="4230" w:type="dxa"/>
            <w:shd w:val="clear" w:color="auto" w:fill="auto"/>
          </w:tcPr>
          <w:p w:rsidR="00A51D92" w:rsidRDefault="00A51D92" w:rsidP="005F1ED8">
            <w:pPr>
              <w:rPr>
                <w:b/>
                <w:sz w:val="20"/>
                <w:szCs w:val="20"/>
              </w:rPr>
            </w:pPr>
            <w:r w:rsidRPr="00A51D92">
              <w:rPr>
                <w:b/>
                <w:sz w:val="20"/>
                <w:szCs w:val="20"/>
              </w:rPr>
              <w:t>Rogers Communications Canada Inc. (formerly known as Rogers Communications Partnership) et al.</w:t>
            </w:r>
          </w:p>
          <w:p w:rsidR="00A51D92" w:rsidRDefault="00A51D92" w:rsidP="005F1ED8">
            <w:pPr>
              <w:rPr>
                <w:sz w:val="20"/>
                <w:szCs w:val="20"/>
              </w:rPr>
            </w:pPr>
            <w:r>
              <w:rPr>
                <w:b/>
                <w:sz w:val="20"/>
                <w:szCs w:val="20"/>
              </w:rPr>
              <w:tab/>
            </w:r>
            <w:r>
              <w:rPr>
                <w:sz w:val="20"/>
                <w:szCs w:val="20"/>
              </w:rPr>
              <w:t>Gerald L. (Jay) Kerr-Wilson</w:t>
            </w:r>
          </w:p>
          <w:p w:rsidR="00A51D92" w:rsidRPr="00A51D92" w:rsidRDefault="00A51D92" w:rsidP="005F1ED8">
            <w:pPr>
              <w:rPr>
                <w:sz w:val="20"/>
                <w:szCs w:val="20"/>
              </w:rPr>
            </w:pPr>
            <w:r>
              <w:rPr>
                <w:sz w:val="20"/>
                <w:szCs w:val="20"/>
              </w:rPr>
              <w:tab/>
              <w:t>Fasken Martineau DuMoulin LLP</w:t>
            </w:r>
          </w:p>
          <w:p w:rsidR="00A51D92" w:rsidRDefault="00A51D92" w:rsidP="005F1ED8">
            <w:pPr>
              <w:rPr>
                <w:sz w:val="20"/>
                <w:szCs w:val="20"/>
              </w:rPr>
            </w:pPr>
          </w:p>
          <w:p w:rsidR="00A51D92" w:rsidRDefault="00A51D92" w:rsidP="005F1ED8">
            <w:pPr>
              <w:rPr>
                <w:sz w:val="20"/>
                <w:szCs w:val="20"/>
              </w:rPr>
            </w:pPr>
            <w:r>
              <w:rPr>
                <w:sz w:val="20"/>
                <w:szCs w:val="20"/>
              </w:rPr>
              <w:tab/>
              <w:t>v. (36907)</w:t>
            </w:r>
          </w:p>
          <w:p w:rsidR="00A51D92" w:rsidRDefault="00A51D92" w:rsidP="005F1ED8">
            <w:pPr>
              <w:rPr>
                <w:sz w:val="20"/>
                <w:szCs w:val="20"/>
              </w:rPr>
            </w:pPr>
          </w:p>
          <w:p w:rsidR="00A51D92" w:rsidRPr="00A51D92" w:rsidRDefault="00A51D92" w:rsidP="005F1ED8">
            <w:pPr>
              <w:rPr>
                <w:sz w:val="20"/>
                <w:szCs w:val="20"/>
              </w:rPr>
            </w:pPr>
            <w:r w:rsidRPr="00A51D92">
              <w:rPr>
                <w:b/>
                <w:sz w:val="20"/>
                <w:szCs w:val="20"/>
              </w:rPr>
              <w:t>Society of Composers, Authors and Music Publishers of Canada (a.k.a. SOCAN)</w:t>
            </w:r>
            <w:r>
              <w:rPr>
                <w:sz w:val="20"/>
                <w:szCs w:val="20"/>
              </w:rPr>
              <w:t xml:space="preserve"> </w:t>
            </w:r>
            <w:r w:rsidRPr="00A51D92">
              <w:rPr>
                <w:b/>
                <w:sz w:val="20"/>
                <w:szCs w:val="20"/>
              </w:rPr>
              <w:t xml:space="preserve">(F.C.) </w:t>
            </w:r>
          </w:p>
          <w:p w:rsidR="00A51D92" w:rsidRDefault="00A51D92" w:rsidP="005F1ED8">
            <w:pPr>
              <w:rPr>
                <w:sz w:val="20"/>
                <w:szCs w:val="20"/>
              </w:rPr>
            </w:pPr>
            <w:r>
              <w:rPr>
                <w:sz w:val="20"/>
                <w:szCs w:val="20"/>
              </w:rPr>
              <w:tab/>
              <w:t>D. Lynne Watt</w:t>
            </w:r>
          </w:p>
          <w:p w:rsidR="00A51D92" w:rsidRDefault="00A51D92" w:rsidP="005F1ED8">
            <w:pPr>
              <w:rPr>
                <w:sz w:val="20"/>
                <w:szCs w:val="20"/>
              </w:rPr>
            </w:pPr>
            <w:r>
              <w:rPr>
                <w:sz w:val="20"/>
                <w:szCs w:val="20"/>
              </w:rPr>
              <w:tab/>
              <w:t>Gowling WLG (Canada) Inc.</w:t>
            </w:r>
          </w:p>
          <w:p w:rsidR="00100085" w:rsidRPr="00A51D92" w:rsidRDefault="00100085" w:rsidP="005F1ED8">
            <w:pPr>
              <w:rPr>
                <w:sz w:val="20"/>
                <w:szCs w:val="20"/>
              </w:rPr>
            </w:pPr>
          </w:p>
          <w:p w:rsidR="00C21644" w:rsidRPr="00A935AA" w:rsidRDefault="00B46FAB" w:rsidP="008A719E">
            <w:pPr>
              <w:rPr>
                <w:sz w:val="20"/>
                <w:szCs w:val="20"/>
              </w:rPr>
            </w:pPr>
            <w:r>
              <w:rPr>
                <w:sz w:val="20"/>
                <w:szCs w:val="20"/>
              </w:rPr>
              <w:t>FI</w:t>
            </w:r>
            <w:r w:rsidR="00100085">
              <w:rPr>
                <w:sz w:val="20"/>
                <w:szCs w:val="20"/>
              </w:rPr>
              <w:t>LING DATE: 29.03.2016</w:t>
            </w:r>
            <w:r w:rsidR="009F3029">
              <w:rPr>
                <w:sz w:val="20"/>
                <w:szCs w:val="20"/>
                <w:lang w:val="fr-CA"/>
              </w:rPr>
              <w:pict>
                <v:rect id="_x0000_i1025"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8F2594" w:rsidRDefault="008F2594" w:rsidP="00242AEE">
            <w:pPr>
              <w:jc w:val="center"/>
              <w:rPr>
                <w:sz w:val="20"/>
                <w:szCs w:val="20"/>
              </w:rPr>
            </w:pPr>
          </w:p>
          <w:p w:rsidR="008F2594" w:rsidRDefault="008F2594" w:rsidP="00242AEE">
            <w:pPr>
              <w:jc w:val="center"/>
              <w:rPr>
                <w:sz w:val="20"/>
                <w:szCs w:val="20"/>
              </w:rPr>
            </w:pPr>
          </w:p>
          <w:p w:rsidR="008A719E" w:rsidRPr="00A935AA" w:rsidRDefault="008A719E"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1F6C41" w:rsidRPr="001F6C41" w:rsidRDefault="00EC0472" w:rsidP="005F1ED8">
            <w:pPr>
              <w:rPr>
                <w:b/>
                <w:sz w:val="20"/>
                <w:szCs w:val="20"/>
              </w:rPr>
            </w:pPr>
            <w:r w:rsidRPr="001F6C41">
              <w:rPr>
                <w:b/>
                <w:sz w:val="20"/>
                <w:szCs w:val="20"/>
              </w:rPr>
              <w:t>Jameel Hosein Mohammed also known as Adolphus Cecil Wilson</w:t>
            </w:r>
            <w:r w:rsidR="001F6C41" w:rsidRPr="001F6C41">
              <w:rPr>
                <w:b/>
                <w:sz w:val="20"/>
                <w:szCs w:val="20"/>
              </w:rPr>
              <w:t xml:space="preserve"> et al.</w:t>
            </w:r>
          </w:p>
          <w:p w:rsidR="001F6C41" w:rsidRDefault="001F6C41" w:rsidP="005F1ED8">
            <w:pPr>
              <w:rPr>
                <w:sz w:val="20"/>
                <w:szCs w:val="20"/>
              </w:rPr>
            </w:pPr>
            <w:r>
              <w:rPr>
                <w:sz w:val="20"/>
                <w:szCs w:val="20"/>
              </w:rPr>
              <w:tab/>
              <w:t>Jameel Hosein Mohammed</w:t>
            </w:r>
          </w:p>
          <w:p w:rsidR="001F6C41" w:rsidRDefault="001F6C41" w:rsidP="005F1ED8">
            <w:pPr>
              <w:rPr>
                <w:sz w:val="20"/>
                <w:szCs w:val="20"/>
              </w:rPr>
            </w:pPr>
          </w:p>
          <w:p w:rsidR="001F6C41" w:rsidRDefault="001F6C41" w:rsidP="005F1ED8">
            <w:pPr>
              <w:rPr>
                <w:sz w:val="20"/>
                <w:szCs w:val="20"/>
              </w:rPr>
            </w:pPr>
            <w:r>
              <w:rPr>
                <w:sz w:val="20"/>
                <w:szCs w:val="20"/>
              </w:rPr>
              <w:tab/>
              <w:t>v. (36911)</w:t>
            </w:r>
          </w:p>
          <w:p w:rsidR="001F6C41" w:rsidRDefault="001F6C41" w:rsidP="005F1ED8">
            <w:pPr>
              <w:rPr>
                <w:sz w:val="20"/>
                <w:szCs w:val="20"/>
              </w:rPr>
            </w:pPr>
          </w:p>
          <w:p w:rsidR="001F6C41" w:rsidRPr="008A719E" w:rsidRDefault="001F6C41" w:rsidP="005F1ED8">
            <w:pPr>
              <w:rPr>
                <w:b/>
                <w:sz w:val="20"/>
                <w:szCs w:val="20"/>
              </w:rPr>
            </w:pPr>
            <w:r>
              <w:rPr>
                <w:b/>
                <w:sz w:val="20"/>
                <w:szCs w:val="20"/>
              </w:rPr>
              <w:t>Corporation of the United Townships of Dysart, Dudley, Harcourt, Guilford, Harburn, Bruton, Haveloc</w:t>
            </w:r>
            <w:r w:rsidR="008A719E">
              <w:rPr>
                <w:b/>
                <w:sz w:val="20"/>
                <w:szCs w:val="20"/>
              </w:rPr>
              <w:t>k, Eyre and Clyde et al. (Ont.)</w:t>
            </w:r>
            <w:r w:rsidR="008A719E">
              <w:rPr>
                <w:b/>
                <w:sz w:val="20"/>
                <w:szCs w:val="20"/>
              </w:rPr>
              <w:br/>
            </w:r>
          </w:p>
          <w:p w:rsidR="00C21644" w:rsidRPr="00A51D92" w:rsidRDefault="006D3C6B" w:rsidP="008A719E">
            <w:pPr>
              <w:rPr>
                <w:sz w:val="20"/>
                <w:szCs w:val="20"/>
              </w:rPr>
            </w:pPr>
            <w:r>
              <w:rPr>
                <w:sz w:val="20"/>
                <w:szCs w:val="20"/>
              </w:rPr>
              <w:t>FILING DATE: 22.03.2016</w:t>
            </w:r>
            <w:r w:rsidR="009F3029">
              <w:rPr>
                <w:sz w:val="20"/>
                <w:szCs w:val="20"/>
                <w:lang w:val="fr-CA"/>
              </w:rPr>
              <w:pict>
                <v:rect id="_x0000_i1026" style="width:108pt;height:1pt" o:hrpct="0" o:hralign="center" o:hrstd="t" o:hrnoshade="t" o:hr="t" fillcolor="black [3213]" stroked="f"/>
              </w:pict>
            </w:r>
          </w:p>
        </w:tc>
      </w:tr>
      <w:tr w:rsidR="00C21644" w:rsidRPr="00A935AA" w:rsidTr="008A719E">
        <w:tc>
          <w:tcPr>
            <w:tcW w:w="4230" w:type="dxa"/>
            <w:shd w:val="clear" w:color="auto" w:fill="auto"/>
          </w:tcPr>
          <w:p w:rsidR="00B46FAB" w:rsidRPr="00B46FAB" w:rsidRDefault="00B46FAB" w:rsidP="00B46FAB">
            <w:pPr>
              <w:rPr>
                <w:b/>
                <w:sz w:val="20"/>
                <w:szCs w:val="20"/>
              </w:rPr>
            </w:pPr>
            <w:r w:rsidRPr="00B46FAB">
              <w:rPr>
                <w:b/>
                <w:sz w:val="20"/>
                <w:szCs w:val="20"/>
              </w:rPr>
              <w:t>Bernard Tremblay</w:t>
            </w:r>
          </w:p>
          <w:p w:rsidR="00B46FAB" w:rsidRPr="00B46FAB" w:rsidRDefault="00B46FAB" w:rsidP="00B46FAB">
            <w:pPr>
              <w:rPr>
                <w:sz w:val="20"/>
                <w:szCs w:val="20"/>
              </w:rPr>
            </w:pPr>
            <w:r w:rsidRPr="00B46FAB">
              <w:rPr>
                <w:sz w:val="20"/>
                <w:szCs w:val="20"/>
              </w:rPr>
              <w:tab/>
              <w:t>Bernard Tremblay</w:t>
            </w:r>
          </w:p>
          <w:p w:rsidR="00B46FAB" w:rsidRPr="00B46FAB" w:rsidRDefault="00B46FAB" w:rsidP="00B46FAB">
            <w:pPr>
              <w:rPr>
                <w:sz w:val="20"/>
                <w:szCs w:val="20"/>
              </w:rPr>
            </w:pPr>
          </w:p>
          <w:p w:rsidR="00B46FAB" w:rsidRPr="00B46FAB" w:rsidRDefault="00B46FAB" w:rsidP="00B46FAB">
            <w:pPr>
              <w:rPr>
                <w:sz w:val="20"/>
                <w:szCs w:val="20"/>
              </w:rPr>
            </w:pPr>
            <w:r w:rsidRPr="00B46FAB">
              <w:rPr>
                <w:sz w:val="20"/>
                <w:szCs w:val="20"/>
              </w:rPr>
              <w:tab/>
              <w:t>c. (36923)</w:t>
            </w:r>
          </w:p>
          <w:p w:rsidR="00B46FAB" w:rsidRPr="00B46FAB" w:rsidRDefault="00B46FAB" w:rsidP="00B46FAB">
            <w:pPr>
              <w:rPr>
                <w:sz w:val="20"/>
                <w:szCs w:val="20"/>
              </w:rPr>
            </w:pPr>
          </w:p>
          <w:p w:rsidR="00B46FAB" w:rsidRDefault="00203774" w:rsidP="00B46FAB">
            <w:pPr>
              <w:rPr>
                <w:b/>
                <w:sz w:val="20"/>
                <w:szCs w:val="20"/>
                <w:lang w:val="fr-CA"/>
              </w:rPr>
            </w:pPr>
            <w:r>
              <w:rPr>
                <w:b/>
                <w:sz w:val="20"/>
                <w:szCs w:val="20"/>
                <w:lang w:val="fr-CA"/>
              </w:rPr>
              <w:t>Ultramar Ltée et autres</w:t>
            </w:r>
            <w:r w:rsidR="00B46FAB">
              <w:rPr>
                <w:b/>
                <w:sz w:val="20"/>
                <w:szCs w:val="20"/>
                <w:lang w:val="fr-CA"/>
              </w:rPr>
              <w:t xml:space="preserve"> (Qc)</w:t>
            </w:r>
          </w:p>
          <w:p w:rsidR="00B46FAB" w:rsidRDefault="00B46FAB" w:rsidP="00B46FAB">
            <w:pPr>
              <w:rPr>
                <w:sz w:val="20"/>
                <w:szCs w:val="20"/>
                <w:lang w:val="fr-CA"/>
              </w:rPr>
            </w:pPr>
            <w:r>
              <w:rPr>
                <w:sz w:val="20"/>
                <w:szCs w:val="20"/>
                <w:lang w:val="fr-CA"/>
              </w:rPr>
              <w:tab/>
              <w:t>Marc-André Blain</w:t>
            </w:r>
          </w:p>
          <w:p w:rsidR="00B46FAB" w:rsidRPr="00100085" w:rsidRDefault="00B46FAB" w:rsidP="00B46FAB">
            <w:pPr>
              <w:rPr>
                <w:sz w:val="20"/>
                <w:szCs w:val="20"/>
                <w:lang w:val="fr-CA"/>
              </w:rPr>
            </w:pPr>
            <w:r>
              <w:rPr>
                <w:sz w:val="20"/>
                <w:szCs w:val="20"/>
                <w:lang w:val="fr-CA"/>
              </w:rPr>
              <w:tab/>
              <w:t>Consensus Conseillers Juridiques</w:t>
            </w:r>
          </w:p>
          <w:p w:rsidR="00B46FAB" w:rsidRDefault="00B46FAB" w:rsidP="00B46FAB">
            <w:pPr>
              <w:rPr>
                <w:sz w:val="20"/>
                <w:szCs w:val="20"/>
                <w:lang w:val="fr-CA"/>
              </w:rPr>
            </w:pPr>
          </w:p>
          <w:p w:rsidR="00C21644" w:rsidRPr="00A935AA" w:rsidRDefault="00B46FAB" w:rsidP="008A719E">
            <w:pPr>
              <w:rPr>
                <w:sz w:val="20"/>
                <w:szCs w:val="20"/>
              </w:rPr>
            </w:pPr>
            <w:r>
              <w:rPr>
                <w:sz w:val="20"/>
                <w:szCs w:val="20"/>
                <w:lang w:val="fr-CA"/>
              </w:rPr>
              <w:t>DATE DE PRODUCTION : 29.02.20</w:t>
            </w:r>
            <w:r w:rsidR="001906F2">
              <w:rPr>
                <w:sz w:val="20"/>
                <w:szCs w:val="20"/>
                <w:lang w:val="fr-CA"/>
              </w:rPr>
              <w:t>16</w:t>
            </w:r>
            <w:r w:rsidR="009F3029">
              <w:rPr>
                <w:sz w:val="20"/>
                <w:szCs w:val="20"/>
                <w:lang w:val="fr-CA"/>
              </w:rPr>
              <w:pict>
                <v:rect id="_x0000_i1027"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C21644" w:rsidRDefault="006D3C6B" w:rsidP="003B3977">
            <w:pPr>
              <w:keepNext/>
              <w:keepLines/>
              <w:tabs>
                <w:tab w:val="left" w:pos="-1440"/>
                <w:tab w:val="left" w:pos="-720"/>
              </w:tabs>
              <w:rPr>
                <w:b/>
                <w:sz w:val="20"/>
                <w:szCs w:val="20"/>
              </w:rPr>
            </w:pPr>
            <w:r>
              <w:rPr>
                <w:b/>
                <w:sz w:val="20"/>
                <w:szCs w:val="20"/>
              </w:rPr>
              <w:t>Gerry Hedges</w:t>
            </w:r>
          </w:p>
          <w:p w:rsidR="006D3C6B" w:rsidRPr="006D3C6B" w:rsidRDefault="006D3C6B" w:rsidP="003B3977">
            <w:pPr>
              <w:keepNext/>
              <w:keepLines/>
              <w:tabs>
                <w:tab w:val="left" w:pos="-1440"/>
                <w:tab w:val="left" w:pos="-720"/>
              </w:tabs>
              <w:rPr>
                <w:sz w:val="20"/>
                <w:szCs w:val="20"/>
              </w:rPr>
            </w:pPr>
            <w:r>
              <w:rPr>
                <w:b/>
                <w:sz w:val="20"/>
                <w:szCs w:val="20"/>
              </w:rPr>
              <w:tab/>
            </w:r>
            <w:r>
              <w:rPr>
                <w:sz w:val="20"/>
                <w:szCs w:val="20"/>
              </w:rPr>
              <w:t>Alistair G. Campbell</w:t>
            </w:r>
          </w:p>
          <w:p w:rsidR="00C21644" w:rsidRPr="00A51D92" w:rsidRDefault="00C21644" w:rsidP="003B3977">
            <w:pPr>
              <w:keepNext/>
              <w:keepLines/>
              <w:tabs>
                <w:tab w:val="left" w:pos="-1440"/>
                <w:tab w:val="left" w:pos="-720"/>
              </w:tabs>
              <w:rPr>
                <w:sz w:val="20"/>
                <w:szCs w:val="20"/>
              </w:rPr>
            </w:pPr>
            <w:r w:rsidRPr="00A51D92">
              <w:rPr>
                <w:sz w:val="20"/>
                <w:szCs w:val="20"/>
              </w:rPr>
              <w:tab/>
            </w:r>
            <w:r w:rsidR="006D3C6B">
              <w:rPr>
                <w:sz w:val="20"/>
                <w:szCs w:val="20"/>
              </w:rPr>
              <w:t>Legacy Tax &amp; Trust Lawyers</w:t>
            </w:r>
          </w:p>
          <w:p w:rsidR="00C21644" w:rsidRPr="00A935AA" w:rsidRDefault="00C21644" w:rsidP="003B3977">
            <w:pPr>
              <w:keepNext/>
              <w:keepLines/>
              <w:tabs>
                <w:tab w:val="left" w:pos="-1440"/>
                <w:tab w:val="left" w:pos="-720"/>
              </w:tabs>
              <w:rPr>
                <w:sz w:val="20"/>
                <w:szCs w:val="20"/>
              </w:rPr>
            </w:pPr>
            <w:r w:rsidRPr="00A51D92">
              <w:rPr>
                <w:sz w:val="20"/>
                <w:szCs w:val="20"/>
              </w:rPr>
              <w:tab/>
            </w: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6D3C6B">
              <w:rPr>
                <w:sz w:val="20"/>
                <w:szCs w:val="20"/>
              </w:rPr>
              <w:t>6925</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6D3C6B"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F</w:t>
            </w:r>
            <w:r w:rsidR="00C21644">
              <w:rPr>
                <w:b/>
                <w:sz w:val="20"/>
                <w:szCs w:val="20"/>
              </w:rPr>
              <w:t>.C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6D3C6B">
              <w:rPr>
                <w:sz w:val="20"/>
                <w:szCs w:val="20"/>
              </w:rPr>
              <w:t>Lynn M. Burch</w:t>
            </w:r>
          </w:p>
          <w:p w:rsidR="00C21644" w:rsidRPr="00A935AA" w:rsidRDefault="00C21644" w:rsidP="003B3977">
            <w:pPr>
              <w:keepNext/>
              <w:keepLines/>
              <w:tabs>
                <w:tab w:val="left" w:pos="-1440"/>
                <w:tab w:val="left" w:pos="-720"/>
              </w:tabs>
              <w:rPr>
                <w:sz w:val="20"/>
                <w:szCs w:val="20"/>
              </w:rPr>
            </w:pPr>
            <w:r w:rsidRPr="00A935AA">
              <w:rPr>
                <w:sz w:val="20"/>
                <w:szCs w:val="20"/>
              </w:rPr>
              <w:tab/>
            </w:r>
            <w:r w:rsidR="006D3C6B">
              <w:rPr>
                <w:sz w:val="20"/>
                <w:szCs w:val="20"/>
              </w:rPr>
              <w:t>A</w:t>
            </w:r>
            <w:r w:rsidR="0017498F">
              <w:rPr>
                <w:sz w:val="20"/>
                <w:szCs w:val="20"/>
              </w:rPr>
              <w:t xml:space="preserve">.G. </w:t>
            </w:r>
            <w:r w:rsidR="006D3C6B">
              <w:rPr>
                <w:sz w:val="20"/>
                <w:szCs w:val="20"/>
              </w:rPr>
              <w:t>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6D3C6B">
            <w:pPr>
              <w:rPr>
                <w:sz w:val="20"/>
                <w:szCs w:val="20"/>
              </w:rPr>
            </w:pPr>
            <w:r w:rsidRPr="00A935AA">
              <w:rPr>
                <w:sz w:val="20"/>
                <w:szCs w:val="20"/>
              </w:rPr>
              <w:t xml:space="preserve">FILING DATE: </w:t>
            </w:r>
            <w:r w:rsidR="006D3C6B">
              <w:rPr>
                <w:sz w:val="20"/>
                <w:szCs w:val="20"/>
              </w:rPr>
              <w:t>29.03.2016</w:t>
            </w:r>
            <w:r w:rsidR="009F3029">
              <w:rPr>
                <w:sz w:val="20"/>
                <w:szCs w:val="20"/>
                <w:lang w:val="fr-CA"/>
              </w:rPr>
              <w:pict>
                <v:rect id="_x0000_i1028" style="width:108pt;height:1pt" o:hrpct="0" o:hralign="center" o:hrstd="t" o:hrnoshade="t" o:hr="t" fillcolor="black [3213]" stroked="f"/>
              </w:pict>
            </w:r>
          </w:p>
        </w:tc>
      </w:tr>
      <w:tr w:rsidR="00C21644" w:rsidRPr="009F3029" w:rsidTr="008A719E">
        <w:tc>
          <w:tcPr>
            <w:tcW w:w="4230" w:type="dxa"/>
            <w:shd w:val="clear" w:color="auto" w:fill="auto"/>
          </w:tcPr>
          <w:p w:rsidR="00C21644" w:rsidRDefault="00B62C78" w:rsidP="005F1ED8">
            <w:pPr>
              <w:rPr>
                <w:sz w:val="20"/>
                <w:szCs w:val="20"/>
              </w:rPr>
            </w:pPr>
            <w:r>
              <w:rPr>
                <w:b/>
                <w:sz w:val="20"/>
                <w:szCs w:val="20"/>
              </w:rPr>
              <w:t>Dan Mason</w:t>
            </w:r>
          </w:p>
          <w:p w:rsidR="00B62C78" w:rsidRDefault="00B62C78" w:rsidP="005F1ED8">
            <w:pPr>
              <w:rPr>
                <w:sz w:val="20"/>
                <w:szCs w:val="20"/>
              </w:rPr>
            </w:pPr>
            <w:r>
              <w:rPr>
                <w:sz w:val="20"/>
                <w:szCs w:val="20"/>
              </w:rPr>
              <w:tab/>
              <w:t>Dan Mason</w:t>
            </w:r>
          </w:p>
          <w:p w:rsidR="00B62C78" w:rsidRDefault="00B62C78" w:rsidP="005F1ED8">
            <w:pPr>
              <w:rPr>
                <w:sz w:val="20"/>
                <w:szCs w:val="20"/>
              </w:rPr>
            </w:pPr>
          </w:p>
          <w:p w:rsidR="00B62C78" w:rsidRDefault="00B62C78" w:rsidP="005F1ED8">
            <w:pPr>
              <w:rPr>
                <w:sz w:val="20"/>
                <w:szCs w:val="20"/>
              </w:rPr>
            </w:pPr>
            <w:r>
              <w:rPr>
                <w:sz w:val="20"/>
                <w:szCs w:val="20"/>
              </w:rPr>
              <w:tab/>
              <w:t>v. (36922)</w:t>
            </w:r>
          </w:p>
          <w:p w:rsidR="00B62C78" w:rsidRDefault="00B62C78" w:rsidP="005F1ED8">
            <w:pPr>
              <w:rPr>
                <w:sz w:val="20"/>
                <w:szCs w:val="20"/>
              </w:rPr>
            </w:pPr>
          </w:p>
          <w:p w:rsidR="00B62C78" w:rsidRDefault="00B62C78" w:rsidP="005F1ED8">
            <w:pPr>
              <w:rPr>
                <w:b/>
                <w:sz w:val="20"/>
                <w:szCs w:val="20"/>
              </w:rPr>
            </w:pPr>
            <w:r>
              <w:rPr>
                <w:b/>
                <w:sz w:val="20"/>
                <w:szCs w:val="20"/>
              </w:rPr>
              <w:t>Her Majesty the Queen (F.C.)</w:t>
            </w:r>
          </w:p>
          <w:p w:rsidR="00B62C78" w:rsidRDefault="00B62C78" w:rsidP="005F1ED8">
            <w:pPr>
              <w:rPr>
                <w:sz w:val="20"/>
                <w:szCs w:val="20"/>
              </w:rPr>
            </w:pPr>
            <w:r>
              <w:rPr>
                <w:b/>
                <w:sz w:val="20"/>
                <w:szCs w:val="20"/>
              </w:rPr>
              <w:tab/>
            </w:r>
            <w:r>
              <w:rPr>
                <w:sz w:val="20"/>
                <w:szCs w:val="20"/>
              </w:rPr>
              <w:t>Mark Heseltine</w:t>
            </w:r>
          </w:p>
          <w:p w:rsidR="00B62C78" w:rsidRDefault="00B62C78" w:rsidP="005F1ED8">
            <w:pPr>
              <w:rPr>
                <w:sz w:val="20"/>
                <w:szCs w:val="20"/>
              </w:rPr>
            </w:pPr>
            <w:r>
              <w:rPr>
                <w:sz w:val="20"/>
                <w:szCs w:val="20"/>
              </w:rPr>
              <w:tab/>
              <w:t>A.G. of Canada</w:t>
            </w:r>
          </w:p>
          <w:p w:rsidR="00B62C78" w:rsidRDefault="00B62C78" w:rsidP="005F1ED8">
            <w:pPr>
              <w:rPr>
                <w:sz w:val="20"/>
                <w:szCs w:val="20"/>
              </w:rPr>
            </w:pPr>
          </w:p>
          <w:p w:rsidR="00C21644" w:rsidRPr="00A935AA" w:rsidRDefault="00B62C78" w:rsidP="00124F91">
            <w:pPr>
              <w:rPr>
                <w:sz w:val="20"/>
                <w:szCs w:val="20"/>
              </w:rPr>
            </w:pPr>
            <w:r>
              <w:rPr>
                <w:sz w:val="20"/>
                <w:szCs w:val="20"/>
              </w:rPr>
              <w:t xml:space="preserve">FILING DATE: </w:t>
            </w:r>
            <w:r w:rsidR="00023774">
              <w:rPr>
                <w:sz w:val="20"/>
                <w:szCs w:val="20"/>
              </w:rPr>
              <w:t>21.03.2016</w:t>
            </w:r>
            <w:r w:rsidR="009F3029">
              <w:rPr>
                <w:sz w:val="20"/>
                <w:szCs w:val="20"/>
                <w:lang w:val="fr-CA"/>
              </w:rPr>
              <w:pict>
                <v:rect id="_x0000_i1029"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8F2594" w:rsidRPr="00A935AA" w:rsidRDefault="008F259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C21644" w:rsidRPr="00203774" w:rsidRDefault="00023774" w:rsidP="005F1ED8">
            <w:pPr>
              <w:rPr>
                <w:b/>
                <w:sz w:val="20"/>
                <w:szCs w:val="20"/>
                <w:lang w:val="fr-CA"/>
              </w:rPr>
            </w:pPr>
            <w:r w:rsidRPr="00203774">
              <w:rPr>
                <w:b/>
                <w:sz w:val="20"/>
                <w:szCs w:val="20"/>
                <w:lang w:val="fr-CA"/>
              </w:rPr>
              <w:t>Jean-Yves Archambault</w:t>
            </w:r>
          </w:p>
          <w:p w:rsidR="00023774" w:rsidRPr="00203774" w:rsidRDefault="00023774" w:rsidP="005F1ED8">
            <w:pPr>
              <w:rPr>
                <w:sz w:val="20"/>
                <w:szCs w:val="20"/>
                <w:lang w:val="fr-CA"/>
              </w:rPr>
            </w:pPr>
            <w:r w:rsidRPr="00203774">
              <w:rPr>
                <w:sz w:val="20"/>
                <w:szCs w:val="20"/>
                <w:lang w:val="fr-CA"/>
              </w:rPr>
              <w:tab/>
              <w:t>Jean-Yves Archambault</w:t>
            </w:r>
          </w:p>
          <w:p w:rsidR="00023774" w:rsidRPr="00203774" w:rsidRDefault="00023774" w:rsidP="005F1ED8">
            <w:pPr>
              <w:rPr>
                <w:sz w:val="20"/>
                <w:szCs w:val="20"/>
                <w:lang w:val="fr-CA"/>
              </w:rPr>
            </w:pPr>
          </w:p>
          <w:p w:rsidR="00023774" w:rsidRPr="00023774" w:rsidRDefault="00023774" w:rsidP="005F1ED8">
            <w:pPr>
              <w:rPr>
                <w:sz w:val="20"/>
                <w:szCs w:val="20"/>
                <w:lang w:val="fr-CA"/>
              </w:rPr>
            </w:pPr>
            <w:r w:rsidRPr="00203774">
              <w:rPr>
                <w:sz w:val="20"/>
                <w:szCs w:val="20"/>
                <w:lang w:val="fr-CA"/>
              </w:rPr>
              <w:tab/>
            </w:r>
            <w:r w:rsidRPr="00023774">
              <w:rPr>
                <w:sz w:val="20"/>
                <w:szCs w:val="20"/>
                <w:lang w:val="fr-CA"/>
              </w:rPr>
              <w:t>c. (36921)</w:t>
            </w:r>
          </w:p>
          <w:p w:rsidR="00023774" w:rsidRPr="00023774" w:rsidRDefault="00023774" w:rsidP="005F1ED8">
            <w:pPr>
              <w:rPr>
                <w:sz w:val="20"/>
                <w:szCs w:val="20"/>
                <w:lang w:val="fr-CA"/>
              </w:rPr>
            </w:pPr>
          </w:p>
          <w:p w:rsidR="00023774" w:rsidRDefault="00023774" w:rsidP="005F1ED8">
            <w:pPr>
              <w:rPr>
                <w:b/>
                <w:sz w:val="20"/>
                <w:szCs w:val="20"/>
                <w:lang w:val="fr-CA"/>
              </w:rPr>
            </w:pPr>
            <w:r w:rsidRPr="00023774">
              <w:rPr>
                <w:b/>
                <w:sz w:val="20"/>
                <w:szCs w:val="20"/>
                <w:lang w:val="fr-CA"/>
              </w:rPr>
              <w:t xml:space="preserve">Agence du </w:t>
            </w:r>
            <w:r>
              <w:rPr>
                <w:b/>
                <w:sz w:val="20"/>
                <w:szCs w:val="20"/>
                <w:lang w:val="fr-CA"/>
              </w:rPr>
              <w:t>r</w:t>
            </w:r>
            <w:r w:rsidRPr="00023774">
              <w:rPr>
                <w:b/>
                <w:sz w:val="20"/>
                <w:szCs w:val="20"/>
                <w:lang w:val="fr-CA"/>
              </w:rPr>
              <w:t>evenu du Québec (Qc)</w:t>
            </w:r>
          </w:p>
          <w:p w:rsidR="00023774" w:rsidRDefault="00023774" w:rsidP="005F1ED8">
            <w:pPr>
              <w:rPr>
                <w:sz w:val="20"/>
                <w:szCs w:val="20"/>
                <w:lang w:val="fr-CA"/>
              </w:rPr>
            </w:pPr>
            <w:r>
              <w:rPr>
                <w:b/>
                <w:sz w:val="20"/>
                <w:szCs w:val="20"/>
                <w:lang w:val="fr-CA"/>
              </w:rPr>
              <w:tab/>
            </w:r>
            <w:r w:rsidR="00124F91">
              <w:rPr>
                <w:sz w:val="20"/>
                <w:szCs w:val="20"/>
                <w:lang w:val="fr-CA"/>
              </w:rPr>
              <w:t>Christian Boutin</w:t>
            </w:r>
          </w:p>
          <w:p w:rsidR="00124F91" w:rsidRDefault="00124F91" w:rsidP="005F1ED8">
            <w:pPr>
              <w:rPr>
                <w:sz w:val="20"/>
                <w:szCs w:val="20"/>
                <w:lang w:val="fr-CA"/>
              </w:rPr>
            </w:pPr>
            <w:r>
              <w:rPr>
                <w:sz w:val="20"/>
                <w:szCs w:val="20"/>
                <w:lang w:val="fr-CA"/>
              </w:rPr>
              <w:tab/>
              <w:t>Larivière Meunier</w:t>
            </w:r>
          </w:p>
          <w:p w:rsidR="00124F91" w:rsidRDefault="00124F91" w:rsidP="005F1ED8">
            <w:pPr>
              <w:rPr>
                <w:sz w:val="20"/>
                <w:szCs w:val="20"/>
                <w:lang w:val="fr-CA"/>
              </w:rPr>
            </w:pPr>
          </w:p>
          <w:p w:rsidR="00C21644" w:rsidRPr="00A807ED" w:rsidRDefault="00124F91" w:rsidP="008A719E">
            <w:pPr>
              <w:rPr>
                <w:sz w:val="20"/>
                <w:szCs w:val="20"/>
                <w:lang w:val="fr-CA"/>
              </w:rPr>
            </w:pPr>
            <w:r>
              <w:rPr>
                <w:sz w:val="20"/>
                <w:szCs w:val="20"/>
                <w:lang w:val="fr-CA"/>
              </w:rPr>
              <w:t>DATE DE PRODUCTION : 23.03.2016</w:t>
            </w:r>
            <w:r w:rsidR="009F3029">
              <w:rPr>
                <w:sz w:val="20"/>
                <w:szCs w:val="20"/>
                <w:lang w:val="fr-CA"/>
              </w:rPr>
              <w:pict>
                <v:rect id="_x0000_i1030" style="width:108pt;height:1pt" o:hrpct="0" o:hralign="center" o:hrstd="t" o:hrnoshade="t" o:hr="t" fillcolor="black [3213]" stroked="f"/>
              </w:pict>
            </w:r>
          </w:p>
        </w:tc>
      </w:tr>
      <w:tr w:rsidR="00C21644" w:rsidRPr="00A935AA" w:rsidTr="008A719E">
        <w:tc>
          <w:tcPr>
            <w:tcW w:w="4230" w:type="dxa"/>
            <w:shd w:val="clear" w:color="auto" w:fill="auto"/>
          </w:tcPr>
          <w:p w:rsidR="00124F91" w:rsidRDefault="00124F91" w:rsidP="005F1ED8">
            <w:pPr>
              <w:rPr>
                <w:b/>
                <w:sz w:val="20"/>
                <w:szCs w:val="20"/>
              </w:rPr>
            </w:pPr>
            <w:r>
              <w:rPr>
                <w:b/>
                <w:sz w:val="20"/>
                <w:szCs w:val="20"/>
              </w:rPr>
              <w:t>Raymond Turmel</w:t>
            </w:r>
          </w:p>
          <w:p w:rsidR="00124F91" w:rsidRPr="00124F91" w:rsidRDefault="00124F91" w:rsidP="005F1ED8">
            <w:pPr>
              <w:rPr>
                <w:sz w:val="20"/>
                <w:szCs w:val="20"/>
              </w:rPr>
            </w:pPr>
            <w:r>
              <w:rPr>
                <w:b/>
                <w:sz w:val="20"/>
                <w:szCs w:val="20"/>
              </w:rPr>
              <w:tab/>
            </w:r>
            <w:r>
              <w:rPr>
                <w:sz w:val="20"/>
                <w:szCs w:val="20"/>
              </w:rPr>
              <w:t>Raymond Turmel</w:t>
            </w:r>
          </w:p>
          <w:p w:rsidR="00124F91" w:rsidRDefault="00124F91" w:rsidP="005F1ED8">
            <w:pPr>
              <w:rPr>
                <w:b/>
                <w:sz w:val="20"/>
                <w:szCs w:val="20"/>
              </w:rPr>
            </w:pPr>
          </w:p>
          <w:p w:rsidR="00124F91" w:rsidRPr="00124F91" w:rsidRDefault="00124F91" w:rsidP="005F1ED8">
            <w:pPr>
              <w:rPr>
                <w:sz w:val="20"/>
                <w:szCs w:val="20"/>
              </w:rPr>
            </w:pPr>
            <w:r>
              <w:rPr>
                <w:b/>
                <w:sz w:val="20"/>
                <w:szCs w:val="20"/>
              </w:rPr>
              <w:tab/>
            </w:r>
            <w:r>
              <w:rPr>
                <w:sz w:val="20"/>
                <w:szCs w:val="20"/>
              </w:rPr>
              <w:t>v. (36927)</w:t>
            </w:r>
          </w:p>
          <w:p w:rsidR="00124F91" w:rsidRDefault="00124F91" w:rsidP="005F1ED8">
            <w:pPr>
              <w:rPr>
                <w:b/>
                <w:sz w:val="20"/>
                <w:szCs w:val="20"/>
              </w:rPr>
            </w:pPr>
          </w:p>
          <w:p w:rsidR="00124F91" w:rsidRPr="00124F91" w:rsidRDefault="00124F91" w:rsidP="005F1ED8">
            <w:pPr>
              <w:rPr>
                <w:b/>
                <w:sz w:val="20"/>
                <w:szCs w:val="20"/>
              </w:rPr>
            </w:pPr>
            <w:r>
              <w:rPr>
                <w:b/>
                <w:sz w:val="20"/>
                <w:szCs w:val="20"/>
              </w:rPr>
              <w:t>Her Majesty the Queen (F.C.)</w:t>
            </w:r>
          </w:p>
          <w:p w:rsidR="00C21644" w:rsidRPr="00A935AA" w:rsidRDefault="00C21644" w:rsidP="005F1ED8">
            <w:pPr>
              <w:tabs>
                <w:tab w:val="left" w:pos="-1440"/>
                <w:tab w:val="left" w:pos="-720"/>
              </w:tabs>
              <w:rPr>
                <w:sz w:val="20"/>
                <w:szCs w:val="20"/>
              </w:rPr>
            </w:pPr>
            <w:r w:rsidRPr="00A935AA">
              <w:rPr>
                <w:sz w:val="20"/>
                <w:szCs w:val="20"/>
              </w:rPr>
              <w:tab/>
            </w:r>
            <w:r w:rsidR="00124F91">
              <w:rPr>
                <w:sz w:val="20"/>
                <w:szCs w:val="20"/>
              </w:rPr>
              <w:t>Jonathan M. Bricker</w:t>
            </w:r>
          </w:p>
          <w:p w:rsidR="00C21644" w:rsidRPr="00A935AA" w:rsidRDefault="00C21644" w:rsidP="005F1ED8">
            <w:pPr>
              <w:tabs>
                <w:tab w:val="left" w:pos="-1440"/>
                <w:tab w:val="left" w:pos="-720"/>
              </w:tabs>
              <w:rPr>
                <w:sz w:val="20"/>
                <w:szCs w:val="20"/>
              </w:rPr>
            </w:pPr>
            <w:r w:rsidRPr="00A935AA">
              <w:rPr>
                <w:sz w:val="20"/>
                <w:szCs w:val="20"/>
              </w:rPr>
              <w:tab/>
            </w:r>
            <w:r w:rsidR="00124F91">
              <w:rPr>
                <w:sz w:val="20"/>
                <w:szCs w:val="20"/>
              </w:rPr>
              <w:t>Department of Justice</w:t>
            </w:r>
          </w:p>
          <w:p w:rsidR="00C21644" w:rsidRPr="00A935AA" w:rsidRDefault="00C21644" w:rsidP="005F1ED8">
            <w:pPr>
              <w:tabs>
                <w:tab w:val="left" w:pos="-1440"/>
                <w:tab w:val="left" w:pos="-720"/>
              </w:tabs>
              <w:rPr>
                <w:sz w:val="20"/>
                <w:szCs w:val="20"/>
              </w:rPr>
            </w:pPr>
          </w:p>
          <w:p w:rsidR="00C21644" w:rsidRPr="00A935AA" w:rsidRDefault="00124F91" w:rsidP="008A719E">
            <w:pPr>
              <w:rPr>
                <w:sz w:val="20"/>
                <w:szCs w:val="20"/>
              </w:rPr>
            </w:pPr>
            <w:r>
              <w:rPr>
                <w:sz w:val="20"/>
                <w:szCs w:val="20"/>
              </w:rPr>
              <w:t>FILING DATE: 10.03.2016</w:t>
            </w:r>
            <w:r w:rsidR="009F3029">
              <w:rPr>
                <w:sz w:val="20"/>
                <w:szCs w:val="20"/>
                <w:lang w:val="fr-CA"/>
              </w:rPr>
              <w:pict>
                <v:rect id="_x0000_i1031"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124F91" w:rsidRDefault="0071336F" w:rsidP="005F1ED8">
            <w:pPr>
              <w:rPr>
                <w:b/>
                <w:sz w:val="20"/>
                <w:szCs w:val="20"/>
              </w:rPr>
            </w:pPr>
            <w:r>
              <w:rPr>
                <w:b/>
                <w:sz w:val="20"/>
                <w:szCs w:val="20"/>
              </w:rPr>
              <w:t>Robert Roy</w:t>
            </w:r>
          </w:p>
          <w:p w:rsidR="00124F91" w:rsidRPr="0071336F" w:rsidRDefault="0071336F" w:rsidP="005F1ED8">
            <w:pPr>
              <w:rPr>
                <w:sz w:val="20"/>
                <w:szCs w:val="20"/>
              </w:rPr>
            </w:pPr>
            <w:r>
              <w:rPr>
                <w:b/>
                <w:sz w:val="20"/>
                <w:szCs w:val="20"/>
              </w:rPr>
              <w:tab/>
            </w:r>
            <w:r>
              <w:rPr>
                <w:sz w:val="20"/>
                <w:szCs w:val="20"/>
              </w:rPr>
              <w:t>Robert Roy</w:t>
            </w:r>
          </w:p>
          <w:p w:rsidR="00124F91" w:rsidRDefault="00124F91" w:rsidP="005F1ED8">
            <w:pPr>
              <w:rPr>
                <w:b/>
                <w:sz w:val="20"/>
                <w:szCs w:val="20"/>
              </w:rPr>
            </w:pPr>
          </w:p>
          <w:p w:rsidR="00124F91" w:rsidRPr="0071336F" w:rsidRDefault="0071336F" w:rsidP="005F1ED8">
            <w:pPr>
              <w:rPr>
                <w:sz w:val="20"/>
                <w:szCs w:val="20"/>
              </w:rPr>
            </w:pPr>
            <w:r>
              <w:rPr>
                <w:b/>
                <w:sz w:val="20"/>
                <w:szCs w:val="20"/>
              </w:rPr>
              <w:tab/>
            </w:r>
            <w:r>
              <w:rPr>
                <w:sz w:val="20"/>
                <w:szCs w:val="20"/>
              </w:rPr>
              <w:t>v. (36928)</w:t>
            </w:r>
          </w:p>
          <w:p w:rsidR="00124F91" w:rsidRDefault="00124F91" w:rsidP="005F1ED8">
            <w:pPr>
              <w:rPr>
                <w:b/>
                <w:sz w:val="20"/>
                <w:szCs w:val="20"/>
              </w:rPr>
            </w:pPr>
          </w:p>
          <w:p w:rsidR="0071336F" w:rsidRPr="00124F91" w:rsidRDefault="0071336F" w:rsidP="0071336F">
            <w:pPr>
              <w:rPr>
                <w:b/>
                <w:sz w:val="20"/>
                <w:szCs w:val="20"/>
              </w:rPr>
            </w:pPr>
            <w:r>
              <w:rPr>
                <w:b/>
                <w:sz w:val="20"/>
                <w:szCs w:val="20"/>
              </w:rPr>
              <w:t>Her Majesty the Queen (F.C.)</w:t>
            </w:r>
          </w:p>
          <w:p w:rsidR="0071336F" w:rsidRPr="00A935AA" w:rsidRDefault="0071336F" w:rsidP="0071336F">
            <w:pPr>
              <w:tabs>
                <w:tab w:val="left" w:pos="-1440"/>
                <w:tab w:val="left" w:pos="-720"/>
              </w:tabs>
              <w:rPr>
                <w:sz w:val="20"/>
                <w:szCs w:val="20"/>
              </w:rPr>
            </w:pPr>
            <w:r w:rsidRPr="00A935AA">
              <w:rPr>
                <w:sz w:val="20"/>
                <w:szCs w:val="20"/>
              </w:rPr>
              <w:tab/>
            </w:r>
            <w:r>
              <w:rPr>
                <w:sz w:val="20"/>
                <w:szCs w:val="20"/>
              </w:rPr>
              <w:t>Jonathan M. Bricker</w:t>
            </w:r>
          </w:p>
          <w:p w:rsidR="0071336F" w:rsidRPr="00A935AA" w:rsidRDefault="0071336F" w:rsidP="0071336F">
            <w:pPr>
              <w:tabs>
                <w:tab w:val="left" w:pos="-1440"/>
                <w:tab w:val="left" w:pos="-720"/>
              </w:tabs>
              <w:rPr>
                <w:sz w:val="20"/>
                <w:szCs w:val="20"/>
              </w:rPr>
            </w:pPr>
            <w:r w:rsidRPr="00A935AA">
              <w:rPr>
                <w:sz w:val="20"/>
                <w:szCs w:val="20"/>
              </w:rPr>
              <w:tab/>
            </w:r>
            <w:r>
              <w:rPr>
                <w:sz w:val="20"/>
                <w:szCs w:val="20"/>
              </w:rPr>
              <w:t>Department of Justice</w:t>
            </w:r>
          </w:p>
          <w:p w:rsidR="006D3C6B" w:rsidRDefault="006D3C6B" w:rsidP="005F1ED8">
            <w:pPr>
              <w:rPr>
                <w:sz w:val="20"/>
                <w:szCs w:val="20"/>
              </w:rPr>
            </w:pPr>
          </w:p>
          <w:p w:rsidR="00C21644" w:rsidRPr="00A935AA" w:rsidRDefault="0071336F" w:rsidP="008A719E">
            <w:pPr>
              <w:rPr>
                <w:sz w:val="20"/>
                <w:szCs w:val="20"/>
              </w:rPr>
            </w:pPr>
            <w:r>
              <w:rPr>
                <w:sz w:val="20"/>
                <w:szCs w:val="20"/>
              </w:rPr>
              <w:t>FILING DATE: 15.03.2016</w:t>
            </w:r>
            <w:r w:rsidR="009F3029">
              <w:rPr>
                <w:sz w:val="20"/>
                <w:szCs w:val="20"/>
                <w:lang w:val="fr-CA"/>
              </w:rPr>
              <w:pict>
                <v:rect id="_x0000_i1032" style="width:108pt;height:1pt" o:hrpct="0" o:hralign="center" o:hrstd="t" o:hrnoshade="t" o:hr="t" fillcolor="black [3213]" stroked="f"/>
              </w:pict>
            </w:r>
          </w:p>
        </w:tc>
      </w:tr>
      <w:tr w:rsidR="00C21644" w:rsidRPr="00A935AA" w:rsidTr="008A719E">
        <w:tc>
          <w:tcPr>
            <w:tcW w:w="4230" w:type="dxa"/>
            <w:shd w:val="clear" w:color="auto" w:fill="auto"/>
          </w:tcPr>
          <w:p w:rsidR="00C21644" w:rsidRPr="0071336F" w:rsidRDefault="0071336F" w:rsidP="005F1ED8">
            <w:pPr>
              <w:rPr>
                <w:b/>
                <w:sz w:val="20"/>
                <w:szCs w:val="20"/>
              </w:rPr>
            </w:pPr>
            <w:r>
              <w:rPr>
                <w:b/>
                <w:sz w:val="20"/>
                <w:szCs w:val="20"/>
              </w:rPr>
              <w:lastRenderedPageBreak/>
              <w:t>Stephen Patrick Burrows</w:t>
            </w:r>
          </w:p>
          <w:p w:rsidR="00C21644" w:rsidRPr="00A935AA" w:rsidRDefault="00C21644" w:rsidP="005F1ED8">
            <w:pPr>
              <w:tabs>
                <w:tab w:val="left" w:pos="-1440"/>
                <w:tab w:val="left" w:pos="-720"/>
              </w:tabs>
              <w:rPr>
                <w:sz w:val="20"/>
                <w:szCs w:val="20"/>
              </w:rPr>
            </w:pPr>
            <w:r w:rsidRPr="00A935AA">
              <w:rPr>
                <w:sz w:val="20"/>
                <w:szCs w:val="20"/>
              </w:rPr>
              <w:tab/>
            </w:r>
            <w:r w:rsidR="0071336F">
              <w:rPr>
                <w:sz w:val="20"/>
                <w:szCs w:val="20"/>
              </w:rPr>
              <w:t>Stephen Patrick Burrows</w:t>
            </w:r>
          </w:p>
          <w:p w:rsidR="006D3C6B" w:rsidRDefault="00C21644" w:rsidP="006D3C6B">
            <w:pPr>
              <w:tabs>
                <w:tab w:val="left" w:pos="-1440"/>
                <w:tab w:val="left" w:pos="-720"/>
              </w:tabs>
              <w:rPr>
                <w:sz w:val="20"/>
                <w:szCs w:val="20"/>
              </w:rPr>
            </w:pPr>
            <w:r w:rsidRPr="00A935AA">
              <w:rPr>
                <w:sz w:val="20"/>
                <w:szCs w:val="20"/>
              </w:rPr>
              <w:tab/>
            </w:r>
          </w:p>
          <w:p w:rsidR="0071336F" w:rsidRDefault="0071336F" w:rsidP="006D3C6B">
            <w:pPr>
              <w:tabs>
                <w:tab w:val="left" w:pos="-1440"/>
                <w:tab w:val="left" w:pos="-720"/>
              </w:tabs>
              <w:rPr>
                <w:sz w:val="20"/>
                <w:szCs w:val="20"/>
              </w:rPr>
            </w:pPr>
            <w:r>
              <w:rPr>
                <w:sz w:val="20"/>
                <w:szCs w:val="20"/>
              </w:rPr>
              <w:tab/>
              <w:t>v. (36929)</w:t>
            </w:r>
          </w:p>
          <w:p w:rsidR="0071336F" w:rsidRDefault="0071336F" w:rsidP="006D3C6B">
            <w:pPr>
              <w:tabs>
                <w:tab w:val="left" w:pos="-1440"/>
                <w:tab w:val="left" w:pos="-720"/>
              </w:tabs>
              <w:rPr>
                <w:sz w:val="20"/>
                <w:szCs w:val="20"/>
              </w:rPr>
            </w:pPr>
          </w:p>
          <w:p w:rsidR="0071336F" w:rsidRPr="00124F91" w:rsidRDefault="0071336F" w:rsidP="0071336F">
            <w:pPr>
              <w:rPr>
                <w:b/>
                <w:sz w:val="20"/>
                <w:szCs w:val="20"/>
              </w:rPr>
            </w:pPr>
            <w:r>
              <w:rPr>
                <w:b/>
                <w:sz w:val="20"/>
                <w:szCs w:val="20"/>
              </w:rPr>
              <w:t>Her Majesty the Queen (F.C.)</w:t>
            </w:r>
          </w:p>
          <w:p w:rsidR="0071336F" w:rsidRPr="00A935AA" w:rsidRDefault="0071336F" w:rsidP="0071336F">
            <w:pPr>
              <w:tabs>
                <w:tab w:val="left" w:pos="-1440"/>
                <w:tab w:val="left" w:pos="-720"/>
              </w:tabs>
              <w:rPr>
                <w:sz w:val="20"/>
                <w:szCs w:val="20"/>
              </w:rPr>
            </w:pPr>
            <w:r w:rsidRPr="00A935AA">
              <w:rPr>
                <w:sz w:val="20"/>
                <w:szCs w:val="20"/>
              </w:rPr>
              <w:tab/>
            </w:r>
            <w:r>
              <w:rPr>
                <w:sz w:val="20"/>
                <w:szCs w:val="20"/>
              </w:rPr>
              <w:t>Jonathan M. Bricker</w:t>
            </w:r>
          </w:p>
          <w:p w:rsidR="0071336F" w:rsidRPr="00A935AA" w:rsidRDefault="0071336F" w:rsidP="0071336F">
            <w:pPr>
              <w:tabs>
                <w:tab w:val="left" w:pos="-1440"/>
                <w:tab w:val="left" w:pos="-720"/>
              </w:tabs>
              <w:rPr>
                <w:sz w:val="20"/>
                <w:szCs w:val="20"/>
              </w:rPr>
            </w:pPr>
            <w:r w:rsidRPr="00A935AA">
              <w:rPr>
                <w:sz w:val="20"/>
                <w:szCs w:val="20"/>
              </w:rPr>
              <w:tab/>
            </w:r>
            <w:r>
              <w:rPr>
                <w:sz w:val="20"/>
                <w:szCs w:val="20"/>
              </w:rPr>
              <w:t>Department of Justice</w:t>
            </w:r>
          </w:p>
          <w:p w:rsidR="0071336F" w:rsidRDefault="0071336F" w:rsidP="006D3C6B">
            <w:pPr>
              <w:tabs>
                <w:tab w:val="left" w:pos="-1440"/>
                <w:tab w:val="left" w:pos="-720"/>
              </w:tabs>
              <w:rPr>
                <w:b/>
                <w:sz w:val="20"/>
                <w:szCs w:val="20"/>
              </w:rPr>
            </w:pPr>
          </w:p>
          <w:p w:rsidR="00C21644" w:rsidRPr="00A935AA" w:rsidRDefault="0071336F" w:rsidP="008A719E">
            <w:pPr>
              <w:tabs>
                <w:tab w:val="left" w:pos="-1440"/>
                <w:tab w:val="left" w:pos="-720"/>
              </w:tabs>
              <w:rPr>
                <w:sz w:val="20"/>
                <w:szCs w:val="20"/>
              </w:rPr>
            </w:pPr>
            <w:r>
              <w:rPr>
                <w:sz w:val="20"/>
                <w:szCs w:val="20"/>
              </w:rPr>
              <w:t>FILING DATE: 15.03.2016</w:t>
            </w:r>
            <w:r w:rsidR="009F3029">
              <w:rPr>
                <w:sz w:val="20"/>
                <w:szCs w:val="20"/>
                <w:lang w:val="fr-CA"/>
              </w:rPr>
              <w:pict>
                <v:rect id="_x0000_i1033"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C21644" w:rsidRDefault="00EB1797" w:rsidP="005F1ED8">
            <w:pPr>
              <w:rPr>
                <w:b/>
                <w:sz w:val="20"/>
                <w:szCs w:val="20"/>
              </w:rPr>
            </w:pPr>
            <w:r>
              <w:rPr>
                <w:b/>
                <w:sz w:val="20"/>
                <w:szCs w:val="20"/>
              </w:rPr>
              <w:t>Cheryle M. Hawkins</w:t>
            </w:r>
          </w:p>
          <w:p w:rsidR="00EB1797" w:rsidRDefault="00EB1797" w:rsidP="005F1ED8">
            <w:pPr>
              <w:rPr>
                <w:sz w:val="20"/>
                <w:szCs w:val="20"/>
              </w:rPr>
            </w:pPr>
            <w:r>
              <w:rPr>
                <w:sz w:val="20"/>
                <w:szCs w:val="20"/>
              </w:rPr>
              <w:tab/>
              <w:t>Cheryle M. Hawkins</w:t>
            </w:r>
          </w:p>
          <w:p w:rsidR="00EB1797" w:rsidRDefault="00EB1797" w:rsidP="005F1ED8">
            <w:pPr>
              <w:rPr>
                <w:sz w:val="20"/>
                <w:szCs w:val="20"/>
              </w:rPr>
            </w:pPr>
          </w:p>
          <w:p w:rsidR="00EB1797" w:rsidRDefault="00EB1797" w:rsidP="005F1ED8">
            <w:pPr>
              <w:rPr>
                <w:sz w:val="20"/>
                <w:szCs w:val="20"/>
              </w:rPr>
            </w:pPr>
            <w:r>
              <w:rPr>
                <w:sz w:val="20"/>
                <w:szCs w:val="20"/>
              </w:rPr>
              <w:tab/>
              <w:t>v. (36930)</w:t>
            </w:r>
          </w:p>
          <w:p w:rsidR="00EB1797" w:rsidRDefault="00EB1797" w:rsidP="005F1ED8">
            <w:pPr>
              <w:rPr>
                <w:sz w:val="20"/>
                <w:szCs w:val="20"/>
              </w:rPr>
            </w:pPr>
          </w:p>
          <w:p w:rsidR="00EB1797" w:rsidRPr="00124F91" w:rsidRDefault="00EB1797" w:rsidP="00EB1797">
            <w:pPr>
              <w:rPr>
                <w:b/>
                <w:sz w:val="20"/>
                <w:szCs w:val="20"/>
              </w:rPr>
            </w:pPr>
            <w:r>
              <w:rPr>
                <w:b/>
                <w:sz w:val="20"/>
                <w:szCs w:val="20"/>
              </w:rPr>
              <w:t>Her Majesty the Queen (F.C.)</w:t>
            </w:r>
          </w:p>
          <w:p w:rsidR="00EB1797" w:rsidRPr="00A935AA" w:rsidRDefault="00EB1797" w:rsidP="00EB1797">
            <w:pPr>
              <w:tabs>
                <w:tab w:val="left" w:pos="-1440"/>
                <w:tab w:val="left" w:pos="-720"/>
              </w:tabs>
              <w:rPr>
                <w:sz w:val="20"/>
                <w:szCs w:val="20"/>
              </w:rPr>
            </w:pPr>
            <w:r w:rsidRPr="00A935AA">
              <w:rPr>
                <w:sz w:val="20"/>
                <w:szCs w:val="20"/>
              </w:rPr>
              <w:tab/>
            </w:r>
            <w:r>
              <w:rPr>
                <w:sz w:val="20"/>
                <w:szCs w:val="20"/>
              </w:rPr>
              <w:t>Jonathan M. Bricker</w:t>
            </w:r>
          </w:p>
          <w:p w:rsidR="00EB1797" w:rsidRPr="00A935AA" w:rsidRDefault="00EB1797" w:rsidP="00EB1797">
            <w:pPr>
              <w:tabs>
                <w:tab w:val="left" w:pos="-1440"/>
                <w:tab w:val="left" w:pos="-720"/>
              </w:tabs>
              <w:rPr>
                <w:sz w:val="20"/>
                <w:szCs w:val="20"/>
              </w:rPr>
            </w:pPr>
            <w:r w:rsidRPr="00A935AA">
              <w:rPr>
                <w:sz w:val="20"/>
                <w:szCs w:val="20"/>
              </w:rPr>
              <w:tab/>
            </w:r>
            <w:r>
              <w:rPr>
                <w:sz w:val="20"/>
                <w:szCs w:val="20"/>
              </w:rPr>
              <w:t>Department of Justice</w:t>
            </w:r>
          </w:p>
          <w:p w:rsidR="00EB1797" w:rsidRPr="00EB1797" w:rsidRDefault="00EB1797" w:rsidP="005F1ED8">
            <w:pPr>
              <w:rPr>
                <w:b/>
                <w:sz w:val="20"/>
                <w:szCs w:val="20"/>
              </w:rPr>
            </w:pPr>
          </w:p>
          <w:p w:rsidR="00C21644" w:rsidRPr="00A935AA" w:rsidRDefault="00EB1797" w:rsidP="008A719E">
            <w:pPr>
              <w:rPr>
                <w:sz w:val="20"/>
                <w:szCs w:val="20"/>
              </w:rPr>
            </w:pPr>
            <w:r>
              <w:rPr>
                <w:sz w:val="20"/>
                <w:szCs w:val="20"/>
              </w:rPr>
              <w:t>FILING DATE: 15.03.2016</w:t>
            </w:r>
            <w:r w:rsidR="009F3029">
              <w:rPr>
                <w:sz w:val="20"/>
                <w:szCs w:val="20"/>
                <w:lang w:val="fr-CA"/>
              </w:rPr>
              <w:pict>
                <v:rect id="_x0000_i1034" style="width:108pt;height:1pt" o:hrpct="0" o:hralign="center" o:hrstd="t" o:hrnoshade="t" o:hr="t" fillcolor="black [3213]" stroked="f"/>
              </w:pict>
            </w:r>
          </w:p>
        </w:tc>
      </w:tr>
      <w:tr w:rsidR="00C21644" w:rsidRPr="00A935AA" w:rsidTr="008A719E">
        <w:tc>
          <w:tcPr>
            <w:tcW w:w="4230" w:type="dxa"/>
            <w:shd w:val="clear" w:color="auto" w:fill="auto"/>
          </w:tcPr>
          <w:p w:rsidR="00C21644" w:rsidRDefault="00135AD3" w:rsidP="005F1ED8">
            <w:pPr>
              <w:rPr>
                <w:b/>
                <w:sz w:val="20"/>
                <w:szCs w:val="20"/>
              </w:rPr>
            </w:pPr>
            <w:r>
              <w:rPr>
                <w:b/>
                <w:sz w:val="20"/>
                <w:szCs w:val="20"/>
              </w:rPr>
              <w:t>John Turmel</w:t>
            </w:r>
          </w:p>
          <w:p w:rsidR="00135AD3" w:rsidRDefault="00135AD3" w:rsidP="005F1ED8">
            <w:pPr>
              <w:rPr>
                <w:sz w:val="20"/>
                <w:szCs w:val="20"/>
              </w:rPr>
            </w:pPr>
            <w:r>
              <w:rPr>
                <w:b/>
                <w:sz w:val="20"/>
                <w:szCs w:val="20"/>
              </w:rPr>
              <w:tab/>
            </w:r>
            <w:r>
              <w:rPr>
                <w:sz w:val="20"/>
                <w:szCs w:val="20"/>
              </w:rPr>
              <w:t>John Turmel</w:t>
            </w:r>
          </w:p>
          <w:p w:rsidR="00135AD3" w:rsidRDefault="00135AD3" w:rsidP="005F1ED8">
            <w:pPr>
              <w:rPr>
                <w:sz w:val="20"/>
                <w:szCs w:val="20"/>
              </w:rPr>
            </w:pPr>
          </w:p>
          <w:p w:rsidR="00135AD3" w:rsidRDefault="00135AD3" w:rsidP="00135AD3">
            <w:pPr>
              <w:rPr>
                <w:sz w:val="20"/>
                <w:szCs w:val="20"/>
              </w:rPr>
            </w:pPr>
            <w:r>
              <w:rPr>
                <w:sz w:val="20"/>
                <w:szCs w:val="20"/>
              </w:rPr>
              <w:tab/>
              <w:t>v. (36937)</w:t>
            </w:r>
          </w:p>
          <w:p w:rsidR="00135AD3" w:rsidRDefault="00135AD3" w:rsidP="00135AD3">
            <w:pPr>
              <w:rPr>
                <w:sz w:val="20"/>
                <w:szCs w:val="20"/>
              </w:rPr>
            </w:pPr>
          </w:p>
          <w:p w:rsidR="00135AD3" w:rsidRPr="00124F91" w:rsidRDefault="00135AD3" w:rsidP="00135AD3">
            <w:pPr>
              <w:rPr>
                <w:b/>
                <w:sz w:val="20"/>
                <w:szCs w:val="20"/>
              </w:rPr>
            </w:pPr>
            <w:r>
              <w:rPr>
                <w:b/>
                <w:sz w:val="20"/>
                <w:szCs w:val="20"/>
              </w:rPr>
              <w:t>Her Majesty the Queen (F.C.)</w:t>
            </w:r>
          </w:p>
          <w:p w:rsidR="00135AD3" w:rsidRPr="00A935AA" w:rsidRDefault="00135AD3" w:rsidP="00135AD3">
            <w:pPr>
              <w:tabs>
                <w:tab w:val="left" w:pos="-1440"/>
                <w:tab w:val="left" w:pos="-720"/>
              </w:tabs>
              <w:rPr>
                <w:sz w:val="20"/>
                <w:szCs w:val="20"/>
              </w:rPr>
            </w:pPr>
            <w:r w:rsidRPr="00A935AA">
              <w:rPr>
                <w:sz w:val="20"/>
                <w:szCs w:val="20"/>
              </w:rPr>
              <w:tab/>
            </w:r>
            <w:r>
              <w:rPr>
                <w:sz w:val="20"/>
                <w:szCs w:val="20"/>
              </w:rPr>
              <w:t>Jonathan M. Bricker</w:t>
            </w:r>
          </w:p>
          <w:p w:rsidR="00135AD3" w:rsidRPr="00A935AA" w:rsidRDefault="00135AD3" w:rsidP="00135AD3">
            <w:pPr>
              <w:tabs>
                <w:tab w:val="left" w:pos="-1440"/>
                <w:tab w:val="left" w:pos="-720"/>
              </w:tabs>
              <w:rPr>
                <w:sz w:val="20"/>
                <w:szCs w:val="20"/>
              </w:rPr>
            </w:pPr>
            <w:r w:rsidRPr="00A935AA">
              <w:rPr>
                <w:sz w:val="20"/>
                <w:szCs w:val="20"/>
              </w:rPr>
              <w:tab/>
            </w:r>
            <w:r>
              <w:rPr>
                <w:sz w:val="20"/>
                <w:szCs w:val="20"/>
              </w:rPr>
              <w:t>Department of Justice</w:t>
            </w:r>
          </w:p>
          <w:p w:rsidR="00135AD3" w:rsidRPr="00135AD3" w:rsidRDefault="00135AD3" w:rsidP="00135AD3">
            <w:pPr>
              <w:rPr>
                <w:sz w:val="20"/>
                <w:szCs w:val="20"/>
              </w:rPr>
            </w:pPr>
          </w:p>
          <w:p w:rsidR="00C21644" w:rsidRPr="00A935AA" w:rsidRDefault="00135AD3" w:rsidP="008A719E">
            <w:pPr>
              <w:tabs>
                <w:tab w:val="left" w:pos="-1440"/>
                <w:tab w:val="left" w:pos="-720"/>
              </w:tabs>
              <w:rPr>
                <w:sz w:val="20"/>
                <w:szCs w:val="20"/>
              </w:rPr>
            </w:pPr>
            <w:r>
              <w:rPr>
                <w:sz w:val="20"/>
                <w:szCs w:val="20"/>
              </w:rPr>
              <w:t>FILING DATE: 15.03.2016</w:t>
            </w:r>
            <w:r w:rsidR="009F3029">
              <w:rPr>
                <w:sz w:val="20"/>
                <w:szCs w:val="20"/>
                <w:lang w:val="fr-CA"/>
              </w:rPr>
              <w:pict>
                <v:rect id="_x0000_i1035"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783CA1" w:rsidRPr="00A935AA" w:rsidRDefault="00783CA1" w:rsidP="00242AEE">
            <w:pPr>
              <w:jc w:val="center"/>
              <w:rPr>
                <w:sz w:val="20"/>
                <w:szCs w:val="20"/>
              </w:rPr>
            </w:pPr>
          </w:p>
        </w:tc>
        <w:tc>
          <w:tcPr>
            <w:tcW w:w="4421" w:type="dxa"/>
            <w:shd w:val="clear" w:color="auto" w:fill="auto"/>
          </w:tcPr>
          <w:p w:rsidR="00C21644" w:rsidRDefault="00073862" w:rsidP="005F1ED8">
            <w:pPr>
              <w:rPr>
                <w:b/>
                <w:sz w:val="20"/>
                <w:szCs w:val="20"/>
              </w:rPr>
            </w:pPr>
            <w:r>
              <w:rPr>
                <w:b/>
                <w:sz w:val="20"/>
                <w:szCs w:val="20"/>
              </w:rPr>
              <w:t>Terrance Parker</w:t>
            </w:r>
          </w:p>
          <w:p w:rsidR="00073862" w:rsidRDefault="00073862" w:rsidP="005F1ED8">
            <w:pPr>
              <w:rPr>
                <w:sz w:val="20"/>
                <w:szCs w:val="20"/>
              </w:rPr>
            </w:pPr>
            <w:r>
              <w:rPr>
                <w:sz w:val="20"/>
                <w:szCs w:val="20"/>
              </w:rPr>
              <w:tab/>
              <w:t>Terrance Parker</w:t>
            </w:r>
          </w:p>
          <w:p w:rsidR="00073862" w:rsidRDefault="00073862" w:rsidP="005F1ED8">
            <w:pPr>
              <w:rPr>
                <w:sz w:val="20"/>
                <w:szCs w:val="20"/>
              </w:rPr>
            </w:pPr>
          </w:p>
          <w:p w:rsidR="00073862" w:rsidRDefault="00073862" w:rsidP="005F1ED8">
            <w:pPr>
              <w:rPr>
                <w:sz w:val="20"/>
                <w:szCs w:val="20"/>
              </w:rPr>
            </w:pPr>
            <w:r>
              <w:rPr>
                <w:sz w:val="20"/>
                <w:szCs w:val="20"/>
              </w:rPr>
              <w:tab/>
              <w:t>v. (36938)</w:t>
            </w:r>
          </w:p>
          <w:p w:rsidR="00073862" w:rsidRDefault="00073862" w:rsidP="005F1ED8">
            <w:pPr>
              <w:rPr>
                <w:sz w:val="20"/>
                <w:szCs w:val="20"/>
              </w:rPr>
            </w:pPr>
          </w:p>
          <w:p w:rsidR="00073862" w:rsidRPr="00124F91" w:rsidRDefault="00073862" w:rsidP="00073862">
            <w:pPr>
              <w:rPr>
                <w:b/>
                <w:sz w:val="20"/>
                <w:szCs w:val="20"/>
              </w:rPr>
            </w:pPr>
            <w:r>
              <w:rPr>
                <w:b/>
                <w:sz w:val="20"/>
                <w:szCs w:val="20"/>
              </w:rPr>
              <w:t>Her Majesty the Queen (F.C.)</w:t>
            </w:r>
          </w:p>
          <w:p w:rsidR="00073862" w:rsidRPr="00A935AA" w:rsidRDefault="00073862" w:rsidP="00073862">
            <w:pPr>
              <w:tabs>
                <w:tab w:val="left" w:pos="-1440"/>
                <w:tab w:val="left" w:pos="-720"/>
              </w:tabs>
              <w:rPr>
                <w:sz w:val="20"/>
                <w:szCs w:val="20"/>
              </w:rPr>
            </w:pPr>
            <w:r w:rsidRPr="00A935AA">
              <w:rPr>
                <w:sz w:val="20"/>
                <w:szCs w:val="20"/>
              </w:rPr>
              <w:tab/>
            </w:r>
            <w:r>
              <w:rPr>
                <w:sz w:val="20"/>
                <w:szCs w:val="20"/>
              </w:rPr>
              <w:t>Jonathan M. Bricker</w:t>
            </w:r>
          </w:p>
          <w:p w:rsidR="00073862" w:rsidRPr="00A935AA" w:rsidRDefault="00073862" w:rsidP="00073862">
            <w:pPr>
              <w:tabs>
                <w:tab w:val="left" w:pos="-1440"/>
                <w:tab w:val="left" w:pos="-720"/>
              </w:tabs>
              <w:rPr>
                <w:sz w:val="20"/>
                <w:szCs w:val="20"/>
              </w:rPr>
            </w:pPr>
            <w:r w:rsidRPr="00A935AA">
              <w:rPr>
                <w:sz w:val="20"/>
                <w:szCs w:val="20"/>
              </w:rPr>
              <w:tab/>
            </w:r>
            <w:r>
              <w:rPr>
                <w:sz w:val="20"/>
                <w:szCs w:val="20"/>
              </w:rPr>
              <w:t>Department of Justice</w:t>
            </w:r>
          </w:p>
          <w:p w:rsidR="00073862" w:rsidRPr="00073862" w:rsidRDefault="00073862" w:rsidP="005F1ED8">
            <w:pPr>
              <w:rPr>
                <w:sz w:val="20"/>
                <w:szCs w:val="20"/>
              </w:rPr>
            </w:pPr>
          </w:p>
          <w:p w:rsidR="00C21644" w:rsidRPr="00A935AA" w:rsidRDefault="00073862" w:rsidP="008A719E">
            <w:pPr>
              <w:rPr>
                <w:sz w:val="20"/>
                <w:szCs w:val="20"/>
              </w:rPr>
            </w:pPr>
            <w:r>
              <w:rPr>
                <w:sz w:val="20"/>
                <w:szCs w:val="20"/>
              </w:rPr>
              <w:t>FILING DATE: 15.03.2016</w:t>
            </w:r>
            <w:r w:rsidR="009F3029">
              <w:rPr>
                <w:sz w:val="20"/>
                <w:szCs w:val="20"/>
                <w:lang w:val="fr-CA"/>
              </w:rPr>
              <w:pict>
                <v:rect id="_x0000_i1036" style="width:108pt;height:1pt" o:hrpct="0" o:hralign="center" o:hrstd="t" o:hrnoshade="t" o:hr="t" fillcolor="black [3213]" stroked="f"/>
              </w:pict>
            </w:r>
          </w:p>
        </w:tc>
      </w:tr>
      <w:tr w:rsidR="00783CA1" w:rsidRPr="00A935AA" w:rsidTr="008A719E">
        <w:tc>
          <w:tcPr>
            <w:tcW w:w="4230" w:type="dxa"/>
            <w:shd w:val="clear" w:color="auto" w:fill="auto"/>
          </w:tcPr>
          <w:p w:rsidR="00783CA1" w:rsidRDefault="00783CA1" w:rsidP="005F1ED8">
            <w:pPr>
              <w:rPr>
                <w:b/>
                <w:sz w:val="20"/>
                <w:szCs w:val="20"/>
              </w:rPr>
            </w:pPr>
            <w:r>
              <w:rPr>
                <w:b/>
                <w:sz w:val="20"/>
                <w:szCs w:val="20"/>
              </w:rPr>
              <w:t>Arthur Jackes</w:t>
            </w:r>
          </w:p>
          <w:p w:rsidR="00783CA1" w:rsidRDefault="00783CA1" w:rsidP="005F1ED8">
            <w:pPr>
              <w:rPr>
                <w:sz w:val="20"/>
                <w:szCs w:val="20"/>
              </w:rPr>
            </w:pPr>
            <w:r>
              <w:rPr>
                <w:sz w:val="20"/>
                <w:szCs w:val="20"/>
              </w:rPr>
              <w:tab/>
              <w:t>Arthur Jackes</w:t>
            </w:r>
          </w:p>
          <w:p w:rsidR="00783CA1" w:rsidRDefault="00783CA1" w:rsidP="005F1ED8">
            <w:pPr>
              <w:rPr>
                <w:sz w:val="20"/>
                <w:szCs w:val="20"/>
              </w:rPr>
            </w:pPr>
          </w:p>
          <w:p w:rsidR="00783CA1" w:rsidRDefault="00783CA1" w:rsidP="005F1ED8">
            <w:pPr>
              <w:rPr>
                <w:sz w:val="20"/>
                <w:szCs w:val="20"/>
              </w:rPr>
            </w:pPr>
            <w:r>
              <w:rPr>
                <w:sz w:val="20"/>
                <w:szCs w:val="20"/>
              </w:rPr>
              <w:tab/>
              <w:t>v. (36939)</w:t>
            </w:r>
          </w:p>
          <w:p w:rsidR="00783CA1" w:rsidRPr="00783CA1" w:rsidRDefault="00783CA1" w:rsidP="005F1ED8">
            <w:pPr>
              <w:rPr>
                <w:b/>
                <w:sz w:val="20"/>
                <w:szCs w:val="20"/>
              </w:rPr>
            </w:pPr>
          </w:p>
          <w:p w:rsidR="00783CA1" w:rsidRPr="00124F91" w:rsidRDefault="00783CA1" w:rsidP="00783CA1">
            <w:pPr>
              <w:rPr>
                <w:b/>
                <w:sz w:val="20"/>
                <w:szCs w:val="20"/>
              </w:rPr>
            </w:pPr>
            <w:r>
              <w:rPr>
                <w:b/>
                <w:sz w:val="20"/>
                <w:szCs w:val="20"/>
              </w:rPr>
              <w:t>Her Majesty the Queen (F.C.)</w:t>
            </w:r>
          </w:p>
          <w:p w:rsidR="00783CA1" w:rsidRPr="00A935AA" w:rsidRDefault="00783CA1" w:rsidP="00783CA1">
            <w:pPr>
              <w:tabs>
                <w:tab w:val="left" w:pos="-1440"/>
                <w:tab w:val="left" w:pos="-720"/>
              </w:tabs>
              <w:rPr>
                <w:sz w:val="20"/>
                <w:szCs w:val="20"/>
              </w:rPr>
            </w:pPr>
            <w:r w:rsidRPr="00A935AA">
              <w:rPr>
                <w:sz w:val="20"/>
                <w:szCs w:val="20"/>
              </w:rPr>
              <w:tab/>
            </w:r>
            <w:r>
              <w:rPr>
                <w:sz w:val="20"/>
                <w:szCs w:val="20"/>
              </w:rPr>
              <w:t>Jonathan M. Bricker</w:t>
            </w:r>
          </w:p>
          <w:p w:rsidR="00783CA1" w:rsidRPr="00A935AA" w:rsidRDefault="00783CA1" w:rsidP="00783CA1">
            <w:pPr>
              <w:tabs>
                <w:tab w:val="left" w:pos="-1440"/>
                <w:tab w:val="left" w:pos="-720"/>
              </w:tabs>
              <w:rPr>
                <w:sz w:val="20"/>
                <w:szCs w:val="20"/>
              </w:rPr>
            </w:pPr>
            <w:r w:rsidRPr="00A935AA">
              <w:rPr>
                <w:sz w:val="20"/>
                <w:szCs w:val="20"/>
              </w:rPr>
              <w:tab/>
            </w:r>
            <w:r>
              <w:rPr>
                <w:sz w:val="20"/>
                <w:szCs w:val="20"/>
              </w:rPr>
              <w:t>Department of Justice</w:t>
            </w:r>
          </w:p>
          <w:p w:rsidR="00783CA1" w:rsidRPr="00135AD3" w:rsidRDefault="00783CA1" w:rsidP="00783CA1">
            <w:pPr>
              <w:rPr>
                <w:sz w:val="20"/>
                <w:szCs w:val="20"/>
              </w:rPr>
            </w:pPr>
          </w:p>
          <w:p w:rsidR="00783CA1" w:rsidRDefault="00783CA1" w:rsidP="005F1ED8">
            <w:pPr>
              <w:rPr>
                <w:b/>
                <w:sz w:val="20"/>
                <w:szCs w:val="20"/>
              </w:rPr>
            </w:pPr>
            <w:r>
              <w:rPr>
                <w:sz w:val="20"/>
                <w:szCs w:val="20"/>
              </w:rPr>
              <w:t>FILING DATE: 15.03.2016</w:t>
            </w:r>
            <w:r w:rsidR="009F3029">
              <w:rPr>
                <w:sz w:val="20"/>
                <w:szCs w:val="20"/>
                <w:lang w:val="fr-CA"/>
              </w:rPr>
              <w:pict>
                <v:rect id="_x0000_i1037" style="width:108pt;height:1pt" o:hrpct="0" o:hralign="center" o:hrstd="t" o:hrnoshade="t" o:hr="t" fillcolor="black [3213]" stroked="f"/>
              </w:pict>
            </w:r>
          </w:p>
          <w:p w:rsidR="00783CA1" w:rsidRDefault="00783CA1" w:rsidP="005F1ED8">
            <w:pPr>
              <w:rPr>
                <w:b/>
                <w:sz w:val="20"/>
                <w:szCs w:val="20"/>
              </w:rPr>
            </w:pPr>
          </w:p>
          <w:p w:rsidR="00783CA1" w:rsidRDefault="00783CA1" w:rsidP="005F1ED8">
            <w:pPr>
              <w:rPr>
                <w:b/>
                <w:sz w:val="20"/>
                <w:szCs w:val="20"/>
              </w:rPr>
            </w:pPr>
          </w:p>
        </w:tc>
        <w:tc>
          <w:tcPr>
            <w:tcW w:w="1170" w:type="dxa"/>
            <w:shd w:val="clear" w:color="auto" w:fill="auto"/>
          </w:tcPr>
          <w:p w:rsidR="00783CA1" w:rsidRPr="00A935AA" w:rsidRDefault="00783CA1" w:rsidP="00242AEE">
            <w:pPr>
              <w:jc w:val="center"/>
              <w:rPr>
                <w:sz w:val="20"/>
                <w:szCs w:val="20"/>
              </w:rPr>
            </w:pPr>
          </w:p>
        </w:tc>
        <w:tc>
          <w:tcPr>
            <w:tcW w:w="4421" w:type="dxa"/>
            <w:shd w:val="clear" w:color="auto" w:fill="auto"/>
          </w:tcPr>
          <w:p w:rsidR="00783CA1" w:rsidRDefault="00783CA1" w:rsidP="005F1ED8">
            <w:pPr>
              <w:rPr>
                <w:b/>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10C97">
          <w:headerReference w:type="default" r:id="rId10"/>
          <w:footerReference w:type="default" r:id="rId11"/>
          <w:headerReference w:type="first" r:id="rId12"/>
          <w:footerReference w:type="first" r:id="rId13"/>
          <w:pgSz w:w="12240" w:h="15840"/>
          <w:pgMar w:top="720" w:right="965" w:bottom="1080" w:left="1656" w:header="706" w:footer="706" w:gutter="0"/>
          <w:pgNumType w:start="48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F302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A43E0" w:rsidP="00CB3520">
      <w:pPr>
        <w:widowControl w:val="0"/>
        <w:rPr>
          <w:b/>
          <w:sz w:val="20"/>
          <w:szCs w:val="20"/>
        </w:rPr>
      </w:pPr>
      <w:r>
        <w:rPr>
          <w:b/>
          <w:sz w:val="20"/>
          <w:szCs w:val="20"/>
        </w:rPr>
        <w:t>APRIL 11</w:t>
      </w:r>
      <w:r w:rsidR="00CB3520" w:rsidRPr="00C50A5C">
        <w:rPr>
          <w:b/>
          <w:sz w:val="20"/>
          <w:szCs w:val="20"/>
        </w:rPr>
        <w:t>, 201</w:t>
      </w:r>
      <w:r w:rsidR="0030050B">
        <w:rPr>
          <w:b/>
          <w:sz w:val="20"/>
          <w:szCs w:val="20"/>
        </w:rPr>
        <w:t>6</w:t>
      </w:r>
      <w:r w:rsidR="00CB3520" w:rsidRPr="00C50A5C">
        <w:rPr>
          <w:b/>
          <w:sz w:val="20"/>
          <w:szCs w:val="20"/>
        </w:rPr>
        <w:t xml:space="preserve"> / LE </w:t>
      </w:r>
      <w:r>
        <w:rPr>
          <w:b/>
          <w:sz w:val="20"/>
          <w:szCs w:val="20"/>
        </w:rPr>
        <w:t>11 AVRIL</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5B49E5">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5B49E5">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F17B8E" w:rsidP="00CB3520">
      <w:pPr>
        <w:pStyle w:val="ListParagraph"/>
        <w:widowControl w:val="0"/>
        <w:numPr>
          <w:ilvl w:val="0"/>
          <w:numId w:val="1"/>
        </w:numPr>
        <w:ind w:hanging="720"/>
        <w:jc w:val="both"/>
        <w:rPr>
          <w:sz w:val="20"/>
          <w:szCs w:val="20"/>
        </w:rPr>
      </w:pPr>
      <w:r>
        <w:rPr>
          <w:i/>
          <w:sz w:val="20"/>
          <w:szCs w:val="20"/>
        </w:rPr>
        <w:t>Derek Joseph Campeau v. Her Majesty the Queen</w:t>
      </w:r>
      <w:r>
        <w:rPr>
          <w:sz w:val="20"/>
          <w:szCs w:val="20"/>
        </w:rPr>
        <w:t xml:space="preserve"> (Alta.) (Crim.) (By Leave) (36822)</w:t>
      </w:r>
    </w:p>
    <w:p w:rsidR="00CB3520" w:rsidRPr="00C50A5C" w:rsidRDefault="00CB3520" w:rsidP="00CB3520">
      <w:pPr>
        <w:widowControl w:val="0"/>
        <w:jc w:val="both"/>
        <w:rPr>
          <w:sz w:val="20"/>
          <w:szCs w:val="20"/>
        </w:rPr>
      </w:pPr>
    </w:p>
    <w:p w:rsidR="00F17B8E" w:rsidRDefault="00F17B8E" w:rsidP="005B49E5">
      <w:pPr>
        <w:pStyle w:val="ListParagraph"/>
        <w:widowControl w:val="0"/>
        <w:numPr>
          <w:ilvl w:val="0"/>
          <w:numId w:val="1"/>
        </w:numPr>
        <w:ind w:hanging="720"/>
        <w:jc w:val="both"/>
        <w:rPr>
          <w:sz w:val="20"/>
          <w:szCs w:val="20"/>
        </w:rPr>
      </w:pPr>
      <w:r>
        <w:rPr>
          <w:i/>
          <w:sz w:val="20"/>
          <w:szCs w:val="20"/>
        </w:rPr>
        <w:t xml:space="preserve">Mirza Nammo v. Her Majesty the Queen in Right of Canada et al. </w:t>
      </w:r>
      <w:r>
        <w:rPr>
          <w:sz w:val="20"/>
          <w:szCs w:val="20"/>
        </w:rPr>
        <w:t>(Alta.) (Civil) (By Leave) (36849)</w:t>
      </w:r>
    </w:p>
    <w:p w:rsidR="00F17B8E" w:rsidRPr="00F17B8E" w:rsidRDefault="00F17B8E" w:rsidP="00F17B8E">
      <w:pPr>
        <w:pStyle w:val="ListParagraph"/>
        <w:rPr>
          <w:i/>
          <w:sz w:val="20"/>
          <w:szCs w:val="20"/>
        </w:rPr>
      </w:pPr>
    </w:p>
    <w:p w:rsidR="00CB3520" w:rsidRDefault="00F17B8E" w:rsidP="005B49E5">
      <w:pPr>
        <w:pStyle w:val="ListParagraph"/>
        <w:widowControl w:val="0"/>
        <w:numPr>
          <w:ilvl w:val="0"/>
          <w:numId w:val="1"/>
        </w:numPr>
        <w:ind w:hanging="720"/>
        <w:jc w:val="both"/>
        <w:rPr>
          <w:sz w:val="20"/>
          <w:szCs w:val="20"/>
        </w:rPr>
      </w:pPr>
      <w:r>
        <w:rPr>
          <w:i/>
          <w:sz w:val="20"/>
          <w:szCs w:val="20"/>
        </w:rPr>
        <w:t>Bruce</w:t>
      </w:r>
      <w:r w:rsidR="00CB3520" w:rsidRPr="009C5D38">
        <w:rPr>
          <w:i/>
          <w:sz w:val="20"/>
          <w:szCs w:val="20"/>
        </w:rPr>
        <w:t xml:space="preserve"> </w:t>
      </w:r>
      <w:r w:rsidRPr="00F17B8E">
        <w:rPr>
          <w:i/>
          <w:sz w:val="20"/>
          <w:szCs w:val="20"/>
        </w:rPr>
        <w:t>Brine v. Industrial Alliance Insurance and Financial Services Inc.</w:t>
      </w:r>
      <w:r>
        <w:rPr>
          <w:sz w:val="20"/>
          <w:szCs w:val="20"/>
        </w:rPr>
        <w:t xml:space="preserve"> (N.S.) (Civil) (By Leave) (36809)</w:t>
      </w:r>
    </w:p>
    <w:p w:rsidR="00F17B8E" w:rsidRPr="00F17B8E" w:rsidRDefault="00F17B8E" w:rsidP="00F17B8E">
      <w:pPr>
        <w:pStyle w:val="ListParagraph"/>
        <w:rPr>
          <w:sz w:val="20"/>
          <w:szCs w:val="20"/>
        </w:rPr>
      </w:pPr>
    </w:p>
    <w:p w:rsidR="00F17B8E" w:rsidRDefault="00F17B8E" w:rsidP="005B49E5">
      <w:pPr>
        <w:pStyle w:val="ListParagraph"/>
        <w:widowControl w:val="0"/>
        <w:numPr>
          <w:ilvl w:val="0"/>
          <w:numId w:val="1"/>
        </w:numPr>
        <w:ind w:hanging="720"/>
        <w:jc w:val="both"/>
        <w:rPr>
          <w:sz w:val="20"/>
          <w:szCs w:val="20"/>
        </w:rPr>
      </w:pPr>
      <w:r>
        <w:rPr>
          <w:i/>
          <w:sz w:val="20"/>
          <w:szCs w:val="20"/>
        </w:rPr>
        <w:t>Rachel Exeter v. Attorney General of Canada</w:t>
      </w:r>
      <w:r>
        <w:rPr>
          <w:sz w:val="20"/>
          <w:szCs w:val="20"/>
        </w:rPr>
        <w:t xml:space="preserve"> (F.C.) (Civil) (By Leave) (36858)</w:t>
      </w:r>
    </w:p>
    <w:p w:rsidR="00F17B8E" w:rsidRPr="00F17B8E" w:rsidRDefault="00F17B8E" w:rsidP="00F17B8E">
      <w:pPr>
        <w:pStyle w:val="ListParagraph"/>
        <w:rPr>
          <w:sz w:val="20"/>
          <w:szCs w:val="20"/>
        </w:rPr>
      </w:pPr>
    </w:p>
    <w:p w:rsidR="00F17B8E" w:rsidRPr="009C5D38" w:rsidRDefault="00F17B8E" w:rsidP="005B49E5">
      <w:pPr>
        <w:pStyle w:val="ListParagraph"/>
        <w:widowControl w:val="0"/>
        <w:numPr>
          <w:ilvl w:val="0"/>
          <w:numId w:val="1"/>
        </w:numPr>
        <w:ind w:hanging="720"/>
        <w:jc w:val="both"/>
        <w:rPr>
          <w:sz w:val="20"/>
          <w:szCs w:val="20"/>
        </w:rPr>
      </w:pPr>
      <w:r>
        <w:rPr>
          <w:i/>
          <w:sz w:val="20"/>
          <w:szCs w:val="20"/>
        </w:rPr>
        <w:t>ENMAX Energy Corporation v. TransAlta Generation Partnership</w:t>
      </w:r>
      <w:r>
        <w:rPr>
          <w:sz w:val="20"/>
          <w:szCs w:val="20"/>
        </w:rPr>
        <w:t xml:space="preserve"> (Alta.) (Civil) (By Leave)</w:t>
      </w:r>
      <w:r w:rsidR="00913A56">
        <w:rPr>
          <w:sz w:val="20"/>
          <w:szCs w:val="20"/>
        </w:rPr>
        <w:t xml:space="preserve"> (36846)</w:t>
      </w:r>
    </w:p>
    <w:p w:rsidR="00CB3520" w:rsidRPr="009C5D38" w:rsidRDefault="00CB3520" w:rsidP="00CB3520">
      <w:pPr>
        <w:widowControl w:val="0"/>
        <w:rPr>
          <w:sz w:val="20"/>
          <w:szCs w:val="20"/>
        </w:rPr>
      </w:pPr>
    </w:p>
    <w:p w:rsidR="00CB3520" w:rsidRPr="005B49E5" w:rsidRDefault="00CB3520" w:rsidP="00CB3520">
      <w:pPr>
        <w:widowControl w:val="0"/>
        <w:jc w:val="center"/>
        <w:rPr>
          <w:b/>
          <w:sz w:val="20"/>
          <w:szCs w:val="20"/>
        </w:rPr>
      </w:pPr>
      <w:r w:rsidRPr="005B49E5">
        <w:rPr>
          <w:b/>
          <w:sz w:val="20"/>
          <w:szCs w:val="20"/>
        </w:rPr>
        <w:t xml:space="preserve">CORAM: </w:t>
      </w:r>
      <w:r w:rsidR="00FA3373" w:rsidRPr="005B49E5">
        <w:rPr>
          <w:b/>
          <w:sz w:val="20"/>
          <w:szCs w:val="20"/>
        </w:rPr>
        <w:t>Abella</w:t>
      </w:r>
      <w:r w:rsidRPr="005B49E5">
        <w:rPr>
          <w:b/>
          <w:sz w:val="20"/>
          <w:szCs w:val="20"/>
        </w:rPr>
        <w:t xml:space="preserve">, Karakatsanis and </w:t>
      </w:r>
      <w:r w:rsidR="005B49E5" w:rsidRPr="005B49E5">
        <w:rPr>
          <w:b/>
          <w:sz w:val="20"/>
          <w:szCs w:val="20"/>
        </w:rPr>
        <w:t>Brown</w:t>
      </w:r>
      <w:r w:rsidRPr="005B49E5">
        <w:rPr>
          <w:b/>
          <w:sz w:val="20"/>
          <w:szCs w:val="20"/>
        </w:rPr>
        <w:t xml:space="preserve"> JJ.</w:t>
      </w:r>
    </w:p>
    <w:p w:rsidR="00CB3520" w:rsidRPr="00913A56" w:rsidRDefault="00CB3520" w:rsidP="00CB3520">
      <w:pPr>
        <w:widowControl w:val="0"/>
        <w:jc w:val="center"/>
        <w:rPr>
          <w:b/>
          <w:sz w:val="20"/>
          <w:szCs w:val="20"/>
          <w:lang w:val="fr-CA"/>
        </w:rPr>
      </w:pPr>
      <w:r w:rsidRPr="00913A56">
        <w:rPr>
          <w:b/>
          <w:sz w:val="20"/>
          <w:szCs w:val="20"/>
          <w:lang w:val="fr-CA"/>
        </w:rPr>
        <w:t xml:space="preserve">Les juges </w:t>
      </w:r>
      <w:r w:rsidR="00FA3373" w:rsidRPr="00913A56">
        <w:rPr>
          <w:b/>
          <w:sz w:val="20"/>
          <w:szCs w:val="20"/>
          <w:lang w:val="fr-CA"/>
        </w:rPr>
        <w:t>Abella</w:t>
      </w:r>
      <w:r w:rsidRPr="00913A56">
        <w:rPr>
          <w:b/>
          <w:sz w:val="20"/>
          <w:szCs w:val="20"/>
          <w:lang w:val="fr-CA"/>
        </w:rPr>
        <w:t xml:space="preserve">, Karakatsanis et </w:t>
      </w:r>
      <w:r w:rsidR="005B49E5" w:rsidRPr="00913A56">
        <w:rPr>
          <w:b/>
          <w:sz w:val="20"/>
          <w:szCs w:val="20"/>
          <w:lang w:val="fr-CA"/>
        </w:rPr>
        <w:t>Brown</w:t>
      </w:r>
    </w:p>
    <w:p w:rsidR="00CB3520" w:rsidRPr="00913A56" w:rsidRDefault="00CB3520" w:rsidP="00CB3520">
      <w:pPr>
        <w:widowControl w:val="0"/>
        <w:jc w:val="both"/>
        <w:rPr>
          <w:sz w:val="20"/>
          <w:szCs w:val="20"/>
          <w:lang w:val="fr-CA"/>
        </w:rPr>
      </w:pPr>
    </w:p>
    <w:p w:rsidR="00CB3520" w:rsidRPr="009542BF" w:rsidRDefault="009542BF" w:rsidP="00CB3520">
      <w:pPr>
        <w:pStyle w:val="ListParagraph"/>
        <w:widowControl w:val="0"/>
        <w:numPr>
          <w:ilvl w:val="0"/>
          <w:numId w:val="1"/>
        </w:numPr>
        <w:ind w:hanging="720"/>
        <w:jc w:val="both"/>
        <w:rPr>
          <w:sz w:val="20"/>
          <w:szCs w:val="20"/>
        </w:rPr>
      </w:pPr>
      <w:r>
        <w:rPr>
          <w:i/>
          <w:sz w:val="20"/>
          <w:szCs w:val="20"/>
        </w:rPr>
        <w:t>Jeffrey Tuck v. Her Majesty the Queen</w:t>
      </w:r>
      <w:r>
        <w:rPr>
          <w:sz w:val="20"/>
          <w:szCs w:val="20"/>
        </w:rPr>
        <w:t xml:space="preserve"> (Ont.) (Crim.) (By Leave) (36799)</w:t>
      </w:r>
    </w:p>
    <w:p w:rsidR="00CB3520" w:rsidRPr="009542BF" w:rsidRDefault="00CB3520" w:rsidP="00CB3520">
      <w:pPr>
        <w:widowControl w:val="0"/>
        <w:jc w:val="both"/>
        <w:rPr>
          <w:sz w:val="20"/>
          <w:szCs w:val="20"/>
        </w:rPr>
      </w:pPr>
    </w:p>
    <w:p w:rsidR="00CB3520" w:rsidRDefault="009542BF" w:rsidP="00F17B8E">
      <w:pPr>
        <w:pStyle w:val="ListParagraph"/>
        <w:widowControl w:val="0"/>
        <w:numPr>
          <w:ilvl w:val="0"/>
          <w:numId w:val="1"/>
        </w:numPr>
        <w:ind w:hanging="720"/>
        <w:jc w:val="both"/>
        <w:rPr>
          <w:sz w:val="20"/>
          <w:szCs w:val="20"/>
        </w:rPr>
      </w:pPr>
      <w:r>
        <w:rPr>
          <w:i/>
          <w:sz w:val="20"/>
          <w:szCs w:val="20"/>
        </w:rPr>
        <w:t xml:space="preserve">Uroy Shevon Trellis v. Her Majesty the Queen </w:t>
      </w:r>
      <w:r>
        <w:rPr>
          <w:sz w:val="20"/>
          <w:szCs w:val="20"/>
        </w:rPr>
        <w:t>(Ont.) (Crim.) (By Leave) (36827)</w:t>
      </w:r>
    </w:p>
    <w:p w:rsidR="009542BF" w:rsidRPr="009542BF" w:rsidRDefault="009542BF" w:rsidP="009542BF">
      <w:pPr>
        <w:pStyle w:val="ListParagraph"/>
        <w:rPr>
          <w:sz w:val="20"/>
          <w:szCs w:val="20"/>
        </w:rPr>
      </w:pPr>
    </w:p>
    <w:p w:rsidR="009542BF" w:rsidRDefault="009542BF" w:rsidP="00F17B8E">
      <w:pPr>
        <w:pStyle w:val="ListParagraph"/>
        <w:widowControl w:val="0"/>
        <w:numPr>
          <w:ilvl w:val="0"/>
          <w:numId w:val="1"/>
        </w:numPr>
        <w:ind w:hanging="720"/>
        <w:jc w:val="both"/>
        <w:rPr>
          <w:sz w:val="20"/>
          <w:szCs w:val="20"/>
          <w:lang w:val="fr-CA"/>
        </w:rPr>
      </w:pPr>
      <w:r w:rsidRPr="009542BF">
        <w:rPr>
          <w:i/>
          <w:sz w:val="20"/>
          <w:szCs w:val="20"/>
          <w:lang w:val="fr-CA"/>
        </w:rPr>
        <w:t xml:space="preserve">Marie-Ève Ethier c. Compagnie de </w:t>
      </w:r>
      <w:r>
        <w:rPr>
          <w:i/>
          <w:sz w:val="20"/>
          <w:szCs w:val="20"/>
          <w:lang w:val="fr-CA"/>
        </w:rPr>
        <w:t>c</w:t>
      </w:r>
      <w:r w:rsidRPr="009542BF">
        <w:rPr>
          <w:i/>
          <w:sz w:val="20"/>
          <w:szCs w:val="20"/>
          <w:lang w:val="fr-CA"/>
        </w:rPr>
        <w:t>hemins de fer</w:t>
      </w:r>
      <w:r>
        <w:rPr>
          <w:i/>
          <w:sz w:val="20"/>
          <w:szCs w:val="20"/>
          <w:lang w:val="fr-CA"/>
        </w:rPr>
        <w:t xml:space="preserve"> nationaux</w:t>
      </w:r>
      <w:r w:rsidR="00913A56">
        <w:rPr>
          <w:i/>
          <w:sz w:val="20"/>
          <w:szCs w:val="20"/>
          <w:lang w:val="fr-CA"/>
        </w:rPr>
        <w:t xml:space="preserve"> du Canada</w:t>
      </w:r>
      <w:r>
        <w:rPr>
          <w:i/>
          <w:sz w:val="20"/>
          <w:szCs w:val="20"/>
          <w:lang w:val="fr-CA"/>
        </w:rPr>
        <w:t xml:space="preserve"> et autres</w:t>
      </w:r>
      <w:r>
        <w:rPr>
          <w:sz w:val="20"/>
          <w:szCs w:val="20"/>
          <w:lang w:val="fr-CA"/>
        </w:rPr>
        <w:t xml:space="preserve"> (Qc) (Civile) (Autorisation) (36831)</w:t>
      </w:r>
    </w:p>
    <w:p w:rsidR="009542BF" w:rsidRPr="009542BF" w:rsidRDefault="009542BF" w:rsidP="009542BF">
      <w:pPr>
        <w:pStyle w:val="ListParagraph"/>
        <w:rPr>
          <w:sz w:val="20"/>
          <w:szCs w:val="20"/>
          <w:lang w:val="fr-CA"/>
        </w:rPr>
      </w:pPr>
    </w:p>
    <w:p w:rsidR="009542BF" w:rsidRDefault="009542BF" w:rsidP="00F17B8E">
      <w:pPr>
        <w:pStyle w:val="ListParagraph"/>
        <w:widowControl w:val="0"/>
        <w:numPr>
          <w:ilvl w:val="0"/>
          <w:numId w:val="1"/>
        </w:numPr>
        <w:ind w:hanging="720"/>
        <w:jc w:val="both"/>
        <w:rPr>
          <w:sz w:val="20"/>
          <w:szCs w:val="20"/>
          <w:lang w:val="fr-CA"/>
        </w:rPr>
      </w:pPr>
      <w:r>
        <w:rPr>
          <w:i/>
          <w:sz w:val="20"/>
          <w:szCs w:val="20"/>
          <w:lang w:val="fr-CA"/>
        </w:rPr>
        <w:t xml:space="preserve">Sarto Landry c. Pierre-Gabriel Guimont, ès qualités de syndic adjoint du Barreau du Québec </w:t>
      </w:r>
      <w:r>
        <w:rPr>
          <w:sz w:val="20"/>
          <w:szCs w:val="20"/>
          <w:lang w:val="fr-CA"/>
        </w:rPr>
        <w:t>(Qc) (Civile) (Autorisation)</w:t>
      </w:r>
      <w:r w:rsidR="00913A56">
        <w:rPr>
          <w:sz w:val="20"/>
          <w:szCs w:val="20"/>
          <w:lang w:val="fr-CA"/>
        </w:rPr>
        <w:t xml:space="preserve"> (36842)</w:t>
      </w:r>
    </w:p>
    <w:p w:rsidR="009542BF" w:rsidRPr="009542BF" w:rsidRDefault="009542BF" w:rsidP="009542BF">
      <w:pPr>
        <w:pStyle w:val="ListParagraph"/>
        <w:rPr>
          <w:sz w:val="20"/>
          <w:szCs w:val="20"/>
          <w:lang w:val="fr-CA"/>
        </w:rPr>
      </w:pPr>
    </w:p>
    <w:p w:rsidR="009542BF" w:rsidRPr="009542BF" w:rsidRDefault="009542BF" w:rsidP="00F17B8E">
      <w:pPr>
        <w:pStyle w:val="ListParagraph"/>
        <w:widowControl w:val="0"/>
        <w:numPr>
          <w:ilvl w:val="0"/>
          <w:numId w:val="1"/>
        </w:numPr>
        <w:ind w:hanging="720"/>
        <w:jc w:val="both"/>
        <w:rPr>
          <w:sz w:val="20"/>
          <w:szCs w:val="20"/>
        </w:rPr>
      </w:pPr>
      <w:r w:rsidRPr="009542BF">
        <w:rPr>
          <w:i/>
          <w:sz w:val="20"/>
          <w:szCs w:val="20"/>
        </w:rPr>
        <w:t xml:space="preserve">Tricy Chun Ying Li v. </w:t>
      </w:r>
      <w:r>
        <w:rPr>
          <w:i/>
          <w:sz w:val="20"/>
          <w:szCs w:val="20"/>
        </w:rPr>
        <w:t>MacNutt &amp; Dumont et al.</w:t>
      </w:r>
      <w:r>
        <w:rPr>
          <w:sz w:val="20"/>
          <w:szCs w:val="20"/>
        </w:rPr>
        <w:t xml:space="preserve"> (N.S.) (Civil) (By Leave) (36826)</w:t>
      </w:r>
    </w:p>
    <w:p w:rsidR="00CB3520" w:rsidRPr="009542BF"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Cromwell</w:t>
      </w:r>
      <w:r w:rsidR="00F17B8E">
        <w:rPr>
          <w:b/>
          <w:sz w:val="20"/>
          <w:szCs w:val="20"/>
        </w:rPr>
        <w:t>, Wagner</w:t>
      </w:r>
      <w:r w:rsidR="00FA3373">
        <w:rPr>
          <w:b/>
          <w:sz w:val="20"/>
          <w:szCs w:val="20"/>
        </w:rPr>
        <w:t xml:space="preserve"> </w:t>
      </w:r>
      <w:r w:rsidRPr="00C50A5C">
        <w:rPr>
          <w:b/>
          <w:sz w:val="20"/>
          <w:szCs w:val="20"/>
        </w:rPr>
        <w:t xml:space="preserve">and </w:t>
      </w:r>
      <w:r w:rsidR="00F17B8E">
        <w:rPr>
          <w:b/>
          <w:sz w:val="20"/>
          <w:szCs w:val="20"/>
        </w:rPr>
        <w:t>Côté</w:t>
      </w:r>
      <w:r w:rsidRPr="00C50A5C">
        <w:rPr>
          <w:b/>
          <w:sz w:val="20"/>
          <w:szCs w:val="20"/>
        </w:rPr>
        <w:t xml:space="preserve"> JJ.</w:t>
      </w:r>
    </w:p>
    <w:p w:rsidR="00CB3520" w:rsidRPr="00913A56" w:rsidRDefault="00CB3520" w:rsidP="00CB3520">
      <w:pPr>
        <w:widowControl w:val="0"/>
        <w:jc w:val="center"/>
        <w:rPr>
          <w:b/>
          <w:sz w:val="20"/>
          <w:szCs w:val="20"/>
          <w:lang w:val="fr-CA"/>
        </w:rPr>
      </w:pPr>
      <w:r w:rsidRPr="00913A56">
        <w:rPr>
          <w:b/>
          <w:sz w:val="20"/>
          <w:szCs w:val="20"/>
          <w:lang w:val="fr-CA"/>
        </w:rPr>
        <w:t xml:space="preserve">Les juges </w:t>
      </w:r>
      <w:r w:rsidR="00FA3373" w:rsidRPr="00913A56">
        <w:rPr>
          <w:b/>
          <w:sz w:val="20"/>
          <w:szCs w:val="20"/>
          <w:lang w:val="fr-CA"/>
        </w:rPr>
        <w:t>Cromwell</w:t>
      </w:r>
      <w:r w:rsidR="00F17B8E" w:rsidRPr="00913A56">
        <w:rPr>
          <w:b/>
          <w:sz w:val="20"/>
          <w:szCs w:val="20"/>
          <w:lang w:val="fr-CA"/>
        </w:rPr>
        <w:t>, Wagner</w:t>
      </w:r>
      <w:r w:rsidR="00FA3373" w:rsidRPr="00913A56">
        <w:rPr>
          <w:b/>
          <w:sz w:val="20"/>
          <w:szCs w:val="20"/>
          <w:lang w:val="fr-CA"/>
        </w:rPr>
        <w:t xml:space="preserve"> </w:t>
      </w:r>
      <w:r w:rsidRPr="00913A56">
        <w:rPr>
          <w:b/>
          <w:sz w:val="20"/>
          <w:szCs w:val="20"/>
          <w:lang w:val="fr-CA"/>
        </w:rPr>
        <w:t xml:space="preserve">et </w:t>
      </w:r>
      <w:r w:rsidR="00F17B8E" w:rsidRPr="00913A56">
        <w:rPr>
          <w:b/>
          <w:sz w:val="20"/>
          <w:szCs w:val="20"/>
          <w:lang w:val="fr-CA"/>
        </w:rPr>
        <w:t>Côté</w:t>
      </w:r>
    </w:p>
    <w:p w:rsidR="00CB3520" w:rsidRPr="00913A56" w:rsidRDefault="00CB3520" w:rsidP="00CB3520">
      <w:pPr>
        <w:widowControl w:val="0"/>
        <w:jc w:val="both"/>
        <w:rPr>
          <w:sz w:val="20"/>
          <w:szCs w:val="20"/>
          <w:lang w:val="fr-CA"/>
        </w:rPr>
      </w:pPr>
    </w:p>
    <w:p w:rsidR="00CB3520" w:rsidRPr="00115C9E" w:rsidRDefault="009542BF" w:rsidP="00CB3520">
      <w:pPr>
        <w:pStyle w:val="ListParagraph"/>
        <w:widowControl w:val="0"/>
        <w:numPr>
          <w:ilvl w:val="0"/>
          <w:numId w:val="1"/>
        </w:numPr>
        <w:ind w:hanging="720"/>
        <w:jc w:val="both"/>
        <w:rPr>
          <w:sz w:val="20"/>
          <w:szCs w:val="20"/>
        </w:rPr>
      </w:pPr>
      <w:r>
        <w:rPr>
          <w:i/>
          <w:sz w:val="20"/>
          <w:szCs w:val="20"/>
        </w:rPr>
        <w:t xml:space="preserve">Ryan Sean Milliken v. Her Majesty the Queen </w:t>
      </w:r>
      <w:r>
        <w:rPr>
          <w:sz w:val="20"/>
          <w:szCs w:val="20"/>
        </w:rPr>
        <w:t>(Ont.) (Crim.) (By Leave) (36845)</w:t>
      </w:r>
    </w:p>
    <w:p w:rsidR="00CB3520" w:rsidRPr="00115C9E" w:rsidRDefault="00CB3520" w:rsidP="00CB3520">
      <w:pPr>
        <w:widowControl w:val="0"/>
        <w:jc w:val="both"/>
        <w:rPr>
          <w:sz w:val="20"/>
          <w:szCs w:val="20"/>
        </w:rPr>
      </w:pPr>
    </w:p>
    <w:p w:rsidR="002E2327" w:rsidRDefault="009542BF" w:rsidP="00F17B8E">
      <w:pPr>
        <w:pStyle w:val="ListParagraph"/>
        <w:widowControl w:val="0"/>
        <w:numPr>
          <w:ilvl w:val="0"/>
          <w:numId w:val="1"/>
        </w:numPr>
        <w:ind w:hanging="720"/>
        <w:jc w:val="both"/>
        <w:rPr>
          <w:sz w:val="20"/>
          <w:szCs w:val="20"/>
          <w:lang w:val="fr-CA"/>
        </w:rPr>
      </w:pPr>
      <w:r w:rsidRPr="009542BF">
        <w:rPr>
          <w:i/>
          <w:sz w:val="20"/>
          <w:szCs w:val="20"/>
          <w:lang w:val="fr-CA"/>
        </w:rPr>
        <w:t xml:space="preserve">Alexandre Turcotte et autres c. </w:t>
      </w:r>
      <w:r>
        <w:rPr>
          <w:i/>
          <w:sz w:val="20"/>
          <w:szCs w:val="20"/>
          <w:lang w:val="fr-CA"/>
        </w:rPr>
        <w:t>Pierre-Luc Dufour et autres</w:t>
      </w:r>
      <w:r>
        <w:rPr>
          <w:sz w:val="20"/>
          <w:szCs w:val="20"/>
          <w:lang w:val="fr-CA"/>
        </w:rPr>
        <w:t xml:space="preserve"> (Qc) (Civile) (Autorisation) (36802)</w:t>
      </w:r>
    </w:p>
    <w:p w:rsidR="009542BF" w:rsidRPr="009542BF" w:rsidRDefault="009542BF" w:rsidP="009542BF">
      <w:pPr>
        <w:pStyle w:val="ListParagraph"/>
        <w:rPr>
          <w:sz w:val="20"/>
          <w:szCs w:val="20"/>
          <w:lang w:val="fr-CA"/>
        </w:rPr>
      </w:pPr>
    </w:p>
    <w:p w:rsidR="009542BF" w:rsidRDefault="009542BF" w:rsidP="00F17B8E">
      <w:pPr>
        <w:pStyle w:val="ListParagraph"/>
        <w:widowControl w:val="0"/>
        <w:numPr>
          <w:ilvl w:val="0"/>
          <w:numId w:val="1"/>
        </w:numPr>
        <w:ind w:hanging="720"/>
        <w:jc w:val="both"/>
        <w:rPr>
          <w:sz w:val="20"/>
          <w:szCs w:val="20"/>
          <w:lang w:val="fr-CA"/>
        </w:rPr>
      </w:pPr>
      <w:r>
        <w:rPr>
          <w:i/>
          <w:sz w:val="20"/>
          <w:szCs w:val="20"/>
          <w:lang w:val="fr-CA"/>
        </w:rPr>
        <w:t>Michael Mikhail et al. v. Oxford Dodge Chrysler Jeep (1992) Ltd. et al.</w:t>
      </w:r>
      <w:r>
        <w:rPr>
          <w:sz w:val="20"/>
          <w:szCs w:val="20"/>
          <w:lang w:val="fr-CA"/>
        </w:rPr>
        <w:t xml:space="preserve"> (Ont.) (Civil) (By Leave) (36835)</w:t>
      </w:r>
    </w:p>
    <w:p w:rsidR="009542BF" w:rsidRPr="009542BF" w:rsidRDefault="009542BF" w:rsidP="009542BF">
      <w:pPr>
        <w:pStyle w:val="ListParagraph"/>
        <w:rPr>
          <w:sz w:val="20"/>
          <w:szCs w:val="20"/>
          <w:lang w:val="fr-CA"/>
        </w:rPr>
      </w:pPr>
    </w:p>
    <w:p w:rsidR="009542BF" w:rsidRDefault="009542BF" w:rsidP="00F17B8E">
      <w:pPr>
        <w:pStyle w:val="ListParagraph"/>
        <w:widowControl w:val="0"/>
        <w:numPr>
          <w:ilvl w:val="0"/>
          <w:numId w:val="1"/>
        </w:numPr>
        <w:ind w:hanging="720"/>
        <w:jc w:val="both"/>
        <w:rPr>
          <w:sz w:val="20"/>
          <w:szCs w:val="20"/>
        </w:rPr>
      </w:pPr>
      <w:r w:rsidRPr="009542BF">
        <w:rPr>
          <w:i/>
          <w:sz w:val="20"/>
          <w:szCs w:val="20"/>
        </w:rPr>
        <w:t>Chicago Title Insurance Company of Canada v. Paul MacDonald et al.</w:t>
      </w:r>
      <w:r>
        <w:rPr>
          <w:sz w:val="20"/>
          <w:szCs w:val="20"/>
        </w:rPr>
        <w:t xml:space="preserve"> (Ont.) (Civil) (By Leave) (36830)</w:t>
      </w:r>
    </w:p>
    <w:p w:rsidR="009542BF" w:rsidRPr="009542BF" w:rsidRDefault="009542BF" w:rsidP="009542BF">
      <w:pPr>
        <w:pStyle w:val="ListParagraph"/>
        <w:rPr>
          <w:sz w:val="20"/>
          <w:szCs w:val="20"/>
        </w:rPr>
      </w:pPr>
    </w:p>
    <w:p w:rsidR="00053B41" w:rsidRDefault="009542BF" w:rsidP="000245FA">
      <w:pPr>
        <w:pStyle w:val="ListParagraph"/>
        <w:widowControl w:val="0"/>
        <w:numPr>
          <w:ilvl w:val="0"/>
          <w:numId w:val="1"/>
        </w:numPr>
        <w:ind w:hanging="720"/>
        <w:jc w:val="both"/>
        <w:rPr>
          <w:sz w:val="20"/>
          <w:szCs w:val="20"/>
          <w:lang w:val="fr-CA"/>
        </w:rPr>
      </w:pPr>
      <w:r w:rsidRPr="008A719E">
        <w:rPr>
          <w:i/>
          <w:sz w:val="20"/>
          <w:szCs w:val="20"/>
          <w:lang w:val="fr-CA"/>
        </w:rPr>
        <w:t xml:space="preserve">Comité </w:t>
      </w:r>
      <w:r w:rsidR="00913A56" w:rsidRPr="008A719E">
        <w:rPr>
          <w:i/>
          <w:sz w:val="20"/>
          <w:szCs w:val="20"/>
          <w:lang w:val="fr-CA"/>
        </w:rPr>
        <w:t>p</w:t>
      </w:r>
      <w:r w:rsidRPr="008A719E">
        <w:rPr>
          <w:i/>
          <w:sz w:val="20"/>
          <w:szCs w:val="20"/>
          <w:lang w:val="fr-CA"/>
        </w:rPr>
        <w:t>aritaire de l’industrie des services automobiles de la region de Montréal (CPA Montréal) c. Société d’assurance générale Northbridge (anciennement connue sous le nom de Lombard General Insurance Company of Canada)</w:t>
      </w:r>
      <w:r w:rsidRPr="008A719E">
        <w:rPr>
          <w:sz w:val="20"/>
          <w:szCs w:val="20"/>
          <w:lang w:val="fr-CA"/>
        </w:rPr>
        <w:t xml:space="preserve"> (Qc) (Civile) (Autorisation) (36838)</w:t>
      </w:r>
    </w:p>
    <w:p w:rsidR="00053B41" w:rsidRPr="00414618" w:rsidRDefault="00053B41" w:rsidP="00053B41">
      <w:pPr>
        <w:pStyle w:val="ListParagraph"/>
        <w:rPr>
          <w:sz w:val="20"/>
          <w:szCs w:val="20"/>
          <w:lang w:val="fr-CA"/>
        </w:rPr>
      </w:pPr>
    </w:p>
    <w:p w:rsidR="002E2327" w:rsidRPr="008A719E" w:rsidRDefault="009F3029" w:rsidP="00053B41">
      <w:pPr>
        <w:pStyle w:val="ListParagraph"/>
        <w:widowControl w:val="0"/>
        <w:jc w:val="both"/>
        <w:rPr>
          <w:sz w:val="20"/>
          <w:szCs w:val="20"/>
          <w:lang w:val="fr-CA"/>
        </w:rPr>
      </w:pPr>
      <w:r>
        <w:rPr>
          <w:sz w:val="20"/>
          <w:szCs w:val="20"/>
        </w:rPr>
        <w:pict>
          <v:rect id="_x0000_i1040" style="width:2in;height:1pt" o:hrpct="0" o:hralign="center" o:hrstd="t" o:hrnoshade="t" o:hr="t" fillcolor="black [3213]" stroked="f"/>
        </w:pict>
      </w:r>
    </w:p>
    <w:p w:rsidR="00D94028" w:rsidRPr="009542BF" w:rsidRDefault="00D94028" w:rsidP="002E2327">
      <w:pPr>
        <w:widowControl w:val="0"/>
        <w:rPr>
          <w:sz w:val="20"/>
          <w:szCs w:val="20"/>
          <w:lang w:val="fr-CA"/>
        </w:rPr>
      </w:pPr>
    </w:p>
    <w:p w:rsidR="00D94028" w:rsidRPr="009542BF" w:rsidRDefault="00D94028" w:rsidP="002E2327">
      <w:pPr>
        <w:widowControl w:val="0"/>
        <w:rPr>
          <w:sz w:val="20"/>
          <w:szCs w:val="20"/>
          <w:lang w:val="fr-CA"/>
        </w:rPr>
      </w:pPr>
    </w:p>
    <w:p w:rsidR="00D94028" w:rsidRPr="009542BF" w:rsidRDefault="00D94028" w:rsidP="002E2327">
      <w:pPr>
        <w:widowControl w:val="0"/>
        <w:rPr>
          <w:sz w:val="20"/>
          <w:szCs w:val="20"/>
          <w:lang w:val="fr-CA"/>
        </w:rPr>
      </w:pPr>
    </w:p>
    <w:p w:rsidR="0044776A" w:rsidRPr="009542BF" w:rsidRDefault="0044776A" w:rsidP="002E2327">
      <w:pPr>
        <w:widowControl w:val="0"/>
        <w:spacing w:line="0" w:lineRule="atLeast"/>
        <w:rPr>
          <w:sz w:val="20"/>
          <w:szCs w:val="20"/>
          <w:lang w:val="fr-CA"/>
        </w:rPr>
        <w:sectPr w:rsidR="0044776A" w:rsidRPr="009542BF" w:rsidSect="008A719E">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F3029" w:rsidTr="00ED7E83">
        <w:tc>
          <w:tcPr>
            <w:tcW w:w="4200" w:type="dxa"/>
            <w:tcMar>
              <w:left w:w="0" w:type="dxa"/>
              <w:right w:w="0" w:type="dxa"/>
            </w:tcMar>
          </w:tcPr>
          <w:p w:rsidR="008D292F" w:rsidRPr="00913A56" w:rsidRDefault="008D292F" w:rsidP="00ED7E83">
            <w:pPr>
              <w:keepNext/>
              <w:keepLines/>
              <w:jc w:val="both"/>
              <w:rPr>
                <w:b/>
                <w:szCs w:val="24"/>
              </w:rPr>
            </w:pPr>
            <w:bookmarkStart w:id="0" w:name="QuickMark_1"/>
            <w:bookmarkEnd w:id="0"/>
            <w:r w:rsidRPr="00913A56">
              <w:rPr>
                <w:b/>
                <w:szCs w:val="24"/>
              </w:rPr>
              <w:t>JUDGMENTS ON APPLICATIONS</w:t>
            </w:r>
          </w:p>
          <w:p w:rsidR="008D292F" w:rsidRPr="00913A56" w:rsidRDefault="008D292F" w:rsidP="00ED7E83">
            <w:pPr>
              <w:keepNext/>
              <w:keepLines/>
              <w:jc w:val="both"/>
              <w:rPr>
                <w:b/>
                <w:szCs w:val="24"/>
              </w:rPr>
            </w:pPr>
            <w:r w:rsidRPr="00913A56">
              <w:rPr>
                <w:b/>
                <w:szCs w:val="24"/>
              </w:rPr>
              <w:t>FOR LEAVE</w:t>
            </w:r>
          </w:p>
        </w:tc>
        <w:tc>
          <w:tcPr>
            <w:tcW w:w="1200" w:type="dxa"/>
            <w:tcMar>
              <w:left w:w="0" w:type="dxa"/>
              <w:right w:w="0" w:type="dxa"/>
            </w:tcMar>
          </w:tcPr>
          <w:p w:rsidR="008D292F" w:rsidRPr="00913A56" w:rsidRDefault="008D292F" w:rsidP="008D292F">
            <w:pPr>
              <w:keepNext/>
              <w:keepLines/>
              <w:jc w:val="center"/>
              <w:rPr>
                <w:b/>
                <w:szCs w:val="24"/>
              </w:rPr>
            </w:pPr>
          </w:p>
          <w:p w:rsidR="008D292F" w:rsidRPr="00913A56" w:rsidRDefault="008D292F" w:rsidP="008D292F">
            <w:pPr>
              <w:keepNext/>
              <w:keepLines/>
              <w:jc w:val="center"/>
              <w:rPr>
                <w:b/>
                <w:szCs w:val="24"/>
              </w:rPr>
            </w:pPr>
          </w:p>
          <w:p w:rsidR="008D292F" w:rsidRPr="00913A56"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982C2B" w:rsidRDefault="006D32E7" w:rsidP="000E2959">
      <w:pPr>
        <w:rPr>
          <w:rFonts w:cs="Times New Roman"/>
          <w:b/>
          <w:sz w:val="20"/>
          <w:szCs w:val="20"/>
        </w:rPr>
      </w:pPr>
      <w:r w:rsidRPr="009542BF">
        <w:rPr>
          <w:rFonts w:cs="Times New Roman"/>
          <w:b/>
          <w:sz w:val="20"/>
          <w:szCs w:val="20"/>
          <w:lang w:val="fr-CA"/>
        </w:rPr>
        <w:t>AP</w:t>
      </w:r>
      <w:r w:rsidRPr="00982C2B">
        <w:rPr>
          <w:rFonts w:cs="Times New Roman"/>
          <w:b/>
          <w:sz w:val="20"/>
          <w:szCs w:val="20"/>
        </w:rPr>
        <w:t>RIL 14, 2016</w:t>
      </w:r>
      <w:r w:rsidR="000E2959" w:rsidRPr="00982C2B">
        <w:rPr>
          <w:rFonts w:cs="Times New Roman"/>
          <w:b/>
          <w:sz w:val="20"/>
          <w:szCs w:val="20"/>
        </w:rPr>
        <w:t xml:space="preserve"> / LE </w:t>
      </w:r>
      <w:r w:rsidRPr="00982C2B">
        <w:rPr>
          <w:rFonts w:cs="Times New Roman"/>
          <w:b/>
          <w:sz w:val="20"/>
          <w:szCs w:val="20"/>
        </w:rPr>
        <w:t>14 AVRIL</w:t>
      </w:r>
      <w:r w:rsidR="000E2959" w:rsidRPr="00982C2B">
        <w:rPr>
          <w:rFonts w:cs="Times New Roman"/>
          <w:b/>
          <w:sz w:val="20"/>
          <w:szCs w:val="20"/>
        </w:rPr>
        <w:t xml:space="preserve"> </w:t>
      </w:r>
      <w:r w:rsidR="0030050B" w:rsidRPr="00982C2B">
        <w:rPr>
          <w:rFonts w:cs="Times New Roman"/>
          <w:b/>
          <w:sz w:val="20"/>
          <w:szCs w:val="20"/>
        </w:rPr>
        <w:t>2016</w:t>
      </w:r>
    </w:p>
    <w:p w:rsidR="000E2959" w:rsidRPr="00982C2B" w:rsidRDefault="000E2959"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0E2959" w:rsidRPr="00982C2B" w:rsidTr="00843538">
        <w:trPr>
          <w:cantSplit/>
        </w:trPr>
        <w:tc>
          <w:tcPr>
            <w:tcW w:w="1458" w:type="dxa"/>
          </w:tcPr>
          <w:p w:rsidR="000E2959" w:rsidRPr="00982C2B" w:rsidRDefault="00284E4B" w:rsidP="0004528B">
            <w:pPr>
              <w:rPr>
                <w:rFonts w:cs="Times New Roman"/>
                <w:sz w:val="20"/>
                <w:szCs w:val="20"/>
              </w:rPr>
            </w:pPr>
            <w:r w:rsidRPr="00982C2B">
              <w:rPr>
                <w:rStyle w:val="SCCFileNumberChar"/>
                <w:sz w:val="20"/>
                <w:szCs w:val="20"/>
              </w:rPr>
              <w:t>36597</w:t>
            </w:r>
          </w:p>
          <w:p w:rsidR="000E2959" w:rsidRPr="00982C2B" w:rsidRDefault="000E2959" w:rsidP="0004528B">
            <w:pPr>
              <w:rPr>
                <w:rFonts w:cs="Times New Roman"/>
                <w:b/>
                <w:sz w:val="20"/>
                <w:szCs w:val="20"/>
              </w:rPr>
            </w:pPr>
          </w:p>
        </w:tc>
        <w:tc>
          <w:tcPr>
            <w:tcW w:w="8118" w:type="dxa"/>
            <w:gridSpan w:val="3"/>
          </w:tcPr>
          <w:p w:rsidR="000E2959" w:rsidRPr="00982C2B" w:rsidRDefault="006D32E7" w:rsidP="0004528B">
            <w:pPr>
              <w:rPr>
                <w:rFonts w:cs="Times New Roman"/>
                <w:sz w:val="20"/>
                <w:szCs w:val="20"/>
              </w:rPr>
            </w:pPr>
            <w:r w:rsidRPr="00982C2B">
              <w:rPr>
                <w:rStyle w:val="SCCLsocChar"/>
                <w:rFonts w:cs="Times New Roman"/>
                <w:sz w:val="20"/>
                <w:szCs w:val="20"/>
                <w:lang w:val="en-CA"/>
              </w:rPr>
              <w:t>Her Majesty the Queen v. Isidro Andrade</w:t>
            </w:r>
            <w:r w:rsidR="000E2959" w:rsidRPr="00982C2B">
              <w:rPr>
                <w:rFonts w:cs="Times New Roman"/>
                <w:sz w:val="20"/>
                <w:szCs w:val="20"/>
              </w:rPr>
              <w:t xml:space="preserve"> (Ont.) (C</w:t>
            </w:r>
            <w:r w:rsidRPr="00982C2B">
              <w:rPr>
                <w:rFonts w:cs="Times New Roman"/>
                <w:sz w:val="20"/>
                <w:szCs w:val="20"/>
              </w:rPr>
              <w:t>rim.</w:t>
            </w:r>
            <w:r w:rsidR="000E2959" w:rsidRPr="00982C2B">
              <w:rPr>
                <w:rFonts w:cs="Times New Roman"/>
                <w:sz w:val="20"/>
                <w:szCs w:val="20"/>
              </w:rPr>
              <w:t>) (By Leave)</w:t>
            </w:r>
          </w:p>
          <w:p w:rsidR="000E2959" w:rsidRPr="00982C2B" w:rsidRDefault="000E2959" w:rsidP="0004528B">
            <w:pPr>
              <w:rPr>
                <w:rFonts w:cs="Times New Roman"/>
                <w:sz w:val="20"/>
                <w:szCs w:val="20"/>
              </w:rPr>
            </w:pPr>
          </w:p>
        </w:tc>
      </w:tr>
      <w:tr w:rsidR="000E2959" w:rsidRPr="00982C2B" w:rsidTr="00843538">
        <w:trPr>
          <w:cantSplit/>
        </w:trPr>
        <w:tc>
          <w:tcPr>
            <w:tcW w:w="1458" w:type="dxa"/>
          </w:tcPr>
          <w:p w:rsidR="000E2959" w:rsidRPr="00982C2B" w:rsidRDefault="000E2959" w:rsidP="0004528B">
            <w:pPr>
              <w:rPr>
                <w:rFonts w:cs="Times New Roman"/>
                <w:sz w:val="20"/>
                <w:szCs w:val="20"/>
              </w:rPr>
            </w:pPr>
            <w:r w:rsidRPr="00982C2B">
              <w:rPr>
                <w:rFonts w:cs="Times New Roman"/>
                <w:sz w:val="20"/>
                <w:szCs w:val="20"/>
              </w:rPr>
              <w:t>Coram :</w:t>
            </w:r>
          </w:p>
        </w:tc>
        <w:tc>
          <w:tcPr>
            <w:tcW w:w="8118" w:type="dxa"/>
            <w:gridSpan w:val="3"/>
          </w:tcPr>
          <w:p w:rsidR="000E2959" w:rsidRPr="00982C2B" w:rsidRDefault="006D32E7" w:rsidP="0004528B">
            <w:pPr>
              <w:rPr>
                <w:rFonts w:cs="Times New Roman"/>
                <w:sz w:val="20"/>
                <w:szCs w:val="20"/>
              </w:rPr>
            </w:pPr>
            <w:r w:rsidRPr="00982C2B">
              <w:rPr>
                <w:rStyle w:val="SCCCoramChar"/>
                <w:rFonts w:cs="Times New Roman"/>
                <w:sz w:val="20"/>
                <w:szCs w:val="20"/>
                <w:lang w:val="en-CA"/>
              </w:rPr>
              <w:t>McLachlin C.J. and Moldaver and Gascon JJ</w:t>
            </w:r>
            <w:r w:rsidR="000E2959" w:rsidRPr="00982C2B">
              <w:rPr>
                <w:rStyle w:val="SCCCoramChar"/>
                <w:rFonts w:cs="Times New Roman"/>
                <w:sz w:val="20"/>
                <w:szCs w:val="20"/>
                <w:lang w:val="en-CA"/>
              </w:rPr>
              <w:t>.</w:t>
            </w:r>
          </w:p>
          <w:p w:rsidR="000E2959" w:rsidRPr="00982C2B" w:rsidRDefault="000E2959" w:rsidP="0004528B">
            <w:pPr>
              <w:rPr>
                <w:rFonts w:cs="Times New Roman"/>
                <w:sz w:val="20"/>
                <w:szCs w:val="20"/>
                <w:u w:val="single"/>
              </w:rPr>
            </w:pPr>
          </w:p>
        </w:tc>
      </w:tr>
      <w:tr w:rsidR="000E2959" w:rsidRPr="009F3029" w:rsidTr="00843538">
        <w:trPr>
          <w:cantSplit/>
        </w:trPr>
        <w:tc>
          <w:tcPr>
            <w:tcW w:w="9576" w:type="dxa"/>
            <w:gridSpan w:val="4"/>
          </w:tcPr>
          <w:p w:rsidR="000E2959" w:rsidRPr="00982C2B" w:rsidRDefault="006D32E7" w:rsidP="0061355E">
            <w:pPr>
              <w:pStyle w:val="SCCShortJudgment"/>
              <w:ind w:firstLine="0"/>
              <w:rPr>
                <w:rFonts w:cs="Times New Roman"/>
                <w:szCs w:val="20"/>
              </w:rPr>
            </w:pPr>
            <w:r w:rsidRPr="00982C2B">
              <w:rPr>
                <w:rFonts w:cs="Times New Roman"/>
                <w:szCs w:val="20"/>
              </w:rPr>
              <w:tab/>
            </w:r>
            <w:r w:rsidR="004A57A7">
              <w:t xml:space="preserve">The motion for an extension of time to serve and file the </w:t>
            </w:r>
            <w:r w:rsidR="004A57A7" w:rsidRPr="00014021">
              <w:t>response</w:t>
            </w:r>
            <w:r w:rsidR="004A57A7">
              <w:t xml:space="preserve"> to the application for leave to appeal is granted.  </w:t>
            </w:r>
            <w:r w:rsidR="004A57A7" w:rsidRPr="006E7BAE">
              <w:t>The application for leave to appeal from the judgment of the</w:t>
            </w:r>
            <w:bookmarkStart w:id="1" w:name="BM_1_"/>
            <w:bookmarkEnd w:id="1"/>
            <w:r w:rsidR="004A57A7" w:rsidRPr="006E7BAE">
              <w:t xml:space="preserve"> </w:t>
            </w:r>
            <w:r w:rsidR="004A57A7">
              <w:t>Court of Appeal for Ontario</w:t>
            </w:r>
            <w:r w:rsidR="004A57A7" w:rsidRPr="006E7BAE">
              <w:t xml:space="preserve">, Number </w:t>
            </w:r>
            <w:r w:rsidR="004A57A7">
              <w:t>C59097, 2015 ONCA 499</w:t>
            </w:r>
            <w:r w:rsidR="004A57A7" w:rsidRPr="006E7BAE">
              <w:t xml:space="preserve">, dated </w:t>
            </w:r>
            <w:r w:rsidR="004A57A7">
              <w:t>July 6, 2015,</w:t>
            </w:r>
            <w:r w:rsidR="004A57A7" w:rsidRPr="006E7BAE">
              <w:t xml:space="preserve"> is </w:t>
            </w:r>
            <w:r w:rsidR="004A57A7">
              <w:t>dismissed</w:t>
            </w:r>
            <w:r w:rsidR="004A57A7" w:rsidRPr="006E7BAE">
              <w:t>.</w:t>
            </w:r>
          </w:p>
          <w:p w:rsidR="006D32E7" w:rsidRPr="00982C2B" w:rsidRDefault="006D32E7" w:rsidP="0061355E">
            <w:pPr>
              <w:pStyle w:val="SCCShortJudgment"/>
              <w:ind w:firstLine="0"/>
              <w:rPr>
                <w:rFonts w:cs="Times New Roman"/>
                <w:szCs w:val="20"/>
              </w:rPr>
            </w:pPr>
          </w:p>
          <w:p w:rsidR="004A57A7" w:rsidRDefault="006D32E7" w:rsidP="008A719E">
            <w:pPr>
              <w:pStyle w:val="SCCShortJudgment"/>
              <w:ind w:firstLine="0"/>
              <w:rPr>
                <w:lang w:val="fr-CA"/>
              </w:rPr>
            </w:pPr>
            <w:r w:rsidRPr="00982C2B">
              <w:rPr>
                <w:rFonts w:cs="Times New Roman"/>
                <w:szCs w:val="20"/>
              </w:rPr>
              <w:tab/>
            </w:r>
            <w:r w:rsidR="004A57A7" w:rsidRPr="00A76B2C">
              <w:rPr>
                <w:lang w:val="fr-CA"/>
              </w:rPr>
              <w:t xml:space="preserve">La requête en prorogation de délai pour la signification et le dépôt de la réponse à la demande </w:t>
            </w:r>
            <w:r w:rsidR="004A57A7">
              <w:rPr>
                <w:lang w:val="fr-CA"/>
              </w:rPr>
              <w:t xml:space="preserve">d’autorisation d’appel </w:t>
            </w:r>
            <w:r w:rsidR="004A57A7" w:rsidRPr="00A76B2C">
              <w:rPr>
                <w:lang w:val="fr-CA"/>
              </w:rPr>
              <w:t>est accueillie</w:t>
            </w:r>
            <w:r w:rsidR="004A57A7">
              <w:rPr>
                <w:lang w:val="fr-CA"/>
              </w:rPr>
              <w:t xml:space="preserve">. </w:t>
            </w:r>
            <w:r w:rsidR="004A57A7" w:rsidRPr="00A76B2C">
              <w:rPr>
                <w:lang w:val="fr-CA"/>
              </w:rPr>
              <w:t xml:space="preserve">La </w:t>
            </w:r>
            <w:r w:rsidR="004A57A7">
              <w:rPr>
                <w:lang w:val="fr-CA"/>
              </w:rPr>
              <w:t xml:space="preserve">demande </w:t>
            </w:r>
            <w:r w:rsidR="004A57A7" w:rsidRPr="00A76B2C">
              <w:rPr>
                <w:lang w:val="fr-CA"/>
              </w:rPr>
              <w:t>d’autorisation d’appel de l’arrêt de la Cour d’appel de l’Ontario, numéro C59097, 2015 ONCA 499, daté du 6 juillet 2015, est rejetée.</w:t>
            </w:r>
          </w:p>
          <w:p w:rsidR="008A719E" w:rsidRPr="00982C2B" w:rsidRDefault="008A719E" w:rsidP="008A719E">
            <w:pPr>
              <w:pStyle w:val="SCCShortJudgment"/>
              <w:ind w:firstLine="0"/>
              <w:rPr>
                <w:rFonts w:cs="Times New Roman"/>
                <w:szCs w:val="20"/>
                <w:lang w:val="fr-CA"/>
              </w:rPr>
            </w:pPr>
          </w:p>
        </w:tc>
      </w:tr>
      <w:tr w:rsidR="006D32E7" w:rsidRPr="00982C2B" w:rsidTr="00843538">
        <w:trPr>
          <w:cantSplit/>
        </w:trPr>
        <w:tc>
          <w:tcPr>
            <w:tcW w:w="9576" w:type="dxa"/>
            <w:gridSpan w:val="4"/>
          </w:tcPr>
          <w:p w:rsidR="006D32E7" w:rsidRPr="00982C2B" w:rsidRDefault="00284E4B"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284E4B" w:rsidRPr="00982C2B" w:rsidRDefault="00284E4B" w:rsidP="0061355E">
            <w:pPr>
              <w:pStyle w:val="SCCShortJudgment"/>
              <w:ind w:firstLine="0"/>
              <w:rPr>
                <w:rFonts w:cs="Times New Roman"/>
                <w:szCs w:val="20"/>
                <w:u w:val="single"/>
                <w:lang w:val="fr-CA"/>
              </w:rPr>
            </w:pPr>
          </w:p>
        </w:tc>
      </w:tr>
      <w:tr w:rsidR="006D32E7" w:rsidRPr="00982C2B" w:rsidTr="00843538">
        <w:trPr>
          <w:cantSplit/>
        </w:trPr>
        <w:tc>
          <w:tcPr>
            <w:tcW w:w="9576" w:type="dxa"/>
            <w:gridSpan w:val="4"/>
          </w:tcPr>
          <w:p w:rsidR="006D32E7" w:rsidRPr="00982C2B" w:rsidRDefault="00284E4B" w:rsidP="0061355E">
            <w:pPr>
              <w:pStyle w:val="SCCShortJudgment"/>
              <w:ind w:firstLine="0"/>
              <w:rPr>
                <w:rFonts w:cs="Times New Roman"/>
                <w:szCs w:val="20"/>
              </w:rPr>
            </w:pPr>
            <w:r w:rsidRPr="00982C2B">
              <w:rPr>
                <w:rFonts w:cs="Times New Roman"/>
                <w:szCs w:val="20"/>
              </w:rPr>
              <w:t xml:space="preserve">Criminal law – Offences – To obtain a conviction for use of a weapon for a purpose dangerous to the public peace under s. 85(2) of the </w:t>
            </w:r>
            <w:r w:rsidRPr="00982C2B">
              <w:rPr>
                <w:rFonts w:cs="Times New Roman"/>
                <w:i/>
                <w:szCs w:val="20"/>
              </w:rPr>
              <w:t xml:space="preserve">Criminal Code, </w:t>
            </w:r>
            <w:r w:rsidRPr="00982C2B">
              <w:rPr>
                <w:rFonts w:cs="Times New Roman"/>
                <w:szCs w:val="20"/>
              </w:rPr>
              <w:t xml:space="preserve">must the Crown prove that the use of the imitation firearm facilitated the underlying indictable offence, in this case possession of a weapon for a dangerous purpose pursuant to s. 88(1) of the Code? – Did the Court of improperly limit the evidence that can be considered in order the Crown to prove “use” under s.85 of the </w:t>
            </w:r>
            <w:r w:rsidRPr="00982C2B">
              <w:rPr>
                <w:rFonts w:cs="Times New Roman"/>
                <w:i/>
                <w:szCs w:val="20"/>
              </w:rPr>
              <w:t>Code</w:t>
            </w:r>
            <w:r w:rsidRPr="00982C2B">
              <w:rPr>
                <w:rFonts w:cs="Times New Roman"/>
                <w:szCs w:val="20"/>
              </w:rPr>
              <w:t>?</w:t>
            </w:r>
          </w:p>
          <w:p w:rsidR="00284E4B" w:rsidRPr="00982C2B" w:rsidRDefault="00284E4B" w:rsidP="0061355E">
            <w:pPr>
              <w:pStyle w:val="SCCShortJudgment"/>
              <w:ind w:firstLine="0"/>
              <w:rPr>
                <w:rFonts w:cs="Times New Roman"/>
                <w:szCs w:val="20"/>
              </w:rPr>
            </w:pPr>
          </w:p>
        </w:tc>
      </w:tr>
      <w:tr w:rsidR="00284E4B" w:rsidRPr="00982C2B" w:rsidTr="00843538">
        <w:trPr>
          <w:cantSplit/>
        </w:trPr>
        <w:tc>
          <w:tcPr>
            <w:tcW w:w="9576" w:type="dxa"/>
            <w:gridSpan w:val="4"/>
          </w:tcPr>
          <w:p w:rsidR="00284E4B" w:rsidRPr="00982C2B" w:rsidRDefault="00284E4B" w:rsidP="0061355E">
            <w:pPr>
              <w:jc w:val="both"/>
              <w:rPr>
                <w:rFonts w:cs="Times New Roman"/>
                <w:sz w:val="20"/>
                <w:szCs w:val="20"/>
              </w:rPr>
            </w:pPr>
            <w:r w:rsidRPr="00982C2B">
              <w:rPr>
                <w:rFonts w:cs="Times New Roman"/>
                <w:sz w:val="20"/>
                <w:szCs w:val="20"/>
              </w:rPr>
              <w:t xml:space="preserve">The respondent was convicted on charges of possession of an imitation weapon for a purpose dangerous to the public peace contrary to s. 85(2) of the </w:t>
            </w:r>
            <w:r w:rsidRPr="00982C2B">
              <w:rPr>
                <w:rFonts w:cs="Times New Roman"/>
                <w:i/>
                <w:sz w:val="20"/>
                <w:szCs w:val="20"/>
              </w:rPr>
              <w:t>Criminal Code</w:t>
            </w:r>
            <w:r w:rsidRPr="00982C2B">
              <w:rPr>
                <w:rFonts w:cs="Times New Roman"/>
                <w:sz w:val="20"/>
                <w:szCs w:val="20"/>
              </w:rPr>
              <w:t xml:space="preserve"> and use of an imitation firearm while committing an indictable offence contrary to s. 88(1) of the </w:t>
            </w:r>
            <w:r w:rsidRPr="00982C2B">
              <w:rPr>
                <w:rFonts w:cs="Times New Roman"/>
                <w:i/>
                <w:sz w:val="20"/>
                <w:szCs w:val="20"/>
              </w:rPr>
              <w:t>Code</w:t>
            </w:r>
            <w:r w:rsidRPr="00982C2B">
              <w:rPr>
                <w:rFonts w:cs="Times New Roman"/>
                <w:sz w:val="20"/>
                <w:szCs w:val="20"/>
              </w:rPr>
              <w:t>.  On appeal to the Court of Appeal for Ontario, his appeal from the conviction for possession of imitation weapon was set aside.</w:t>
            </w:r>
          </w:p>
          <w:p w:rsidR="00284E4B" w:rsidRPr="00982C2B" w:rsidRDefault="00284E4B" w:rsidP="0061355E">
            <w:pPr>
              <w:pStyle w:val="SCCShortJudgment"/>
              <w:ind w:firstLine="0"/>
              <w:rPr>
                <w:rFonts w:cs="Times New Roman"/>
                <w:szCs w:val="20"/>
              </w:rPr>
            </w:pPr>
          </w:p>
        </w:tc>
      </w:tr>
      <w:tr w:rsidR="00284E4B" w:rsidRPr="00982C2B" w:rsidTr="00843538">
        <w:trPr>
          <w:cantSplit/>
        </w:trPr>
        <w:tc>
          <w:tcPr>
            <w:tcW w:w="4410" w:type="dxa"/>
            <w:gridSpan w:val="2"/>
          </w:tcPr>
          <w:p w:rsidR="00284E4B" w:rsidRPr="00982C2B" w:rsidRDefault="00284E4B" w:rsidP="0061355E">
            <w:pPr>
              <w:jc w:val="both"/>
              <w:rPr>
                <w:rFonts w:cs="Times New Roman"/>
                <w:sz w:val="20"/>
                <w:szCs w:val="20"/>
              </w:rPr>
            </w:pPr>
            <w:r w:rsidRPr="00982C2B">
              <w:rPr>
                <w:rFonts w:cs="Times New Roman"/>
                <w:sz w:val="20"/>
                <w:szCs w:val="20"/>
              </w:rPr>
              <w:t>January 30, 2014</w:t>
            </w:r>
          </w:p>
          <w:p w:rsidR="00284E4B" w:rsidRPr="00982C2B" w:rsidRDefault="00284E4B" w:rsidP="0061355E">
            <w:pPr>
              <w:jc w:val="both"/>
              <w:rPr>
                <w:rFonts w:cs="Times New Roman"/>
                <w:sz w:val="20"/>
                <w:szCs w:val="20"/>
              </w:rPr>
            </w:pPr>
            <w:r w:rsidRPr="00982C2B">
              <w:rPr>
                <w:rFonts w:cs="Times New Roman"/>
                <w:sz w:val="20"/>
                <w:szCs w:val="20"/>
              </w:rPr>
              <w:t>Ontario Superior Court of Justice</w:t>
            </w:r>
          </w:p>
          <w:p w:rsidR="00284E4B" w:rsidRPr="00982C2B" w:rsidRDefault="00284E4B" w:rsidP="0061355E">
            <w:pPr>
              <w:jc w:val="both"/>
              <w:rPr>
                <w:rFonts w:cs="Times New Roman"/>
                <w:sz w:val="20"/>
                <w:szCs w:val="20"/>
              </w:rPr>
            </w:pPr>
            <w:r w:rsidRPr="00982C2B">
              <w:rPr>
                <w:rFonts w:cs="Times New Roman"/>
                <w:sz w:val="20"/>
                <w:szCs w:val="20"/>
              </w:rPr>
              <w:t>(Campbell J.)</w:t>
            </w:r>
          </w:p>
          <w:p w:rsidR="00284E4B" w:rsidRPr="00982C2B" w:rsidRDefault="00284E4B" w:rsidP="008A719E">
            <w:pPr>
              <w:jc w:val="both"/>
              <w:rPr>
                <w:rFonts w:cs="Times New Roman"/>
                <w:szCs w:val="20"/>
              </w:rPr>
            </w:pPr>
            <w:r w:rsidRPr="00982C2B">
              <w:rPr>
                <w:rFonts w:cs="Times New Roman"/>
                <w:sz w:val="20"/>
                <w:szCs w:val="20"/>
              </w:rPr>
              <w:t xml:space="preserve">Neutral citation: </w:t>
            </w:r>
            <w:hyperlink r:id="rId18" w:history="1">
              <w:r w:rsidRPr="00982C2B">
                <w:rPr>
                  <w:rStyle w:val="Hyperlink"/>
                  <w:rFonts w:cs="Times New Roman"/>
                  <w:sz w:val="20"/>
                  <w:szCs w:val="20"/>
                </w:rPr>
                <w:t>2014 ONSC 655</w:t>
              </w:r>
            </w:hyperlink>
          </w:p>
        </w:tc>
        <w:tc>
          <w:tcPr>
            <w:tcW w:w="630" w:type="dxa"/>
          </w:tcPr>
          <w:p w:rsidR="008A719E"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284E4B" w:rsidRPr="00982C2B" w:rsidRDefault="00284E4B" w:rsidP="0061355E">
            <w:pPr>
              <w:pStyle w:val="SCCShortJudgment"/>
              <w:ind w:firstLine="0"/>
              <w:rPr>
                <w:rFonts w:cs="Times New Roman"/>
                <w:szCs w:val="20"/>
              </w:rPr>
            </w:pPr>
            <w:r w:rsidRPr="00982C2B">
              <w:rPr>
                <w:rFonts w:cs="Times New Roman"/>
                <w:szCs w:val="20"/>
              </w:rPr>
              <w:t>Conviction: possession of an imitation weapon for a purpose dangerous to the public peace and use of an imitation firearm while committing an indictable offence</w:t>
            </w:r>
          </w:p>
        </w:tc>
      </w:tr>
      <w:tr w:rsidR="00284E4B" w:rsidRPr="00982C2B" w:rsidTr="00843538">
        <w:trPr>
          <w:cantSplit/>
        </w:trPr>
        <w:tc>
          <w:tcPr>
            <w:tcW w:w="4410" w:type="dxa"/>
            <w:gridSpan w:val="2"/>
          </w:tcPr>
          <w:p w:rsidR="00284E4B" w:rsidRPr="00982C2B" w:rsidRDefault="00284E4B" w:rsidP="0061355E">
            <w:pPr>
              <w:jc w:val="both"/>
              <w:rPr>
                <w:rFonts w:cs="Times New Roman"/>
                <w:sz w:val="20"/>
                <w:szCs w:val="20"/>
              </w:rPr>
            </w:pPr>
            <w:r w:rsidRPr="00982C2B">
              <w:rPr>
                <w:rFonts w:cs="Times New Roman"/>
                <w:sz w:val="20"/>
                <w:szCs w:val="20"/>
              </w:rPr>
              <w:t>July 6, 2015</w:t>
            </w:r>
          </w:p>
          <w:p w:rsidR="00284E4B" w:rsidRPr="00982C2B" w:rsidRDefault="00284E4B" w:rsidP="0061355E">
            <w:pPr>
              <w:jc w:val="both"/>
              <w:rPr>
                <w:rFonts w:cs="Times New Roman"/>
                <w:sz w:val="20"/>
                <w:szCs w:val="20"/>
              </w:rPr>
            </w:pPr>
            <w:r w:rsidRPr="00982C2B">
              <w:rPr>
                <w:rFonts w:cs="Times New Roman"/>
                <w:sz w:val="20"/>
                <w:szCs w:val="20"/>
              </w:rPr>
              <w:t>Court of Appeal for Ontario</w:t>
            </w:r>
          </w:p>
          <w:p w:rsidR="00284E4B" w:rsidRPr="00982C2B" w:rsidRDefault="00284E4B" w:rsidP="0061355E">
            <w:pPr>
              <w:jc w:val="both"/>
              <w:rPr>
                <w:rFonts w:cs="Times New Roman"/>
                <w:sz w:val="20"/>
                <w:szCs w:val="20"/>
              </w:rPr>
            </w:pPr>
            <w:r w:rsidRPr="00982C2B">
              <w:rPr>
                <w:rFonts w:cs="Times New Roman"/>
                <w:sz w:val="20"/>
                <w:szCs w:val="20"/>
              </w:rPr>
              <w:t>(Juriansz, Rouleau, and Hourigan JJ.A.)</w:t>
            </w:r>
          </w:p>
          <w:p w:rsidR="00284E4B" w:rsidRPr="00982C2B" w:rsidRDefault="00284E4B" w:rsidP="008A719E">
            <w:pPr>
              <w:jc w:val="both"/>
              <w:rPr>
                <w:rFonts w:cs="Times New Roman"/>
                <w:szCs w:val="20"/>
              </w:rPr>
            </w:pPr>
            <w:r w:rsidRPr="00982C2B">
              <w:rPr>
                <w:rFonts w:cs="Times New Roman"/>
                <w:sz w:val="20"/>
                <w:szCs w:val="20"/>
              </w:rPr>
              <w:t xml:space="preserve">Neutral citation: </w:t>
            </w:r>
            <w:hyperlink r:id="rId19" w:history="1">
              <w:r w:rsidRPr="00982C2B">
                <w:rPr>
                  <w:rStyle w:val="Hyperlink"/>
                  <w:rFonts w:cs="Times New Roman"/>
                  <w:sz w:val="20"/>
                  <w:szCs w:val="20"/>
                </w:rPr>
                <w:t>2015 ONCA 499</w:t>
              </w:r>
            </w:hyperlink>
          </w:p>
        </w:tc>
        <w:tc>
          <w:tcPr>
            <w:tcW w:w="630" w:type="dxa"/>
          </w:tcPr>
          <w:p w:rsidR="00284E4B"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284E4B" w:rsidRPr="00982C2B" w:rsidRDefault="00284E4B" w:rsidP="0061355E">
            <w:pPr>
              <w:pStyle w:val="SCCShortJudgment"/>
              <w:ind w:firstLine="0"/>
              <w:rPr>
                <w:rFonts w:cs="Times New Roman"/>
                <w:szCs w:val="20"/>
              </w:rPr>
            </w:pPr>
            <w:r w:rsidRPr="00982C2B">
              <w:rPr>
                <w:rFonts w:cs="Times New Roman"/>
                <w:szCs w:val="20"/>
              </w:rPr>
              <w:t>Appeal allowed in part; conviction for possession of imitation weapon set aside</w:t>
            </w:r>
          </w:p>
        </w:tc>
      </w:tr>
      <w:tr w:rsidR="00284E4B" w:rsidRPr="00982C2B" w:rsidTr="00843538">
        <w:trPr>
          <w:cantSplit/>
        </w:trPr>
        <w:tc>
          <w:tcPr>
            <w:tcW w:w="4410" w:type="dxa"/>
            <w:gridSpan w:val="2"/>
          </w:tcPr>
          <w:p w:rsidR="00284E4B" w:rsidRPr="00982C2B" w:rsidRDefault="00284E4B" w:rsidP="0061355E">
            <w:pPr>
              <w:jc w:val="both"/>
              <w:rPr>
                <w:rFonts w:cs="Times New Roman"/>
                <w:sz w:val="20"/>
                <w:szCs w:val="20"/>
              </w:rPr>
            </w:pPr>
            <w:r w:rsidRPr="00982C2B">
              <w:rPr>
                <w:rFonts w:cs="Times New Roman"/>
                <w:sz w:val="20"/>
                <w:szCs w:val="20"/>
              </w:rPr>
              <w:t>September 4, 2015</w:t>
            </w:r>
          </w:p>
          <w:p w:rsidR="00284E4B" w:rsidRPr="00982C2B" w:rsidRDefault="00284E4B" w:rsidP="008A719E">
            <w:pPr>
              <w:jc w:val="both"/>
              <w:rPr>
                <w:rFonts w:cs="Times New Roman"/>
                <w:szCs w:val="20"/>
              </w:rPr>
            </w:pPr>
            <w:r w:rsidRPr="00982C2B">
              <w:rPr>
                <w:rFonts w:cs="Times New Roman"/>
                <w:sz w:val="20"/>
                <w:szCs w:val="20"/>
              </w:rPr>
              <w:t>Supreme Court of Canada</w:t>
            </w:r>
          </w:p>
        </w:tc>
        <w:tc>
          <w:tcPr>
            <w:tcW w:w="630" w:type="dxa"/>
          </w:tcPr>
          <w:p w:rsidR="00284E4B"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p>
        </w:tc>
        <w:tc>
          <w:tcPr>
            <w:tcW w:w="4536" w:type="dxa"/>
          </w:tcPr>
          <w:p w:rsidR="00284E4B" w:rsidRPr="00982C2B" w:rsidRDefault="00284E4B" w:rsidP="008A719E">
            <w:pPr>
              <w:jc w:val="both"/>
              <w:rPr>
                <w:rFonts w:cs="Times New Roman"/>
                <w:szCs w:val="20"/>
              </w:rPr>
            </w:pPr>
            <w:r w:rsidRPr="00982C2B">
              <w:rPr>
                <w:rFonts w:cs="Times New Roman"/>
                <w:sz w:val="20"/>
                <w:szCs w:val="20"/>
              </w:rPr>
              <w:t>Application for leave to appeal filed</w:t>
            </w:r>
          </w:p>
        </w:tc>
      </w:tr>
      <w:tr w:rsidR="00284E4B" w:rsidRPr="00982C2B" w:rsidTr="00843538">
        <w:trPr>
          <w:cantSplit/>
        </w:trPr>
        <w:tc>
          <w:tcPr>
            <w:tcW w:w="4410" w:type="dxa"/>
            <w:gridSpan w:val="2"/>
          </w:tcPr>
          <w:p w:rsidR="00284E4B" w:rsidRPr="00982C2B" w:rsidRDefault="00284E4B" w:rsidP="0061355E">
            <w:pPr>
              <w:jc w:val="both"/>
              <w:rPr>
                <w:rFonts w:cs="Times New Roman"/>
                <w:sz w:val="20"/>
                <w:szCs w:val="20"/>
              </w:rPr>
            </w:pPr>
            <w:r w:rsidRPr="00982C2B">
              <w:rPr>
                <w:rFonts w:cs="Times New Roman"/>
                <w:sz w:val="20"/>
                <w:szCs w:val="20"/>
              </w:rPr>
              <w:t>October 10, 2015</w:t>
            </w:r>
          </w:p>
          <w:p w:rsidR="00284E4B" w:rsidRPr="00982C2B" w:rsidRDefault="00284E4B" w:rsidP="0061355E">
            <w:pPr>
              <w:jc w:val="both"/>
              <w:rPr>
                <w:rFonts w:cs="Times New Roman"/>
                <w:sz w:val="20"/>
                <w:szCs w:val="20"/>
              </w:rPr>
            </w:pPr>
            <w:r w:rsidRPr="00982C2B">
              <w:rPr>
                <w:rFonts w:cs="Times New Roman"/>
                <w:sz w:val="20"/>
                <w:szCs w:val="20"/>
              </w:rPr>
              <w:t>Supreme Court of Canada</w:t>
            </w:r>
          </w:p>
        </w:tc>
        <w:tc>
          <w:tcPr>
            <w:tcW w:w="630" w:type="dxa"/>
          </w:tcPr>
          <w:p w:rsidR="00284E4B" w:rsidRPr="00982C2B" w:rsidRDefault="00284E4B" w:rsidP="0061355E">
            <w:pPr>
              <w:pStyle w:val="SCCShortJudgment"/>
              <w:ind w:firstLine="0"/>
              <w:rPr>
                <w:rFonts w:cs="Times New Roman"/>
                <w:szCs w:val="20"/>
              </w:rPr>
            </w:pPr>
          </w:p>
        </w:tc>
        <w:tc>
          <w:tcPr>
            <w:tcW w:w="4536" w:type="dxa"/>
          </w:tcPr>
          <w:p w:rsidR="00284E4B" w:rsidRPr="00982C2B" w:rsidRDefault="00284E4B" w:rsidP="0061355E">
            <w:pPr>
              <w:jc w:val="both"/>
              <w:rPr>
                <w:rFonts w:cs="Times New Roman"/>
                <w:sz w:val="20"/>
                <w:szCs w:val="20"/>
              </w:rPr>
            </w:pPr>
            <w:r w:rsidRPr="00982C2B">
              <w:rPr>
                <w:rFonts w:cs="Times New Roman"/>
                <w:sz w:val="20"/>
                <w:szCs w:val="20"/>
              </w:rPr>
              <w:t>Motion to extend time to serve and file application for leave to appeal filed</w:t>
            </w:r>
          </w:p>
        </w:tc>
      </w:tr>
      <w:tr w:rsidR="00284E4B" w:rsidRPr="00982C2B" w:rsidTr="00843538">
        <w:trPr>
          <w:cantSplit/>
        </w:trPr>
        <w:tc>
          <w:tcPr>
            <w:tcW w:w="9576" w:type="dxa"/>
            <w:gridSpan w:val="4"/>
          </w:tcPr>
          <w:p w:rsidR="00284E4B" w:rsidRPr="00982C2B" w:rsidRDefault="009F3029" w:rsidP="006D32E7">
            <w:pPr>
              <w:pStyle w:val="SCCShortJudgment"/>
              <w:ind w:firstLine="0"/>
              <w:rPr>
                <w:rFonts w:cs="Times New Roman"/>
                <w:szCs w:val="20"/>
                <w:lang w:val="fr-CA"/>
              </w:rPr>
            </w:pPr>
            <w:r>
              <w:rPr>
                <w:rFonts w:cs="Times New Roman"/>
                <w:szCs w:val="20"/>
                <w:lang w:val="fr-CA"/>
              </w:rPr>
              <w:pict>
                <v:rect id="_x0000_i1043" style="width:2in;height:1pt" o:hrpct="0" o:hralign="center" o:hrstd="t" o:hrnoshade="t" o:hr="t" fillcolor="black [3213]" stroked="f"/>
              </w:pict>
            </w:r>
          </w:p>
          <w:p w:rsidR="00284E4B" w:rsidRPr="00982C2B" w:rsidRDefault="00284E4B" w:rsidP="006D32E7">
            <w:pPr>
              <w:pStyle w:val="SCCShortJudgment"/>
              <w:ind w:firstLine="0"/>
              <w:rPr>
                <w:rFonts w:cs="Times New Roman"/>
                <w:szCs w:val="20"/>
                <w:lang w:val="fr-CA"/>
              </w:rPr>
            </w:pPr>
          </w:p>
        </w:tc>
      </w:tr>
    </w:tbl>
    <w:p w:rsidR="00843538" w:rsidRPr="00982C2B" w:rsidRDefault="00843538">
      <w:pPr>
        <w:rPr>
          <w:rFonts w:cs="Times New Roman"/>
          <w:sz w:val="20"/>
          <w:szCs w:val="20"/>
        </w:rPr>
      </w:pPr>
      <w:r w:rsidRPr="00982C2B">
        <w:rPr>
          <w:rFonts w:cs="Times New Roman"/>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84E4B" w:rsidRPr="00982C2B" w:rsidTr="00843538">
        <w:trPr>
          <w:cantSplit/>
        </w:trPr>
        <w:tc>
          <w:tcPr>
            <w:tcW w:w="9576" w:type="dxa"/>
            <w:gridSpan w:val="3"/>
          </w:tcPr>
          <w:p w:rsidR="00284E4B" w:rsidRPr="00982C2B" w:rsidRDefault="00284E4B" w:rsidP="006D32E7">
            <w:pPr>
              <w:pStyle w:val="SCCShortJudgment"/>
              <w:ind w:firstLine="0"/>
              <w:rPr>
                <w:rFonts w:cs="Times New Roman"/>
                <w:szCs w:val="20"/>
                <w:u w:val="single"/>
                <w:lang w:val="fr-CA"/>
              </w:rPr>
            </w:pPr>
            <w:r w:rsidRPr="00982C2B">
              <w:rPr>
                <w:rFonts w:cs="Times New Roman"/>
                <w:szCs w:val="20"/>
                <w:u w:val="single"/>
                <w:lang w:val="fr-CA"/>
              </w:rPr>
              <w:t>RÉSUMÉ DE L’AFFAIRE </w:t>
            </w:r>
          </w:p>
          <w:p w:rsidR="00284E4B" w:rsidRPr="00982C2B" w:rsidRDefault="00284E4B" w:rsidP="006D32E7">
            <w:pPr>
              <w:pStyle w:val="SCCShortJudgment"/>
              <w:ind w:firstLine="0"/>
              <w:rPr>
                <w:rFonts w:cs="Times New Roman"/>
                <w:szCs w:val="20"/>
                <w:u w:val="single"/>
                <w:lang w:val="fr-CA"/>
              </w:rPr>
            </w:pPr>
          </w:p>
        </w:tc>
      </w:tr>
      <w:tr w:rsidR="00284E4B" w:rsidRPr="009F3029" w:rsidTr="00843538">
        <w:trPr>
          <w:cantSplit/>
        </w:trPr>
        <w:tc>
          <w:tcPr>
            <w:tcW w:w="9576" w:type="dxa"/>
            <w:gridSpan w:val="3"/>
          </w:tcPr>
          <w:p w:rsidR="00284E4B" w:rsidRPr="00982C2B" w:rsidRDefault="00284E4B" w:rsidP="0061355E">
            <w:pPr>
              <w:pStyle w:val="SCCShortJudgment"/>
              <w:ind w:firstLine="0"/>
              <w:rPr>
                <w:rFonts w:cs="Times New Roman"/>
                <w:szCs w:val="20"/>
                <w:lang w:val="fr-CA"/>
              </w:rPr>
            </w:pPr>
            <w:r w:rsidRPr="00982C2B">
              <w:rPr>
                <w:rFonts w:cs="Times New Roman"/>
                <w:szCs w:val="20"/>
                <w:lang w:val="fr-CA"/>
              </w:rPr>
              <w:t xml:space="preserve">Droit criminel — Infractions — Pour obtenir une déclaration de culpabilité d’usage d’une arme dans un dessein dangereux pour la paix publique au sens du par. 85(2) du </w:t>
            </w:r>
            <w:r w:rsidRPr="00982C2B">
              <w:rPr>
                <w:rFonts w:cs="Times New Roman"/>
                <w:i/>
                <w:szCs w:val="20"/>
                <w:lang w:val="fr-CA"/>
              </w:rPr>
              <w:t>Code criminel</w:t>
            </w:r>
            <w:r w:rsidRPr="00982C2B">
              <w:rPr>
                <w:rFonts w:cs="Times New Roman"/>
                <w:szCs w:val="20"/>
                <w:lang w:val="fr-CA"/>
              </w:rPr>
              <w:t>,</w:t>
            </w:r>
            <w:r w:rsidRPr="00982C2B">
              <w:rPr>
                <w:rFonts w:cs="Times New Roman"/>
                <w:i/>
                <w:szCs w:val="20"/>
                <w:lang w:val="fr-CA"/>
              </w:rPr>
              <w:t xml:space="preserve"> </w:t>
            </w:r>
            <w:r w:rsidRPr="00982C2B">
              <w:rPr>
                <w:rFonts w:cs="Times New Roman"/>
                <w:szCs w:val="20"/>
                <w:lang w:val="fr-CA"/>
              </w:rPr>
              <w:t xml:space="preserve">le ministère public doit-il prouver que l’usage d’une fausse arme à feu a facilité la perpétration de l’acte criminel sous-jacent, en l’occurrence la possession d’une arme dans un dessein dangereux, une infraction prévue au par. 88(1) du </w:t>
            </w:r>
            <w:r w:rsidRPr="00982C2B">
              <w:rPr>
                <w:rFonts w:cs="Times New Roman"/>
                <w:i/>
                <w:szCs w:val="20"/>
                <w:lang w:val="fr-CA"/>
              </w:rPr>
              <w:t>Code</w:t>
            </w:r>
            <w:r w:rsidRPr="00982C2B">
              <w:rPr>
                <w:rFonts w:cs="Times New Roman"/>
                <w:szCs w:val="20"/>
                <w:lang w:val="fr-CA"/>
              </w:rPr>
              <w:t xml:space="preserve">? — La Cour a-t-elle limité indûment la preuve qui peut être examinée pour que le ministère public établisse l’« usage » au sens de l’art. 85 du </w:t>
            </w:r>
            <w:r w:rsidRPr="00982C2B">
              <w:rPr>
                <w:rFonts w:cs="Times New Roman"/>
                <w:i/>
                <w:szCs w:val="20"/>
                <w:lang w:val="fr-CA"/>
              </w:rPr>
              <w:t>Code</w:t>
            </w:r>
            <w:r w:rsidRPr="00982C2B">
              <w:rPr>
                <w:rFonts w:cs="Times New Roman"/>
                <w:szCs w:val="20"/>
                <w:lang w:val="fr-CA"/>
              </w:rPr>
              <w:t>?</w:t>
            </w:r>
          </w:p>
          <w:p w:rsidR="00284E4B" w:rsidRPr="00982C2B" w:rsidRDefault="00284E4B" w:rsidP="0061355E">
            <w:pPr>
              <w:pStyle w:val="SCCShortJudgment"/>
              <w:ind w:firstLine="0"/>
              <w:rPr>
                <w:rFonts w:cs="Times New Roman"/>
                <w:szCs w:val="20"/>
                <w:u w:val="single"/>
                <w:lang w:val="fr-CA"/>
              </w:rPr>
            </w:pPr>
          </w:p>
        </w:tc>
      </w:tr>
      <w:tr w:rsidR="00284E4B" w:rsidRPr="009F3029" w:rsidTr="00843538">
        <w:trPr>
          <w:cantSplit/>
        </w:trPr>
        <w:tc>
          <w:tcPr>
            <w:tcW w:w="9576" w:type="dxa"/>
            <w:gridSpan w:val="3"/>
          </w:tcPr>
          <w:p w:rsidR="00284E4B" w:rsidRPr="00982C2B" w:rsidRDefault="00284E4B" w:rsidP="0061355E">
            <w:pPr>
              <w:jc w:val="both"/>
              <w:rPr>
                <w:rFonts w:cs="Times New Roman"/>
                <w:sz w:val="20"/>
                <w:szCs w:val="20"/>
                <w:u w:val="single"/>
                <w:lang w:val="fr-CA"/>
              </w:rPr>
            </w:pPr>
            <w:r w:rsidRPr="00982C2B">
              <w:rPr>
                <w:rFonts w:cs="Times New Roman"/>
                <w:sz w:val="20"/>
                <w:szCs w:val="20"/>
                <w:lang w:val="fr-CA"/>
              </w:rPr>
              <w:t xml:space="preserve">L’intimé a été reconnu coupable d’accusations de possession d’une fausse arme à feu dans un dessein dangereux pour la paix publique, en violation du par. 85(2) du </w:t>
            </w:r>
            <w:r w:rsidRPr="00982C2B">
              <w:rPr>
                <w:rFonts w:cs="Times New Roman"/>
                <w:i/>
                <w:sz w:val="20"/>
                <w:szCs w:val="20"/>
                <w:lang w:val="fr-CA"/>
              </w:rPr>
              <w:t>Code criminel</w:t>
            </w:r>
            <w:r w:rsidRPr="00982C2B">
              <w:rPr>
                <w:rFonts w:cs="Times New Roman"/>
                <w:sz w:val="20"/>
                <w:szCs w:val="20"/>
                <w:lang w:val="fr-CA"/>
              </w:rPr>
              <w:t xml:space="preserve">, et d’usage d’une fausse arme à feu lors de la perpétration d’un acte criminel, en violation du par. 88(1) du </w:t>
            </w:r>
            <w:r w:rsidRPr="00982C2B">
              <w:rPr>
                <w:rFonts w:cs="Times New Roman"/>
                <w:i/>
                <w:sz w:val="20"/>
                <w:szCs w:val="20"/>
                <w:lang w:val="fr-CA"/>
              </w:rPr>
              <w:t>Code</w:t>
            </w:r>
            <w:r w:rsidRPr="00982C2B">
              <w:rPr>
                <w:rFonts w:cs="Times New Roman"/>
                <w:sz w:val="20"/>
                <w:szCs w:val="20"/>
                <w:lang w:val="fr-CA"/>
              </w:rPr>
              <w:t xml:space="preserve">. En Cour d’appel de l’Ontario, son appel de la déclaration de culpabilité pour possession d’une fausse arme à feu a été écarté. </w:t>
            </w:r>
          </w:p>
        </w:tc>
      </w:tr>
      <w:tr w:rsidR="00284E4B" w:rsidRPr="009F3029" w:rsidTr="00843538">
        <w:trPr>
          <w:cantSplit/>
        </w:trPr>
        <w:tc>
          <w:tcPr>
            <w:tcW w:w="9576" w:type="dxa"/>
            <w:gridSpan w:val="3"/>
          </w:tcPr>
          <w:p w:rsidR="00284E4B" w:rsidRPr="00982C2B" w:rsidRDefault="00284E4B" w:rsidP="0061355E">
            <w:pPr>
              <w:pStyle w:val="SCCShortJudgment"/>
              <w:ind w:firstLine="0"/>
              <w:rPr>
                <w:rFonts w:cs="Times New Roman"/>
                <w:szCs w:val="20"/>
                <w:u w:val="single"/>
                <w:lang w:val="fr-CA"/>
              </w:rPr>
            </w:pPr>
          </w:p>
        </w:tc>
      </w:tr>
      <w:tr w:rsidR="00284E4B" w:rsidRPr="009F3029" w:rsidTr="00843538">
        <w:trPr>
          <w:cantSplit/>
        </w:trPr>
        <w:tc>
          <w:tcPr>
            <w:tcW w:w="4410" w:type="dxa"/>
          </w:tcPr>
          <w:p w:rsidR="00284E4B" w:rsidRPr="00982C2B" w:rsidRDefault="00284E4B" w:rsidP="0061355E">
            <w:pPr>
              <w:jc w:val="both"/>
              <w:rPr>
                <w:rFonts w:cs="Times New Roman"/>
                <w:sz w:val="20"/>
                <w:szCs w:val="20"/>
                <w:lang w:val="fr-CA"/>
              </w:rPr>
            </w:pPr>
            <w:r w:rsidRPr="00982C2B">
              <w:rPr>
                <w:rFonts w:cs="Times New Roman"/>
                <w:sz w:val="20"/>
                <w:szCs w:val="20"/>
                <w:lang w:val="fr-CA"/>
              </w:rPr>
              <w:t>30 janvier 2014</w:t>
            </w:r>
          </w:p>
          <w:p w:rsidR="00284E4B" w:rsidRPr="00982C2B" w:rsidRDefault="00284E4B" w:rsidP="0061355E">
            <w:pPr>
              <w:jc w:val="both"/>
              <w:rPr>
                <w:rFonts w:cs="Times New Roman"/>
                <w:sz w:val="20"/>
                <w:szCs w:val="20"/>
                <w:lang w:val="fr-CA"/>
              </w:rPr>
            </w:pPr>
            <w:r w:rsidRPr="00982C2B">
              <w:rPr>
                <w:rFonts w:cs="Times New Roman"/>
                <w:sz w:val="20"/>
                <w:szCs w:val="20"/>
                <w:lang w:val="fr-CA"/>
              </w:rPr>
              <w:t xml:space="preserve">Cour supérieure de justice de l’Ontario </w:t>
            </w:r>
          </w:p>
          <w:p w:rsidR="00284E4B" w:rsidRPr="00982C2B" w:rsidRDefault="00284E4B" w:rsidP="0061355E">
            <w:pPr>
              <w:jc w:val="both"/>
              <w:rPr>
                <w:rFonts w:cs="Times New Roman"/>
                <w:sz w:val="20"/>
                <w:szCs w:val="20"/>
                <w:lang w:val="fr-CA"/>
              </w:rPr>
            </w:pPr>
            <w:r w:rsidRPr="00982C2B">
              <w:rPr>
                <w:rFonts w:cs="Times New Roman"/>
                <w:sz w:val="20"/>
                <w:szCs w:val="20"/>
                <w:lang w:val="fr-CA"/>
              </w:rPr>
              <w:t>(Juge Campbell)</w:t>
            </w:r>
          </w:p>
          <w:p w:rsidR="00284E4B" w:rsidRPr="00982C2B" w:rsidRDefault="00284E4B" w:rsidP="008A719E">
            <w:pPr>
              <w:jc w:val="both"/>
              <w:rPr>
                <w:rFonts w:cs="Times New Roman"/>
                <w:szCs w:val="20"/>
                <w:u w:val="single"/>
                <w:lang w:val="fr-CA"/>
              </w:rPr>
            </w:pPr>
            <w:r w:rsidRPr="00982C2B">
              <w:rPr>
                <w:rFonts w:cs="Times New Roman"/>
                <w:sz w:val="20"/>
                <w:szCs w:val="20"/>
                <w:lang w:val="fr-CA"/>
              </w:rPr>
              <w:t xml:space="preserve">Référence neutre : </w:t>
            </w:r>
            <w:hyperlink r:id="rId20" w:history="1">
              <w:r w:rsidRPr="00982C2B">
                <w:rPr>
                  <w:rStyle w:val="Hyperlink"/>
                  <w:rFonts w:cs="Times New Roman"/>
                  <w:sz w:val="20"/>
                  <w:szCs w:val="20"/>
                  <w:lang w:val="fr-CA"/>
                </w:rPr>
                <w:t>2014 ONSC 655</w:t>
              </w:r>
            </w:hyperlink>
          </w:p>
        </w:tc>
        <w:tc>
          <w:tcPr>
            <w:tcW w:w="630" w:type="dxa"/>
          </w:tcPr>
          <w:p w:rsidR="00284E4B"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284E4B" w:rsidRPr="00982C2B" w:rsidRDefault="00284E4B" w:rsidP="0061355E">
            <w:pPr>
              <w:pStyle w:val="SCCShortJudgment"/>
              <w:ind w:firstLine="0"/>
              <w:rPr>
                <w:rFonts w:cs="Times New Roman"/>
                <w:szCs w:val="20"/>
                <w:u w:val="single"/>
                <w:lang w:val="fr-CA"/>
              </w:rPr>
            </w:pPr>
            <w:r w:rsidRPr="00982C2B">
              <w:rPr>
                <w:rFonts w:cs="Times New Roman"/>
                <w:szCs w:val="20"/>
                <w:lang w:val="fr-CA"/>
              </w:rPr>
              <w:t xml:space="preserve">Déclaration de culpabilité pour possession d’une fausse arme à feu dans un dessein dangereux pour la paix publique et usage d’une fausse arme à feu lors de la perpétration d’un acte criminel  </w:t>
            </w:r>
          </w:p>
        </w:tc>
      </w:tr>
      <w:tr w:rsidR="00284E4B" w:rsidRPr="009F3029" w:rsidTr="00843538">
        <w:trPr>
          <w:cantSplit/>
        </w:trPr>
        <w:tc>
          <w:tcPr>
            <w:tcW w:w="4410" w:type="dxa"/>
          </w:tcPr>
          <w:p w:rsidR="00284E4B" w:rsidRPr="00982C2B" w:rsidRDefault="00284E4B" w:rsidP="0061355E">
            <w:pPr>
              <w:jc w:val="both"/>
              <w:rPr>
                <w:rFonts w:cs="Times New Roman"/>
                <w:sz w:val="20"/>
                <w:szCs w:val="20"/>
                <w:lang w:val="fr-CA"/>
              </w:rPr>
            </w:pPr>
            <w:r w:rsidRPr="00982C2B">
              <w:rPr>
                <w:rFonts w:cs="Times New Roman"/>
                <w:sz w:val="20"/>
                <w:szCs w:val="20"/>
                <w:lang w:val="fr-CA"/>
              </w:rPr>
              <w:t>6 juillet 2015</w:t>
            </w:r>
          </w:p>
          <w:p w:rsidR="00284E4B" w:rsidRPr="00982C2B" w:rsidRDefault="00284E4B" w:rsidP="0061355E">
            <w:pPr>
              <w:jc w:val="both"/>
              <w:rPr>
                <w:rFonts w:cs="Times New Roman"/>
                <w:sz w:val="20"/>
                <w:szCs w:val="20"/>
                <w:lang w:val="fr-CA"/>
              </w:rPr>
            </w:pPr>
            <w:r w:rsidRPr="00982C2B">
              <w:rPr>
                <w:rFonts w:cs="Times New Roman"/>
                <w:sz w:val="20"/>
                <w:szCs w:val="20"/>
                <w:lang w:val="fr-CA"/>
              </w:rPr>
              <w:t>Cour d’appel de l’Ontario</w:t>
            </w:r>
          </w:p>
          <w:p w:rsidR="00284E4B" w:rsidRPr="00982C2B" w:rsidRDefault="00284E4B" w:rsidP="0061355E">
            <w:pPr>
              <w:jc w:val="both"/>
              <w:rPr>
                <w:rFonts w:cs="Times New Roman"/>
                <w:sz w:val="20"/>
                <w:szCs w:val="20"/>
                <w:lang w:val="fr-CA"/>
              </w:rPr>
            </w:pPr>
            <w:r w:rsidRPr="00982C2B">
              <w:rPr>
                <w:rFonts w:cs="Times New Roman"/>
                <w:sz w:val="20"/>
                <w:szCs w:val="20"/>
                <w:lang w:val="fr-CA"/>
              </w:rPr>
              <w:t>(Juges Juriansz, Rouleau et Hourigan)</w:t>
            </w:r>
          </w:p>
          <w:p w:rsidR="00284E4B" w:rsidRPr="00982C2B" w:rsidRDefault="00284E4B" w:rsidP="008A719E">
            <w:pPr>
              <w:jc w:val="both"/>
              <w:rPr>
                <w:rFonts w:cs="Times New Roman"/>
                <w:szCs w:val="20"/>
                <w:u w:val="single"/>
                <w:lang w:val="fr-CA"/>
              </w:rPr>
            </w:pPr>
            <w:r w:rsidRPr="00982C2B">
              <w:rPr>
                <w:rFonts w:cs="Times New Roman"/>
                <w:sz w:val="20"/>
                <w:szCs w:val="20"/>
                <w:lang w:val="fr-CA"/>
              </w:rPr>
              <w:t>Référence neutre </w:t>
            </w:r>
            <w:r w:rsidRPr="00982C2B">
              <w:rPr>
                <w:rFonts w:cs="Times New Roman"/>
                <w:sz w:val="20"/>
                <w:szCs w:val="20"/>
              </w:rPr>
              <w:t xml:space="preserve">: </w:t>
            </w:r>
            <w:hyperlink r:id="rId21" w:history="1">
              <w:r w:rsidRPr="00982C2B">
                <w:rPr>
                  <w:rStyle w:val="Hyperlink"/>
                  <w:rFonts w:cs="Times New Roman"/>
                  <w:sz w:val="20"/>
                  <w:szCs w:val="20"/>
                </w:rPr>
                <w:t>2015 ONCA 499</w:t>
              </w:r>
            </w:hyperlink>
          </w:p>
        </w:tc>
        <w:tc>
          <w:tcPr>
            <w:tcW w:w="630" w:type="dxa"/>
          </w:tcPr>
          <w:p w:rsidR="00284E4B"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284E4B" w:rsidRPr="00982C2B" w:rsidRDefault="00284E4B" w:rsidP="0061355E">
            <w:pPr>
              <w:pStyle w:val="SCCShortJudgment"/>
              <w:ind w:firstLine="0"/>
              <w:rPr>
                <w:rFonts w:cs="Times New Roman"/>
                <w:szCs w:val="20"/>
                <w:u w:val="single"/>
                <w:lang w:val="fr-CA"/>
              </w:rPr>
            </w:pPr>
            <w:r w:rsidRPr="00982C2B">
              <w:rPr>
                <w:rFonts w:cs="Times New Roman"/>
                <w:szCs w:val="20"/>
                <w:lang w:val="fr-CA"/>
              </w:rPr>
              <w:t>Appel accueilli en partie; annulation de la déclaration de culpabilité pour possession d’une fausse arme à feu</w:t>
            </w:r>
          </w:p>
        </w:tc>
      </w:tr>
      <w:tr w:rsidR="00284E4B" w:rsidRPr="009F3029" w:rsidTr="00843538">
        <w:trPr>
          <w:cantSplit/>
        </w:trPr>
        <w:tc>
          <w:tcPr>
            <w:tcW w:w="4410" w:type="dxa"/>
          </w:tcPr>
          <w:p w:rsidR="00284E4B" w:rsidRPr="00982C2B" w:rsidRDefault="00EF3777" w:rsidP="0061355E">
            <w:pPr>
              <w:jc w:val="both"/>
              <w:rPr>
                <w:rFonts w:cs="Times New Roman"/>
                <w:sz w:val="20"/>
                <w:szCs w:val="20"/>
                <w:lang w:val="fr-CA"/>
              </w:rPr>
            </w:pPr>
            <w:r>
              <w:rPr>
                <w:rFonts w:cs="Times New Roman"/>
                <w:sz w:val="20"/>
                <w:szCs w:val="20"/>
                <w:lang w:val="fr-CA"/>
              </w:rPr>
              <w:t>35945</w:t>
            </w:r>
            <w:r w:rsidR="00284E4B" w:rsidRPr="00982C2B">
              <w:rPr>
                <w:rFonts w:cs="Times New Roman"/>
                <w:sz w:val="20"/>
                <w:szCs w:val="20"/>
                <w:lang w:val="fr-CA"/>
              </w:rPr>
              <w:t>4 septembre 2015</w:t>
            </w:r>
          </w:p>
          <w:p w:rsidR="00284E4B" w:rsidRPr="00982C2B" w:rsidRDefault="00284E4B" w:rsidP="008A719E">
            <w:pPr>
              <w:jc w:val="both"/>
              <w:rPr>
                <w:rFonts w:cs="Times New Roman"/>
                <w:szCs w:val="20"/>
                <w:u w:val="single"/>
                <w:lang w:val="fr-CA"/>
              </w:rPr>
            </w:pPr>
            <w:r w:rsidRPr="00982C2B">
              <w:rPr>
                <w:rFonts w:cs="Times New Roman"/>
                <w:sz w:val="20"/>
                <w:szCs w:val="20"/>
                <w:lang w:val="fr-CA"/>
              </w:rPr>
              <w:t>Cour suprême du Canada</w:t>
            </w:r>
          </w:p>
        </w:tc>
        <w:tc>
          <w:tcPr>
            <w:tcW w:w="630" w:type="dxa"/>
          </w:tcPr>
          <w:p w:rsidR="00284E4B"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p>
        </w:tc>
        <w:tc>
          <w:tcPr>
            <w:tcW w:w="4536" w:type="dxa"/>
          </w:tcPr>
          <w:p w:rsidR="00284E4B" w:rsidRPr="00982C2B" w:rsidRDefault="00284E4B" w:rsidP="0061355E">
            <w:pPr>
              <w:jc w:val="both"/>
              <w:rPr>
                <w:rFonts w:cs="Times New Roman"/>
                <w:sz w:val="20"/>
                <w:szCs w:val="20"/>
                <w:lang w:val="fr-CA"/>
              </w:rPr>
            </w:pPr>
            <w:r w:rsidRPr="00982C2B">
              <w:rPr>
                <w:rFonts w:cs="Times New Roman"/>
                <w:sz w:val="20"/>
                <w:szCs w:val="20"/>
                <w:lang w:val="fr-CA"/>
              </w:rPr>
              <w:t>Dépôt de la demande d’autorisation d’appel</w:t>
            </w:r>
          </w:p>
          <w:p w:rsidR="00284E4B" w:rsidRPr="00982C2B" w:rsidRDefault="00284E4B" w:rsidP="0061355E">
            <w:pPr>
              <w:pStyle w:val="SCCShortJudgment"/>
              <w:ind w:firstLine="0"/>
              <w:rPr>
                <w:rFonts w:cs="Times New Roman"/>
                <w:szCs w:val="20"/>
                <w:u w:val="single"/>
                <w:lang w:val="fr-CA"/>
              </w:rPr>
            </w:pPr>
          </w:p>
        </w:tc>
      </w:tr>
      <w:tr w:rsidR="00284E4B" w:rsidRPr="009F3029" w:rsidTr="00843538">
        <w:trPr>
          <w:cantSplit/>
        </w:trPr>
        <w:tc>
          <w:tcPr>
            <w:tcW w:w="4410" w:type="dxa"/>
          </w:tcPr>
          <w:p w:rsidR="00284E4B" w:rsidRPr="00982C2B" w:rsidRDefault="00284E4B" w:rsidP="0061355E">
            <w:pPr>
              <w:jc w:val="both"/>
              <w:rPr>
                <w:rFonts w:cs="Times New Roman"/>
                <w:sz w:val="20"/>
                <w:szCs w:val="20"/>
                <w:lang w:val="fr-CA"/>
              </w:rPr>
            </w:pPr>
            <w:r w:rsidRPr="00982C2B">
              <w:rPr>
                <w:rFonts w:cs="Times New Roman"/>
                <w:sz w:val="20"/>
                <w:szCs w:val="20"/>
                <w:lang w:val="fr-CA"/>
              </w:rPr>
              <w:t>10 octobre 2015</w:t>
            </w:r>
          </w:p>
          <w:p w:rsidR="00284E4B" w:rsidRPr="00982C2B" w:rsidRDefault="00284E4B" w:rsidP="006135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284E4B" w:rsidRPr="00982C2B" w:rsidRDefault="00284E4B" w:rsidP="0061355E">
            <w:pPr>
              <w:pStyle w:val="SCCShortJudgment"/>
              <w:ind w:firstLine="0"/>
              <w:rPr>
                <w:rFonts w:cs="Times New Roman"/>
                <w:szCs w:val="20"/>
                <w:u w:val="single"/>
                <w:lang w:val="fr-CA"/>
              </w:rPr>
            </w:pPr>
          </w:p>
        </w:tc>
        <w:tc>
          <w:tcPr>
            <w:tcW w:w="4536" w:type="dxa"/>
          </w:tcPr>
          <w:p w:rsidR="00284E4B" w:rsidRPr="00982C2B" w:rsidRDefault="00284E4B" w:rsidP="0061355E">
            <w:pPr>
              <w:pStyle w:val="SCCShortJudgment"/>
              <w:ind w:firstLine="0"/>
              <w:rPr>
                <w:rFonts w:cs="Times New Roman"/>
                <w:szCs w:val="20"/>
                <w:u w:val="single"/>
                <w:lang w:val="fr-CA"/>
              </w:rPr>
            </w:pPr>
            <w:r w:rsidRPr="00982C2B">
              <w:rPr>
                <w:rFonts w:cs="Times New Roman"/>
                <w:szCs w:val="20"/>
                <w:lang w:val="fr-CA"/>
              </w:rPr>
              <w:t>Dépôt de la requête en prorogation du délai pour signifier et déposer la demande d’autorisation d’appel</w:t>
            </w:r>
          </w:p>
        </w:tc>
      </w:tr>
    </w:tbl>
    <w:p w:rsidR="000E2959" w:rsidRPr="00982C2B" w:rsidRDefault="009F3029" w:rsidP="000E2959">
      <w:pPr>
        <w:rPr>
          <w:rFonts w:cs="Times New Roman"/>
          <w:sz w:val="20"/>
          <w:szCs w:val="20"/>
        </w:rPr>
      </w:pPr>
      <w:r>
        <w:rPr>
          <w:rFonts w:cs="Times New Roman"/>
          <w:sz w:val="20"/>
          <w:szCs w:val="20"/>
          <w:lang w:val="fr-CA"/>
        </w:rPr>
        <w:pict>
          <v:rect id="_x0000_i1044" style="width:2in;height:1pt" o:hrpct="0" o:hralign="center" o:hrstd="t" o:hrnoshade="t" o:hr="t" fillcolor="black [3213]" stroked="f"/>
        </w:pict>
      </w:r>
    </w:p>
    <w:p w:rsidR="000E2959" w:rsidRPr="00982C2B" w:rsidRDefault="000E2959"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B3524" w:rsidRPr="00982C2B" w:rsidTr="00843538">
        <w:trPr>
          <w:cantSplit/>
        </w:trPr>
        <w:tc>
          <w:tcPr>
            <w:tcW w:w="1458" w:type="dxa"/>
          </w:tcPr>
          <w:p w:rsidR="00BB3524" w:rsidRPr="00982C2B" w:rsidRDefault="00BB3524" w:rsidP="009D18B6">
            <w:pPr>
              <w:rPr>
                <w:rFonts w:cs="Times New Roman"/>
                <w:sz w:val="20"/>
                <w:szCs w:val="20"/>
              </w:rPr>
            </w:pPr>
            <w:r w:rsidRPr="00982C2B">
              <w:rPr>
                <w:rStyle w:val="SCCFileNumberChar"/>
                <w:sz w:val="20"/>
                <w:szCs w:val="20"/>
              </w:rPr>
              <w:t>36645</w:t>
            </w:r>
          </w:p>
          <w:p w:rsidR="00BB3524" w:rsidRPr="00982C2B" w:rsidRDefault="00BB3524" w:rsidP="009D18B6">
            <w:pPr>
              <w:rPr>
                <w:rFonts w:cs="Times New Roman"/>
                <w:b/>
                <w:sz w:val="20"/>
                <w:szCs w:val="20"/>
              </w:rPr>
            </w:pPr>
          </w:p>
        </w:tc>
        <w:tc>
          <w:tcPr>
            <w:tcW w:w="8118" w:type="dxa"/>
            <w:gridSpan w:val="3"/>
          </w:tcPr>
          <w:p w:rsidR="00BB3524" w:rsidRPr="00982C2B" w:rsidRDefault="006E6ABC" w:rsidP="009D18B6">
            <w:pPr>
              <w:rPr>
                <w:rFonts w:cs="Times New Roman"/>
                <w:sz w:val="20"/>
                <w:szCs w:val="20"/>
              </w:rPr>
            </w:pPr>
            <w:r w:rsidRPr="00982C2B">
              <w:rPr>
                <w:rStyle w:val="SCCLsocChar"/>
                <w:rFonts w:cs="Times New Roman"/>
                <w:sz w:val="20"/>
                <w:szCs w:val="20"/>
                <w:lang w:val="en-CA"/>
              </w:rPr>
              <w:t xml:space="preserve">Gillian Frank and Jamie Duong v. Attorney General of Canada </w:t>
            </w:r>
            <w:r w:rsidR="00BB3524" w:rsidRPr="00982C2B">
              <w:rPr>
                <w:rFonts w:cs="Times New Roman"/>
                <w:sz w:val="20"/>
                <w:szCs w:val="20"/>
              </w:rPr>
              <w:t>(Ont.) (C</w:t>
            </w:r>
            <w:r w:rsidRPr="00982C2B">
              <w:rPr>
                <w:rFonts w:cs="Times New Roman"/>
                <w:sz w:val="20"/>
                <w:szCs w:val="20"/>
              </w:rPr>
              <w:t>ivil</w:t>
            </w:r>
            <w:r w:rsidR="00BB3524" w:rsidRPr="00982C2B">
              <w:rPr>
                <w:rFonts w:cs="Times New Roman"/>
                <w:sz w:val="20"/>
                <w:szCs w:val="20"/>
              </w:rPr>
              <w:t>) (By Leave)</w:t>
            </w:r>
          </w:p>
          <w:p w:rsidR="00BB3524" w:rsidRPr="00982C2B" w:rsidRDefault="00BB3524" w:rsidP="009D18B6">
            <w:pPr>
              <w:rPr>
                <w:rFonts w:cs="Times New Roman"/>
                <w:sz w:val="20"/>
                <w:szCs w:val="20"/>
              </w:rPr>
            </w:pPr>
          </w:p>
        </w:tc>
      </w:tr>
      <w:tr w:rsidR="00BB3524" w:rsidRPr="00982C2B" w:rsidTr="00843538">
        <w:trPr>
          <w:cantSplit/>
        </w:trPr>
        <w:tc>
          <w:tcPr>
            <w:tcW w:w="1458" w:type="dxa"/>
          </w:tcPr>
          <w:p w:rsidR="00BB3524" w:rsidRPr="00982C2B" w:rsidRDefault="00BB3524" w:rsidP="009D18B6">
            <w:pPr>
              <w:rPr>
                <w:rFonts w:cs="Times New Roman"/>
                <w:sz w:val="20"/>
                <w:szCs w:val="20"/>
              </w:rPr>
            </w:pPr>
            <w:r w:rsidRPr="00982C2B">
              <w:rPr>
                <w:rFonts w:cs="Times New Roman"/>
                <w:sz w:val="20"/>
                <w:szCs w:val="20"/>
              </w:rPr>
              <w:t>Coram :</w:t>
            </w:r>
          </w:p>
        </w:tc>
        <w:tc>
          <w:tcPr>
            <w:tcW w:w="8118" w:type="dxa"/>
            <w:gridSpan w:val="3"/>
          </w:tcPr>
          <w:p w:rsidR="00BB3524" w:rsidRPr="00982C2B" w:rsidRDefault="006E6ABC" w:rsidP="009D18B6">
            <w:pPr>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6E6ABC" w:rsidRPr="00982C2B" w:rsidRDefault="006E6ABC" w:rsidP="009D18B6">
            <w:pPr>
              <w:rPr>
                <w:rFonts w:cs="Times New Roman"/>
                <w:sz w:val="20"/>
                <w:szCs w:val="20"/>
                <w:u w:val="single"/>
              </w:rPr>
            </w:pPr>
          </w:p>
        </w:tc>
      </w:tr>
      <w:tr w:rsidR="00BB3524" w:rsidRPr="009F3029" w:rsidTr="00843538">
        <w:trPr>
          <w:cantSplit/>
        </w:trPr>
        <w:tc>
          <w:tcPr>
            <w:tcW w:w="9576" w:type="dxa"/>
            <w:gridSpan w:val="4"/>
          </w:tcPr>
          <w:p w:rsidR="00BB3524" w:rsidRPr="00982C2B" w:rsidRDefault="00BB3524" w:rsidP="009D18B6">
            <w:pPr>
              <w:pStyle w:val="SCCShortJudgment"/>
              <w:ind w:firstLine="0"/>
              <w:rPr>
                <w:rFonts w:cs="Times New Roman"/>
                <w:szCs w:val="20"/>
              </w:rPr>
            </w:pPr>
            <w:r w:rsidRPr="00982C2B">
              <w:rPr>
                <w:rFonts w:cs="Times New Roman"/>
                <w:szCs w:val="20"/>
              </w:rPr>
              <w:tab/>
            </w:r>
            <w:r w:rsidR="00965E22" w:rsidRPr="00982C2B">
              <w:rPr>
                <w:rFonts w:cs="Times New Roman"/>
                <w:szCs w:val="20"/>
              </w:rPr>
              <w:t>The motion for an extension of time to serve and file the response to the application for leave to appeal is granted. The application for leave to appeal from the judgment of the Court of Appeal for Ontario, Number C58876, 2015 ONCA 536, dated July 20, 2015, is granted with costs in the cause.</w:t>
            </w:r>
          </w:p>
          <w:p w:rsidR="00BB3524" w:rsidRPr="00982C2B" w:rsidRDefault="00BB3524" w:rsidP="009D18B6">
            <w:pPr>
              <w:pStyle w:val="SCCShortJudgment"/>
              <w:ind w:firstLine="0"/>
              <w:rPr>
                <w:rFonts w:cs="Times New Roman"/>
                <w:szCs w:val="20"/>
              </w:rPr>
            </w:pPr>
          </w:p>
          <w:p w:rsidR="006E6ABC" w:rsidRPr="00982C2B" w:rsidRDefault="00BB3524" w:rsidP="006E6ABC">
            <w:pPr>
              <w:pStyle w:val="SCCShortJudgment"/>
              <w:ind w:firstLine="0"/>
              <w:rPr>
                <w:rFonts w:cs="Times New Roman"/>
                <w:szCs w:val="20"/>
                <w:lang w:val="fr-CA"/>
              </w:rPr>
            </w:pPr>
            <w:r w:rsidRPr="00982C2B">
              <w:rPr>
                <w:rFonts w:cs="Times New Roman"/>
                <w:szCs w:val="20"/>
              </w:rPr>
              <w:tab/>
            </w:r>
            <w:r w:rsidR="00965E22" w:rsidRPr="00982C2B">
              <w:rPr>
                <w:rFonts w:cs="Times New Roman"/>
                <w:szCs w:val="20"/>
                <w:lang w:val="fr-CA"/>
              </w:rPr>
              <w:t xml:space="preserve">La requête en prorogation du délai de signification et de dépôt de la réponse à la demande d’autorisation d’appel est accueillie. La demande d’autorisation d’appel de l’arrêt de la </w:t>
            </w:r>
            <w:r w:rsidR="00965E22" w:rsidRPr="00982C2B">
              <w:rPr>
                <w:rFonts w:cs="Times New Roman"/>
                <w:szCs w:val="20"/>
                <w:lang w:val="fr-FR"/>
              </w:rPr>
              <w:t>Cour d’appel de l’Ontario</w:t>
            </w:r>
            <w:r w:rsidR="00965E22" w:rsidRPr="00982C2B">
              <w:rPr>
                <w:rFonts w:cs="Times New Roman"/>
                <w:szCs w:val="20"/>
                <w:lang w:val="fr-CA"/>
              </w:rPr>
              <w:t xml:space="preserve">, numéro </w:t>
            </w:r>
            <w:r w:rsidR="00965E22" w:rsidRPr="00982C2B">
              <w:rPr>
                <w:rFonts w:cs="Times New Roman"/>
                <w:szCs w:val="20"/>
                <w:lang w:val="fr-FR"/>
              </w:rPr>
              <w:t>C58876, 2015 ONCA 536</w:t>
            </w:r>
            <w:r w:rsidR="00965E22" w:rsidRPr="00982C2B">
              <w:rPr>
                <w:rFonts w:cs="Times New Roman"/>
                <w:szCs w:val="20"/>
                <w:lang w:val="fr-CA"/>
              </w:rPr>
              <w:t xml:space="preserve">, daté du </w:t>
            </w:r>
            <w:r w:rsidR="00965E22" w:rsidRPr="00982C2B">
              <w:rPr>
                <w:rFonts w:cs="Times New Roman"/>
                <w:szCs w:val="20"/>
                <w:lang w:val="fr-FR"/>
              </w:rPr>
              <w:t>20 juillet 2015</w:t>
            </w:r>
            <w:r w:rsidR="00965E22" w:rsidRPr="00982C2B">
              <w:rPr>
                <w:rFonts w:cs="Times New Roman"/>
                <w:szCs w:val="20"/>
                <w:lang w:val="fr-CA"/>
              </w:rPr>
              <w:t>, est accueillie avec dépens selon l’issue de la cause.</w:t>
            </w:r>
          </w:p>
          <w:p w:rsidR="006E6ABC" w:rsidRPr="00982C2B" w:rsidRDefault="006E6ABC" w:rsidP="006E6ABC">
            <w:pPr>
              <w:pStyle w:val="SCCShortJudgment"/>
              <w:ind w:firstLine="0"/>
              <w:rPr>
                <w:rFonts w:cs="Times New Roman"/>
                <w:szCs w:val="20"/>
                <w:lang w:val="fr-CA"/>
              </w:rPr>
            </w:pPr>
          </w:p>
        </w:tc>
      </w:tr>
      <w:tr w:rsidR="00BB3524" w:rsidRPr="00982C2B" w:rsidTr="00843538">
        <w:trPr>
          <w:cantSplit/>
        </w:trPr>
        <w:tc>
          <w:tcPr>
            <w:tcW w:w="9576" w:type="dxa"/>
            <w:gridSpan w:val="4"/>
          </w:tcPr>
          <w:p w:rsidR="00BB3524" w:rsidRPr="00982C2B" w:rsidRDefault="00BB3524" w:rsidP="009D18B6">
            <w:pPr>
              <w:pStyle w:val="SCCShortJudgment"/>
              <w:ind w:firstLine="0"/>
              <w:rPr>
                <w:rFonts w:cs="Times New Roman"/>
                <w:szCs w:val="20"/>
                <w:u w:val="single"/>
                <w:lang w:val="fr-CA"/>
              </w:rPr>
            </w:pPr>
            <w:r w:rsidRPr="00982C2B">
              <w:rPr>
                <w:rFonts w:cs="Times New Roman"/>
                <w:szCs w:val="20"/>
                <w:u w:val="single"/>
                <w:lang w:val="fr-CA"/>
              </w:rPr>
              <w:t>CASE SUMMARY</w:t>
            </w:r>
          </w:p>
          <w:p w:rsidR="006E6ABC" w:rsidRPr="00982C2B" w:rsidRDefault="006E6ABC" w:rsidP="009D18B6">
            <w:pPr>
              <w:pStyle w:val="SCCShortJudgment"/>
              <w:ind w:firstLine="0"/>
              <w:rPr>
                <w:rFonts w:cs="Times New Roman"/>
                <w:szCs w:val="20"/>
                <w:u w:val="single"/>
                <w:lang w:val="fr-CA"/>
              </w:rPr>
            </w:pPr>
          </w:p>
        </w:tc>
      </w:tr>
      <w:tr w:rsidR="00BB3524" w:rsidRPr="00982C2B" w:rsidTr="00843538">
        <w:trPr>
          <w:cantSplit/>
        </w:trPr>
        <w:tc>
          <w:tcPr>
            <w:tcW w:w="9576" w:type="dxa"/>
            <w:gridSpan w:val="4"/>
          </w:tcPr>
          <w:p w:rsidR="00BB3524" w:rsidRDefault="006E6ABC" w:rsidP="008A719E">
            <w:pPr>
              <w:pStyle w:val="SCCShortJudgment"/>
              <w:ind w:firstLine="0"/>
              <w:rPr>
                <w:rFonts w:cs="Times New Roman"/>
                <w:szCs w:val="20"/>
              </w:rPr>
            </w:pPr>
            <w:r w:rsidRPr="00982C2B">
              <w:rPr>
                <w:rFonts w:cs="Times New Roman"/>
                <w:i/>
                <w:szCs w:val="20"/>
              </w:rPr>
              <w:t>Charter of rights</w:t>
            </w:r>
            <w:r w:rsidRPr="00982C2B">
              <w:rPr>
                <w:rFonts w:cs="Times New Roman"/>
                <w:szCs w:val="20"/>
              </w:rPr>
              <w:t xml:space="preserve"> </w:t>
            </w:r>
            <w:r w:rsidRPr="00982C2B">
              <w:rPr>
                <w:rFonts w:cs="Times New Roman"/>
                <w:i/>
                <w:szCs w:val="20"/>
                <w:lang w:val="en-US"/>
              </w:rPr>
              <w:t xml:space="preserve">— </w:t>
            </w:r>
            <w:r w:rsidRPr="00982C2B">
              <w:rPr>
                <w:rFonts w:cs="Times New Roman"/>
                <w:szCs w:val="20"/>
              </w:rPr>
              <w:t xml:space="preserve">Constitutional law </w:t>
            </w:r>
            <w:r w:rsidRPr="00982C2B">
              <w:rPr>
                <w:rFonts w:cs="Times New Roman"/>
                <w:i/>
                <w:szCs w:val="20"/>
                <w:lang w:val="en-US"/>
              </w:rPr>
              <w:t>—</w:t>
            </w:r>
            <w:r w:rsidRPr="00982C2B">
              <w:rPr>
                <w:rFonts w:cs="Times New Roman"/>
                <w:szCs w:val="20"/>
              </w:rPr>
              <w:t xml:space="preserve"> Right to vote </w:t>
            </w:r>
            <w:r w:rsidRPr="00982C2B">
              <w:rPr>
                <w:rFonts w:cs="Times New Roman"/>
                <w:i/>
                <w:szCs w:val="20"/>
                <w:lang w:val="en-US"/>
              </w:rPr>
              <w:t>—</w:t>
            </w:r>
            <w:r w:rsidRPr="00982C2B">
              <w:rPr>
                <w:rFonts w:cs="Times New Roman"/>
                <w:szCs w:val="20"/>
              </w:rPr>
              <w:t xml:space="preserve"> Residency requirement </w:t>
            </w:r>
            <w:r w:rsidRPr="00982C2B">
              <w:rPr>
                <w:rFonts w:cs="Times New Roman"/>
                <w:i/>
                <w:szCs w:val="20"/>
                <w:lang w:val="en-US"/>
              </w:rPr>
              <w:t>—</w:t>
            </w:r>
            <w:r w:rsidRPr="00982C2B">
              <w:rPr>
                <w:rFonts w:cs="Times New Roman"/>
                <w:szCs w:val="20"/>
              </w:rPr>
              <w:t xml:space="preserve"> Legislative provisions disqualifying persons resident outside Canada for five years or more from voting in federal elections </w:t>
            </w:r>
            <w:r w:rsidRPr="00982C2B">
              <w:rPr>
                <w:rFonts w:cs="Times New Roman"/>
                <w:i/>
                <w:szCs w:val="20"/>
                <w:lang w:val="en-US"/>
              </w:rPr>
              <w:t>—</w:t>
            </w:r>
            <w:r w:rsidRPr="00982C2B">
              <w:rPr>
                <w:rFonts w:cs="Times New Roman"/>
                <w:szCs w:val="20"/>
              </w:rPr>
              <w:t xml:space="preserve"> Whether denial of right to vote to Canadian citizens resident abroad for more than five years infringes section 3 of </w:t>
            </w:r>
            <w:r w:rsidRPr="00982C2B">
              <w:rPr>
                <w:rFonts w:cs="Times New Roman"/>
                <w:i/>
                <w:szCs w:val="20"/>
              </w:rPr>
              <w:t>Charter</w:t>
            </w:r>
            <w:r w:rsidRPr="00982C2B">
              <w:rPr>
                <w:rFonts w:cs="Times New Roman"/>
                <w:szCs w:val="20"/>
              </w:rPr>
              <w:t xml:space="preserve"> </w:t>
            </w:r>
            <w:r w:rsidRPr="00982C2B">
              <w:rPr>
                <w:rFonts w:cs="Times New Roman"/>
                <w:i/>
                <w:szCs w:val="20"/>
                <w:lang w:val="en-US"/>
              </w:rPr>
              <w:t>—</w:t>
            </w:r>
            <w:r w:rsidRPr="00982C2B">
              <w:rPr>
                <w:rFonts w:cs="Times New Roman"/>
                <w:szCs w:val="20"/>
              </w:rPr>
              <w:t xml:space="preserve"> Whether breach justifiable under s. 1 of </w:t>
            </w:r>
            <w:r w:rsidRPr="00982C2B">
              <w:rPr>
                <w:rFonts w:cs="Times New Roman"/>
                <w:i/>
                <w:szCs w:val="20"/>
              </w:rPr>
              <w:t>Charter</w:t>
            </w:r>
            <w:r w:rsidRPr="00982C2B">
              <w:rPr>
                <w:rFonts w:cs="Times New Roman"/>
                <w:szCs w:val="20"/>
              </w:rPr>
              <w:t xml:space="preserve"> </w:t>
            </w:r>
            <w:r w:rsidRPr="00982C2B">
              <w:rPr>
                <w:rFonts w:cs="Times New Roman"/>
                <w:i/>
                <w:szCs w:val="20"/>
                <w:lang w:val="en-US"/>
              </w:rPr>
              <w:t>—</w:t>
            </w:r>
            <w:r w:rsidRPr="00982C2B">
              <w:rPr>
                <w:rFonts w:cs="Times New Roman"/>
                <w:szCs w:val="20"/>
              </w:rPr>
              <w:t xml:space="preserve"> </w:t>
            </w:r>
            <w:r w:rsidRPr="00982C2B">
              <w:rPr>
                <w:rFonts w:cs="Times New Roman"/>
                <w:i/>
                <w:szCs w:val="20"/>
              </w:rPr>
              <w:t>Canada Elections Act</w:t>
            </w:r>
            <w:r w:rsidRPr="00982C2B">
              <w:rPr>
                <w:rFonts w:cs="Times New Roman"/>
                <w:szCs w:val="20"/>
              </w:rPr>
              <w:t>, S.C. 2000, c. 9, ss. 11(d), 127, 220, 222, 223, 226.</w:t>
            </w:r>
          </w:p>
          <w:p w:rsidR="00A807ED" w:rsidRPr="00982C2B" w:rsidRDefault="00A807ED" w:rsidP="008A719E">
            <w:pPr>
              <w:pStyle w:val="SCCShortJudgment"/>
              <w:ind w:firstLine="0"/>
              <w:rPr>
                <w:rFonts w:cs="Times New Roman"/>
                <w:szCs w:val="20"/>
              </w:rPr>
            </w:pPr>
          </w:p>
        </w:tc>
      </w:tr>
      <w:tr w:rsidR="006E6ABC" w:rsidRPr="00982C2B" w:rsidTr="00843538">
        <w:trPr>
          <w:cantSplit/>
        </w:trPr>
        <w:tc>
          <w:tcPr>
            <w:tcW w:w="9576" w:type="dxa"/>
            <w:gridSpan w:val="4"/>
          </w:tcPr>
          <w:p w:rsidR="006E6ABC" w:rsidRPr="00982C2B" w:rsidRDefault="006E6ABC" w:rsidP="0061355E">
            <w:pPr>
              <w:jc w:val="both"/>
              <w:rPr>
                <w:rFonts w:cs="Times New Roman"/>
                <w:sz w:val="20"/>
                <w:szCs w:val="20"/>
              </w:rPr>
            </w:pPr>
            <w:r w:rsidRPr="00982C2B">
              <w:rPr>
                <w:rFonts w:cs="Times New Roman"/>
                <w:sz w:val="20"/>
                <w:szCs w:val="20"/>
              </w:rPr>
              <w:t xml:space="preserve">The applicants are Canadian citizens residing in the United States for employment reasons, who intend to return to Canada if circumstances permit. Both applicants were refused voting ballots for the 2011 Canadian General Election since they had been resident outside Canada for five years or more. The applicants sought a declaration that certain provisions of the </w:t>
            </w:r>
            <w:r w:rsidRPr="00982C2B">
              <w:rPr>
                <w:rFonts w:cs="Times New Roman"/>
                <w:i/>
                <w:sz w:val="20"/>
                <w:szCs w:val="20"/>
              </w:rPr>
              <w:t>Canada Elections Act</w:t>
            </w:r>
            <w:r w:rsidRPr="00982C2B">
              <w:rPr>
                <w:rFonts w:cs="Times New Roman"/>
                <w:sz w:val="20"/>
                <w:szCs w:val="20"/>
              </w:rPr>
              <w:t xml:space="preserve"> violated their </w:t>
            </w:r>
            <w:r w:rsidRPr="00982C2B">
              <w:rPr>
                <w:rFonts w:cs="Times New Roman"/>
                <w:i/>
                <w:sz w:val="20"/>
                <w:szCs w:val="20"/>
              </w:rPr>
              <w:t>Charter</w:t>
            </w:r>
            <w:r w:rsidRPr="00982C2B">
              <w:rPr>
                <w:rFonts w:cs="Times New Roman"/>
                <w:sz w:val="20"/>
                <w:szCs w:val="20"/>
              </w:rPr>
              <w:t>-protected</w:t>
            </w:r>
            <w:r w:rsidRPr="00982C2B">
              <w:rPr>
                <w:rFonts w:cs="Times New Roman"/>
                <w:i/>
                <w:sz w:val="20"/>
                <w:szCs w:val="20"/>
              </w:rPr>
              <w:t xml:space="preserve"> </w:t>
            </w:r>
            <w:r w:rsidRPr="00982C2B">
              <w:rPr>
                <w:rFonts w:cs="Times New Roman"/>
                <w:sz w:val="20"/>
                <w:szCs w:val="20"/>
              </w:rPr>
              <w:t xml:space="preserve">right to vote. A judge of the Ontario Superior Court of Justice declared the impugned provisions of the </w:t>
            </w:r>
            <w:r w:rsidRPr="00982C2B">
              <w:rPr>
                <w:rFonts w:cs="Times New Roman"/>
                <w:i/>
                <w:sz w:val="20"/>
                <w:szCs w:val="20"/>
              </w:rPr>
              <w:t>Act</w:t>
            </w:r>
            <w:r w:rsidRPr="00982C2B">
              <w:rPr>
                <w:rFonts w:cs="Times New Roman"/>
                <w:sz w:val="20"/>
                <w:szCs w:val="20"/>
              </w:rPr>
              <w:t xml:space="preserve"> unconstitutional by reason of violating the applicants’ right to vote under s. 3 of the </w:t>
            </w:r>
            <w:r w:rsidRPr="00982C2B">
              <w:rPr>
                <w:rFonts w:cs="Times New Roman"/>
                <w:i/>
                <w:sz w:val="20"/>
                <w:szCs w:val="20"/>
              </w:rPr>
              <w:t>Charter</w:t>
            </w:r>
            <w:r w:rsidRPr="00982C2B">
              <w:rPr>
                <w:rFonts w:cs="Times New Roman"/>
                <w:sz w:val="20"/>
                <w:szCs w:val="20"/>
              </w:rPr>
              <w:t xml:space="preserve">, and the violation was not justifiable under s. 1. </w:t>
            </w:r>
          </w:p>
          <w:p w:rsidR="006E6ABC" w:rsidRPr="00982C2B" w:rsidRDefault="006E6ABC" w:rsidP="0061355E">
            <w:pPr>
              <w:jc w:val="both"/>
              <w:rPr>
                <w:rFonts w:cs="Times New Roman"/>
                <w:sz w:val="20"/>
                <w:szCs w:val="20"/>
              </w:rPr>
            </w:pPr>
          </w:p>
          <w:p w:rsidR="006E6ABC" w:rsidRPr="00982C2B" w:rsidRDefault="006E6ABC" w:rsidP="0061355E">
            <w:pPr>
              <w:jc w:val="both"/>
              <w:rPr>
                <w:rFonts w:cs="Times New Roman"/>
                <w:sz w:val="20"/>
                <w:szCs w:val="20"/>
              </w:rPr>
            </w:pPr>
            <w:r w:rsidRPr="00982C2B">
              <w:rPr>
                <w:rFonts w:cs="Times New Roman"/>
                <w:sz w:val="20"/>
                <w:szCs w:val="20"/>
              </w:rPr>
              <w:t>A majority of the Court of Appeal allowed the Attorney General’s appeal, finding that the denial of the vote to non-resident citizens who have been outside Canada for five years or more is saved by s. 1. The limitation is rationally connected to the government’s pressing and substantial objective of preserving Canada’s “social contract” (whereby resident citizens submit to the laws passed by elected representatives because they had a voice in making such laws); it minimally impairs the voting rights of non-resident citizens by ensuring they may still vote if they resume residence in Canada; and the limitation’s deleterious effects do not outweigh the law’s benefits. In dissent, Laskin J.A. would have dismissed the appeal, finding that the “social contract” was not an appropriate nor a pressing and substantial legislative objective, and should not have been considered by the court. Justice Laskin also found that the denial of the right to vote was not rationally connected to the stated objective and did not minimally impair the rights of non-resident citizens, and that its harmful effects outweighed the stated benefits of the limitation.</w:t>
            </w:r>
          </w:p>
          <w:p w:rsidR="006E6ABC" w:rsidRPr="00982C2B" w:rsidRDefault="006E6ABC" w:rsidP="0061355E">
            <w:pPr>
              <w:pStyle w:val="SCCShortJudgment"/>
              <w:ind w:firstLine="0"/>
              <w:rPr>
                <w:rFonts w:cs="Times New Roman"/>
                <w:i/>
                <w:szCs w:val="20"/>
              </w:rPr>
            </w:pPr>
          </w:p>
        </w:tc>
      </w:tr>
      <w:tr w:rsidR="006E6ABC" w:rsidRPr="00982C2B" w:rsidTr="00843538">
        <w:trPr>
          <w:cantSplit/>
        </w:trPr>
        <w:tc>
          <w:tcPr>
            <w:tcW w:w="4410" w:type="dxa"/>
            <w:gridSpan w:val="2"/>
          </w:tcPr>
          <w:p w:rsidR="006E6ABC" w:rsidRPr="00982C2B" w:rsidRDefault="006E6ABC" w:rsidP="0061355E">
            <w:pPr>
              <w:jc w:val="both"/>
              <w:rPr>
                <w:rFonts w:cs="Times New Roman"/>
                <w:sz w:val="20"/>
                <w:szCs w:val="20"/>
              </w:rPr>
            </w:pPr>
            <w:r w:rsidRPr="00982C2B">
              <w:rPr>
                <w:rFonts w:cs="Times New Roman"/>
                <w:sz w:val="20"/>
                <w:szCs w:val="20"/>
              </w:rPr>
              <w:t>May 2, 2014</w:t>
            </w:r>
          </w:p>
          <w:p w:rsidR="006E6ABC" w:rsidRPr="00982C2B" w:rsidRDefault="006E6ABC" w:rsidP="0061355E">
            <w:pPr>
              <w:jc w:val="both"/>
              <w:rPr>
                <w:rFonts w:cs="Times New Roman"/>
                <w:sz w:val="20"/>
                <w:szCs w:val="20"/>
              </w:rPr>
            </w:pPr>
            <w:r w:rsidRPr="00982C2B">
              <w:rPr>
                <w:rFonts w:cs="Times New Roman"/>
                <w:sz w:val="20"/>
                <w:szCs w:val="20"/>
              </w:rPr>
              <w:t>Ontario Superior Court of Justice</w:t>
            </w:r>
          </w:p>
          <w:p w:rsidR="006E6ABC" w:rsidRPr="00982C2B" w:rsidRDefault="006E6ABC" w:rsidP="0061355E">
            <w:pPr>
              <w:jc w:val="both"/>
              <w:rPr>
                <w:rFonts w:cs="Times New Roman"/>
                <w:sz w:val="20"/>
                <w:szCs w:val="20"/>
              </w:rPr>
            </w:pPr>
            <w:r w:rsidRPr="00982C2B">
              <w:rPr>
                <w:rFonts w:cs="Times New Roman"/>
                <w:sz w:val="20"/>
                <w:szCs w:val="20"/>
              </w:rPr>
              <w:t>(Penny J.)</w:t>
            </w:r>
          </w:p>
          <w:p w:rsidR="006E6ABC" w:rsidRPr="00982C2B" w:rsidRDefault="009F3029" w:rsidP="0061355E">
            <w:pPr>
              <w:jc w:val="both"/>
              <w:rPr>
                <w:rFonts w:cs="Times New Roman"/>
                <w:sz w:val="20"/>
                <w:szCs w:val="20"/>
              </w:rPr>
            </w:pPr>
            <w:hyperlink r:id="rId22" w:history="1">
              <w:r w:rsidR="006E6ABC" w:rsidRPr="00982C2B">
                <w:rPr>
                  <w:rStyle w:val="Hyperlink"/>
                  <w:rFonts w:cs="Times New Roman"/>
                  <w:sz w:val="20"/>
                  <w:szCs w:val="20"/>
                </w:rPr>
                <w:t>2014 ONSC 907</w:t>
              </w:r>
            </w:hyperlink>
          </w:p>
          <w:p w:rsidR="006E6ABC" w:rsidRPr="00982C2B" w:rsidRDefault="006E6ABC" w:rsidP="008A719E">
            <w:pPr>
              <w:jc w:val="both"/>
              <w:rPr>
                <w:rFonts w:cs="Times New Roman"/>
                <w:sz w:val="20"/>
                <w:szCs w:val="20"/>
              </w:rPr>
            </w:pPr>
            <w:r w:rsidRPr="00982C2B">
              <w:rPr>
                <w:rFonts w:cs="Times New Roman"/>
                <w:sz w:val="20"/>
                <w:szCs w:val="20"/>
              </w:rPr>
              <w:t>(amended reasons May 15, 2014)</w:t>
            </w:r>
          </w:p>
        </w:tc>
        <w:tc>
          <w:tcPr>
            <w:tcW w:w="630" w:type="dxa"/>
          </w:tcPr>
          <w:p w:rsidR="006E6ABC" w:rsidRPr="00982C2B" w:rsidRDefault="008A719E" w:rsidP="008A719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6E6ABC" w:rsidRPr="00982C2B" w:rsidRDefault="006E6ABC" w:rsidP="008A719E">
            <w:pPr>
              <w:jc w:val="both"/>
              <w:rPr>
                <w:rFonts w:cs="Times New Roman"/>
                <w:sz w:val="20"/>
                <w:szCs w:val="20"/>
              </w:rPr>
            </w:pPr>
            <w:r w:rsidRPr="00982C2B">
              <w:rPr>
                <w:rFonts w:cs="Times New Roman"/>
                <w:sz w:val="20"/>
                <w:szCs w:val="20"/>
              </w:rPr>
              <w:t xml:space="preserve">Application by Mr. Frank and Mr. Duong seeking declaration of constitutional invalidity for provisions of </w:t>
            </w:r>
            <w:r w:rsidRPr="00982C2B">
              <w:rPr>
                <w:rFonts w:cs="Times New Roman"/>
                <w:i/>
                <w:sz w:val="20"/>
                <w:szCs w:val="20"/>
              </w:rPr>
              <w:t>Canada Elections Act</w:t>
            </w:r>
            <w:r w:rsidRPr="00982C2B">
              <w:rPr>
                <w:rFonts w:cs="Times New Roman"/>
                <w:sz w:val="20"/>
                <w:szCs w:val="20"/>
              </w:rPr>
              <w:t xml:space="preserve"> </w:t>
            </w:r>
            <w:r w:rsidRPr="00982C2B">
              <w:rPr>
                <w:rFonts w:cs="Times New Roman"/>
                <w:i/>
                <w:sz w:val="20"/>
                <w:szCs w:val="20"/>
                <w:lang w:val="en-US"/>
              </w:rPr>
              <w:t>—</w:t>
            </w:r>
            <w:r w:rsidRPr="00982C2B">
              <w:rPr>
                <w:rFonts w:cs="Times New Roman"/>
                <w:sz w:val="20"/>
                <w:szCs w:val="20"/>
              </w:rPr>
              <w:t xml:space="preserve"> allowed</w:t>
            </w:r>
          </w:p>
        </w:tc>
      </w:tr>
      <w:tr w:rsidR="006E6ABC" w:rsidRPr="00982C2B" w:rsidTr="00843538">
        <w:trPr>
          <w:cantSplit/>
        </w:trPr>
        <w:tc>
          <w:tcPr>
            <w:tcW w:w="4410" w:type="dxa"/>
            <w:gridSpan w:val="2"/>
          </w:tcPr>
          <w:p w:rsidR="006E6ABC" w:rsidRPr="00982C2B" w:rsidRDefault="006E6ABC" w:rsidP="0061355E">
            <w:pPr>
              <w:jc w:val="both"/>
              <w:rPr>
                <w:rFonts w:cs="Times New Roman"/>
                <w:sz w:val="20"/>
                <w:szCs w:val="20"/>
              </w:rPr>
            </w:pPr>
            <w:r w:rsidRPr="00982C2B">
              <w:rPr>
                <w:rFonts w:cs="Times New Roman"/>
                <w:sz w:val="20"/>
                <w:szCs w:val="20"/>
              </w:rPr>
              <w:t>June 23, 2014</w:t>
            </w:r>
          </w:p>
          <w:p w:rsidR="006E6ABC" w:rsidRPr="00982C2B" w:rsidRDefault="006E6ABC" w:rsidP="0061355E">
            <w:pPr>
              <w:jc w:val="both"/>
              <w:rPr>
                <w:rFonts w:cs="Times New Roman"/>
                <w:sz w:val="20"/>
                <w:szCs w:val="20"/>
              </w:rPr>
            </w:pPr>
            <w:r w:rsidRPr="00982C2B">
              <w:rPr>
                <w:rFonts w:cs="Times New Roman"/>
                <w:sz w:val="20"/>
                <w:szCs w:val="20"/>
              </w:rPr>
              <w:t>Court of Appeal for Ontario</w:t>
            </w:r>
          </w:p>
          <w:p w:rsidR="006E6ABC" w:rsidRPr="00982C2B" w:rsidRDefault="006E6ABC" w:rsidP="0061355E">
            <w:pPr>
              <w:jc w:val="both"/>
              <w:rPr>
                <w:rFonts w:cs="Times New Roman"/>
                <w:sz w:val="20"/>
                <w:szCs w:val="20"/>
              </w:rPr>
            </w:pPr>
            <w:r w:rsidRPr="00982C2B">
              <w:rPr>
                <w:rFonts w:cs="Times New Roman"/>
                <w:sz w:val="20"/>
                <w:szCs w:val="20"/>
              </w:rPr>
              <w:t>(Sharpe J.A.)</w:t>
            </w:r>
          </w:p>
          <w:p w:rsidR="006E6ABC" w:rsidRPr="00982C2B" w:rsidRDefault="009F3029" w:rsidP="008A719E">
            <w:pPr>
              <w:jc w:val="both"/>
              <w:rPr>
                <w:rFonts w:cs="Times New Roman"/>
                <w:sz w:val="20"/>
                <w:szCs w:val="20"/>
              </w:rPr>
            </w:pPr>
            <w:hyperlink r:id="rId23" w:history="1">
              <w:r w:rsidR="006E6ABC" w:rsidRPr="00982C2B">
                <w:rPr>
                  <w:rStyle w:val="Hyperlink"/>
                  <w:rFonts w:cs="Times New Roman"/>
                  <w:sz w:val="20"/>
                  <w:szCs w:val="20"/>
                </w:rPr>
                <w:t>2014 ONCA 485</w:t>
              </w:r>
            </w:hyperlink>
          </w:p>
        </w:tc>
        <w:tc>
          <w:tcPr>
            <w:tcW w:w="630" w:type="dxa"/>
          </w:tcPr>
          <w:p w:rsidR="006E6ABC" w:rsidRPr="00982C2B" w:rsidRDefault="008A719E" w:rsidP="008A719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6E6ABC" w:rsidRPr="00982C2B" w:rsidRDefault="006E6ABC" w:rsidP="0061355E">
            <w:pPr>
              <w:jc w:val="both"/>
              <w:rPr>
                <w:rFonts w:cs="Times New Roman"/>
                <w:sz w:val="20"/>
                <w:szCs w:val="20"/>
              </w:rPr>
            </w:pPr>
            <w:r w:rsidRPr="00982C2B">
              <w:rPr>
                <w:rFonts w:cs="Times New Roman"/>
                <w:sz w:val="20"/>
                <w:szCs w:val="20"/>
              </w:rPr>
              <w:t xml:space="preserve">Motion by Attorney General of Canada for stay pending appeal of decision </w:t>
            </w:r>
            <w:r w:rsidRPr="00982C2B">
              <w:rPr>
                <w:rFonts w:cs="Times New Roman"/>
                <w:i/>
                <w:sz w:val="20"/>
                <w:szCs w:val="20"/>
                <w:lang w:val="en-US"/>
              </w:rPr>
              <w:t>—</w:t>
            </w:r>
            <w:r w:rsidRPr="00982C2B">
              <w:rPr>
                <w:rFonts w:cs="Times New Roman"/>
                <w:sz w:val="20"/>
                <w:szCs w:val="20"/>
              </w:rPr>
              <w:t xml:space="preserve"> dismissed</w:t>
            </w:r>
          </w:p>
        </w:tc>
      </w:tr>
      <w:tr w:rsidR="006E6ABC" w:rsidRPr="00982C2B" w:rsidTr="00843538">
        <w:trPr>
          <w:cantSplit/>
        </w:trPr>
        <w:tc>
          <w:tcPr>
            <w:tcW w:w="4410" w:type="dxa"/>
            <w:gridSpan w:val="2"/>
          </w:tcPr>
          <w:p w:rsidR="006E6ABC" w:rsidRPr="00982C2B" w:rsidRDefault="006E6ABC" w:rsidP="0061355E">
            <w:pPr>
              <w:jc w:val="both"/>
              <w:rPr>
                <w:rFonts w:cs="Times New Roman"/>
                <w:sz w:val="20"/>
                <w:szCs w:val="20"/>
              </w:rPr>
            </w:pPr>
            <w:r w:rsidRPr="00982C2B">
              <w:rPr>
                <w:rFonts w:cs="Times New Roman"/>
                <w:sz w:val="20"/>
                <w:szCs w:val="20"/>
              </w:rPr>
              <w:t>July 20, 2015</w:t>
            </w:r>
          </w:p>
          <w:p w:rsidR="006E6ABC" w:rsidRPr="00982C2B" w:rsidRDefault="006E6ABC" w:rsidP="0061355E">
            <w:pPr>
              <w:jc w:val="both"/>
              <w:rPr>
                <w:rFonts w:cs="Times New Roman"/>
                <w:sz w:val="20"/>
                <w:szCs w:val="20"/>
              </w:rPr>
            </w:pPr>
            <w:r w:rsidRPr="00982C2B">
              <w:rPr>
                <w:rFonts w:cs="Times New Roman"/>
                <w:sz w:val="20"/>
                <w:szCs w:val="20"/>
              </w:rPr>
              <w:t>Court of Appeal for Ontario</w:t>
            </w:r>
          </w:p>
          <w:p w:rsidR="006E6ABC" w:rsidRPr="00982C2B" w:rsidRDefault="006E6ABC" w:rsidP="0061355E">
            <w:pPr>
              <w:jc w:val="both"/>
              <w:rPr>
                <w:rFonts w:cs="Times New Roman"/>
                <w:sz w:val="20"/>
                <w:szCs w:val="20"/>
              </w:rPr>
            </w:pPr>
            <w:r w:rsidRPr="00982C2B">
              <w:rPr>
                <w:rFonts w:cs="Times New Roman"/>
                <w:sz w:val="20"/>
                <w:szCs w:val="20"/>
              </w:rPr>
              <w:t xml:space="preserve">(Strathy C.J.O., and Laskin [dissenting] and </w:t>
            </w:r>
          </w:p>
          <w:p w:rsidR="006E6ABC" w:rsidRPr="00982C2B" w:rsidRDefault="006E6ABC" w:rsidP="0061355E">
            <w:pPr>
              <w:jc w:val="both"/>
              <w:rPr>
                <w:rFonts w:cs="Times New Roman"/>
                <w:sz w:val="20"/>
                <w:szCs w:val="20"/>
              </w:rPr>
            </w:pPr>
            <w:r w:rsidRPr="00982C2B">
              <w:rPr>
                <w:rFonts w:cs="Times New Roman"/>
                <w:sz w:val="20"/>
                <w:szCs w:val="20"/>
              </w:rPr>
              <w:t>Brown, JJ.A.)</w:t>
            </w:r>
          </w:p>
          <w:p w:rsidR="006E6ABC" w:rsidRPr="00982C2B" w:rsidRDefault="009F3029" w:rsidP="008A719E">
            <w:pPr>
              <w:jc w:val="both"/>
              <w:rPr>
                <w:rFonts w:cs="Times New Roman"/>
                <w:sz w:val="20"/>
                <w:szCs w:val="20"/>
              </w:rPr>
            </w:pPr>
            <w:hyperlink r:id="rId24" w:history="1">
              <w:r w:rsidR="006E6ABC" w:rsidRPr="00982C2B">
                <w:rPr>
                  <w:rStyle w:val="Hyperlink"/>
                  <w:rFonts w:cs="Times New Roman"/>
                  <w:sz w:val="20"/>
                  <w:szCs w:val="20"/>
                </w:rPr>
                <w:t>2015 ONCA 536</w:t>
              </w:r>
            </w:hyperlink>
          </w:p>
        </w:tc>
        <w:tc>
          <w:tcPr>
            <w:tcW w:w="630" w:type="dxa"/>
          </w:tcPr>
          <w:p w:rsidR="006E6ABC"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6E6ABC" w:rsidRPr="00982C2B" w:rsidRDefault="006E6ABC" w:rsidP="008A719E">
            <w:pPr>
              <w:jc w:val="both"/>
              <w:rPr>
                <w:rFonts w:cs="Times New Roman"/>
                <w:sz w:val="20"/>
                <w:szCs w:val="20"/>
              </w:rPr>
            </w:pPr>
            <w:r w:rsidRPr="00982C2B">
              <w:rPr>
                <w:rFonts w:cs="Times New Roman"/>
                <w:sz w:val="20"/>
                <w:szCs w:val="20"/>
              </w:rPr>
              <w:t xml:space="preserve">Appeal by Attorney General of Canada </w:t>
            </w:r>
            <w:r w:rsidRPr="00982C2B">
              <w:rPr>
                <w:rFonts w:cs="Times New Roman"/>
                <w:i/>
                <w:sz w:val="20"/>
                <w:szCs w:val="20"/>
                <w:lang w:val="en-US"/>
              </w:rPr>
              <w:t>—</w:t>
            </w:r>
            <w:r w:rsidRPr="00982C2B">
              <w:rPr>
                <w:rFonts w:cs="Times New Roman"/>
                <w:sz w:val="20"/>
                <w:szCs w:val="20"/>
              </w:rPr>
              <w:t xml:space="preserve"> allowed </w:t>
            </w:r>
          </w:p>
        </w:tc>
      </w:tr>
      <w:tr w:rsidR="006E6ABC" w:rsidRPr="00982C2B" w:rsidTr="00843538">
        <w:trPr>
          <w:cantSplit/>
        </w:trPr>
        <w:tc>
          <w:tcPr>
            <w:tcW w:w="4410" w:type="dxa"/>
            <w:gridSpan w:val="2"/>
          </w:tcPr>
          <w:p w:rsidR="006E6ABC" w:rsidRPr="00982C2B" w:rsidRDefault="006E6ABC" w:rsidP="0061355E">
            <w:pPr>
              <w:jc w:val="both"/>
              <w:rPr>
                <w:rFonts w:cs="Times New Roman"/>
                <w:sz w:val="20"/>
                <w:szCs w:val="20"/>
              </w:rPr>
            </w:pPr>
            <w:r w:rsidRPr="00982C2B">
              <w:rPr>
                <w:rFonts w:cs="Times New Roman"/>
                <w:sz w:val="20"/>
                <w:szCs w:val="20"/>
              </w:rPr>
              <w:t>September 29, 2015</w:t>
            </w:r>
          </w:p>
          <w:p w:rsidR="006E6ABC" w:rsidRPr="00982C2B" w:rsidRDefault="006E6ABC" w:rsidP="0061355E">
            <w:pPr>
              <w:jc w:val="both"/>
              <w:rPr>
                <w:rFonts w:cs="Times New Roman"/>
                <w:sz w:val="20"/>
                <w:szCs w:val="20"/>
              </w:rPr>
            </w:pPr>
            <w:r w:rsidRPr="00982C2B">
              <w:rPr>
                <w:rFonts w:cs="Times New Roman"/>
                <w:sz w:val="20"/>
                <w:szCs w:val="20"/>
              </w:rPr>
              <w:t>Supreme Court of Canada</w:t>
            </w:r>
          </w:p>
        </w:tc>
        <w:tc>
          <w:tcPr>
            <w:tcW w:w="630" w:type="dxa"/>
          </w:tcPr>
          <w:p w:rsidR="006E6ABC" w:rsidRPr="00982C2B" w:rsidRDefault="006E6ABC" w:rsidP="0061355E">
            <w:pPr>
              <w:jc w:val="both"/>
              <w:rPr>
                <w:rFonts w:cs="Times New Roman"/>
                <w:sz w:val="20"/>
                <w:szCs w:val="20"/>
              </w:rPr>
            </w:pPr>
          </w:p>
        </w:tc>
        <w:tc>
          <w:tcPr>
            <w:tcW w:w="4536" w:type="dxa"/>
          </w:tcPr>
          <w:p w:rsidR="006E6ABC" w:rsidRPr="00982C2B" w:rsidRDefault="006E6ABC" w:rsidP="0061355E">
            <w:pPr>
              <w:jc w:val="both"/>
              <w:rPr>
                <w:rFonts w:cs="Times New Roman"/>
                <w:sz w:val="20"/>
                <w:szCs w:val="20"/>
              </w:rPr>
            </w:pPr>
            <w:r w:rsidRPr="00982C2B">
              <w:rPr>
                <w:rFonts w:cs="Times New Roman"/>
                <w:sz w:val="20"/>
                <w:szCs w:val="20"/>
              </w:rPr>
              <w:t>Application for leave to appeal filed by Mr.  Frank and Mr. Duong</w:t>
            </w:r>
          </w:p>
        </w:tc>
      </w:tr>
      <w:tr w:rsidR="006E6ABC" w:rsidRPr="00982C2B" w:rsidTr="00843538">
        <w:trPr>
          <w:cantSplit/>
        </w:trPr>
        <w:tc>
          <w:tcPr>
            <w:tcW w:w="9576" w:type="dxa"/>
            <w:gridSpan w:val="4"/>
          </w:tcPr>
          <w:p w:rsidR="006E6ABC" w:rsidRPr="00982C2B" w:rsidRDefault="009F3029" w:rsidP="006E6ABC">
            <w:pPr>
              <w:pStyle w:val="SCCShortJudgment"/>
              <w:ind w:firstLine="0"/>
              <w:rPr>
                <w:rFonts w:cs="Times New Roman"/>
                <w:szCs w:val="20"/>
                <w:lang w:val="fr-CA"/>
              </w:rPr>
            </w:pPr>
            <w:r>
              <w:rPr>
                <w:rFonts w:cs="Times New Roman"/>
                <w:szCs w:val="20"/>
                <w:lang w:val="fr-CA"/>
              </w:rPr>
              <w:pict>
                <v:rect id="_x0000_i1045" style="width:2in;height:1pt" o:hrpct="0" o:hralign="center" o:hrstd="t" o:hrnoshade="t" o:hr="t" fillcolor="black [3213]" stroked="f"/>
              </w:pict>
            </w:r>
          </w:p>
          <w:p w:rsidR="006E6ABC" w:rsidRPr="00982C2B" w:rsidRDefault="006E6ABC" w:rsidP="006E6ABC">
            <w:pPr>
              <w:pStyle w:val="SCCShortJudgment"/>
              <w:ind w:firstLine="0"/>
              <w:rPr>
                <w:rFonts w:cs="Times New Roman"/>
                <w:szCs w:val="20"/>
                <w:lang w:val="fr-CA"/>
              </w:rPr>
            </w:pPr>
          </w:p>
        </w:tc>
      </w:tr>
      <w:tr w:rsidR="006E6ABC" w:rsidRPr="00982C2B" w:rsidTr="00843538">
        <w:trPr>
          <w:cantSplit/>
        </w:trPr>
        <w:tc>
          <w:tcPr>
            <w:tcW w:w="9576" w:type="dxa"/>
            <w:gridSpan w:val="4"/>
          </w:tcPr>
          <w:p w:rsidR="006E6ABC" w:rsidRPr="00982C2B" w:rsidRDefault="006E6ABC" w:rsidP="006E6ABC">
            <w:pPr>
              <w:pStyle w:val="SCCShortJudgment"/>
              <w:ind w:firstLine="0"/>
              <w:rPr>
                <w:rFonts w:cs="Times New Roman"/>
                <w:szCs w:val="20"/>
                <w:u w:val="single"/>
                <w:lang w:val="fr-CA"/>
              </w:rPr>
            </w:pPr>
            <w:r w:rsidRPr="00982C2B">
              <w:rPr>
                <w:rFonts w:cs="Times New Roman"/>
                <w:szCs w:val="20"/>
                <w:u w:val="single"/>
                <w:lang w:val="fr-CA"/>
              </w:rPr>
              <w:t>RÉSUMÉ DE L’AFFAIRE </w:t>
            </w:r>
          </w:p>
          <w:p w:rsidR="006E6ABC" w:rsidRPr="00982C2B" w:rsidRDefault="006E6ABC" w:rsidP="006E6ABC">
            <w:pPr>
              <w:pStyle w:val="SCCShortJudgment"/>
              <w:ind w:firstLine="0"/>
              <w:rPr>
                <w:rFonts w:cs="Times New Roman"/>
                <w:szCs w:val="20"/>
                <w:u w:val="single"/>
                <w:lang w:val="fr-CA"/>
              </w:rPr>
            </w:pPr>
          </w:p>
        </w:tc>
      </w:tr>
      <w:tr w:rsidR="006E6ABC" w:rsidRPr="009F3029" w:rsidTr="00843538">
        <w:trPr>
          <w:cantSplit/>
        </w:trPr>
        <w:tc>
          <w:tcPr>
            <w:tcW w:w="9576" w:type="dxa"/>
            <w:gridSpan w:val="4"/>
          </w:tcPr>
          <w:p w:rsidR="006E6ABC" w:rsidRPr="00982C2B" w:rsidRDefault="006E6ABC" w:rsidP="0061355E">
            <w:pPr>
              <w:pStyle w:val="SCCShortJudgment"/>
              <w:ind w:firstLine="0"/>
              <w:rPr>
                <w:rFonts w:cs="Times New Roman"/>
                <w:szCs w:val="20"/>
                <w:lang w:val="fr-CA"/>
              </w:rPr>
            </w:pPr>
            <w:r w:rsidRPr="00982C2B">
              <w:rPr>
                <w:rFonts w:cs="Times New Roman"/>
                <w:i/>
                <w:szCs w:val="20"/>
                <w:lang w:val="fr-CA"/>
              </w:rPr>
              <w:t>Charte des droits —</w:t>
            </w:r>
            <w:r w:rsidRPr="00982C2B">
              <w:rPr>
                <w:rFonts w:cs="Times New Roman"/>
                <w:szCs w:val="20"/>
                <w:lang w:val="fr-CA"/>
              </w:rPr>
              <w:t xml:space="preserve"> Droit constitutionnel </w:t>
            </w:r>
            <w:r w:rsidRPr="00982C2B">
              <w:rPr>
                <w:rFonts w:cs="Times New Roman"/>
                <w:i/>
                <w:szCs w:val="20"/>
                <w:lang w:val="fr-CA"/>
              </w:rPr>
              <w:t>—</w:t>
            </w:r>
            <w:r w:rsidRPr="00982C2B">
              <w:rPr>
                <w:rFonts w:cs="Times New Roman"/>
                <w:szCs w:val="20"/>
                <w:lang w:val="fr-CA"/>
              </w:rPr>
              <w:t xml:space="preserve"> Droit de vote </w:t>
            </w:r>
            <w:r w:rsidRPr="00982C2B">
              <w:rPr>
                <w:rFonts w:cs="Times New Roman"/>
                <w:i/>
                <w:szCs w:val="20"/>
                <w:lang w:val="fr-CA"/>
              </w:rPr>
              <w:t>—</w:t>
            </w:r>
            <w:r w:rsidRPr="00982C2B">
              <w:rPr>
                <w:rFonts w:cs="Times New Roman"/>
                <w:szCs w:val="20"/>
                <w:lang w:val="fr-CA"/>
              </w:rPr>
              <w:t xml:space="preserve"> Obligation de résidence </w:t>
            </w:r>
            <w:r w:rsidRPr="00982C2B">
              <w:rPr>
                <w:rFonts w:cs="Times New Roman"/>
                <w:i/>
                <w:szCs w:val="20"/>
                <w:lang w:val="fr-CA"/>
              </w:rPr>
              <w:t>—</w:t>
            </w:r>
            <w:r w:rsidRPr="00982C2B">
              <w:rPr>
                <w:rFonts w:cs="Times New Roman"/>
                <w:szCs w:val="20"/>
                <w:lang w:val="fr-CA"/>
              </w:rPr>
              <w:t xml:space="preserve"> Des dispositions législatives ont pour effet de rendre inhabiles à voter aux élections fédérales les personnes qui résident à l’extérieur du Canada pendant cinq ans ou plus </w:t>
            </w:r>
            <w:r w:rsidRPr="00982C2B">
              <w:rPr>
                <w:rFonts w:cs="Times New Roman"/>
                <w:i/>
                <w:szCs w:val="20"/>
                <w:lang w:val="fr-CA"/>
              </w:rPr>
              <w:t>—</w:t>
            </w:r>
            <w:r w:rsidRPr="00982C2B">
              <w:rPr>
                <w:rFonts w:cs="Times New Roman"/>
                <w:szCs w:val="20"/>
                <w:lang w:val="fr-CA"/>
              </w:rPr>
              <w:t xml:space="preserve"> Le déni du droit de vote aux citoyens canadiens qui résident à l’étranger pendant plus de cinq ans viole-t-il l’article 3 de la </w:t>
            </w:r>
            <w:r w:rsidRPr="00982C2B">
              <w:rPr>
                <w:rFonts w:cs="Times New Roman"/>
                <w:i/>
                <w:szCs w:val="20"/>
                <w:lang w:val="fr-CA"/>
              </w:rPr>
              <w:t>Charte</w:t>
            </w:r>
            <w:r w:rsidRPr="00982C2B">
              <w:rPr>
                <w:rFonts w:cs="Times New Roman"/>
                <w:szCs w:val="20"/>
                <w:lang w:val="fr-CA"/>
              </w:rPr>
              <w:t xml:space="preserve">? </w:t>
            </w:r>
            <w:r w:rsidRPr="00982C2B">
              <w:rPr>
                <w:rFonts w:cs="Times New Roman"/>
                <w:i/>
                <w:szCs w:val="20"/>
                <w:lang w:val="fr-CA"/>
              </w:rPr>
              <w:t>—</w:t>
            </w:r>
            <w:r w:rsidRPr="00982C2B">
              <w:rPr>
                <w:rFonts w:cs="Times New Roman"/>
                <w:szCs w:val="20"/>
                <w:lang w:val="fr-CA"/>
              </w:rPr>
              <w:t xml:space="preserve"> La violation peut-elle être justifiée au regard de l’article premier de la </w:t>
            </w:r>
            <w:r w:rsidRPr="00982C2B">
              <w:rPr>
                <w:rFonts w:cs="Times New Roman"/>
                <w:i/>
                <w:szCs w:val="20"/>
                <w:lang w:val="fr-CA"/>
              </w:rPr>
              <w:t>Charte</w:t>
            </w:r>
            <w:r w:rsidRPr="00982C2B">
              <w:rPr>
                <w:rFonts w:cs="Times New Roman"/>
                <w:szCs w:val="20"/>
                <w:lang w:val="fr-CA"/>
              </w:rPr>
              <w:t xml:space="preserve">? </w:t>
            </w:r>
            <w:r w:rsidRPr="00982C2B">
              <w:rPr>
                <w:rFonts w:cs="Times New Roman"/>
                <w:i/>
                <w:szCs w:val="20"/>
                <w:lang w:val="fr-CA"/>
              </w:rPr>
              <w:t>—</w:t>
            </w:r>
            <w:r w:rsidRPr="00982C2B">
              <w:rPr>
                <w:rFonts w:cs="Times New Roman"/>
                <w:szCs w:val="20"/>
                <w:lang w:val="fr-CA"/>
              </w:rPr>
              <w:t xml:space="preserve"> </w:t>
            </w:r>
            <w:r w:rsidRPr="00982C2B">
              <w:rPr>
                <w:rFonts w:cs="Times New Roman"/>
                <w:i/>
                <w:szCs w:val="20"/>
                <w:lang w:val="fr-CA"/>
              </w:rPr>
              <w:t>Loi électorale du Canada</w:t>
            </w:r>
            <w:r w:rsidRPr="00982C2B">
              <w:rPr>
                <w:rFonts w:cs="Times New Roman"/>
                <w:szCs w:val="20"/>
                <w:lang w:val="fr-CA"/>
              </w:rPr>
              <w:t>, L.C. 2000, ch. 9, art. 11d), 127, 220, 222, 223, 226.</w:t>
            </w:r>
          </w:p>
          <w:p w:rsidR="006E6ABC" w:rsidRPr="00982C2B" w:rsidRDefault="006E6ABC" w:rsidP="0061355E">
            <w:pPr>
              <w:pStyle w:val="SCCShortJudgment"/>
              <w:ind w:firstLine="0"/>
              <w:rPr>
                <w:rFonts w:cs="Times New Roman"/>
                <w:szCs w:val="20"/>
                <w:u w:val="single"/>
                <w:lang w:val="fr-CA"/>
              </w:rPr>
            </w:pPr>
          </w:p>
        </w:tc>
      </w:tr>
      <w:tr w:rsidR="006E6ABC" w:rsidRPr="009F3029" w:rsidTr="00527434">
        <w:tc>
          <w:tcPr>
            <w:tcW w:w="9576" w:type="dxa"/>
            <w:gridSpan w:val="4"/>
          </w:tcPr>
          <w:p w:rsidR="006E6ABC" w:rsidRPr="00982C2B" w:rsidRDefault="006E6ABC" w:rsidP="0061355E">
            <w:pPr>
              <w:jc w:val="both"/>
              <w:rPr>
                <w:rFonts w:eastAsia="Calibri" w:cs="Times New Roman"/>
                <w:sz w:val="20"/>
                <w:szCs w:val="20"/>
                <w:lang w:val="fr-CA"/>
              </w:rPr>
            </w:pPr>
            <w:r w:rsidRPr="00982C2B">
              <w:rPr>
                <w:rFonts w:eastAsia="Calibri" w:cs="Times New Roman"/>
                <w:sz w:val="20"/>
                <w:szCs w:val="20"/>
                <w:lang w:val="fr-CA"/>
              </w:rPr>
              <w:t xml:space="preserve">Les demandeurs sont des citoyens canadiens qui résident aux États-Unis pour des raisons professionnelles et qui ont l’intention de revenir au Canada si la situation le permet. Les deux demandeurs se sont vu refuser des bulletins de vote à l’élection générale canadienne de 2011, puisqu’ils avaient résidé à l’extérieur du Canada pendant cinq ans ou plus. Les demandeurs ont sollicité un jugement déclarant que certaines dispositions de la </w:t>
            </w:r>
            <w:r w:rsidRPr="00982C2B">
              <w:rPr>
                <w:rFonts w:eastAsia="Calibri" w:cs="Times New Roman"/>
                <w:i/>
                <w:sz w:val="20"/>
                <w:szCs w:val="20"/>
                <w:lang w:val="fr-CA"/>
              </w:rPr>
              <w:t>Loi électorale du Canada</w:t>
            </w:r>
            <w:r w:rsidRPr="00982C2B">
              <w:rPr>
                <w:rFonts w:eastAsia="Calibri" w:cs="Times New Roman"/>
                <w:sz w:val="20"/>
                <w:szCs w:val="20"/>
                <w:lang w:val="fr-CA"/>
              </w:rPr>
              <w:t xml:space="preserve"> violaient leur droit de vote garanti par la </w:t>
            </w:r>
            <w:r w:rsidRPr="00982C2B">
              <w:rPr>
                <w:rFonts w:eastAsia="Calibri" w:cs="Times New Roman"/>
                <w:i/>
                <w:sz w:val="20"/>
                <w:szCs w:val="20"/>
                <w:lang w:val="fr-CA"/>
              </w:rPr>
              <w:t>Charte</w:t>
            </w:r>
            <w:r w:rsidRPr="00982C2B">
              <w:rPr>
                <w:rFonts w:eastAsia="Calibri" w:cs="Times New Roman"/>
                <w:sz w:val="20"/>
                <w:szCs w:val="20"/>
                <w:lang w:val="fr-CA"/>
              </w:rPr>
              <w:t xml:space="preserve">. Un juge de la Cour supérieure de justice de l’Ontario a déclaré les dispositions contestées de la </w:t>
            </w:r>
            <w:r w:rsidRPr="00982C2B">
              <w:rPr>
                <w:rFonts w:eastAsia="Calibri" w:cs="Times New Roman"/>
                <w:i/>
                <w:sz w:val="20"/>
                <w:szCs w:val="20"/>
                <w:lang w:val="fr-CA"/>
              </w:rPr>
              <w:t>Loi</w:t>
            </w:r>
            <w:r w:rsidRPr="00982C2B">
              <w:rPr>
                <w:rFonts w:eastAsia="Calibri" w:cs="Times New Roman"/>
                <w:sz w:val="20"/>
                <w:szCs w:val="20"/>
                <w:lang w:val="fr-CA"/>
              </w:rPr>
              <w:t xml:space="preserve"> inconstitutionnelles, parce qu’elles violaient le droit de vote des demandeurs garanti par l’art. 3 de la </w:t>
            </w:r>
            <w:r w:rsidRPr="00982C2B">
              <w:rPr>
                <w:rFonts w:eastAsia="Calibri" w:cs="Times New Roman"/>
                <w:i/>
                <w:sz w:val="20"/>
                <w:szCs w:val="20"/>
                <w:lang w:val="fr-CA"/>
              </w:rPr>
              <w:t>Charte</w:t>
            </w:r>
            <w:r w:rsidRPr="00982C2B">
              <w:rPr>
                <w:rFonts w:eastAsia="Calibri" w:cs="Times New Roman"/>
                <w:sz w:val="20"/>
                <w:szCs w:val="20"/>
                <w:lang w:val="fr-CA"/>
              </w:rPr>
              <w:t xml:space="preserve"> et parce que la violation ne pouvait être justifiée au regard de l’article premier. </w:t>
            </w:r>
          </w:p>
          <w:p w:rsidR="006E6ABC" w:rsidRPr="00982C2B" w:rsidRDefault="006E6ABC" w:rsidP="0061355E">
            <w:pPr>
              <w:jc w:val="both"/>
              <w:rPr>
                <w:rFonts w:eastAsia="Calibri" w:cs="Times New Roman"/>
                <w:sz w:val="20"/>
                <w:szCs w:val="20"/>
                <w:lang w:val="fr-CA"/>
              </w:rPr>
            </w:pPr>
          </w:p>
          <w:p w:rsidR="006E6ABC" w:rsidRPr="00982C2B" w:rsidRDefault="006E6ABC" w:rsidP="0061355E">
            <w:pPr>
              <w:jc w:val="both"/>
              <w:rPr>
                <w:rFonts w:cs="Times New Roman"/>
                <w:sz w:val="20"/>
                <w:szCs w:val="20"/>
                <w:u w:val="single"/>
                <w:lang w:val="fr-CA"/>
              </w:rPr>
            </w:pPr>
            <w:r w:rsidRPr="00982C2B">
              <w:rPr>
                <w:rFonts w:eastAsia="Calibri" w:cs="Times New Roman"/>
                <w:sz w:val="20"/>
                <w:szCs w:val="20"/>
                <w:lang w:val="fr-CA"/>
              </w:rPr>
              <w:t>Les juges majoritaires de la Cour d’appel ont accueilli l’appel du procureur général, statuant que le déni du vote aux citoyens non résidents qui étaient à l’extérieur du Canada pendant cinq ans ou plus pouvait être justifié au regard de l’article premier. La restriction a un lien rationnel avec l’objectif urgent et réel du gouvernement de préserver le « contrat social » du Canada (en vertu duquel les citoyens résidents se soumettent aux lois adoptées par les représentants élus parce qu’ils ont eu une voix dans l’élaboration de ces lois), elle porte une atteinte minimale aux droits de vote des citoyens non résidents en faisant en sorte qu’ils puissent encore voter s’ils reviennent vivre au Canada et les effets préjudiciables des restrictions ne l’emportent pas sur les effets bénéfiques de la loi. Dans ses motifs dissidents, le juge Laskin était d’avis de rejeter l’appel, concluant que le « contrat social » n’était pas un objectif approprié, urgent ou réel et que le tribunal n’aurait pas dû en tenir compte. Le juge Laskin a également conclu que le déni du droit de vote n’avait pas de lien rationnel avec l’objectif déclaré, qu’il ne portait pas une atteinte minimale aux droits des citoyens non résidents et que ses effets préjudiciables l’emportaient sur les effets bénéfiques déclarés de la restriction.</w:t>
            </w:r>
          </w:p>
        </w:tc>
      </w:tr>
      <w:tr w:rsidR="006E6ABC" w:rsidRPr="009F3029" w:rsidTr="00843538">
        <w:trPr>
          <w:cantSplit/>
        </w:trPr>
        <w:tc>
          <w:tcPr>
            <w:tcW w:w="9576" w:type="dxa"/>
            <w:gridSpan w:val="4"/>
          </w:tcPr>
          <w:p w:rsidR="006E6ABC" w:rsidRPr="00982C2B" w:rsidRDefault="006E6ABC" w:rsidP="0061355E">
            <w:pPr>
              <w:pStyle w:val="SCCShortJudgment"/>
              <w:ind w:firstLine="0"/>
              <w:rPr>
                <w:rFonts w:cs="Times New Roman"/>
                <w:szCs w:val="20"/>
                <w:u w:val="single"/>
                <w:lang w:val="fr-CA"/>
              </w:rPr>
            </w:pPr>
          </w:p>
        </w:tc>
      </w:tr>
      <w:tr w:rsidR="006E6ABC" w:rsidRPr="009F3029" w:rsidTr="00843538">
        <w:trPr>
          <w:cantSplit/>
        </w:trPr>
        <w:tc>
          <w:tcPr>
            <w:tcW w:w="4410" w:type="dxa"/>
            <w:gridSpan w:val="2"/>
          </w:tcPr>
          <w:p w:rsidR="006E6ABC" w:rsidRPr="00982C2B" w:rsidRDefault="006E6ABC" w:rsidP="0061355E">
            <w:pPr>
              <w:jc w:val="both"/>
              <w:rPr>
                <w:rFonts w:cs="Times New Roman"/>
                <w:sz w:val="20"/>
                <w:szCs w:val="20"/>
                <w:lang w:val="fr-CA"/>
              </w:rPr>
            </w:pPr>
            <w:r w:rsidRPr="00982C2B">
              <w:rPr>
                <w:rFonts w:cs="Times New Roman"/>
                <w:sz w:val="20"/>
                <w:szCs w:val="20"/>
                <w:lang w:val="fr-CA"/>
              </w:rPr>
              <w:t>2 mai 2014</w:t>
            </w:r>
          </w:p>
          <w:p w:rsidR="006E6ABC" w:rsidRPr="00982C2B" w:rsidRDefault="006E6ABC" w:rsidP="0061355E">
            <w:pPr>
              <w:jc w:val="both"/>
              <w:rPr>
                <w:rFonts w:cs="Times New Roman"/>
                <w:sz w:val="20"/>
                <w:szCs w:val="20"/>
                <w:lang w:val="fr-CA"/>
              </w:rPr>
            </w:pPr>
            <w:r w:rsidRPr="00982C2B">
              <w:rPr>
                <w:rFonts w:cs="Times New Roman"/>
                <w:sz w:val="20"/>
                <w:szCs w:val="20"/>
                <w:lang w:val="fr-CA"/>
              </w:rPr>
              <w:t xml:space="preserve">Cour supérieure de justice de l’Ontario </w:t>
            </w:r>
          </w:p>
          <w:p w:rsidR="006E6ABC" w:rsidRPr="00982C2B" w:rsidRDefault="006E6ABC" w:rsidP="0061355E">
            <w:pPr>
              <w:jc w:val="both"/>
              <w:rPr>
                <w:rFonts w:cs="Times New Roman"/>
                <w:sz w:val="20"/>
                <w:szCs w:val="20"/>
                <w:lang w:val="fr-CA"/>
              </w:rPr>
            </w:pPr>
            <w:r w:rsidRPr="00982C2B">
              <w:rPr>
                <w:rFonts w:cs="Times New Roman"/>
                <w:sz w:val="20"/>
                <w:szCs w:val="20"/>
                <w:lang w:val="fr-CA"/>
              </w:rPr>
              <w:t>(Juge Penny)</w:t>
            </w:r>
          </w:p>
          <w:p w:rsidR="006E6ABC" w:rsidRPr="00982C2B" w:rsidRDefault="009F3029" w:rsidP="0061355E">
            <w:pPr>
              <w:jc w:val="both"/>
              <w:rPr>
                <w:rFonts w:cs="Times New Roman"/>
                <w:sz w:val="20"/>
                <w:szCs w:val="20"/>
                <w:lang w:val="fr-CA"/>
              </w:rPr>
            </w:pPr>
            <w:hyperlink r:id="rId25" w:history="1">
              <w:r w:rsidR="006E6ABC" w:rsidRPr="00982C2B">
                <w:rPr>
                  <w:rStyle w:val="Hyperlink"/>
                  <w:rFonts w:cs="Times New Roman"/>
                  <w:sz w:val="20"/>
                  <w:szCs w:val="20"/>
                  <w:lang w:val="fr-CA"/>
                </w:rPr>
                <w:t>2014 ONSC 907</w:t>
              </w:r>
            </w:hyperlink>
          </w:p>
          <w:p w:rsidR="006E6ABC" w:rsidRPr="00982C2B" w:rsidRDefault="006E6ABC" w:rsidP="008A719E">
            <w:pPr>
              <w:jc w:val="both"/>
              <w:rPr>
                <w:rFonts w:cs="Times New Roman"/>
                <w:szCs w:val="20"/>
                <w:u w:val="single"/>
                <w:lang w:val="fr-CA"/>
              </w:rPr>
            </w:pPr>
            <w:r w:rsidRPr="00982C2B">
              <w:rPr>
                <w:rFonts w:cs="Times New Roman"/>
                <w:sz w:val="20"/>
                <w:szCs w:val="20"/>
                <w:lang w:val="fr-CA"/>
              </w:rPr>
              <w:t>(motifs modifiés le 15 mai 2014)</w:t>
            </w:r>
          </w:p>
        </w:tc>
        <w:tc>
          <w:tcPr>
            <w:tcW w:w="630" w:type="dxa"/>
          </w:tcPr>
          <w:p w:rsidR="006E6ABC"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6E6ABC" w:rsidRPr="00982C2B" w:rsidRDefault="006E6ABC" w:rsidP="008A719E">
            <w:pPr>
              <w:jc w:val="both"/>
              <w:rPr>
                <w:rFonts w:cs="Times New Roman"/>
                <w:szCs w:val="20"/>
                <w:u w:val="single"/>
                <w:lang w:val="fr-CA"/>
              </w:rPr>
            </w:pPr>
            <w:r w:rsidRPr="00982C2B">
              <w:rPr>
                <w:rFonts w:cs="Times New Roman"/>
                <w:sz w:val="20"/>
                <w:szCs w:val="20"/>
                <w:lang w:val="fr-CA"/>
              </w:rPr>
              <w:t>Jugement déclarant inconstitutionnelles des dispositions de la</w:t>
            </w:r>
            <w:r w:rsidRPr="00982C2B">
              <w:rPr>
                <w:rFonts w:cs="Times New Roman"/>
                <w:i/>
                <w:sz w:val="20"/>
                <w:szCs w:val="20"/>
                <w:lang w:val="fr-CA"/>
              </w:rPr>
              <w:t xml:space="preserve"> Loi électorale du Canada</w:t>
            </w:r>
            <w:r w:rsidRPr="00982C2B">
              <w:rPr>
                <w:rFonts w:cs="Times New Roman"/>
                <w:sz w:val="20"/>
                <w:szCs w:val="20"/>
                <w:lang w:val="fr-CA"/>
              </w:rPr>
              <w:t xml:space="preserve">, à la demande de M. Frank et de M. Duong </w:t>
            </w:r>
          </w:p>
        </w:tc>
      </w:tr>
      <w:tr w:rsidR="006E6ABC" w:rsidRPr="009F3029" w:rsidTr="00843538">
        <w:trPr>
          <w:cantSplit/>
        </w:trPr>
        <w:tc>
          <w:tcPr>
            <w:tcW w:w="4410" w:type="dxa"/>
            <w:gridSpan w:val="2"/>
          </w:tcPr>
          <w:p w:rsidR="006E6ABC" w:rsidRPr="00982C2B" w:rsidRDefault="006E6ABC" w:rsidP="0061355E">
            <w:pPr>
              <w:jc w:val="both"/>
              <w:rPr>
                <w:rFonts w:cs="Times New Roman"/>
                <w:sz w:val="20"/>
                <w:szCs w:val="20"/>
                <w:lang w:val="fr-CA"/>
              </w:rPr>
            </w:pPr>
            <w:r w:rsidRPr="00982C2B">
              <w:rPr>
                <w:rFonts w:cs="Times New Roman"/>
                <w:sz w:val="20"/>
                <w:szCs w:val="20"/>
                <w:lang w:val="fr-CA"/>
              </w:rPr>
              <w:t>23 juin 2014</w:t>
            </w:r>
          </w:p>
          <w:p w:rsidR="006E6ABC" w:rsidRPr="00982C2B" w:rsidRDefault="006E6ABC" w:rsidP="0061355E">
            <w:pPr>
              <w:jc w:val="both"/>
              <w:rPr>
                <w:rFonts w:cs="Times New Roman"/>
                <w:sz w:val="20"/>
                <w:szCs w:val="20"/>
                <w:lang w:val="fr-CA"/>
              </w:rPr>
            </w:pPr>
            <w:r w:rsidRPr="00982C2B">
              <w:rPr>
                <w:rFonts w:cs="Times New Roman"/>
                <w:sz w:val="20"/>
                <w:szCs w:val="20"/>
                <w:lang w:val="fr-CA"/>
              </w:rPr>
              <w:t xml:space="preserve">Cour d’appel de l’Ontario </w:t>
            </w:r>
          </w:p>
          <w:p w:rsidR="006E6ABC" w:rsidRPr="00982C2B" w:rsidRDefault="006E6ABC" w:rsidP="0061355E">
            <w:pPr>
              <w:jc w:val="both"/>
              <w:rPr>
                <w:rFonts w:cs="Times New Roman"/>
                <w:sz w:val="20"/>
                <w:szCs w:val="20"/>
                <w:lang w:val="fr-CA"/>
              </w:rPr>
            </w:pPr>
            <w:r w:rsidRPr="00982C2B">
              <w:rPr>
                <w:rFonts w:cs="Times New Roman"/>
                <w:sz w:val="20"/>
                <w:szCs w:val="20"/>
                <w:lang w:val="fr-CA"/>
              </w:rPr>
              <w:t>(Juge Sharpe)</w:t>
            </w:r>
          </w:p>
          <w:p w:rsidR="006E6ABC" w:rsidRPr="00982C2B" w:rsidRDefault="009F3029" w:rsidP="008A719E">
            <w:pPr>
              <w:jc w:val="both"/>
              <w:rPr>
                <w:rFonts w:cs="Times New Roman"/>
                <w:szCs w:val="20"/>
                <w:u w:val="single"/>
                <w:lang w:val="fr-CA"/>
              </w:rPr>
            </w:pPr>
            <w:hyperlink r:id="rId26" w:history="1">
              <w:r w:rsidR="006E6ABC" w:rsidRPr="00982C2B">
                <w:rPr>
                  <w:rStyle w:val="Hyperlink"/>
                  <w:rFonts w:cs="Times New Roman"/>
                  <w:sz w:val="20"/>
                  <w:szCs w:val="20"/>
                  <w:lang w:val="fr-CA"/>
                </w:rPr>
                <w:t>2014 ONCA 485</w:t>
              </w:r>
            </w:hyperlink>
          </w:p>
        </w:tc>
        <w:tc>
          <w:tcPr>
            <w:tcW w:w="630" w:type="dxa"/>
          </w:tcPr>
          <w:p w:rsidR="006E6ABC"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6E6ABC" w:rsidRPr="00982C2B" w:rsidRDefault="006E6ABC" w:rsidP="0061355E">
            <w:pPr>
              <w:pStyle w:val="SCCShortJudgment"/>
              <w:ind w:firstLine="0"/>
              <w:rPr>
                <w:rFonts w:cs="Times New Roman"/>
                <w:szCs w:val="20"/>
                <w:u w:val="single"/>
                <w:lang w:val="fr-CA"/>
              </w:rPr>
            </w:pPr>
            <w:r w:rsidRPr="00982C2B">
              <w:rPr>
                <w:rFonts w:cs="Times New Roman"/>
                <w:szCs w:val="20"/>
                <w:lang w:val="fr-CA"/>
              </w:rPr>
              <w:t>Rejet de la motion du procureur général du Canada en suspension d’instance en attendant l’appel de la décision</w:t>
            </w:r>
          </w:p>
        </w:tc>
      </w:tr>
      <w:tr w:rsidR="006E6ABC" w:rsidRPr="009F3029" w:rsidTr="00843538">
        <w:trPr>
          <w:cantSplit/>
        </w:trPr>
        <w:tc>
          <w:tcPr>
            <w:tcW w:w="4410" w:type="dxa"/>
            <w:gridSpan w:val="2"/>
          </w:tcPr>
          <w:p w:rsidR="006E6ABC" w:rsidRPr="00982C2B" w:rsidRDefault="006E6ABC" w:rsidP="0061355E">
            <w:pPr>
              <w:jc w:val="both"/>
              <w:rPr>
                <w:rFonts w:cs="Times New Roman"/>
                <w:sz w:val="20"/>
                <w:szCs w:val="20"/>
                <w:lang w:val="fr-CA"/>
              </w:rPr>
            </w:pPr>
            <w:r w:rsidRPr="00982C2B">
              <w:rPr>
                <w:rFonts w:cs="Times New Roman"/>
                <w:sz w:val="20"/>
                <w:szCs w:val="20"/>
                <w:lang w:val="fr-CA"/>
              </w:rPr>
              <w:t>20 juillet 2015</w:t>
            </w:r>
          </w:p>
          <w:p w:rsidR="006E6ABC" w:rsidRPr="00982C2B" w:rsidRDefault="006E6ABC" w:rsidP="0061355E">
            <w:pPr>
              <w:jc w:val="both"/>
              <w:rPr>
                <w:rFonts w:cs="Times New Roman"/>
                <w:sz w:val="20"/>
                <w:szCs w:val="20"/>
                <w:lang w:val="fr-CA"/>
              </w:rPr>
            </w:pPr>
            <w:r w:rsidRPr="00982C2B">
              <w:rPr>
                <w:rFonts w:cs="Times New Roman"/>
                <w:sz w:val="20"/>
                <w:szCs w:val="20"/>
                <w:lang w:val="fr-CA"/>
              </w:rPr>
              <w:t xml:space="preserve">Cour d’appel de l’Ontario </w:t>
            </w:r>
          </w:p>
          <w:p w:rsidR="006E6ABC" w:rsidRPr="00982C2B" w:rsidRDefault="006E6ABC" w:rsidP="0061355E">
            <w:pPr>
              <w:jc w:val="both"/>
              <w:rPr>
                <w:rFonts w:cs="Times New Roman"/>
                <w:sz w:val="20"/>
                <w:szCs w:val="20"/>
                <w:lang w:val="fr-CA"/>
              </w:rPr>
            </w:pPr>
            <w:r w:rsidRPr="00982C2B">
              <w:rPr>
                <w:rFonts w:cs="Times New Roman"/>
                <w:sz w:val="20"/>
                <w:szCs w:val="20"/>
                <w:lang w:val="fr-CA"/>
              </w:rPr>
              <w:t xml:space="preserve">(Juge en chef Strathy, juges Laskin [dissident] et </w:t>
            </w:r>
          </w:p>
          <w:p w:rsidR="006E6ABC" w:rsidRPr="00982C2B" w:rsidRDefault="006E6ABC" w:rsidP="0061355E">
            <w:pPr>
              <w:jc w:val="both"/>
              <w:rPr>
                <w:rFonts w:cs="Times New Roman"/>
                <w:sz w:val="20"/>
                <w:szCs w:val="20"/>
                <w:lang w:val="fr-CA"/>
              </w:rPr>
            </w:pPr>
            <w:r w:rsidRPr="00982C2B">
              <w:rPr>
                <w:rFonts w:cs="Times New Roman"/>
                <w:sz w:val="20"/>
                <w:szCs w:val="20"/>
                <w:lang w:val="fr-CA"/>
              </w:rPr>
              <w:t>Brown)</w:t>
            </w:r>
          </w:p>
          <w:p w:rsidR="006E6ABC" w:rsidRPr="00982C2B" w:rsidRDefault="009F3029" w:rsidP="008A719E">
            <w:pPr>
              <w:jc w:val="both"/>
              <w:rPr>
                <w:rFonts w:cs="Times New Roman"/>
                <w:szCs w:val="20"/>
                <w:u w:val="single"/>
                <w:lang w:val="fr-CA"/>
              </w:rPr>
            </w:pPr>
            <w:hyperlink r:id="rId27" w:history="1">
              <w:r w:rsidR="006E6ABC" w:rsidRPr="00982C2B">
                <w:rPr>
                  <w:rStyle w:val="Hyperlink"/>
                  <w:rFonts w:cs="Times New Roman"/>
                  <w:sz w:val="20"/>
                  <w:szCs w:val="20"/>
                  <w:lang w:val="fr-CA"/>
                </w:rPr>
                <w:t>2015 ONCA 536</w:t>
              </w:r>
            </w:hyperlink>
          </w:p>
        </w:tc>
        <w:tc>
          <w:tcPr>
            <w:tcW w:w="630" w:type="dxa"/>
          </w:tcPr>
          <w:p w:rsidR="006E6ABC"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6E6ABC" w:rsidRPr="008A719E" w:rsidRDefault="006E6ABC" w:rsidP="008A719E">
            <w:pPr>
              <w:jc w:val="both"/>
              <w:rPr>
                <w:rFonts w:cs="Times New Roman"/>
                <w:sz w:val="20"/>
                <w:szCs w:val="20"/>
                <w:lang w:val="fr-CA"/>
              </w:rPr>
            </w:pPr>
            <w:r w:rsidRPr="00982C2B">
              <w:rPr>
                <w:rFonts w:cs="Times New Roman"/>
                <w:sz w:val="20"/>
                <w:szCs w:val="20"/>
                <w:lang w:val="fr-CA"/>
              </w:rPr>
              <w:t>Arrêt accueillant l’appel</w:t>
            </w:r>
            <w:r w:rsidR="008A719E">
              <w:rPr>
                <w:rFonts w:cs="Times New Roman"/>
                <w:sz w:val="20"/>
                <w:szCs w:val="20"/>
                <w:lang w:val="fr-CA"/>
              </w:rPr>
              <w:t xml:space="preserve"> du procureur général du Canada</w:t>
            </w:r>
          </w:p>
        </w:tc>
      </w:tr>
      <w:tr w:rsidR="006E6ABC" w:rsidRPr="009F3029" w:rsidTr="00843538">
        <w:trPr>
          <w:cantSplit/>
        </w:trPr>
        <w:tc>
          <w:tcPr>
            <w:tcW w:w="4410" w:type="dxa"/>
            <w:gridSpan w:val="2"/>
          </w:tcPr>
          <w:p w:rsidR="006E6ABC" w:rsidRPr="00982C2B" w:rsidRDefault="006E6ABC" w:rsidP="0061355E">
            <w:pPr>
              <w:jc w:val="both"/>
              <w:rPr>
                <w:rFonts w:cs="Times New Roman"/>
                <w:sz w:val="20"/>
                <w:szCs w:val="20"/>
                <w:lang w:val="fr-CA"/>
              </w:rPr>
            </w:pPr>
            <w:r w:rsidRPr="00982C2B">
              <w:rPr>
                <w:rFonts w:cs="Times New Roman"/>
                <w:sz w:val="20"/>
                <w:szCs w:val="20"/>
                <w:lang w:val="fr-CA"/>
              </w:rPr>
              <w:t>29 septembre 2015</w:t>
            </w:r>
          </w:p>
          <w:p w:rsidR="006E6ABC" w:rsidRPr="00982C2B" w:rsidRDefault="006E6ABC" w:rsidP="006135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6E6ABC" w:rsidRPr="00982C2B" w:rsidRDefault="006E6ABC" w:rsidP="0061355E">
            <w:pPr>
              <w:pStyle w:val="SCCShortJudgment"/>
              <w:ind w:firstLine="0"/>
              <w:rPr>
                <w:rFonts w:cs="Times New Roman"/>
                <w:szCs w:val="20"/>
                <w:u w:val="single"/>
                <w:lang w:val="fr-CA"/>
              </w:rPr>
            </w:pPr>
          </w:p>
        </w:tc>
        <w:tc>
          <w:tcPr>
            <w:tcW w:w="4536" w:type="dxa"/>
          </w:tcPr>
          <w:p w:rsidR="006E6ABC" w:rsidRPr="00982C2B" w:rsidRDefault="006E6ABC" w:rsidP="0061355E">
            <w:pPr>
              <w:pStyle w:val="SCCShortJudgment"/>
              <w:ind w:firstLine="0"/>
              <w:rPr>
                <w:rFonts w:cs="Times New Roman"/>
                <w:szCs w:val="20"/>
                <w:u w:val="single"/>
                <w:lang w:val="fr-CA"/>
              </w:rPr>
            </w:pPr>
            <w:r w:rsidRPr="00982C2B">
              <w:rPr>
                <w:rFonts w:cs="Times New Roman"/>
                <w:szCs w:val="20"/>
                <w:lang w:val="fr-CA"/>
              </w:rPr>
              <w:t>Dépôt de la demande d’autorisation d’appel par M. Frank et M. Duong</w:t>
            </w:r>
          </w:p>
        </w:tc>
      </w:tr>
    </w:tbl>
    <w:p w:rsidR="008D292F" w:rsidRPr="00982C2B" w:rsidRDefault="009F3029" w:rsidP="008D292F">
      <w:pPr>
        <w:rPr>
          <w:rFonts w:cs="Times New Roman"/>
          <w:sz w:val="20"/>
          <w:szCs w:val="20"/>
          <w:lang w:val="fr-CA"/>
        </w:rPr>
      </w:pPr>
      <w:r>
        <w:rPr>
          <w:rFonts w:cs="Times New Roman"/>
          <w:sz w:val="20"/>
          <w:szCs w:val="20"/>
          <w:lang w:val="fr-CA"/>
        </w:rPr>
        <w:pict>
          <v:rect id="_x0000_i1046" style="width:2in;height:1pt" o:hrpct="0" o:hralign="center" o:hrstd="t" o:hrnoshade="t" o:hr="t" fillcolor="black [3213]" stroked="f"/>
        </w:pict>
      </w:r>
    </w:p>
    <w:p w:rsidR="006E6ABC" w:rsidRPr="00982C2B" w:rsidRDefault="006E6ABC" w:rsidP="008D292F">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C22014" w:rsidRPr="00982C2B" w:rsidTr="00A372A7">
        <w:trPr>
          <w:cantSplit/>
        </w:trPr>
        <w:tc>
          <w:tcPr>
            <w:tcW w:w="1458" w:type="dxa"/>
          </w:tcPr>
          <w:p w:rsidR="00C22014" w:rsidRPr="00982C2B" w:rsidRDefault="000001B5" w:rsidP="009D18B6">
            <w:pPr>
              <w:rPr>
                <w:rFonts w:cs="Times New Roman"/>
                <w:sz w:val="20"/>
                <w:szCs w:val="20"/>
              </w:rPr>
            </w:pPr>
            <w:r w:rsidRPr="00982C2B">
              <w:rPr>
                <w:rStyle w:val="SCCFileNumberChar"/>
                <w:sz w:val="20"/>
                <w:szCs w:val="20"/>
              </w:rPr>
              <w:t>36649</w:t>
            </w:r>
          </w:p>
          <w:p w:rsidR="00C22014" w:rsidRPr="00982C2B" w:rsidRDefault="00C22014" w:rsidP="009D18B6">
            <w:pPr>
              <w:rPr>
                <w:rFonts w:cs="Times New Roman"/>
                <w:b/>
                <w:sz w:val="20"/>
                <w:szCs w:val="20"/>
              </w:rPr>
            </w:pPr>
          </w:p>
        </w:tc>
        <w:tc>
          <w:tcPr>
            <w:tcW w:w="8118" w:type="dxa"/>
          </w:tcPr>
          <w:p w:rsidR="00C22014" w:rsidRPr="00982C2B" w:rsidRDefault="000001B5" w:rsidP="009D18B6">
            <w:pPr>
              <w:rPr>
                <w:rFonts w:cs="Times New Roman"/>
                <w:sz w:val="20"/>
                <w:szCs w:val="20"/>
              </w:rPr>
            </w:pPr>
            <w:r w:rsidRPr="00982C2B">
              <w:rPr>
                <w:rStyle w:val="SCCLsocChar"/>
                <w:rFonts w:cs="Times New Roman"/>
                <w:sz w:val="20"/>
                <w:szCs w:val="20"/>
                <w:lang w:val="en-CA"/>
              </w:rPr>
              <w:t xml:space="preserve">Ernst &amp; Young Inc., in its capacities as Receiver and Manager, and Trustee in Bankruptcy of Iona Contractors Ltd. v. The Guarantee Company of North America </w:t>
            </w:r>
            <w:r w:rsidR="00C22014" w:rsidRPr="00982C2B">
              <w:rPr>
                <w:rFonts w:cs="Times New Roman"/>
                <w:sz w:val="20"/>
                <w:szCs w:val="20"/>
              </w:rPr>
              <w:t>(</w:t>
            </w:r>
            <w:r w:rsidRPr="00982C2B">
              <w:rPr>
                <w:rFonts w:cs="Times New Roman"/>
                <w:sz w:val="20"/>
                <w:szCs w:val="20"/>
              </w:rPr>
              <w:t>Alta</w:t>
            </w:r>
            <w:r w:rsidR="00C22014" w:rsidRPr="00982C2B">
              <w:rPr>
                <w:rFonts w:cs="Times New Roman"/>
                <w:sz w:val="20"/>
                <w:szCs w:val="20"/>
              </w:rPr>
              <w:t>.) (C</w:t>
            </w:r>
            <w:r w:rsidRPr="00982C2B">
              <w:rPr>
                <w:rFonts w:cs="Times New Roman"/>
                <w:sz w:val="20"/>
                <w:szCs w:val="20"/>
              </w:rPr>
              <w:t>ivil</w:t>
            </w:r>
            <w:r w:rsidR="00C22014" w:rsidRPr="00982C2B">
              <w:rPr>
                <w:rFonts w:cs="Times New Roman"/>
                <w:sz w:val="20"/>
                <w:szCs w:val="20"/>
              </w:rPr>
              <w:t>) (By Leave)</w:t>
            </w:r>
          </w:p>
          <w:p w:rsidR="00C22014" w:rsidRPr="00982C2B" w:rsidRDefault="00C22014" w:rsidP="009D18B6">
            <w:pPr>
              <w:rPr>
                <w:rFonts w:cs="Times New Roman"/>
                <w:sz w:val="20"/>
                <w:szCs w:val="20"/>
              </w:rPr>
            </w:pPr>
          </w:p>
        </w:tc>
      </w:tr>
      <w:tr w:rsidR="00C22014" w:rsidRPr="00982C2B" w:rsidTr="00A372A7">
        <w:trPr>
          <w:cantSplit/>
        </w:trPr>
        <w:tc>
          <w:tcPr>
            <w:tcW w:w="1458" w:type="dxa"/>
          </w:tcPr>
          <w:p w:rsidR="00C22014" w:rsidRPr="00982C2B" w:rsidRDefault="00C22014" w:rsidP="009D18B6">
            <w:pPr>
              <w:rPr>
                <w:rFonts w:cs="Times New Roman"/>
                <w:sz w:val="20"/>
                <w:szCs w:val="20"/>
              </w:rPr>
            </w:pPr>
            <w:r w:rsidRPr="00982C2B">
              <w:rPr>
                <w:rFonts w:cs="Times New Roman"/>
                <w:sz w:val="20"/>
                <w:szCs w:val="20"/>
              </w:rPr>
              <w:t>Coram :</w:t>
            </w:r>
          </w:p>
        </w:tc>
        <w:tc>
          <w:tcPr>
            <w:tcW w:w="8118" w:type="dxa"/>
          </w:tcPr>
          <w:p w:rsidR="00C22014" w:rsidRPr="00982C2B" w:rsidRDefault="000001B5" w:rsidP="009D18B6">
            <w:pPr>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0001B5" w:rsidRPr="00982C2B" w:rsidRDefault="000001B5" w:rsidP="009D18B6">
            <w:pPr>
              <w:rPr>
                <w:rFonts w:cs="Times New Roman"/>
                <w:sz w:val="20"/>
                <w:szCs w:val="20"/>
                <w:u w:val="single"/>
              </w:rPr>
            </w:pPr>
          </w:p>
        </w:tc>
      </w:tr>
      <w:tr w:rsidR="00C22014" w:rsidRPr="009F3029" w:rsidTr="00A372A7">
        <w:trPr>
          <w:cantSplit/>
        </w:trPr>
        <w:tc>
          <w:tcPr>
            <w:tcW w:w="9576" w:type="dxa"/>
            <w:gridSpan w:val="2"/>
          </w:tcPr>
          <w:p w:rsidR="00C22014" w:rsidRPr="00982C2B" w:rsidRDefault="00C22014" w:rsidP="0061355E">
            <w:pPr>
              <w:pStyle w:val="SCCShortJudgment"/>
              <w:ind w:firstLine="0"/>
              <w:rPr>
                <w:rFonts w:cs="Times New Roman"/>
                <w:szCs w:val="20"/>
              </w:rPr>
            </w:pPr>
            <w:r w:rsidRPr="00982C2B">
              <w:rPr>
                <w:rFonts w:cs="Times New Roman"/>
                <w:szCs w:val="20"/>
              </w:rPr>
              <w:tab/>
            </w:r>
            <w:r w:rsidR="000001B5" w:rsidRPr="00982C2B">
              <w:rPr>
                <w:rFonts w:cs="Times New Roman"/>
                <w:szCs w:val="20"/>
              </w:rPr>
              <w:t>The application for leave to appeal from the judgment of the Court of Appeal of Alberta (Calgary), Number 1401-0159-AC, 2015 ABCA 240, dated July 16, 2015, is dismissed with costs.  The conditional application for leave to cross-appeal is dismissed with costs.</w:t>
            </w:r>
          </w:p>
          <w:p w:rsidR="00C22014" w:rsidRPr="00982C2B" w:rsidRDefault="00C22014" w:rsidP="0061355E">
            <w:pPr>
              <w:pStyle w:val="SCCShortJudgment"/>
              <w:ind w:firstLine="0"/>
              <w:rPr>
                <w:rFonts w:cs="Times New Roman"/>
                <w:szCs w:val="20"/>
              </w:rPr>
            </w:pPr>
          </w:p>
          <w:p w:rsidR="000001B5" w:rsidRPr="00982C2B" w:rsidRDefault="00C22014" w:rsidP="008A719E">
            <w:pPr>
              <w:pStyle w:val="SCCShortJudgment"/>
              <w:ind w:firstLine="0"/>
              <w:rPr>
                <w:rFonts w:cs="Times New Roman"/>
                <w:szCs w:val="20"/>
                <w:lang w:val="fr-CA"/>
              </w:rPr>
            </w:pPr>
            <w:r w:rsidRPr="00982C2B">
              <w:rPr>
                <w:rFonts w:cs="Times New Roman"/>
                <w:szCs w:val="20"/>
              </w:rPr>
              <w:tab/>
            </w:r>
            <w:r w:rsidR="000001B5" w:rsidRPr="00982C2B">
              <w:rPr>
                <w:rFonts w:cs="Times New Roman"/>
                <w:szCs w:val="20"/>
                <w:lang w:val="fr-CA"/>
              </w:rPr>
              <w:t xml:space="preserve">La demande d’autorisation d’appel de l’arrêt de la </w:t>
            </w:r>
            <w:r w:rsidR="000001B5" w:rsidRPr="00982C2B">
              <w:rPr>
                <w:rFonts w:cs="Times New Roman"/>
                <w:szCs w:val="20"/>
                <w:lang w:val="fr-FR"/>
              </w:rPr>
              <w:t>Cour d’appel de l’Alberta (Calgary)</w:t>
            </w:r>
            <w:r w:rsidR="000001B5" w:rsidRPr="00982C2B">
              <w:rPr>
                <w:rFonts w:cs="Times New Roman"/>
                <w:szCs w:val="20"/>
                <w:lang w:val="fr-CA"/>
              </w:rPr>
              <w:t>, num</w:t>
            </w:r>
            <w:r w:rsidR="000001B5" w:rsidRPr="00982C2B">
              <w:rPr>
                <w:rFonts w:cs="Times New Roman"/>
                <w:szCs w:val="20"/>
                <w:lang w:val="fr-FR"/>
              </w:rPr>
              <w:t xml:space="preserve">éro 1401-0159-AC, 2015 ABCA 240, daté du 16 juillet 2015, est rejetée avec dépens. La demande conditionnelle d’autorisation d’appel incident est rejetée avec dépens. </w:t>
            </w:r>
          </w:p>
        </w:tc>
      </w:tr>
    </w:tbl>
    <w:p w:rsidR="00527434" w:rsidRPr="00165F6D" w:rsidRDefault="00527434">
      <w:pPr>
        <w:rPr>
          <w:lang w:val="fr-CA"/>
        </w:rPr>
      </w:pPr>
      <w:r w:rsidRPr="00165F6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C22014" w:rsidRPr="00982C2B" w:rsidTr="00A372A7">
        <w:trPr>
          <w:cantSplit/>
        </w:trPr>
        <w:tc>
          <w:tcPr>
            <w:tcW w:w="9576" w:type="dxa"/>
            <w:gridSpan w:val="3"/>
          </w:tcPr>
          <w:p w:rsidR="00C22014" w:rsidRPr="00982C2B" w:rsidRDefault="00C22014"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A372A7" w:rsidRPr="00982C2B" w:rsidRDefault="00A372A7" w:rsidP="0061355E">
            <w:pPr>
              <w:pStyle w:val="SCCShortJudgment"/>
              <w:ind w:firstLine="0"/>
              <w:rPr>
                <w:rFonts w:cs="Times New Roman"/>
                <w:szCs w:val="20"/>
                <w:u w:val="single"/>
                <w:lang w:val="fr-CA"/>
              </w:rPr>
            </w:pPr>
          </w:p>
        </w:tc>
      </w:tr>
      <w:tr w:rsidR="00C22014" w:rsidRPr="00982C2B" w:rsidTr="00A372A7">
        <w:trPr>
          <w:cantSplit/>
        </w:trPr>
        <w:tc>
          <w:tcPr>
            <w:tcW w:w="9576" w:type="dxa"/>
            <w:gridSpan w:val="3"/>
          </w:tcPr>
          <w:p w:rsidR="00C22014" w:rsidRPr="00982C2B" w:rsidRDefault="000001B5" w:rsidP="0061355E">
            <w:pPr>
              <w:pStyle w:val="SCCShortJudgment"/>
              <w:ind w:firstLine="0"/>
              <w:rPr>
                <w:rFonts w:cs="Times New Roman"/>
                <w:szCs w:val="20"/>
              </w:rPr>
            </w:pPr>
            <w:r w:rsidRPr="00982C2B">
              <w:rPr>
                <w:rFonts w:cs="Times New Roman"/>
                <w:szCs w:val="20"/>
              </w:rPr>
              <w:t xml:space="preserve">Bankruptcy and insolvency — Trustees — Common law trust — Creditor priorities — Whether trust provisions of </w:t>
            </w:r>
            <w:r w:rsidRPr="00982C2B">
              <w:rPr>
                <w:rFonts w:cs="Times New Roman"/>
                <w:i/>
                <w:szCs w:val="20"/>
                <w:lang w:val="en-US"/>
              </w:rPr>
              <w:t>Builders’ Lien Act</w:t>
            </w:r>
            <w:r w:rsidRPr="00982C2B">
              <w:rPr>
                <w:rFonts w:cs="Times New Roman"/>
                <w:szCs w:val="20"/>
                <w:lang w:val="en-US"/>
              </w:rPr>
              <w:t xml:space="preserve">, R.S.A. 2000, c. B-7, conflict with priority regime of </w:t>
            </w:r>
            <w:r w:rsidRPr="00982C2B">
              <w:rPr>
                <w:rFonts w:cs="Times New Roman"/>
                <w:i/>
                <w:szCs w:val="20"/>
                <w:lang w:val="en-US"/>
              </w:rPr>
              <w:t>Bankruptcy and Insolvency Act</w:t>
            </w:r>
            <w:r w:rsidRPr="00982C2B">
              <w:rPr>
                <w:rFonts w:cs="Times New Roman"/>
                <w:szCs w:val="20"/>
                <w:lang w:val="en-US"/>
              </w:rPr>
              <w:t xml:space="preserve">, R.S.C. 1985, c. B-3 — </w:t>
            </w:r>
            <w:r w:rsidRPr="00982C2B">
              <w:rPr>
                <w:rFonts w:cs="Times New Roman"/>
                <w:szCs w:val="20"/>
              </w:rPr>
              <w:t>Whether there are funds owed to contractor under airfield improvement contract, which depends on whether airport authority had ability to pay unpaid subcontractors.</w:t>
            </w:r>
          </w:p>
          <w:p w:rsidR="00C22014" w:rsidRPr="00982C2B" w:rsidRDefault="00C22014" w:rsidP="0061355E">
            <w:pPr>
              <w:pStyle w:val="SCCShortJudgment"/>
              <w:ind w:firstLine="0"/>
              <w:rPr>
                <w:rFonts w:cs="Times New Roman"/>
                <w:szCs w:val="20"/>
              </w:rPr>
            </w:pPr>
          </w:p>
        </w:tc>
      </w:tr>
      <w:tr w:rsidR="000001B5" w:rsidRPr="00982C2B" w:rsidTr="00A372A7">
        <w:trPr>
          <w:cantSplit/>
        </w:trPr>
        <w:tc>
          <w:tcPr>
            <w:tcW w:w="9576" w:type="dxa"/>
            <w:gridSpan w:val="3"/>
          </w:tcPr>
          <w:p w:rsidR="000001B5" w:rsidRPr="00982C2B" w:rsidRDefault="000001B5" w:rsidP="0061355E">
            <w:pPr>
              <w:pStyle w:val="SCCShortJudgment"/>
              <w:ind w:firstLine="0"/>
              <w:rPr>
                <w:rFonts w:cs="Times New Roman"/>
                <w:szCs w:val="20"/>
              </w:rPr>
            </w:pPr>
            <w:r w:rsidRPr="00982C2B">
              <w:rPr>
                <w:rFonts w:cs="Times New Roman"/>
                <w:szCs w:val="20"/>
                <w:lang w:val="en-US"/>
              </w:rPr>
              <w:t xml:space="preserve">In 2009, Iona Contractors and the Calgary Airport Authority entered into a contract for the construction of improvements on the airport’s north airfield. Under the contract, the Airport Authority required Iona to deliver a Performance Bond and a Labour and Material Payment Bond to guarantee that suppliers of materials and labour to the project would be paid. The Guarantee Company of North America (“Company”) is the surety under both bonds. By October 2010, work under the contract was substantially complete, but some of Iona’s subcontractors remained unpaid. The Airport Authority withheld further payment. It used $182,869 ($105,000 + $77,869) of the remaining outstanding funds to complete deficiencies in the contract work, leaving $997,715.83 still with the Airport Authority. The Company paid out $1.48 million under the Payment Bond to settle the outstanding accounts of Iona’s subcontractors. It now claims the $997,715.83 that remains unpaid under the contract to recoup these payments. In December 2010, Iona applied for protection under the </w:t>
            </w:r>
            <w:r w:rsidRPr="00982C2B">
              <w:rPr>
                <w:rFonts w:cs="Times New Roman"/>
                <w:i/>
                <w:szCs w:val="20"/>
                <w:lang w:val="en-US"/>
              </w:rPr>
              <w:t>Companies’ Creditors Arrangement Act</w:t>
            </w:r>
            <w:r w:rsidRPr="00982C2B">
              <w:rPr>
                <w:rFonts w:cs="Times New Roman"/>
                <w:szCs w:val="20"/>
                <w:lang w:val="en-US"/>
              </w:rPr>
              <w:t xml:space="preserve">, R.S.C. 1985, c. C-36. Iona was assigned into bankruptcy in March 2011. </w:t>
            </w:r>
            <w:r w:rsidRPr="00982C2B">
              <w:rPr>
                <w:rFonts w:cs="Times New Roman"/>
                <w:szCs w:val="20"/>
              </w:rPr>
              <w:t>Both Iona’s bankruptcy trustee (“Trustee”) and the Company argue that they are entitled to the funds. By way of agreement between them, the funds were transferred to the Company’s lawyers, to be held in trust pending resolution of this case. The Airport Authority takes no position, and paid the funds into trust. In April 2014, the Trustee brought an application for a declaration that the funds were owing to Iona and that the Alberta Treasury Branches, as the first secured creditor of Iona, was entitled to receive the funds. The application was heard and granted by the Chambers Judge. The Company appealed, and the Court of Appeal reversed the Chambers Judge’s decision.</w:t>
            </w:r>
          </w:p>
          <w:p w:rsidR="000001B5" w:rsidRPr="00982C2B" w:rsidRDefault="000001B5" w:rsidP="0061355E">
            <w:pPr>
              <w:pStyle w:val="SCCShortJudgment"/>
              <w:ind w:firstLine="0"/>
              <w:rPr>
                <w:rFonts w:cs="Times New Roman"/>
                <w:szCs w:val="20"/>
              </w:rPr>
            </w:pPr>
          </w:p>
        </w:tc>
      </w:tr>
      <w:tr w:rsidR="00C22014" w:rsidRPr="00982C2B" w:rsidTr="00A372A7">
        <w:trPr>
          <w:cantSplit/>
        </w:trPr>
        <w:tc>
          <w:tcPr>
            <w:tcW w:w="4410" w:type="dxa"/>
          </w:tcPr>
          <w:p w:rsidR="000001B5" w:rsidRPr="00982C2B" w:rsidRDefault="000001B5" w:rsidP="0061355E">
            <w:pPr>
              <w:jc w:val="both"/>
              <w:rPr>
                <w:rFonts w:cs="Times New Roman"/>
                <w:sz w:val="20"/>
                <w:szCs w:val="20"/>
              </w:rPr>
            </w:pPr>
            <w:r w:rsidRPr="00982C2B">
              <w:rPr>
                <w:rFonts w:cs="Times New Roman"/>
                <w:sz w:val="20"/>
                <w:szCs w:val="20"/>
              </w:rPr>
              <w:t>June 11, 2014</w:t>
            </w:r>
          </w:p>
          <w:p w:rsidR="000001B5" w:rsidRPr="00982C2B" w:rsidRDefault="000001B5" w:rsidP="0061355E">
            <w:pPr>
              <w:jc w:val="both"/>
              <w:rPr>
                <w:rFonts w:cs="Times New Roman"/>
                <w:sz w:val="20"/>
                <w:szCs w:val="20"/>
              </w:rPr>
            </w:pPr>
            <w:r w:rsidRPr="00982C2B">
              <w:rPr>
                <w:rFonts w:cs="Times New Roman"/>
                <w:sz w:val="20"/>
                <w:szCs w:val="20"/>
              </w:rPr>
              <w:t>Court of Queen’s Bench of Alberta</w:t>
            </w:r>
          </w:p>
          <w:p w:rsidR="000001B5" w:rsidRPr="00982C2B" w:rsidRDefault="000001B5" w:rsidP="0061355E">
            <w:pPr>
              <w:jc w:val="both"/>
              <w:rPr>
                <w:rFonts w:cs="Times New Roman"/>
                <w:sz w:val="20"/>
                <w:szCs w:val="20"/>
              </w:rPr>
            </w:pPr>
            <w:r w:rsidRPr="00982C2B">
              <w:rPr>
                <w:rFonts w:cs="Times New Roman"/>
                <w:sz w:val="20"/>
                <w:szCs w:val="20"/>
              </w:rPr>
              <w:t>(Eidsvik J.)</w:t>
            </w:r>
          </w:p>
          <w:p w:rsidR="00C22014" w:rsidRPr="00982C2B" w:rsidRDefault="009F3029" w:rsidP="008A719E">
            <w:pPr>
              <w:jc w:val="both"/>
              <w:rPr>
                <w:rFonts w:cs="Times New Roman"/>
                <w:szCs w:val="20"/>
              </w:rPr>
            </w:pPr>
            <w:hyperlink r:id="rId28" w:history="1">
              <w:r w:rsidR="000001B5" w:rsidRPr="00982C2B">
                <w:rPr>
                  <w:rStyle w:val="Hyperlink"/>
                  <w:rFonts w:cs="Times New Roman"/>
                  <w:sz w:val="20"/>
                  <w:szCs w:val="20"/>
                </w:rPr>
                <w:t>2014 ABQB 347</w:t>
              </w:r>
            </w:hyperlink>
          </w:p>
        </w:tc>
        <w:tc>
          <w:tcPr>
            <w:tcW w:w="630" w:type="dxa"/>
          </w:tcPr>
          <w:p w:rsidR="00C22014"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C22014" w:rsidRPr="00982C2B" w:rsidRDefault="000001B5" w:rsidP="0061355E">
            <w:pPr>
              <w:pStyle w:val="SCCShortJudgment"/>
              <w:ind w:firstLine="0"/>
              <w:rPr>
                <w:rFonts w:cs="Times New Roman"/>
                <w:szCs w:val="20"/>
              </w:rPr>
            </w:pPr>
            <w:r w:rsidRPr="00982C2B">
              <w:rPr>
                <w:rFonts w:cs="Times New Roman"/>
                <w:szCs w:val="20"/>
              </w:rPr>
              <w:t>Iona Contractors’ bankruptcy trustee entitled to receive unpaid funds from Airport Authority, and to pay them to Alberta Treasury Branches.</w:t>
            </w:r>
          </w:p>
        </w:tc>
      </w:tr>
      <w:tr w:rsidR="00C22014" w:rsidRPr="00982C2B" w:rsidTr="00A372A7">
        <w:trPr>
          <w:cantSplit/>
        </w:trPr>
        <w:tc>
          <w:tcPr>
            <w:tcW w:w="4410" w:type="dxa"/>
          </w:tcPr>
          <w:p w:rsidR="000001B5" w:rsidRPr="00982C2B" w:rsidRDefault="000001B5" w:rsidP="0061355E">
            <w:pPr>
              <w:jc w:val="both"/>
              <w:rPr>
                <w:rFonts w:cs="Times New Roman"/>
                <w:sz w:val="20"/>
                <w:szCs w:val="20"/>
              </w:rPr>
            </w:pPr>
            <w:r w:rsidRPr="00982C2B">
              <w:rPr>
                <w:rFonts w:cs="Times New Roman"/>
                <w:sz w:val="20"/>
                <w:szCs w:val="20"/>
              </w:rPr>
              <w:t>July 16, 2015</w:t>
            </w:r>
          </w:p>
          <w:p w:rsidR="000001B5" w:rsidRPr="00982C2B" w:rsidRDefault="000001B5" w:rsidP="0061355E">
            <w:pPr>
              <w:jc w:val="both"/>
              <w:rPr>
                <w:rFonts w:cs="Times New Roman"/>
                <w:sz w:val="20"/>
                <w:szCs w:val="20"/>
              </w:rPr>
            </w:pPr>
            <w:r w:rsidRPr="00982C2B">
              <w:rPr>
                <w:rFonts w:cs="Times New Roman"/>
                <w:sz w:val="20"/>
                <w:szCs w:val="20"/>
              </w:rPr>
              <w:t>Court of Appeal of Alberta (Calgary)</w:t>
            </w:r>
          </w:p>
          <w:p w:rsidR="000001B5" w:rsidRPr="00982C2B" w:rsidRDefault="000001B5" w:rsidP="0061355E">
            <w:pPr>
              <w:jc w:val="both"/>
              <w:rPr>
                <w:rFonts w:cs="Times New Roman"/>
                <w:sz w:val="20"/>
                <w:szCs w:val="20"/>
              </w:rPr>
            </w:pPr>
            <w:r w:rsidRPr="00982C2B">
              <w:rPr>
                <w:rFonts w:cs="Times New Roman"/>
                <w:sz w:val="20"/>
                <w:szCs w:val="20"/>
              </w:rPr>
              <w:t>(Slatter, Paperny [dissenting] and Yamauchi JJ.A.)</w:t>
            </w:r>
          </w:p>
          <w:p w:rsidR="00C22014" w:rsidRPr="00982C2B" w:rsidRDefault="009F3029" w:rsidP="008A719E">
            <w:pPr>
              <w:jc w:val="both"/>
              <w:rPr>
                <w:rFonts w:cs="Times New Roman"/>
                <w:szCs w:val="20"/>
              </w:rPr>
            </w:pPr>
            <w:hyperlink r:id="rId29" w:history="1">
              <w:r w:rsidR="000001B5" w:rsidRPr="00982C2B">
                <w:rPr>
                  <w:rStyle w:val="Hyperlink"/>
                  <w:rFonts w:cs="Times New Roman"/>
                  <w:sz w:val="20"/>
                  <w:szCs w:val="20"/>
                </w:rPr>
                <w:t>2015 ABCA 240</w:t>
              </w:r>
            </w:hyperlink>
          </w:p>
        </w:tc>
        <w:tc>
          <w:tcPr>
            <w:tcW w:w="630" w:type="dxa"/>
          </w:tcPr>
          <w:p w:rsidR="00C22014"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C22014" w:rsidRPr="00982C2B" w:rsidRDefault="000001B5" w:rsidP="0061355E">
            <w:pPr>
              <w:jc w:val="both"/>
              <w:rPr>
                <w:rFonts w:cs="Times New Roman"/>
                <w:sz w:val="20"/>
                <w:szCs w:val="20"/>
              </w:rPr>
            </w:pPr>
            <w:r w:rsidRPr="00982C2B">
              <w:rPr>
                <w:rFonts w:cs="Times New Roman"/>
                <w:sz w:val="20"/>
                <w:szCs w:val="20"/>
              </w:rPr>
              <w:t>Appeal by Guarantee Company allowed.</w:t>
            </w:r>
          </w:p>
        </w:tc>
      </w:tr>
      <w:tr w:rsidR="00C22014" w:rsidRPr="00982C2B" w:rsidTr="00A372A7">
        <w:trPr>
          <w:cantSplit/>
        </w:trPr>
        <w:tc>
          <w:tcPr>
            <w:tcW w:w="4410" w:type="dxa"/>
          </w:tcPr>
          <w:p w:rsidR="000001B5" w:rsidRPr="00982C2B" w:rsidRDefault="000001B5" w:rsidP="0061355E">
            <w:pPr>
              <w:jc w:val="both"/>
              <w:rPr>
                <w:rFonts w:cs="Times New Roman"/>
                <w:sz w:val="20"/>
                <w:szCs w:val="20"/>
              </w:rPr>
            </w:pPr>
            <w:r w:rsidRPr="00982C2B">
              <w:rPr>
                <w:rFonts w:cs="Times New Roman"/>
                <w:sz w:val="20"/>
                <w:szCs w:val="20"/>
              </w:rPr>
              <w:t>September 28, 2015</w:t>
            </w:r>
          </w:p>
          <w:p w:rsidR="00C22014" w:rsidRPr="00982C2B" w:rsidRDefault="000001B5" w:rsidP="008A719E">
            <w:pPr>
              <w:jc w:val="both"/>
              <w:rPr>
                <w:rFonts w:cs="Times New Roman"/>
                <w:szCs w:val="20"/>
              </w:rPr>
            </w:pPr>
            <w:r w:rsidRPr="00982C2B">
              <w:rPr>
                <w:rFonts w:cs="Times New Roman"/>
                <w:sz w:val="20"/>
                <w:szCs w:val="20"/>
              </w:rPr>
              <w:t>Supreme Court of Canada</w:t>
            </w:r>
          </w:p>
        </w:tc>
        <w:tc>
          <w:tcPr>
            <w:tcW w:w="630" w:type="dxa"/>
          </w:tcPr>
          <w:p w:rsidR="00C22014" w:rsidRPr="00982C2B" w:rsidRDefault="008A719E" w:rsidP="0061355E">
            <w:pPr>
              <w:pStyle w:val="SCCShortJudgment"/>
              <w:ind w:firstLine="0"/>
              <w:rPr>
                <w:rFonts w:cs="Times New Roman"/>
                <w:szCs w:val="20"/>
              </w:rPr>
            </w:pPr>
            <w:r>
              <w:rPr>
                <w:rFonts w:cs="Times New Roman"/>
                <w:szCs w:val="20"/>
              </w:rPr>
              <w:br/>
            </w:r>
            <w:r>
              <w:rPr>
                <w:rFonts w:cs="Times New Roman"/>
                <w:szCs w:val="20"/>
              </w:rPr>
              <w:br/>
            </w:r>
          </w:p>
        </w:tc>
        <w:tc>
          <w:tcPr>
            <w:tcW w:w="4536" w:type="dxa"/>
          </w:tcPr>
          <w:p w:rsidR="000001B5" w:rsidRPr="00982C2B" w:rsidRDefault="000001B5" w:rsidP="0061355E">
            <w:pPr>
              <w:jc w:val="both"/>
              <w:rPr>
                <w:rFonts w:cs="Times New Roman"/>
                <w:sz w:val="20"/>
                <w:szCs w:val="20"/>
              </w:rPr>
            </w:pPr>
            <w:r w:rsidRPr="00982C2B">
              <w:rPr>
                <w:rFonts w:cs="Times New Roman"/>
                <w:sz w:val="20"/>
                <w:szCs w:val="20"/>
              </w:rPr>
              <w:t>Application for leave to appeal filed.</w:t>
            </w:r>
          </w:p>
          <w:p w:rsidR="00C22014" w:rsidRPr="00982C2B" w:rsidRDefault="00C22014" w:rsidP="0061355E">
            <w:pPr>
              <w:pStyle w:val="SCCShortJudgment"/>
              <w:ind w:firstLine="0"/>
              <w:rPr>
                <w:rFonts w:cs="Times New Roman"/>
                <w:szCs w:val="20"/>
              </w:rPr>
            </w:pPr>
          </w:p>
        </w:tc>
      </w:tr>
      <w:tr w:rsidR="000001B5" w:rsidRPr="00982C2B" w:rsidTr="00A372A7">
        <w:trPr>
          <w:cantSplit/>
        </w:trPr>
        <w:tc>
          <w:tcPr>
            <w:tcW w:w="4410" w:type="dxa"/>
          </w:tcPr>
          <w:p w:rsidR="000001B5" w:rsidRPr="00982C2B" w:rsidRDefault="000001B5" w:rsidP="0061355E">
            <w:pPr>
              <w:jc w:val="both"/>
              <w:rPr>
                <w:rFonts w:cs="Times New Roman"/>
                <w:sz w:val="20"/>
                <w:szCs w:val="20"/>
              </w:rPr>
            </w:pPr>
            <w:r w:rsidRPr="00982C2B">
              <w:rPr>
                <w:rFonts w:cs="Times New Roman"/>
                <w:sz w:val="20"/>
                <w:szCs w:val="20"/>
              </w:rPr>
              <w:t>October 29, 2015</w:t>
            </w:r>
          </w:p>
          <w:p w:rsidR="000001B5" w:rsidRPr="00982C2B" w:rsidRDefault="000001B5" w:rsidP="0061355E">
            <w:pPr>
              <w:pStyle w:val="SCCShortJudgment"/>
              <w:ind w:firstLine="0"/>
              <w:rPr>
                <w:rFonts w:cs="Times New Roman"/>
                <w:szCs w:val="20"/>
              </w:rPr>
            </w:pPr>
            <w:r w:rsidRPr="00982C2B">
              <w:rPr>
                <w:rFonts w:cs="Times New Roman"/>
                <w:szCs w:val="20"/>
              </w:rPr>
              <w:t>Supreme Court of Canada</w:t>
            </w:r>
          </w:p>
        </w:tc>
        <w:tc>
          <w:tcPr>
            <w:tcW w:w="630" w:type="dxa"/>
          </w:tcPr>
          <w:p w:rsidR="000001B5" w:rsidRPr="00982C2B" w:rsidRDefault="000001B5" w:rsidP="0061355E">
            <w:pPr>
              <w:pStyle w:val="SCCShortJudgment"/>
              <w:ind w:firstLine="0"/>
              <w:rPr>
                <w:rFonts w:cs="Times New Roman"/>
                <w:szCs w:val="20"/>
              </w:rPr>
            </w:pPr>
          </w:p>
        </w:tc>
        <w:tc>
          <w:tcPr>
            <w:tcW w:w="4536" w:type="dxa"/>
          </w:tcPr>
          <w:p w:rsidR="000001B5" w:rsidRPr="00982C2B" w:rsidRDefault="000001B5" w:rsidP="0061355E">
            <w:pPr>
              <w:pStyle w:val="SCCShortJudgment"/>
              <w:ind w:firstLine="0"/>
              <w:rPr>
                <w:rFonts w:cs="Times New Roman"/>
                <w:szCs w:val="20"/>
              </w:rPr>
            </w:pPr>
            <w:r w:rsidRPr="00982C2B">
              <w:rPr>
                <w:rFonts w:cs="Times New Roman"/>
                <w:szCs w:val="20"/>
              </w:rPr>
              <w:t>Conditional application for leave to cross-appeal filed.</w:t>
            </w:r>
          </w:p>
        </w:tc>
      </w:tr>
      <w:tr w:rsidR="00C22014" w:rsidRPr="00982C2B" w:rsidTr="00A372A7">
        <w:trPr>
          <w:cantSplit/>
        </w:trPr>
        <w:tc>
          <w:tcPr>
            <w:tcW w:w="9576" w:type="dxa"/>
            <w:gridSpan w:val="3"/>
          </w:tcPr>
          <w:p w:rsidR="00C22014" w:rsidRPr="00982C2B" w:rsidRDefault="009F3029" w:rsidP="009D18B6">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A372A7" w:rsidRPr="00982C2B" w:rsidRDefault="00A372A7" w:rsidP="009D18B6">
            <w:pPr>
              <w:pStyle w:val="SCCShortJudgment"/>
              <w:ind w:firstLine="0"/>
              <w:rPr>
                <w:rFonts w:cs="Times New Roman"/>
                <w:szCs w:val="20"/>
                <w:lang w:val="fr-CA"/>
              </w:rPr>
            </w:pPr>
          </w:p>
        </w:tc>
      </w:tr>
      <w:tr w:rsidR="00C22014" w:rsidRPr="00982C2B" w:rsidTr="00A372A7">
        <w:trPr>
          <w:cantSplit/>
        </w:trPr>
        <w:tc>
          <w:tcPr>
            <w:tcW w:w="9576" w:type="dxa"/>
            <w:gridSpan w:val="3"/>
          </w:tcPr>
          <w:p w:rsidR="00C22014" w:rsidRPr="00982C2B" w:rsidRDefault="00C22014"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0001B5" w:rsidRPr="00982C2B" w:rsidRDefault="000001B5" w:rsidP="009D18B6">
            <w:pPr>
              <w:pStyle w:val="SCCShortJudgment"/>
              <w:ind w:firstLine="0"/>
              <w:rPr>
                <w:rFonts w:cs="Times New Roman"/>
                <w:szCs w:val="20"/>
                <w:u w:val="single"/>
                <w:lang w:val="fr-CA"/>
              </w:rPr>
            </w:pPr>
          </w:p>
        </w:tc>
      </w:tr>
      <w:tr w:rsidR="00C22014" w:rsidRPr="009F3029" w:rsidTr="00A372A7">
        <w:trPr>
          <w:cantSplit/>
        </w:trPr>
        <w:tc>
          <w:tcPr>
            <w:tcW w:w="9576" w:type="dxa"/>
            <w:gridSpan w:val="3"/>
          </w:tcPr>
          <w:p w:rsidR="000001B5" w:rsidRDefault="000001B5" w:rsidP="008A719E">
            <w:pPr>
              <w:pStyle w:val="SCCShortJudgment"/>
              <w:ind w:firstLine="0"/>
              <w:rPr>
                <w:rFonts w:cs="Times New Roman"/>
                <w:szCs w:val="20"/>
                <w:lang w:val="fr-CA"/>
              </w:rPr>
            </w:pPr>
            <w:r w:rsidRPr="00982C2B">
              <w:rPr>
                <w:rFonts w:cs="Times New Roman"/>
                <w:szCs w:val="20"/>
                <w:lang w:val="fr-CA"/>
              </w:rPr>
              <w:t xml:space="preserve">Faillite et insolvabilité — Syndics — Fiducie de common law — Ordre de priorité des créanciers — Les dispositions de la </w:t>
            </w:r>
            <w:r w:rsidRPr="00982C2B">
              <w:rPr>
                <w:rFonts w:cs="Times New Roman"/>
                <w:i/>
                <w:szCs w:val="20"/>
                <w:lang w:val="fr-CA"/>
              </w:rPr>
              <w:t>Builders’ Lien Act</w:t>
            </w:r>
            <w:r w:rsidRPr="00982C2B">
              <w:rPr>
                <w:rFonts w:cs="Times New Roman"/>
                <w:szCs w:val="20"/>
                <w:lang w:val="fr-CA"/>
              </w:rPr>
              <w:t xml:space="preserve">, R.S.A. 2000, ch. B-7 en matière de fiducie entrent-elles en confit avec les règles de la </w:t>
            </w:r>
            <w:r w:rsidRPr="00982C2B">
              <w:rPr>
                <w:rFonts w:cs="Times New Roman"/>
                <w:i/>
                <w:szCs w:val="20"/>
                <w:lang w:val="fr-CA"/>
              </w:rPr>
              <w:t>Loi sur la faillite et l’insolvabilité</w:t>
            </w:r>
            <w:r w:rsidRPr="00982C2B">
              <w:rPr>
                <w:rFonts w:cs="Times New Roman"/>
                <w:szCs w:val="20"/>
                <w:lang w:val="fr-CA"/>
              </w:rPr>
              <w:t>, L.R.C. 1985, ch. B-3 en matière de priorité? — Des sommes d’argent sont-elles payables à l’entrepreneur en exécution d’un contrat de réfection d’un aérodrome, ce qui dépend de la question de savoir si l’autorité aéroportuaire pouvait payer les sous-traitants impayés?</w:t>
            </w:r>
          </w:p>
          <w:p w:rsidR="008A719E" w:rsidRPr="00982C2B" w:rsidRDefault="008A719E" w:rsidP="008A719E">
            <w:pPr>
              <w:pStyle w:val="SCCShortJudgment"/>
              <w:ind w:firstLine="0"/>
              <w:rPr>
                <w:rFonts w:cs="Times New Roman"/>
                <w:szCs w:val="20"/>
                <w:u w:val="single"/>
                <w:lang w:val="fr-CA"/>
              </w:rPr>
            </w:pPr>
          </w:p>
        </w:tc>
      </w:tr>
      <w:tr w:rsidR="00C22014" w:rsidRPr="009F3029" w:rsidTr="008A719E">
        <w:tc>
          <w:tcPr>
            <w:tcW w:w="9576" w:type="dxa"/>
            <w:gridSpan w:val="3"/>
          </w:tcPr>
          <w:p w:rsidR="000001B5" w:rsidRPr="00982C2B" w:rsidRDefault="000001B5" w:rsidP="0061355E">
            <w:pPr>
              <w:pStyle w:val="SCCShortJudgment"/>
              <w:ind w:firstLine="0"/>
              <w:rPr>
                <w:rFonts w:cs="Times New Roman"/>
                <w:szCs w:val="20"/>
                <w:u w:val="single"/>
                <w:lang w:val="fr-CA"/>
              </w:rPr>
            </w:pPr>
            <w:r w:rsidRPr="00982C2B">
              <w:rPr>
                <w:rFonts w:cs="Times New Roman"/>
                <w:szCs w:val="20"/>
                <w:lang w:val="fr-CA"/>
              </w:rPr>
              <w:t xml:space="preserve">En 2009, Iona Contractors et Calgary Airport Authority ont conclu un contrat pour la construction d’améliorations de l’aérodrome nord de l’aéroport. Dans le contrat, l’autorité aéroportuaire a obligé Iona de fournir un cautionnement d’exécution et un cautionnement de paiement de la main-d’œuvre et des matériaux pour garantir le paiement des sommes dues aux fournisseurs de matériaux et de main-d’œuvre du projet. La Garantie, Compagnie d’Assurance de l’Amérique du Nord (« la Compagnie ») est constituée caution dans les deux cautionnements. En octobre 2010, les travaux visés par le contrat étaient presque achevés, mais certains sous-traitants d’Iona demeuraient impayés. L’autorité aéroportuaire a retenu tout autre paiement. Elle a employé la somme de 182 869 $ (105 000 $ + 77 869 $) du solde impayé pour terminer les travaux inachevés visés par le contrat, laissant un reliquat de 997 715,83 $ à l’autorité aéroportuaire. La Compagnie a versé la somme de 1,48 million de dollars en vertu du cautionnement d’exécution pour régler les comptes en souffrance des sous-traitants d’Iona. Elle réclame maintenant la somme de 997 715,83 $ qui demeure impayée en exécution du contrat pour recouvrer ces paiements. En décembre 2010, Iona a demandé la protection en vertu de la </w:t>
            </w:r>
            <w:r w:rsidRPr="00982C2B">
              <w:rPr>
                <w:rFonts w:cs="Times New Roman"/>
                <w:i/>
                <w:szCs w:val="20"/>
                <w:lang w:val="fr-CA"/>
              </w:rPr>
              <w:t>Loi sur les arrangements avec les créanciers des compagnies</w:t>
            </w:r>
            <w:r w:rsidRPr="00982C2B">
              <w:rPr>
                <w:rFonts w:cs="Times New Roman"/>
                <w:szCs w:val="20"/>
                <w:lang w:val="fr-CA"/>
              </w:rPr>
              <w:t>, L.R.C. 1985, ch. C-36. Iona a été mise en faillite en mars 2011. Le syndic de faillite d’Iona (« le syndic ») et la Compagnie prétendent tous les deux avoir droit à l’argent en cause. Par voie d’entente, l’argent a été transféré aux avocats de la Compagnie, à charge de le détenir en fiducie en attendant le règlement de l’affaire. L’autorité aéroportuaire ne prend pas position et a versé l’argent dans la fiducie. En avril 2014, le syndic a présenté une demande de jugement déclarant que l’argent était payable à Iona et qu’Alberta Treasury Branches, à titre de créancier garanti de premier rang d’Iona, avait droit de recevoir l’argent. Le juge en cabinet a instruit et accueilli la demande. La Compagnie a interjeté appel et la Cour d’appel a infirmé la décision du juge en cabinet.</w:t>
            </w:r>
          </w:p>
        </w:tc>
      </w:tr>
      <w:tr w:rsidR="00C22014" w:rsidRPr="009F3029" w:rsidTr="00A372A7">
        <w:trPr>
          <w:cantSplit/>
        </w:trPr>
        <w:tc>
          <w:tcPr>
            <w:tcW w:w="9576" w:type="dxa"/>
            <w:gridSpan w:val="3"/>
          </w:tcPr>
          <w:p w:rsidR="00C22014" w:rsidRPr="00982C2B" w:rsidRDefault="00C22014" w:rsidP="0061355E">
            <w:pPr>
              <w:pStyle w:val="SCCShortJudgment"/>
              <w:ind w:firstLine="0"/>
              <w:rPr>
                <w:rFonts w:cs="Times New Roman"/>
                <w:szCs w:val="20"/>
                <w:u w:val="single"/>
                <w:lang w:val="fr-CA"/>
              </w:rPr>
            </w:pPr>
          </w:p>
        </w:tc>
      </w:tr>
      <w:tr w:rsidR="00C22014" w:rsidRPr="009F3029" w:rsidTr="00A372A7">
        <w:trPr>
          <w:cantSplit/>
        </w:trPr>
        <w:tc>
          <w:tcPr>
            <w:tcW w:w="4410" w:type="dxa"/>
          </w:tcPr>
          <w:p w:rsidR="000001B5" w:rsidRPr="00982C2B" w:rsidRDefault="000001B5" w:rsidP="0061355E">
            <w:pPr>
              <w:jc w:val="both"/>
              <w:rPr>
                <w:rFonts w:cs="Times New Roman"/>
                <w:sz w:val="20"/>
                <w:szCs w:val="20"/>
                <w:lang w:val="fr-CA"/>
              </w:rPr>
            </w:pPr>
            <w:r w:rsidRPr="00982C2B">
              <w:rPr>
                <w:rFonts w:cs="Times New Roman"/>
                <w:sz w:val="20"/>
                <w:szCs w:val="20"/>
                <w:lang w:val="fr-CA"/>
              </w:rPr>
              <w:t>11 juin 2014</w:t>
            </w:r>
          </w:p>
          <w:p w:rsidR="000001B5" w:rsidRPr="00982C2B" w:rsidRDefault="000001B5" w:rsidP="0061355E">
            <w:pPr>
              <w:jc w:val="both"/>
              <w:rPr>
                <w:rFonts w:cs="Times New Roman"/>
                <w:sz w:val="20"/>
                <w:szCs w:val="20"/>
                <w:lang w:val="fr-CA"/>
              </w:rPr>
            </w:pPr>
            <w:r w:rsidRPr="00982C2B">
              <w:rPr>
                <w:rFonts w:cs="Times New Roman"/>
                <w:sz w:val="20"/>
                <w:szCs w:val="20"/>
                <w:lang w:val="fr-CA"/>
              </w:rPr>
              <w:t>Cour du Banc de la Reine de l’Alberta</w:t>
            </w:r>
          </w:p>
          <w:p w:rsidR="000001B5" w:rsidRPr="00982C2B" w:rsidRDefault="000001B5" w:rsidP="0061355E">
            <w:pPr>
              <w:jc w:val="both"/>
              <w:rPr>
                <w:rFonts w:cs="Times New Roman"/>
                <w:sz w:val="20"/>
                <w:szCs w:val="20"/>
                <w:lang w:val="fr-CA"/>
              </w:rPr>
            </w:pPr>
            <w:r w:rsidRPr="00982C2B">
              <w:rPr>
                <w:rFonts w:cs="Times New Roman"/>
                <w:sz w:val="20"/>
                <w:szCs w:val="20"/>
                <w:lang w:val="fr-CA"/>
              </w:rPr>
              <w:t>(Juge Eidsvik)</w:t>
            </w:r>
          </w:p>
          <w:p w:rsidR="00C22014" w:rsidRPr="00982C2B" w:rsidRDefault="009F3029" w:rsidP="008A719E">
            <w:pPr>
              <w:jc w:val="both"/>
              <w:rPr>
                <w:rFonts w:cs="Times New Roman"/>
                <w:szCs w:val="20"/>
                <w:u w:val="single"/>
                <w:lang w:val="fr-CA"/>
              </w:rPr>
            </w:pPr>
            <w:hyperlink r:id="rId30" w:history="1">
              <w:r w:rsidR="000001B5" w:rsidRPr="00982C2B">
                <w:rPr>
                  <w:rStyle w:val="Hyperlink"/>
                  <w:rFonts w:cs="Times New Roman"/>
                  <w:sz w:val="20"/>
                  <w:szCs w:val="20"/>
                  <w:lang w:val="fr-CA"/>
                </w:rPr>
                <w:t>2014 ABQB 347</w:t>
              </w:r>
            </w:hyperlink>
          </w:p>
        </w:tc>
        <w:tc>
          <w:tcPr>
            <w:tcW w:w="630" w:type="dxa"/>
          </w:tcPr>
          <w:p w:rsidR="00C22014"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C22014" w:rsidRPr="00982C2B" w:rsidRDefault="000001B5" w:rsidP="0061355E">
            <w:pPr>
              <w:pStyle w:val="SCCShortJudgment"/>
              <w:ind w:firstLine="0"/>
              <w:rPr>
                <w:rFonts w:cs="Times New Roman"/>
                <w:szCs w:val="20"/>
                <w:u w:val="single"/>
                <w:lang w:val="fr-CA"/>
              </w:rPr>
            </w:pPr>
            <w:r w:rsidRPr="00982C2B">
              <w:rPr>
                <w:rFonts w:cs="Times New Roman"/>
                <w:szCs w:val="20"/>
                <w:lang w:val="fr-CA"/>
              </w:rPr>
              <w:t>Jugement déclarant que le syndic de faillite d’Iona Contractor a droit de recevoir l’argent impayé de l’autorité aéroportuaire et de le verser à Alberta Treasury Branches.</w:t>
            </w:r>
          </w:p>
        </w:tc>
      </w:tr>
      <w:tr w:rsidR="00C22014" w:rsidRPr="009F3029" w:rsidTr="00A372A7">
        <w:trPr>
          <w:cantSplit/>
        </w:trPr>
        <w:tc>
          <w:tcPr>
            <w:tcW w:w="4410" w:type="dxa"/>
          </w:tcPr>
          <w:p w:rsidR="000001B5" w:rsidRPr="00982C2B" w:rsidRDefault="000001B5" w:rsidP="0061355E">
            <w:pPr>
              <w:jc w:val="both"/>
              <w:rPr>
                <w:rFonts w:cs="Times New Roman"/>
                <w:sz w:val="20"/>
                <w:szCs w:val="20"/>
                <w:lang w:val="fr-CA"/>
              </w:rPr>
            </w:pPr>
            <w:r w:rsidRPr="00982C2B">
              <w:rPr>
                <w:rFonts w:cs="Times New Roman"/>
                <w:sz w:val="20"/>
                <w:szCs w:val="20"/>
                <w:lang w:val="fr-CA"/>
              </w:rPr>
              <w:t>16 juillet 2015</w:t>
            </w:r>
          </w:p>
          <w:p w:rsidR="000001B5" w:rsidRPr="00982C2B" w:rsidRDefault="000001B5" w:rsidP="0061355E">
            <w:pPr>
              <w:jc w:val="both"/>
              <w:rPr>
                <w:rFonts w:cs="Times New Roman"/>
                <w:sz w:val="20"/>
                <w:szCs w:val="20"/>
                <w:lang w:val="fr-CA"/>
              </w:rPr>
            </w:pPr>
            <w:r w:rsidRPr="00982C2B">
              <w:rPr>
                <w:rFonts w:cs="Times New Roman"/>
                <w:sz w:val="20"/>
                <w:szCs w:val="20"/>
                <w:lang w:val="fr-CA"/>
              </w:rPr>
              <w:t>Cour d’appel de l’Alberta (Calgary)</w:t>
            </w:r>
          </w:p>
          <w:p w:rsidR="000001B5" w:rsidRPr="00982C2B" w:rsidRDefault="000001B5" w:rsidP="0061355E">
            <w:pPr>
              <w:jc w:val="both"/>
              <w:rPr>
                <w:rFonts w:cs="Times New Roman"/>
                <w:sz w:val="20"/>
                <w:szCs w:val="20"/>
                <w:lang w:val="fr-CA"/>
              </w:rPr>
            </w:pPr>
            <w:r w:rsidRPr="00982C2B">
              <w:rPr>
                <w:rFonts w:cs="Times New Roman"/>
                <w:sz w:val="20"/>
                <w:szCs w:val="20"/>
                <w:lang w:val="fr-CA"/>
              </w:rPr>
              <w:t>(Juges Slatter, Paperny [dissidente] et Yamauchi)</w:t>
            </w:r>
          </w:p>
          <w:p w:rsidR="00C22014" w:rsidRPr="00982C2B" w:rsidRDefault="009F3029" w:rsidP="008A719E">
            <w:pPr>
              <w:jc w:val="both"/>
              <w:rPr>
                <w:rFonts w:cs="Times New Roman"/>
                <w:szCs w:val="20"/>
                <w:u w:val="single"/>
                <w:lang w:val="fr-CA"/>
              </w:rPr>
            </w:pPr>
            <w:hyperlink r:id="rId31" w:history="1">
              <w:r w:rsidR="000001B5" w:rsidRPr="00982C2B">
                <w:rPr>
                  <w:rStyle w:val="Hyperlink"/>
                  <w:rFonts w:cs="Times New Roman"/>
                  <w:sz w:val="20"/>
                  <w:szCs w:val="20"/>
                  <w:lang w:val="fr-CA"/>
                </w:rPr>
                <w:t>2015 ABCA 240</w:t>
              </w:r>
            </w:hyperlink>
          </w:p>
        </w:tc>
        <w:tc>
          <w:tcPr>
            <w:tcW w:w="630" w:type="dxa"/>
          </w:tcPr>
          <w:p w:rsidR="00C22014"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r>
              <w:rPr>
                <w:rFonts w:cs="Times New Roman"/>
                <w:szCs w:val="20"/>
                <w:u w:val="single"/>
                <w:lang w:val="fr-CA"/>
              </w:rPr>
              <w:br/>
            </w:r>
            <w:r>
              <w:rPr>
                <w:rFonts w:cs="Times New Roman"/>
                <w:szCs w:val="20"/>
                <w:u w:val="single"/>
                <w:lang w:val="fr-CA"/>
              </w:rPr>
              <w:br/>
            </w:r>
          </w:p>
        </w:tc>
        <w:tc>
          <w:tcPr>
            <w:tcW w:w="4536" w:type="dxa"/>
          </w:tcPr>
          <w:p w:rsidR="00C22014" w:rsidRPr="00982C2B" w:rsidRDefault="000001B5" w:rsidP="008A719E">
            <w:pPr>
              <w:jc w:val="both"/>
              <w:rPr>
                <w:rFonts w:cs="Times New Roman"/>
                <w:szCs w:val="20"/>
                <w:u w:val="single"/>
                <w:lang w:val="fr-CA"/>
              </w:rPr>
            </w:pPr>
            <w:r w:rsidRPr="00982C2B">
              <w:rPr>
                <w:rFonts w:cs="Times New Roman"/>
                <w:sz w:val="20"/>
                <w:szCs w:val="20"/>
                <w:lang w:val="fr-CA"/>
              </w:rPr>
              <w:t>Arrêt accueillant l’appel de la Compagnie.</w:t>
            </w:r>
          </w:p>
        </w:tc>
      </w:tr>
      <w:tr w:rsidR="00C22014" w:rsidRPr="009F3029" w:rsidTr="00A372A7">
        <w:trPr>
          <w:cantSplit/>
        </w:trPr>
        <w:tc>
          <w:tcPr>
            <w:tcW w:w="4410" w:type="dxa"/>
          </w:tcPr>
          <w:p w:rsidR="000001B5" w:rsidRPr="00982C2B" w:rsidRDefault="000001B5" w:rsidP="0061355E">
            <w:pPr>
              <w:jc w:val="both"/>
              <w:rPr>
                <w:rFonts w:cs="Times New Roman"/>
                <w:sz w:val="20"/>
                <w:szCs w:val="20"/>
                <w:lang w:val="fr-CA"/>
              </w:rPr>
            </w:pPr>
            <w:r w:rsidRPr="00982C2B">
              <w:rPr>
                <w:rFonts w:cs="Times New Roman"/>
                <w:sz w:val="20"/>
                <w:szCs w:val="20"/>
                <w:lang w:val="fr-CA"/>
              </w:rPr>
              <w:t>28 septembre 2015</w:t>
            </w:r>
          </w:p>
          <w:p w:rsidR="00C22014" w:rsidRPr="00982C2B" w:rsidRDefault="000001B5" w:rsidP="008A719E">
            <w:pPr>
              <w:jc w:val="both"/>
              <w:rPr>
                <w:rFonts w:cs="Times New Roman"/>
                <w:szCs w:val="20"/>
                <w:u w:val="single"/>
                <w:lang w:val="fr-CA"/>
              </w:rPr>
            </w:pPr>
            <w:r w:rsidRPr="00982C2B">
              <w:rPr>
                <w:rFonts w:cs="Times New Roman"/>
                <w:sz w:val="20"/>
                <w:szCs w:val="20"/>
                <w:lang w:val="fr-CA"/>
              </w:rPr>
              <w:t>Cour suprême du Canada</w:t>
            </w:r>
          </w:p>
        </w:tc>
        <w:tc>
          <w:tcPr>
            <w:tcW w:w="630" w:type="dxa"/>
          </w:tcPr>
          <w:p w:rsidR="00C22014" w:rsidRPr="00982C2B" w:rsidRDefault="008A719E" w:rsidP="0061355E">
            <w:pPr>
              <w:pStyle w:val="SCCShortJudgment"/>
              <w:ind w:firstLine="0"/>
              <w:rPr>
                <w:rFonts w:cs="Times New Roman"/>
                <w:szCs w:val="20"/>
                <w:u w:val="single"/>
                <w:lang w:val="fr-CA"/>
              </w:rPr>
            </w:pPr>
            <w:r>
              <w:rPr>
                <w:rFonts w:cs="Times New Roman"/>
                <w:szCs w:val="20"/>
                <w:u w:val="single"/>
                <w:lang w:val="fr-CA"/>
              </w:rPr>
              <w:br/>
            </w:r>
            <w:r>
              <w:rPr>
                <w:rFonts w:cs="Times New Roman"/>
                <w:szCs w:val="20"/>
                <w:u w:val="single"/>
                <w:lang w:val="fr-CA"/>
              </w:rPr>
              <w:br/>
            </w:r>
          </w:p>
        </w:tc>
        <w:tc>
          <w:tcPr>
            <w:tcW w:w="4536" w:type="dxa"/>
          </w:tcPr>
          <w:p w:rsidR="00C22014" w:rsidRPr="00982C2B" w:rsidRDefault="000001B5" w:rsidP="008A719E">
            <w:pPr>
              <w:jc w:val="both"/>
              <w:rPr>
                <w:rFonts w:cs="Times New Roman"/>
                <w:szCs w:val="20"/>
                <w:u w:val="single"/>
                <w:lang w:val="fr-CA"/>
              </w:rPr>
            </w:pPr>
            <w:r w:rsidRPr="00982C2B">
              <w:rPr>
                <w:rFonts w:cs="Times New Roman"/>
                <w:sz w:val="20"/>
                <w:szCs w:val="20"/>
                <w:lang w:val="fr-CA"/>
              </w:rPr>
              <w:t>Dépôt de la demande d’autorisation d’appel.</w:t>
            </w:r>
          </w:p>
        </w:tc>
      </w:tr>
      <w:tr w:rsidR="000001B5" w:rsidRPr="009F3029" w:rsidTr="00A372A7">
        <w:trPr>
          <w:cantSplit/>
        </w:trPr>
        <w:tc>
          <w:tcPr>
            <w:tcW w:w="4410" w:type="dxa"/>
          </w:tcPr>
          <w:p w:rsidR="000001B5" w:rsidRPr="00982C2B" w:rsidRDefault="000001B5" w:rsidP="0061355E">
            <w:pPr>
              <w:jc w:val="both"/>
              <w:rPr>
                <w:rFonts w:cs="Times New Roman"/>
                <w:sz w:val="20"/>
                <w:szCs w:val="20"/>
                <w:lang w:val="fr-CA"/>
              </w:rPr>
            </w:pPr>
            <w:r w:rsidRPr="00982C2B">
              <w:rPr>
                <w:rFonts w:cs="Times New Roman"/>
                <w:sz w:val="20"/>
                <w:szCs w:val="20"/>
                <w:lang w:val="fr-CA"/>
              </w:rPr>
              <w:t>29 octobre 2015</w:t>
            </w:r>
          </w:p>
          <w:p w:rsidR="000001B5" w:rsidRPr="00982C2B" w:rsidRDefault="000001B5" w:rsidP="006135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0001B5" w:rsidRPr="00982C2B" w:rsidRDefault="000001B5" w:rsidP="0061355E">
            <w:pPr>
              <w:pStyle w:val="SCCShortJudgment"/>
              <w:ind w:firstLine="0"/>
              <w:rPr>
                <w:rFonts w:cs="Times New Roman"/>
                <w:szCs w:val="20"/>
                <w:u w:val="single"/>
                <w:lang w:val="fr-CA"/>
              </w:rPr>
            </w:pPr>
          </w:p>
        </w:tc>
        <w:tc>
          <w:tcPr>
            <w:tcW w:w="4536" w:type="dxa"/>
          </w:tcPr>
          <w:p w:rsidR="000001B5" w:rsidRPr="00982C2B" w:rsidRDefault="000001B5" w:rsidP="0061355E">
            <w:pPr>
              <w:pStyle w:val="SCCShortJudgment"/>
              <w:ind w:firstLine="0"/>
              <w:rPr>
                <w:rFonts w:cs="Times New Roman"/>
                <w:szCs w:val="20"/>
                <w:u w:val="single"/>
                <w:lang w:val="fr-CA"/>
              </w:rPr>
            </w:pPr>
            <w:r w:rsidRPr="00982C2B">
              <w:rPr>
                <w:rFonts w:cs="Times New Roman"/>
                <w:szCs w:val="20"/>
                <w:lang w:val="fr-CA"/>
              </w:rPr>
              <w:t>Dépôt de la demande conditionnelle d’autorisation d’appel incident.</w:t>
            </w:r>
          </w:p>
        </w:tc>
      </w:tr>
    </w:tbl>
    <w:p w:rsidR="00C22014" w:rsidRPr="00982C2B" w:rsidRDefault="009F3029" w:rsidP="00C22014">
      <w:pPr>
        <w:rPr>
          <w:rFonts w:cs="Times New Roman"/>
          <w:sz w:val="20"/>
          <w:szCs w:val="20"/>
        </w:rPr>
      </w:pPr>
      <w:r>
        <w:rPr>
          <w:rFonts w:cs="Times New Roman"/>
          <w:sz w:val="20"/>
          <w:szCs w:val="20"/>
          <w:lang w:val="fr-CA"/>
        </w:rPr>
        <w:pict>
          <v:rect id="_x0000_i1048" style="width:2in;height:1pt" o:hrpct="0" o:hralign="center" o:hrstd="t" o:hrnoshade="t" o:hr="t" fillcolor="black [3213]" stroked="f"/>
        </w:pict>
      </w:r>
    </w:p>
    <w:p w:rsidR="00C22014" w:rsidRPr="00982C2B" w:rsidRDefault="00C22014" w:rsidP="00C22014">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EE3B45" w:rsidRPr="00982C2B" w:rsidTr="00A372A7">
        <w:tc>
          <w:tcPr>
            <w:tcW w:w="1458" w:type="dxa"/>
          </w:tcPr>
          <w:p w:rsidR="00EE3B45" w:rsidRPr="00982C2B" w:rsidRDefault="00EE3B45" w:rsidP="0061355E">
            <w:pPr>
              <w:jc w:val="both"/>
              <w:rPr>
                <w:rFonts w:cs="Times New Roman"/>
                <w:sz w:val="20"/>
                <w:szCs w:val="20"/>
              </w:rPr>
            </w:pPr>
            <w:r w:rsidRPr="00982C2B">
              <w:rPr>
                <w:rStyle w:val="SCCFileNumberChar"/>
                <w:sz w:val="20"/>
                <w:szCs w:val="20"/>
              </w:rPr>
              <w:t>36655</w:t>
            </w:r>
          </w:p>
          <w:p w:rsidR="00EE3B45" w:rsidRPr="00982C2B" w:rsidRDefault="00EE3B45" w:rsidP="0061355E">
            <w:pPr>
              <w:jc w:val="both"/>
              <w:rPr>
                <w:rFonts w:cs="Times New Roman"/>
                <w:b/>
                <w:sz w:val="20"/>
                <w:szCs w:val="20"/>
              </w:rPr>
            </w:pPr>
          </w:p>
        </w:tc>
        <w:tc>
          <w:tcPr>
            <w:tcW w:w="8118" w:type="dxa"/>
            <w:gridSpan w:val="3"/>
          </w:tcPr>
          <w:p w:rsidR="00EE3B45" w:rsidRPr="00982C2B" w:rsidRDefault="00EE3B45" w:rsidP="0061355E">
            <w:pPr>
              <w:jc w:val="both"/>
              <w:rPr>
                <w:rFonts w:cs="Times New Roman"/>
                <w:sz w:val="20"/>
                <w:szCs w:val="20"/>
              </w:rPr>
            </w:pPr>
            <w:r w:rsidRPr="00982C2B">
              <w:rPr>
                <w:rStyle w:val="SCCLsocChar"/>
                <w:rFonts w:cs="Times New Roman"/>
                <w:sz w:val="20"/>
                <w:szCs w:val="20"/>
                <w:lang w:val="en-CA"/>
              </w:rPr>
              <w:t xml:space="preserve">Apotex Inc. and Apotex Fermentation Inc. v. Merck &amp; Co. Inc. and Merck Canada Inc. </w:t>
            </w:r>
            <w:r w:rsidRPr="00982C2B">
              <w:rPr>
                <w:rFonts w:cs="Times New Roman"/>
                <w:sz w:val="20"/>
                <w:szCs w:val="20"/>
              </w:rPr>
              <w:t>(F.C.) (Civil) (By Leave)</w:t>
            </w:r>
          </w:p>
          <w:p w:rsidR="00EE3B45" w:rsidRPr="00982C2B" w:rsidRDefault="00EE3B45" w:rsidP="0061355E">
            <w:pPr>
              <w:jc w:val="both"/>
              <w:rPr>
                <w:rFonts w:cs="Times New Roman"/>
                <w:sz w:val="20"/>
                <w:szCs w:val="20"/>
              </w:rPr>
            </w:pPr>
          </w:p>
        </w:tc>
      </w:tr>
      <w:tr w:rsidR="00EE3B45" w:rsidRPr="00982C2B" w:rsidTr="00A372A7">
        <w:tc>
          <w:tcPr>
            <w:tcW w:w="1458" w:type="dxa"/>
          </w:tcPr>
          <w:p w:rsidR="00EE3B45" w:rsidRPr="00982C2B" w:rsidRDefault="00EE3B45" w:rsidP="0061355E">
            <w:pPr>
              <w:jc w:val="both"/>
              <w:rPr>
                <w:rFonts w:cs="Times New Roman"/>
                <w:sz w:val="20"/>
                <w:szCs w:val="20"/>
              </w:rPr>
            </w:pPr>
            <w:r w:rsidRPr="00982C2B">
              <w:rPr>
                <w:rFonts w:cs="Times New Roman"/>
                <w:sz w:val="20"/>
                <w:szCs w:val="20"/>
              </w:rPr>
              <w:t>Coram :</w:t>
            </w:r>
          </w:p>
        </w:tc>
        <w:tc>
          <w:tcPr>
            <w:tcW w:w="8118" w:type="dxa"/>
            <w:gridSpan w:val="3"/>
          </w:tcPr>
          <w:p w:rsidR="00EE3B45" w:rsidRPr="00982C2B" w:rsidRDefault="00EE3B45" w:rsidP="0061355E">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EE3B45" w:rsidRPr="00982C2B" w:rsidRDefault="00EE3B45" w:rsidP="0061355E">
            <w:pPr>
              <w:jc w:val="both"/>
              <w:rPr>
                <w:rFonts w:cs="Times New Roman"/>
                <w:sz w:val="20"/>
                <w:szCs w:val="20"/>
                <w:u w:val="single"/>
              </w:rPr>
            </w:pPr>
          </w:p>
        </w:tc>
      </w:tr>
      <w:tr w:rsidR="00EE3B45" w:rsidRPr="009F3029" w:rsidTr="00A372A7">
        <w:tc>
          <w:tcPr>
            <w:tcW w:w="9576" w:type="dxa"/>
            <w:gridSpan w:val="4"/>
          </w:tcPr>
          <w:p w:rsidR="00EE3B45" w:rsidRPr="00982C2B" w:rsidRDefault="00EE3B45" w:rsidP="0061355E">
            <w:pPr>
              <w:pStyle w:val="SCCShortJudgment"/>
              <w:ind w:firstLine="0"/>
              <w:rPr>
                <w:rFonts w:cs="Times New Roman"/>
                <w:szCs w:val="20"/>
              </w:rPr>
            </w:pPr>
            <w:r w:rsidRPr="00982C2B">
              <w:rPr>
                <w:rFonts w:cs="Times New Roman"/>
                <w:szCs w:val="20"/>
              </w:rPr>
              <w:tab/>
              <w:t>The applications for leave to appeal from the judgments of the Federal Court of Appeal, in docket Number A-242-13, 2015 FCA 171, dated July 23, 2015, and November 6, 2015, are both dismissed with costs.</w:t>
            </w:r>
          </w:p>
          <w:p w:rsidR="00EE3B45" w:rsidRPr="00982C2B" w:rsidRDefault="00EE3B45" w:rsidP="0061355E">
            <w:pPr>
              <w:pStyle w:val="SCCShortJudgment"/>
              <w:ind w:firstLine="0"/>
              <w:rPr>
                <w:rFonts w:cs="Times New Roman"/>
                <w:szCs w:val="20"/>
              </w:rPr>
            </w:pPr>
          </w:p>
          <w:p w:rsidR="00EE3B45" w:rsidRDefault="00EE3B45" w:rsidP="008A719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Les demandes d’autorisation d’appel des arrêts de la </w:t>
            </w:r>
            <w:r w:rsidRPr="00982C2B">
              <w:rPr>
                <w:rFonts w:cs="Times New Roman"/>
                <w:szCs w:val="20"/>
                <w:lang w:val="fr-FR"/>
              </w:rPr>
              <w:t>Cour d</w:t>
            </w:r>
            <w:r w:rsidRPr="00982C2B">
              <w:rPr>
                <w:rFonts w:cs="Times New Roman"/>
                <w:szCs w:val="20"/>
                <w:lang w:val="fr-CA"/>
              </w:rPr>
              <w:t>’appel fédérale, dans le dossier numéro A-242-13, 2015 CAF 171, datés des 23 juillet 2015, et 6 novembre 2015, sont toutes deux rejetées avec dépens.</w:t>
            </w:r>
          </w:p>
          <w:p w:rsidR="008A719E" w:rsidRPr="00982C2B" w:rsidRDefault="008A719E" w:rsidP="008A719E">
            <w:pPr>
              <w:pStyle w:val="SCCShortJudgment"/>
              <w:ind w:firstLine="0"/>
              <w:rPr>
                <w:rFonts w:cs="Times New Roman"/>
                <w:szCs w:val="20"/>
                <w:lang w:val="fr-CA"/>
              </w:rPr>
            </w:pPr>
          </w:p>
        </w:tc>
      </w:tr>
      <w:tr w:rsidR="00EE3B45" w:rsidRPr="00982C2B" w:rsidTr="00A372A7">
        <w:tc>
          <w:tcPr>
            <w:tcW w:w="9576" w:type="dxa"/>
            <w:gridSpan w:val="4"/>
          </w:tcPr>
          <w:p w:rsidR="00EE3B45" w:rsidRPr="00982C2B" w:rsidRDefault="00EE3B45"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BE5704" w:rsidRPr="00982C2B" w:rsidRDefault="00BE5704" w:rsidP="0061355E">
            <w:pPr>
              <w:pStyle w:val="SCCShortJudgment"/>
              <w:ind w:firstLine="0"/>
              <w:rPr>
                <w:rFonts w:cs="Times New Roman"/>
                <w:szCs w:val="20"/>
                <w:u w:val="single"/>
                <w:lang w:val="fr-CA"/>
              </w:rPr>
            </w:pPr>
          </w:p>
        </w:tc>
      </w:tr>
      <w:tr w:rsidR="00EE3B45" w:rsidRPr="00982C2B" w:rsidTr="00A372A7">
        <w:tc>
          <w:tcPr>
            <w:tcW w:w="9576" w:type="dxa"/>
            <w:gridSpan w:val="4"/>
          </w:tcPr>
          <w:p w:rsidR="00BE5704" w:rsidRPr="00982C2B" w:rsidRDefault="00BE5704" w:rsidP="0061355E">
            <w:pPr>
              <w:pStyle w:val="SCCBanSummary"/>
              <w:rPr>
                <w:rFonts w:cs="Times New Roman"/>
                <w:sz w:val="20"/>
                <w:szCs w:val="20"/>
              </w:rPr>
            </w:pPr>
            <w:r w:rsidRPr="00982C2B">
              <w:rPr>
                <w:rFonts w:cs="Times New Roman"/>
                <w:sz w:val="20"/>
                <w:szCs w:val="20"/>
              </w:rPr>
              <w:t>(Sealing order)</w:t>
            </w:r>
          </w:p>
          <w:p w:rsidR="00BE5704" w:rsidRPr="00982C2B" w:rsidRDefault="00BE5704" w:rsidP="0061355E">
            <w:pPr>
              <w:jc w:val="both"/>
              <w:rPr>
                <w:rFonts w:cs="Times New Roman"/>
                <w:sz w:val="20"/>
                <w:szCs w:val="20"/>
              </w:rPr>
            </w:pPr>
          </w:p>
          <w:p w:rsidR="00EE3B45" w:rsidRPr="00982C2B" w:rsidRDefault="00BE5704" w:rsidP="0061355E">
            <w:pPr>
              <w:pStyle w:val="SCCShortJudgment"/>
              <w:ind w:firstLine="0"/>
              <w:rPr>
                <w:rFonts w:cs="Times New Roman"/>
                <w:szCs w:val="20"/>
              </w:rPr>
            </w:pPr>
            <w:r w:rsidRPr="00982C2B">
              <w:rPr>
                <w:rFonts w:cs="Times New Roman"/>
                <w:szCs w:val="20"/>
              </w:rPr>
              <w:t xml:space="preserve">Intellectual property — Patents — Medicines — Patent infringement — Calculation of damages — Patentee awarded damages for patent infringement — What is correct legal framework applicable to damages awarded pursuant to s. 55(1) of </w:t>
            </w:r>
            <w:r w:rsidRPr="00982C2B">
              <w:rPr>
                <w:rFonts w:cs="Times New Roman"/>
                <w:i/>
                <w:szCs w:val="20"/>
              </w:rPr>
              <w:t>Patent Act</w:t>
            </w:r>
            <w:r w:rsidRPr="00982C2B">
              <w:rPr>
                <w:rFonts w:cs="Times New Roman"/>
                <w:szCs w:val="20"/>
              </w:rPr>
              <w:t>, R.S.C. 1985, c. P-4 — Whether defendant’s ability to compete legally in “but for” world relevant only if alternatives available to defendant are “instantaneously available” at exact moment of first infringement.</w:t>
            </w:r>
          </w:p>
          <w:p w:rsidR="00BE5704" w:rsidRPr="00982C2B" w:rsidRDefault="00BE5704" w:rsidP="0061355E">
            <w:pPr>
              <w:pStyle w:val="SCCShortJudgment"/>
              <w:ind w:firstLine="0"/>
              <w:rPr>
                <w:rFonts w:cs="Times New Roman"/>
                <w:szCs w:val="20"/>
              </w:rPr>
            </w:pPr>
          </w:p>
        </w:tc>
      </w:tr>
      <w:tr w:rsidR="00EE3B45" w:rsidRPr="00982C2B" w:rsidTr="00A372A7">
        <w:tc>
          <w:tcPr>
            <w:tcW w:w="9576" w:type="dxa"/>
            <w:gridSpan w:val="4"/>
          </w:tcPr>
          <w:p w:rsidR="00EE3B45" w:rsidRPr="00982C2B" w:rsidRDefault="00BE5704" w:rsidP="0061355E">
            <w:pPr>
              <w:pStyle w:val="SCCShortJudgment"/>
              <w:ind w:firstLine="0"/>
              <w:rPr>
                <w:rFonts w:cs="Times New Roman"/>
                <w:szCs w:val="20"/>
              </w:rPr>
            </w:pPr>
            <w:r w:rsidRPr="00982C2B">
              <w:rPr>
                <w:rFonts w:cs="Times New Roman"/>
                <w:szCs w:val="20"/>
              </w:rPr>
              <w:t>The respondents (collectively, “Merck”) own the product-by-process 380 patent for the anti-cholesterol drug lovastatin (“AFI-1 process”), which they sold in Canada under the trade name Mevacor. The patent was issued to Merck in 1984 and expired on January 31, 2001. In 1993, the applicants (collectively, “Apotex”) applied to the Minister of Health for a notice of compliance that would enable it to market a generic version of lovastatin in Canada. Apotex alleged it would not infringe the patent because it would use a process to produce lovastatin that would not fall within the scope of the patent (“AFI-4 process”). A notice of compliance was issued to Apotex on March 27, 1997. Later that year, Merck commenced an action against Apotex alleging infringement of the 380 patent. After a lengthy trial, the patent was held to be valid and infringed by Apotex. The judge found that Merck was entitled to compensatory damages rather than an accounting of profits. Following the exhaustion of all rights of appeal relating to the liability phase, the judge found that Merck was entitled to a total damages award of $119,054,327, plus pre-judgment and post-judgment interest. The judge rejected the argument advanced by Apotex that the availability of non-infringing lovastatin should be taken into account in assessing damages. This decision was upheld on appeal.</w:t>
            </w:r>
          </w:p>
          <w:p w:rsidR="00BE5704" w:rsidRPr="00982C2B" w:rsidRDefault="00BE5704" w:rsidP="0061355E">
            <w:pPr>
              <w:pStyle w:val="SCCShortJudgment"/>
              <w:ind w:firstLine="0"/>
              <w:rPr>
                <w:rFonts w:cs="Times New Roman"/>
                <w:szCs w:val="20"/>
              </w:rPr>
            </w:pPr>
          </w:p>
        </w:tc>
      </w:tr>
      <w:tr w:rsidR="00EE3B45"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December 22, 2010</w:t>
            </w:r>
          </w:p>
          <w:p w:rsidR="00BE5704" w:rsidRPr="00982C2B" w:rsidRDefault="00BE5704" w:rsidP="0061355E">
            <w:pPr>
              <w:jc w:val="both"/>
              <w:rPr>
                <w:rFonts w:cs="Times New Roman"/>
                <w:sz w:val="20"/>
                <w:szCs w:val="20"/>
              </w:rPr>
            </w:pPr>
            <w:r w:rsidRPr="00982C2B">
              <w:rPr>
                <w:rFonts w:cs="Times New Roman"/>
                <w:sz w:val="20"/>
                <w:szCs w:val="20"/>
              </w:rPr>
              <w:t>Federal Court</w:t>
            </w:r>
          </w:p>
          <w:p w:rsidR="00BE5704" w:rsidRPr="00982C2B" w:rsidRDefault="00BE5704" w:rsidP="0061355E">
            <w:pPr>
              <w:jc w:val="both"/>
              <w:rPr>
                <w:rFonts w:cs="Times New Roman"/>
                <w:sz w:val="20"/>
                <w:szCs w:val="20"/>
              </w:rPr>
            </w:pPr>
            <w:r w:rsidRPr="00982C2B">
              <w:rPr>
                <w:rFonts w:cs="Times New Roman"/>
                <w:sz w:val="20"/>
                <w:szCs w:val="20"/>
              </w:rPr>
              <w:t>(Snider J.)</w:t>
            </w:r>
          </w:p>
          <w:p w:rsidR="00EE3B45" w:rsidRPr="00982C2B" w:rsidRDefault="009F3029" w:rsidP="0046339D">
            <w:pPr>
              <w:jc w:val="both"/>
              <w:rPr>
                <w:rFonts w:cs="Times New Roman"/>
                <w:szCs w:val="20"/>
              </w:rPr>
            </w:pPr>
            <w:hyperlink r:id="rId32" w:history="1">
              <w:r w:rsidR="00BE5704" w:rsidRPr="00982C2B">
                <w:rPr>
                  <w:rStyle w:val="Hyperlink"/>
                  <w:rFonts w:cs="Times New Roman"/>
                  <w:sz w:val="20"/>
                  <w:szCs w:val="20"/>
                </w:rPr>
                <w:t>2010 FC 1265</w:t>
              </w:r>
            </w:hyperlink>
          </w:p>
        </w:tc>
        <w:tc>
          <w:tcPr>
            <w:tcW w:w="630" w:type="dxa"/>
          </w:tcPr>
          <w:p w:rsidR="00EE3B45" w:rsidRPr="00982C2B" w:rsidRDefault="0046339D"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EE3B45" w:rsidRPr="00982C2B" w:rsidRDefault="00BE5704" w:rsidP="0046339D">
            <w:pPr>
              <w:jc w:val="both"/>
              <w:rPr>
                <w:rFonts w:cs="Times New Roman"/>
                <w:szCs w:val="20"/>
              </w:rPr>
            </w:pPr>
            <w:r w:rsidRPr="00982C2B">
              <w:rPr>
                <w:rFonts w:cs="Times New Roman"/>
                <w:sz w:val="20"/>
                <w:szCs w:val="20"/>
              </w:rPr>
              <w:t>Respondents’ action for patent infringement allowed; applicants’ counter-claims dismissed.</w:t>
            </w:r>
          </w:p>
        </w:tc>
      </w:tr>
      <w:tr w:rsidR="00EE3B45"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July 16, 2013</w:t>
            </w:r>
          </w:p>
          <w:p w:rsidR="00BE5704" w:rsidRPr="00982C2B" w:rsidRDefault="00BE5704" w:rsidP="0061355E">
            <w:pPr>
              <w:jc w:val="both"/>
              <w:rPr>
                <w:rFonts w:cs="Times New Roman"/>
                <w:sz w:val="20"/>
                <w:szCs w:val="20"/>
              </w:rPr>
            </w:pPr>
            <w:r w:rsidRPr="00982C2B">
              <w:rPr>
                <w:rFonts w:cs="Times New Roman"/>
                <w:sz w:val="20"/>
                <w:szCs w:val="20"/>
              </w:rPr>
              <w:t>Federal Court</w:t>
            </w:r>
          </w:p>
          <w:p w:rsidR="00BE5704" w:rsidRPr="00982C2B" w:rsidRDefault="00BE5704" w:rsidP="0061355E">
            <w:pPr>
              <w:jc w:val="both"/>
              <w:rPr>
                <w:rFonts w:cs="Times New Roman"/>
                <w:sz w:val="20"/>
                <w:szCs w:val="20"/>
              </w:rPr>
            </w:pPr>
            <w:r w:rsidRPr="00982C2B">
              <w:rPr>
                <w:rFonts w:cs="Times New Roman"/>
                <w:sz w:val="20"/>
                <w:szCs w:val="20"/>
              </w:rPr>
              <w:t>(Snider J.)</w:t>
            </w:r>
          </w:p>
          <w:p w:rsidR="00EE3B45" w:rsidRPr="00982C2B" w:rsidRDefault="009F3029" w:rsidP="0046339D">
            <w:pPr>
              <w:jc w:val="both"/>
              <w:rPr>
                <w:rFonts w:cs="Times New Roman"/>
                <w:szCs w:val="20"/>
              </w:rPr>
            </w:pPr>
            <w:hyperlink r:id="rId33" w:history="1">
              <w:r w:rsidR="00BE5704" w:rsidRPr="00982C2B">
                <w:rPr>
                  <w:rStyle w:val="Hyperlink"/>
                  <w:rFonts w:cs="Times New Roman"/>
                  <w:sz w:val="20"/>
                  <w:szCs w:val="20"/>
                </w:rPr>
                <w:t>2013 FC 751</w:t>
              </w:r>
            </w:hyperlink>
          </w:p>
        </w:tc>
        <w:tc>
          <w:tcPr>
            <w:tcW w:w="630" w:type="dxa"/>
          </w:tcPr>
          <w:p w:rsidR="00EE3B45" w:rsidRPr="00982C2B" w:rsidRDefault="0046339D" w:rsidP="0061355E">
            <w:pPr>
              <w:pStyle w:val="SCCShortJudgment"/>
              <w:ind w:firstLine="0"/>
              <w:rPr>
                <w:rFonts w:cs="Times New Roman"/>
                <w:szCs w:val="20"/>
              </w:rPr>
            </w:pPr>
            <w:r>
              <w:rPr>
                <w:rFonts w:cs="Times New Roman"/>
                <w:szCs w:val="20"/>
              </w:rPr>
              <w:br/>
            </w:r>
            <w:r>
              <w:rPr>
                <w:rFonts w:cs="Times New Roman"/>
                <w:szCs w:val="20"/>
              </w:rPr>
              <w:br/>
            </w:r>
            <w:r>
              <w:rPr>
                <w:rFonts w:cs="Times New Roman"/>
                <w:szCs w:val="20"/>
              </w:rPr>
              <w:br/>
            </w:r>
            <w:r>
              <w:rPr>
                <w:rFonts w:cs="Times New Roman"/>
                <w:szCs w:val="20"/>
              </w:rPr>
              <w:br/>
            </w:r>
          </w:p>
        </w:tc>
        <w:tc>
          <w:tcPr>
            <w:tcW w:w="4536" w:type="dxa"/>
          </w:tcPr>
          <w:p w:rsidR="00EE3B45" w:rsidRPr="00982C2B" w:rsidRDefault="00BE5704" w:rsidP="0046339D">
            <w:pPr>
              <w:jc w:val="both"/>
              <w:rPr>
                <w:rFonts w:cs="Times New Roman"/>
                <w:szCs w:val="20"/>
              </w:rPr>
            </w:pPr>
            <w:r w:rsidRPr="00982C2B">
              <w:rPr>
                <w:rFonts w:cs="Times New Roman"/>
                <w:sz w:val="20"/>
                <w:szCs w:val="20"/>
              </w:rPr>
              <w:t>Respondents awarded damages of $119,054,327 for patent infringement.</w:t>
            </w:r>
          </w:p>
        </w:tc>
      </w:tr>
      <w:tr w:rsidR="00EE3B45"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July 23, 2015</w:t>
            </w:r>
          </w:p>
          <w:p w:rsidR="00BE5704" w:rsidRPr="00982C2B" w:rsidRDefault="00BE5704" w:rsidP="0061355E">
            <w:pPr>
              <w:jc w:val="both"/>
              <w:rPr>
                <w:rFonts w:cs="Times New Roman"/>
                <w:sz w:val="20"/>
                <w:szCs w:val="20"/>
              </w:rPr>
            </w:pPr>
            <w:r w:rsidRPr="00982C2B">
              <w:rPr>
                <w:rFonts w:cs="Times New Roman"/>
                <w:sz w:val="20"/>
                <w:szCs w:val="20"/>
              </w:rPr>
              <w:t>Federal Court of Appeal</w:t>
            </w:r>
          </w:p>
          <w:p w:rsidR="00BE5704" w:rsidRPr="00982C2B" w:rsidRDefault="00BE5704" w:rsidP="0061355E">
            <w:pPr>
              <w:jc w:val="both"/>
              <w:rPr>
                <w:rFonts w:cs="Times New Roman"/>
                <w:sz w:val="20"/>
                <w:szCs w:val="20"/>
              </w:rPr>
            </w:pPr>
            <w:r w:rsidRPr="00982C2B">
              <w:rPr>
                <w:rFonts w:cs="Times New Roman"/>
                <w:sz w:val="20"/>
                <w:szCs w:val="20"/>
              </w:rPr>
              <w:t>(Dawson, Stratas and Boivin JJ.A.)</w:t>
            </w:r>
          </w:p>
          <w:p w:rsidR="00EE3B45" w:rsidRDefault="009F3029" w:rsidP="0061355E">
            <w:pPr>
              <w:jc w:val="both"/>
              <w:rPr>
                <w:rStyle w:val="Hyperlink"/>
                <w:rFonts w:cs="Times New Roman"/>
                <w:sz w:val="20"/>
                <w:szCs w:val="20"/>
              </w:rPr>
            </w:pPr>
            <w:hyperlink r:id="rId34" w:history="1">
              <w:r w:rsidR="00BE5704" w:rsidRPr="00982C2B">
                <w:rPr>
                  <w:rStyle w:val="Hyperlink"/>
                  <w:rFonts w:cs="Times New Roman"/>
                  <w:sz w:val="20"/>
                  <w:szCs w:val="20"/>
                </w:rPr>
                <w:t>2015 FCA 171</w:t>
              </w:r>
            </w:hyperlink>
          </w:p>
          <w:p w:rsidR="002C243F" w:rsidRPr="00982C2B" w:rsidRDefault="002C243F" w:rsidP="0061355E">
            <w:pPr>
              <w:jc w:val="both"/>
              <w:rPr>
                <w:rFonts w:cs="Times New Roman"/>
                <w:sz w:val="20"/>
                <w:szCs w:val="20"/>
              </w:rPr>
            </w:pPr>
          </w:p>
        </w:tc>
        <w:tc>
          <w:tcPr>
            <w:tcW w:w="630" w:type="dxa"/>
          </w:tcPr>
          <w:p w:rsidR="00EE3B45" w:rsidRPr="00982C2B" w:rsidRDefault="00EE3B45" w:rsidP="0061355E">
            <w:pPr>
              <w:pStyle w:val="SCCShortJudgment"/>
              <w:ind w:firstLine="0"/>
              <w:rPr>
                <w:rFonts w:cs="Times New Roman"/>
                <w:szCs w:val="20"/>
              </w:rPr>
            </w:pPr>
          </w:p>
        </w:tc>
        <w:tc>
          <w:tcPr>
            <w:tcW w:w="4536" w:type="dxa"/>
          </w:tcPr>
          <w:p w:rsidR="00BE5704" w:rsidRPr="00982C2B" w:rsidRDefault="00BE5704" w:rsidP="0061355E">
            <w:pPr>
              <w:jc w:val="both"/>
              <w:rPr>
                <w:rFonts w:cs="Times New Roman"/>
                <w:sz w:val="20"/>
                <w:szCs w:val="20"/>
              </w:rPr>
            </w:pPr>
            <w:r w:rsidRPr="00982C2B">
              <w:rPr>
                <w:rFonts w:cs="Times New Roman"/>
                <w:sz w:val="20"/>
                <w:szCs w:val="20"/>
              </w:rPr>
              <w:t>Applicants’ appeal dismissed.</w:t>
            </w:r>
          </w:p>
          <w:p w:rsidR="00EE3B45" w:rsidRPr="00982C2B" w:rsidRDefault="00EE3B45" w:rsidP="0061355E">
            <w:pPr>
              <w:pStyle w:val="SCCShortJudgment"/>
              <w:ind w:firstLine="0"/>
              <w:rPr>
                <w:rFonts w:cs="Times New Roman"/>
                <w:szCs w:val="20"/>
              </w:rPr>
            </w:pPr>
          </w:p>
        </w:tc>
      </w:tr>
      <w:tr w:rsidR="00BE5704"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November 6, 2015</w:t>
            </w:r>
          </w:p>
          <w:p w:rsidR="00BE5704" w:rsidRPr="00982C2B" w:rsidRDefault="00BE5704" w:rsidP="0061355E">
            <w:pPr>
              <w:jc w:val="both"/>
              <w:rPr>
                <w:rFonts w:cs="Times New Roman"/>
                <w:sz w:val="20"/>
                <w:szCs w:val="20"/>
              </w:rPr>
            </w:pPr>
            <w:r w:rsidRPr="00982C2B">
              <w:rPr>
                <w:rFonts w:cs="Times New Roman"/>
                <w:sz w:val="20"/>
                <w:szCs w:val="20"/>
              </w:rPr>
              <w:t>Federal Court of Appeal</w:t>
            </w:r>
          </w:p>
          <w:p w:rsidR="00BE5704" w:rsidRPr="00982C2B" w:rsidRDefault="00BE5704" w:rsidP="0061355E">
            <w:pPr>
              <w:jc w:val="both"/>
              <w:rPr>
                <w:rFonts w:cs="Times New Roman"/>
                <w:sz w:val="20"/>
                <w:szCs w:val="20"/>
              </w:rPr>
            </w:pPr>
            <w:r w:rsidRPr="00982C2B">
              <w:rPr>
                <w:rFonts w:cs="Times New Roman"/>
                <w:sz w:val="20"/>
                <w:szCs w:val="20"/>
              </w:rPr>
              <w:t>(Dawson, Stratas and Boivin JJ.A.)</w:t>
            </w:r>
          </w:p>
          <w:p w:rsidR="00BE5704" w:rsidRPr="00982C2B" w:rsidRDefault="00BE5704" w:rsidP="0061355E">
            <w:pPr>
              <w:jc w:val="both"/>
              <w:rPr>
                <w:rFonts w:cs="Times New Roman"/>
                <w:sz w:val="20"/>
                <w:szCs w:val="20"/>
              </w:rPr>
            </w:pPr>
            <w:r w:rsidRPr="00982C2B">
              <w:rPr>
                <w:rFonts w:cs="Times New Roman"/>
                <w:sz w:val="20"/>
                <w:szCs w:val="20"/>
              </w:rPr>
              <w:t>Unreported</w:t>
            </w:r>
          </w:p>
        </w:tc>
        <w:tc>
          <w:tcPr>
            <w:tcW w:w="630" w:type="dxa"/>
          </w:tcPr>
          <w:p w:rsidR="00BE5704" w:rsidRPr="00982C2B" w:rsidRDefault="00BE5704" w:rsidP="0061355E">
            <w:pPr>
              <w:pStyle w:val="SCCShortJudgment"/>
              <w:ind w:firstLine="0"/>
              <w:rPr>
                <w:rFonts w:cs="Times New Roman"/>
                <w:szCs w:val="20"/>
              </w:rPr>
            </w:pPr>
          </w:p>
        </w:tc>
        <w:tc>
          <w:tcPr>
            <w:tcW w:w="4536" w:type="dxa"/>
          </w:tcPr>
          <w:p w:rsidR="00BE5704" w:rsidRPr="00982C2B" w:rsidRDefault="00BE5704" w:rsidP="0061355E">
            <w:pPr>
              <w:pStyle w:val="SCCShortJudgment"/>
              <w:ind w:firstLine="0"/>
              <w:rPr>
                <w:rFonts w:cs="Times New Roman"/>
                <w:szCs w:val="20"/>
              </w:rPr>
            </w:pPr>
            <w:r w:rsidRPr="00982C2B">
              <w:rPr>
                <w:rFonts w:cs="Times New Roman"/>
                <w:szCs w:val="20"/>
              </w:rPr>
              <w:t>Applicants’ motion for reconsideration dismissed.</w:t>
            </w:r>
          </w:p>
        </w:tc>
      </w:tr>
      <w:tr w:rsidR="00BE5704"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September 29, 2015</w:t>
            </w:r>
          </w:p>
          <w:p w:rsidR="00BE5704" w:rsidRDefault="00BE5704" w:rsidP="0061355E">
            <w:pPr>
              <w:jc w:val="both"/>
              <w:rPr>
                <w:rFonts w:cs="Times New Roman"/>
                <w:sz w:val="20"/>
                <w:szCs w:val="20"/>
              </w:rPr>
            </w:pPr>
            <w:r w:rsidRPr="00982C2B">
              <w:rPr>
                <w:rFonts w:cs="Times New Roman"/>
                <w:sz w:val="20"/>
                <w:szCs w:val="20"/>
              </w:rPr>
              <w:t>Supreme Court of Canada</w:t>
            </w:r>
          </w:p>
          <w:p w:rsidR="002C243F" w:rsidRPr="00982C2B" w:rsidRDefault="002C243F" w:rsidP="0061355E">
            <w:pPr>
              <w:jc w:val="both"/>
              <w:rPr>
                <w:rFonts w:cs="Times New Roman"/>
                <w:sz w:val="20"/>
                <w:szCs w:val="20"/>
              </w:rPr>
            </w:pPr>
          </w:p>
        </w:tc>
        <w:tc>
          <w:tcPr>
            <w:tcW w:w="630" w:type="dxa"/>
          </w:tcPr>
          <w:p w:rsidR="00BE5704" w:rsidRPr="00982C2B" w:rsidRDefault="00BE5704" w:rsidP="0061355E">
            <w:pPr>
              <w:pStyle w:val="SCCShortJudgment"/>
              <w:ind w:firstLine="0"/>
              <w:rPr>
                <w:rFonts w:cs="Times New Roman"/>
                <w:szCs w:val="20"/>
              </w:rPr>
            </w:pPr>
          </w:p>
        </w:tc>
        <w:tc>
          <w:tcPr>
            <w:tcW w:w="4536" w:type="dxa"/>
          </w:tcPr>
          <w:p w:rsidR="00BE5704" w:rsidRPr="00982C2B" w:rsidRDefault="00BE5704" w:rsidP="0061355E">
            <w:pPr>
              <w:pStyle w:val="SCCShortJudgment"/>
              <w:ind w:firstLine="0"/>
              <w:rPr>
                <w:rFonts w:cs="Times New Roman"/>
                <w:szCs w:val="20"/>
              </w:rPr>
            </w:pPr>
            <w:r w:rsidRPr="00982C2B">
              <w:rPr>
                <w:rFonts w:cs="Times New Roman"/>
                <w:szCs w:val="20"/>
              </w:rPr>
              <w:t>Applicants’ first application for leave to appeal filed.</w:t>
            </w:r>
          </w:p>
        </w:tc>
      </w:tr>
      <w:tr w:rsidR="00BE5704" w:rsidRPr="00982C2B" w:rsidTr="00A372A7">
        <w:tc>
          <w:tcPr>
            <w:tcW w:w="4410" w:type="dxa"/>
            <w:gridSpan w:val="2"/>
          </w:tcPr>
          <w:p w:rsidR="00BE5704" w:rsidRPr="00982C2B" w:rsidRDefault="00BE5704" w:rsidP="0061355E">
            <w:pPr>
              <w:jc w:val="both"/>
              <w:rPr>
                <w:rFonts w:cs="Times New Roman"/>
                <w:sz w:val="20"/>
                <w:szCs w:val="20"/>
              </w:rPr>
            </w:pPr>
            <w:r w:rsidRPr="00982C2B">
              <w:rPr>
                <w:rFonts w:cs="Times New Roman"/>
                <w:sz w:val="20"/>
                <w:szCs w:val="20"/>
              </w:rPr>
              <w:t>January 5, 2016</w:t>
            </w:r>
          </w:p>
          <w:p w:rsidR="00BE5704" w:rsidRPr="00982C2B" w:rsidRDefault="00BE5704" w:rsidP="0061355E">
            <w:pPr>
              <w:jc w:val="both"/>
              <w:rPr>
                <w:rFonts w:cs="Times New Roman"/>
                <w:sz w:val="20"/>
                <w:szCs w:val="20"/>
              </w:rPr>
            </w:pPr>
            <w:r w:rsidRPr="00982C2B">
              <w:rPr>
                <w:rFonts w:cs="Times New Roman"/>
                <w:sz w:val="20"/>
                <w:szCs w:val="20"/>
              </w:rPr>
              <w:t>Supreme Court of Canada</w:t>
            </w:r>
          </w:p>
        </w:tc>
        <w:tc>
          <w:tcPr>
            <w:tcW w:w="630" w:type="dxa"/>
          </w:tcPr>
          <w:p w:rsidR="00BE5704" w:rsidRPr="00982C2B" w:rsidRDefault="00BE5704" w:rsidP="0061355E">
            <w:pPr>
              <w:pStyle w:val="SCCShortJudgment"/>
              <w:ind w:firstLine="0"/>
              <w:rPr>
                <w:rFonts w:cs="Times New Roman"/>
                <w:szCs w:val="20"/>
              </w:rPr>
            </w:pPr>
          </w:p>
        </w:tc>
        <w:tc>
          <w:tcPr>
            <w:tcW w:w="4536" w:type="dxa"/>
          </w:tcPr>
          <w:p w:rsidR="00BE5704" w:rsidRPr="00982C2B" w:rsidRDefault="00BE5704" w:rsidP="0061355E">
            <w:pPr>
              <w:pStyle w:val="SCCShortJudgment"/>
              <w:ind w:firstLine="0"/>
              <w:rPr>
                <w:rFonts w:cs="Times New Roman"/>
                <w:szCs w:val="20"/>
              </w:rPr>
            </w:pPr>
            <w:r w:rsidRPr="00982C2B">
              <w:rPr>
                <w:rFonts w:cs="Times New Roman"/>
                <w:szCs w:val="20"/>
              </w:rPr>
              <w:t>Applicants’ second application for leave to appeal filed.</w:t>
            </w:r>
          </w:p>
        </w:tc>
      </w:tr>
      <w:tr w:rsidR="00EE3B45" w:rsidRPr="00982C2B" w:rsidTr="00A372A7">
        <w:tc>
          <w:tcPr>
            <w:tcW w:w="9576" w:type="dxa"/>
            <w:gridSpan w:val="4"/>
          </w:tcPr>
          <w:p w:rsidR="00EE3B45" w:rsidRPr="00982C2B" w:rsidRDefault="009F3029" w:rsidP="009D18B6">
            <w:pPr>
              <w:pStyle w:val="SCCShortJudgment"/>
              <w:ind w:firstLine="0"/>
              <w:rPr>
                <w:rFonts w:cs="Times New Roman"/>
                <w:szCs w:val="20"/>
                <w:lang w:val="fr-CA"/>
              </w:rPr>
            </w:pPr>
            <w:r>
              <w:rPr>
                <w:rFonts w:cs="Times New Roman"/>
                <w:szCs w:val="20"/>
                <w:lang w:val="fr-CA"/>
              </w:rPr>
              <w:pict>
                <v:rect id="_x0000_i1049" style="width:2in;height:1pt" o:hrpct="0" o:hralign="center" o:hrstd="t" o:hrnoshade="t" o:hr="t" fillcolor="black [3213]" stroked="f"/>
              </w:pict>
            </w:r>
          </w:p>
          <w:p w:rsidR="00A372A7" w:rsidRPr="00982C2B" w:rsidRDefault="00A372A7" w:rsidP="009D18B6">
            <w:pPr>
              <w:pStyle w:val="SCCShortJudgment"/>
              <w:ind w:firstLine="0"/>
              <w:rPr>
                <w:rFonts w:cs="Times New Roman"/>
                <w:szCs w:val="20"/>
                <w:lang w:val="fr-CA"/>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EE3B45" w:rsidRPr="00982C2B" w:rsidTr="00A372A7">
        <w:tc>
          <w:tcPr>
            <w:tcW w:w="9576" w:type="dxa"/>
            <w:gridSpan w:val="3"/>
          </w:tcPr>
          <w:p w:rsidR="00EE3B45" w:rsidRPr="00982C2B" w:rsidRDefault="00EE3B45" w:rsidP="0061355E">
            <w:pPr>
              <w:pStyle w:val="SCCShortJudgment"/>
              <w:ind w:firstLine="0"/>
              <w:rPr>
                <w:rFonts w:cs="Times New Roman"/>
                <w:szCs w:val="20"/>
                <w:u w:val="single"/>
                <w:lang w:val="fr-CA"/>
              </w:rPr>
            </w:pPr>
            <w:r w:rsidRPr="00982C2B">
              <w:rPr>
                <w:rFonts w:cs="Times New Roman"/>
                <w:szCs w:val="20"/>
                <w:u w:val="single"/>
                <w:lang w:val="fr-CA"/>
              </w:rPr>
              <w:t>RÉSUMÉ DE L’AFFAIRE </w:t>
            </w:r>
          </w:p>
          <w:p w:rsidR="00BE5704" w:rsidRPr="00982C2B" w:rsidRDefault="00BE5704" w:rsidP="0061355E">
            <w:pPr>
              <w:pStyle w:val="SCCShortJudgment"/>
              <w:ind w:firstLine="0"/>
              <w:rPr>
                <w:rFonts w:cs="Times New Roman"/>
                <w:szCs w:val="20"/>
                <w:u w:val="single"/>
                <w:lang w:val="fr-CA"/>
              </w:rPr>
            </w:pPr>
          </w:p>
        </w:tc>
      </w:tr>
      <w:tr w:rsidR="00EE3B45" w:rsidRPr="009F3029" w:rsidTr="00A372A7">
        <w:tc>
          <w:tcPr>
            <w:tcW w:w="9576" w:type="dxa"/>
            <w:gridSpan w:val="3"/>
          </w:tcPr>
          <w:p w:rsidR="00BE5704" w:rsidRPr="00982C2B" w:rsidRDefault="00BE5704" w:rsidP="0061355E">
            <w:pPr>
              <w:pStyle w:val="SCCBanSummary"/>
              <w:rPr>
                <w:rFonts w:cs="Times New Roman"/>
                <w:sz w:val="20"/>
                <w:szCs w:val="20"/>
                <w:lang w:val="fr-CA"/>
              </w:rPr>
            </w:pPr>
            <w:r w:rsidRPr="00982C2B">
              <w:rPr>
                <w:rFonts w:cs="Times New Roman"/>
                <w:sz w:val="20"/>
                <w:szCs w:val="20"/>
                <w:lang w:val="fr-CA"/>
              </w:rPr>
              <w:t>(Ordonnance de mise sous scellés)</w:t>
            </w:r>
          </w:p>
          <w:p w:rsidR="00BE5704" w:rsidRPr="00982C2B" w:rsidRDefault="00BE5704" w:rsidP="0061355E">
            <w:pPr>
              <w:jc w:val="both"/>
              <w:rPr>
                <w:rFonts w:cs="Times New Roman"/>
                <w:sz w:val="20"/>
                <w:szCs w:val="20"/>
                <w:lang w:val="fr-CA"/>
              </w:rPr>
            </w:pPr>
          </w:p>
          <w:p w:rsidR="00EE3B45" w:rsidRPr="00982C2B" w:rsidRDefault="00BE5704" w:rsidP="0061355E">
            <w:pPr>
              <w:pStyle w:val="SCCShortJudgment"/>
              <w:ind w:firstLine="0"/>
              <w:rPr>
                <w:rFonts w:cs="Times New Roman"/>
                <w:szCs w:val="20"/>
                <w:lang w:val="fr-CA"/>
              </w:rPr>
            </w:pPr>
            <w:r w:rsidRPr="00982C2B">
              <w:rPr>
                <w:rFonts w:cs="Times New Roman"/>
                <w:szCs w:val="20"/>
                <w:lang w:val="fr-CA"/>
              </w:rPr>
              <w:t xml:space="preserve">Propriété intellectuelle — Brevets — Médicaments — Contrefaçon de brevet — Calcul des dommages-intérêts — Le breveté s’est vu accorder des dommages-intérêts pour contrefaçon de brevet — Quelle cadre juridique convient-il d’appliquer aux dommages-intérêts accordés en application du par. 55(1) de la </w:t>
            </w:r>
            <w:r w:rsidRPr="00982C2B">
              <w:rPr>
                <w:rFonts w:cs="Times New Roman"/>
                <w:i/>
                <w:szCs w:val="20"/>
                <w:lang w:val="fr-CA"/>
              </w:rPr>
              <w:t>Loi sur les brevets</w:t>
            </w:r>
            <w:r w:rsidRPr="00982C2B">
              <w:rPr>
                <w:rFonts w:cs="Times New Roman"/>
                <w:szCs w:val="20"/>
                <w:lang w:val="fr-CA"/>
              </w:rPr>
              <w:t>, L.R.C. 1985, ch. P-4? — La possibilité qu’a la défenderesse de faire légalement concurrence dans l’état de fait antérieur à la contrefaçon n’est-elle pertinente que si les autres possibilités qui lui étaient offertes étaient « instantanément disponibles » au moment exact de la première contrefaçon?</w:t>
            </w:r>
          </w:p>
          <w:p w:rsidR="00BE5704" w:rsidRPr="00982C2B" w:rsidRDefault="00BE5704" w:rsidP="0061355E">
            <w:pPr>
              <w:pStyle w:val="SCCShortJudgment"/>
              <w:ind w:firstLine="0"/>
              <w:rPr>
                <w:rFonts w:cs="Times New Roman"/>
                <w:szCs w:val="20"/>
                <w:u w:val="single"/>
                <w:lang w:val="fr-CA"/>
              </w:rPr>
            </w:pPr>
          </w:p>
        </w:tc>
      </w:tr>
      <w:tr w:rsidR="00EE3B45" w:rsidRPr="00982C2B" w:rsidTr="00A372A7">
        <w:tc>
          <w:tcPr>
            <w:tcW w:w="9576" w:type="dxa"/>
            <w:gridSpan w:val="3"/>
          </w:tcPr>
          <w:p w:rsidR="00BE5704" w:rsidRPr="00982C2B" w:rsidRDefault="00BE5704" w:rsidP="0061355E">
            <w:pPr>
              <w:pStyle w:val="SCCShortJudgment"/>
              <w:ind w:firstLine="0"/>
              <w:rPr>
                <w:rFonts w:cs="Times New Roman"/>
                <w:szCs w:val="20"/>
                <w:lang w:val="fr-CA"/>
              </w:rPr>
            </w:pPr>
            <w:r w:rsidRPr="00982C2B">
              <w:rPr>
                <w:rFonts w:cs="Times New Roman"/>
                <w:szCs w:val="20"/>
                <w:lang w:val="fr-CA"/>
              </w:rPr>
              <w:t>Les intimées (collectivement, « Merck ») sont titulaires du brevet 380 concernant une revendication de produit par le procédé pour le médicament anti-cholestérol lovastatine (« le procédé AFI-1 »), qu’elles vendaient au Canada sous le nom commercial de Mevacor. Le brevet a été délivré à Merck en 1984 et a expiré le 31 janvier 2001. En 1993, les demanderesses (collectivement « Apotex ») ont demandé au ministre de la Santé un avis de conformité qui leur permettrait de commercialiser une version générique de la lovastatine au Canada. Apotex alléguait qu'elle ne contreferait pas le brevet, puisqu'elle emploierait un procédé de production de la lovastatine échappant au champ d'application du brevet (« le procédé AFI-4 »). Un avis de conformité a été délivré à Apotex le 27 mars 1997. Plus tard cette année-là, Merck a intenté une action contre Apotex en invoquant la contrefaçon de brevet 380. Après un long procès, une juge a statué que le brevet était valide et avait été contrefait par Apotex. La juge a conclu que Merck avait droit à des dommages-intérêts compensatoires plutôt qu'à une remise des profits. Après l'épuisement de tous les droits d'appel relatifs à l'étape de la responsabilité, la juge a conclu que Merck avait droit à des dommages-intérêts totaux de 119 054 327 $, plus les intérêts antérieurs et postérieurs au jugement. La juge a rejeté l'argument, invoqué par Apotex, selon lequel l'existence de lovastatine non contrefaite devait entrer en ligne de compte pour l'évaluation des dommages-intérêts. Ce jugement a été confirmé en appel.</w:t>
            </w:r>
          </w:p>
        </w:tc>
      </w:tr>
      <w:tr w:rsidR="00EE3B45" w:rsidRPr="00982C2B" w:rsidTr="00A372A7">
        <w:tc>
          <w:tcPr>
            <w:tcW w:w="9576" w:type="dxa"/>
            <w:gridSpan w:val="3"/>
          </w:tcPr>
          <w:p w:rsidR="00EE3B45" w:rsidRPr="00982C2B" w:rsidRDefault="00EE3B45" w:rsidP="009D18B6">
            <w:pPr>
              <w:pStyle w:val="SCCShortJudgment"/>
              <w:ind w:firstLine="0"/>
              <w:rPr>
                <w:rFonts w:cs="Times New Roman"/>
                <w:szCs w:val="20"/>
                <w:u w:val="single"/>
                <w:lang w:val="fr-CA"/>
              </w:rPr>
            </w:pPr>
          </w:p>
        </w:tc>
      </w:tr>
      <w:tr w:rsidR="00EE3B45"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22 décembre 2010</w:t>
            </w:r>
          </w:p>
          <w:p w:rsidR="00BE5704" w:rsidRPr="00982C2B" w:rsidRDefault="00BE5704" w:rsidP="0061355E">
            <w:pPr>
              <w:jc w:val="both"/>
              <w:rPr>
                <w:rFonts w:cs="Times New Roman"/>
                <w:sz w:val="20"/>
                <w:szCs w:val="20"/>
                <w:lang w:val="fr-CA"/>
              </w:rPr>
            </w:pPr>
            <w:r w:rsidRPr="00982C2B">
              <w:rPr>
                <w:rFonts w:cs="Times New Roman"/>
                <w:sz w:val="20"/>
                <w:szCs w:val="20"/>
                <w:lang w:val="fr-CA"/>
              </w:rPr>
              <w:t xml:space="preserve">Cour fédérale </w:t>
            </w:r>
          </w:p>
          <w:p w:rsidR="00BE5704" w:rsidRPr="00982C2B" w:rsidRDefault="00BE5704" w:rsidP="0061355E">
            <w:pPr>
              <w:jc w:val="both"/>
              <w:rPr>
                <w:rFonts w:cs="Times New Roman"/>
                <w:sz w:val="20"/>
                <w:szCs w:val="20"/>
                <w:lang w:val="fr-CA"/>
              </w:rPr>
            </w:pPr>
            <w:r w:rsidRPr="00982C2B">
              <w:rPr>
                <w:rFonts w:cs="Times New Roman"/>
                <w:sz w:val="20"/>
                <w:szCs w:val="20"/>
                <w:lang w:val="fr-CA"/>
              </w:rPr>
              <w:t>(Juge Snider)</w:t>
            </w:r>
          </w:p>
          <w:p w:rsidR="00BE5704" w:rsidRPr="00982C2B" w:rsidRDefault="009F3029" w:rsidP="0061355E">
            <w:pPr>
              <w:jc w:val="both"/>
              <w:rPr>
                <w:rFonts w:cs="Times New Roman"/>
                <w:sz w:val="20"/>
                <w:szCs w:val="20"/>
                <w:lang w:val="fr-CA"/>
              </w:rPr>
            </w:pPr>
            <w:hyperlink r:id="rId35" w:history="1">
              <w:r w:rsidR="00BE5704" w:rsidRPr="00982C2B">
                <w:rPr>
                  <w:rStyle w:val="Hyperlink"/>
                  <w:rFonts w:cs="Times New Roman"/>
                  <w:sz w:val="20"/>
                  <w:szCs w:val="20"/>
                  <w:lang w:val="fr-CA"/>
                </w:rPr>
                <w:t>2010 FC 1265</w:t>
              </w:r>
            </w:hyperlink>
          </w:p>
          <w:p w:rsidR="00EE3B45" w:rsidRPr="00982C2B" w:rsidRDefault="00EE3B45" w:rsidP="0061355E">
            <w:pPr>
              <w:pStyle w:val="SCCShortJudgment"/>
              <w:ind w:firstLine="0"/>
              <w:rPr>
                <w:rFonts w:cs="Times New Roman"/>
                <w:szCs w:val="20"/>
                <w:u w:val="single"/>
                <w:lang w:val="fr-CA"/>
              </w:rPr>
            </w:pPr>
          </w:p>
        </w:tc>
        <w:tc>
          <w:tcPr>
            <w:tcW w:w="630" w:type="dxa"/>
          </w:tcPr>
          <w:p w:rsidR="00EE3B45" w:rsidRPr="00982C2B" w:rsidRDefault="00EE3B45"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Jugement accueillant l’action des intimées en contrefaçon de brevet; rejet des demandes reconventionnelles des demanderesses.</w:t>
            </w:r>
          </w:p>
          <w:p w:rsidR="00EE3B45" w:rsidRPr="00982C2B" w:rsidRDefault="00EE3B45" w:rsidP="0061355E">
            <w:pPr>
              <w:pStyle w:val="SCCShortJudgment"/>
              <w:ind w:firstLine="0"/>
              <w:rPr>
                <w:rFonts w:cs="Times New Roman"/>
                <w:szCs w:val="20"/>
                <w:u w:val="single"/>
                <w:lang w:val="fr-CA"/>
              </w:rPr>
            </w:pPr>
          </w:p>
        </w:tc>
      </w:tr>
      <w:tr w:rsidR="00EE3B45"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16 juillet 2013</w:t>
            </w:r>
          </w:p>
          <w:p w:rsidR="00BE5704" w:rsidRPr="00982C2B" w:rsidRDefault="00BE5704" w:rsidP="0061355E">
            <w:pPr>
              <w:jc w:val="both"/>
              <w:rPr>
                <w:rFonts w:cs="Times New Roman"/>
                <w:sz w:val="20"/>
                <w:szCs w:val="20"/>
                <w:lang w:val="fr-CA"/>
              </w:rPr>
            </w:pPr>
            <w:r w:rsidRPr="00982C2B">
              <w:rPr>
                <w:rFonts w:cs="Times New Roman"/>
                <w:sz w:val="20"/>
                <w:szCs w:val="20"/>
                <w:lang w:val="fr-CA"/>
              </w:rPr>
              <w:t xml:space="preserve">Cour fédérale </w:t>
            </w:r>
          </w:p>
          <w:p w:rsidR="00BE5704" w:rsidRPr="00982C2B" w:rsidRDefault="00BE5704" w:rsidP="0061355E">
            <w:pPr>
              <w:jc w:val="both"/>
              <w:rPr>
                <w:rFonts w:cs="Times New Roman"/>
                <w:sz w:val="20"/>
                <w:szCs w:val="20"/>
                <w:lang w:val="fr-CA"/>
              </w:rPr>
            </w:pPr>
            <w:r w:rsidRPr="00982C2B">
              <w:rPr>
                <w:rFonts w:cs="Times New Roman"/>
                <w:sz w:val="20"/>
                <w:szCs w:val="20"/>
                <w:lang w:val="fr-CA"/>
              </w:rPr>
              <w:t>(Juge Snider)</w:t>
            </w:r>
          </w:p>
          <w:p w:rsidR="00BE5704" w:rsidRPr="00982C2B" w:rsidRDefault="009F3029" w:rsidP="0061355E">
            <w:pPr>
              <w:jc w:val="both"/>
              <w:rPr>
                <w:rFonts w:cs="Times New Roman"/>
                <w:sz w:val="20"/>
                <w:szCs w:val="20"/>
                <w:lang w:val="fr-CA"/>
              </w:rPr>
            </w:pPr>
            <w:hyperlink r:id="rId36" w:history="1">
              <w:r w:rsidR="00BE5704" w:rsidRPr="00982C2B">
                <w:rPr>
                  <w:rStyle w:val="Hyperlink"/>
                  <w:rFonts w:cs="Times New Roman"/>
                  <w:sz w:val="20"/>
                  <w:szCs w:val="20"/>
                  <w:lang w:val="fr-CA"/>
                </w:rPr>
                <w:t>2013 FC 751</w:t>
              </w:r>
            </w:hyperlink>
          </w:p>
          <w:p w:rsidR="00EE3B45" w:rsidRPr="00982C2B" w:rsidRDefault="00EE3B45" w:rsidP="0061355E">
            <w:pPr>
              <w:pStyle w:val="SCCShortJudgment"/>
              <w:ind w:firstLine="0"/>
              <w:rPr>
                <w:rFonts w:cs="Times New Roman"/>
                <w:szCs w:val="20"/>
                <w:u w:val="single"/>
                <w:lang w:val="fr-CA"/>
              </w:rPr>
            </w:pPr>
          </w:p>
        </w:tc>
        <w:tc>
          <w:tcPr>
            <w:tcW w:w="630" w:type="dxa"/>
          </w:tcPr>
          <w:p w:rsidR="00EE3B45" w:rsidRPr="00982C2B" w:rsidRDefault="00EE3B45"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Jugement accordant aux intimées des dommages-intérêts  de 119 054 327 $ pour contrefaçon de brevet.</w:t>
            </w:r>
          </w:p>
          <w:p w:rsidR="00EE3B45" w:rsidRPr="00982C2B" w:rsidRDefault="00EE3B45" w:rsidP="0061355E">
            <w:pPr>
              <w:pStyle w:val="SCCShortJudgment"/>
              <w:ind w:firstLine="0"/>
              <w:rPr>
                <w:rFonts w:cs="Times New Roman"/>
                <w:szCs w:val="20"/>
                <w:u w:val="single"/>
                <w:lang w:val="fr-CA"/>
              </w:rPr>
            </w:pPr>
          </w:p>
        </w:tc>
      </w:tr>
      <w:tr w:rsidR="00EE3B45"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23 juillet 2015</w:t>
            </w:r>
          </w:p>
          <w:p w:rsidR="00BE5704" w:rsidRPr="00982C2B" w:rsidRDefault="00BE5704" w:rsidP="0061355E">
            <w:pPr>
              <w:jc w:val="both"/>
              <w:rPr>
                <w:rFonts w:cs="Times New Roman"/>
                <w:sz w:val="20"/>
                <w:szCs w:val="20"/>
                <w:lang w:val="fr-CA"/>
              </w:rPr>
            </w:pPr>
            <w:r w:rsidRPr="00982C2B">
              <w:rPr>
                <w:rFonts w:cs="Times New Roman"/>
                <w:sz w:val="20"/>
                <w:szCs w:val="20"/>
                <w:lang w:val="fr-CA"/>
              </w:rPr>
              <w:t xml:space="preserve">Cour d’appel fédérale </w:t>
            </w:r>
          </w:p>
          <w:p w:rsidR="00BE5704" w:rsidRPr="00982C2B" w:rsidRDefault="00BE5704" w:rsidP="0061355E">
            <w:pPr>
              <w:jc w:val="both"/>
              <w:rPr>
                <w:rFonts w:cs="Times New Roman"/>
                <w:sz w:val="20"/>
                <w:szCs w:val="20"/>
                <w:lang w:val="fr-CA"/>
              </w:rPr>
            </w:pPr>
            <w:r w:rsidRPr="00982C2B">
              <w:rPr>
                <w:rFonts w:cs="Times New Roman"/>
                <w:sz w:val="20"/>
                <w:szCs w:val="20"/>
                <w:lang w:val="fr-CA"/>
              </w:rPr>
              <w:t>(Juges Dawson, Stratas et Boivin)</w:t>
            </w:r>
          </w:p>
          <w:p w:rsidR="00BE5704" w:rsidRPr="00982C2B" w:rsidRDefault="009F3029" w:rsidP="0061355E">
            <w:pPr>
              <w:jc w:val="both"/>
              <w:rPr>
                <w:rFonts w:cs="Times New Roman"/>
                <w:sz w:val="20"/>
                <w:szCs w:val="20"/>
                <w:lang w:val="fr-CA"/>
              </w:rPr>
            </w:pPr>
            <w:hyperlink r:id="rId37" w:history="1">
              <w:r w:rsidR="00BE5704" w:rsidRPr="00982C2B">
                <w:rPr>
                  <w:rStyle w:val="Hyperlink"/>
                  <w:rFonts w:cs="Times New Roman"/>
                  <w:sz w:val="20"/>
                  <w:szCs w:val="20"/>
                  <w:lang w:val="fr-CA"/>
                </w:rPr>
                <w:t>2015 FCA 171</w:t>
              </w:r>
            </w:hyperlink>
          </w:p>
          <w:p w:rsidR="00EE3B45" w:rsidRPr="00982C2B" w:rsidRDefault="00EE3B45" w:rsidP="0061355E">
            <w:pPr>
              <w:pStyle w:val="SCCShortJudgment"/>
              <w:ind w:firstLine="0"/>
              <w:rPr>
                <w:rFonts w:cs="Times New Roman"/>
                <w:szCs w:val="20"/>
                <w:u w:val="single"/>
                <w:lang w:val="fr-CA"/>
              </w:rPr>
            </w:pPr>
          </w:p>
        </w:tc>
        <w:tc>
          <w:tcPr>
            <w:tcW w:w="630" w:type="dxa"/>
          </w:tcPr>
          <w:p w:rsidR="00EE3B45" w:rsidRPr="00982C2B" w:rsidRDefault="00EE3B45"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Rejet de l’appel des demanderesses.</w:t>
            </w:r>
          </w:p>
          <w:p w:rsidR="00EE3B45" w:rsidRPr="00982C2B" w:rsidRDefault="00EE3B45" w:rsidP="0061355E">
            <w:pPr>
              <w:pStyle w:val="SCCShortJudgment"/>
              <w:ind w:firstLine="0"/>
              <w:rPr>
                <w:rFonts w:cs="Times New Roman"/>
                <w:szCs w:val="20"/>
                <w:u w:val="single"/>
                <w:lang w:val="fr-CA"/>
              </w:rPr>
            </w:pPr>
          </w:p>
        </w:tc>
      </w:tr>
      <w:tr w:rsidR="00BE5704"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6 novembre 2015</w:t>
            </w:r>
          </w:p>
          <w:p w:rsidR="00BE5704" w:rsidRPr="00982C2B" w:rsidRDefault="00BE5704" w:rsidP="0061355E">
            <w:pPr>
              <w:jc w:val="both"/>
              <w:rPr>
                <w:rFonts w:cs="Times New Roman"/>
                <w:sz w:val="20"/>
                <w:szCs w:val="20"/>
                <w:lang w:val="fr-CA"/>
              </w:rPr>
            </w:pPr>
            <w:r w:rsidRPr="00982C2B">
              <w:rPr>
                <w:rFonts w:cs="Times New Roman"/>
                <w:sz w:val="20"/>
                <w:szCs w:val="20"/>
                <w:lang w:val="fr-CA"/>
              </w:rPr>
              <w:t xml:space="preserve">Cour d’appel fédérale </w:t>
            </w:r>
          </w:p>
          <w:p w:rsidR="00BE5704" w:rsidRPr="00982C2B" w:rsidRDefault="00BE5704" w:rsidP="0061355E">
            <w:pPr>
              <w:jc w:val="both"/>
              <w:rPr>
                <w:rFonts w:cs="Times New Roman"/>
                <w:sz w:val="20"/>
                <w:szCs w:val="20"/>
                <w:lang w:val="fr-CA"/>
              </w:rPr>
            </w:pPr>
            <w:r w:rsidRPr="00982C2B">
              <w:rPr>
                <w:rFonts w:cs="Times New Roman"/>
                <w:sz w:val="20"/>
                <w:szCs w:val="20"/>
                <w:lang w:val="fr-CA"/>
              </w:rPr>
              <w:t>(Juges Dawson, Stratas et Boivin)</w:t>
            </w:r>
          </w:p>
          <w:p w:rsidR="00BE5704" w:rsidRPr="00982C2B" w:rsidRDefault="00BE5704" w:rsidP="0061355E">
            <w:pPr>
              <w:jc w:val="both"/>
              <w:rPr>
                <w:rFonts w:cs="Times New Roman"/>
                <w:sz w:val="20"/>
                <w:szCs w:val="20"/>
                <w:lang w:val="fr-CA"/>
              </w:rPr>
            </w:pPr>
            <w:r w:rsidRPr="00982C2B">
              <w:rPr>
                <w:rFonts w:cs="Times New Roman"/>
                <w:sz w:val="20"/>
                <w:szCs w:val="20"/>
                <w:lang w:val="fr-CA"/>
              </w:rPr>
              <w:t>Non publié</w:t>
            </w:r>
          </w:p>
          <w:p w:rsidR="00BE5704" w:rsidRPr="00982C2B" w:rsidRDefault="00BE5704" w:rsidP="0061355E">
            <w:pPr>
              <w:jc w:val="both"/>
              <w:rPr>
                <w:rFonts w:cs="Times New Roman"/>
                <w:sz w:val="20"/>
                <w:szCs w:val="20"/>
                <w:lang w:val="fr-CA"/>
              </w:rPr>
            </w:pPr>
          </w:p>
        </w:tc>
        <w:tc>
          <w:tcPr>
            <w:tcW w:w="630" w:type="dxa"/>
          </w:tcPr>
          <w:p w:rsidR="00BE5704" w:rsidRPr="00982C2B" w:rsidRDefault="00BE5704"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Rejet de la requête en réexamen des demanderesses.</w:t>
            </w:r>
          </w:p>
        </w:tc>
      </w:tr>
      <w:tr w:rsidR="00BE5704"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29 septembre 2015</w:t>
            </w:r>
          </w:p>
          <w:p w:rsidR="00BE5704" w:rsidRPr="00982C2B" w:rsidRDefault="00BE5704" w:rsidP="0061355E">
            <w:pPr>
              <w:jc w:val="both"/>
              <w:rPr>
                <w:rFonts w:cs="Times New Roman"/>
                <w:sz w:val="20"/>
                <w:szCs w:val="20"/>
                <w:lang w:val="fr-CA"/>
              </w:rPr>
            </w:pPr>
            <w:r w:rsidRPr="00982C2B">
              <w:rPr>
                <w:rFonts w:cs="Times New Roman"/>
                <w:sz w:val="20"/>
                <w:szCs w:val="20"/>
                <w:lang w:val="fr-CA"/>
              </w:rPr>
              <w:t>Cour suprême du Canada</w:t>
            </w:r>
          </w:p>
        </w:tc>
        <w:tc>
          <w:tcPr>
            <w:tcW w:w="630" w:type="dxa"/>
          </w:tcPr>
          <w:p w:rsidR="00BE5704" w:rsidRPr="00982C2B" w:rsidRDefault="00BE5704" w:rsidP="0061355E">
            <w:pPr>
              <w:pStyle w:val="SCCShortJudgment"/>
              <w:ind w:firstLine="0"/>
              <w:rPr>
                <w:rFonts w:cs="Times New Roman"/>
                <w:szCs w:val="20"/>
                <w:u w:val="single"/>
                <w:lang w:val="fr-CA"/>
              </w:rPr>
            </w:pPr>
          </w:p>
          <w:p w:rsidR="00BE5704" w:rsidRPr="00982C2B" w:rsidRDefault="00BE5704" w:rsidP="0061355E">
            <w:pPr>
              <w:pStyle w:val="SCCShortJudgment"/>
              <w:ind w:firstLine="0"/>
              <w:rPr>
                <w:rFonts w:cs="Times New Roman"/>
                <w:szCs w:val="20"/>
                <w:u w:val="single"/>
                <w:lang w:val="fr-CA"/>
              </w:rPr>
            </w:pPr>
          </w:p>
          <w:p w:rsidR="00BE5704" w:rsidRPr="00982C2B" w:rsidRDefault="00BE5704"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Dépôt de la première demande d’autorisation d’appel des demanderesses.</w:t>
            </w:r>
          </w:p>
        </w:tc>
      </w:tr>
      <w:tr w:rsidR="00BE5704" w:rsidRPr="009F3029" w:rsidTr="00A372A7">
        <w:tc>
          <w:tcPr>
            <w:tcW w:w="4410"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5 janvier 2016</w:t>
            </w:r>
          </w:p>
          <w:p w:rsidR="00BE5704" w:rsidRPr="00982C2B" w:rsidRDefault="00BE5704" w:rsidP="0061355E">
            <w:pPr>
              <w:jc w:val="both"/>
              <w:rPr>
                <w:rFonts w:cs="Times New Roman"/>
                <w:sz w:val="20"/>
                <w:szCs w:val="20"/>
                <w:lang w:val="fr-CA"/>
              </w:rPr>
            </w:pPr>
            <w:r w:rsidRPr="00982C2B">
              <w:rPr>
                <w:rFonts w:cs="Times New Roman"/>
                <w:sz w:val="20"/>
                <w:szCs w:val="20"/>
                <w:lang w:val="fr-CA"/>
              </w:rPr>
              <w:t>Cour suprême du Canada</w:t>
            </w:r>
          </w:p>
        </w:tc>
        <w:tc>
          <w:tcPr>
            <w:tcW w:w="630" w:type="dxa"/>
          </w:tcPr>
          <w:p w:rsidR="00BE5704" w:rsidRPr="00982C2B" w:rsidRDefault="00BE5704" w:rsidP="0061355E">
            <w:pPr>
              <w:pStyle w:val="SCCShortJudgment"/>
              <w:ind w:firstLine="0"/>
              <w:rPr>
                <w:rFonts w:cs="Times New Roman"/>
                <w:szCs w:val="20"/>
                <w:u w:val="single"/>
                <w:lang w:val="fr-CA"/>
              </w:rPr>
            </w:pPr>
          </w:p>
        </w:tc>
        <w:tc>
          <w:tcPr>
            <w:tcW w:w="4536" w:type="dxa"/>
          </w:tcPr>
          <w:p w:rsidR="00BE5704" w:rsidRPr="00982C2B" w:rsidRDefault="00BE5704" w:rsidP="0061355E">
            <w:pPr>
              <w:jc w:val="both"/>
              <w:rPr>
                <w:rFonts w:cs="Times New Roman"/>
                <w:sz w:val="20"/>
                <w:szCs w:val="20"/>
                <w:lang w:val="fr-CA"/>
              </w:rPr>
            </w:pPr>
            <w:r w:rsidRPr="00982C2B">
              <w:rPr>
                <w:rFonts w:cs="Times New Roman"/>
                <w:sz w:val="20"/>
                <w:szCs w:val="20"/>
                <w:lang w:val="fr-CA"/>
              </w:rPr>
              <w:t>Dépôt de la deuxième demande d’autorisation d’appel des demanderesses.</w:t>
            </w:r>
          </w:p>
        </w:tc>
      </w:tr>
    </w:tbl>
    <w:p w:rsidR="00EE3B45" w:rsidRPr="00982C2B" w:rsidRDefault="009F3029" w:rsidP="00EE3B45">
      <w:pPr>
        <w:rPr>
          <w:rFonts w:cs="Times New Roman"/>
          <w:sz w:val="20"/>
          <w:szCs w:val="20"/>
        </w:rPr>
      </w:pPr>
      <w:r>
        <w:rPr>
          <w:rFonts w:cs="Times New Roman"/>
          <w:sz w:val="20"/>
          <w:szCs w:val="20"/>
          <w:lang w:val="fr-CA"/>
        </w:rPr>
        <w:pict>
          <v:rect id="_x0000_i1050"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E21ABE" w:rsidRPr="00982C2B" w:rsidTr="00B36E5A">
        <w:tc>
          <w:tcPr>
            <w:tcW w:w="1458" w:type="dxa"/>
          </w:tcPr>
          <w:p w:rsidR="00E21ABE" w:rsidRPr="00982C2B" w:rsidRDefault="00E21ABE" w:rsidP="009D18B6">
            <w:pPr>
              <w:rPr>
                <w:rFonts w:cs="Times New Roman"/>
                <w:sz w:val="20"/>
                <w:szCs w:val="20"/>
              </w:rPr>
            </w:pPr>
            <w:r w:rsidRPr="00982C2B">
              <w:rPr>
                <w:rStyle w:val="SCCFileNumberChar"/>
                <w:sz w:val="20"/>
                <w:szCs w:val="20"/>
              </w:rPr>
              <w:t>36668</w:t>
            </w:r>
          </w:p>
          <w:p w:rsidR="00E21ABE" w:rsidRPr="00982C2B" w:rsidRDefault="00E21ABE" w:rsidP="009D18B6">
            <w:pPr>
              <w:rPr>
                <w:rFonts w:cs="Times New Roman"/>
                <w:b/>
                <w:sz w:val="20"/>
                <w:szCs w:val="20"/>
              </w:rPr>
            </w:pPr>
          </w:p>
        </w:tc>
        <w:tc>
          <w:tcPr>
            <w:tcW w:w="8118" w:type="dxa"/>
            <w:gridSpan w:val="3"/>
          </w:tcPr>
          <w:p w:rsidR="00E21ABE" w:rsidRPr="00982C2B" w:rsidRDefault="00E21ABE" w:rsidP="009D18B6">
            <w:pPr>
              <w:rPr>
                <w:rFonts w:cs="Times New Roman"/>
                <w:sz w:val="20"/>
                <w:szCs w:val="20"/>
              </w:rPr>
            </w:pPr>
            <w:r w:rsidRPr="00982C2B">
              <w:rPr>
                <w:rStyle w:val="SCCLsocChar"/>
                <w:rFonts w:cs="Times New Roman"/>
                <w:sz w:val="20"/>
                <w:szCs w:val="20"/>
                <w:lang w:val="en-CA"/>
              </w:rPr>
              <w:t>Merck Frosst Canada Ltd., Merck Frosst Canada &amp; Co., Merck &amp; Co. Inc. and Merck Sharpe &amp; Dohme Corp. v. Michael Miller</w:t>
            </w:r>
            <w:r w:rsidRPr="00982C2B">
              <w:rPr>
                <w:rStyle w:val="SCCLsocChar"/>
                <w:rFonts w:cs="Times New Roman"/>
                <w:sz w:val="20"/>
                <w:szCs w:val="20"/>
                <w:u w:val="none"/>
                <w:lang w:val="en-CA"/>
              </w:rPr>
              <w:t xml:space="preserve"> </w:t>
            </w:r>
            <w:r w:rsidRPr="00982C2B">
              <w:rPr>
                <w:rFonts w:cs="Times New Roman"/>
                <w:sz w:val="20"/>
                <w:szCs w:val="20"/>
              </w:rPr>
              <w:t>(B.C.) (Civil) (By Leave)</w:t>
            </w:r>
          </w:p>
          <w:p w:rsidR="00E21ABE" w:rsidRPr="00982C2B" w:rsidRDefault="00E21ABE" w:rsidP="009D18B6">
            <w:pPr>
              <w:rPr>
                <w:rFonts w:cs="Times New Roman"/>
                <w:sz w:val="20"/>
                <w:szCs w:val="20"/>
              </w:rPr>
            </w:pPr>
          </w:p>
        </w:tc>
      </w:tr>
      <w:tr w:rsidR="00E21ABE" w:rsidRPr="00982C2B" w:rsidTr="00B36E5A">
        <w:tc>
          <w:tcPr>
            <w:tcW w:w="1458" w:type="dxa"/>
          </w:tcPr>
          <w:p w:rsidR="00E21ABE" w:rsidRPr="00982C2B" w:rsidRDefault="00E21ABE" w:rsidP="009D18B6">
            <w:pPr>
              <w:rPr>
                <w:rFonts w:cs="Times New Roman"/>
                <w:sz w:val="20"/>
                <w:szCs w:val="20"/>
              </w:rPr>
            </w:pPr>
            <w:r w:rsidRPr="00982C2B">
              <w:rPr>
                <w:rFonts w:cs="Times New Roman"/>
                <w:sz w:val="20"/>
                <w:szCs w:val="20"/>
              </w:rPr>
              <w:t>Coram :</w:t>
            </w:r>
          </w:p>
        </w:tc>
        <w:tc>
          <w:tcPr>
            <w:tcW w:w="8118" w:type="dxa"/>
            <w:gridSpan w:val="3"/>
          </w:tcPr>
          <w:p w:rsidR="00E21ABE" w:rsidRPr="00982C2B" w:rsidRDefault="00E21ABE" w:rsidP="009D18B6">
            <w:pPr>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E21ABE" w:rsidRPr="00982C2B" w:rsidRDefault="00E21ABE" w:rsidP="009D18B6">
            <w:pPr>
              <w:rPr>
                <w:rFonts w:cs="Times New Roman"/>
                <w:sz w:val="20"/>
                <w:szCs w:val="20"/>
                <w:u w:val="single"/>
              </w:rPr>
            </w:pPr>
          </w:p>
        </w:tc>
      </w:tr>
      <w:tr w:rsidR="00E21ABE" w:rsidRPr="009F3029" w:rsidTr="00B36E5A">
        <w:tc>
          <w:tcPr>
            <w:tcW w:w="9576" w:type="dxa"/>
            <w:gridSpan w:val="4"/>
          </w:tcPr>
          <w:p w:rsidR="00E21ABE" w:rsidRPr="00982C2B" w:rsidRDefault="00E21ABE" w:rsidP="0061355E">
            <w:pPr>
              <w:pStyle w:val="SCCShortJudgment"/>
              <w:ind w:firstLine="0"/>
              <w:rPr>
                <w:rFonts w:cs="Times New Roman"/>
                <w:szCs w:val="20"/>
              </w:rPr>
            </w:pPr>
            <w:r w:rsidRPr="00982C2B">
              <w:rPr>
                <w:rFonts w:cs="Times New Roman"/>
                <w:szCs w:val="20"/>
              </w:rPr>
              <w:tab/>
              <w:t>The application for leave to appeal from the judgment of the Court of Appeal for British Columbia (Vancouver), Numbers CA40832 and CA41731, 2015 BCCA 353, dated August 6, 2015, is dismissed with costs.</w:t>
            </w:r>
          </w:p>
          <w:p w:rsidR="00E21ABE" w:rsidRPr="00982C2B" w:rsidRDefault="00E21ABE" w:rsidP="0061355E">
            <w:pPr>
              <w:pStyle w:val="SCCShortJudgment"/>
              <w:ind w:firstLine="0"/>
              <w:rPr>
                <w:rFonts w:cs="Times New Roman"/>
                <w:szCs w:val="20"/>
              </w:rPr>
            </w:pPr>
          </w:p>
          <w:p w:rsidR="00E21ABE" w:rsidRPr="00982C2B" w:rsidRDefault="00E21ABE" w:rsidP="0061355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la Colombie-Britannique (Vancouver)</w:t>
            </w:r>
            <w:r w:rsidRPr="00982C2B">
              <w:rPr>
                <w:rFonts w:cs="Times New Roman"/>
                <w:szCs w:val="20"/>
                <w:lang w:val="fr-CA"/>
              </w:rPr>
              <w:t xml:space="preserve">, numéros </w:t>
            </w:r>
            <w:r w:rsidRPr="00982C2B">
              <w:rPr>
                <w:rFonts w:cs="Times New Roman"/>
                <w:szCs w:val="20"/>
                <w:lang w:val="fr-FR"/>
              </w:rPr>
              <w:t>CA40832 et CA41731, 2015 BCCA 353</w:t>
            </w:r>
            <w:r w:rsidRPr="00982C2B">
              <w:rPr>
                <w:rFonts w:cs="Times New Roman"/>
                <w:szCs w:val="20"/>
                <w:lang w:val="fr-CA"/>
              </w:rPr>
              <w:t xml:space="preserve">, daté du </w:t>
            </w:r>
            <w:r w:rsidRPr="00982C2B">
              <w:rPr>
                <w:rFonts w:cs="Times New Roman"/>
                <w:szCs w:val="20"/>
                <w:lang w:val="fr-FR"/>
              </w:rPr>
              <w:t>6 août 2015</w:t>
            </w:r>
            <w:r w:rsidRPr="00982C2B">
              <w:rPr>
                <w:rFonts w:cs="Times New Roman"/>
                <w:szCs w:val="20"/>
                <w:lang w:val="fr-CA"/>
              </w:rPr>
              <w:t xml:space="preserve">, est rejetée avec dépens. </w:t>
            </w:r>
          </w:p>
          <w:p w:rsidR="00E21ABE" w:rsidRPr="00982C2B" w:rsidRDefault="00E21ABE" w:rsidP="0061355E">
            <w:pPr>
              <w:pStyle w:val="SCCShortJudgment"/>
              <w:ind w:firstLine="0"/>
              <w:rPr>
                <w:rFonts w:cs="Times New Roman"/>
                <w:szCs w:val="20"/>
                <w:lang w:val="fr-CA"/>
              </w:rPr>
            </w:pPr>
          </w:p>
        </w:tc>
      </w:tr>
      <w:tr w:rsidR="00E21ABE" w:rsidRPr="00982C2B" w:rsidTr="00B36E5A">
        <w:tc>
          <w:tcPr>
            <w:tcW w:w="9576" w:type="dxa"/>
            <w:gridSpan w:val="4"/>
          </w:tcPr>
          <w:p w:rsidR="00E21ABE" w:rsidRPr="00982C2B" w:rsidRDefault="00E21ABE"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E21ABE" w:rsidRPr="00982C2B" w:rsidRDefault="00E21ABE" w:rsidP="0061355E">
            <w:pPr>
              <w:pStyle w:val="SCCShortJudgment"/>
              <w:ind w:firstLine="0"/>
              <w:rPr>
                <w:rFonts w:cs="Times New Roman"/>
                <w:szCs w:val="20"/>
                <w:u w:val="single"/>
                <w:lang w:val="fr-CA"/>
              </w:rPr>
            </w:pPr>
          </w:p>
        </w:tc>
      </w:tr>
      <w:tr w:rsidR="00E21ABE" w:rsidRPr="00982C2B" w:rsidTr="00B36E5A">
        <w:tc>
          <w:tcPr>
            <w:tcW w:w="9576" w:type="dxa"/>
            <w:gridSpan w:val="4"/>
          </w:tcPr>
          <w:p w:rsidR="00E21ABE" w:rsidRPr="00982C2B" w:rsidRDefault="00E21ABE" w:rsidP="0061355E">
            <w:pPr>
              <w:pStyle w:val="SCCShortJudgment"/>
              <w:ind w:firstLine="0"/>
              <w:rPr>
                <w:rFonts w:cs="Times New Roman"/>
                <w:szCs w:val="20"/>
              </w:rPr>
            </w:pPr>
            <w:r w:rsidRPr="00982C2B">
              <w:rPr>
                <w:rFonts w:cs="Times New Roman"/>
                <w:szCs w:val="20"/>
              </w:rPr>
              <w:t>Civil procedure — Class actions — Certification — Requirements for certification — Product liability — General causation — Expert evidence of a workable methodology for proving class-wide harm — How should the certification requirement of expert evidence of a workable methodology for proving harm on a class-wide basis be applied to the issue of general causation in product liability and other physical injury class actions?</w:t>
            </w:r>
          </w:p>
          <w:p w:rsidR="00E21ABE" w:rsidRPr="00982C2B" w:rsidRDefault="00E21ABE" w:rsidP="0061355E">
            <w:pPr>
              <w:pStyle w:val="SCCShortJudgment"/>
              <w:ind w:firstLine="0"/>
              <w:rPr>
                <w:rFonts w:cs="Times New Roman"/>
                <w:szCs w:val="20"/>
              </w:rPr>
            </w:pPr>
          </w:p>
        </w:tc>
      </w:tr>
      <w:tr w:rsidR="00E21ABE" w:rsidRPr="00982C2B" w:rsidTr="00B36E5A">
        <w:tc>
          <w:tcPr>
            <w:tcW w:w="9576" w:type="dxa"/>
            <w:gridSpan w:val="4"/>
          </w:tcPr>
          <w:p w:rsidR="00E21ABE" w:rsidRPr="00982C2B" w:rsidRDefault="00E21ABE" w:rsidP="0061355E">
            <w:pPr>
              <w:jc w:val="both"/>
              <w:rPr>
                <w:rFonts w:cs="Times New Roman"/>
                <w:sz w:val="20"/>
                <w:szCs w:val="20"/>
              </w:rPr>
            </w:pPr>
            <w:r w:rsidRPr="00982C2B">
              <w:rPr>
                <w:rFonts w:cs="Times New Roman"/>
                <w:sz w:val="20"/>
                <w:szCs w:val="20"/>
              </w:rPr>
              <w:t xml:space="preserve">Mr. Miller commenced an action alleging that Merck Frosst Canada negligently failed to warn of the risk that sexual dysfunction may persist after discontinuing treatment with Propecia, sold for the treatment of male pattern baldness, and Proscar, sold for the treatment of prostate problems, which contain the same active ingredient in different dosages. The action also alleged deception under the </w:t>
            </w:r>
            <w:r w:rsidRPr="00982C2B">
              <w:rPr>
                <w:rFonts w:cs="Times New Roman"/>
                <w:i/>
                <w:sz w:val="20"/>
                <w:szCs w:val="20"/>
              </w:rPr>
              <w:t>Business Practices and Consumer Protection Act</w:t>
            </w:r>
            <w:r w:rsidRPr="00982C2B">
              <w:rPr>
                <w:rFonts w:cs="Times New Roman"/>
                <w:sz w:val="20"/>
                <w:szCs w:val="20"/>
              </w:rPr>
              <w:t>, S.B.C. 2004, c. 2. Mr. Miller applied to have the action certified as a class action and to become its representative plaintiff. He had taken the medicine for male pattern baldness in 2008 and 2009, and experienced sexual dysfunction during and after treatment. At the time, the product monographs warned of a risk of sexual dysfunction, but suggested that it normally resolved when treatment was discontinued. In November 2011, the monographs for both drugs were updated to warn about the possibility of persistent sexual dysfunction after treatment was discontinued. It was common ground that the active ingredient was effective because it inhibited the production of dihydrotestosterone. Mr. Miller’s expert witness said that it was plausible and expected that sexual side effects would occur, and Merck’s studies did not dispute his opinion that it was “biologically plausible” that sexual side effects could persist in some individuals after the medication was discontinued.</w:t>
            </w:r>
          </w:p>
          <w:p w:rsidR="00E21ABE" w:rsidRPr="00982C2B" w:rsidRDefault="00E21ABE" w:rsidP="0061355E">
            <w:pPr>
              <w:jc w:val="both"/>
              <w:rPr>
                <w:rFonts w:cs="Times New Roman"/>
                <w:sz w:val="20"/>
                <w:szCs w:val="20"/>
              </w:rPr>
            </w:pPr>
          </w:p>
          <w:p w:rsidR="00E21ABE" w:rsidRPr="00982C2B" w:rsidRDefault="00E21ABE" w:rsidP="0061355E">
            <w:pPr>
              <w:jc w:val="both"/>
              <w:rPr>
                <w:rFonts w:cs="Times New Roman"/>
                <w:sz w:val="20"/>
                <w:szCs w:val="20"/>
              </w:rPr>
            </w:pPr>
            <w:r w:rsidRPr="00982C2B">
              <w:rPr>
                <w:rFonts w:cs="Times New Roman"/>
                <w:sz w:val="20"/>
                <w:szCs w:val="20"/>
              </w:rPr>
              <w:t>The certification judge certified the action and appointed Mr. Miller as representative plaintiff. The Court of Appeal dismissed the appeal.</w:t>
            </w:r>
          </w:p>
          <w:p w:rsidR="00E21ABE" w:rsidRPr="00982C2B" w:rsidRDefault="00E21ABE" w:rsidP="0061355E">
            <w:pPr>
              <w:pStyle w:val="SCCShortJudgment"/>
              <w:ind w:firstLine="0"/>
              <w:rPr>
                <w:rFonts w:cs="Times New Roman"/>
                <w:szCs w:val="20"/>
              </w:rPr>
            </w:pPr>
          </w:p>
        </w:tc>
      </w:tr>
      <w:tr w:rsidR="00E21ABE" w:rsidRPr="00982C2B" w:rsidTr="00B36E5A">
        <w:tc>
          <w:tcPr>
            <w:tcW w:w="4410" w:type="dxa"/>
            <w:gridSpan w:val="2"/>
          </w:tcPr>
          <w:p w:rsidR="00E21ABE" w:rsidRPr="00982C2B" w:rsidRDefault="00E21ABE" w:rsidP="0061355E">
            <w:pPr>
              <w:jc w:val="both"/>
              <w:rPr>
                <w:rFonts w:cs="Times New Roman"/>
                <w:sz w:val="20"/>
                <w:szCs w:val="20"/>
              </w:rPr>
            </w:pPr>
            <w:r w:rsidRPr="00982C2B">
              <w:rPr>
                <w:rFonts w:cs="Times New Roman"/>
                <w:sz w:val="20"/>
                <w:szCs w:val="20"/>
              </w:rPr>
              <w:t>March 28, 2013 and April 9, 2014</w:t>
            </w:r>
          </w:p>
          <w:p w:rsidR="00E21ABE" w:rsidRPr="00982C2B" w:rsidRDefault="00E21ABE" w:rsidP="0061355E">
            <w:pPr>
              <w:jc w:val="both"/>
              <w:rPr>
                <w:rFonts w:cs="Times New Roman"/>
                <w:sz w:val="20"/>
                <w:szCs w:val="20"/>
              </w:rPr>
            </w:pPr>
            <w:r w:rsidRPr="00982C2B">
              <w:rPr>
                <w:rFonts w:cs="Times New Roman"/>
                <w:sz w:val="20"/>
                <w:szCs w:val="20"/>
              </w:rPr>
              <w:t>Supreme Court of British Columbia</w:t>
            </w:r>
          </w:p>
          <w:p w:rsidR="00E21ABE" w:rsidRPr="00982C2B" w:rsidRDefault="00E21ABE" w:rsidP="0061355E">
            <w:pPr>
              <w:jc w:val="both"/>
              <w:rPr>
                <w:rFonts w:cs="Times New Roman"/>
                <w:sz w:val="20"/>
                <w:szCs w:val="20"/>
              </w:rPr>
            </w:pPr>
            <w:r w:rsidRPr="00982C2B">
              <w:rPr>
                <w:rFonts w:cs="Times New Roman"/>
                <w:sz w:val="20"/>
                <w:szCs w:val="20"/>
              </w:rPr>
              <w:t>(Punnett J.)</w:t>
            </w:r>
          </w:p>
          <w:p w:rsidR="00E21ABE" w:rsidRPr="00982C2B" w:rsidRDefault="009F3029" w:rsidP="0061355E">
            <w:pPr>
              <w:jc w:val="both"/>
              <w:rPr>
                <w:rFonts w:cs="Times New Roman"/>
                <w:sz w:val="20"/>
                <w:szCs w:val="20"/>
              </w:rPr>
            </w:pPr>
            <w:hyperlink r:id="rId38" w:history="1">
              <w:r w:rsidR="00E21ABE" w:rsidRPr="00982C2B">
                <w:rPr>
                  <w:rStyle w:val="Hyperlink"/>
                  <w:rFonts w:cs="Times New Roman"/>
                  <w:sz w:val="20"/>
                  <w:szCs w:val="20"/>
                </w:rPr>
                <w:t>2013 BCSC 544</w:t>
              </w:r>
            </w:hyperlink>
          </w:p>
          <w:p w:rsidR="00E21ABE" w:rsidRPr="00982C2B" w:rsidRDefault="00E21ABE" w:rsidP="0061355E">
            <w:pPr>
              <w:jc w:val="both"/>
              <w:rPr>
                <w:rFonts w:cs="Times New Roman"/>
                <w:sz w:val="20"/>
                <w:szCs w:val="20"/>
              </w:rPr>
            </w:pPr>
          </w:p>
        </w:tc>
        <w:tc>
          <w:tcPr>
            <w:tcW w:w="630" w:type="dxa"/>
          </w:tcPr>
          <w:p w:rsidR="00E21ABE" w:rsidRPr="00982C2B" w:rsidRDefault="00E21ABE" w:rsidP="0061355E">
            <w:pPr>
              <w:pStyle w:val="SCCShortJudgment"/>
              <w:ind w:firstLine="0"/>
              <w:rPr>
                <w:rFonts w:cs="Times New Roman"/>
                <w:szCs w:val="20"/>
              </w:rPr>
            </w:pPr>
          </w:p>
        </w:tc>
        <w:tc>
          <w:tcPr>
            <w:tcW w:w="4536" w:type="dxa"/>
          </w:tcPr>
          <w:p w:rsidR="00E21ABE" w:rsidRPr="00982C2B" w:rsidRDefault="00E21ABE" w:rsidP="0061355E">
            <w:pPr>
              <w:jc w:val="both"/>
              <w:rPr>
                <w:rFonts w:cs="Times New Roman"/>
                <w:sz w:val="20"/>
                <w:szCs w:val="20"/>
              </w:rPr>
            </w:pPr>
            <w:r w:rsidRPr="00982C2B">
              <w:rPr>
                <w:rFonts w:cs="Times New Roman"/>
                <w:sz w:val="20"/>
                <w:szCs w:val="20"/>
              </w:rPr>
              <w:t>Action certified as class proceeding; Mr.  Miller appointed representative plaintiff; various related orders and declarations</w:t>
            </w:r>
          </w:p>
          <w:p w:rsidR="00E21ABE" w:rsidRPr="00982C2B" w:rsidRDefault="00E21ABE" w:rsidP="0061355E">
            <w:pPr>
              <w:jc w:val="both"/>
              <w:rPr>
                <w:rFonts w:cs="Times New Roman"/>
                <w:sz w:val="20"/>
                <w:szCs w:val="20"/>
              </w:rPr>
            </w:pPr>
          </w:p>
        </w:tc>
      </w:tr>
      <w:tr w:rsidR="00E21ABE" w:rsidRPr="00982C2B" w:rsidTr="00B36E5A">
        <w:tc>
          <w:tcPr>
            <w:tcW w:w="4410" w:type="dxa"/>
            <w:gridSpan w:val="2"/>
          </w:tcPr>
          <w:p w:rsidR="00E21ABE" w:rsidRPr="00982C2B" w:rsidRDefault="00E21ABE" w:rsidP="0061355E">
            <w:pPr>
              <w:jc w:val="both"/>
              <w:rPr>
                <w:rFonts w:cs="Times New Roman"/>
                <w:sz w:val="20"/>
                <w:szCs w:val="20"/>
              </w:rPr>
            </w:pPr>
            <w:r w:rsidRPr="00982C2B">
              <w:rPr>
                <w:rFonts w:cs="Times New Roman"/>
                <w:sz w:val="20"/>
                <w:szCs w:val="20"/>
              </w:rPr>
              <w:t>August 6, 2015</w:t>
            </w:r>
          </w:p>
          <w:p w:rsidR="00E21ABE" w:rsidRPr="00982C2B" w:rsidRDefault="00E21ABE" w:rsidP="0061355E">
            <w:pPr>
              <w:jc w:val="both"/>
              <w:rPr>
                <w:rFonts w:cs="Times New Roman"/>
                <w:sz w:val="20"/>
                <w:szCs w:val="20"/>
              </w:rPr>
            </w:pPr>
            <w:r w:rsidRPr="00982C2B">
              <w:rPr>
                <w:rFonts w:cs="Times New Roman"/>
                <w:sz w:val="20"/>
                <w:szCs w:val="20"/>
              </w:rPr>
              <w:t xml:space="preserve">Court of Appeal for British Columbia </w:t>
            </w:r>
          </w:p>
          <w:p w:rsidR="00E21ABE" w:rsidRPr="00982C2B" w:rsidRDefault="00E21ABE" w:rsidP="0061355E">
            <w:pPr>
              <w:jc w:val="both"/>
              <w:rPr>
                <w:rFonts w:cs="Times New Roman"/>
                <w:sz w:val="20"/>
                <w:szCs w:val="20"/>
              </w:rPr>
            </w:pPr>
            <w:r w:rsidRPr="00982C2B">
              <w:rPr>
                <w:rFonts w:cs="Times New Roman"/>
                <w:sz w:val="20"/>
                <w:szCs w:val="20"/>
              </w:rPr>
              <w:t>(Vancouver)</w:t>
            </w:r>
          </w:p>
          <w:p w:rsidR="00E21ABE" w:rsidRPr="00982C2B" w:rsidRDefault="00E21ABE" w:rsidP="0061355E">
            <w:pPr>
              <w:jc w:val="both"/>
              <w:rPr>
                <w:rFonts w:cs="Times New Roman"/>
                <w:sz w:val="20"/>
                <w:szCs w:val="20"/>
              </w:rPr>
            </w:pPr>
            <w:r w:rsidRPr="00982C2B">
              <w:rPr>
                <w:rFonts w:cs="Times New Roman"/>
                <w:sz w:val="20"/>
                <w:szCs w:val="20"/>
              </w:rPr>
              <w:t>(Donald, Newbury, Savage JJ.A.)</w:t>
            </w:r>
          </w:p>
          <w:p w:rsidR="00E21ABE" w:rsidRPr="00982C2B" w:rsidRDefault="009F3029" w:rsidP="0061355E">
            <w:pPr>
              <w:jc w:val="both"/>
              <w:rPr>
                <w:rFonts w:cs="Times New Roman"/>
                <w:sz w:val="20"/>
                <w:szCs w:val="20"/>
              </w:rPr>
            </w:pPr>
            <w:hyperlink r:id="rId39" w:history="1">
              <w:r w:rsidR="00E21ABE" w:rsidRPr="00982C2B">
                <w:rPr>
                  <w:rStyle w:val="Hyperlink"/>
                  <w:rFonts w:cs="Times New Roman"/>
                  <w:sz w:val="20"/>
                  <w:szCs w:val="20"/>
                </w:rPr>
                <w:t>2015 BCCA 353</w:t>
              </w:r>
            </w:hyperlink>
          </w:p>
        </w:tc>
        <w:tc>
          <w:tcPr>
            <w:tcW w:w="630" w:type="dxa"/>
          </w:tcPr>
          <w:p w:rsidR="00E21ABE" w:rsidRPr="00982C2B" w:rsidRDefault="00E21ABE" w:rsidP="0061355E">
            <w:pPr>
              <w:pStyle w:val="SCCShortJudgment"/>
              <w:ind w:firstLine="0"/>
              <w:rPr>
                <w:rFonts w:cs="Times New Roman"/>
                <w:szCs w:val="20"/>
              </w:rPr>
            </w:pPr>
          </w:p>
        </w:tc>
        <w:tc>
          <w:tcPr>
            <w:tcW w:w="4536" w:type="dxa"/>
          </w:tcPr>
          <w:p w:rsidR="00E21ABE" w:rsidRPr="00982C2B" w:rsidRDefault="00E21ABE" w:rsidP="0061355E">
            <w:pPr>
              <w:jc w:val="both"/>
              <w:rPr>
                <w:rFonts w:cs="Times New Roman"/>
                <w:sz w:val="20"/>
                <w:szCs w:val="20"/>
              </w:rPr>
            </w:pPr>
            <w:r w:rsidRPr="00982C2B">
              <w:rPr>
                <w:rFonts w:cs="Times New Roman"/>
                <w:sz w:val="20"/>
                <w:szCs w:val="20"/>
              </w:rPr>
              <w:t>Appeal dismissed</w:t>
            </w:r>
          </w:p>
        </w:tc>
      </w:tr>
      <w:tr w:rsidR="00E21ABE" w:rsidRPr="00982C2B" w:rsidTr="00B36E5A">
        <w:tc>
          <w:tcPr>
            <w:tcW w:w="4410" w:type="dxa"/>
            <w:gridSpan w:val="2"/>
          </w:tcPr>
          <w:p w:rsidR="00E21ABE" w:rsidRPr="00982C2B" w:rsidRDefault="00E21ABE" w:rsidP="00E21ABE">
            <w:pPr>
              <w:rPr>
                <w:rFonts w:cs="Times New Roman"/>
                <w:sz w:val="20"/>
                <w:szCs w:val="20"/>
              </w:rPr>
            </w:pPr>
            <w:r w:rsidRPr="00982C2B">
              <w:rPr>
                <w:rFonts w:cs="Times New Roman"/>
                <w:sz w:val="20"/>
                <w:szCs w:val="20"/>
              </w:rPr>
              <w:t>October 2, 2015</w:t>
            </w:r>
          </w:p>
          <w:p w:rsidR="00E21ABE" w:rsidRPr="00982C2B" w:rsidRDefault="00E21ABE" w:rsidP="00E21ABE">
            <w:pPr>
              <w:rPr>
                <w:rFonts w:cs="Times New Roman"/>
                <w:sz w:val="20"/>
                <w:szCs w:val="20"/>
              </w:rPr>
            </w:pPr>
            <w:r w:rsidRPr="00982C2B">
              <w:rPr>
                <w:rFonts w:cs="Times New Roman"/>
                <w:sz w:val="20"/>
                <w:szCs w:val="20"/>
              </w:rPr>
              <w:t>Supreme Court of Canada</w:t>
            </w:r>
          </w:p>
        </w:tc>
        <w:tc>
          <w:tcPr>
            <w:tcW w:w="630" w:type="dxa"/>
          </w:tcPr>
          <w:p w:rsidR="00E21ABE" w:rsidRPr="00982C2B" w:rsidRDefault="00E21ABE" w:rsidP="009D18B6">
            <w:pPr>
              <w:pStyle w:val="SCCShortJudgment"/>
              <w:ind w:firstLine="0"/>
              <w:rPr>
                <w:rFonts w:cs="Times New Roman"/>
                <w:szCs w:val="20"/>
              </w:rPr>
            </w:pPr>
          </w:p>
        </w:tc>
        <w:tc>
          <w:tcPr>
            <w:tcW w:w="4536" w:type="dxa"/>
          </w:tcPr>
          <w:p w:rsidR="00E21ABE" w:rsidRPr="00982C2B" w:rsidRDefault="00E21ABE" w:rsidP="00E21ABE">
            <w:pPr>
              <w:rPr>
                <w:rFonts w:cs="Times New Roman"/>
                <w:sz w:val="20"/>
                <w:szCs w:val="20"/>
              </w:rPr>
            </w:pPr>
            <w:r w:rsidRPr="00982C2B">
              <w:rPr>
                <w:rFonts w:cs="Times New Roman"/>
                <w:sz w:val="20"/>
                <w:szCs w:val="20"/>
              </w:rPr>
              <w:t>Application for leave to appeal filed</w:t>
            </w:r>
          </w:p>
          <w:p w:rsidR="00E21ABE" w:rsidRPr="00982C2B" w:rsidRDefault="00E21ABE" w:rsidP="009D18B6">
            <w:pPr>
              <w:rPr>
                <w:rFonts w:cs="Times New Roman"/>
                <w:sz w:val="20"/>
                <w:szCs w:val="20"/>
              </w:rPr>
            </w:pPr>
          </w:p>
        </w:tc>
      </w:tr>
      <w:tr w:rsidR="00E21ABE" w:rsidRPr="00982C2B" w:rsidTr="00B36E5A">
        <w:tc>
          <w:tcPr>
            <w:tcW w:w="9576" w:type="dxa"/>
            <w:gridSpan w:val="4"/>
          </w:tcPr>
          <w:p w:rsidR="00E21ABE" w:rsidRPr="00982C2B" w:rsidRDefault="009F3029" w:rsidP="009D18B6">
            <w:pPr>
              <w:pStyle w:val="SCCShortJudgment"/>
              <w:ind w:firstLine="0"/>
              <w:rPr>
                <w:rFonts w:cs="Times New Roman"/>
                <w:szCs w:val="20"/>
                <w:lang w:val="fr-CA"/>
              </w:rPr>
            </w:pPr>
            <w:r>
              <w:rPr>
                <w:rFonts w:cs="Times New Roman"/>
                <w:szCs w:val="20"/>
                <w:lang w:val="fr-CA"/>
              </w:rPr>
              <w:pict>
                <v:rect id="_x0000_i1051" style="width:2in;height:1pt" o:hrpct="0" o:hralign="center" o:hrstd="t" o:hrnoshade="t" o:hr="t" fillcolor="black [3213]" stroked="f"/>
              </w:pict>
            </w:r>
          </w:p>
          <w:p w:rsidR="00E21ABE" w:rsidRPr="00982C2B" w:rsidRDefault="00E21ABE" w:rsidP="009D18B6">
            <w:pPr>
              <w:pStyle w:val="SCCShortJudgment"/>
              <w:ind w:firstLine="0"/>
              <w:rPr>
                <w:rFonts w:cs="Times New Roman"/>
                <w:szCs w:val="20"/>
                <w:lang w:val="fr-CA"/>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E21ABE" w:rsidRPr="00982C2B" w:rsidTr="00B36E5A">
        <w:tc>
          <w:tcPr>
            <w:tcW w:w="9576" w:type="dxa"/>
            <w:gridSpan w:val="3"/>
          </w:tcPr>
          <w:p w:rsidR="00E21ABE" w:rsidRPr="00982C2B" w:rsidRDefault="00E21ABE"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E21ABE" w:rsidRPr="00982C2B" w:rsidRDefault="00E21ABE" w:rsidP="009D18B6">
            <w:pPr>
              <w:pStyle w:val="SCCShortJudgment"/>
              <w:ind w:firstLine="0"/>
              <w:rPr>
                <w:rFonts w:cs="Times New Roman"/>
                <w:szCs w:val="20"/>
                <w:u w:val="single"/>
                <w:lang w:val="fr-CA"/>
              </w:rPr>
            </w:pPr>
          </w:p>
        </w:tc>
      </w:tr>
      <w:tr w:rsidR="00E21ABE" w:rsidRPr="009F3029" w:rsidTr="00B36E5A">
        <w:tc>
          <w:tcPr>
            <w:tcW w:w="9576" w:type="dxa"/>
            <w:gridSpan w:val="3"/>
          </w:tcPr>
          <w:p w:rsidR="00E21ABE" w:rsidRPr="00982C2B" w:rsidRDefault="00E21ABE" w:rsidP="0061355E">
            <w:pPr>
              <w:pStyle w:val="SCCShortJudgment"/>
              <w:ind w:firstLine="0"/>
              <w:rPr>
                <w:rFonts w:cs="Times New Roman"/>
                <w:szCs w:val="20"/>
                <w:lang w:val="fr-CA"/>
              </w:rPr>
            </w:pPr>
            <w:r w:rsidRPr="00982C2B">
              <w:rPr>
                <w:rFonts w:cs="Times New Roman"/>
                <w:szCs w:val="20"/>
                <w:lang w:val="fr-CA"/>
              </w:rPr>
              <w:t>Procédure civile — Recours collectifs — Certification — Conditions de certification — Responsabilité du fait d’un produit — Causalité générale — Preuve d’expert d’une méthode réalisable pour prouver le préjudice à l’échelle du groupe — Comment la condition de certification de la preuve d’expert d’une méthode réalisable pour prouver le préjudice à l’échelle du groupe doit-elle être appliquée à la question de la causalité générale dans les recours collectifs fondés sur responsabilité du fait d’un produit ou sur un préjudice physique?</w:t>
            </w:r>
          </w:p>
          <w:p w:rsidR="00E21ABE" w:rsidRPr="00982C2B" w:rsidRDefault="00E21ABE" w:rsidP="0061355E">
            <w:pPr>
              <w:pStyle w:val="SCCShortJudgment"/>
              <w:ind w:firstLine="0"/>
              <w:rPr>
                <w:rFonts w:cs="Times New Roman"/>
                <w:szCs w:val="20"/>
                <w:u w:val="single"/>
                <w:lang w:val="fr-CA"/>
              </w:rPr>
            </w:pPr>
          </w:p>
        </w:tc>
      </w:tr>
      <w:tr w:rsidR="00E21ABE" w:rsidRPr="00982C2B" w:rsidTr="00B36E5A">
        <w:tc>
          <w:tcPr>
            <w:tcW w:w="9576" w:type="dxa"/>
            <w:gridSpan w:val="3"/>
          </w:tcPr>
          <w:p w:rsidR="00E21ABE" w:rsidRPr="00982C2B" w:rsidRDefault="00E21ABE" w:rsidP="0061355E">
            <w:pPr>
              <w:jc w:val="both"/>
              <w:rPr>
                <w:rFonts w:cs="Times New Roman"/>
                <w:sz w:val="20"/>
                <w:szCs w:val="20"/>
                <w:lang w:val="fr-CA"/>
              </w:rPr>
            </w:pPr>
            <w:r w:rsidRPr="00982C2B">
              <w:rPr>
                <w:rFonts w:cs="Times New Roman"/>
                <w:sz w:val="20"/>
                <w:szCs w:val="20"/>
                <w:lang w:val="fr-CA"/>
              </w:rPr>
              <w:t>Monsieur Miller a intenté une action alléguant que Merck Frosst Canada a omis par négligence de mettre en garde contre le risque que la dysfonction sexuelle puisse persister après la cessation du traitement avec le Propecia, vendu pour le traitement de la calvitie commune chez les hommes et le Proscar, vendu pour le traitement des problèmes de la prostate, renfermant tous les deux le même ingrédient actif, mais à des doses différentes. L’action allègue également la tromperie (« </w:t>
            </w:r>
            <w:r w:rsidRPr="00982C2B">
              <w:rPr>
                <w:rFonts w:cs="Times New Roman"/>
                <w:i/>
                <w:sz w:val="20"/>
                <w:szCs w:val="20"/>
                <w:lang w:val="fr-CA"/>
              </w:rPr>
              <w:t>deception</w:t>
            </w:r>
            <w:r w:rsidRPr="00982C2B">
              <w:rPr>
                <w:rFonts w:cs="Times New Roman"/>
                <w:sz w:val="20"/>
                <w:szCs w:val="20"/>
                <w:lang w:val="fr-CA"/>
              </w:rPr>
              <w:t xml:space="preserve"> ») au sens de la </w:t>
            </w:r>
            <w:r w:rsidRPr="00982C2B">
              <w:rPr>
                <w:rFonts w:cs="Times New Roman"/>
                <w:i/>
                <w:sz w:val="20"/>
                <w:szCs w:val="20"/>
                <w:lang w:val="fr-CA"/>
              </w:rPr>
              <w:t>Business Practices and Consumer Protection Act</w:t>
            </w:r>
            <w:r w:rsidRPr="00982C2B">
              <w:rPr>
                <w:rFonts w:cs="Times New Roman"/>
                <w:sz w:val="20"/>
                <w:szCs w:val="20"/>
                <w:lang w:val="fr-CA"/>
              </w:rPr>
              <w:t>, S.B.C. 2004, ch. 2. Monsieur Miller a demandé l’autorisation d’engager l’action en tant que recours collectif et d’être le représentant des demandeurs. Il avait pris le médicament pour la calvitie commune en 2008 et 2009 et il a éprouvé de la dysfonction sexuelle pendant et après le traitement. À l’époque, les monographies des produits mettaient en garde contre un risque de dysfonction sexuelle, mais indiquaient que la dysfonction cessait normalement à l’arrêt du traitement. En novembre 2011, les monographies des deux médicaments ont été mises à jour pour mettre en garde contre la possibilité de dysfonction sexuelle se poursuivant après l’arrêt du traitement. Il n’était pas contesté que l’ingrédient actif était efficace parce qu’il inhibait la production de dihydrotestostérone. Le témoin expert de M. Miller a affirmé qu’il était plausible et prévu que des effets secondaires de nature sexuelle se produisent et les études de Merck ne mettent pas en doute son avis comme quoi il était [</w:t>
            </w:r>
            <w:r w:rsidRPr="00982C2B">
              <w:rPr>
                <w:rFonts w:cs="Times New Roman"/>
                <w:smallCaps/>
                <w:sz w:val="20"/>
                <w:szCs w:val="20"/>
                <w:lang w:val="fr-CA"/>
              </w:rPr>
              <w:t>traduction</w:t>
            </w:r>
            <w:r w:rsidRPr="00982C2B">
              <w:rPr>
                <w:rFonts w:cs="Times New Roman"/>
                <w:sz w:val="20"/>
                <w:szCs w:val="20"/>
                <w:lang w:val="fr-CA"/>
              </w:rPr>
              <w:t>] « biologiquement plausible » que des effets secondaires de nature sexuelle puissent persister chez certains individus après qu’ils eurent cessé de prendre les médicaments.</w:t>
            </w:r>
          </w:p>
          <w:p w:rsidR="00E21ABE" w:rsidRPr="00982C2B" w:rsidRDefault="00E21ABE" w:rsidP="0061355E">
            <w:pPr>
              <w:jc w:val="both"/>
              <w:rPr>
                <w:rFonts w:cs="Times New Roman"/>
                <w:sz w:val="20"/>
                <w:szCs w:val="20"/>
                <w:lang w:val="fr-CA"/>
              </w:rPr>
            </w:pPr>
          </w:p>
          <w:p w:rsidR="00E21ABE" w:rsidRPr="00982C2B" w:rsidRDefault="00E21ABE" w:rsidP="0061355E">
            <w:pPr>
              <w:jc w:val="both"/>
              <w:rPr>
                <w:rFonts w:cs="Times New Roman"/>
                <w:sz w:val="20"/>
                <w:szCs w:val="20"/>
                <w:lang w:val="fr-CA"/>
              </w:rPr>
            </w:pPr>
            <w:r w:rsidRPr="00982C2B">
              <w:rPr>
                <w:rFonts w:cs="Times New Roman"/>
                <w:sz w:val="20"/>
                <w:szCs w:val="20"/>
                <w:lang w:val="fr-CA"/>
              </w:rPr>
              <w:t>Le juge saisi de la demande d’autorisation a autorisé M. Miller à engager l’action en tant que recours collectif et l’a nommé représentant des demandeurs. La Cour d’appel a rejeté l’appel.</w:t>
            </w:r>
          </w:p>
          <w:p w:rsidR="00E21ABE" w:rsidRPr="00982C2B" w:rsidRDefault="00E21ABE" w:rsidP="0061355E">
            <w:pPr>
              <w:jc w:val="both"/>
              <w:rPr>
                <w:rFonts w:cs="Times New Roman"/>
                <w:sz w:val="20"/>
                <w:szCs w:val="20"/>
                <w:u w:val="single"/>
                <w:lang w:val="fr-CA"/>
              </w:rPr>
            </w:pPr>
          </w:p>
        </w:tc>
      </w:tr>
      <w:tr w:rsidR="00E21ABE" w:rsidRPr="00982C2B" w:rsidTr="00B36E5A">
        <w:tc>
          <w:tcPr>
            <w:tcW w:w="9576" w:type="dxa"/>
            <w:gridSpan w:val="3"/>
          </w:tcPr>
          <w:p w:rsidR="00E21ABE" w:rsidRPr="00982C2B" w:rsidRDefault="00E21ABE" w:rsidP="0061355E">
            <w:pPr>
              <w:pStyle w:val="SCCShortJudgment"/>
              <w:ind w:firstLine="0"/>
              <w:rPr>
                <w:rFonts w:cs="Times New Roman"/>
                <w:szCs w:val="20"/>
                <w:u w:val="single"/>
                <w:lang w:val="fr-CA"/>
              </w:rPr>
            </w:pPr>
          </w:p>
        </w:tc>
      </w:tr>
      <w:tr w:rsidR="00E21ABE" w:rsidRPr="009F3029" w:rsidTr="00B36E5A">
        <w:tc>
          <w:tcPr>
            <w:tcW w:w="4410" w:type="dxa"/>
          </w:tcPr>
          <w:p w:rsidR="00E21ABE" w:rsidRPr="00982C2B" w:rsidRDefault="00E21ABE" w:rsidP="0061355E">
            <w:pPr>
              <w:jc w:val="both"/>
              <w:rPr>
                <w:rFonts w:cs="Times New Roman"/>
                <w:sz w:val="20"/>
                <w:szCs w:val="20"/>
                <w:lang w:val="fr-CA"/>
              </w:rPr>
            </w:pPr>
            <w:r w:rsidRPr="00982C2B">
              <w:rPr>
                <w:rFonts w:cs="Times New Roman"/>
                <w:sz w:val="20"/>
                <w:szCs w:val="20"/>
                <w:lang w:val="fr-CA"/>
              </w:rPr>
              <w:t xml:space="preserve">28 mars 2013 et 9 avril 2014 </w:t>
            </w:r>
          </w:p>
          <w:p w:rsidR="00E21ABE" w:rsidRPr="00982C2B" w:rsidRDefault="00E21ABE" w:rsidP="0061355E">
            <w:pPr>
              <w:jc w:val="both"/>
              <w:rPr>
                <w:rFonts w:cs="Times New Roman"/>
                <w:sz w:val="20"/>
                <w:szCs w:val="20"/>
                <w:lang w:val="fr-CA"/>
              </w:rPr>
            </w:pPr>
            <w:r w:rsidRPr="00982C2B">
              <w:rPr>
                <w:rFonts w:cs="Times New Roman"/>
                <w:sz w:val="20"/>
                <w:szCs w:val="20"/>
                <w:lang w:val="fr-CA"/>
              </w:rPr>
              <w:t xml:space="preserve">Cour suprême de la Colombie-Britannique </w:t>
            </w:r>
          </w:p>
          <w:p w:rsidR="00E21ABE" w:rsidRPr="00982C2B" w:rsidRDefault="00E21ABE" w:rsidP="0061355E">
            <w:pPr>
              <w:jc w:val="both"/>
              <w:rPr>
                <w:rFonts w:cs="Times New Roman"/>
                <w:sz w:val="20"/>
                <w:szCs w:val="20"/>
                <w:lang w:val="fr-CA"/>
              </w:rPr>
            </w:pPr>
            <w:r w:rsidRPr="00982C2B">
              <w:rPr>
                <w:rFonts w:cs="Times New Roman"/>
                <w:sz w:val="20"/>
                <w:szCs w:val="20"/>
                <w:lang w:val="fr-CA"/>
              </w:rPr>
              <w:t>(Juge Punnett)</w:t>
            </w:r>
          </w:p>
          <w:p w:rsidR="00E21ABE" w:rsidRPr="00982C2B" w:rsidRDefault="009F3029" w:rsidP="0061355E">
            <w:pPr>
              <w:jc w:val="both"/>
              <w:rPr>
                <w:rFonts w:cs="Times New Roman"/>
                <w:sz w:val="20"/>
                <w:szCs w:val="20"/>
                <w:lang w:val="fr-CA"/>
              </w:rPr>
            </w:pPr>
            <w:hyperlink r:id="rId40" w:history="1">
              <w:r w:rsidR="00E21ABE" w:rsidRPr="00982C2B">
                <w:rPr>
                  <w:rStyle w:val="Hyperlink"/>
                  <w:rFonts w:cs="Times New Roman"/>
                  <w:sz w:val="20"/>
                  <w:szCs w:val="20"/>
                  <w:lang w:val="fr-CA"/>
                </w:rPr>
                <w:t>2013 BCSC 544</w:t>
              </w:r>
            </w:hyperlink>
          </w:p>
          <w:p w:rsidR="00E21ABE" w:rsidRPr="00982C2B" w:rsidRDefault="00E21ABE" w:rsidP="0061355E">
            <w:pPr>
              <w:pStyle w:val="SCCShortJudgment"/>
              <w:ind w:firstLine="0"/>
              <w:rPr>
                <w:rFonts w:cs="Times New Roman"/>
                <w:szCs w:val="20"/>
                <w:u w:val="single"/>
                <w:lang w:val="fr-CA"/>
              </w:rPr>
            </w:pPr>
          </w:p>
        </w:tc>
        <w:tc>
          <w:tcPr>
            <w:tcW w:w="630" w:type="dxa"/>
          </w:tcPr>
          <w:p w:rsidR="00E21ABE" w:rsidRPr="00982C2B" w:rsidRDefault="00E21ABE" w:rsidP="0061355E">
            <w:pPr>
              <w:pStyle w:val="SCCShortJudgment"/>
              <w:ind w:firstLine="0"/>
              <w:rPr>
                <w:rFonts w:cs="Times New Roman"/>
                <w:szCs w:val="20"/>
                <w:u w:val="single"/>
                <w:lang w:val="fr-CA"/>
              </w:rPr>
            </w:pPr>
          </w:p>
        </w:tc>
        <w:tc>
          <w:tcPr>
            <w:tcW w:w="4536" w:type="dxa"/>
          </w:tcPr>
          <w:p w:rsidR="00E21ABE" w:rsidRPr="00982C2B" w:rsidRDefault="00E21ABE" w:rsidP="0061355E">
            <w:pPr>
              <w:jc w:val="both"/>
              <w:rPr>
                <w:rFonts w:cs="Times New Roman"/>
                <w:sz w:val="20"/>
                <w:szCs w:val="20"/>
                <w:lang w:val="fr-CA"/>
              </w:rPr>
            </w:pPr>
            <w:r w:rsidRPr="00982C2B">
              <w:rPr>
                <w:rFonts w:cs="Times New Roman"/>
                <w:sz w:val="20"/>
                <w:szCs w:val="20"/>
                <w:lang w:val="fr-CA"/>
              </w:rPr>
              <w:t>Autorisation d’engager l’action en tant que recours collectif, nomination de M. Miller comme représentant des demandeurs et divers ordonnances et jugements déclaratoires connexes</w:t>
            </w:r>
          </w:p>
          <w:p w:rsidR="00E21ABE" w:rsidRPr="00982C2B" w:rsidRDefault="00E21ABE" w:rsidP="0061355E">
            <w:pPr>
              <w:pStyle w:val="SCCShortJudgment"/>
              <w:ind w:firstLine="0"/>
              <w:rPr>
                <w:rFonts w:cs="Times New Roman"/>
                <w:szCs w:val="20"/>
                <w:u w:val="single"/>
                <w:lang w:val="fr-CA"/>
              </w:rPr>
            </w:pPr>
          </w:p>
        </w:tc>
      </w:tr>
      <w:tr w:rsidR="00E21ABE" w:rsidRPr="00982C2B" w:rsidTr="00B36E5A">
        <w:tc>
          <w:tcPr>
            <w:tcW w:w="4410" w:type="dxa"/>
          </w:tcPr>
          <w:p w:rsidR="00E21ABE" w:rsidRPr="00982C2B" w:rsidRDefault="00E21ABE" w:rsidP="0061355E">
            <w:pPr>
              <w:jc w:val="both"/>
              <w:rPr>
                <w:rFonts w:cs="Times New Roman"/>
                <w:sz w:val="20"/>
                <w:szCs w:val="20"/>
                <w:lang w:val="fr-CA"/>
              </w:rPr>
            </w:pPr>
            <w:r w:rsidRPr="00982C2B">
              <w:rPr>
                <w:rFonts w:cs="Times New Roman"/>
                <w:sz w:val="20"/>
                <w:szCs w:val="20"/>
                <w:lang w:val="fr-CA"/>
              </w:rPr>
              <w:t>6 août 2015</w:t>
            </w:r>
          </w:p>
          <w:p w:rsidR="00E21ABE" w:rsidRPr="00982C2B" w:rsidRDefault="00E21ABE" w:rsidP="0061355E">
            <w:pPr>
              <w:jc w:val="both"/>
              <w:rPr>
                <w:rFonts w:cs="Times New Roman"/>
                <w:sz w:val="20"/>
                <w:szCs w:val="20"/>
                <w:lang w:val="fr-CA"/>
              </w:rPr>
            </w:pPr>
            <w:r w:rsidRPr="00982C2B">
              <w:rPr>
                <w:rFonts w:cs="Times New Roman"/>
                <w:sz w:val="20"/>
                <w:szCs w:val="20"/>
                <w:lang w:val="fr-CA"/>
              </w:rPr>
              <w:t xml:space="preserve">Cour d’appel de la Colombie-Britannique </w:t>
            </w:r>
          </w:p>
          <w:p w:rsidR="00E21ABE" w:rsidRPr="00982C2B" w:rsidRDefault="00E21ABE" w:rsidP="0061355E">
            <w:pPr>
              <w:jc w:val="both"/>
              <w:rPr>
                <w:rFonts w:cs="Times New Roman"/>
                <w:sz w:val="20"/>
                <w:szCs w:val="20"/>
                <w:lang w:val="fr-CA"/>
              </w:rPr>
            </w:pPr>
            <w:r w:rsidRPr="00982C2B">
              <w:rPr>
                <w:rFonts w:cs="Times New Roman"/>
                <w:sz w:val="20"/>
                <w:szCs w:val="20"/>
                <w:lang w:val="fr-CA"/>
              </w:rPr>
              <w:t>(Vancouver)</w:t>
            </w:r>
          </w:p>
          <w:p w:rsidR="00E21ABE" w:rsidRPr="00982C2B" w:rsidRDefault="00E21ABE" w:rsidP="0061355E">
            <w:pPr>
              <w:jc w:val="both"/>
              <w:rPr>
                <w:rFonts w:cs="Times New Roman"/>
                <w:sz w:val="20"/>
                <w:szCs w:val="20"/>
                <w:lang w:val="fr-CA"/>
              </w:rPr>
            </w:pPr>
            <w:r w:rsidRPr="00982C2B">
              <w:rPr>
                <w:rFonts w:cs="Times New Roman"/>
                <w:sz w:val="20"/>
                <w:szCs w:val="20"/>
                <w:lang w:val="fr-CA"/>
              </w:rPr>
              <w:t>(Juges Donald, Newbury et Savage)</w:t>
            </w:r>
          </w:p>
          <w:p w:rsidR="00E21ABE" w:rsidRPr="00982C2B" w:rsidRDefault="009F3029" w:rsidP="0061355E">
            <w:pPr>
              <w:jc w:val="both"/>
              <w:rPr>
                <w:rFonts w:cs="Times New Roman"/>
                <w:sz w:val="20"/>
                <w:szCs w:val="20"/>
                <w:lang w:val="fr-CA"/>
              </w:rPr>
            </w:pPr>
            <w:hyperlink r:id="rId41" w:history="1">
              <w:r w:rsidR="00E21ABE" w:rsidRPr="00982C2B">
                <w:rPr>
                  <w:rStyle w:val="Hyperlink"/>
                  <w:rFonts w:cs="Times New Roman"/>
                  <w:sz w:val="20"/>
                  <w:szCs w:val="20"/>
                  <w:lang w:val="fr-CA"/>
                </w:rPr>
                <w:t>2015 BCCA 353</w:t>
              </w:r>
            </w:hyperlink>
          </w:p>
          <w:p w:rsidR="00E21ABE" w:rsidRPr="00982C2B" w:rsidRDefault="00E21ABE" w:rsidP="0061355E">
            <w:pPr>
              <w:jc w:val="both"/>
              <w:rPr>
                <w:rFonts w:cs="Times New Roman"/>
                <w:sz w:val="20"/>
                <w:szCs w:val="20"/>
                <w:lang w:val="fr-CA"/>
              </w:rPr>
            </w:pPr>
          </w:p>
        </w:tc>
        <w:tc>
          <w:tcPr>
            <w:tcW w:w="630" w:type="dxa"/>
          </w:tcPr>
          <w:p w:rsidR="00E21ABE" w:rsidRPr="00982C2B" w:rsidRDefault="00E21ABE" w:rsidP="0061355E">
            <w:pPr>
              <w:pStyle w:val="SCCShortJudgment"/>
              <w:ind w:firstLine="0"/>
              <w:rPr>
                <w:rFonts w:cs="Times New Roman"/>
                <w:szCs w:val="20"/>
                <w:u w:val="single"/>
                <w:lang w:val="fr-CA"/>
              </w:rPr>
            </w:pPr>
          </w:p>
        </w:tc>
        <w:tc>
          <w:tcPr>
            <w:tcW w:w="4536" w:type="dxa"/>
          </w:tcPr>
          <w:p w:rsidR="00E21ABE" w:rsidRPr="00982C2B" w:rsidRDefault="00E21ABE" w:rsidP="0061355E">
            <w:pPr>
              <w:pStyle w:val="SCCShortJudgment"/>
              <w:ind w:firstLine="0"/>
              <w:rPr>
                <w:rFonts w:cs="Times New Roman"/>
                <w:szCs w:val="20"/>
                <w:u w:val="single"/>
                <w:lang w:val="fr-CA"/>
              </w:rPr>
            </w:pPr>
            <w:r w:rsidRPr="00982C2B">
              <w:rPr>
                <w:rFonts w:cs="Times New Roman"/>
                <w:szCs w:val="20"/>
                <w:lang w:val="fr-CA"/>
              </w:rPr>
              <w:t>Rejet de l’appel</w:t>
            </w:r>
          </w:p>
        </w:tc>
      </w:tr>
      <w:tr w:rsidR="00E21ABE" w:rsidRPr="009F3029" w:rsidTr="00B36E5A">
        <w:tc>
          <w:tcPr>
            <w:tcW w:w="4410" w:type="dxa"/>
          </w:tcPr>
          <w:p w:rsidR="00E21ABE" w:rsidRPr="00982C2B" w:rsidRDefault="00E21ABE" w:rsidP="0061355E">
            <w:pPr>
              <w:jc w:val="both"/>
              <w:rPr>
                <w:rFonts w:cs="Times New Roman"/>
                <w:sz w:val="20"/>
                <w:szCs w:val="20"/>
                <w:lang w:val="fr-CA"/>
              </w:rPr>
            </w:pPr>
            <w:r w:rsidRPr="00982C2B">
              <w:rPr>
                <w:rFonts w:cs="Times New Roman"/>
                <w:sz w:val="20"/>
                <w:szCs w:val="20"/>
                <w:lang w:val="fr-CA"/>
              </w:rPr>
              <w:t>2 octobre 2015</w:t>
            </w:r>
          </w:p>
          <w:p w:rsidR="00E21ABE" w:rsidRPr="00982C2B" w:rsidRDefault="00E21ABE" w:rsidP="006135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E21ABE" w:rsidRPr="00982C2B" w:rsidRDefault="00E21ABE" w:rsidP="0061355E">
            <w:pPr>
              <w:pStyle w:val="SCCShortJudgment"/>
              <w:ind w:firstLine="0"/>
              <w:rPr>
                <w:rFonts w:cs="Times New Roman"/>
                <w:szCs w:val="20"/>
                <w:u w:val="single"/>
                <w:lang w:val="fr-CA"/>
              </w:rPr>
            </w:pPr>
          </w:p>
        </w:tc>
        <w:tc>
          <w:tcPr>
            <w:tcW w:w="4536" w:type="dxa"/>
          </w:tcPr>
          <w:p w:rsidR="00E21ABE" w:rsidRPr="00982C2B" w:rsidRDefault="00E21ABE" w:rsidP="0061355E">
            <w:pPr>
              <w:jc w:val="both"/>
              <w:rPr>
                <w:rFonts w:cs="Times New Roman"/>
                <w:sz w:val="20"/>
                <w:szCs w:val="20"/>
                <w:lang w:val="fr-CA"/>
              </w:rPr>
            </w:pPr>
            <w:r w:rsidRPr="00982C2B">
              <w:rPr>
                <w:rFonts w:cs="Times New Roman"/>
                <w:sz w:val="20"/>
                <w:szCs w:val="20"/>
                <w:lang w:val="fr-CA"/>
              </w:rPr>
              <w:t>Dépôt de la demande d’autorisation d’appel</w:t>
            </w:r>
          </w:p>
          <w:p w:rsidR="00E21ABE" w:rsidRPr="00982C2B" w:rsidRDefault="00E21ABE" w:rsidP="0061355E">
            <w:pPr>
              <w:pStyle w:val="SCCShortJudgment"/>
              <w:ind w:firstLine="0"/>
              <w:rPr>
                <w:rFonts w:cs="Times New Roman"/>
                <w:szCs w:val="20"/>
                <w:u w:val="single"/>
                <w:lang w:val="fr-CA"/>
              </w:rPr>
            </w:pPr>
          </w:p>
        </w:tc>
      </w:tr>
    </w:tbl>
    <w:p w:rsidR="006E6ABC" w:rsidRPr="00982C2B" w:rsidRDefault="009F3029" w:rsidP="008D292F">
      <w:pPr>
        <w:rPr>
          <w:rFonts w:cs="Times New Roman"/>
          <w:sz w:val="20"/>
          <w:szCs w:val="20"/>
          <w:lang w:val="fr-CA"/>
        </w:rPr>
      </w:pPr>
      <w:r>
        <w:rPr>
          <w:rFonts w:cs="Times New Roman"/>
          <w:sz w:val="20"/>
          <w:szCs w:val="20"/>
          <w:lang w:val="fr-CA"/>
        </w:rPr>
        <w:pict>
          <v:rect id="_x0000_i1052" style="width:2in;height:1pt" o:hrpct="0" o:hralign="center" o:hrstd="t" o:hrnoshade="t" o:hr="t" fillcolor="black [3213]" stroked="f"/>
        </w:pict>
      </w:r>
    </w:p>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301C8" w:rsidRPr="00982C2B" w:rsidTr="009D18B6">
        <w:trPr>
          <w:cantSplit/>
        </w:trPr>
        <w:tc>
          <w:tcPr>
            <w:tcW w:w="1458" w:type="dxa"/>
          </w:tcPr>
          <w:p w:rsidR="001301C8" w:rsidRPr="00982C2B" w:rsidRDefault="001301C8" w:rsidP="0061355E">
            <w:pPr>
              <w:jc w:val="both"/>
              <w:rPr>
                <w:rFonts w:cs="Times New Roman"/>
                <w:sz w:val="20"/>
                <w:szCs w:val="20"/>
              </w:rPr>
            </w:pPr>
            <w:r w:rsidRPr="00982C2B">
              <w:rPr>
                <w:rStyle w:val="SCCFileNumberChar"/>
                <w:sz w:val="20"/>
                <w:szCs w:val="20"/>
              </w:rPr>
              <w:t>36679</w:t>
            </w:r>
          </w:p>
          <w:p w:rsidR="001301C8" w:rsidRPr="00982C2B" w:rsidRDefault="001301C8" w:rsidP="0061355E">
            <w:pPr>
              <w:jc w:val="both"/>
              <w:rPr>
                <w:rFonts w:cs="Times New Roman"/>
                <w:b/>
                <w:sz w:val="20"/>
                <w:szCs w:val="20"/>
              </w:rPr>
            </w:pPr>
          </w:p>
        </w:tc>
        <w:tc>
          <w:tcPr>
            <w:tcW w:w="8118" w:type="dxa"/>
            <w:gridSpan w:val="3"/>
          </w:tcPr>
          <w:p w:rsidR="001301C8" w:rsidRPr="00982C2B" w:rsidRDefault="001301C8" w:rsidP="0061355E">
            <w:pPr>
              <w:jc w:val="both"/>
              <w:rPr>
                <w:rFonts w:cs="Times New Roman"/>
                <w:sz w:val="20"/>
                <w:szCs w:val="20"/>
              </w:rPr>
            </w:pPr>
            <w:r w:rsidRPr="00982C2B">
              <w:rPr>
                <w:rStyle w:val="SCCLsocChar"/>
                <w:rFonts w:cs="Times New Roman"/>
                <w:sz w:val="20"/>
                <w:szCs w:val="20"/>
                <w:lang w:val="en-CA"/>
              </w:rPr>
              <w:t>American Home Assurance Company v. Onex Corporation, Gerald W. Schwartz, Christopher A. Govan, Mark Hilson and Nigel Wright</w:t>
            </w:r>
            <w:r w:rsidRPr="00982C2B">
              <w:rPr>
                <w:rStyle w:val="SCCLsocChar"/>
                <w:rFonts w:cs="Times New Roman"/>
                <w:sz w:val="20"/>
                <w:szCs w:val="20"/>
                <w:u w:val="none"/>
                <w:lang w:val="en-CA"/>
              </w:rPr>
              <w:t xml:space="preserve"> </w:t>
            </w:r>
            <w:r w:rsidRPr="00982C2B">
              <w:rPr>
                <w:rFonts w:cs="Times New Roman"/>
                <w:sz w:val="20"/>
                <w:szCs w:val="20"/>
              </w:rPr>
              <w:t>(Ont.) (Civil) (By Leave)</w:t>
            </w:r>
          </w:p>
          <w:p w:rsidR="001301C8" w:rsidRPr="00982C2B" w:rsidRDefault="001301C8" w:rsidP="0061355E">
            <w:pPr>
              <w:jc w:val="both"/>
              <w:rPr>
                <w:rFonts w:cs="Times New Roman"/>
                <w:sz w:val="20"/>
                <w:szCs w:val="20"/>
              </w:rPr>
            </w:pPr>
          </w:p>
        </w:tc>
      </w:tr>
      <w:tr w:rsidR="001301C8" w:rsidRPr="00982C2B" w:rsidTr="009D18B6">
        <w:trPr>
          <w:cantSplit/>
        </w:trPr>
        <w:tc>
          <w:tcPr>
            <w:tcW w:w="1458" w:type="dxa"/>
          </w:tcPr>
          <w:p w:rsidR="001301C8" w:rsidRPr="00982C2B" w:rsidRDefault="001301C8" w:rsidP="0061355E">
            <w:pPr>
              <w:jc w:val="both"/>
              <w:rPr>
                <w:rFonts w:cs="Times New Roman"/>
                <w:sz w:val="20"/>
                <w:szCs w:val="20"/>
              </w:rPr>
            </w:pPr>
            <w:r w:rsidRPr="00982C2B">
              <w:rPr>
                <w:rFonts w:cs="Times New Roman"/>
                <w:sz w:val="20"/>
                <w:szCs w:val="20"/>
              </w:rPr>
              <w:t>Coram :</w:t>
            </w:r>
          </w:p>
        </w:tc>
        <w:tc>
          <w:tcPr>
            <w:tcW w:w="8118" w:type="dxa"/>
            <w:gridSpan w:val="3"/>
          </w:tcPr>
          <w:p w:rsidR="001301C8" w:rsidRPr="00982C2B" w:rsidRDefault="001301C8" w:rsidP="0061355E">
            <w:pPr>
              <w:jc w:val="both"/>
              <w:rPr>
                <w:rStyle w:val="SCCCoramChar"/>
                <w:rFonts w:cs="Times New Roman"/>
                <w:sz w:val="20"/>
                <w:szCs w:val="20"/>
                <w:lang w:val="en-CA"/>
              </w:rPr>
            </w:pPr>
            <w:r w:rsidRPr="00982C2B">
              <w:rPr>
                <w:rStyle w:val="SCCCoramChar"/>
                <w:rFonts w:cs="Times New Roman"/>
                <w:sz w:val="20"/>
                <w:szCs w:val="20"/>
                <w:lang w:val="en-CA"/>
              </w:rPr>
              <w:t>Karakatsanis, Wagner and Brown JJ.</w:t>
            </w:r>
          </w:p>
          <w:p w:rsidR="001301C8" w:rsidRPr="00982C2B" w:rsidRDefault="001301C8" w:rsidP="0061355E">
            <w:pPr>
              <w:jc w:val="both"/>
              <w:rPr>
                <w:rFonts w:cs="Times New Roman"/>
                <w:sz w:val="20"/>
                <w:szCs w:val="20"/>
                <w:u w:val="single"/>
              </w:rPr>
            </w:pPr>
          </w:p>
        </w:tc>
      </w:tr>
      <w:tr w:rsidR="001301C8" w:rsidRPr="009F3029" w:rsidTr="00527434">
        <w:tc>
          <w:tcPr>
            <w:tcW w:w="9576" w:type="dxa"/>
            <w:gridSpan w:val="4"/>
          </w:tcPr>
          <w:p w:rsidR="001301C8" w:rsidRPr="00982C2B" w:rsidRDefault="001301C8" w:rsidP="0061355E">
            <w:pPr>
              <w:pStyle w:val="SCCShortJudgment"/>
              <w:ind w:firstLine="0"/>
              <w:rPr>
                <w:rFonts w:cs="Times New Roman"/>
                <w:szCs w:val="20"/>
              </w:rPr>
            </w:pPr>
            <w:r w:rsidRPr="00982C2B">
              <w:rPr>
                <w:rFonts w:cs="Times New Roman"/>
                <w:szCs w:val="20"/>
              </w:rPr>
              <w:tab/>
              <w:t>The application for leave to appeal from the judgment of the Court of Appeal for Ontario, Number C59844, 2015 ONCA 573, dated August 14, 2015, is dismissed with costs.</w:t>
            </w:r>
          </w:p>
          <w:p w:rsidR="001301C8" w:rsidRPr="00982C2B" w:rsidRDefault="001301C8" w:rsidP="0061355E">
            <w:pPr>
              <w:pStyle w:val="SCCShortJudgment"/>
              <w:ind w:firstLine="0"/>
              <w:rPr>
                <w:rFonts w:cs="Times New Roman"/>
                <w:szCs w:val="20"/>
              </w:rPr>
            </w:pPr>
          </w:p>
          <w:p w:rsidR="001301C8" w:rsidRPr="00982C2B" w:rsidRDefault="001301C8" w:rsidP="0061355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Cour d’appel de l’Ontario, numéro C59844, 2015 ONCA 573, daté du 14 août 2015, est rejetée avec dépens. </w:t>
            </w:r>
          </w:p>
          <w:p w:rsidR="001301C8" w:rsidRPr="00982C2B" w:rsidRDefault="001301C8" w:rsidP="0061355E">
            <w:pPr>
              <w:pStyle w:val="SCCShortJudgment"/>
              <w:ind w:firstLine="0"/>
              <w:rPr>
                <w:rFonts w:cs="Times New Roman"/>
                <w:szCs w:val="20"/>
                <w:lang w:val="fr-CA"/>
              </w:rPr>
            </w:pPr>
          </w:p>
        </w:tc>
      </w:tr>
      <w:tr w:rsidR="001301C8" w:rsidRPr="00982C2B" w:rsidTr="009D18B6">
        <w:trPr>
          <w:cantSplit/>
        </w:trPr>
        <w:tc>
          <w:tcPr>
            <w:tcW w:w="9576" w:type="dxa"/>
            <w:gridSpan w:val="4"/>
          </w:tcPr>
          <w:p w:rsidR="001301C8" w:rsidRPr="00982C2B" w:rsidRDefault="001301C8"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1301C8" w:rsidRPr="00982C2B" w:rsidRDefault="001301C8" w:rsidP="0061355E">
            <w:pPr>
              <w:pStyle w:val="SCCShortJudgment"/>
              <w:ind w:firstLine="0"/>
              <w:rPr>
                <w:rFonts w:cs="Times New Roman"/>
                <w:szCs w:val="20"/>
                <w:u w:val="single"/>
                <w:lang w:val="fr-CA"/>
              </w:rPr>
            </w:pPr>
          </w:p>
        </w:tc>
      </w:tr>
      <w:tr w:rsidR="001301C8" w:rsidRPr="00982C2B" w:rsidTr="009D18B6">
        <w:trPr>
          <w:cantSplit/>
        </w:trPr>
        <w:tc>
          <w:tcPr>
            <w:tcW w:w="9576" w:type="dxa"/>
            <w:gridSpan w:val="4"/>
          </w:tcPr>
          <w:p w:rsidR="001301C8" w:rsidRPr="00982C2B" w:rsidRDefault="001301C8" w:rsidP="0061355E">
            <w:pPr>
              <w:pStyle w:val="SCCShortJudgment"/>
              <w:ind w:firstLine="0"/>
              <w:rPr>
                <w:rFonts w:cs="Times New Roman"/>
                <w:szCs w:val="20"/>
              </w:rPr>
            </w:pPr>
            <w:r w:rsidRPr="00982C2B">
              <w:rPr>
                <w:rFonts w:cs="Times New Roman"/>
                <w:szCs w:val="20"/>
              </w:rPr>
              <w:t>Insurance — Insurance contracts — Interpretation — Coverage — Exclusion clause — What is the role of the parties’ evidence about their subjective intention, understanding and interpretation of a contract — What is the role of the words of the policy once they have been determined to be ambiguous — What is the role of the factual matrix or surrounding circumstances?</w:t>
            </w:r>
          </w:p>
          <w:p w:rsidR="001301C8" w:rsidRPr="00982C2B" w:rsidRDefault="001301C8" w:rsidP="0061355E">
            <w:pPr>
              <w:pStyle w:val="SCCShortJudgment"/>
              <w:ind w:firstLine="0"/>
              <w:rPr>
                <w:rFonts w:cs="Times New Roman"/>
                <w:szCs w:val="20"/>
              </w:rPr>
            </w:pPr>
          </w:p>
        </w:tc>
      </w:tr>
      <w:tr w:rsidR="001301C8" w:rsidRPr="00982C2B" w:rsidTr="009D18B6">
        <w:trPr>
          <w:cantSplit/>
        </w:trPr>
        <w:tc>
          <w:tcPr>
            <w:tcW w:w="9576" w:type="dxa"/>
            <w:gridSpan w:val="4"/>
          </w:tcPr>
          <w:p w:rsidR="001301C8" w:rsidRPr="00982C2B" w:rsidRDefault="001301C8" w:rsidP="0061355E">
            <w:pPr>
              <w:jc w:val="both"/>
              <w:rPr>
                <w:rFonts w:cs="Times New Roman"/>
                <w:sz w:val="20"/>
                <w:szCs w:val="20"/>
              </w:rPr>
            </w:pPr>
            <w:r w:rsidRPr="00982C2B">
              <w:rPr>
                <w:rFonts w:cs="Times New Roman"/>
                <w:sz w:val="20"/>
                <w:szCs w:val="20"/>
              </w:rPr>
              <w:t xml:space="preserve">Onex Corporation, a private equity firm that bought and sold companies, incorporated Magnatrax in the US and appointed two Onex directors to the Magnatrax board. At the time, Onex had an executive liability policy from American Home Assurance Company which provided coverage for its directors for defence costs, settlements and judgments if they were found to have committed wrongful acts (the “Onex Policy”). In 2003, Onex advised its insurance broker that Magnatrax intended to file for bankruptcy protection and to asked it to arrange immediate run-off insurance for Magnatrax (the “Magnatrax Policy”). That policy excluded coverage for Onex’s directors acting in their capacity as Onex’s directors. A Specific Entity Subsidiary Exclusion excluding claims made in connection with Magnatrax was added to the Onex Policy. It provided, </w:t>
            </w:r>
            <w:r w:rsidRPr="00982C2B">
              <w:rPr>
                <w:rFonts w:cs="Times New Roman"/>
                <w:i/>
                <w:sz w:val="20"/>
                <w:szCs w:val="20"/>
              </w:rPr>
              <w:t>inter alia</w:t>
            </w:r>
            <w:r w:rsidRPr="00982C2B">
              <w:rPr>
                <w:rFonts w:cs="Times New Roman"/>
                <w:sz w:val="20"/>
                <w:szCs w:val="20"/>
              </w:rPr>
              <w:t xml:space="preserve">, that “the Insurer shall not be liable for any Loss alleging, arising out of, based upon or attributable to or in connection with any Claim brought by or made against [Magnatrax]”. </w:t>
            </w:r>
          </w:p>
          <w:p w:rsidR="001301C8" w:rsidRPr="00982C2B" w:rsidRDefault="001301C8" w:rsidP="0061355E">
            <w:pPr>
              <w:jc w:val="both"/>
              <w:rPr>
                <w:rFonts w:cs="Times New Roman"/>
                <w:sz w:val="20"/>
                <w:szCs w:val="20"/>
              </w:rPr>
            </w:pPr>
          </w:p>
          <w:p w:rsidR="001301C8" w:rsidRPr="00982C2B" w:rsidRDefault="001301C8" w:rsidP="0061355E">
            <w:pPr>
              <w:jc w:val="both"/>
              <w:rPr>
                <w:rFonts w:cs="Times New Roman"/>
                <w:sz w:val="20"/>
                <w:szCs w:val="20"/>
              </w:rPr>
            </w:pPr>
            <w:r w:rsidRPr="00982C2B">
              <w:rPr>
                <w:rFonts w:cs="Times New Roman"/>
                <w:sz w:val="20"/>
                <w:szCs w:val="20"/>
              </w:rPr>
              <w:t>In May 2005, a suit alleged that Onex, through its directors, had committed wrongful acts which resulted in Magnatrax’s bankruptcy. Onex gave American Home notice of the action and sought coverage under the Onex and Magnatrax Policies. The action was settled for an amount exceeding coverage. American Home paid out to the limit of the Magnatrax policy, but denied coverage under the Onex Policy based on the Specific Entity Subsidiary Exclusion. On summary judgment, Onex’s claim was allowed. On appeal, the word “claim” in the Specific Entity Subsidiary Exclusion was found to be ambiguous, the motions judge’s decision was set aside, and the matter was returned to the Superior Court for resolution of the ambiguity.</w:t>
            </w:r>
          </w:p>
          <w:p w:rsidR="001301C8" w:rsidRPr="00982C2B" w:rsidRDefault="001301C8" w:rsidP="0061355E">
            <w:pPr>
              <w:jc w:val="both"/>
              <w:rPr>
                <w:rFonts w:cs="Times New Roman"/>
                <w:sz w:val="20"/>
                <w:szCs w:val="20"/>
              </w:rPr>
            </w:pPr>
          </w:p>
          <w:p w:rsidR="001301C8" w:rsidRPr="00982C2B" w:rsidRDefault="001301C8" w:rsidP="0061355E">
            <w:pPr>
              <w:jc w:val="both"/>
              <w:rPr>
                <w:rFonts w:cs="Times New Roman"/>
                <w:sz w:val="20"/>
                <w:szCs w:val="20"/>
              </w:rPr>
            </w:pPr>
            <w:r w:rsidRPr="00982C2B">
              <w:rPr>
                <w:rFonts w:cs="Times New Roman"/>
                <w:sz w:val="20"/>
                <w:szCs w:val="20"/>
              </w:rPr>
              <w:t>The trial judge granted judgment in favour of the insured in the amount of US$15 million. The Court of Appeal dismissed the appeal.</w:t>
            </w:r>
          </w:p>
          <w:p w:rsidR="001301C8" w:rsidRPr="00982C2B" w:rsidRDefault="001301C8" w:rsidP="0061355E">
            <w:pPr>
              <w:pStyle w:val="SCCShortJudgment"/>
              <w:ind w:firstLine="0"/>
              <w:rPr>
                <w:rFonts w:cs="Times New Roman"/>
                <w:szCs w:val="20"/>
              </w:rPr>
            </w:pPr>
          </w:p>
        </w:tc>
      </w:tr>
      <w:tr w:rsidR="001301C8" w:rsidRPr="00982C2B" w:rsidTr="009D18B6">
        <w:trPr>
          <w:cantSplit/>
        </w:trPr>
        <w:tc>
          <w:tcPr>
            <w:tcW w:w="4410" w:type="dxa"/>
            <w:gridSpan w:val="2"/>
          </w:tcPr>
          <w:p w:rsidR="001301C8" w:rsidRPr="00982C2B" w:rsidRDefault="001301C8" w:rsidP="0061355E">
            <w:pPr>
              <w:jc w:val="both"/>
              <w:rPr>
                <w:rFonts w:cs="Times New Roman"/>
                <w:sz w:val="20"/>
                <w:szCs w:val="20"/>
              </w:rPr>
            </w:pPr>
            <w:r w:rsidRPr="00982C2B">
              <w:rPr>
                <w:rFonts w:cs="Times New Roman"/>
                <w:sz w:val="20"/>
                <w:szCs w:val="20"/>
              </w:rPr>
              <w:t>December 5, 2014</w:t>
            </w:r>
          </w:p>
          <w:p w:rsidR="001301C8" w:rsidRPr="00982C2B" w:rsidRDefault="001301C8" w:rsidP="0061355E">
            <w:pPr>
              <w:jc w:val="both"/>
              <w:rPr>
                <w:rFonts w:cs="Times New Roman"/>
                <w:sz w:val="20"/>
                <w:szCs w:val="20"/>
              </w:rPr>
            </w:pPr>
            <w:r w:rsidRPr="00982C2B">
              <w:rPr>
                <w:rFonts w:cs="Times New Roman"/>
                <w:sz w:val="20"/>
                <w:szCs w:val="20"/>
              </w:rPr>
              <w:t>Ontario Superior Court of Justice</w:t>
            </w:r>
          </w:p>
          <w:p w:rsidR="001301C8" w:rsidRPr="00982C2B" w:rsidRDefault="001301C8" w:rsidP="0061355E">
            <w:pPr>
              <w:jc w:val="both"/>
              <w:rPr>
                <w:rFonts w:cs="Times New Roman"/>
                <w:sz w:val="20"/>
                <w:szCs w:val="20"/>
              </w:rPr>
            </w:pPr>
            <w:r w:rsidRPr="00982C2B">
              <w:rPr>
                <w:rFonts w:cs="Times New Roman"/>
                <w:sz w:val="20"/>
                <w:szCs w:val="20"/>
              </w:rPr>
              <w:t>(Sanderson J.)</w:t>
            </w:r>
          </w:p>
          <w:p w:rsidR="001301C8" w:rsidRPr="00982C2B" w:rsidRDefault="009F3029" w:rsidP="0061355E">
            <w:pPr>
              <w:jc w:val="both"/>
              <w:rPr>
                <w:rFonts w:cs="Times New Roman"/>
                <w:sz w:val="20"/>
                <w:szCs w:val="20"/>
              </w:rPr>
            </w:pPr>
            <w:hyperlink r:id="rId42" w:history="1">
              <w:r w:rsidR="001301C8" w:rsidRPr="00982C2B">
                <w:rPr>
                  <w:rStyle w:val="Hyperlink"/>
                  <w:rFonts w:cs="Times New Roman"/>
                  <w:sz w:val="20"/>
                  <w:szCs w:val="20"/>
                </w:rPr>
                <w:t>2014 ONSC 6918</w:t>
              </w:r>
            </w:hyperlink>
          </w:p>
          <w:p w:rsidR="001301C8" w:rsidRPr="00982C2B" w:rsidRDefault="001301C8" w:rsidP="0061355E">
            <w:pPr>
              <w:jc w:val="both"/>
              <w:rPr>
                <w:rFonts w:cs="Times New Roman"/>
                <w:sz w:val="20"/>
                <w:szCs w:val="20"/>
              </w:rPr>
            </w:pPr>
          </w:p>
        </w:tc>
        <w:tc>
          <w:tcPr>
            <w:tcW w:w="630" w:type="dxa"/>
          </w:tcPr>
          <w:p w:rsidR="001301C8" w:rsidRPr="00982C2B" w:rsidRDefault="001301C8" w:rsidP="0061355E">
            <w:pPr>
              <w:pStyle w:val="SCCShortJudgment"/>
              <w:ind w:firstLine="0"/>
              <w:rPr>
                <w:rFonts w:cs="Times New Roman"/>
                <w:szCs w:val="20"/>
              </w:rPr>
            </w:pPr>
          </w:p>
        </w:tc>
        <w:tc>
          <w:tcPr>
            <w:tcW w:w="4536" w:type="dxa"/>
          </w:tcPr>
          <w:p w:rsidR="001301C8" w:rsidRPr="00982C2B" w:rsidRDefault="001301C8" w:rsidP="0061355E">
            <w:pPr>
              <w:jc w:val="both"/>
              <w:rPr>
                <w:rFonts w:cs="Times New Roman"/>
                <w:sz w:val="20"/>
                <w:szCs w:val="20"/>
              </w:rPr>
            </w:pPr>
            <w:r w:rsidRPr="00982C2B">
              <w:rPr>
                <w:rFonts w:cs="Times New Roman"/>
                <w:sz w:val="20"/>
                <w:szCs w:val="20"/>
              </w:rPr>
              <w:t>American Home ordered to pay Onex Corporation US$15 million, US$2,543,309.94 in pre-judgment interest, plus costs; American Home’s counterclaim and alternative claim for set off dismissed</w:t>
            </w:r>
          </w:p>
          <w:p w:rsidR="001301C8" w:rsidRPr="00982C2B" w:rsidRDefault="001301C8" w:rsidP="0061355E">
            <w:pPr>
              <w:jc w:val="both"/>
              <w:rPr>
                <w:rFonts w:cs="Times New Roman"/>
                <w:sz w:val="20"/>
                <w:szCs w:val="20"/>
              </w:rPr>
            </w:pPr>
          </w:p>
        </w:tc>
      </w:tr>
      <w:tr w:rsidR="001301C8" w:rsidRPr="00982C2B" w:rsidTr="009D18B6">
        <w:trPr>
          <w:cantSplit/>
        </w:trPr>
        <w:tc>
          <w:tcPr>
            <w:tcW w:w="4410" w:type="dxa"/>
            <w:gridSpan w:val="2"/>
          </w:tcPr>
          <w:p w:rsidR="001301C8" w:rsidRPr="00982C2B" w:rsidRDefault="001301C8" w:rsidP="0061355E">
            <w:pPr>
              <w:jc w:val="both"/>
              <w:rPr>
                <w:rFonts w:cs="Times New Roman"/>
                <w:sz w:val="20"/>
                <w:szCs w:val="20"/>
              </w:rPr>
            </w:pPr>
            <w:r w:rsidRPr="00982C2B">
              <w:rPr>
                <w:rFonts w:cs="Times New Roman"/>
                <w:sz w:val="20"/>
                <w:szCs w:val="20"/>
              </w:rPr>
              <w:t>August 14, 2015</w:t>
            </w:r>
          </w:p>
          <w:p w:rsidR="001301C8" w:rsidRPr="00982C2B" w:rsidRDefault="001301C8" w:rsidP="0061355E">
            <w:pPr>
              <w:jc w:val="both"/>
              <w:rPr>
                <w:rFonts w:cs="Times New Roman"/>
                <w:sz w:val="20"/>
                <w:szCs w:val="20"/>
              </w:rPr>
            </w:pPr>
            <w:r w:rsidRPr="00982C2B">
              <w:rPr>
                <w:rFonts w:cs="Times New Roman"/>
                <w:sz w:val="20"/>
                <w:szCs w:val="20"/>
              </w:rPr>
              <w:t>Court of Appeal for Ontario</w:t>
            </w:r>
          </w:p>
          <w:p w:rsidR="001301C8" w:rsidRPr="00982C2B" w:rsidRDefault="001301C8" w:rsidP="0061355E">
            <w:pPr>
              <w:jc w:val="both"/>
              <w:rPr>
                <w:rFonts w:cs="Times New Roman"/>
                <w:sz w:val="20"/>
                <w:szCs w:val="20"/>
              </w:rPr>
            </w:pPr>
            <w:r w:rsidRPr="00982C2B">
              <w:rPr>
                <w:rFonts w:cs="Times New Roman"/>
                <w:sz w:val="20"/>
                <w:szCs w:val="20"/>
              </w:rPr>
              <w:t>(Juriansz, Lauwers, Huscroft JJ.A.)</w:t>
            </w:r>
          </w:p>
          <w:p w:rsidR="001301C8" w:rsidRPr="00982C2B" w:rsidRDefault="009F3029" w:rsidP="0061355E">
            <w:pPr>
              <w:jc w:val="both"/>
              <w:rPr>
                <w:rFonts w:cs="Times New Roman"/>
                <w:sz w:val="20"/>
                <w:szCs w:val="20"/>
              </w:rPr>
            </w:pPr>
            <w:hyperlink r:id="rId43" w:history="1">
              <w:r w:rsidR="001301C8" w:rsidRPr="00982C2B">
                <w:rPr>
                  <w:rStyle w:val="Hyperlink"/>
                  <w:rFonts w:cs="Times New Roman"/>
                  <w:sz w:val="20"/>
                  <w:szCs w:val="20"/>
                </w:rPr>
                <w:t>2015 ONCA 573</w:t>
              </w:r>
            </w:hyperlink>
          </w:p>
          <w:p w:rsidR="001301C8" w:rsidRPr="00982C2B" w:rsidRDefault="001301C8" w:rsidP="0061355E">
            <w:pPr>
              <w:jc w:val="both"/>
              <w:rPr>
                <w:rFonts w:cs="Times New Roman"/>
                <w:sz w:val="20"/>
                <w:szCs w:val="20"/>
              </w:rPr>
            </w:pPr>
          </w:p>
        </w:tc>
        <w:tc>
          <w:tcPr>
            <w:tcW w:w="630" w:type="dxa"/>
          </w:tcPr>
          <w:p w:rsidR="001301C8" w:rsidRPr="00982C2B" w:rsidRDefault="001301C8" w:rsidP="0061355E">
            <w:pPr>
              <w:pStyle w:val="SCCShortJudgment"/>
              <w:ind w:firstLine="0"/>
              <w:rPr>
                <w:rFonts w:cs="Times New Roman"/>
                <w:szCs w:val="20"/>
              </w:rPr>
            </w:pPr>
          </w:p>
        </w:tc>
        <w:tc>
          <w:tcPr>
            <w:tcW w:w="4536" w:type="dxa"/>
          </w:tcPr>
          <w:p w:rsidR="001301C8" w:rsidRPr="00982C2B" w:rsidRDefault="001301C8" w:rsidP="0061355E">
            <w:pPr>
              <w:jc w:val="both"/>
              <w:rPr>
                <w:rFonts w:cs="Times New Roman"/>
                <w:sz w:val="20"/>
                <w:szCs w:val="20"/>
              </w:rPr>
            </w:pPr>
            <w:r w:rsidRPr="00982C2B">
              <w:rPr>
                <w:rFonts w:cs="Times New Roman"/>
                <w:sz w:val="20"/>
                <w:szCs w:val="20"/>
              </w:rPr>
              <w:t>Appeal dismissed</w:t>
            </w:r>
          </w:p>
          <w:p w:rsidR="001301C8" w:rsidRPr="00982C2B" w:rsidRDefault="001301C8" w:rsidP="0061355E">
            <w:pPr>
              <w:jc w:val="both"/>
              <w:rPr>
                <w:rFonts w:cs="Times New Roman"/>
                <w:sz w:val="20"/>
                <w:szCs w:val="20"/>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301C8" w:rsidRPr="00982C2B" w:rsidTr="00527434">
        <w:tc>
          <w:tcPr>
            <w:tcW w:w="4410" w:type="dxa"/>
          </w:tcPr>
          <w:p w:rsidR="001301C8" w:rsidRPr="00982C2B" w:rsidRDefault="001301C8" w:rsidP="0061355E">
            <w:pPr>
              <w:jc w:val="both"/>
              <w:rPr>
                <w:rFonts w:cs="Times New Roman"/>
                <w:sz w:val="20"/>
                <w:szCs w:val="20"/>
              </w:rPr>
            </w:pPr>
            <w:r w:rsidRPr="00982C2B">
              <w:rPr>
                <w:rFonts w:cs="Times New Roman"/>
                <w:sz w:val="20"/>
                <w:szCs w:val="20"/>
              </w:rPr>
              <w:t>October 13, 2015</w:t>
            </w:r>
          </w:p>
          <w:p w:rsidR="001301C8" w:rsidRPr="00982C2B" w:rsidRDefault="001301C8" w:rsidP="0061355E">
            <w:pPr>
              <w:jc w:val="both"/>
              <w:rPr>
                <w:rFonts w:cs="Times New Roman"/>
                <w:sz w:val="20"/>
                <w:szCs w:val="20"/>
              </w:rPr>
            </w:pPr>
            <w:r w:rsidRPr="00982C2B">
              <w:rPr>
                <w:rFonts w:cs="Times New Roman"/>
                <w:sz w:val="20"/>
                <w:szCs w:val="20"/>
              </w:rPr>
              <w:t>Supreme Court of Canada</w:t>
            </w:r>
          </w:p>
          <w:p w:rsidR="001301C8" w:rsidRPr="00982C2B" w:rsidRDefault="001301C8" w:rsidP="0061355E">
            <w:pPr>
              <w:jc w:val="both"/>
              <w:rPr>
                <w:rFonts w:cs="Times New Roman"/>
                <w:sz w:val="20"/>
                <w:szCs w:val="20"/>
              </w:rPr>
            </w:pPr>
          </w:p>
        </w:tc>
        <w:tc>
          <w:tcPr>
            <w:tcW w:w="630" w:type="dxa"/>
          </w:tcPr>
          <w:p w:rsidR="001301C8" w:rsidRPr="00982C2B" w:rsidRDefault="001301C8" w:rsidP="0061355E">
            <w:pPr>
              <w:pStyle w:val="SCCShortJudgment"/>
              <w:ind w:firstLine="0"/>
              <w:rPr>
                <w:rFonts w:cs="Times New Roman"/>
                <w:szCs w:val="20"/>
              </w:rPr>
            </w:pPr>
          </w:p>
        </w:tc>
        <w:tc>
          <w:tcPr>
            <w:tcW w:w="4536" w:type="dxa"/>
          </w:tcPr>
          <w:p w:rsidR="001301C8" w:rsidRPr="00982C2B" w:rsidRDefault="001301C8" w:rsidP="0061355E">
            <w:pPr>
              <w:jc w:val="both"/>
              <w:rPr>
                <w:rFonts w:cs="Times New Roman"/>
                <w:sz w:val="20"/>
                <w:szCs w:val="20"/>
              </w:rPr>
            </w:pPr>
            <w:r w:rsidRPr="00982C2B">
              <w:rPr>
                <w:rFonts w:cs="Times New Roman"/>
                <w:sz w:val="20"/>
                <w:szCs w:val="20"/>
              </w:rPr>
              <w:t>Application for leave to appeal filed</w:t>
            </w:r>
          </w:p>
          <w:p w:rsidR="001301C8" w:rsidRPr="00982C2B" w:rsidRDefault="001301C8" w:rsidP="0061355E">
            <w:pPr>
              <w:jc w:val="both"/>
              <w:rPr>
                <w:rFonts w:cs="Times New Roman"/>
                <w:sz w:val="20"/>
                <w:szCs w:val="20"/>
              </w:rPr>
            </w:pPr>
          </w:p>
        </w:tc>
      </w:tr>
      <w:tr w:rsidR="001301C8" w:rsidRPr="00982C2B" w:rsidTr="009D18B6">
        <w:trPr>
          <w:cantSplit/>
        </w:trPr>
        <w:tc>
          <w:tcPr>
            <w:tcW w:w="9576" w:type="dxa"/>
            <w:gridSpan w:val="3"/>
          </w:tcPr>
          <w:p w:rsidR="001301C8" w:rsidRPr="00982C2B" w:rsidRDefault="009F3029" w:rsidP="009D18B6">
            <w:pPr>
              <w:pStyle w:val="SCCShortJudgment"/>
              <w:ind w:firstLine="0"/>
              <w:rPr>
                <w:rFonts w:cs="Times New Roman"/>
                <w:szCs w:val="20"/>
                <w:lang w:val="fr-CA"/>
              </w:rPr>
            </w:pPr>
            <w:r>
              <w:rPr>
                <w:rFonts w:cs="Times New Roman"/>
                <w:szCs w:val="20"/>
                <w:lang w:val="fr-CA"/>
              </w:rPr>
              <w:pict>
                <v:rect id="_x0000_i1053" style="width:2in;height:1pt" o:hrpct="0" o:hralign="center" o:hrstd="t" o:hrnoshade="t" o:hr="t" fillcolor="black [3213]" stroked="f"/>
              </w:pict>
            </w:r>
          </w:p>
          <w:p w:rsidR="001301C8" w:rsidRPr="00982C2B" w:rsidRDefault="001301C8" w:rsidP="009D18B6">
            <w:pPr>
              <w:pStyle w:val="SCCShortJudgment"/>
              <w:ind w:firstLine="0"/>
              <w:rPr>
                <w:rFonts w:cs="Times New Roman"/>
                <w:szCs w:val="20"/>
                <w:lang w:val="fr-CA"/>
              </w:rPr>
            </w:pPr>
          </w:p>
        </w:tc>
      </w:tr>
      <w:tr w:rsidR="001301C8" w:rsidRPr="00982C2B" w:rsidTr="009D18B6">
        <w:trPr>
          <w:cantSplit/>
        </w:trPr>
        <w:tc>
          <w:tcPr>
            <w:tcW w:w="9576" w:type="dxa"/>
            <w:gridSpan w:val="3"/>
          </w:tcPr>
          <w:p w:rsidR="001301C8" w:rsidRPr="00982C2B" w:rsidRDefault="001301C8"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1301C8" w:rsidRPr="00982C2B" w:rsidRDefault="001301C8" w:rsidP="009D18B6">
            <w:pPr>
              <w:pStyle w:val="SCCShortJudgment"/>
              <w:ind w:firstLine="0"/>
              <w:rPr>
                <w:rFonts w:cs="Times New Roman"/>
                <w:szCs w:val="20"/>
                <w:u w:val="single"/>
                <w:lang w:val="fr-CA"/>
              </w:rPr>
            </w:pPr>
          </w:p>
        </w:tc>
      </w:tr>
      <w:tr w:rsidR="001301C8" w:rsidRPr="009F3029" w:rsidTr="009D18B6">
        <w:trPr>
          <w:cantSplit/>
        </w:trPr>
        <w:tc>
          <w:tcPr>
            <w:tcW w:w="9576" w:type="dxa"/>
            <w:gridSpan w:val="3"/>
          </w:tcPr>
          <w:p w:rsidR="001301C8" w:rsidRPr="00982C2B" w:rsidRDefault="001301C8" w:rsidP="0061355E">
            <w:pPr>
              <w:pStyle w:val="SCCShortJudgment"/>
              <w:ind w:firstLine="0"/>
              <w:rPr>
                <w:rFonts w:cs="Times New Roman"/>
                <w:szCs w:val="20"/>
                <w:lang w:val="fr-CA"/>
              </w:rPr>
            </w:pPr>
            <w:r w:rsidRPr="00982C2B">
              <w:rPr>
                <w:rFonts w:cs="Times New Roman"/>
                <w:szCs w:val="20"/>
                <w:lang w:val="fr-CA"/>
              </w:rPr>
              <w:t>Assurance — Contrats d’assurance — Interprétation — Garantie — Clause d’exclusion — Quelle est l’incidence du témoignage d’une partie sur son intention subjective, sa compréhension du contrat et l’interprétation de celui-ci? — Quelle est l’incidence des mots employés dans une police une fois qu’ils sont jugés ambigus? — Quelle est l’incidence des données factuelles et des circonstances?</w:t>
            </w:r>
          </w:p>
          <w:p w:rsidR="001301C8" w:rsidRPr="00982C2B" w:rsidRDefault="001301C8" w:rsidP="0061355E">
            <w:pPr>
              <w:pStyle w:val="SCCShortJudgment"/>
              <w:ind w:firstLine="0"/>
              <w:rPr>
                <w:rFonts w:cs="Times New Roman"/>
                <w:szCs w:val="20"/>
                <w:u w:val="single"/>
                <w:lang w:val="fr-CA"/>
              </w:rPr>
            </w:pPr>
          </w:p>
        </w:tc>
      </w:tr>
      <w:tr w:rsidR="001301C8" w:rsidRPr="00982C2B" w:rsidTr="009D18B6">
        <w:trPr>
          <w:cantSplit/>
        </w:trPr>
        <w:tc>
          <w:tcPr>
            <w:tcW w:w="9576" w:type="dxa"/>
            <w:gridSpan w:val="3"/>
          </w:tcPr>
          <w:p w:rsidR="001301C8" w:rsidRPr="00982C2B" w:rsidRDefault="001301C8" w:rsidP="0061355E">
            <w:pPr>
              <w:jc w:val="both"/>
              <w:rPr>
                <w:rFonts w:cs="Times New Roman"/>
                <w:sz w:val="20"/>
                <w:szCs w:val="20"/>
                <w:lang w:val="fr-CA"/>
              </w:rPr>
            </w:pPr>
            <w:r w:rsidRPr="00982C2B">
              <w:rPr>
                <w:rFonts w:cs="Times New Roman"/>
                <w:sz w:val="20"/>
                <w:szCs w:val="20"/>
                <w:lang w:val="fr-CA"/>
              </w:rPr>
              <w:t>Onex Corporation, une société d’investissement fermée qui achète et vend des entreprises, a constitué Magnatrax aux É.-U. et nommé deux de ses administrateurs au conseil de la nouvelle entreprise. Elle était alors assurée pour la responsabilité de ses administrateurs auprès d’American Home Assurance Company. La garantie valait pour les frais de défense, ainsi que le montant d’un règlement ou d’un jugement, en cas d’actes fautifs de la part d’un administrateur d’Onex (la « police d’Onex »). En 2003, Onex a informé son courtier d’assurance que Magnatrax prévoyait faire cession de ses biens et lui a demandé de faire immédiatement en sorte que Magnatrax soit protégée contre les réclamations futures (la « police de Magnatrax »). Cette nouvelle police excluait la protection des administrateurs d’Onex lorsqu’ils agissaient à titre d’administrateurs d’Onex. Une clause visant Magnatrax et ses filiales et excluant les réclamations présentées relativement à Magnatrax a été ajoutée à la police d’Onex. Elle disposait entre autres que [</w:t>
            </w:r>
            <w:r w:rsidRPr="00982C2B">
              <w:rPr>
                <w:rFonts w:cs="Times New Roman"/>
                <w:smallCaps/>
                <w:sz w:val="20"/>
                <w:szCs w:val="20"/>
                <w:lang w:val="fr-CA"/>
              </w:rPr>
              <w:t>traduction</w:t>
            </w:r>
            <w:r w:rsidRPr="00982C2B">
              <w:rPr>
                <w:rFonts w:cs="Times New Roman"/>
                <w:sz w:val="20"/>
                <w:szCs w:val="20"/>
                <w:lang w:val="fr-CA"/>
              </w:rPr>
              <w:t xml:space="preserve">] « l’assureur décline toute responsabilité à l’égard d’une perte qui résulterait d’une réclamation formulée par [Magnatrax] ou contre elle, qui découle d’une telle réclamation, qui se fonde sur elle, qui lui est imputable ou qui s’y rattache ». </w:t>
            </w:r>
          </w:p>
          <w:p w:rsidR="001301C8" w:rsidRPr="00982C2B" w:rsidRDefault="001301C8" w:rsidP="0061355E">
            <w:pPr>
              <w:jc w:val="both"/>
              <w:rPr>
                <w:rFonts w:cs="Times New Roman"/>
                <w:sz w:val="20"/>
                <w:szCs w:val="20"/>
                <w:lang w:val="fr-CA"/>
              </w:rPr>
            </w:pPr>
          </w:p>
          <w:p w:rsidR="001301C8" w:rsidRPr="00982C2B" w:rsidRDefault="001301C8" w:rsidP="0061355E">
            <w:pPr>
              <w:jc w:val="both"/>
              <w:rPr>
                <w:rFonts w:cs="Times New Roman"/>
                <w:sz w:val="20"/>
                <w:szCs w:val="20"/>
                <w:lang w:val="fr-CA"/>
              </w:rPr>
            </w:pPr>
            <w:r w:rsidRPr="00982C2B">
              <w:rPr>
                <w:rFonts w:cs="Times New Roman"/>
                <w:sz w:val="20"/>
                <w:szCs w:val="20"/>
                <w:lang w:val="fr-CA"/>
              </w:rPr>
              <w:t>En mai 2005, une action alléguait que, par l’entremise de ses administrateurs, Onex avait commis des actes fautifs qui avaient mené à la faillite de Magnatrax. Onex a donné avis de l’action à American Home et demandé l’application de la garantie prévue par les polices d’Onex et de Magnatrax. Les parties ont convenu d’un règlement dont le montant était supérieur à celui de la garantie. American Home a versé une somme correspondant au plafond de la garantie de Magnatrax, mais elle a refusé d’appliquer la garantie prévue par la police d’Onex en raison de la clause d’exclusion visant Magnatrax et ses filiales. Par voie de jugement sommaire, l’action d’Onex a été accueillie. En appel, le mot « réclamation » (</w:t>
            </w:r>
            <w:r w:rsidRPr="00982C2B">
              <w:rPr>
                <w:rFonts w:cs="Times New Roman"/>
                <w:i/>
                <w:sz w:val="20"/>
                <w:szCs w:val="20"/>
                <w:lang w:val="fr-CA"/>
              </w:rPr>
              <w:t>claim</w:t>
            </w:r>
            <w:r w:rsidRPr="00982C2B">
              <w:rPr>
                <w:rFonts w:cs="Times New Roman"/>
                <w:sz w:val="20"/>
                <w:szCs w:val="20"/>
                <w:lang w:val="fr-CA"/>
              </w:rPr>
              <w:t>) employé dans la clause d’exclusion visant Magnatrax et ses filiales a été jugé ambigu, la décision du juge des motions a été annulée et le dossier a été renvoyé à la Cour supérieure pour qu’elle lève l’ambiguïté.</w:t>
            </w:r>
          </w:p>
          <w:p w:rsidR="001301C8" w:rsidRPr="00982C2B" w:rsidRDefault="001301C8" w:rsidP="0061355E">
            <w:pPr>
              <w:jc w:val="both"/>
              <w:rPr>
                <w:rFonts w:cs="Times New Roman"/>
                <w:sz w:val="20"/>
                <w:szCs w:val="20"/>
                <w:lang w:val="fr-CA"/>
              </w:rPr>
            </w:pPr>
          </w:p>
          <w:p w:rsidR="001301C8" w:rsidRPr="00982C2B" w:rsidRDefault="001301C8" w:rsidP="0061355E">
            <w:pPr>
              <w:jc w:val="both"/>
              <w:rPr>
                <w:rFonts w:cs="Times New Roman"/>
                <w:sz w:val="20"/>
                <w:szCs w:val="20"/>
                <w:lang w:val="fr-CA"/>
              </w:rPr>
            </w:pPr>
            <w:r w:rsidRPr="00982C2B">
              <w:rPr>
                <w:rFonts w:cs="Times New Roman"/>
                <w:sz w:val="20"/>
                <w:szCs w:val="20"/>
                <w:lang w:val="fr-CA"/>
              </w:rPr>
              <w:t>La juge de première instance a tranché en faveur de l’assurée et lui a accordé la somme de 15 000 000 $ US. La Cour d’appel a rejeté l’appel.</w:t>
            </w:r>
          </w:p>
        </w:tc>
      </w:tr>
      <w:tr w:rsidR="001301C8" w:rsidRPr="00982C2B" w:rsidTr="009D18B6">
        <w:trPr>
          <w:cantSplit/>
        </w:trPr>
        <w:tc>
          <w:tcPr>
            <w:tcW w:w="9576" w:type="dxa"/>
            <w:gridSpan w:val="3"/>
          </w:tcPr>
          <w:p w:rsidR="001301C8" w:rsidRPr="00982C2B" w:rsidRDefault="001301C8" w:rsidP="009D18B6">
            <w:pPr>
              <w:pStyle w:val="SCCShortJudgment"/>
              <w:ind w:firstLine="0"/>
              <w:rPr>
                <w:rFonts w:cs="Times New Roman"/>
                <w:szCs w:val="20"/>
                <w:u w:val="single"/>
                <w:lang w:val="fr-CA"/>
              </w:rPr>
            </w:pPr>
          </w:p>
        </w:tc>
      </w:tr>
      <w:tr w:rsidR="001301C8" w:rsidRPr="009F3029" w:rsidTr="009D18B6">
        <w:trPr>
          <w:cantSplit/>
        </w:trPr>
        <w:tc>
          <w:tcPr>
            <w:tcW w:w="4410"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5 décembre 2014</w:t>
            </w:r>
          </w:p>
          <w:p w:rsidR="001301C8" w:rsidRPr="00982C2B" w:rsidRDefault="001301C8" w:rsidP="0061355E">
            <w:pPr>
              <w:jc w:val="both"/>
              <w:rPr>
                <w:rFonts w:cs="Times New Roman"/>
                <w:sz w:val="20"/>
                <w:szCs w:val="20"/>
                <w:lang w:val="fr-CA"/>
              </w:rPr>
            </w:pPr>
            <w:r w:rsidRPr="00982C2B">
              <w:rPr>
                <w:rFonts w:cs="Times New Roman"/>
                <w:sz w:val="20"/>
                <w:szCs w:val="20"/>
                <w:lang w:val="fr-CA"/>
              </w:rPr>
              <w:t xml:space="preserve">Cour supérieure de Justice de l’Ontario </w:t>
            </w:r>
          </w:p>
          <w:p w:rsidR="001301C8" w:rsidRPr="00982C2B" w:rsidRDefault="001301C8" w:rsidP="0061355E">
            <w:pPr>
              <w:jc w:val="both"/>
              <w:rPr>
                <w:rFonts w:cs="Times New Roman"/>
                <w:sz w:val="20"/>
                <w:szCs w:val="20"/>
                <w:lang w:val="fr-CA"/>
              </w:rPr>
            </w:pPr>
            <w:r w:rsidRPr="00982C2B">
              <w:rPr>
                <w:rFonts w:cs="Times New Roman"/>
                <w:sz w:val="20"/>
                <w:szCs w:val="20"/>
                <w:lang w:val="fr-CA"/>
              </w:rPr>
              <w:t>(Juge Sanderson)</w:t>
            </w:r>
          </w:p>
          <w:p w:rsidR="001301C8" w:rsidRPr="00982C2B" w:rsidRDefault="009F3029" w:rsidP="0061355E">
            <w:pPr>
              <w:jc w:val="both"/>
              <w:rPr>
                <w:rFonts w:cs="Times New Roman"/>
                <w:sz w:val="20"/>
                <w:szCs w:val="20"/>
                <w:lang w:val="fr-CA"/>
              </w:rPr>
            </w:pPr>
            <w:hyperlink r:id="rId44" w:history="1">
              <w:r w:rsidR="001301C8" w:rsidRPr="00982C2B">
                <w:rPr>
                  <w:rStyle w:val="Hyperlink"/>
                  <w:rFonts w:cs="Times New Roman"/>
                  <w:sz w:val="20"/>
                  <w:szCs w:val="20"/>
                  <w:lang w:val="fr-CA"/>
                </w:rPr>
                <w:t>2014 ONSC 6918</w:t>
              </w:r>
            </w:hyperlink>
          </w:p>
          <w:p w:rsidR="001301C8" w:rsidRPr="00982C2B" w:rsidRDefault="001301C8" w:rsidP="0061355E">
            <w:pPr>
              <w:pStyle w:val="SCCShortJudgment"/>
              <w:ind w:firstLine="0"/>
              <w:rPr>
                <w:rFonts w:cs="Times New Roman"/>
                <w:szCs w:val="20"/>
                <w:u w:val="single"/>
                <w:lang w:val="fr-CA"/>
              </w:rPr>
            </w:pPr>
          </w:p>
        </w:tc>
        <w:tc>
          <w:tcPr>
            <w:tcW w:w="630" w:type="dxa"/>
          </w:tcPr>
          <w:p w:rsidR="001301C8" w:rsidRPr="00982C2B" w:rsidRDefault="001301C8" w:rsidP="0061355E">
            <w:pPr>
              <w:pStyle w:val="SCCShortJudgment"/>
              <w:ind w:firstLine="0"/>
              <w:rPr>
                <w:rFonts w:cs="Times New Roman"/>
                <w:szCs w:val="20"/>
                <w:u w:val="single"/>
                <w:lang w:val="fr-CA"/>
              </w:rPr>
            </w:pPr>
          </w:p>
        </w:tc>
        <w:tc>
          <w:tcPr>
            <w:tcW w:w="4536"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Ordonnance intimant à American Home de verser à Onex Corporation 15 000 000 $ US, 2 543 309,94 $ US au titre de l’intérêt avant jugement, plus les dépens; rejet de la demande reconventionnelle d’American Home et de sa demande subsidiaire de compensation</w:t>
            </w:r>
          </w:p>
          <w:p w:rsidR="001301C8" w:rsidRPr="00982C2B" w:rsidRDefault="001301C8" w:rsidP="0061355E">
            <w:pPr>
              <w:pStyle w:val="SCCShortJudgment"/>
              <w:ind w:firstLine="0"/>
              <w:rPr>
                <w:rFonts w:cs="Times New Roman"/>
                <w:szCs w:val="20"/>
                <w:u w:val="single"/>
                <w:lang w:val="fr-CA"/>
              </w:rPr>
            </w:pPr>
          </w:p>
        </w:tc>
      </w:tr>
      <w:tr w:rsidR="001301C8" w:rsidRPr="00982C2B" w:rsidTr="009D18B6">
        <w:trPr>
          <w:cantSplit/>
        </w:trPr>
        <w:tc>
          <w:tcPr>
            <w:tcW w:w="4410"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14 août 2015</w:t>
            </w:r>
          </w:p>
          <w:p w:rsidR="001301C8" w:rsidRPr="00982C2B" w:rsidRDefault="001301C8" w:rsidP="0061355E">
            <w:pPr>
              <w:jc w:val="both"/>
              <w:rPr>
                <w:rFonts w:cs="Times New Roman"/>
                <w:sz w:val="20"/>
                <w:szCs w:val="20"/>
                <w:lang w:val="fr-CA"/>
              </w:rPr>
            </w:pPr>
            <w:r w:rsidRPr="00982C2B">
              <w:rPr>
                <w:rFonts w:cs="Times New Roman"/>
                <w:sz w:val="20"/>
                <w:szCs w:val="20"/>
                <w:lang w:val="fr-CA"/>
              </w:rPr>
              <w:t>Cour d’appel de l’Ontario</w:t>
            </w:r>
          </w:p>
          <w:p w:rsidR="001301C8" w:rsidRPr="00982C2B" w:rsidRDefault="001301C8" w:rsidP="0061355E">
            <w:pPr>
              <w:jc w:val="both"/>
              <w:rPr>
                <w:rFonts w:cs="Times New Roman"/>
                <w:sz w:val="20"/>
                <w:szCs w:val="20"/>
                <w:lang w:val="fr-CA"/>
              </w:rPr>
            </w:pPr>
            <w:r w:rsidRPr="00982C2B">
              <w:rPr>
                <w:rFonts w:cs="Times New Roman"/>
                <w:sz w:val="20"/>
                <w:szCs w:val="20"/>
                <w:lang w:val="fr-CA"/>
              </w:rPr>
              <w:t>(Juges Juriansz, Lauwers, Huscroft)</w:t>
            </w:r>
          </w:p>
          <w:p w:rsidR="001301C8" w:rsidRPr="00982C2B" w:rsidRDefault="009F3029" w:rsidP="0061355E">
            <w:pPr>
              <w:jc w:val="both"/>
              <w:rPr>
                <w:rFonts w:cs="Times New Roman"/>
                <w:sz w:val="20"/>
                <w:szCs w:val="20"/>
                <w:lang w:val="fr-CA"/>
              </w:rPr>
            </w:pPr>
            <w:hyperlink r:id="rId45" w:history="1">
              <w:r w:rsidR="001301C8" w:rsidRPr="00982C2B">
                <w:rPr>
                  <w:rStyle w:val="Hyperlink"/>
                  <w:rFonts w:cs="Times New Roman"/>
                  <w:sz w:val="20"/>
                  <w:szCs w:val="20"/>
                  <w:lang w:val="fr-CA"/>
                </w:rPr>
                <w:t>2015 ONCA 573</w:t>
              </w:r>
            </w:hyperlink>
          </w:p>
          <w:p w:rsidR="001301C8" w:rsidRPr="00982C2B" w:rsidRDefault="001301C8" w:rsidP="0061355E">
            <w:pPr>
              <w:pStyle w:val="SCCShortJudgment"/>
              <w:ind w:firstLine="0"/>
              <w:rPr>
                <w:rFonts w:cs="Times New Roman"/>
                <w:szCs w:val="20"/>
                <w:u w:val="single"/>
                <w:lang w:val="fr-CA"/>
              </w:rPr>
            </w:pPr>
          </w:p>
        </w:tc>
        <w:tc>
          <w:tcPr>
            <w:tcW w:w="630" w:type="dxa"/>
          </w:tcPr>
          <w:p w:rsidR="001301C8" w:rsidRPr="00982C2B" w:rsidRDefault="001301C8" w:rsidP="0061355E">
            <w:pPr>
              <w:pStyle w:val="SCCShortJudgment"/>
              <w:ind w:firstLine="0"/>
              <w:rPr>
                <w:rFonts w:cs="Times New Roman"/>
                <w:szCs w:val="20"/>
                <w:u w:val="single"/>
                <w:lang w:val="fr-CA"/>
              </w:rPr>
            </w:pPr>
          </w:p>
        </w:tc>
        <w:tc>
          <w:tcPr>
            <w:tcW w:w="4536"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Rejet de l’appel</w:t>
            </w:r>
          </w:p>
          <w:p w:rsidR="001301C8" w:rsidRPr="00982C2B" w:rsidRDefault="001301C8" w:rsidP="0061355E">
            <w:pPr>
              <w:pStyle w:val="SCCShortJudgment"/>
              <w:ind w:firstLine="0"/>
              <w:rPr>
                <w:rFonts w:cs="Times New Roman"/>
                <w:szCs w:val="20"/>
                <w:u w:val="single"/>
                <w:lang w:val="fr-CA"/>
              </w:rPr>
            </w:pPr>
          </w:p>
        </w:tc>
      </w:tr>
      <w:tr w:rsidR="001301C8" w:rsidRPr="009F3029" w:rsidTr="009D18B6">
        <w:trPr>
          <w:cantSplit/>
        </w:trPr>
        <w:tc>
          <w:tcPr>
            <w:tcW w:w="4410"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13 octobre 2015</w:t>
            </w:r>
          </w:p>
          <w:p w:rsidR="001301C8" w:rsidRPr="00982C2B" w:rsidRDefault="001301C8" w:rsidP="0061355E">
            <w:pPr>
              <w:jc w:val="both"/>
              <w:rPr>
                <w:rFonts w:cs="Times New Roman"/>
                <w:sz w:val="20"/>
                <w:szCs w:val="20"/>
                <w:lang w:val="fr-CA"/>
              </w:rPr>
            </w:pPr>
            <w:r w:rsidRPr="00982C2B">
              <w:rPr>
                <w:rFonts w:cs="Times New Roman"/>
                <w:sz w:val="20"/>
                <w:szCs w:val="20"/>
                <w:lang w:val="fr-CA"/>
              </w:rPr>
              <w:t>Cour suprême du Canada</w:t>
            </w:r>
          </w:p>
          <w:p w:rsidR="001301C8" w:rsidRPr="00982C2B" w:rsidRDefault="001301C8" w:rsidP="0061355E">
            <w:pPr>
              <w:pStyle w:val="SCCShortJudgment"/>
              <w:tabs>
                <w:tab w:val="left" w:pos="1503"/>
              </w:tabs>
              <w:ind w:firstLine="0"/>
              <w:rPr>
                <w:rFonts w:cs="Times New Roman"/>
                <w:szCs w:val="20"/>
                <w:u w:val="single"/>
                <w:lang w:val="fr-CA"/>
              </w:rPr>
            </w:pPr>
          </w:p>
        </w:tc>
        <w:tc>
          <w:tcPr>
            <w:tcW w:w="630" w:type="dxa"/>
          </w:tcPr>
          <w:p w:rsidR="001301C8" w:rsidRPr="00982C2B" w:rsidRDefault="001301C8" w:rsidP="0061355E">
            <w:pPr>
              <w:pStyle w:val="SCCShortJudgment"/>
              <w:ind w:firstLine="0"/>
              <w:rPr>
                <w:rFonts w:cs="Times New Roman"/>
                <w:szCs w:val="20"/>
                <w:u w:val="single"/>
                <w:lang w:val="fr-CA"/>
              </w:rPr>
            </w:pPr>
          </w:p>
        </w:tc>
        <w:tc>
          <w:tcPr>
            <w:tcW w:w="4536" w:type="dxa"/>
          </w:tcPr>
          <w:p w:rsidR="001301C8" w:rsidRPr="00982C2B" w:rsidRDefault="001301C8" w:rsidP="0061355E">
            <w:pPr>
              <w:jc w:val="both"/>
              <w:rPr>
                <w:rFonts w:cs="Times New Roman"/>
                <w:sz w:val="20"/>
                <w:szCs w:val="20"/>
                <w:lang w:val="fr-CA"/>
              </w:rPr>
            </w:pPr>
            <w:r w:rsidRPr="00982C2B">
              <w:rPr>
                <w:rFonts w:cs="Times New Roman"/>
                <w:sz w:val="20"/>
                <w:szCs w:val="20"/>
                <w:lang w:val="fr-CA"/>
              </w:rPr>
              <w:t>Dépôt de la demande d’autorisation d’appel</w:t>
            </w:r>
          </w:p>
          <w:p w:rsidR="001301C8" w:rsidRPr="00982C2B" w:rsidRDefault="001301C8" w:rsidP="0061355E">
            <w:pPr>
              <w:pStyle w:val="SCCShortJudgment"/>
              <w:ind w:firstLine="0"/>
              <w:rPr>
                <w:rFonts w:cs="Times New Roman"/>
                <w:szCs w:val="20"/>
                <w:u w:val="single"/>
                <w:lang w:val="fr-CA"/>
              </w:rPr>
            </w:pPr>
          </w:p>
        </w:tc>
      </w:tr>
    </w:tbl>
    <w:p w:rsidR="001301C8" w:rsidRPr="00982C2B" w:rsidRDefault="009F3029" w:rsidP="001301C8">
      <w:pPr>
        <w:rPr>
          <w:rFonts w:cs="Times New Roman"/>
          <w:sz w:val="20"/>
          <w:szCs w:val="20"/>
          <w:lang w:val="fr-CA"/>
        </w:rPr>
      </w:pPr>
      <w:r>
        <w:rPr>
          <w:rFonts w:cs="Times New Roman"/>
          <w:sz w:val="20"/>
          <w:szCs w:val="20"/>
          <w:lang w:val="fr-CA"/>
        </w:rPr>
        <w:pict>
          <v:rect id="_x0000_i1054"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36C8" w:rsidRPr="00982C2B" w:rsidTr="008905CF">
        <w:tc>
          <w:tcPr>
            <w:tcW w:w="1458" w:type="dxa"/>
          </w:tcPr>
          <w:p w:rsidR="005236C8" w:rsidRPr="00982C2B" w:rsidRDefault="005236C8" w:rsidP="0061355E">
            <w:pPr>
              <w:jc w:val="both"/>
              <w:rPr>
                <w:rFonts w:cs="Times New Roman"/>
                <w:sz w:val="20"/>
                <w:szCs w:val="20"/>
              </w:rPr>
            </w:pPr>
            <w:r w:rsidRPr="00982C2B">
              <w:rPr>
                <w:rStyle w:val="SCCFileNumberChar"/>
                <w:sz w:val="20"/>
                <w:szCs w:val="20"/>
              </w:rPr>
              <w:t>36686</w:t>
            </w:r>
          </w:p>
          <w:p w:rsidR="005236C8" w:rsidRPr="00982C2B" w:rsidRDefault="005236C8" w:rsidP="0061355E">
            <w:pPr>
              <w:jc w:val="both"/>
              <w:rPr>
                <w:rFonts w:cs="Times New Roman"/>
                <w:b/>
                <w:sz w:val="20"/>
                <w:szCs w:val="20"/>
              </w:rPr>
            </w:pPr>
          </w:p>
        </w:tc>
        <w:tc>
          <w:tcPr>
            <w:tcW w:w="8118" w:type="dxa"/>
            <w:gridSpan w:val="3"/>
          </w:tcPr>
          <w:p w:rsidR="005236C8" w:rsidRPr="00982C2B" w:rsidRDefault="005236C8" w:rsidP="0061355E">
            <w:pPr>
              <w:jc w:val="both"/>
              <w:rPr>
                <w:rFonts w:cs="Times New Roman"/>
                <w:sz w:val="20"/>
                <w:szCs w:val="20"/>
              </w:rPr>
            </w:pPr>
            <w:r w:rsidRPr="00982C2B">
              <w:rPr>
                <w:rStyle w:val="SCCLsocChar"/>
                <w:rFonts w:cs="Times New Roman"/>
                <w:sz w:val="20"/>
                <w:szCs w:val="20"/>
                <w:lang w:val="en-CA"/>
              </w:rPr>
              <w:t xml:space="preserve">Ramesh Mehta and Sirdi Sai Sweets Inc. v. Indian Spice &amp; Curry Ltd. and Rakesh Uppal </w:t>
            </w:r>
            <w:r w:rsidRPr="00982C2B">
              <w:rPr>
                <w:rFonts w:cs="Times New Roman"/>
                <w:sz w:val="20"/>
                <w:szCs w:val="20"/>
              </w:rPr>
              <w:t>(Ont.) (Civil) (By Leave)</w:t>
            </w:r>
          </w:p>
          <w:p w:rsidR="005236C8" w:rsidRPr="00982C2B" w:rsidRDefault="005236C8" w:rsidP="0061355E">
            <w:pPr>
              <w:jc w:val="both"/>
              <w:rPr>
                <w:rFonts w:cs="Times New Roman"/>
                <w:sz w:val="20"/>
                <w:szCs w:val="20"/>
              </w:rPr>
            </w:pPr>
          </w:p>
        </w:tc>
      </w:tr>
      <w:tr w:rsidR="005236C8" w:rsidRPr="00982C2B" w:rsidTr="009D18B6">
        <w:trPr>
          <w:cantSplit/>
        </w:trPr>
        <w:tc>
          <w:tcPr>
            <w:tcW w:w="1458" w:type="dxa"/>
          </w:tcPr>
          <w:p w:rsidR="005236C8" w:rsidRPr="00982C2B" w:rsidRDefault="005236C8" w:rsidP="0061355E">
            <w:pPr>
              <w:jc w:val="both"/>
              <w:rPr>
                <w:rFonts w:cs="Times New Roman"/>
                <w:sz w:val="20"/>
                <w:szCs w:val="20"/>
              </w:rPr>
            </w:pPr>
            <w:r w:rsidRPr="00982C2B">
              <w:rPr>
                <w:rFonts w:cs="Times New Roman"/>
                <w:sz w:val="20"/>
                <w:szCs w:val="20"/>
              </w:rPr>
              <w:t>Coram :</w:t>
            </w:r>
          </w:p>
        </w:tc>
        <w:tc>
          <w:tcPr>
            <w:tcW w:w="8118" w:type="dxa"/>
            <w:gridSpan w:val="3"/>
          </w:tcPr>
          <w:p w:rsidR="005236C8" w:rsidRPr="00982C2B" w:rsidRDefault="005236C8" w:rsidP="0061355E">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5236C8" w:rsidRPr="00982C2B" w:rsidRDefault="005236C8" w:rsidP="0061355E">
            <w:pPr>
              <w:jc w:val="both"/>
              <w:rPr>
                <w:rFonts w:cs="Times New Roman"/>
                <w:sz w:val="20"/>
                <w:szCs w:val="20"/>
                <w:u w:val="single"/>
              </w:rPr>
            </w:pPr>
          </w:p>
        </w:tc>
      </w:tr>
      <w:tr w:rsidR="005236C8" w:rsidRPr="009F3029" w:rsidTr="009D18B6">
        <w:trPr>
          <w:cantSplit/>
        </w:trPr>
        <w:tc>
          <w:tcPr>
            <w:tcW w:w="9576" w:type="dxa"/>
            <w:gridSpan w:val="4"/>
          </w:tcPr>
          <w:p w:rsidR="005236C8" w:rsidRPr="00982C2B" w:rsidRDefault="005236C8" w:rsidP="0061355E">
            <w:pPr>
              <w:pStyle w:val="SCCShortJudgment"/>
              <w:ind w:firstLine="0"/>
              <w:rPr>
                <w:rFonts w:cs="Times New Roman"/>
                <w:szCs w:val="20"/>
              </w:rPr>
            </w:pPr>
            <w:r w:rsidRPr="00982C2B">
              <w:rPr>
                <w:rFonts w:cs="Times New Roman"/>
                <w:szCs w:val="20"/>
              </w:rPr>
              <w:tab/>
              <w:t>The motion to appoint counsel is dismissed. The application for leave to appeal from the judgment of the Court of Appeal for Ontario, Number C59877, 2015 ONCA 502, dated June 30, 2015, is dismissed.</w:t>
            </w:r>
          </w:p>
          <w:p w:rsidR="005236C8" w:rsidRPr="00982C2B" w:rsidRDefault="005236C8" w:rsidP="0061355E">
            <w:pPr>
              <w:pStyle w:val="SCCShortJudgment"/>
              <w:ind w:firstLine="0"/>
              <w:rPr>
                <w:rFonts w:cs="Times New Roman"/>
                <w:szCs w:val="20"/>
              </w:rPr>
            </w:pPr>
          </w:p>
          <w:p w:rsidR="005236C8" w:rsidRPr="00982C2B" w:rsidRDefault="005236C8" w:rsidP="0061355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requête pour nommer un avocat est rejetée. La demande d’autorisation d’appel de l’arrêt de la </w:t>
            </w:r>
            <w:r w:rsidRPr="00982C2B">
              <w:rPr>
                <w:rFonts w:cs="Times New Roman"/>
                <w:szCs w:val="20"/>
                <w:lang w:val="fr-FR"/>
              </w:rPr>
              <w:t>Cour d’appel de l’Ontario</w:t>
            </w:r>
            <w:r w:rsidRPr="00982C2B">
              <w:rPr>
                <w:rFonts w:cs="Times New Roman"/>
                <w:szCs w:val="20"/>
                <w:lang w:val="fr-CA"/>
              </w:rPr>
              <w:t xml:space="preserve">, numéro </w:t>
            </w:r>
            <w:r w:rsidRPr="00982C2B">
              <w:rPr>
                <w:rFonts w:cs="Times New Roman"/>
                <w:szCs w:val="20"/>
                <w:lang w:val="fr-FR"/>
              </w:rPr>
              <w:t>C59877, 2015 ONCA 502</w:t>
            </w:r>
            <w:r w:rsidRPr="00982C2B">
              <w:rPr>
                <w:rFonts w:cs="Times New Roman"/>
                <w:szCs w:val="20"/>
                <w:lang w:val="fr-CA"/>
              </w:rPr>
              <w:t xml:space="preserve">, daté du </w:t>
            </w:r>
            <w:r w:rsidRPr="00982C2B">
              <w:rPr>
                <w:rFonts w:cs="Times New Roman"/>
                <w:szCs w:val="20"/>
                <w:lang w:val="fr-FR"/>
              </w:rPr>
              <w:t>30 juin 2015</w:t>
            </w:r>
            <w:r w:rsidRPr="00982C2B">
              <w:rPr>
                <w:rFonts w:cs="Times New Roman"/>
                <w:szCs w:val="20"/>
                <w:lang w:val="fr-CA"/>
              </w:rPr>
              <w:t>, est rejetée.</w:t>
            </w:r>
          </w:p>
          <w:p w:rsidR="005236C8" w:rsidRPr="00982C2B" w:rsidRDefault="005236C8" w:rsidP="0061355E">
            <w:pPr>
              <w:pStyle w:val="SCCShortJudgment"/>
              <w:ind w:firstLine="0"/>
              <w:rPr>
                <w:rFonts w:cs="Times New Roman"/>
                <w:szCs w:val="20"/>
                <w:lang w:val="fr-CA"/>
              </w:rPr>
            </w:pPr>
          </w:p>
        </w:tc>
      </w:tr>
      <w:tr w:rsidR="005236C8" w:rsidRPr="00982C2B" w:rsidTr="009D18B6">
        <w:trPr>
          <w:cantSplit/>
        </w:trPr>
        <w:tc>
          <w:tcPr>
            <w:tcW w:w="9576" w:type="dxa"/>
            <w:gridSpan w:val="4"/>
          </w:tcPr>
          <w:p w:rsidR="005236C8" w:rsidRPr="00982C2B" w:rsidRDefault="005236C8"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5236C8" w:rsidRPr="00982C2B" w:rsidRDefault="005236C8" w:rsidP="0061355E">
            <w:pPr>
              <w:pStyle w:val="SCCShortJudgment"/>
              <w:ind w:firstLine="0"/>
              <w:rPr>
                <w:rFonts w:cs="Times New Roman"/>
                <w:szCs w:val="20"/>
                <w:u w:val="single"/>
                <w:lang w:val="fr-CA"/>
              </w:rPr>
            </w:pPr>
          </w:p>
        </w:tc>
      </w:tr>
      <w:tr w:rsidR="005236C8" w:rsidRPr="00982C2B" w:rsidTr="009D18B6">
        <w:trPr>
          <w:cantSplit/>
        </w:trPr>
        <w:tc>
          <w:tcPr>
            <w:tcW w:w="9576" w:type="dxa"/>
            <w:gridSpan w:val="4"/>
          </w:tcPr>
          <w:p w:rsidR="005236C8" w:rsidRPr="00982C2B" w:rsidRDefault="005236C8" w:rsidP="0061355E">
            <w:pPr>
              <w:pStyle w:val="SCCShortJudgment"/>
              <w:ind w:firstLine="0"/>
              <w:rPr>
                <w:rFonts w:cs="Times New Roman"/>
                <w:szCs w:val="20"/>
              </w:rPr>
            </w:pPr>
            <w:r w:rsidRPr="00982C2B">
              <w:rPr>
                <w:rFonts w:cs="Times New Roman"/>
                <w:szCs w:val="20"/>
              </w:rPr>
              <w:t>Civil procedure — Natural justice — Applicants’ action based breach of commercial lease dismissed — Whether applicants were denied natural justice by lower courts</w:t>
            </w:r>
          </w:p>
          <w:p w:rsidR="005236C8" w:rsidRPr="00982C2B" w:rsidRDefault="005236C8" w:rsidP="0061355E">
            <w:pPr>
              <w:pStyle w:val="SCCShortJudgment"/>
              <w:ind w:firstLine="0"/>
              <w:rPr>
                <w:rFonts w:cs="Times New Roman"/>
                <w:szCs w:val="20"/>
              </w:rPr>
            </w:pPr>
          </w:p>
        </w:tc>
      </w:tr>
      <w:tr w:rsidR="005236C8" w:rsidRPr="00982C2B" w:rsidTr="009D18B6">
        <w:trPr>
          <w:cantSplit/>
        </w:trPr>
        <w:tc>
          <w:tcPr>
            <w:tcW w:w="9576" w:type="dxa"/>
            <w:gridSpan w:val="4"/>
          </w:tcPr>
          <w:p w:rsidR="005236C8" w:rsidRPr="00982C2B" w:rsidRDefault="005236C8" w:rsidP="0061355E">
            <w:pPr>
              <w:jc w:val="both"/>
              <w:rPr>
                <w:rFonts w:cs="Times New Roman"/>
                <w:sz w:val="20"/>
                <w:szCs w:val="20"/>
              </w:rPr>
            </w:pPr>
            <w:r w:rsidRPr="00982C2B">
              <w:rPr>
                <w:rFonts w:cs="Times New Roman"/>
                <w:sz w:val="20"/>
                <w:szCs w:val="20"/>
              </w:rPr>
              <w:t>In January, 2005, the applicant, Mr. Mehta, entered into a commercial lease with the respondent, Indian Spice and Curry Inc. for a premises located in a retail mall. Mr. Mehta also provided a personal guarantee in the lease as part of their business arrangement. Under the lease, Mr. Mehta opened and operated a restaurant. The business ultimately failed and the landlord evicted the applicants for non-payment of rent in 2009. Mr. Mehta brought an action against the respondents alleging that the landlord and others had breached their exclusive right to sell certain types of food in the mall, causing the applicants to suffer damages in the form of lost profits. The landlord counterclaimed against Sirdi Sai Sweets Inc. under the lease and Mr. Mehta on the personal guarantee for arrears of rent.</w:t>
            </w:r>
          </w:p>
          <w:p w:rsidR="005236C8" w:rsidRPr="00982C2B" w:rsidRDefault="005236C8" w:rsidP="0061355E">
            <w:pPr>
              <w:pStyle w:val="SCCShortJudgment"/>
              <w:ind w:firstLine="0"/>
              <w:rPr>
                <w:rFonts w:cs="Times New Roman"/>
                <w:szCs w:val="20"/>
              </w:rPr>
            </w:pPr>
          </w:p>
        </w:tc>
      </w:tr>
      <w:tr w:rsidR="005236C8" w:rsidRPr="00982C2B" w:rsidTr="009D18B6">
        <w:trPr>
          <w:cantSplit/>
        </w:trPr>
        <w:tc>
          <w:tcPr>
            <w:tcW w:w="4410" w:type="dxa"/>
            <w:gridSpan w:val="2"/>
          </w:tcPr>
          <w:p w:rsidR="005236C8" w:rsidRPr="00982C2B" w:rsidRDefault="005236C8" w:rsidP="0061355E">
            <w:pPr>
              <w:jc w:val="both"/>
              <w:rPr>
                <w:rFonts w:cs="Times New Roman"/>
                <w:sz w:val="20"/>
                <w:szCs w:val="20"/>
              </w:rPr>
            </w:pPr>
            <w:r w:rsidRPr="00982C2B">
              <w:rPr>
                <w:rFonts w:cs="Times New Roman"/>
                <w:sz w:val="20"/>
                <w:szCs w:val="20"/>
              </w:rPr>
              <w:t>December 8 and 15, 2014</w:t>
            </w:r>
          </w:p>
          <w:p w:rsidR="005236C8" w:rsidRPr="00982C2B" w:rsidRDefault="005236C8" w:rsidP="0061355E">
            <w:pPr>
              <w:jc w:val="both"/>
              <w:rPr>
                <w:rFonts w:cs="Times New Roman"/>
                <w:sz w:val="20"/>
                <w:szCs w:val="20"/>
              </w:rPr>
            </w:pPr>
            <w:r w:rsidRPr="00982C2B">
              <w:rPr>
                <w:rFonts w:cs="Times New Roman"/>
                <w:sz w:val="20"/>
                <w:szCs w:val="20"/>
              </w:rPr>
              <w:t>Ontario Superior Court of Justice</w:t>
            </w:r>
          </w:p>
          <w:p w:rsidR="005236C8" w:rsidRPr="00982C2B" w:rsidRDefault="005236C8" w:rsidP="0061355E">
            <w:pPr>
              <w:jc w:val="both"/>
              <w:rPr>
                <w:rFonts w:cs="Times New Roman"/>
                <w:sz w:val="20"/>
                <w:szCs w:val="20"/>
              </w:rPr>
            </w:pPr>
            <w:r w:rsidRPr="00982C2B">
              <w:rPr>
                <w:rFonts w:cs="Times New Roman"/>
                <w:sz w:val="20"/>
                <w:szCs w:val="20"/>
              </w:rPr>
              <w:t>(Myers J.)</w:t>
            </w:r>
          </w:p>
          <w:p w:rsidR="005236C8" w:rsidRPr="00982C2B" w:rsidRDefault="009F3029" w:rsidP="0061355E">
            <w:pPr>
              <w:jc w:val="both"/>
              <w:rPr>
                <w:rFonts w:cs="Times New Roman"/>
                <w:sz w:val="20"/>
                <w:szCs w:val="20"/>
              </w:rPr>
            </w:pPr>
            <w:hyperlink r:id="rId46" w:history="1">
              <w:r w:rsidR="005236C8" w:rsidRPr="00982C2B">
                <w:rPr>
                  <w:rStyle w:val="Hyperlink"/>
                  <w:rFonts w:cs="Times New Roman"/>
                  <w:sz w:val="20"/>
                  <w:szCs w:val="20"/>
                </w:rPr>
                <w:t>2014 ONSC 7221</w:t>
              </w:r>
            </w:hyperlink>
          </w:p>
          <w:p w:rsidR="005236C8" w:rsidRPr="00982C2B" w:rsidRDefault="005236C8" w:rsidP="0061355E">
            <w:pPr>
              <w:jc w:val="both"/>
              <w:rPr>
                <w:rFonts w:cs="Times New Roman"/>
                <w:sz w:val="20"/>
                <w:szCs w:val="20"/>
              </w:rPr>
            </w:pPr>
          </w:p>
        </w:tc>
        <w:tc>
          <w:tcPr>
            <w:tcW w:w="630" w:type="dxa"/>
          </w:tcPr>
          <w:p w:rsidR="005236C8" w:rsidRPr="00982C2B" w:rsidRDefault="005236C8" w:rsidP="0061355E">
            <w:pPr>
              <w:pStyle w:val="SCCShortJudgment"/>
              <w:ind w:firstLine="0"/>
              <w:rPr>
                <w:rFonts w:cs="Times New Roman"/>
                <w:szCs w:val="20"/>
              </w:rPr>
            </w:pPr>
          </w:p>
        </w:tc>
        <w:tc>
          <w:tcPr>
            <w:tcW w:w="4536" w:type="dxa"/>
          </w:tcPr>
          <w:p w:rsidR="005236C8" w:rsidRPr="00982C2B" w:rsidRDefault="005236C8" w:rsidP="0061355E">
            <w:pPr>
              <w:jc w:val="both"/>
              <w:rPr>
                <w:rFonts w:cs="Times New Roman"/>
                <w:sz w:val="20"/>
                <w:szCs w:val="20"/>
              </w:rPr>
            </w:pPr>
            <w:r w:rsidRPr="00982C2B">
              <w:rPr>
                <w:rFonts w:cs="Times New Roman"/>
                <w:sz w:val="20"/>
                <w:szCs w:val="20"/>
              </w:rPr>
              <w:t>Applicants’ action dismissed; respondents’ counterclaim granted; applicants ordered to pay arrears of rent</w:t>
            </w:r>
          </w:p>
          <w:p w:rsidR="005236C8" w:rsidRPr="00982C2B" w:rsidRDefault="005236C8" w:rsidP="0061355E">
            <w:pPr>
              <w:jc w:val="both"/>
              <w:rPr>
                <w:rFonts w:cs="Times New Roman"/>
                <w:sz w:val="20"/>
                <w:szCs w:val="20"/>
              </w:rPr>
            </w:pPr>
          </w:p>
        </w:tc>
      </w:tr>
      <w:tr w:rsidR="005236C8" w:rsidRPr="00982C2B" w:rsidTr="009D18B6">
        <w:trPr>
          <w:cantSplit/>
        </w:trPr>
        <w:tc>
          <w:tcPr>
            <w:tcW w:w="4410" w:type="dxa"/>
            <w:gridSpan w:val="2"/>
          </w:tcPr>
          <w:p w:rsidR="005236C8" w:rsidRPr="00982C2B" w:rsidRDefault="005236C8" w:rsidP="0061355E">
            <w:pPr>
              <w:jc w:val="both"/>
              <w:rPr>
                <w:rFonts w:cs="Times New Roman"/>
                <w:sz w:val="20"/>
                <w:szCs w:val="20"/>
              </w:rPr>
            </w:pPr>
            <w:r w:rsidRPr="00982C2B">
              <w:rPr>
                <w:rFonts w:cs="Times New Roman"/>
                <w:sz w:val="20"/>
                <w:szCs w:val="20"/>
              </w:rPr>
              <w:t>June 30, 2015</w:t>
            </w:r>
          </w:p>
          <w:p w:rsidR="005236C8" w:rsidRPr="00982C2B" w:rsidRDefault="005236C8" w:rsidP="0061355E">
            <w:pPr>
              <w:jc w:val="both"/>
              <w:rPr>
                <w:rFonts w:cs="Times New Roman"/>
                <w:sz w:val="20"/>
                <w:szCs w:val="20"/>
              </w:rPr>
            </w:pPr>
            <w:r w:rsidRPr="00982C2B">
              <w:rPr>
                <w:rFonts w:cs="Times New Roman"/>
                <w:sz w:val="20"/>
                <w:szCs w:val="20"/>
              </w:rPr>
              <w:t>Court of Appeal for Ontario</w:t>
            </w:r>
          </w:p>
          <w:p w:rsidR="005236C8" w:rsidRPr="00982C2B" w:rsidRDefault="005236C8" w:rsidP="0061355E">
            <w:pPr>
              <w:jc w:val="both"/>
              <w:rPr>
                <w:rFonts w:cs="Times New Roman"/>
                <w:sz w:val="20"/>
                <w:szCs w:val="20"/>
              </w:rPr>
            </w:pPr>
            <w:r w:rsidRPr="00982C2B">
              <w:rPr>
                <w:rFonts w:cs="Times New Roman"/>
                <w:sz w:val="20"/>
                <w:szCs w:val="20"/>
              </w:rPr>
              <w:t>(Doherty, Pepall and Huscroft JJ.A.)</w:t>
            </w:r>
          </w:p>
          <w:p w:rsidR="005236C8" w:rsidRPr="00982C2B" w:rsidRDefault="009F3029" w:rsidP="0061355E">
            <w:pPr>
              <w:jc w:val="both"/>
              <w:rPr>
                <w:rFonts w:cs="Times New Roman"/>
                <w:sz w:val="20"/>
                <w:szCs w:val="20"/>
              </w:rPr>
            </w:pPr>
            <w:hyperlink r:id="rId47" w:history="1">
              <w:r w:rsidR="005236C8" w:rsidRPr="00982C2B">
                <w:rPr>
                  <w:rStyle w:val="Hyperlink"/>
                  <w:rFonts w:cs="Times New Roman"/>
                  <w:sz w:val="20"/>
                  <w:szCs w:val="20"/>
                </w:rPr>
                <w:t>2015 ONCA 502</w:t>
              </w:r>
            </w:hyperlink>
          </w:p>
          <w:p w:rsidR="005236C8" w:rsidRPr="00982C2B" w:rsidRDefault="005236C8" w:rsidP="0061355E">
            <w:pPr>
              <w:jc w:val="both"/>
              <w:rPr>
                <w:rFonts w:cs="Times New Roman"/>
                <w:sz w:val="20"/>
                <w:szCs w:val="20"/>
              </w:rPr>
            </w:pPr>
          </w:p>
        </w:tc>
        <w:tc>
          <w:tcPr>
            <w:tcW w:w="630" w:type="dxa"/>
          </w:tcPr>
          <w:p w:rsidR="005236C8" w:rsidRPr="00982C2B" w:rsidRDefault="005236C8" w:rsidP="0061355E">
            <w:pPr>
              <w:pStyle w:val="SCCShortJudgment"/>
              <w:ind w:firstLine="0"/>
              <w:rPr>
                <w:rFonts w:cs="Times New Roman"/>
                <w:szCs w:val="20"/>
              </w:rPr>
            </w:pPr>
          </w:p>
        </w:tc>
        <w:tc>
          <w:tcPr>
            <w:tcW w:w="4536" w:type="dxa"/>
          </w:tcPr>
          <w:p w:rsidR="005236C8" w:rsidRPr="00982C2B" w:rsidRDefault="005236C8" w:rsidP="0061355E">
            <w:pPr>
              <w:jc w:val="both"/>
              <w:rPr>
                <w:rFonts w:cs="Times New Roman"/>
                <w:sz w:val="20"/>
                <w:szCs w:val="20"/>
              </w:rPr>
            </w:pPr>
            <w:r w:rsidRPr="00982C2B">
              <w:rPr>
                <w:rFonts w:cs="Times New Roman"/>
                <w:sz w:val="20"/>
                <w:szCs w:val="20"/>
              </w:rPr>
              <w:t>Applicants’ appeal dismissed</w:t>
            </w:r>
          </w:p>
          <w:p w:rsidR="005236C8" w:rsidRPr="00982C2B" w:rsidRDefault="005236C8" w:rsidP="0061355E">
            <w:pPr>
              <w:jc w:val="both"/>
              <w:rPr>
                <w:rFonts w:cs="Times New Roman"/>
                <w:sz w:val="20"/>
                <w:szCs w:val="20"/>
              </w:rPr>
            </w:pPr>
          </w:p>
        </w:tc>
      </w:tr>
      <w:tr w:rsidR="005236C8" w:rsidRPr="00982C2B" w:rsidTr="009D18B6">
        <w:trPr>
          <w:cantSplit/>
        </w:trPr>
        <w:tc>
          <w:tcPr>
            <w:tcW w:w="4410" w:type="dxa"/>
            <w:gridSpan w:val="2"/>
          </w:tcPr>
          <w:p w:rsidR="005236C8" w:rsidRPr="00982C2B" w:rsidRDefault="005236C8" w:rsidP="0061355E">
            <w:pPr>
              <w:jc w:val="both"/>
              <w:rPr>
                <w:rFonts w:cs="Times New Roman"/>
                <w:sz w:val="20"/>
                <w:szCs w:val="20"/>
              </w:rPr>
            </w:pPr>
            <w:r w:rsidRPr="00982C2B">
              <w:rPr>
                <w:rFonts w:cs="Times New Roman"/>
                <w:sz w:val="20"/>
                <w:szCs w:val="20"/>
              </w:rPr>
              <w:t>September 29, 2015</w:t>
            </w:r>
          </w:p>
          <w:p w:rsidR="005236C8" w:rsidRPr="00982C2B" w:rsidRDefault="005236C8" w:rsidP="0061355E">
            <w:pPr>
              <w:jc w:val="both"/>
              <w:rPr>
                <w:rFonts w:cs="Times New Roman"/>
                <w:sz w:val="20"/>
                <w:szCs w:val="20"/>
              </w:rPr>
            </w:pPr>
            <w:r w:rsidRPr="00982C2B">
              <w:rPr>
                <w:rFonts w:cs="Times New Roman"/>
                <w:sz w:val="20"/>
                <w:szCs w:val="20"/>
              </w:rPr>
              <w:t>Supreme Court of Canada</w:t>
            </w:r>
          </w:p>
          <w:p w:rsidR="005236C8" w:rsidRPr="00982C2B" w:rsidRDefault="005236C8" w:rsidP="0061355E">
            <w:pPr>
              <w:jc w:val="both"/>
              <w:rPr>
                <w:rFonts w:cs="Times New Roman"/>
                <w:sz w:val="20"/>
                <w:szCs w:val="20"/>
              </w:rPr>
            </w:pPr>
          </w:p>
        </w:tc>
        <w:tc>
          <w:tcPr>
            <w:tcW w:w="630" w:type="dxa"/>
          </w:tcPr>
          <w:p w:rsidR="005236C8" w:rsidRPr="00982C2B" w:rsidRDefault="005236C8" w:rsidP="0061355E">
            <w:pPr>
              <w:pStyle w:val="SCCShortJudgment"/>
              <w:ind w:firstLine="0"/>
              <w:rPr>
                <w:rFonts w:cs="Times New Roman"/>
                <w:szCs w:val="20"/>
              </w:rPr>
            </w:pPr>
          </w:p>
        </w:tc>
        <w:tc>
          <w:tcPr>
            <w:tcW w:w="4536" w:type="dxa"/>
          </w:tcPr>
          <w:p w:rsidR="005236C8" w:rsidRPr="00982C2B" w:rsidRDefault="005236C8" w:rsidP="0061355E">
            <w:pPr>
              <w:jc w:val="both"/>
              <w:rPr>
                <w:rFonts w:cs="Times New Roman"/>
                <w:sz w:val="20"/>
                <w:szCs w:val="20"/>
              </w:rPr>
            </w:pPr>
            <w:r w:rsidRPr="00982C2B">
              <w:rPr>
                <w:rFonts w:cs="Times New Roman"/>
                <w:sz w:val="20"/>
                <w:szCs w:val="20"/>
              </w:rPr>
              <w:t>Application for leave to appeal filed</w:t>
            </w:r>
          </w:p>
          <w:p w:rsidR="005236C8" w:rsidRPr="00982C2B" w:rsidRDefault="005236C8" w:rsidP="0061355E">
            <w:pPr>
              <w:jc w:val="both"/>
              <w:rPr>
                <w:rFonts w:cs="Times New Roman"/>
                <w:sz w:val="20"/>
                <w:szCs w:val="20"/>
              </w:rPr>
            </w:pPr>
          </w:p>
        </w:tc>
      </w:tr>
      <w:tr w:rsidR="005236C8" w:rsidRPr="00982C2B" w:rsidTr="009D18B6">
        <w:trPr>
          <w:cantSplit/>
        </w:trPr>
        <w:tc>
          <w:tcPr>
            <w:tcW w:w="9576" w:type="dxa"/>
            <w:gridSpan w:val="4"/>
          </w:tcPr>
          <w:p w:rsidR="005236C8" w:rsidRPr="00982C2B" w:rsidRDefault="009F3029" w:rsidP="0061355E">
            <w:pPr>
              <w:pStyle w:val="SCCShortJudgment"/>
              <w:ind w:firstLine="0"/>
              <w:rPr>
                <w:rFonts w:cs="Times New Roman"/>
                <w:szCs w:val="20"/>
                <w:lang w:val="fr-CA"/>
              </w:rPr>
            </w:pPr>
            <w:r>
              <w:rPr>
                <w:rFonts w:cs="Times New Roman"/>
                <w:szCs w:val="20"/>
                <w:lang w:val="fr-CA"/>
              </w:rPr>
              <w:pict>
                <v:rect id="_x0000_i1055" style="width:2in;height:1pt" o:hrpct="0" o:hralign="center" o:hrstd="t" o:hrnoshade="t" o:hr="t" fillcolor="black [3213]" stroked="f"/>
              </w:pict>
            </w:r>
          </w:p>
          <w:p w:rsidR="005236C8" w:rsidRPr="00982C2B" w:rsidRDefault="005236C8" w:rsidP="0061355E">
            <w:pPr>
              <w:pStyle w:val="SCCShortJudgment"/>
              <w:ind w:firstLine="0"/>
              <w:rPr>
                <w:rFonts w:cs="Times New Roman"/>
                <w:szCs w:val="20"/>
                <w:lang w:val="fr-CA"/>
              </w:rPr>
            </w:pPr>
          </w:p>
        </w:tc>
      </w:tr>
      <w:tr w:rsidR="005236C8" w:rsidRPr="00982C2B" w:rsidTr="009D18B6">
        <w:trPr>
          <w:cantSplit/>
        </w:trPr>
        <w:tc>
          <w:tcPr>
            <w:tcW w:w="9576" w:type="dxa"/>
            <w:gridSpan w:val="4"/>
          </w:tcPr>
          <w:p w:rsidR="005236C8" w:rsidRPr="00982C2B" w:rsidRDefault="005236C8" w:rsidP="0061355E">
            <w:pPr>
              <w:pStyle w:val="SCCShortJudgment"/>
              <w:ind w:firstLine="0"/>
              <w:rPr>
                <w:rFonts w:cs="Times New Roman"/>
                <w:szCs w:val="20"/>
                <w:u w:val="single"/>
                <w:lang w:val="fr-CA"/>
              </w:rPr>
            </w:pPr>
            <w:r w:rsidRPr="00982C2B">
              <w:rPr>
                <w:rFonts w:cs="Times New Roman"/>
                <w:szCs w:val="20"/>
                <w:u w:val="single"/>
                <w:lang w:val="fr-CA"/>
              </w:rPr>
              <w:t>RÉSUMÉ DE L’AFFAIRE </w:t>
            </w:r>
          </w:p>
          <w:p w:rsidR="005236C8" w:rsidRPr="00982C2B" w:rsidRDefault="005236C8" w:rsidP="0061355E">
            <w:pPr>
              <w:pStyle w:val="SCCShortJudgment"/>
              <w:ind w:firstLine="0"/>
              <w:rPr>
                <w:rFonts w:cs="Times New Roman"/>
                <w:szCs w:val="20"/>
                <w:u w:val="single"/>
                <w:lang w:val="fr-CA"/>
              </w:rPr>
            </w:pPr>
          </w:p>
        </w:tc>
      </w:tr>
      <w:tr w:rsidR="005236C8" w:rsidRPr="009F3029" w:rsidTr="002C243F">
        <w:tc>
          <w:tcPr>
            <w:tcW w:w="9576" w:type="dxa"/>
            <w:gridSpan w:val="4"/>
          </w:tcPr>
          <w:p w:rsidR="005236C8" w:rsidRPr="00982C2B" w:rsidRDefault="005236C8" w:rsidP="0061355E">
            <w:pPr>
              <w:pStyle w:val="SCCShortJudgment"/>
              <w:ind w:firstLine="0"/>
              <w:rPr>
                <w:rFonts w:cs="Times New Roman"/>
                <w:szCs w:val="20"/>
                <w:lang w:val="fr-CA"/>
              </w:rPr>
            </w:pPr>
            <w:r w:rsidRPr="00982C2B">
              <w:rPr>
                <w:rFonts w:cs="Times New Roman"/>
                <w:szCs w:val="20"/>
                <w:lang w:val="fr-CA"/>
              </w:rPr>
              <w:t>Procédure civile — Justice naturelle — Rejet de l’action des demandeurs fondée sur la violation d’un bail commercial — Les juridictions inférieures ont-elles commis un déni de justice naturelle à l’endroit des demandeurs?</w:t>
            </w:r>
          </w:p>
          <w:p w:rsidR="005236C8" w:rsidRPr="00982C2B" w:rsidRDefault="005236C8" w:rsidP="0061355E">
            <w:pPr>
              <w:pStyle w:val="SCCShortJudgment"/>
              <w:ind w:firstLine="0"/>
              <w:rPr>
                <w:rFonts w:cs="Times New Roman"/>
                <w:szCs w:val="20"/>
                <w:u w:val="single"/>
                <w:lang w:val="fr-CA"/>
              </w:rPr>
            </w:pPr>
          </w:p>
        </w:tc>
      </w:tr>
      <w:tr w:rsidR="005236C8" w:rsidRPr="009F3029" w:rsidTr="002C243F">
        <w:tc>
          <w:tcPr>
            <w:tcW w:w="9576" w:type="dxa"/>
            <w:gridSpan w:val="4"/>
          </w:tcPr>
          <w:p w:rsidR="005236C8" w:rsidRPr="00982C2B" w:rsidRDefault="005236C8" w:rsidP="0061355E">
            <w:pPr>
              <w:jc w:val="both"/>
              <w:rPr>
                <w:rFonts w:cs="Times New Roman"/>
                <w:sz w:val="20"/>
                <w:szCs w:val="20"/>
                <w:u w:val="single"/>
                <w:lang w:val="fr-CA"/>
              </w:rPr>
            </w:pPr>
            <w:r w:rsidRPr="00982C2B">
              <w:rPr>
                <w:rFonts w:cs="Times New Roman"/>
                <w:sz w:val="20"/>
                <w:szCs w:val="20"/>
                <w:lang w:val="fr-CA"/>
              </w:rPr>
              <w:t>En janvier 2005, le demandeur, M. Mehta, a conclu un bail commercial avec l’intimée, Indian Spice and Curry Inc., ayant pour objet des locaux situés dans un centre commercial. Monsieur Mehta avait également fourni un cautionnement personnel dans le bail dans le cadre de leur arrangement commercial. En exécution du bail, M. Mehta a ouvert et exploité un restaurant. L’entreprise a fini par faire faillite et le locateur a évincé les demandeurs pour non-paiement de loyer en 2009. Monsieur Mehta a intenté une action contre les intimés, alléguant que le locateur et d’autres avaient violé le droit exclusif des demandeurs de vendre certains types de nourriture dans le centre commercial, leur causant un préjudice sous forme de manque à gagner. Le locateur a intenté une action reconventionnelle contre Sirdi Sai Sweets Inc. en exécution du bail et contre M. Mehta sur le fondement du cautionnement personnel pour les arriérés de loyer.</w:t>
            </w:r>
          </w:p>
        </w:tc>
      </w:tr>
      <w:tr w:rsidR="005236C8" w:rsidRPr="009F3029" w:rsidTr="009D18B6">
        <w:trPr>
          <w:cantSplit/>
        </w:trPr>
        <w:tc>
          <w:tcPr>
            <w:tcW w:w="9576" w:type="dxa"/>
            <w:gridSpan w:val="4"/>
          </w:tcPr>
          <w:p w:rsidR="005236C8" w:rsidRPr="00982C2B" w:rsidRDefault="005236C8" w:rsidP="0061355E">
            <w:pPr>
              <w:pStyle w:val="SCCShortJudgment"/>
              <w:ind w:firstLine="0"/>
              <w:rPr>
                <w:rFonts w:cs="Times New Roman"/>
                <w:szCs w:val="20"/>
                <w:u w:val="single"/>
                <w:lang w:val="fr-CA"/>
              </w:rPr>
            </w:pPr>
          </w:p>
        </w:tc>
      </w:tr>
      <w:tr w:rsidR="005236C8" w:rsidRPr="009F3029" w:rsidTr="009D18B6">
        <w:trPr>
          <w:cantSplit/>
        </w:trPr>
        <w:tc>
          <w:tcPr>
            <w:tcW w:w="4410" w:type="dxa"/>
            <w:gridSpan w:val="2"/>
          </w:tcPr>
          <w:p w:rsidR="005236C8" w:rsidRPr="00982C2B" w:rsidRDefault="005236C8" w:rsidP="0061355E">
            <w:pPr>
              <w:jc w:val="both"/>
              <w:rPr>
                <w:rFonts w:cs="Times New Roman"/>
                <w:sz w:val="20"/>
                <w:szCs w:val="20"/>
                <w:lang w:val="fr-CA"/>
              </w:rPr>
            </w:pPr>
            <w:r w:rsidRPr="00982C2B">
              <w:rPr>
                <w:rFonts w:cs="Times New Roman"/>
                <w:sz w:val="20"/>
                <w:szCs w:val="20"/>
                <w:lang w:val="fr-CA"/>
              </w:rPr>
              <w:t>8 et 15 décembre 2014</w:t>
            </w:r>
          </w:p>
          <w:p w:rsidR="005236C8" w:rsidRPr="00982C2B" w:rsidRDefault="005236C8" w:rsidP="0061355E">
            <w:pPr>
              <w:jc w:val="both"/>
              <w:rPr>
                <w:rFonts w:cs="Times New Roman"/>
                <w:sz w:val="20"/>
                <w:szCs w:val="20"/>
                <w:lang w:val="fr-CA"/>
              </w:rPr>
            </w:pPr>
            <w:r w:rsidRPr="00982C2B">
              <w:rPr>
                <w:rFonts w:cs="Times New Roman"/>
                <w:sz w:val="20"/>
                <w:szCs w:val="20"/>
                <w:lang w:val="fr-CA"/>
              </w:rPr>
              <w:t xml:space="preserve">Cour supérieure de justice de l’Ontario </w:t>
            </w:r>
          </w:p>
          <w:p w:rsidR="005236C8" w:rsidRPr="00982C2B" w:rsidRDefault="005236C8" w:rsidP="0061355E">
            <w:pPr>
              <w:jc w:val="both"/>
              <w:rPr>
                <w:rFonts w:cs="Times New Roman"/>
                <w:sz w:val="20"/>
                <w:szCs w:val="20"/>
                <w:lang w:val="fr-CA"/>
              </w:rPr>
            </w:pPr>
            <w:r w:rsidRPr="00982C2B">
              <w:rPr>
                <w:rFonts w:cs="Times New Roman"/>
                <w:sz w:val="20"/>
                <w:szCs w:val="20"/>
                <w:lang w:val="fr-CA"/>
              </w:rPr>
              <w:t>(Juge Myers)</w:t>
            </w:r>
          </w:p>
          <w:p w:rsidR="005236C8" w:rsidRPr="00982C2B" w:rsidRDefault="009F3029" w:rsidP="0061355E">
            <w:pPr>
              <w:jc w:val="both"/>
              <w:rPr>
                <w:rFonts w:cs="Times New Roman"/>
                <w:sz w:val="20"/>
                <w:szCs w:val="20"/>
                <w:lang w:val="fr-CA"/>
              </w:rPr>
            </w:pPr>
            <w:hyperlink r:id="rId48" w:history="1">
              <w:r w:rsidR="005236C8" w:rsidRPr="00982C2B">
                <w:rPr>
                  <w:rStyle w:val="Hyperlink"/>
                  <w:rFonts w:cs="Times New Roman"/>
                  <w:sz w:val="20"/>
                  <w:szCs w:val="20"/>
                  <w:lang w:val="fr-CA"/>
                </w:rPr>
                <w:t>2014 ONSC 7221</w:t>
              </w:r>
            </w:hyperlink>
          </w:p>
          <w:p w:rsidR="005236C8" w:rsidRPr="00982C2B" w:rsidRDefault="005236C8" w:rsidP="0061355E">
            <w:pPr>
              <w:pStyle w:val="SCCShortJudgment"/>
              <w:ind w:firstLine="0"/>
              <w:rPr>
                <w:rFonts w:cs="Times New Roman"/>
                <w:szCs w:val="20"/>
                <w:u w:val="single"/>
                <w:lang w:val="fr-CA"/>
              </w:rPr>
            </w:pPr>
          </w:p>
        </w:tc>
        <w:tc>
          <w:tcPr>
            <w:tcW w:w="630" w:type="dxa"/>
          </w:tcPr>
          <w:p w:rsidR="005236C8" w:rsidRPr="00982C2B" w:rsidRDefault="005236C8" w:rsidP="0061355E">
            <w:pPr>
              <w:pStyle w:val="SCCShortJudgment"/>
              <w:ind w:firstLine="0"/>
              <w:rPr>
                <w:rFonts w:cs="Times New Roman"/>
                <w:szCs w:val="20"/>
                <w:u w:val="single"/>
                <w:lang w:val="fr-CA"/>
              </w:rPr>
            </w:pPr>
          </w:p>
        </w:tc>
        <w:tc>
          <w:tcPr>
            <w:tcW w:w="4536" w:type="dxa"/>
          </w:tcPr>
          <w:p w:rsidR="005236C8" w:rsidRPr="00982C2B" w:rsidRDefault="005236C8" w:rsidP="0061355E">
            <w:pPr>
              <w:jc w:val="both"/>
              <w:rPr>
                <w:rFonts w:cs="Times New Roman"/>
                <w:sz w:val="20"/>
                <w:szCs w:val="20"/>
                <w:lang w:val="fr-CA"/>
              </w:rPr>
            </w:pPr>
            <w:r w:rsidRPr="00982C2B">
              <w:rPr>
                <w:rFonts w:cs="Times New Roman"/>
                <w:sz w:val="20"/>
                <w:szCs w:val="20"/>
                <w:lang w:val="fr-CA"/>
              </w:rPr>
              <w:t>Rejet de l’action des demandeurs; jugement accueillant la demande reconventionnelle des intimés et ordonnant aux demandeurs de payer les arriérés de loyer</w:t>
            </w:r>
          </w:p>
          <w:p w:rsidR="005236C8" w:rsidRPr="00982C2B" w:rsidRDefault="005236C8" w:rsidP="0061355E">
            <w:pPr>
              <w:pStyle w:val="SCCShortJudgment"/>
              <w:ind w:firstLine="0"/>
              <w:rPr>
                <w:rFonts w:cs="Times New Roman"/>
                <w:szCs w:val="20"/>
                <w:u w:val="single"/>
                <w:lang w:val="fr-CA"/>
              </w:rPr>
            </w:pPr>
          </w:p>
        </w:tc>
      </w:tr>
      <w:tr w:rsidR="005236C8" w:rsidRPr="00982C2B" w:rsidTr="009D18B6">
        <w:trPr>
          <w:cantSplit/>
        </w:trPr>
        <w:tc>
          <w:tcPr>
            <w:tcW w:w="4410" w:type="dxa"/>
            <w:gridSpan w:val="2"/>
          </w:tcPr>
          <w:p w:rsidR="005236C8" w:rsidRPr="00982C2B" w:rsidRDefault="005236C8" w:rsidP="0061355E">
            <w:pPr>
              <w:jc w:val="both"/>
              <w:rPr>
                <w:rFonts w:cs="Times New Roman"/>
                <w:sz w:val="20"/>
                <w:szCs w:val="20"/>
                <w:lang w:val="fr-CA"/>
              </w:rPr>
            </w:pPr>
            <w:r w:rsidRPr="00982C2B">
              <w:rPr>
                <w:rFonts w:cs="Times New Roman"/>
                <w:sz w:val="20"/>
                <w:szCs w:val="20"/>
                <w:lang w:val="fr-CA"/>
              </w:rPr>
              <w:t>30 juin 2015</w:t>
            </w:r>
          </w:p>
          <w:p w:rsidR="005236C8" w:rsidRPr="00982C2B" w:rsidRDefault="005236C8" w:rsidP="0061355E">
            <w:pPr>
              <w:jc w:val="both"/>
              <w:rPr>
                <w:rFonts w:cs="Times New Roman"/>
                <w:sz w:val="20"/>
                <w:szCs w:val="20"/>
                <w:lang w:val="fr-CA"/>
              </w:rPr>
            </w:pPr>
            <w:r w:rsidRPr="00982C2B">
              <w:rPr>
                <w:rFonts w:cs="Times New Roman"/>
                <w:sz w:val="20"/>
                <w:szCs w:val="20"/>
                <w:lang w:val="fr-CA"/>
              </w:rPr>
              <w:t xml:space="preserve">Cour d’appel de l’Ontario </w:t>
            </w:r>
          </w:p>
          <w:p w:rsidR="005236C8" w:rsidRPr="00982C2B" w:rsidRDefault="005236C8" w:rsidP="0061355E">
            <w:pPr>
              <w:jc w:val="both"/>
              <w:rPr>
                <w:rFonts w:cs="Times New Roman"/>
                <w:sz w:val="20"/>
                <w:szCs w:val="20"/>
                <w:lang w:val="fr-CA"/>
              </w:rPr>
            </w:pPr>
            <w:r w:rsidRPr="00982C2B">
              <w:rPr>
                <w:rFonts w:cs="Times New Roman"/>
                <w:sz w:val="20"/>
                <w:szCs w:val="20"/>
                <w:lang w:val="fr-CA"/>
              </w:rPr>
              <w:t>(Juges Doherty, Pepall et Huscroft)</w:t>
            </w:r>
          </w:p>
          <w:p w:rsidR="005236C8" w:rsidRPr="00982C2B" w:rsidRDefault="009F3029" w:rsidP="0061355E">
            <w:pPr>
              <w:jc w:val="both"/>
              <w:rPr>
                <w:rFonts w:cs="Times New Roman"/>
                <w:sz w:val="20"/>
                <w:szCs w:val="20"/>
                <w:lang w:val="fr-CA"/>
              </w:rPr>
            </w:pPr>
            <w:hyperlink r:id="rId49" w:history="1">
              <w:r w:rsidR="005236C8" w:rsidRPr="00982C2B">
                <w:rPr>
                  <w:rStyle w:val="Hyperlink"/>
                  <w:rFonts w:cs="Times New Roman"/>
                  <w:sz w:val="20"/>
                  <w:szCs w:val="20"/>
                  <w:lang w:val="fr-CA"/>
                </w:rPr>
                <w:t>2015 ONCA 502</w:t>
              </w:r>
            </w:hyperlink>
          </w:p>
          <w:p w:rsidR="005236C8" w:rsidRPr="00982C2B" w:rsidRDefault="005236C8" w:rsidP="0061355E">
            <w:pPr>
              <w:pStyle w:val="SCCShortJudgment"/>
              <w:ind w:firstLine="0"/>
              <w:rPr>
                <w:rFonts w:cs="Times New Roman"/>
                <w:szCs w:val="20"/>
                <w:u w:val="single"/>
                <w:lang w:val="fr-CA"/>
              </w:rPr>
            </w:pPr>
          </w:p>
        </w:tc>
        <w:tc>
          <w:tcPr>
            <w:tcW w:w="630" w:type="dxa"/>
          </w:tcPr>
          <w:p w:rsidR="005236C8" w:rsidRPr="00982C2B" w:rsidRDefault="005236C8" w:rsidP="0061355E">
            <w:pPr>
              <w:pStyle w:val="SCCShortJudgment"/>
              <w:ind w:firstLine="0"/>
              <w:rPr>
                <w:rFonts w:cs="Times New Roman"/>
                <w:szCs w:val="20"/>
                <w:u w:val="single"/>
                <w:lang w:val="fr-CA"/>
              </w:rPr>
            </w:pPr>
          </w:p>
        </w:tc>
        <w:tc>
          <w:tcPr>
            <w:tcW w:w="4536" w:type="dxa"/>
          </w:tcPr>
          <w:p w:rsidR="005236C8" w:rsidRPr="00982C2B" w:rsidRDefault="005236C8" w:rsidP="0061355E">
            <w:pPr>
              <w:jc w:val="both"/>
              <w:rPr>
                <w:rFonts w:cs="Times New Roman"/>
                <w:sz w:val="20"/>
                <w:szCs w:val="20"/>
                <w:lang w:val="fr-CA"/>
              </w:rPr>
            </w:pPr>
            <w:r w:rsidRPr="00982C2B">
              <w:rPr>
                <w:rFonts w:cs="Times New Roman"/>
                <w:sz w:val="20"/>
                <w:szCs w:val="20"/>
                <w:lang w:val="fr-CA"/>
              </w:rPr>
              <w:t>Rejet de l’appel des demandeurs</w:t>
            </w:r>
          </w:p>
          <w:p w:rsidR="005236C8" w:rsidRPr="00982C2B" w:rsidRDefault="005236C8" w:rsidP="0061355E">
            <w:pPr>
              <w:pStyle w:val="SCCShortJudgment"/>
              <w:ind w:firstLine="0"/>
              <w:rPr>
                <w:rFonts w:cs="Times New Roman"/>
                <w:szCs w:val="20"/>
                <w:u w:val="single"/>
                <w:lang w:val="fr-CA"/>
              </w:rPr>
            </w:pPr>
          </w:p>
        </w:tc>
      </w:tr>
      <w:tr w:rsidR="005236C8" w:rsidRPr="009F3029" w:rsidTr="009D18B6">
        <w:trPr>
          <w:cantSplit/>
        </w:trPr>
        <w:tc>
          <w:tcPr>
            <w:tcW w:w="4410" w:type="dxa"/>
            <w:gridSpan w:val="2"/>
          </w:tcPr>
          <w:p w:rsidR="005236C8" w:rsidRPr="00982C2B" w:rsidRDefault="005236C8" w:rsidP="0061355E">
            <w:pPr>
              <w:jc w:val="both"/>
              <w:rPr>
                <w:rFonts w:cs="Times New Roman"/>
                <w:sz w:val="20"/>
                <w:szCs w:val="20"/>
                <w:lang w:val="fr-CA"/>
              </w:rPr>
            </w:pPr>
            <w:r w:rsidRPr="00982C2B">
              <w:rPr>
                <w:rFonts w:cs="Times New Roman"/>
                <w:sz w:val="20"/>
                <w:szCs w:val="20"/>
                <w:lang w:val="fr-CA"/>
              </w:rPr>
              <w:t>29 septembre 2015</w:t>
            </w:r>
          </w:p>
          <w:p w:rsidR="005236C8" w:rsidRPr="00982C2B" w:rsidRDefault="005236C8" w:rsidP="006135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5236C8" w:rsidRPr="00982C2B" w:rsidRDefault="005236C8" w:rsidP="0061355E">
            <w:pPr>
              <w:pStyle w:val="SCCShortJudgment"/>
              <w:ind w:firstLine="0"/>
              <w:rPr>
                <w:rFonts w:cs="Times New Roman"/>
                <w:szCs w:val="20"/>
                <w:u w:val="single"/>
                <w:lang w:val="fr-CA"/>
              </w:rPr>
            </w:pPr>
          </w:p>
        </w:tc>
        <w:tc>
          <w:tcPr>
            <w:tcW w:w="4536" w:type="dxa"/>
          </w:tcPr>
          <w:p w:rsidR="005236C8" w:rsidRPr="00982C2B" w:rsidRDefault="005236C8" w:rsidP="0061355E">
            <w:pPr>
              <w:pStyle w:val="SCCShortJudgment"/>
              <w:ind w:firstLine="0"/>
              <w:rPr>
                <w:rFonts w:cs="Times New Roman"/>
                <w:szCs w:val="20"/>
                <w:u w:val="single"/>
                <w:lang w:val="fr-CA"/>
              </w:rPr>
            </w:pPr>
            <w:r w:rsidRPr="00982C2B">
              <w:rPr>
                <w:rFonts w:cs="Times New Roman"/>
                <w:szCs w:val="20"/>
                <w:lang w:val="fr-CA"/>
              </w:rPr>
              <w:t>Dépôt de la demande d’autorisation d’appel</w:t>
            </w:r>
          </w:p>
        </w:tc>
      </w:tr>
    </w:tbl>
    <w:p w:rsidR="00E21ABE" w:rsidRPr="00982C2B" w:rsidRDefault="009F3029" w:rsidP="008D292F">
      <w:pPr>
        <w:rPr>
          <w:rFonts w:cs="Times New Roman"/>
          <w:sz w:val="20"/>
          <w:szCs w:val="20"/>
          <w:lang w:val="fr-CA"/>
        </w:rPr>
      </w:pPr>
      <w:r>
        <w:rPr>
          <w:rFonts w:cs="Times New Roman"/>
          <w:sz w:val="20"/>
          <w:szCs w:val="20"/>
          <w:lang w:val="fr-CA"/>
        </w:rPr>
        <w:pict>
          <v:rect id="_x0000_i1056" style="width:2in;height:1pt" o:hrpct="0" o:hralign="center" o:hrstd="t" o:hrnoshade="t" o:hr="t" fillcolor="black [3213]" stroked="f"/>
        </w:pict>
      </w:r>
    </w:p>
    <w:p w:rsidR="00890FEB" w:rsidRPr="00982C2B" w:rsidRDefault="00890FEB" w:rsidP="008D292F">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905CF" w:rsidRPr="00982C2B" w:rsidTr="008905CF">
        <w:tc>
          <w:tcPr>
            <w:tcW w:w="1458" w:type="dxa"/>
          </w:tcPr>
          <w:p w:rsidR="008905CF" w:rsidRPr="00982C2B" w:rsidRDefault="008905CF" w:rsidP="0061355E">
            <w:pPr>
              <w:jc w:val="both"/>
              <w:rPr>
                <w:rFonts w:cs="Times New Roman"/>
                <w:sz w:val="20"/>
                <w:szCs w:val="20"/>
              </w:rPr>
            </w:pPr>
            <w:bookmarkStart w:id="2" w:name="_GoBack"/>
            <w:r w:rsidRPr="00982C2B">
              <w:rPr>
                <w:rStyle w:val="SCCFileNumberChar"/>
                <w:sz w:val="20"/>
                <w:szCs w:val="20"/>
              </w:rPr>
              <w:t>36693</w:t>
            </w:r>
            <w:bookmarkEnd w:id="2"/>
          </w:p>
          <w:p w:rsidR="008905CF" w:rsidRPr="00982C2B" w:rsidRDefault="008905CF" w:rsidP="0061355E">
            <w:pPr>
              <w:jc w:val="both"/>
              <w:rPr>
                <w:rFonts w:cs="Times New Roman"/>
                <w:b/>
                <w:sz w:val="20"/>
                <w:szCs w:val="20"/>
              </w:rPr>
            </w:pPr>
          </w:p>
        </w:tc>
        <w:tc>
          <w:tcPr>
            <w:tcW w:w="8118" w:type="dxa"/>
            <w:gridSpan w:val="3"/>
          </w:tcPr>
          <w:p w:rsidR="008905CF" w:rsidRPr="00982C2B" w:rsidRDefault="008905CF" w:rsidP="0061355E">
            <w:pPr>
              <w:jc w:val="both"/>
              <w:rPr>
                <w:rFonts w:cs="Times New Roman"/>
                <w:sz w:val="20"/>
                <w:szCs w:val="20"/>
              </w:rPr>
            </w:pPr>
            <w:r w:rsidRPr="00982C2B">
              <w:rPr>
                <w:rStyle w:val="SCCLsocChar"/>
                <w:rFonts w:cs="Times New Roman"/>
                <w:sz w:val="20"/>
                <w:szCs w:val="20"/>
                <w:lang w:val="en-CA"/>
              </w:rPr>
              <w:t>Powe</w:t>
            </w:r>
            <w:r w:rsidR="009F3029">
              <w:rPr>
                <w:rStyle w:val="SCCLsocChar"/>
                <w:rFonts w:cs="Times New Roman"/>
                <w:sz w:val="20"/>
                <w:szCs w:val="20"/>
                <w:lang w:val="en-CA"/>
              </w:rPr>
              <w:t>ll</w:t>
            </w:r>
            <w:r w:rsidRPr="00982C2B">
              <w:rPr>
                <w:rStyle w:val="SCCLsocChar"/>
                <w:rFonts w:cs="Times New Roman"/>
                <w:sz w:val="20"/>
                <w:szCs w:val="20"/>
                <w:lang w:val="en-CA"/>
              </w:rPr>
              <w:t xml:space="preserve"> River Energy Inc. and Catalyst Paper Corporation v. Her Majesty the Queen in Right of the Province of British Columbia</w:t>
            </w:r>
            <w:r w:rsidRPr="00982C2B">
              <w:rPr>
                <w:rStyle w:val="SCCLsocChar"/>
                <w:rFonts w:cs="Times New Roman"/>
                <w:sz w:val="20"/>
                <w:szCs w:val="20"/>
                <w:u w:val="none"/>
                <w:lang w:val="en-CA"/>
              </w:rPr>
              <w:t xml:space="preserve"> </w:t>
            </w:r>
            <w:r w:rsidRPr="00982C2B">
              <w:rPr>
                <w:rFonts w:cs="Times New Roman"/>
                <w:sz w:val="20"/>
                <w:szCs w:val="20"/>
              </w:rPr>
              <w:t>(B.C.) (Civil) (By Leave)</w:t>
            </w:r>
          </w:p>
          <w:p w:rsidR="008905CF" w:rsidRPr="00982C2B" w:rsidRDefault="008905CF" w:rsidP="0061355E">
            <w:pPr>
              <w:jc w:val="both"/>
              <w:rPr>
                <w:rFonts w:cs="Times New Roman"/>
                <w:sz w:val="20"/>
                <w:szCs w:val="20"/>
              </w:rPr>
            </w:pPr>
          </w:p>
        </w:tc>
      </w:tr>
      <w:tr w:rsidR="008905CF" w:rsidRPr="00982C2B" w:rsidTr="008905CF">
        <w:tc>
          <w:tcPr>
            <w:tcW w:w="1458" w:type="dxa"/>
          </w:tcPr>
          <w:p w:rsidR="008905CF" w:rsidRPr="00982C2B" w:rsidRDefault="008905CF" w:rsidP="0061355E">
            <w:pPr>
              <w:jc w:val="both"/>
              <w:rPr>
                <w:rFonts w:cs="Times New Roman"/>
                <w:sz w:val="20"/>
                <w:szCs w:val="20"/>
              </w:rPr>
            </w:pPr>
            <w:r w:rsidRPr="00982C2B">
              <w:rPr>
                <w:rFonts w:cs="Times New Roman"/>
                <w:sz w:val="20"/>
                <w:szCs w:val="20"/>
              </w:rPr>
              <w:t>Coram :</w:t>
            </w:r>
          </w:p>
        </w:tc>
        <w:tc>
          <w:tcPr>
            <w:tcW w:w="8118" w:type="dxa"/>
            <w:gridSpan w:val="3"/>
          </w:tcPr>
          <w:p w:rsidR="008905CF" w:rsidRPr="00982C2B" w:rsidRDefault="008905CF" w:rsidP="0061355E">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8905CF" w:rsidRPr="00982C2B" w:rsidRDefault="008905CF" w:rsidP="0061355E">
            <w:pPr>
              <w:jc w:val="both"/>
              <w:rPr>
                <w:rFonts w:cs="Times New Roman"/>
                <w:sz w:val="20"/>
                <w:szCs w:val="20"/>
                <w:u w:val="single"/>
              </w:rPr>
            </w:pPr>
          </w:p>
        </w:tc>
      </w:tr>
      <w:tr w:rsidR="008905CF" w:rsidRPr="009F3029" w:rsidTr="008905CF">
        <w:tc>
          <w:tcPr>
            <w:tcW w:w="9576" w:type="dxa"/>
            <w:gridSpan w:val="4"/>
          </w:tcPr>
          <w:p w:rsidR="008905CF" w:rsidRPr="00982C2B" w:rsidRDefault="008905CF" w:rsidP="0061355E">
            <w:pPr>
              <w:pStyle w:val="SCCShortJudgment"/>
              <w:ind w:firstLine="0"/>
              <w:rPr>
                <w:rFonts w:cs="Times New Roman"/>
                <w:szCs w:val="20"/>
              </w:rPr>
            </w:pPr>
            <w:r w:rsidRPr="00982C2B">
              <w:rPr>
                <w:rFonts w:cs="Times New Roman"/>
                <w:szCs w:val="20"/>
              </w:rPr>
              <w:tab/>
              <w:t>The motion for an extension of time to serve and file the application for leave to appeal is granted. The application for leave to appeal from the judgment of the Court of Appeal for British Columbia (Vancouver), Numbers CA41610, CA41611, CA41612 and CA41613, 2015 BCCA 372, dated February 4, 2015, is dismissed with costs.</w:t>
            </w:r>
          </w:p>
          <w:p w:rsidR="008905CF" w:rsidRPr="00982C2B" w:rsidRDefault="008905CF" w:rsidP="0061355E">
            <w:pPr>
              <w:pStyle w:val="SCCShortJudgment"/>
              <w:ind w:firstLine="0"/>
              <w:rPr>
                <w:rFonts w:cs="Times New Roman"/>
                <w:szCs w:val="20"/>
              </w:rPr>
            </w:pPr>
          </w:p>
          <w:p w:rsidR="008905CF" w:rsidRPr="00982C2B" w:rsidRDefault="008905CF" w:rsidP="0061355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requête en prorogation du délai de signification et de dépôt de la demande d’autorisation d’appel est accueillie. La demande d’autorisation d’appel de l’arrêt de la </w:t>
            </w:r>
            <w:r w:rsidRPr="00982C2B">
              <w:rPr>
                <w:rFonts w:cs="Times New Roman"/>
                <w:szCs w:val="20"/>
                <w:lang w:val="fr-FR"/>
              </w:rPr>
              <w:t>Cour d’appel de la Colombie-Britannique (Vancouver)</w:t>
            </w:r>
            <w:r w:rsidRPr="00982C2B">
              <w:rPr>
                <w:rFonts w:cs="Times New Roman"/>
                <w:szCs w:val="20"/>
                <w:lang w:val="fr-CA"/>
              </w:rPr>
              <w:t xml:space="preserve">, numéros </w:t>
            </w:r>
            <w:r w:rsidRPr="00982C2B">
              <w:rPr>
                <w:rFonts w:cs="Times New Roman"/>
                <w:szCs w:val="20"/>
                <w:lang w:val="fr-FR"/>
              </w:rPr>
              <w:t>CA41610, CA41611, CA41612 et CA41613, 2015 BCCA 372</w:t>
            </w:r>
            <w:r w:rsidRPr="00982C2B">
              <w:rPr>
                <w:rFonts w:cs="Times New Roman"/>
                <w:szCs w:val="20"/>
                <w:lang w:val="fr-CA"/>
              </w:rPr>
              <w:t xml:space="preserve">, daté du </w:t>
            </w:r>
            <w:r w:rsidRPr="00982C2B">
              <w:rPr>
                <w:rFonts w:cs="Times New Roman"/>
                <w:szCs w:val="20"/>
                <w:lang w:val="fr-FR"/>
              </w:rPr>
              <w:t>4 février 2015</w:t>
            </w:r>
            <w:r w:rsidRPr="00982C2B">
              <w:rPr>
                <w:rFonts w:cs="Times New Roman"/>
                <w:szCs w:val="20"/>
                <w:lang w:val="fr-CA"/>
              </w:rPr>
              <w:t>, est rejetée avec dépens.</w:t>
            </w:r>
          </w:p>
          <w:p w:rsidR="008905CF" w:rsidRPr="00982C2B" w:rsidRDefault="008905CF" w:rsidP="0061355E">
            <w:pPr>
              <w:pStyle w:val="SCCShortJudgment"/>
              <w:ind w:firstLine="0"/>
              <w:rPr>
                <w:rFonts w:cs="Times New Roman"/>
                <w:szCs w:val="20"/>
                <w:lang w:val="fr-CA"/>
              </w:rPr>
            </w:pPr>
          </w:p>
        </w:tc>
      </w:tr>
      <w:tr w:rsidR="008905CF" w:rsidRPr="00982C2B" w:rsidTr="008905CF">
        <w:tc>
          <w:tcPr>
            <w:tcW w:w="9576" w:type="dxa"/>
            <w:gridSpan w:val="4"/>
          </w:tcPr>
          <w:p w:rsidR="008905CF" w:rsidRPr="00982C2B" w:rsidRDefault="008905CF" w:rsidP="0061355E">
            <w:pPr>
              <w:pStyle w:val="SCCShortJudgment"/>
              <w:ind w:firstLine="0"/>
              <w:rPr>
                <w:rFonts w:cs="Times New Roman"/>
                <w:szCs w:val="20"/>
                <w:u w:val="single"/>
                <w:lang w:val="fr-CA"/>
              </w:rPr>
            </w:pPr>
            <w:r w:rsidRPr="00982C2B">
              <w:rPr>
                <w:rFonts w:cs="Times New Roman"/>
                <w:szCs w:val="20"/>
                <w:u w:val="single"/>
                <w:lang w:val="fr-CA"/>
              </w:rPr>
              <w:t>CASE SUMMARY</w:t>
            </w:r>
          </w:p>
          <w:p w:rsidR="008905CF" w:rsidRPr="00982C2B" w:rsidRDefault="008905CF" w:rsidP="0061355E">
            <w:pPr>
              <w:pStyle w:val="SCCShortJudgment"/>
              <w:ind w:firstLine="0"/>
              <w:rPr>
                <w:rFonts w:cs="Times New Roman"/>
                <w:szCs w:val="20"/>
                <w:u w:val="single"/>
                <w:lang w:val="fr-CA"/>
              </w:rPr>
            </w:pPr>
          </w:p>
        </w:tc>
      </w:tr>
      <w:tr w:rsidR="008905CF" w:rsidRPr="00982C2B" w:rsidTr="008905CF">
        <w:tc>
          <w:tcPr>
            <w:tcW w:w="9576" w:type="dxa"/>
            <w:gridSpan w:val="4"/>
          </w:tcPr>
          <w:p w:rsidR="008905CF" w:rsidRPr="00982C2B" w:rsidRDefault="008905CF" w:rsidP="0061355E">
            <w:pPr>
              <w:jc w:val="both"/>
              <w:rPr>
                <w:rFonts w:cs="Times New Roman"/>
                <w:sz w:val="20"/>
                <w:szCs w:val="20"/>
              </w:rPr>
            </w:pPr>
            <w:r w:rsidRPr="00982C2B">
              <w:rPr>
                <w:rFonts w:cs="Times New Roman"/>
                <w:sz w:val="20"/>
                <w:szCs w:val="20"/>
              </w:rPr>
              <w:t xml:space="preserve">Contracts — Interpretation — Legislation — Taxation legislation — Provincial sales tax — Provincial sales tax payable by applicant assessed as the contract price paid for electricity under one agreement plus the amount payable as rent under agreements granting possessory rights to hydroelectric facilities — Whether the appellate court decision is contrary to </w:t>
            </w:r>
            <w:r w:rsidRPr="00982C2B">
              <w:rPr>
                <w:rFonts w:cs="Times New Roman"/>
                <w:i/>
                <w:sz w:val="20"/>
                <w:szCs w:val="20"/>
              </w:rPr>
              <w:t>Shell Canada Ltd. v. Canada</w:t>
            </w:r>
            <w:r w:rsidRPr="00982C2B">
              <w:rPr>
                <w:rFonts w:cs="Times New Roman"/>
                <w:sz w:val="20"/>
                <w:szCs w:val="20"/>
              </w:rPr>
              <w:t xml:space="preserve">, [1999] 3 S.C.R. 622 — Whether the appellate court can ignore the </w:t>
            </w:r>
            <w:r w:rsidRPr="00982C2B">
              <w:rPr>
                <w:rFonts w:cs="Times New Roman"/>
                <w:i/>
                <w:sz w:val="20"/>
                <w:szCs w:val="20"/>
              </w:rPr>
              <w:t>bona fide</w:t>
            </w:r>
            <w:r w:rsidRPr="00982C2B">
              <w:rPr>
                <w:rFonts w:cs="Times New Roman"/>
                <w:sz w:val="20"/>
                <w:szCs w:val="20"/>
              </w:rPr>
              <w:t xml:space="preserve"> legal effect of the possessory interest agreement, thereby conflating the rent paid under that agreement with the contract price of electricity paid under the power purchase agreement.</w:t>
            </w:r>
          </w:p>
          <w:p w:rsidR="008905CF" w:rsidRPr="00982C2B" w:rsidRDefault="008905CF" w:rsidP="0061355E">
            <w:pPr>
              <w:pStyle w:val="SCCShortJudgment"/>
              <w:ind w:firstLine="0"/>
              <w:rPr>
                <w:rFonts w:cs="Times New Roman"/>
                <w:szCs w:val="20"/>
              </w:rPr>
            </w:pPr>
          </w:p>
        </w:tc>
      </w:tr>
      <w:tr w:rsidR="008905CF" w:rsidRPr="00982C2B" w:rsidTr="008905CF">
        <w:tc>
          <w:tcPr>
            <w:tcW w:w="9576" w:type="dxa"/>
            <w:gridSpan w:val="4"/>
          </w:tcPr>
          <w:p w:rsidR="008905CF" w:rsidRPr="00982C2B" w:rsidRDefault="008905CF" w:rsidP="0061355E">
            <w:pPr>
              <w:jc w:val="both"/>
              <w:rPr>
                <w:rFonts w:cs="Times New Roman"/>
                <w:sz w:val="20"/>
                <w:szCs w:val="20"/>
              </w:rPr>
            </w:pPr>
            <w:r w:rsidRPr="00982C2B">
              <w:rPr>
                <w:rFonts w:cs="Times New Roman"/>
                <w:sz w:val="20"/>
                <w:szCs w:val="20"/>
              </w:rPr>
              <w:t xml:space="preserve">The applicants challenged assessments of provincial sales tax held payable by Catalyst Paper Corporation (“Catalyst”) on the “purchase price” for electricity it requires to operate its pulp mill. Hydroelectric facilities owned by Catalyst were sold to the applicant (“PREI”), a related company, and a 49% interest in PREI was sold to a third party. In structuring the deal to ensure its continued qualification for the favourable “commercial” water rental rate under regulations, Catalyst entered into six possessory interest agreements with PREI requiring it to pay rent to PREI. Catalyst also entered into a power purchase agreement to buy electricity from PREI for a contract price calculated as the product of an energy rate and delivered energy, minus the rent paid under the possessory interest agreements. </w:t>
            </w:r>
          </w:p>
          <w:p w:rsidR="008905CF" w:rsidRPr="00982C2B" w:rsidRDefault="008905CF" w:rsidP="0061355E">
            <w:pPr>
              <w:jc w:val="both"/>
              <w:rPr>
                <w:rFonts w:cs="Times New Roman"/>
                <w:sz w:val="20"/>
                <w:szCs w:val="20"/>
              </w:rPr>
            </w:pPr>
          </w:p>
          <w:p w:rsidR="008905CF" w:rsidRPr="00982C2B" w:rsidRDefault="008905CF" w:rsidP="0061355E">
            <w:pPr>
              <w:pStyle w:val="SCCShortJudgment"/>
              <w:ind w:firstLine="0"/>
              <w:rPr>
                <w:rFonts w:cs="Times New Roman"/>
                <w:szCs w:val="20"/>
              </w:rPr>
            </w:pPr>
            <w:r w:rsidRPr="00982C2B">
              <w:rPr>
                <w:rFonts w:cs="Times New Roman"/>
                <w:szCs w:val="20"/>
              </w:rPr>
              <w:t>From February 1, 2002 to August 31, 2005, Catalyst paid PST on the contract price for electricity but not on the amount paid as rent. The Commissioner of Social Service Tax assessed Catalyst for the PST payable in respect of the amount of rent, on the basis that it was additional monetary consideration for electricity. After unsuccessfully appealing to the Minister of Small Business and Revenue, Catalyst and PREI brought petitions appealing his decision. The Supreme Court of British Columbia allowed the appeals and set aside the assessments. The Court of Appeal for British Columbia allowed the appeals, set aside the orders of the chambers judge and dismissed the applicants’ petitions.</w:t>
            </w:r>
          </w:p>
          <w:p w:rsidR="008905CF" w:rsidRPr="00982C2B" w:rsidRDefault="008905CF" w:rsidP="0061355E">
            <w:pPr>
              <w:pStyle w:val="SCCShortJudgment"/>
              <w:ind w:firstLine="0"/>
              <w:rPr>
                <w:rFonts w:cs="Times New Roman"/>
                <w:szCs w:val="20"/>
              </w:rPr>
            </w:pPr>
          </w:p>
        </w:tc>
      </w:tr>
      <w:tr w:rsidR="008905CF" w:rsidRPr="00982C2B" w:rsidTr="008905CF">
        <w:tc>
          <w:tcPr>
            <w:tcW w:w="4410" w:type="dxa"/>
            <w:gridSpan w:val="2"/>
          </w:tcPr>
          <w:p w:rsidR="008905CF" w:rsidRPr="00982C2B" w:rsidRDefault="008905CF" w:rsidP="0061355E">
            <w:pPr>
              <w:jc w:val="both"/>
              <w:rPr>
                <w:rFonts w:cs="Times New Roman"/>
                <w:sz w:val="20"/>
                <w:szCs w:val="20"/>
              </w:rPr>
            </w:pPr>
            <w:r w:rsidRPr="00982C2B">
              <w:rPr>
                <w:rFonts w:cs="Times New Roman"/>
                <w:sz w:val="20"/>
                <w:szCs w:val="20"/>
              </w:rPr>
              <w:t>January 28, 2014</w:t>
            </w:r>
          </w:p>
          <w:p w:rsidR="008905CF" w:rsidRPr="00982C2B" w:rsidRDefault="008905CF" w:rsidP="0061355E">
            <w:pPr>
              <w:jc w:val="both"/>
              <w:rPr>
                <w:rFonts w:cs="Times New Roman"/>
                <w:sz w:val="20"/>
                <w:szCs w:val="20"/>
              </w:rPr>
            </w:pPr>
            <w:r w:rsidRPr="00982C2B">
              <w:rPr>
                <w:rFonts w:cs="Times New Roman"/>
                <w:sz w:val="20"/>
                <w:szCs w:val="20"/>
              </w:rPr>
              <w:t>Supreme Court of British Columbia</w:t>
            </w:r>
          </w:p>
          <w:p w:rsidR="008905CF" w:rsidRPr="00982C2B" w:rsidRDefault="008905CF" w:rsidP="0061355E">
            <w:pPr>
              <w:jc w:val="both"/>
              <w:rPr>
                <w:rFonts w:cs="Times New Roman"/>
                <w:sz w:val="20"/>
                <w:szCs w:val="20"/>
              </w:rPr>
            </w:pPr>
            <w:r w:rsidRPr="00982C2B">
              <w:rPr>
                <w:rFonts w:cs="Times New Roman"/>
                <w:sz w:val="20"/>
                <w:szCs w:val="20"/>
              </w:rPr>
              <w:t>(Skolrood J.)</w:t>
            </w:r>
          </w:p>
          <w:p w:rsidR="008905CF" w:rsidRPr="00982C2B" w:rsidRDefault="009F3029" w:rsidP="0061355E">
            <w:pPr>
              <w:jc w:val="both"/>
              <w:rPr>
                <w:rFonts w:cs="Times New Roman"/>
                <w:sz w:val="20"/>
                <w:szCs w:val="20"/>
              </w:rPr>
            </w:pPr>
            <w:hyperlink r:id="rId50" w:history="1">
              <w:r w:rsidR="008905CF" w:rsidRPr="00982C2B">
                <w:rPr>
                  <w:rStyle w:val="Hyperlink"/>
                  <w:rFonts w:cs="Times New Roman"/>
                  <w:sz w:val="20"/>
                  <w:szCs w:val="20"/>
                </w:rPr>
                <w:t>2014 BCSC 123</w:t>
              </w:r>
            </w:hyperlink>
          </w:p>
          <w:p w:rsidR="008905CF" w:rsidRPr="00982C2B" w:rsidRDefault="008905CF" w:rsidP="0061355E">
            <w:pPr>
              <w:jc w:val="both"/>
              <w:rPr>
                <w:rFonts w:cs="Times New Roman"/>
                <w:sz w:val="20"/>
                <w:szCs w:val="20"/>
              </w:rPr>
            </w:pPr>
          </w:p>
        </w:tc>
        <w:tc>
          <w:tcPr>
            <w:tcW w:w="630" w:type="dxa"/>
          </w:tcPr>
          <w:p w:rsidR="008905CF" w:rsidRPr="00982C2B" w:rsidRDefault="008905CF" w:rsidP="0061355E">
            <w:pPr>
              <w:pStyle w:val="SCCShortJudgment"/>
              <w:ind w:firstLine="0"/>
              <w:rPr>
                <w:rFonts w:cs="Times New Roman"/>
                <w:szCs w:val="20"/>
              </w:rPr>
            </w:pPr>
          </w:p>
        </w:tc>
        <w:tc>
          <w:tcPr>
            <w:tcW w:w="4536" w:type="dxa"/>
          </w:tcPr>
          <w:p w:rsidR="008905CF" w:rsidRPr="00982C2B" w:rsidRDefault="008905CF" w:rsidP="0061355E">
            <w:pPr>
              <w:jc w:val="both"/>
              <w:rPr>
                <w:rFonts w:cs="Times New Roman"/>
                <w:sz w:val="20"/>
                <w:szCs w:val="20"/>
              </w:rPr>
            </w:pPr>
            <w:r w:rsidRPr="00982C2B">
              <w:rPr>
                <w:rFonts w:cs="Times New Roman"/>
                <w:sz w:val="20"/>
                <w:szCs w:val="20"/>
              </w:rPr>
              <w:t>Petitions appealing decision of Minister confirming provincial sales tax assessments, allowed</w:t>
            </w:r>
          </w:p>
          <w:p w:rsidR="008905CF" w:rsidRPr="00982C2B" w:rsidRDefault="008905CF" w:rsidP="0061355E">
            <w:pPr>
              <w:jc w:val="both"/>
              <w:rPr>
                <w:rFonts w:cs="Times New Roman"/>
                <w:sz w:val="20"/>
                <w:szCs w:val="20"/>
              </w:rPr>
            </w:pPr>
          </w:p>
        </w:tc>
      </w:tr>
      <w:tr w:rsidR="008905CF" w:rsidRPr="00982C2B" w:rsidTr="008905CF">
        <w:tc>
          <w:tcPr>
            <w:tcW w:w="4410" w:type="dxa"/>
            <w:gridSpan w:val="2"/>
          </w:tcPr>
          <w:p w:rsidR="008905CF" w:rsidRPr="00982C2B" w:rsidRDefault="008905CF" w:rsidP="0061355E">
            <w:pPr>
              <w:jc w:val="both"/>
              <w:rPr>
                <w:rFonts w:cs="Times New Roman"/>
                <w:sz w:val="20"/>
                <w:szCs w:val="20"/>
              </w:rPr>
            </w:pPr>
            <w:r w:rsidRPr="00982C2B">
              <w:rPr>
                <w:rFonts w:cs="Times New Roman"/>
                <w:sz w:val="20"/>
                <w:szCs w:val="20"/>
              </w:rPr>
              <w:t>February 4, 2015</w:t>
            </w:r>
          </w:p>
          <w:p w:rsidR="008905CF" w:rsidRPr="00982C2B" w:rsidRDefault="008905CF" w:rsidP="0061355E">
            <w:pPr>
              <w:jc w:val="both"/>
              <w:rPr>
                <w:rFonts w:cs="Times New Roman"/>
                <w:sz w:val="20"/>
                <w:szCs w:val="20"/>
              </w:rPr>
            </w:pPr>
            <w:r w:rsidRPr="00982C2B">
              <w:rPr>
                <w:rFonts w:cs="Times New Roman"/>
                <w:sz w:val="20"/>
                <w:szCs w:val="20"/>
              </w:rPr>
              <w:t xml:space="preserve">Court of Appeal for British Columbia </w:t>
            </w:r>
          </w:p>
          <w:p w:rsidR="008905CF" w:rsidRPr="00982C2B" w:rsidRDefault="008905CF" w:rsidP="0061355E">
            <w:pPr>
              <w:jc w:val="both"/>
              <w:rPr>
                <w:rFonts w:cs="Times New Roman"/>
                <w:sz w:val="20"/>
                <w:szCs w:val="20"/>
              </w:rPr>
            </w:pPr>
            <w:r w:rsidRPr="00982C2B">
              <w:rPr>
                <w:rFonts w:cs="Times New Roman"/>
                <w:sz w:val="20"/>
                <w:szCs w:val="20"/>
              </w:rPr>
              <w:t>(Vancouver)</w:t>
            </w:r>
          </w:p>
          <w:p w:rsidR="008905CF" w:rsidRPr="00982C2B" w:rsidRDefault="008905CF" w:rsidP="0061355E">
            <w:pPr>
              <w:jc w:val="both"/>
              <w:rPr>
                <w:rFonts w:cs="Times New Roman"/>
                <w:sz w:val="20"/>
                <w:szCs w:val="20"/>
              </w:rPr>
            </w:pPr>
            <w:r w:rsidRPr="00982C2B">
              <w:rPr>
                <w:rFonts w:cs="Times New Roman"/>
                <w:sz w:val="20"/>
                <w:szCs w:val="20"/>
              </w:rPr>
              <w:t>(Chiasson, Frankel and MacKenzie JJ.A.)</w:t>
            </w:r>
          </w:p>
          <w:p w:rsidR="008905CF" w:rsidRPr="00982C2B" w:rsidRDefault="009F3029" w:rsidP="0061355E">
            <w:pPr>
              <w:jc w:val="both"/>
              <w:rPr>
                <w:rFonts w:cs="Times New Roman"/>
                <w:sz w:val="20"/>
                <w:szCs w:val="20"/>
              </w:rPr>
            </w:pPr>
            <w:hyperlink r:id="rId51" w:history="1">
              <w:r w:rsidR="008905CF" w:rsidRPr="00982C2B">
                <w:rPr>
                  <w:rStyle w:val="Hyperlink"/>
                  <w:rFonts w:cs="Times New Roman"/>
                  <w:sz w:val="20"/>
                  <w:szCs w:val="20"/>
                </w:rPr>
                <w:t>2015 BCCA 372</w:t>
              </w:r>
            </w:hyperlink>
            <w:r w:rsidR="008905CF" w:rsidRPr="00982C2B">
              <w:rPr>
                <w:rFonts w:cs="Times New Roman"/>
                <w:sz w:val="20"/>
                <w:szCs w:val="20"/>
              </w:rPr>
              <w:t xml:space="preserve">; CA41610; CA41611; </w:t>
            </w:r>
          </w:p>
          <w:p w:rsidR="008905CF" w:rsidRPr="00982C2B" w:rsidRDefault="008905CF" w:rsidP="0061355E">
            <w:pPr>
              <w:jc w:val="both"/>
              <w:rPr>
                <w:rFonts w:cs="Times New Roman"/>
                <w:sz w:val="20"/>
                <w:szCs w:val="20"/>
              </w:rPr>
            </w:pPr>
            <w:r w:rsidRPr="00982C2B">
              <w:rPr>
                <w:rFonts w:cs="Times New Roman"/>
                <w:sz w:val="20"/>
                <w:szCs w:val="20"/>
              </w:rPr>
              <w:t>CA41612; CA41613</w:t>
            </w:r>
          </w:p>
          <w:p w:rsidR="008905CF" w:rsidRPr="00982C2B" w:rsidRDefault="008905CF" w:rsidP="0061355E">
            <w:pPr>
              <w:jc w:val="both"/>
              <w:rPr>
                <w:rFonts w:cs="Times New Roman"/>
                <w:sz w:val="20"/>
                <w:szCs w:val="20"/>
              </w:rPr>
            </w:pPr>
          </w:p>
        </w:tc>
        <w:tc>
          <w:tcPr>
            <w:tcW w:w="630" w:type="dxa"/>
          </w:tcPr>
          <w:p w:rsidR="008905CF" w:rsidRPr="00982C2B" w:rsidRDefault="008905CF" w:rsidP="0061355E">
            <w:pPr>
              <w:pStyle w:val="SCCShortJudgment"/>
              <w:ind w:firstLine="0"/>
              <w:rPr>
                <w:rFonts w:cs="Times New Roman"/>
                <w:szCs w:val="20"/>
              </w:rPr>
            </w:pPr>
          </w:p>
        </w:tc>
        <w:tc>
          <w:tcPr>
            <w:tcW w:w="4536" w:type="dxa"/>
          </w:tcPr>
          <w:p w:rsidR="008905CF" w:rsidRPr="00982C2B" w:rsidRDefault="008905CF" w:rsidP="0061355E">
            <w:pPr>
              <w:jc w:val="both"/>
              <w:rPr>
                <w:rFonts w:cs="Times New Roman"/>
                <w:sz w:val="20"/>
                <w:szCs w:val="20"/>
              </w:rPr>
            </w:pPr>
            <w:r w:rsidRPr="00982C2B">
              <w:rPr>
                <w:rFonts w:cs="Times New Roman"/>
                <w:sz w:val="20"/>
                <w:szCs w:val="20"/>
              </w:rPr>
              <w:t>Appeals allowed, orders of the chambers judge set aside, and petitions dismissed</w:t>
            </w:r>
          </w:p>
          <w:p w:rsidR="008905CF" w:rsidRPr="00982C2B" w:rsidRDefault="008905CF" w:rsidP="0061355E">
            <w:pPr>
              <w:jc w:val="both"/>
              <w:rPr>
                <w:rFonts w:cs="Times New Roman"/>
                <w:sz w:val="20"/>
                <w:szCs w:val="20"/>
              </w:rPr>
            </w:pPr>
          </w:p>
        </w:tc>
      </w:tr>
      <w:tr w:rsidR="008905CF" w:rsidRPr="00982C2B" w:rsidTr="008905CF">
        <w:tc>
          <w:tcPr>
            <w:tcW w:w="4410" w:type="dxa"/>
            <w:gridSpan w:val="2"/>
          </w:tcPr>
          <w:p w:rsidR="008905CF" w:rsidRPr="00982C2B" w:rsidRDefault="008905CF" w:rsidP="0061355E">
            <w:pPr>
              <w:jc w:val="both"/>
              <w:rPr>
                <w:rFonts w:cs="Times New Roman"/>
                <w:sz w:val="20"/>
                <w:szCs w:val="20"/>
              </w:rPr>
            </w:pPr>
            <w:r w:rsidRPr="00982C2B">
              <w:rPr>
                <w:rFonts w:cs="Times New Roman"/>
                <w:sz w:val="20"/>
                <w:szCs w:val="20"/>
              </w:rPr>
              <w:t>October 21, 2015</w:t>
            </w:r>
          </w:p>
          <w:p w:rsidR="008905CF" w:rsidRPr="00982C2B" w:rsidRDefault="008905CF" w:rsidP="0061355E">
            <w:pPr>
              <w:jc w:val="both"/>
              <w:rPr>
                <w:rFonts w:cs="Times New Roman"/>
                <w:sz w:val="20"/>
                <w:szCs w:val="20"/>
              </w:rPr>
            </w:pPr>
            <w:r w:rsidRPr="00982C2B">
              <w:rPr>
                <w:rFonts w:cs="Times New Roman"/>
                <w:sz w:val="20"/>
                <w:szCs w:val="20"/>
              </w:rPr>
              <w:t>Supreme Court of Canada</w:t>
            </w:r>
          </w:p>
          <w:p w:rsidR="008905CF" w:rsidRPr="00982C2B" w:rsidRDefault="008905CF" w:rsidP="0061355E">
            <w:pPr>
              <w:jc w:val="both"/>
              <w:rPr>
                <w:rFonts w:cs="Times New Roman"/>
                <w:sz w:val="20"/>
                <w:szCs w:val="20"/>
              </w:rPr>
            </w:pPr>
          </w:p>
        </w:tc>
        <w:tc>
          <w:tcPr>
            <w:tcW w:w="630" w:type="dxa"/>
          </w:tcPr>
          <w:p w:rsidR="008905CF" w:rsidRPr="00982C2B" w:rsidRDefault="008905CF" w:rsidP="0061355E">
            <w:pPr>
              <w:pStyle w:val="SCCShortJudgment"/>
              <w:ind w:firstLine="0"/>
              <w:rPr>
                <w:rFonts w:cs="Times New Roman"/>
                <w:szCs w:val="20"/>
              </w:rPr>
            </w:pPr>
          </w:p>
        </w:tc>
        <w:tc>
          <w:tcPr>
            <w:tcW w:w="4536" w:type="dxa"/>
          </w:tcPr>
          <w:p w:rsidR="008905CF" w:rsidRPr="00982C2B" w:rsidRDefault="008905CF" w:rsidP="0061355E">
            <w:pPr>
              <w:jc w:val="both"/>
              <w:rPr>
                <w:rFonts w:cs="Times New Roman"/>
                <w:sz w:val="20"/>
                <w:szCs w:val="20"/>
              </w:rPr>
            </w:pPr>
            <w:r w:rsidRPr="00982C2B">
              <w:rPr>
                <w:rFonts w:cs="Times New Roman"/>
                <w:sz w:val="20"/>
                <w:szCs w:val="20"/>
              </w:rPr>
              <w:t>Motion for an extension of time to serve and file application and application for leave to appeal filed</w:t>
            </w:r>
          </w:p>
        </w:tc>
      </w:tr>
      <w:tr w:rsidR="008905CF" w:rsidRPr="00982C2B" w:rsidTr="008905CF">
        <w:tc>
          <w:tcPr>
            <w:tcW w:w="9576" w:type="dxa"/>
            <w:gridSpan w:val="4"/>
          </w:tcPr>
          <w:p w:rsidR="008905CF" w:rsidRPr="00982C2B" w:rsidRDefault="009F3029" w:rsidP="009D18B6">
            <w:pPr>
              <w:pStyle w:val="SCCShortJudgment"/>
              <w:ind w:firstLine="0"/>
              <w:rPr>
                <w:rFonts w:cs="Times New Roman"/>
                <w:szCs w:val="20"/>
                <w:lang w:val="fr-CA"/>
              </w:rPr>
            </w:pPr>
            <w:r>
              <w:rPr>
                <w:rFonts w:cs="Times New Roman"/>
                <w:szCs w:val="20"/>
                <w:lang w:val="fr-CA"/>
              </w:rPr>
              <w:pict>
                <v:rect id="_x0000_i1057" style="width:2in;height:1pt" o:hrpct="0" o:hralign="center" o:hrstd="t" o:hrnoshade="t" o:hr="t" fillcolor="black [3213]" stroked="f"/>
              </w:pict>
            </w:r>
          </w:p>
          <w:p w:rsidR="008905CF" w:rsidRPr="00982C2B" w:rsidRDefault="008905CF" w:rsidP="009D18B6">
            <w:pPr>
              <w:pStyle w:val="SCCShortJudgment"/>
              <w:ind w:firstLine="0"/>
              <w:rPr>
                <w:rFonts w:cs="Times New Roman"/>
                <w:szCs w:val="20"/>
                <w:lang w:val="fr-CA"/>
              </w:rPr>
            </w:pPr>
          </w:p>
        </w:tc>
      </w:tr>
      <w:tr w:rsidR="008905CF" w:rsidRPr="00982C2B" w:rsidTr="008905CF">
        <w:tc>
          <w:tcPr>
            <w:tcW w:w="9576" w:type="dxa"/>
            <w:gridSpan w:val="4"/>
          </w:tcPr>
          <w:p w:rsidR="008905CF" w:rsidRPr="00982C2B" w:rsidRDefault="008905CF"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8905CF" w:rsidRPr="00982C2B" w:rsidRDefault="008905CF" w:rsidP="009D18B6">
            <w:pPr>
              <w:pStyle w:val="SCCShortJudgment"/>
              <w:ind w:firstLine="0"/>
              <w:rPr>
                <w:rFonts w:cs="Times New Roman"/>
                <w:szCs w:val="20"/>
                <w:u w:val="single"/>
                <w:lang w:val="fr-CA"/>
              </w:rPr>
            </w:pPr>
          </w:p>
        </w:tc>
      </w:tr>
      <w:tr w:rsidR="008905CF" w:rsidRPr="009F3029" w:rsidTr="008905CF">
        <w:tc>
          <w:tcPr>
            <w:tcW w:w="9576" w:type="dxa"/>
            <w:gridSpan w:val="4"/>
          </w:tcPr>
          <w:p w:rsidR="008905CF" w:rsidRPr="00982C2B" w:rsidRDefault="008905CF" w:rsidP="0061355E">
            <w:pPr>
              <w:jc w:val="both"/>
              <w:rPr>
                <w:rFonts w:cs="Times New Roman"/>
                <w:sz w:val="20"/>
                <w:szCs w:val="20"/>
                <w:lang w:val="fr-CA"/>
              </w:rPr>
            </w:pPr>
            <w:r w:rsidRPr="00982C2B">
              <w:rPr>
                <w:rFonts w:cs="Times New Roman"/>
                <w:sz w:val="20"/>
                <w:szCs w:val="20"/>
                <w:lang w:val="fr-CA"/>
              </w:rPr>
              <w:t xml:space="preserve">Contrats — Interprétation — Législation — Lois fiscales — Taxe de vente provinciale — La taxe de vente provinciale payable par une des demanderesses a été établie à partir du prix contractuel payé pour l’électricité en exécution d’une entente, majoré du montant payable à titre de loyer en exécution de l’entente accordant des droits possessoires à l’égard d’installations hydroélectriques — La décision de la Cour d’appel est-elle contraire à l’arrêt </w:t>
            </w:r>
            <w:r w:rsidRPr="00982C2B">
              <w:rPr>
                <w:rFonts w:cs="Times New Roman"/>
                <w:i/>
                <w:sz w:val="20"/>
                <w:szCs w:val="20"/>
                <w:lang w:val="fr-CA"/>
              </w:rPr>
              <w:t>Shell Canada Ltée c. Canada</w:t>
            </w:r>
            <w:r w:rsidRPr="00982C2B">
              <w:rPr>
                <w:rFonts w:cs="Times New Roman"/>
                <w:sz w:val="20"/>
                <w:szCs w:val="20"/>
                <w:lang w:val="fr-CA"/>
              </w:rPr>
              <w:t>, [1999] 3 R.C.S. 622 — La Cour d’appel peut-elle faire abstraction de l’effet juridique véritable de l’entente accordant un intérêt possessoire, confondant ainsi le loyer payé en exécution de cette entente et le prix contractuel de l’électricité payé en exécution de l’entente d’achat d’électricité?</w:t>
            </w:r>
          </w:p>
          <w:p w:rsidR="008905CF" w:rsidRPr="00982C2B" w:rsidRDefault="008905CF" w:rsidP="0061355E">
            <w:pPr>
              <w:pStyle w:val="SCCShortJudgment"/>
              <w:ind w:firstLine="0"/>
              <w:rPr>
                <w:rFonts w:cs="Times New Roman"/>
                <w:szCs w:val="20"/>
                <w:u w:val="single"/>
                <w:lang w:val="fr-CA"/>
              </w:rPr>
            </w:pPr>
          </w:p>
        </w:tc>
      </w:tr>
      <w:tr w:rsidR="008905CF" w:rsidRPr="009F3029" w:rsidTr="008905CF">
        <w:tc>
          <w:tcPr>
            <w:tcW w:w="9576" w:type="dxa"/>
            <w:gridSpan w:val="4"/>
          </w:tcPr>
          <w:p w:rsidR="008905CF" w:rsidRPr="00982C2B" w:rsidRDefault="008905CF" w:rsidP="0061355E">
            <w:pPr>
              <w:jc w:val="both"/>
              <w:rPr>
                <w:rFonts w:cs="Times New Roman"/>
                <w:sz w:val="20"/>
                <w:szCs w:val="20"/>
                <w:lang w:val="fr-CA"/>
              </w:rPr>
            </w:pPr>
            <w:r w:rsidRPr="00982C2B">
              <w:rPr>
                <w:rFonts w:cs="Times New Roman"/>
                <w:sz w:val="20"/>
                <w:szCs w:val="20"/>
                <w:lang w:val="fr-CA"/>
              </w:rPr>
              <w:t xml:space="preserve">Les demanderesses ont contesté les cotisations de taxe de vente provinciale établies à l’égard de Catalyst Paper Corporation (« Catalyst ») sur le « prix d’achat » de l’électricité dont elle a besoin pour exploiter son usine de pâte. Des installations hydroélectriques appartenant à Catalyst ont été vendues à la demanderesse (« PREI »), une société liée, et une participation de 49 % dans PREI a été vendue à un tiers. En structurant la transaction pour faire en sorte qu’elle continue de pouvoir bénéficier d’un taux favorable de redevance d’utilisation « commerciale » d’énergie hydraulique en application du règlement, Catalyst a conclu six ententes de concession d’intérêt possessoire avec PREI, l’obligeant de payer un loyer à PREI. Catalyst a également conclu une entente d’achat d’électricité de PREI moyennant un prix contractuel calculé comme le produit d’un taux d’électricité multiplié par l’électricité livrée, moins le loyer payé en exécution des ententes de concession d’intérêt possessoire. </w:t>
            </w:r>
          </w:p>
          <w:p w:rsidR="008905CF" w:rsidRPr="00982C2B" w:rsidRDefault="008905CF" w:rsidP="0061355E">
            <w:pPr>
              <w:jc w:val="both"/>
              <w:rPr>
                <w:rFonts w:cs="Times New Roman"/>
                <w:sz w:val="20"/>
                <w:szCs w:val="20"/>
                <w:lang w:val="fr-CA"/>
              </w:rPr>
            </w:pPr>
          </w:p>
          <w:p w:rsidR="008905CF" w:rsidRPr="00982C2B" w:rsidRDefault="008905CF" w:rsidP="0061355E">
            <w:pPr>
              <w:jc w:val="both"/>
              <w:rPr>
                <w:rFonts w:cs="Times New Roman"/>
                <w:sz w:val="20"/>
                <w:szCs w:val="20"/>
                <w:u w:val="single"/>
                <w:lang w:val="fr-CA"/>
              </w:rPr>
            </w:pPr>
            <w:r w:rsidRPr="00982C2B">
              <w:rPr>
                <w:rFonts w:cs="Times New Roman"/>
                <w:sz w:val="20"/>
                <w:szCs w:val="20"/>
                <w:lang w:val="fr-CA"/>
              </w:rPr>
              <w:t>Du 1</w:t>
            </w:r>
            <w:r w:rsidRPr="00982C2B">
              <w:rPr>
                <w:rFonts w:cs="Times New Roman"/>
                <w:sz w:val="20"/>
                <w:szCs w:val="20"/>
                <w:vertAlign w:val="superscript"/>
                <w:lang w:val="fr-CA"/>
              </w:rPr>
              <w:t>er</w:t>
            </w:r>
            <w:r w:rsidRPr="00982C2B">
              <w:rPr>
                <w:rFonts w:cs="Times New Roman"/>
                <w:sz w:val="20"/>
                <w:szCs w:val="20"/>
                <w:lang w:val="fr-CA"/>
              </w:rPr>
              <w:t xml:space="preserve"> février 2002 au 31 août 2005, Catalyst a payé de la TPS sur le prix contractuel de l’électricité, mais non sur le montant payé à titre de loyer. Le Commissioner of Social Service Tax a établi une cotisation à l’égard de Catalyst au titre de la TPS payable sur le montant du loyer, statuant qu’il s’agissait d’une contrepartie monétaire supplémentaire pour l’électricité. Après avoir été déboutées de leur appel au Minister of Small Business and Revenue, Catalyst et PREI ont interjeté appel de sa décision par requête. La Cour suprême de la Colombie-Britannique a accueilli les appels et annulé les cotisations. La Cour d’appel de la Colombie-Britannique a accueilli les appels, annulé les ordonnances du juge en cabinet et rejeté les requêtes des demanderesses.</w:t>
            </w:r>
          </w:p>
        </w:tc>
      </w:tr>
      <w:tr w:rsidR="008905CF" w:rsidRPr="009F3029" w:rsidTr="008905CF">
        <w:tc>
          <w:tcPr>
            <w:tcW w:w="9576" w:type="dxa"/>
            <w:gridSpan w:val="4"/>
          </w:tcPr>
          <w:p w:rsidR="008905CF" w:rsidRPr="00982C2B" w:rsidRDefault="008905CF" w:rsidP="009D18B6">
            <w:pPr>
              <w:pStyle w:val="SCCShortJudgment"/>
              <w:ind w:firstLine="0"/>
              <w:rPr>
                <w:rFonts w:cs="Times New Roman"/>
                <w:szCs w:val="20"/>
                <w:u w:val="single"/>
                <w:lang w:val="fr-CA"/>
              </w:rPr>
            </w:pPr>
          </w:p>
        </w:tc>
      </w:tr>
      <w:tr w:rsidR="008905CF" w:rsidRPr="009F3029" w:rsidTr="008905CF">
        <w:tc>
          <w:tcPr>
            <w:tcW w:w="4410" w:type="dxa"/>
            <w:gridSpan w:val="2"/>
          </w:tcPr>
          <w:p w:rsidR="008905CF" w:rsidRPr="00982C2B" w:rsidRDefault="008905CF" w:rsidP="00275F20">
            <w:pPr>
              <w:jc w:val="both"/>
              <w:rPr>
                <w:rFonts w:cs="Times New Roman"/>
                <w:sz w:val="20"/>
                <w:szCs w:val="20"/>
                <w:lang w:val="fr-CA"/>
              </w:rPr>
            </w:pPr>
            <w:r w:rsidRPr="00982C2B">
              <w:rPr>
                <w:rFonts w:cs="Times New Roman"/>
                <w:sz w:val="20"/>
                <w:szCs w:val="20"/>
                <w:lang w:val="fr-CA"/>
              </w:rPr>
              <w:t>28 janvier 2014</w:t>
            </w:r>
          </w:p>
          <w:p w:rsidR="008905CF" w:rsidRPr="00982C2B" w:rsidRDefault="008905CF" w:rsidP="00275F20">
            <w:pPr>
              <w:jc w:val="both"/>
              <w:rPr>
                <w:rFonts w:cs="Times New Roman"/>
                <w:sz w:val="20"/>
                <w:szCs w:val="20"/>
                <w:lang w:val="fr-CA"/>
              </w:rPr>
            </w:pPr>
            <w:r w:rsidRPr="00982C2B">
              <w:rPr>
                <w:rFonts w:cs="Times New Roman"/>
                <w:sz w:val="20"/>
                <w:szCs w:val="20"/>
                <w:lang w:val="fr-CA"/>
              </w:rPr>
              <w:t xml:space="preserve">Cour suprême de la Colombie-Britannique </w:t>
            </w:r>
          </w:p>
          <w:p w:rsidR="008905CF" w:rsidRPr="00982C2B" w:rsidRDefault="008905CF" w:rsidP="00275F20">
            <w:pPr>
              <w:jc w:val="both"/>
              <w:rPr>
                <w:rFonts w:cs="Times New Roman"/>
                <w:sz w:val="20"/>
                <w:szCs w:val="20"/>
                <w:lang w:val="fr-CA"/>
              </w:rPr>
            </w:pPr>
            <w:r w:rsidRPr="00982C2B">
              <w:rPr>
                <w:rFonts w:cs="Times New Roman"/>
                <w:sz w:val="20"/>
                <w:szCs w:val="20"/>
                <w:lang w:val="fr-CA"/>
              </w:rPr>
              <w:t>(Juge Skolrood)</w:t>
            </w:r>
          </w:p>
          <w:p w:rsidR="008905CF" w:rsidRPr="00982C2B" w:rsidRDefault="009F3029" w:rsidP="002C243F">
            <w:pPr>
              <w:jc w:val="both"/>
              <w:rPr>
                <w:rFonts w:cs="Times New Roman"/>
                <w:szCs w:val="20"/>
                <w:u w:val="single"/>
                <w:lang w:val="fr-CA"/>
              </w:rPr>
            </w:pPr>
            <w:hyperlink r:id="rId52" w:history="1">
              <w:r w:rsidR="008905CF" w:rsidRPr="00982C2B">
                <w:rPr>
                  <w:rStyle w:val="Hyperlink"/>
                  <w:rFonts w:cs="Times New Roman"/>
                  <w:sz w:val="20"/>
                  <w:szCs w:val="20"/>
                  <w:lang w:val="fr-CA"/>
                </w:rPr>
                <w:t>2014 BCSC 123</w:t>
              </w:r>
            </w:hyperlink>
          </w:p>
        </w:tc>
        <w:tc>
          <w:tcPr>
            <w:tcW w:w="630" w:type="dxa"/>
          </w:tcPr>
          <w:p w:rsidR="008905CF" w:rsidRPr="00982C2B" w:rsidRDefault="008905CF" w:rsidP="00275F20">
            <w:pPr>
              <w:pStyle w:val="SCCShortJudgment"/>
              <w:ind w:firstLine="0"/>
              <w:rPr>
                <w:rFonts w:cs="Times New Roman"/>
                <w:szCs w:val="20"/>
                <w:u w:val="single"/>
                <w:lang w:val="fr-CA"/>
              </w:rPr>
            </w:pPr>
          </w:p>
        </w:tc>
        <w:tc>
          <w:tcPr>
            <w:tcW w:w="4536" w:type="dxa"/>
          </w:tcPr>
          <w:p w:rsidR="008905CF" w:rsidRPr="00982C2B" w:rsidRDefault="008905CF" w:rsidP="002C243F">
            <w:pPr>
              <w:jc w:val="both"/>
              <w:rPr>
                <w:rFonts w:cs="Times New Roman"/>
                <w:szCs w:val="20"/>
                <w:u w:val="single"/>
                <w:lang w:val="fr-CA"/>
              </w:rPr>
            </w:pPr>
            <w:r w:rsidRPr="00982C2B">
              <w:rPr>
                <w:rFonts w:cs="Times New Roman"/>
                <w:sz w:val="20"/>
                <w:szCs w:val="20"/>
                <w:lang w:val="fr-CA"/>
              </w:rPr>
              <w:t>Jugement accueillant les requêtes pour en appeler de la décision du ministre confirmant les cotisations de taxe de vente provinciale</w:t>
            </w:r>
          </w:p>
        </w:tc>
      </w:tr>
      <w:tr w:rsidR="008905CF" w:rsidRPr="009F3029" w:rsidTr="008905CF">
        <w:tc>
          <w:tcPr>
            <w:tcW w:w="4410" w:type="dxa"/>
            <w:gridSpan w:val="2"/>
          </w:tcPr>
          <w:p w:rsidR="008905CF" w:rsidRPr="00982C2B" w:rsidRDefault="008905CF" w:rsidP="00275F20">
            <w:pPr>
              <w:jc w:val="both"/>
              <w:rPr>
                <w:rFonts w:cs="Times New Roman"/>
                <w:sz w:val="20"/>
                <w:szCs w:val="20"/>
                <w:lang w:val="fr-CA"/>
              </w:rPr>
            </w:pPr>
            <w:r w:rsidRPr="00982C2B">
              <w:rPr>
                <w:rFonts w:cs="Times New Roman"/>
                <w:sz w:val="20"/>
                <w:szCs w:val="20"/>
                <w:lang w:val="fr-CA"/>
              </w:rPr>
              <w:t>4 février 2015</w:t>
            </w:r>
          </w:p>
          <w:p w:rsidR="008905CF" w:rsidRPr="00982C2B" w:rsidRDefault="008905CF" w:rsidP="00275F20">
            <w:pPr>
              <w:jc w:val="both"/>
              <w:rPr>
                <w:rFonts w:cs="Times New Roman"/>
                <w:sz w:val="20"/>
                <w:szCs w:val="20"/>
                <w:lang w:val="fr-CA"/>
              </w:rPr>
            </w:pPr>
            <w:r w:rsidRPr="00982C2B">
              <w:rPr>
                <w:rFonts w:cs="Times New Roman"/>
                <w:sz w:val="20"/>
                <w:szCs w:val="20"/>
                <w:lang w:val="fr-CA"/>
              </w:rPr>
              <w:t xml:space="preserve">Cour d’appel de la Colombie-Britannique </w:t>
            </w:r>
          </w:p>
          <w:p w:rsidR="008905CF" w:rsidRPr="00982C2B" w:rsidRDefault="008905CF" w:rsidP="00275F20">
            <w:pPr>
              <w:jc w:val="both"/>
              <w:rPr>
                <w:rFonts w:cs="Times New Roman"/>
                <w:sz w:val="20"/>
                <w:szCs w:val="20"/>
                <w:lang w:val="fr-CA"/>
              </w:rPr>
            </w:pPr>
            <w:r w:rsidRPr="00982C2B">
              <w:rPr>
                <w:rFonts w:cs="Times New Roman"/>
                <w:sz w:val="20"/>
                <w:szCs w:val="20"/>
                <w:lang w:val="fr-CA"/>
              </w:rPr>
              <w:t>(Vancouver)</w:t>
            </w:r>
          </w:p>
          <w:p w:rsidR="008905CF" w:rsidRPr="00982C2B" w:rsidRDefault="008905CF" w:rsidP="00275F20">
            <w:pPr>
              <w:jc w:val="both"/>
              <w:rPr>
                <w:rFonts w:cs="Times New Roman"/>
                <w:sz w:val="20"/>
                <w:szCs w:val="20"/>
                <w:lang w:val="fr-CA"/>
              </w:rPr>
            </w:pPr>
            <w:r w:rsidRPr="00982C2B">
              <w:rPr>
                <w:rFonts w:cs="Times New Roman"/>
                <w:sz w:val="20"/>
                <w:szCs w:val="20"/>
                <w:lang w:val="fr-CA"/>
              </w:rPr>
              <w:t>(Juges Chiasson, Frankel et MacKenzie)</w:t>
            </w:r>
          </w:p>
          <w:p w:rsidR="008905CF" w:rsidRPr="00982C2B" w:rsidRDefault="009F3029" w:rsidP="00275F20">
            <w:pPr>
              <w:jc w:val="both"/>
              <w:rPr>
                <w:rFonts w:cs="Times New Roman"/>
                <w:sz w:val="20"/>
                <w:szCs w:val="20"/>
                <w:lang w:val="fr-CA"/>
              </w:rPr>
            </w:pPr>
            <w:hyperlink r:id="rId53" w:history="1">
              <w:r w:rsidR="008905CF" w:rsidRPr="00982C2B">
                <w:rPr>
                  <w:rStyle w:val="Hyperlink"/>
                  <w:rFonts w:cs="Times New Roman"/>
                  <w:sz w:val="20"/>
                  <w:szCs w:val="20"/>
                  <w:lang w:val="fr-CA"/>
                </w:rPr>
                <w:t>2015 BCCA 372</w:t>
              </w:r>
            </w:hyperlink>
            <w:r w:rsidR="008905CF" w:rsidRPr="00982C2B">
              <w:rPr>
                <w:rFonts w:cs="Times New Roman"/>
                <w:sz w:val="20"/>
                <w:szCs w:val="20"/>
                <w:lang w:val="fr-CA"/>
              </w:rPr>
              <w:t xml:space="preserve">; CA41610; CA41611; </w:t>
            </w:r>
          </w:p>
          <w:p w:rsidR="008905CF" w:rsidRPr="00982C2B" w:rsidRDefault="008905CF" w:rsidP="00275F20">
            <w:pPr>
              <w:jc w:val="both"/>
              <w:rPr>
                <w:rFonts w:cs="Times New Roman"/>
                <w:sz w:val="20"/>
                <w:szCs w:val="20"/>
                <w:lang w:val="fr-CA"/>
              </w:rPr>
            </w:pPr>
            <w:r w:rsidRPr="00982C2B">
              <w:rPr>
                <w:rFonts w:cs="Times New Roman"/>
                <w:sz w:val="20"/>
                <w:szCs w:val="20"/>
                <w:lang w:val="fr-CA"/>
              </w:rPr>
              <w:t>CA41612; CA41613</w:t>
            </w:r>
          </w:p>
          <w:p w:rsidR="008905CF" w:rsidRPr="00982C2B" w:rsidRDefault="008905CF" w:rsidP="00275F20">
            <w:pPr>
              <w:pStyle w:val="SCCShortJudgment"/>
              <w:ind w:firstLine="0"/>
              <w:rPr>
                <w:rFonts w:cs="Times New Roman"/>
                <w:szCs w:val="20"/>
                <w:u w:val="single"/>
                <w:lang w:val="fr-CA"/>
              </w:rPr>
            </w:pPr>
          </w:p>
        </w:tc>
        <w:tc>
          <w:tcPr>
            <w:tcW w:w="630" w:type="dxa"/>
          </w:tcPr>
          <w:p w:rsidR="008905CF" w:rsidRPr="00982C2B" w:rsidRDefault="008905CF" w:rsidP="00275F20">
            <w:pPr>
              <w:pStyle w:val="SCCShortJudgment"/>
              <w:ind w:firstLine="0"/>
              <w:rPr>
                <w:rFonts w:cs="Times New Roman"/>
                <w:szCs w:val="20"/>
                <w:u w:val="single"/>
                <w:lang w:val="fr-CA"/>
              </w:rPr>
            </w:pPr>
          </w:p>
        </w:tc>
        <w:tc>
          <w:tcPr>
            <w:tcW w:w="4536" w:type="dxa"/>
          </w:tcPr>
          <w:p w:rsidR="008905CF" w:rsidRPr="00982C2B" w:rsidRDefault="008905CF" w:rsidP="00275F20">
            <w:pPr>
              <w:jc w:val="both"/>
              <w:rPr>
                <w:rFonts w:cs="Times New Roman"/>
                <w:sz w:val="20"/>
                <w:szCs w:val="20"/>
                <w:lang w:val="fr-CA"/>
              </w:rPr>
            </w:pPr>
            <w:r w:rsidRPr="00982C2B">
              <w:rPr>
                <w:rFonts w:cs="Times New Roman"/>
                <w:sz w:val="20"/>
                <w:szCs w:val="20"/>
                <w:lang w:val="fr-CA"/>
              </w:rPr>
              <w:t>Arrêt accueillant des appels, annulant les ordonnances du juge en cabinet et rejetant les requêtes</w:t>
            </w:r>
          </w:p>
          <w:p w:rsidR="008905CF" w:rsidRPr="00982C2B" w:rsidRDefault="008905CF" w:rsidP="00275F20">
            <w:pPr>
              <w:pStyle w:val="SCCShortJudgment"/>
              <w:ind w:firstLine="0"/>
              <w:rPr>
                <w:rFonts w:cs="Times New Roman"/>
                <w:szCs w:val="20"/>
                <w:u w:val="single"/>
                <w:lang w:val="fr-CA"/>
              </w:rPr>
            </w:pPr>
          </w:p>
        </w:tc>
      </w:tr>
      <w:tr w:rsidR="008905CF" w:rsidRPr="009F3029" w:rsidTr="008905CF">
        <w:tc>
          <w:tcPr>
            <w:tcW w:w="4410" w:type="dxa"/>
            <w:gridSpan w:val="2"/>
          </w:tcPr>
          <w:p w:rsidR="008905CF" w:rsidRPr="00982C2B" w:rsidRDefault="008905CF" w:rsidP="00275F20">
            <w:pPr>
              <w:jc w:val="both"/>
              <w:rPr>
                <w:rFonts w:cs="Times New Roman"/>
                <w:sz w:val="20"/>
                <w:szCs w:val="20"/>
                <w:lang w:val="fr-CA"/>
              </w:rPr>
            </w:pPr>
            <w:r w:rsidRPr="00982C2B">
              <w:rPr>
                <w:rFonts w:cs="Times New Roman"/>
                <w:sz w:val="20"/>
                <w:szCs w:val="20"/>
                <w:lang w:val="fr-CA"/>
              </w:rPr>
              <w:t>21 octobre 2015</w:t>
            </w:r>
          </w:p>
          <w:p w:rsidR="008905CF" w:rsidRPr="00982C2B" w:rsidRDefault="008905CF" w:rsidP="00275F20">
            <w:pPr>
              <w:jc w:val="both"/>
              <w:rPr>
                <w:rFonts w:cs="Times New Roman"/>
                <w:sz w:val="20"/>
                <w:szCs w:val="20"/>
                <w:lang w:val="fr-CA"/>
              </w:rPr>
            </w:pPr>
            <w:r w:rsidRPr="00982C2B">
              <w:rPr>
                <w:rFonts w:cs="Times New Roman"/>
                <w:sz w:val="20"/>
                <w:szCs w:val="20"/>
                <w:lang w:val="fr-CA"/>
              </w:rPr>
              <w:t>Cour suprême du Canada</w:t>
            </w:r>
          </w:p>
          <w:p w:rsidR="008905CF" w:rsidRPr="00982C2B" w:rsidRDefault="008905CF" w:rsidP="00275F20">
            <w:pPr>
              <w:pStyle w:val="SCCShortJudgment"/>
              <w:ind w:firstLine="0"/>
              <w:rPr>
                <w:rFonts w:cs="Times New Roman"/>
                <w:szCs w:val="20"/>
                <w:u w:val="single"/>
                <w:lang w:val="fr-CA"/>
              </w:rPr>
            </w:pPr>
          </w:p>
        </w:tc>
        <w:tc>
          <w:tcPr>
            <w:tcW w:w="630" w:type="dxa"/>
          </w:tcPr>
          <w:p w:rsidR="008905CF" w:rsidRPr="00982C2B" w:rsidRDefault="008905CF" w:rsidP="00275F20">
            <w:pPr>
              <w:pStyle w:val="SCCShortJudgment"/>
              <w:ind w:firstLine="0"/>
              <w:rPr>
                <w:rFonts w:cs="Times New Roman"/>
                <w:szCs w:val="20"/>
                <w:u w:val="single"/>
                <w:lang w:val="fr-CA"/>
              </w:rPr>
            </w:pPr>
          </w:p>
        </w:tc>
        <w:tc>
          <w:tcPr>
            <w:tcW w:w="4536" w:type="dxa"/>
          </w:tcPr>
          <w:p w:rsidR="008905CF" w:rsidRPr="00982C2B" w:rsidRDefault="008905CF" w:rsidP="00275F20">
            <w:pPr>
              <w:pStyle w:val="SCCShortJudgment"/>
              <w:ind w:firstLine="0"/>
              <w:rPr>
                <w:rFonts w:cs="Times New Roman"/>
                <w:szCs w:val="20"/>
                <w:u w:val="single"/>
                <w:lang w:val="fr-CA"/>
              </w:rPr>
            </w:pPr>
            <w:r w:rsidRPr="00982C2B">
              <w:rPr>
                <w:rFonts w:cs="Times New Roman"/>
                <w:szCs w:val="20"/>
                <w:lang w:val="fr-CA"/>
              </w:rPr>
              <w:t>Dépôt de la requête en prorogation du délai de signification et de dépôt de la demande d’autorisation d’appel et de la demande d’autorisation d’appel</w:t>
            </w:r>
          </w:p>
        </w:tc>
      </w:tr>
    </w:tbl>
    <w:p w:rsidR="008905CF" w:rsidRPr="00982C2B" w:rsidRDefault="009F3029" w:rsidP="008905CF">
      <w:pPr>
        <w:rPr>
          <w:rFonts w:cs="Times New Roman"/>
          <w:sz w:val="20"/>
          <w:szCs w:val="20"/>
          <w:lang w:val="fr-CA"/>
        </w:rPr>
      </w:pPr>
      <w:r>
        <w:rPr>
          <w:rFonts w:cs="Times New Roman"/>
          <w:sz w:val="20"/>
          <w:szCs w:val="20"/>
          <w:lang w:val="fr-CA"/>
        </w:rPr>
        <w:pict>
          <v:rect id="_x0000_i1058" style="width:2in;height:1pt" o:hrpct="0" o:hralign="center" o:hrstd="t" o:hrnoshade="t" o:hr="t" fillcolor="black [3213]" stroked="f"/>
        </w:pict>
      </w:r>
    </w:p>
    <w:p w:rsidR="008905CF" w:rsidRPr="00982C2B" w:rsidRDefault="008905CF" w:rsidP="008905C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944C8" w:rsidRPr="00982C2B" w:rsidTr="009D18B6">
        <w:trPr>
          <w:cantSplit/>
        </w:trPr>
        <w:tc>
          <w:tcPr>
            <w:tcW w:w="1458" w:type="dxa"/>
          </w:tcPr>
          <w:p w:rsidR="00B944C8" w:rsidRPr="00982C2B" w:rsidRDefault="00B944C8" w:rsidP="00275F20">
            <w:pPr>
              <w:jc w:val="both"/>
              <w:rPr>
                <w:rFonts w:cs="Times New Roman"/>
                <w:sz w:val="20"/>
                <w:szCs w:val="20"/>
              </w:rPr>
            </w:pPr>
            <w:r w:rsidRPr="00982C2B">
              <w:rPr>
                <w:rStyle w:val="SCCFileNumberChar"/>
                <w:sz w:val="20"/>
                <w:szCs w:val="20"/>
              </w:rPr>
              <w:t>36701</w:t>
            </w:r>
          </w:p>
          <w:p w:rsidR="00B944C8" w:rsidRPr="00982C2B" w:rsidRDefault="00B944C8" w:rsidP="00275F20">
            <w:pPr>
              <w:jc w:val="both"/>
              <w:rPr>
                <w:rFonts w:cs="Times New Roman"/>
                <w:b/>
                <w:sz w:val="20"/>
                <w:szCs w:val="20"/>
              </w:rPr>
            </w:pPr>
          </w:p>
        </w:tc>
        <w:tc>
          <w:tcPr>
            <w:tcW w:w="8118" w:type="dxa"/>
            <w:gridSpan w:val="3"/>
          </w:tcPr>
          <w:p w:rsidR="00B944C8" w:rsidRPr="00982C2B" w:rsidRDefault="00B944C8" w:rsidP="00275F20">
            <w:pPr>
              <w:jc w:val="both"/>
              <w:rPr>
                <w:rFonts w:cs="Times New Roman"/>
                <w:sz w:val="20"/>
                <w:szCs w:val="20"/>
              </w:rPr>
            </w:pPr>
            <w:r w:rsidRPr="00982C2B">
              <w:rPr>
                <w:rStyle w:val="SCCLsocChar"/>
                <w:rFonts w:cs="Times New Roman"/>
                <w:sz w:val="20"/>
                <w:szCs w:val="20"/>
                <w:lang w:val="en-CA"/>
              </w:rPr>
              <w:t xml:space="preserve">Michêle Bergeron v. Attorney General of Canada </w:t>
            </w:r>
            <w:r w:rsidRPr="00982C2B">
              <w:rPr>
                <w:rFonts w:cs="Times New Roman"/>
                <w:sz w:val="20"/>
                <w:szCs w:val="20"/>
              </w:rPr>
              <w:t>(</w:t>
            </w:r>
            <w:r w:rsidR="00275F20" w:rsidRPr="00982C2B">
              <w:rPr>
                <w:rFonts w:cs="Times New Roman"/>
                <w:sz w:val="20"/>
                <w:szCs w:val="20"/>
              </w:rPr>
              <w:t>F.C.</w:t>
            </w:r>
            <w:r w:rsidRPr="00982C2B">
              <w:rPr>
                <w:rFonts w:cs="Times New Roman"/>
                <w:sz w:val="20"/>
                <w:szCs w:val="20"/>
              </w:rPr>
              <w:t>) (Civil) (By Leave)</w:t>
            </w:r>
          </w:p>
          <w:p w:rsidR="00B944C8" w:rsidRPr="00982C2B" w:rsidRDefault="00B944C8" w:rsidP="00275F20">
            <w:pPr>
              <w:jc w:val="both"/>
              <w:rPr>
                <w:rFonts w:cs="Times New Roman"/>
                <w:sz w:val="20"/>
                <w:szCs w:val="20"/>
              </w:rPr>
            </w:pPr>
          </w:p>
        </w:tc>
      </w:tr>
      <w:tr w:rsidR="00B944C8" w:rsidRPr="00982C2B" w:rsidTr="009D18B6">
        <w:trPr>
          <w:cantSplit/>
        </w:trPr>
        <w:tc>
          <w:tcPr>
            <w:tcW w:w="1458" w:type="dxa"/>
          </w:tcPr>
          <w:p w:rsidR="00B944C8" w:rsidRPr="00982C2B" w:rsidRDefault="00B944C8" w:rsidP="00275F20">
            <w:pPr>
              <w:jc w:val="both"/>
              <w:rPr>
                <w:rFonts w:cs="Times New Roman"/>
                <w:sz w:val="20"/>
                <w:szCs w:val="20"/>
              </w:rPr>
            </w:pPr>
            <w:r w:rsidRPr="00982C2B">
              <w:rPr>
                <w:rFonts w:cs="Times New Roman"/>
                <w:sz w:val="20"/>
                <w:szCs w:val="20"/>
              </w:rPr>
              <w:t>Coram :</w:t>
            </w:r>
          </w:p>
        </w:tc>
        <w:tc>
          <w:tcPr>
            <w:tcW w:w="8118" w:type="dxa"/>
            <w:gridSpan w:val="3"/>
          </w:tcPr>
          <w:p w:rsidR="00B944C8" w:rsidRPr="00982C2B" w:rsidRDefault="00B944C8" w:rsidP="00275F20">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B944C8" w:rsidRPr="00982C2B" w:rsidRDefault="00B944C8" w:rsidP="00275F20">
            <w:pPr>
              <w:jc w:val="both"/>
              <w:rPr>
                <w:rFonts w:cs="Times New Roman"/>
                <w:sz w:val="20"/>
                <w:szCs w:val="20"/>
                <w:u w:val="single"/>
              </w:rPr>
            </w:pPr>
          </w:p>
        </w:tc>
      </w:tr>
      <w:tr w:rsidR="00B944C8" w:rsidRPr="009F3029" w:rsidTr="009D18B6">
        <w:trPr>
          <w:cantSplit/>
        </w:trPr>
        <w:tc>
          <w:tcPr>
            <w:tcW w:w="9576" w:type="dxa"/>
            <w:gridSpan w:val="4"/>
          </w:tcPr>
          <w:p w:rsidR="00B944C8" w:rsidRPr="00982C2B" w:rsidRDefault="00B944C8" w:rsidP="00275F20">
            <w:pPr>
              <w:pStyle w:val="SCCShortJudgment"/>
              <w:ind w:firstLine="0"/>
              <w:rPr>
                <w:rFonts w:cs="Times New Roman"/>
                <w:szCs w:val="20"/>
              </w:rPr>
            </w:pPr>
            <w:r w:rsidRPr="00982C2B">
              <w:rPr>
                <w:rFonts w:cs="Times New Roman"/>
                <w:szCs w:val="20"/>
              </w:rPr>
              <w:tab/>
              <w:t>The motion for an extension of time to serve and file the application for leave to appeal is granted. The application for leave to appeal from the judgment of the Federal Court of Appeal, Number A-141-13, 2015 FCA 160, dated July 7, 2015, is dismissed with costs.</w:t>
            </w:r>
          </w:p>
          <w:p w:rsidR="00B944C8" w:rsidRPr="00982C2B" w:rsidRDefault="00B944C8" w:rsidP="00275F20">
            <w:pPr>
              <w:pStyle w:val="SCCShortJudgment"/>
              <w:ind w:firstLine="0"/>
              <w:rPr>
                <w:rFonts w:cs="Times New Roman"/>
                <w:szCs w:val="20"/>
              </w:rPr>
            </w:pPr>
          </w:p>
          <w:p w:rsidR="00B944C8" w:rsidRPr="00982C2B" w:rsidRDefault="00B944C8" w:rsidP="00275F20">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requête en prorogation du délai de signification et de dépôt de la demande d’autorisation d’appel est accueillie. La demande d’autorisation d’appel de l’arrêt de la </w:t>
            </w:r>
            <w:r w:rsidRPr="00982C2B">
              <w:rPr>
                <w:rFonts w:cs="Times New Roman"/>
                <w:szCs w:val="20"/>
                <w:lang w:val="fr-FR"/>
              </w:rPr>
              <w:t>Cour d’appel fédérale</w:t>
            </w:r>
            <w:r w:rsidRPr="00982C2B">
              <w:rPr>
                <w:rFonts w:cs="Times New Roman"/>
                <w:szCs w:val="20"/>
                <w:lang w:val="fr-CA"/>
              </w:rPr>
              <w:t xml:space="preserve">, numéro </w:t>
            </w:r>
            <w:r w:rsidRPr="00982C2B">
              <w:rPr>
                <w:rFonts w:cs="Times New Roman"/>
                <w:szCs w:val="20"/>
                <w:lang w:val="fr-FR"/>
              </w:rPr>
              <w:t>A-141-13, 2015 FCA 160</w:t>
            </w:r>
            <w:r w:rsidRPr="00982C2B">
              <w:rPr>
                <w:rFonts w:cs="Times New Roman"/>
                <w:szCs w:val="20"/>
                <w:lang w:val="fr-CA"/>
              </w:rPr>
              <w:t xml:space="preserve">, daté du </w:t>
            </w:r>
            <w:r w:rsidRPr="00982C2B">
              <w:rPr>
                <w:rFonts w:cs="Times New Roman"/>
                <w:szCs w:val="20"/>
                <w:lang w:val="fr-FR"/>
              </w:rPr>
              <w:t>7 juillet 2015</w:t>
            </w:r>
            <w:r w:rsidRPr="00982C2B">
              <w:rPr>
                <w:rFonts w:cs="Times New Roman"/>
                <w:szCs w:val="20"/>
                <w:lang w:val="fr-CA"/>
              </w:rPr>
              <w:t>, est rejetée avec dépens.</w:t>
            </w:r>
          </w:p>
          <w:p w:rsidR="00B944C8" w:rsidRPr="00982C2B" w:rsidRDefault="00B944C8" w:rsidP="00275F20">
            <w:pPr>
              <w:pStyle w:val="SCCShortJudgment"/>
              <w:ind w:firstLine="0"/>
              <w:rPr>
                <w:rFonts w:cs="Times New Roman"/>
                <w:szCs w:val="20"/>
                <w:lang w:val="fr-CA"/>
              </w:rPr>
            </w:pPr>
          </w:p>
        </w:tc>
      </w:tr>
      <w:tr w:rsidR="00B944C8" w:rsidRPr="00982C2B" w:rsidTr="009D18B6">
        <w:trPr>
          <w:cantSplit/>
        </w:trPr>
        <w:tc>
          <w:tcPr>
            <w:tcW w:w="9576" w:type="dxa"/>
            <w:gridSpan w:val="4"/>
          </w:tcPr>
          <w:p w:rsidR="00B944C8" w:rsidRPr="00982C2B" w:rsidRDefault="00B944C8" w:rsidP="00275F20">
            <w:pPr>
              <w:pStyle w:val="SCCShortJudgment"/>
              <w:ind w:firstLine="0"/>
              <w:rPr>
                <w:rFonts w:cs="Times New Roman"/>
                <w:szCs w:val="20"/>
                <w:u w:val="single"/>
                <w:lang w:val="fr-CA"/>
              </w:rPr>
            </w:pPr>
            <w:r w:rsidRPr="00982C2B">
              <w:rPr>
                <w:rFonts w:cs="Times New Roman"/>
                <w:szCs w:val="20"/>
                <w:u w:val="single"/>
                <w:lang w:val="fr-CA"/>
              </w:rPr>
              <w:t>CASE SUMMARY</w:t>
            </w:r>
          </w:p>
          <w:p w:rsidR="00B944C8" w:rsidRPr="00982C2B" w:rsidRDefault="00B944C8" w:rsidP="00275F20">
            <w:pPr>
              <w:pStyle w:val="SCCShortJudgment"/>
              <w:ind w:firstLine="0"/>
              <w:rPr>
                <w:rFonts w:cs="Times New Roman"/>
                <w:szCs w:val="20"/>
                <w:u w:val="single"/>
                <w:lang w:val="fr-CA"/>
              </w:rPr>
            </w:pPr>
          </w:p>
        </w:tc>
      </w:tr>
      <w:tr w:rsidR="00B944C8" w:rsidRPr="00982C2B" w:rsidTr="009D18B6">
        <w:trPr>
          <w:cantSplit/>
        </w:trPr>
        <w:tc>
          <w:tcPr>
            <w:tcW w:w="9576" w:type="dxa"/>
            <w:gridSpan w:val="4"/>
          </w:tcPr>
          <w:p w:rsidR="00B944C8" w:rsidRPr="00982C2B" w:rsidRDefault="00B944C8" w:rsidP="00275F20">
            <w:pPr>
              <w:pStyle w:val="SCCShortJudgment"/>
              <w:ind w:firstLine="0"/>
              <w:rPr>
                <w:rFonts w:cs="Times New Roman"/>
                <w:szCs w:val="20"/>
              </w:rPr>
            </w:pPr>
            <w:r w:rsidRPr="00982C2B">
              <w:rPr>
                <w:rFonts w:cs="Times New Roman"/>
                <w:szCs w:val="20"/>
              </w:rPr>
              <w:t xml:space="preserve">Human rights — Jurisdiction — Whether a human rights tribunal can decline jurisdiction over a complaint on the basis that the respondent to the complaint dismissed an internal grievance on the same issue — </w:t>
            </w:r>
            <w:r w:rsidRPr="00982C2B">
              <w:rPr>
                <w:rFonts w:cs="Times New Roman"/>
                <w:i/>
                <w:szCs w:val="20"/>
              </w:rPr>
              <w:t>Canadian Human Rights Act</w:t>
            </w:r>
            <w:r w:rsidRPr="00982C2B">
              <w:rPr>
                <w:rFonts w:cs="Times New Roman"/>
                <w:szCs w:val="20"/>
              </w:rPr>
              <w:t>, R.S.C. 1985, c. H-6, s. 41(1)(</w:t>
            </w:r>
            <w:r w:rsidRPr="00982C2B">
              <w:rPr>
                <w:rFonts w:cs="Times New Roman"/>
                <w:i/>
                <w:szCs w:val="20"/>
              </w:rPr>
              <w:t>d</w:t>
            </w:r>
            <w:r w:rsidRPr="00982C2B">
              <w:rPr>
                <w:rFonts w:cs="Times New Roman"/>
                <w:szCs w:val="20"/>
              </w:rPr>
              <w:t>).</w:t>
            </w:r>
          </w:p>
          <w:p w:rsidR="00B944C8" w:rsidRPr="00982C2B" w:rsidRDefault="00B944C8" w:rsidP="00275F20">
            <w:pPr>
              <w:pStyle w:val="SCCShortJudgment"/>
              <w:ind w:firstLine="0"/>
              <w:rPr>
                <w:rFonts w:cs="Times New Roman"/>
                <w:szCs w:val="20"/>
              </w:rPr>
            </w:pPr>
          </w:p>
        </w:tc>
      </w:tr>
      <w:tr w:rsidR="00B944C8" w:rsidRPr="00982C2B" w:rsidTr="00B944C8">
        <w:tc>
          <w:tcPr>
            <w:tcW w:w="9576" w:type="dxa"/>
            <w:gridSpan w:val="4"/>
          </w:tcPr>
          <w:p w:rsidR="00B944C8" w:rsidRPr="00982C2B" w:rsidRDefault="00B944C8" w:rsidP="00275F20">
            <w:pPr>
              <w:jc w:val="both"/>
              <w:rPr>
                <w:rFonts w:cs="Times New Roman"/>
                <w:sz w:val="20"/>
                <w:szCs w:val="20"/>
              </w:rPr>
            </w:pPr>
            <w:r w:rsidRPr="00982C2B">
              <w:rPr>
                <w:rFonts w:cs="Times New Roman"/>
                <w:sz w:val="20"/>
                <w:szCs w:val="20"/>
              </w:rPr>
              <w:t xml:space="preserve">Ms. Bergeron was a lawyer at the Department of Justice (the “Department”) when she was granted sick leave, disability leave and later, extensions to her leave. Ultimately, Ms. Bergeron filed grievances with the Department and complaints with the Canadian Human Rights Commission (the “Commission”) under the </w:t>
            </w:r>
            <w:r w:rsidRPr="00982C2B">
              <w:rPr>
                <w:rFonts w:cs="Times New Roman"/>
                <w:i/>
                <w:sz w:val="20"/>
                <w:szCs w:val="20"/>
              </w:rPr>
              <w:t xml:space="preserve">Canadian Human Rights Act </w:t>
            </w:r>
            <w:r w:rsidRPr="00982C2B">
              <w:rPr>
                <w:rFonts w:cs="Times New Roman"/>
                <w:sz w:val="20"/>
                <w:szCs w:val="20"/>
              </w:rPr>
              <w:t>(“</w:t>
            </w:r>
            <w:r w:rsidRPr="00982C2B">
              <w:rPr>
                <w:rFonts w:cs="Times New Roman"/>
                <w:i/>
                <w:sz w:val="20"/>
                <w:szCs w:val="20"/>
              </w:rPr>
              <w:t>CHRA</w:t>
            </w:r>
            <w:r w:rsidRPr="00982C2B">
              <w:rPr>
                <w:rFonts w:cs="Times New Roman"/>
                <w:sz w:val="20"/>
                <w:szCs w:val="20"/>
              </w:rPr>
              <w:t xml:space="preserve">”). The grievance officer, a senior executive in the Department, found no violation of the </w:t>
            </w:r>
            <w:r w:rsidRPr="00982C2B">
              <w:rPr>
                <w:rFonts w:cs="Times New Roman"/>
                <w:i/>
                <w:sz w:val="20"/>
                <w:szCs w:val="20"/>
              </w:rPr>
              <w:t>CHRA</w:t>
            </w:r>
            <w:r w:rsidRPr="00982C2B">
              <w:rPr>
                <w:rFonts w:cs="Times New Roman"/>
                <w:sz w:val="20"/>
                <w:szCs w:val="20"/>
              </w:rPr>
              <w:t xml:space="preserve">, however upheld Ms. Bergeron’s grievance in part by authorizing a further five month period of leave without pay to allow discussions to take place concerning a return-to-work plan. </w:t>
            </w:r>
          </w:p>
          <w:p w:rsidR="00B944C8" w:rsidRPr="00982C2B" w:rsidRDefault="00B944C8" w:rsidP="00275F20">
            <w:pPr>
              <w:jc w:val="both"/>
              <w:rPr>
                <w:rFonts w:cs="Times New Roman"/>
                <w:sz w:val="20"/>
                <w:szCs w:val="20"/>
              </w:rPr>
            </w:pPr>
          </w:p>
          <w:p w:rsidR="00B944C8" w:rsidRPr="00982C2B" w:rsidRDefault="00B944C8" w:rsidP="00275F20">
            <w:pPr>
              <w:jc w:val="both"/>
              <w:rPr>
                <w:rFonts w:cs="Times New Roman"/>
                <w:sz w:val="20"/>
                <w:szCs w:val="20"/>
              </w:rPr>
            </w:pPr>
            <w:r w:rsidRPr="00982C2B">
              <w:rPr>
                <w:rFonts w:cs="Times New Roman"/>
                <w:sz w:val="20"/>
                <w:szCs w:val="20"/>
              </w:rPr>
              <w:t>With regards to the human rights complaint, the Commission assigned an investigator to look into Ms. Bergeron’s complaint. The investigator considered submissions from the parties and issued a report recommending that the complaint be dismissed under paragraph 41(1)(</w:t>
            </w:r>
            <w:r w:rsidRPr="00982C2B">
              <w:rPr>
                <w:rFonts w:cs="Times New Roman"/>
                <w:i/>
                <w:sz w:val="20"/>
                <w:szCs w:val="20"/>
              </w:rPr>
              <w:t>d</w:t>
            </w:r>
            <w:r w:rsidRPr="00982C2B">
              <w:rPr>
                <w:rFonts w:cs="Times New Roman"/>
                <w:sz w:val="20"/>
                <w:szCs w:val="20"/>
              </w:rPr>
              <w:t xml:space="preserve">) of the </w:t>
            </w:r>
            <w:r w:rsidRPr="00982C2B">
              <w:rPr>
                <w:rFonts w:cs="Times New Roman"/>
                <w:i/>
                <w:sz w:val="20"/>
                <w:szCs w:val="20"/>
              </w:rPr>
              <w:t>CHRA</w:t>
            </w:r>
            <w:r w:rsidRPr="00982C2B">
              <w:rPr>
                <w:rFonts w:cs="Times New Roman"/>
                <w:sz w:val="20"/>
                <w:szCs w:val="20"/>
              </w:rPr>
              <w:t xml:space="preserve"> because the “allegations of discrimination in the complaint were addressed through a review procedure otherwise reasonably available to the complainant”. The Commission accepted the recommendation of the investigator and dismissed Ms. Bergeron’s complaint under paragraph 41(1)(</w:t>
            </w:r>
            <w:r w:rsidRPr="00982C2B">
              <w:rPr>
                <w:rFonts w:cs="Times New Roman"/>
                <w:i/>
                <w:sz w:val="20"/>
                <w:szCs w:val="20"/>
              </w:rPr>
              <w:t>d</w:t>
            </w:r>
            <w:r w:rsidRPr="00982C2B">
              <w:rPr>
                <w:rFonts w:cs="Times New Roman"/>
                <w:sz w:val="20"/>
                <w:szCs w:val="20"/>
              </w:rPr>
              <w:t>). Ms. Bergeron applied to the Federal Court to set aside the Commission’s decision. The Federal Court dismissed Ms. Bergeron’s application for judicial review. The Federal Court of Appeal dismissed her appeal.</w:t>
            </w:r>
          </w:p>
          <w:p w:rsidR="00B944C8" w:rsidRPr="00982C2B" w:rsidRDefault="00B944C8" w:rsidP="00275F20">
            <w:pPr>
              <w:pStyle w:val="SCCShortJudgment"/>
              <w:ind w:firstLine="0"/>
              <w:rPr>
                <w:rFonts w:cs="Times New Roman"/>
                <w:szCs w:val="20"/>
              </w:rPr>
            </w:pPr>
          </w:p>
        </w:tc>
      </w:tr>
      <w:tr w:rsidR="00B944C8" w:rsidRPr="00982C2B" w:rsidTr="009D18B6">
        <w:trPr>
          <w:cantSplit/>
        </w:trPr>
        <w:tc>
          <w:tcPr>
            <w:tcW w:w="4410" w:type="dxa"/>
            <w:gridSpan w:val="2"/>
          </w:tcPr>
          <w:p w:rsidR="00B944C8" w:rsidRPr="00982C2B" w:rsidRDefault="00B944C8" w:rsidP="00275F20">
            <w:pPr>
              <w:jc w:val="both"/>
              <w:rPr>
                <w:rFonts w:cs="Times New Roman"/>
                <w:sz w:val="20"/>
                <w:szCs w:val="20"/>
              </w:rPr>
            </w:pPr>
            <w:r w:rsidRPr="00982C2B">
              <w:rPr>
                <w:rFonts w:cs="Times New Roman"/>
                <w:sz w:val="20"/>
                <w:szCs w:val="20"/>
              </w:rPr>
              <w:t>March 25, 2013</w:t>
            </w:r>
          </w:p>
          <w:p w:rsidR="00B944C8" w:rsidRPr="00982C2B" w:rsidRDefault="00B944C8" w:rsidP="00275F20">
            <w:pPr>
              <w:jc w:val="both"/>
              <w:rPr>
                <w:rFonts w:cs="Times New Roman"/>
                <w:sz w:val="20"/>
                <w:szCs w:val="20"/>
              </w:rPr>
            </w:pPr>
            <w:r w:rsidRPr="00982C2B">
              <w:rPr>
                <w:rFonts w:cs="Times New Roman"/>
                <w:sz w:val="20"/>
                <w:szCs w:val="20"/>
              </w:rPr>
              <w:t>Federal Court</w:t>
            </w:r>
          </w:p>
          <w:p w:rsidR="00B944C8" w:rsidRPr="00982C2B" w:rsidRDefault="00B944C8" w:rsidP="00275F20">
            <w:pPr>
              <w:jc w:val="both"/>
              <w:rPr>
                <w:rFonts w:cs="Times New Roman"/>
                <w:sz w:val="20"/>
                <w:szCs w:val="20"/>
              </w:rPr>
            </w:pPr>
            <w:r w:rsidRPr="00982C2B">
              <w:rPr>
                <w:rFonts w:cs="Times New Roman"/>
                <w:sz w:val="20"/>
                <w:szCs w:val="20"/>
              </w:rPr>
              <w:t>(Zinn J.)</w:t>
            </w:r>
          </w:p>
          <w:p w:rsidR="00B944C8" w:rsidRPr="00982C2B" w:rsidRDefault="009F3029" w:rsidP="00275F20">
            <w:pPr>
              <w:jc w:val="both"/>
              <w:rPr>
                <w:rFonts w:cs="Times New Roman"/>
                <w:sz w:val="20"/>
                <w:szCs w:val="20"/>
              </w:rPr>
            </w:pPr>
            <w:hyperlink r:id="rId54" w:history="1">
              <w:r w:rsidR="00B944C8" w:rsidRPr="00982C2B">
                <w:rPr>
                  <w:rStyle w:val="Hyperlink"/>
                  <w:rFonts w:cs="Times New Roman"/>
                  <w:sz w:val="20"/>
                  <w:szCs w:val="20"/>
                </w:rPr>
                <w:t>2013 FC 301</w:t>
              </w:r>
            </w:hyperlink>
            <w:r w:rsidR="00B944C8" w:rsidRPr="00982C2B">
              <w:rPr>
                <w:rFonts w:cs="Times New Roman"/>
                <w:sz w:val="20"/>
                <w:szCs w:val="20"/>
              </w:rPr>
              <w:t>; T-316-12</w:t>
            </w:r>
          </w:p>
          <w:p w:rsidR="00B944C8" w:rsidRPr="00982C2B" w:rsidRDefault="00B944C8" w:rsidP="00275F20">
            <w:pPr>
              <w:jc w:val="both"/>
              <w:rPr>
                <w:rFonts w:cs="Times New Roman"/>
                <w:sz w:val="20"/>
                <w:szCs w:val="20"/>
              </w:rPr>
            </w:pPr>
          </w:p>
        </w:tc>
        <w:tc>
          <w:tcPr>
            <w:tcW w:w="630" w:type="dxa"/>
          </w:tcPr>
          <w:p w:rsidR="00B944C8" w:rsidRPr="00982C2B" w:rsidRDefault="00B944C8" w:rsidP="00275F20">
            <w:pPr>
              <w:pStyle w:val="SCCShortJudgment"/>
              <w:ind w:firstLine="0"/>
              <w:rPr>
                <w:rFonts w:cs="Times New Roman"/>
                <w:szCs w:val="20"/>
              </w:rPr>
            </w:pPr>
          </w:p>
        </w:tc>
        <w:tc>
          <w:tcPr>
            <w:tcW w:w="4536" w:type="dxa"/>
          </w:tcPr>
          <w:p w:rsidR="00B944C8" w:rsidRPr="00982C2B" w:rsidRDefault="00B944C8" w:rsidP="00275F20">
            <w:pPr>
              <w:jc w:val="both"/>
              <w:rPr>
                <w:rFonts w:cs="Times New Roman"/>
                <w:sz w:val="20"/>
                <w:szCs w:val="20"/>
              </w:rPr>
            </w:pPr>
            <w:r w:rsidRPr="00982C2B">
              <w:rPr>
                <w:rFonts w:cs="Times New Roman"/>
                <w:sz w:val="20"/>
                <w:szCs w:val="20"/>
              </w:rPr>
              <w:t>Application for judicial review dismissed</w:t>
            </w:r>
          </w:p>
          <w:p w:rsidR="00B944C8" w:rsidRPr="00982C2B" w:rsidRDefault="00B944C8" w:rsidP="00275F20">
            <w:pPr>
              <w:jc w:val="both"/>
              <w:rPr>
                <w:rFonts w:cs="Times New Roman"/>
                <w:sz w:val="20"/>
                <w:szCs w:val="20"/>
              </w:rPr>
            </w:pPr>
          </w:p>
        </w:tc>
      </w:tr>
      <w:tr w:rsidR="00B944C8" w:rsidRPr="00982C2B" w:rsidTr="009D18B6">
        <w:trPr>
          <w:cantSplit/>
        </w:trPr>
        <w:tc>
          <w:tcPr>
            <w:tcW w:w="4410" w:type="dxa"/>
            <w:gridSpan w:val="2"/>
          </w:tcPr>
          <w:p w:rsidR="00B944C8" w:rsidRPr="00982C2B" w:rsidRDefault="00B944C8" w:rsidP="00275F20">
            <w:pPr>
              <w:jc w:val="both"/>
              <w:rPr>
                <w:rFonts w:cs="Times New Roman"/>
                <w:sz w:val="20"/>
                <w:szCs w:val="20"/>
              </w:rPr>
            </w:pPr>
            <w:r w:rsidRPr="00982C2B">
              <w:rPr>
                <w:rFonts w:cs="Times New Roman"/>
                <w:sz w:val="20"/>
                <w:szCs w:val="20"/>
              </w:rPr>
              <w:t>July 7, 2015</w:t>
            </w:r>
          </w:p>
          <w:p w:rsidR="00B944C8" w:rsidRPr="00982C2B" w:rsidRDefault="00B944C8" w:rsidP="00275F20">
            <w:pPr>
              <w:jc w:val="both"/>
              <w:rPr>
                <w:rFonts w:cs="Times New Roman"/>
                <w:sz w:val="20"/>
                <w:szCs w:val="20"/>
              </w:rPr>
            </w:pPr>
            <w:r w:rsidRPr="00982C2B">
              <w:rPr>
                <w:rFonts w:cs="Times New Roman"/>
                <w:sz w:val="20"/>
                <w:szCs w:val="20"/>
              </w:rPr>
              <w:t>Federal Court of Appeal</w:t>
            </w:r>
          </w:p>
          <w:p w:rsidR="00B944C8" w:rsidRPr="00982C2B" w:rsidRDefault="00B944C8" w:rsidP="00275F20">
            <w:pPr>
              <w:jc w:val="both"/>
              <w:rPr>
                <w:rFonts w:cs="Times New Roman"/>
                <w:sz w:val="20"/>
                <w:szCs w:val="20"/>
              </w:rPr>
            </w:pPr>
            <w:r w:rsidRPr="00982C2B">
              <w:rPr>
                <w:rFonts w:cs="Times New Roman"/>
                <w:sz w:val="20"/>
                <w:szCs w:val="20"/>
              </w:rPr>
              <w:t>(Trudel, Stratas and Webb JJ.A.)</w:t>
            </w:r>
          </w:p>
          <w:p w:rsidR="00B944C8" w:rsidRPr="00982C2B" w:rsidRDefault="009F3029" w:rsidP="00275F20">
            <w:pPr>
              <w:jc w:val="both"/>
              <w:rPr>
                <w:rFonts w:cs="Times New Roman"/>
                <w:sz w:val="20"/>
                <w:szCs w:val="20"/>
              </w:rPr>
            </w:pPr>
            <w:hyperlink r:id="rId55" w:history="1">
              <w:r w:rsidR="00B944C8" w:rsidRPr="00982C2B">
                <w:rPr>
                  <w:rStyle w:val="Hyperlink"/>
                  <w:rFonts w:cs="Times New Roman"/>
                  <w:sz w:val="20"/>
                  <w:szCs w:val="20"/>
                </w:rPr>
                <w:t>2015 FCA 160</w:t>
              </w:r>
            </w:hyperlink>
            <w:r w:rsidR="00B944C8" w:rsidRPr="00982C2B">
              <w:rPr>
                <w:rFonts w:cs="Times New Roman"/>
                <w:sz w:val="20"/>
                <w:szCs w:val="20"/>
              </w:rPr>
              <w:t>; A-141-13</w:t>
            </w:r>
          </w:p>
          <w:p w:rsidR="00B944C8" w:rsidRPr="00982C2B" w:rsidRDefault="00B944C8" w:rsidP="00275F20">
            <w:pPr>
              <w:jc w:val="both"/>
              <w:rPr>
                <w:rFonts w:cs="Times New Roman"/>
                <w:sz w:val="20"/>
                <w:szCs w:val="20"/>
              </w:rPr>
            </w:pPr>
          </w:p>
        </w:tc>
        <w:tc>
          <w:tcPr>
            <w:tcW w:w="630" w:type="dxa"/>
          </w:tcPr>
          <w:p w:rsidR="00B944C8" w:rsidRPr="00982C2B" w:rsidRDefault="00B944C8" w:rsidP="00275F20">
            <w:pPr>
              <w:pStyle w:val="SCCShortJudgment"/>
              <w:ind w:firstLine="0"/>
              <w:rPr>
                <w:rFonts w:cs="Times New Roman"/>
                <w:szCs w:val="20"/>
              </w:rPr>
            </w:pPr>
          </w:p>
        </w:tc>
        <w:tc>
          <w:tcPr>
            <w:tcW w:w="4536" w:type="dxa"/>
          </w:tcPr>
          <w:p w:rsidR="00B944C8" w:rsidRPr="00982C2B" w:rsidRDefault="00B944C8" w:rsidP="00275F20">
            <w:pPr>
              <w:jc w:val="both"/>
              <w:rPr>
                <w:rFonts w:cs="Times New Roman"/>
                <w:sz w:val="20"/>
                <w:szCs w:val="20"/>
              </w:rPr>
            </w:pPr>
            <w:r w:rsidRPr="00982C2B">
              <w:rPr>
                <w:rFonts w:cs="Times New Roman"/>
                <w:sz w:val="20"/>
                <w:szCs w:val="20"/>
              </w:rPr>
              <w:t>Appeal dismissed</w:t>
            </w:r>
          </w:p>
          <w:p w:rsidR="00B944C8" w:rsidRPr="00982C2B" w:rsidRDefault="00B944C8" w:rsidP="00275F20">
            <w:pPr>
              <w:jc w:val="both"/>
              <w:rPr>
                <w:rFonts w:cs="Times New Roman"/>
                <w:sz w:val="20"/>
                <w:szCs w:val="20"/>
              </w:rPr>
            </w:pPr>
          </w:p>
        </w:tc>
      </w:tr>
      <w:tr w:rsidR="00B944C8" w:rsidRPr="00982C2B" w:rsidTr="009D18B6">
        <w:trPr>
          <w:cantSplit/>
        </w:trPr>
        <w:tc>
          <w:tcPr>
            <w:tcW w:w="4410" w:type="dxa"/>
            <w:gridSpan w:val="2"/>
          </w:tcPr>
          <w:p w:rsidR="00B944C8" w:rsidRPr="00982C2B" w:rsidRDefault="00B944C8" w:rsidP="00275F20">
            <w:pPr>
              <w:jc w:val="both"/>
              <w:rPr>
                <w:rFonts w:cs="Times New Roman"/>
                <w:sz w:val="20"/>
                <w:szCs w:val="20"/>
              </w:rPr>
            </w:pPr>
            <w:r w:rsidRPr="00982C2B">
              <w:rPr>
                <w:rFonts w:cs="Times New Roman"/>
                <w:sz w:val="20"/>
                <w:szCs w:val="20"/>
              </w:rPr>
              <w:t>October 26, 2015</w:t>
            </w:r>
          </w:p>
          <w:p w:rsidR="00B944C8" w:rsidRPr="00982C2B" w:rsidRDefault="00B944C8" w:rsidP="00275F20">
            <w:pPr>
              <w:jc w:val="both"/>
              <w:rPr>
                <w:rFonts w:cs="Times New Roman"/>
                <w:sz w:val="20"/>
                <w:szCs w:val="20"/>
              </w:rPr>
            </w:pPr>
            <w:r w:rsidRPr="00982C2B">
              <w:rPr>
                <w:rFonts w:cs="Times New Roman"/>
                <w:sz w:val="20"/>
                <w:szCs w:val="20"/>
              </w:rPr>
              <w:t>Supreme Court of Canada</w:t>
            </w:r>
          </w:p>
          <w:p w:rsidR="00B944C8" w:rsidRPr="00982C2B" w:rsidRDefault="00B944C8" w:rsidP="00275F20">
            <w:pPr>
              <w:jc w:val="both"/>
              <w:rPr>
                <w:rFonts w:cs="Times New Roman"/>
                <w:sz w:val="20"/>
                <w:szCs w:val="20"/>
              </w:rPr>
            </w:pPr>
          </w:p>
        </w:tc>
        <w:tc>
          <w:tcPr>
            <w:tcW w:w="630" w:type="dxa"/>
          </w:tcPr>
          <w:p w:rsidR="00B944C8" w:rsidRPr="00982C2B" w:rsidRDefault="00B944C8" w:rsidP="00275F20">
            <w:pPr>
              <w:pStyle w:val="SCCShortJudgment"/>
              <w:ind w:firstLine="0"/>
              <w:rPr>
                <w:rFonts w:cs="Times New Roman"/>
                <w:szCs w:val="20"/>
              </w:rPr>
            </w:pPr>
          </w:p>
        </w:tc>
        <w:tc>
          <w:tcPr>
            <w:tcW w:w="4536" w:type="dxa"/>
          </w:tcPr>
          <w:p w:rsidR="00B944C8" w:rsidRPr="00982C2B" w:rsidRDefault="00B944C8" w:rsidP="00275F20">
            <w:pPr>
              <w:jc w:val="both"/>
              <w:rPr>
                <w:rFonts w:cs="Times New Roman"/>
                <w:sz w:val="20"/>
                <w:szCs w:val="20"/>
              </w:rPr>
            </w:pPr>
            <w:r w:rsidRPr="00982C2B">
              <w:rPr>
                <w:rFonts w:cs="Times New Roman"/>
                <w:sz w:val="20"/>
                <w:szCs w:val="20"/>
              </w:rPr>
              <w:t>Motion for extension of time to serve and file leave application and Application for leave to appeal filed</w:t>
            </w:r>
          </w:p>
          <w:p w:rsidR="00B944C8" w:rsidRPr="00982C2B" w:rsidRDefault="00B944C8" w:rsidP="00275F20">
            <w:pPr>
              <w:jc w:val="both"/>
              <w:rPr>
                <w:rFonts w:cs="Times New Roman"/>
                <w:sz w:val="20"/>
                <w:szCs w:val="20"/>
              </w:rPr>
            </w:pPr>
          </w:p>
        </w:tc>
      </w:tr>
      <w:tr w:rsidR="00B944C8" w:rsidRPr="00982C2B" w:rsidTr="009D18B6">
        <w:trPr>
          <w:cantSplit/>
        </w:trPr>
        <w:tc>
          <w:tcPr>
            <w:tcW w:w="9576" w:type="dxa"/>
            <w:gridSpan w:val="4"/>
          </w:tcPr>
          <w:p w:rsidR="00B944C8" w:rsidRPr="00982C2B" w:rsidRDefault="009F3029" w:rsidP="009D18B6">
            <w:pPr>
              <w:pStyle w:val="SCCShortJudgment"/>
              <w:ind w:firstLine="0"/>
              <w:rPr>
                <w:rFonts w:cs="Times New Roman"/>
                <w:szCs w:val="20"/>
                <w:lang w:val="fr-CA"/>
              </w:rPr>
            </w:pPr>
            <w:r>
              <w:rPr>
                <w:rFonts w:cs="Times New Roman"/>
                <w:szCs w:val="20"/>
                <w:lang w:val="fr-CA"/>
              </w:rPr>
              <w:pict>
                <v:rect id="_x0000_i1059" style="width:2in;height:1pt" o:hrpct="0" o:hralign="center" o:hrstd="t" o:hrnoshade="t" o:hr="t" fillcolor="black [3213]" stroked="f"/>
              </w:pict>
            </w:r>
          </w:p>
          <w:p w:rsidR="00B944C8" w:rsidRPr="00982C2B" w:rsidRDefault="00B944C8" w:rsidP="009D18B6">
            <w:pPr>
              <w:pStyle w:val="SCCShortJudgment"/>
              <w:ind w:firstLine="0"/>
              <w:rPr>
                <w:rFonts w:cs="Times New Roman"/>
                <w:szCs w:val="20"/>
                <w:lang w:val="fr-CA"/>
              </w:rPr>
            </w:pPr>
          </w:p>
        </w:tc>
      </w:tr>
      <w:tr w:rsidR="00B944C8" w:rsidRPr="00982C2B" w:rsidTr="009D18B6">
        <w:trPr>
          <w:cantSplit/>
        </w:trPr>
        <w:tc>
          <w:tcPr>
            <w:tcW w:w="9576" w:type="dxa"/>
            <w:gridSpan w:val="4"/>
          </w:tcPr>
          <w:p w:rsidR="00B944C8" w:rsidRPr="00982C2B" w:rsidRDefault="00B944C8"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B944C8" w:rsidRPr="00982C2B" w:rsidRDefault="00B944C8" w:rsidP="009D18B6">
            <w:pPr>
              <w:pStyle w:val="SCCShortJudgment"/>
              <w:ind w:firstLine="0"/>
              <w:rPr>
                <w:rFonts w:cs="Times New Roman"/>
                <w:szCs w:val="20"/>
                <w:u w:val="single"/>
                <w:lang w:val="fr-CA"/>
              </w:rPr>
            </w:pPr>
          </w:p>
        </w:tc>
      </w:tr>
      <w:tr w:rsidR="00B944C8" w:rsidRPr="00982C2B" w:rsidTr="009D18B6">
        <w:trPr>
          <w:cantSplit/>
        </w:trPr>
        <w:tc>
          <w:tcPr>
            <w:tcW w:w="9576" w:type="dxa"/>
            <w:gridSpan w:val="4"/>
          </w:tcPr>
          <w:p w:rsidR="00B944C8" w:rsidRPr="00982C2B" w:rsidRDefault="00B944C8" w:rsidP="00275F20">
            <w:pPr>
              <w:pStyle w:val="SCCShortJudgment"/>
              <w:ind w:firstLine="0"/>
              <w:rPr>
                <w:rFonts w:cs="Times New Roman"/>
                <w:szCs w:val="20"/>
                <w:lang w:val="fr-CA"/>
              </w:rPr>
            </w:pPr>
            <w:r w:rsidRPr="00982C2B">
              <w:rPr>
                <w:rFonts w:cs="Times New Roman"/>
                <w:szCs w:val="20"/>
                <w:lang w:val="fr-CA"/>
              </w:rPr>
              <w:t xml:space="preserve">Droits de la personne — Compétence — Un tribunal des droits de la personne peut-il décliner compétence à l’égard d’une plainte au motif que l’intimé à la plainte a rejeté un grief interne portant sur la même question? — </w:t>
            </w:r>
            <w:r w:rsidRPr="00982C2B">
              <w:rPr>
                <w:rFonts w:cs="Times New Roman"/>
                <w:i/>
                <w:szCs w:val="20"/>
                <w:lang w:val="fr-CA"/>
              </w:rPr>
              <w:t>Loi canadienne sur les droits de la personne</w:t>
            </w:r>
            <w:r w:rsidRPr="00982C2B">
              <w:rPr>
                <w:rFonts w:cs="Times New Roman"/>
                <w:szCs w:val="20"/>
                <w:lang w:val="fr-CA"/>
              </w:rPr>
              <w:t>, L.R.C. 1985, ch. H-6, al. 41(1)d).</w:t>
            </w:r>
          </w:p>
          <w:p w:rsidR="00B944C8" w:rsidRPr="00982C2B" w:rsidRDefault="00B944C8" w:rsidP="00275F20">
            <w:pPr>
              <w:pStyle w:val="SCCShortJudgment"/>
              <w:ind w:firstLine="0"/>
              <w:rPr>
                <w:rFonts w:cs="Times New Roman"/>
                <w:szCs w:val="20"/>
                <w:u w:val="single"/>
                <w:lang w:val="fr-CA"/>
              </w:rPr>
            </w:pPr>
          </w:p>
        </w:tc>
      </w:tr>
      <w:tr w:rsidR="00B944C8" w:rsidRPr="00982C2B" w:rsidTr="009D18B6">
        <w:trPr>
          <w:cantSplit/>
        </w:trPr>
        <w:tc>
          <w:tcPr>
            <w:tcW w:w="9576" w:type="dxa"/>
            <w:gridSpan w:val="4"/>
          </w:tcPr>
          <w:p w:rsidR="00B944C8" w:rsidRPr="00982C2B" w:rsidRDefault="00B944C8" w:rsidP="00275F20">
            <w:pPr>
              <w:jc w:val="both"/>
              <w:rPr>
                <w:rFonts w:cs="Times New Roman"/>
                <w:sz w:val="20"/>
                <w:szCs w:val="20"/>
                <w:lang w:val="fr-CA"/>
              </w:rPr>
            </w:pPr>
            <w:r w:rsidRPr="00982C2B">
              <w:rPr>
                <w:rFonts w:cs="Times New Roman"/>
                <w:sz w:val="20"/>
                <w:szCs w:val="20"/>
                <w:lang w:val="fr-CA"/>
              </w:rPr>
              <w:t>Madame Bergeron était avocate au ministère de la Justice (« le ministère ») lorsqu’elle s’est vu accorder un congé de maladie, un congé d’invalidité et, plus tard, des prolongations de son congé. Madame Bergeron a fini par déposer des griefs au ministère et des plaintes à la Commission canadienne des droits de la personne (« la commission ») en application de la</w:t>
            </w:r>
            <w:r w:rsidRPr="00982C2B">
              <w:rPr>
                <w:rFonts w:cs="Times New Roman"/>
                <w:i/>
                <w:sz w:val="20"/>
                <w:szCs w:val="20"/>
                <w:lang w:val="fr-CA"/>
              </w:rPr>
              <w:t xml:space="preserve"> Loi canadienne sur les droits de la personne </w:t>
            </w:r>
            <w:r w:rsidRPr="00982C2B">
              <w:rPr>
                <w:rFonts w:cs="Times New Roman"/>
                <w:sz w:val="20"/>
                <w:szCs w:val="20"/>
                <w:lang w:val="fr-CA"/>
              </w:rPr>
              <w:t>(« </w:t>
            </w:r>
            <w:r w:rsidRPr="00982C2B">
              <w:rPr>
                <w:rFonts w:cs="Times New Roman"/>
                <w:i/>
                <w:sz w:val="20"/>
                <w:szCs w:val="20"/>
                <w:lang w:val="fr-CA"/>
              </w:rPr>
              <w:t>LCDP</w:t>
            </w:r>
            <w:r w:rsidRPr="00982C2B">
              <w:rPr>
                <w:rFonts w:cs="Times New Roman"/>
                <w:sz w:val="20"/>
                <w:szCs w:val="20"/>
                <w:lang w:val="fr-CA"/>
              </w:rPr>
              <w:t xml:space="preserve"> »). L’agente des griefs, une cadre supérieure au ministère, a conclu qu’il n’y avait eu aucune violation de la </w:t>
            </w:r>
            <w:r w:rsidRPr="00982C2B">
              <w:rPr>
                <w:rFonts w:cs="Times New Roman"/>
                <w:i/>
                <w:sz w:val="20"/>
                <w:szCs w:val="20"/>
                <w:lang w:val="fr-CA"/>
              </w:rPr>
              <w:t>LCDP</w:t>
            </w:r>
            <w:r w:rsidRPr="00982C2B">
              <w:rPr>
                <w:rFonts w:cs="Times New Roman"/>
                <w:sz w:val="20"/>
                <w:szCs w:val="20"/>
                <w:lang w:val="fr-CA"/>
              </w:rPr>
              <w:t xml:space="preserve">; toutefois, elle a accueilli en partie le grief de Mme Bergeron en autorisant une prolongation de cinq mois de son congé sans solde pour permettre la tenue de discussions portant sur un plan de retour au travail. </w:t>
            </w:r>
          </w:p>
          <w:p w:rsidR="00B944C8" w:rsidRPr="00982C2B" w:rsidRDefault="00B944C8" w:rsidP="00275F20">
            <w:pPr>
              <w:jc w:val="both"/>
              <w:rPr>
                <w:rFonts w:cs="Times New Roman"/>
                <w:sz w:val="20"/>
                <w:szCs w:val="20"/>
                <w:lang w:val="fr-CA"/>
              </w:rPr>
            </w:pPr>
          </w:p>
          <w:p w:rsidR="00B944C8" w:rsidRPr="00982C2B" w:rsidRDefault="00B944C8" w:rsidP="00275F20">
            <w:pPr>
              <w:jc w:val="both"/>
              <w:rPr>
                <w:rFonts w:cs="Times New Roman"/>
                <w:sz w:val="20"/>
                <w:szCs w:val="20"/>
                <w:lang w:val="fr-CA"/>
              </w:rPr>
            </w:pPr>
            <w:r w:rsidRPr="00982C2B">
              <w:rPr>
                <w:rFonts w:cs="Times New Roman"/>
                <w:sz w:val="20"/>
                <w:szCs w:val="20"/>
                <w:lang w:val="fr-CA"/>
              </w:rPr>
              <w:t xml:space="preserve">En ce qui concerne la plainte de Mme Bergeron relative aux droits de la personne, la commission a chargé une enquêteuse d’examiner la plainte. L’enquêteuse a examiné les plaidoiries des parties et a produit un rapport recommandant le rejet de la plainte en application de l’al. 41(1)d) de la </w:t>
            </w:r>
            <w:r w:rsidRPr="00982C2B">
              <w:rPr>
                <w:rFonts w:cs="Times New Roman"/>
                <w:i/>
                <w:sz w:val="20"/>
                <w:szCs w:val="20"/>
                <w:lang w:val="fr-CA"/>
              </w:rPr>
              <w:t>LCDP</w:t>
            </w:r>
            <w:r w:rsidRPr="00982C2B">
              <w:rPr>
                <w:rFonts w:cs="Times New Roman"/>
                <w:sz w:val="20"/>
                <w:szCs w:val="20"/>
                <w:lang w:val="fr-CA"/>
              </w:rPr>
              <w:t xml:space="preserve"> parce que les [</w:t>
            </w:r>
            <w:r w:rsidRPr="00982C2B">
              <w:rPr>
                <w:rFonts w:cs="Times New Roman"/>
                <w:smallCaps/>
                <w:sz w:val="20"/>
                <w:szCs w:val="20"/>
                <w:lang w:val="fr-CA"/>
              </w:rPr>
              <w:t>traduction</w:t>
            </w:r>
            <w:r w:rsidRPr="00982C2B">
              <w:rPr>
                <w:rFonts w:cs="Times New Roman"/>
                <w:sz w:val="20"/>
                <w:szCs w:val="20"/>
                <w:lang w:val="fr-CA"/>
              </w:rPr>
              <w:t>] « allégations de discrimination dans la plainte avaient été traitées dans le cadre d’une procédure de révision qui était normalement ouverte à la plaignante ». La commission a accepté la recommandation de l’enquêteuse et a rejeté la plainte de Mme Bergeron en application de l’alinéa 41(1)d). Madame Bergeron a demandé à la Cour fédérale d’annuler la décision de la commission. La Cour fédérale a rejeté la demande de contrôle judiciaire présentée par Mme Bergeron. La Cour d’appel fédérale a rejeté son appel.</w:t>
            </w:r>
          </w:p>
        </w:tc>
      </w:tr>
      <w:tr w:rsidR="00B944C8" w:rsidRPr="00982C2B" w:rsidTr="009D18B6">
        <w:trPr>
          <w:cantSplit/>
        </w:trPr>
        <w:tc>
          <w:tcPr>
            <w:tcW w:w="9576" w:type="dxa"/>
            <w:gridSpan w:val="4"/>
          </w:tcPr>
          <w:p w:rsidR="00B944C8" w:rsidRPr="00982C2B" w:rsidRDefault="00B944C8" w:rsidP="009D18B6">
            <w:pPr>
              <w:pStyle w:val="SCCShortJudgment"/>
              <w:ind w:firstLine="0"/>
              <w:rPr>
                <w:rFonts w:cs="Times New Roman"/>
                <w:szCs w:val="20"/>
                <w:u w:val="single"/>
                <w:lang w:val="fr-CA"/>
              </w:rPr>
            </w:pPr>
          </w:p>
        </w:tc>
      </w:tr>
      <w:tr w:rsidR="00B944C8" w:rsidRPr="009F3029" w:rsidTr="009D18B6">
        <w:trPr>
          <w:cantSplit/>
        </w:trPr>
        <w:tc>
          <w:tcPr>
            <w:tcW w:w="4410" w:type="dxa"/>
            <w:gridSpan w:val="2"/>
          </w:tcPr>
          <w:p w:rsidR="00B944C8" w:rsidRPr="00982C2B" w:rsidRDefault="00B944C8" w:rsidP="00275F20">
            <w:pPr>
              <w:jc w:val="both"/>
              <w:rPr>
                <w:rFonts w:cs="Times New Roman"/>
                <w:sz w:val="20"/>
                <w:szCs w:val="20"/>
                <w:lang w:val="fr-CA"/>
              </w:rPr>
            </w:pPr>
            <w:r w:rsidRPr="00982C2B">
              <w:rPr>
                <w:rFonts w:cs="Times New Roman"/>
                <w:sz w:val="20"/>
                <w:szCs w:val="20"/>
                <w:lang w:val="fr-CA"/>
              </w:rPr>
              <w:t>25 mars 2013</w:t>
            </w:r>
          </w:p>
          <w:p w:rsidR="00B944C8" w:rsidRPr="00982C2B" w:rsidRDefault="00B944C8" w:rsidP="00275F20">
            <w:pPr>
              <w:jc w:val="both"/>
              <w:rPr>
                <w:rFonts w:cs="Times New Roman"/>
                <w:sz w:val="20"/>
                <w:szCs w:val="20"/>
                <w:lang w:val="fr-CA"/>
              </w:rPr>
            </w:pPr>
            <w:r w:rsidRPr="00982C2B">
              <w:rPr>
                <w:rFonts w:cs="Times New Roman"/>
                <w:sz w:val="20"/>
                <w:szCs w:val="20"/>
                <w:lang w:val="fr-CA"/>
              </w:rPr>
              <w:t xml:space="preserve">Cour fédérale </w:t>
            </w:r>
          </w:p>
          <w:p w:rsidR="00B944C8" w:rsidRPr="00982C2B" w:rsidRDefault="00B944C8" w:rsidP="00275F20">
            <w:pPr>
              <w:jc w:val="both"/>
              <w:rPr>
                <w:rFonts w:cs="Times New Roman"/>
                <w:sz w:val="20"/>
                <w:szCs w:val="20"/>
                <w:lang w:val="fr-CA"/>
              </w:rPr>
            </w:pPr>
            <w:r w:rsidRPr="00982C2B">
              <w:rPr>
                <w:rFonts w:cs="Times New Roman"/>
                <w:sz w:val="20"/>
                <w:szCs w:val="20"/>
                <w:lang w:val="fr-CA"/>
              </w:rPr>
              <w:t>(Juge Zinn)</w:t>
            </w:r>
          </w:p>
          <w:p w:rsidR="00B944C8" w:rsidRPr="00982C2B" w:rsidRDefault="009F3029" w:rsidP="00275F20">
            <w:pPr>
              <w:jc w:val="both"/>
              <w:rPr>
                <w:rFonts w:cs="Times New Roman"/>
                <w:sz w:val="20"/>
                <w:szCs w:val="20"/>
                <w:lang w:val="fr-CA"/>
              </w:rPr>
            </w:pPr>
            <w:hyperlink r:id="rId56" w:history="1">
              <w:r w:rsidR="00B944C8" w:rsidRPr="00982C2B">
                <w:rPr>
                  <w:rStyle w:val="Hyperlink"/>
                  <w:rFonts w:cs="Times New Roman"/>
                  <w:sz w:val="20"/>
                  <w:szCs w:val="20"/>
                  <w:lang w:val="fr-CA"/>
                </w:rPr>
                <w:t>2013 FC 301</w:t>
              </w:r>
            </w:hyperlink>
            <w:r w:rsidR="00B944C8" w:rsidRPr="00982C2B">
              <w:rPr>
                <w:rFonts w:cs="Times New Roman"/>
                <w:sz w:val="20"/>
                <w:szCs w:val="20"/>
                <w:lang w:val="fr-CA"/>
              </w:rPr>
              <w:t>; T-316-12</w:t>
            </w:r>
          </w:p>
          <w:p w:rsidR="00B944C8" w:rsidRPr="00982C2B" w:rsidRDefault="00B944C8" w:rsidP="00275F20">
            <w:pPr>
              <w:pStyle w:val="SCCShortJudgment"/>
              <w:ind w:firstLine="0"/>
              <w:rPr>
                <w:rFonts w:cs="Times New Roman"/>
                <w:szCs w:val="20"/>
                <w:u w:val="single"/>
                <w:lang w:val="fr-CA"/>
              </w:rPr>
            </w:pPr>
          </w:p>
        </w:tc>
        <w:tc>
          <w:tcPr>
            <w:tcW w:w="630" w:type="dxa"/>
          </w:tcPr>
          <w:p w:rsidR="00B944C8" w:rsidRPr="00982C2B" w:rsidRDefault="00B944C8" w:rsidP="00275F20">
            <w:pPr>
              <w:pStyle w:val="SCCShortJudgment"/>
              <w:ind w:firstLine="0"/>
              <w:rPr>
                <w:rFonts w:cs="Times New Roman"/>
                <w:szCs w:val="20"/>
                <w:u w:val="single"/>
                <w:lang w:val="fr-CA"/>
              </w:rPr>
            </w:pPr>
          </w:p>
        </w:tc>
        <w:tc>
          <w:tcPr>
            <w:tcW w:w="4536" w:type="dxa"/>
          </w:tcPr>
          <w:p w:rsidR="00B944C8" w:rsidRPr="00982C2B" w:rsidRDefault="00B944C8" w:rsidP="00275F20">
            <w:pPr>
              <w:pStyle w:val="SCCShortJudgment"/>
              <w:ind w:firstLine="0"/>
              <w:rPr>
                <w:rFonts w:cs="Times New Roman"/>
                <w:szCs w:val="20"/>
                <w:u w:val="single"/>
                <w:lang w:val="fr-CA"/>
              </w:rPr>
            </w:pPr>
            <w:r w:rsidRPr="00982C2B">
              <w:rPr>
                <w:rFonts w:cs="Times New Roman"/>
                <w:szCs w:val="20"/>
                <w:lang w:val="fr-CA"/>
              </w:rPr>
              <w:t>Rejet de la demande de contrôle judiciaire</w:t>
            </w:r>
          </w:p>
        </w:tc>
      </w:tr>
      <w:tr w:rsidR="00B944C8" w:rsidRPr="00982C2B" w:rsidTr="009D18B6">
        <w:trPr>
          <w:cantSplit/>
        </w:trPr>
        <w:tc>
          <w:tcPr>
            <w:tcW w:w="4410" w:type="dxa"/>
            <w:gridSpan w:val="2"/>
          </w:tcPr>
          <w:p w:rsidR="00B944C8" w:rsidRPr="00982C2B" w:rsidRDefault="00B944C8" w:rsidP="00275F20">
            <w:pPr>
              <w:jc w:val="both"/>
              <w:rPr>
                <w:rFonts w:cs="Times New Roman"/>
                <w:sz w:val="20"/>
                <w:szCs w:val="20"/>
                <w:lang w:val="fr-CA"/>
              </w:rPr>
            </w:pPr>
            <w:r w:rsidRPr="00982C2B">
              <w:rPr>
                <w:rFonts w:cs="Times New Roman"/>
                <w:sz w:val="20"/>
                <w:szCs w:val="20"/>
                <w:lang w:val="fr-CA"/>
              </w:rPr>
              <w:t>7 juillet 2015</w:t>
            </w:r>
          </w:p>
          <w:p w:rsidR="00B944C8" w:rsidRPr="00982C2B" w:rsidRDefault="00B944C8" w:rsidP="00275F20">
            <w:pPr>
              <w:jc w:val="both"/>
              <w:rPr>
                <w:rFonts w:cs="Times New Roman"/>
                <w:sz w:val="20"/>
                <w:szCs w:val="20"/>
                <w:lang w:val="fr-CA"/>
              </w:rPr>
            </w:pPr>
            <w:r w:rsidRPr="00982C2B">
              <w:rPr>
                <w:rFonts w:cs="Times New Roman"/>
                <w:sz w:val="20"/>
                <w:szCs w:val="20"/>
                <w:lang w:val="fr-CA"/>
              </w:rPr>
              <w:t xml:space="preserve">Cour d’appel fédérale </w:t>
            </w:r>
          </w:p>
          <w:p w:rsidR="00B944C8" w:rsidRPr="00982C2B" w:rsidRDefault="00B944C8" w:rsidP="00275F20">
            <w:pPr>
              <w:jc w:val="both"/>
              <w:rPr>
                <w:rFonts w:cs="Times New Roman"/>
                <w:sz w:val="20"/>
                <w:szCs w:val="20"/>
                <w:lang w:val="fr-CA"/>
              </w:rPr>
            </w:pPr>
            <w:r w:rsidRPr="00982C2B">
              <w:rPr>
                <w:rFonts w:cs="Times New Roman"/>
                <w:sz w:val="20"/>
                <w:szCs w:val="20"/>
                <w:lang w:val="fr-CA"/>
              </w:rPr>
              <w:t>(Juges Trudel, Stratas et Webb)</w:t>
            </w:r>
          </w:p>
          <w:p w:rsidR="00B944C8" w:rsidRPr="00982C2B" w:rsidRDefault="009F3029" w:rsidP="00275F20">
            <w:pPr>
              <w:jc w:val="both"/>
              <w:rPr>
                <w:rFonts w:cs="Times New Roman"/>
                <w:sz w:val="20"/>
                <w:szCs w:val="20"/>
                <w:lang w:val="fr-CA"/>
              </w:rPr>
            </w:pPr>
            <w:hyperlink r:id="rId57" w:history="1">
              <w:r w:rsidR="00B944C8" w:rsidRPr="00982C2B">
                <w:rPr>
                  <w:rStyle w:val="Hyperlink"/>
                  <w:rFonts w:cs="Times New Roman"/>
                  <w:sz w:val="20"/>
                  <w:szCs w:val="20"/>
                  <w:lang w:val="fr-CA"/>
                </w:rPr>
                <w:t>2015 FCA 160</w:t>
              </w:r>
            </w:hyperlink>
            <w:r w:rsidR="00B944C8" w:rsidRPr="00982C2B">
              <w:rPr>
                <w:rFonts w:cs="Times New Roman"/>
                <w:sz w:val="20"/>
                <w:szCs w:val="20"/>
                <w:lang w:val="fr-CA"/>
              </w:rPr>
              <w:t>; A-141-13</w:t>
            </w:r>
          </w:p>
          <w:p w:rsidR="00B944C8" w:rsidRPr="00982C2B" w:rsidRDefault="00B944C8" w:rsidP="00275F20">
            <w:pPr>
              <w:pStyle w:val="SCCShortJudgment"/>
              <w:ind w:firstLine="0"/>
              <w:rPr>
                <w:rFonts w:cs="Times New Roman"/>
                <w:szCs w:val="20"/>
                <w:u w:val="single"/>
                <w:lang w:val="fr-CA"/>
              </w:rPr>
            </w:pPr>
          </w:p>
        </w:tc>
        <w:tc>
          <w:tcPr>
            <w:tcW w:w="630" w:type="dxa"/>
          </w:tcPr>
          <w:p w:rsidR="00B944C8" w:rsidRPr="00982C2B" w:rsidRDefault="00B944C8" w:rsidP="00275F20">
            <w:pPr>
              <w:pStyle w:val="SCCShortJudgment"/>
              <w:ind w:firstLine="0"/>
              <w:rPr>
                <w:rFonts w:cs="Times New Roman"/>
                <w:szCs w:val="20"/>
                <w:u w:val="single"/>
                <w:lang w:val="fr-CA"/>
              </w:rPr>
            </w:pPr>
          </w:p>
        </w:tc>
        <w:tc>
          <w:tcPr>
            <w:tcW w:w="4536" w:type="dxa"/>
          </w:tcPr>
          <w:p w:rsidR="00B944C8" w:rsidRPr="00982C2B" w:rsidRDefault="00B944C8" w:rsidP="008A719E">
            <w:pPr>
              <w:jc w:val="both"/>
              <w:rPr>
                <w:rFonts w:cs="Times New Roman"/>
                <w:szCs w:val="20"/>
                <w:u w:val="single"/>
                <w:lang w:val="fr-CA"/>
              </w:rPr>
            </w:pPr>
            <w:r w:rsidRPr="00982C2B">
              <w:rPr>
                <w:rFonts w:cs="Times New Roman"/>
                <w:sz w:val="20"/>
                <w:szCs w:val="20"/>
                <w:lang w:val="fr-CA"/>
              </w:rPr>
              <w:t>Rejet de l’appel</w:t>
            </w:r>
          </w:p>
        </w:tc>
      </w:tr>
      <w:tr w:rsidR="00B944C8" w:rsidRPr="009F3029" w:rsidTr="009D18B6">
        <w:trPr>
          <w:cantSplit/>
        </w:trPr>
        <w:tc>
          <w:tcPr>
            <w:tcW w:w="4410" w:type="dxa"/>
            <w:gridSpan w:val="2"/>
          </w:tcPr>
          <w:p w:rsidR="00B944C8" w:rsidRPr="00982C2B" w:rsidRDefault="00B944C8" w:rsidP="00275F20">
            <w:pPr>
              <w:jc w:val="both"/>
              <w:rPr>
                <w:rFonts w:cs="Times New Roman"/>
                <w:sz w:val="20"/>
                <w:szCs w:val="20"/>
                <w:lang w:val="fr-CA"/>
              </w:rPr>
            </w:pPr>
            <w:r w:rsidRPr="00982C2B">
              <w:rPr>
                <w:rFonts w:cs="Times New Roman"/>
                <w:sz w:val="20"/>
                <w:szCs w:val="20"/>
                <w:lang w:val="fr-CA"/>
              </w:rPr>
              <w:t>26 octobre 2015</w:t>
            </w:r>
          </w:p>
          <w:p w:rsidR="00B944C8" w:rsidRPr="00982C2B" w:rsidRDefault="00B944C8" w:rsidP="00275F20">
            <w:pPr>
              <w:jc w:val="both"/>
              <w:rPr>
                <w:rFonts w:cs="Times New Roman"/>
                <w:sz w:val="20"/>
                <w:szCs w:val="20"/>
                <w:lang w:val="fr-CA"/>
              </w:rPr>
            </w:pPr>
            <w:r w:rsidRPr="00982C2B">
              <w:rPr>
                <w:rFonts w:cs="Times New Roman"/>
                <w:sz w:val="20"/>
                <w:szCs w:val="20"/>
                <w:lang w:val="fr-CA"/>
              </w:rPr>
              <w:t>Cour suprême du Canada</w:t>
            </w:r>
          </w:p>
          <w:p w:rsidR="00B944C8" w:rsidRPr="00982C2B" w:rsidRDefault="00B944C8" w:rsidP="00275F20">
            <w:pPr>
              <w:pStyle w:val="SCCShortJudgment"/>
              <w:tabs>
                <w:tab w:val="left" w:pos="977"/>
              </w:tabs>
              <w:ind w:firstLine="0"/>
              <w:rPr>
                <w:rFonts w:cs="Times New Roman"/>
                <w:szCs w:val="20"/>
                <w:u w:val="single"/>
                <w:lang w:val="fr-CA"/>
              </w:rPr>
            </w:pPr>
          </w:p>
        </w:tc>
        <w:tc>
          <w:tcPr>
            <w:tcW w:w="630" w:type="dxa"/>
          </w:tcPr>
          <w:p w:rsidR="00B944C8" w:rsidRPr="00982C2B" w:rsidRDefault="00B944C8" w:rsidP="00275F20">
            <w:pPr>
              <w:pStyle w:val="SCCShortJudgment"/>
              <w:ind w:firstLine="0"/>
              <w:rPr>
                <w:rFonts w:cs="Times New Roman"/>
                <w:szCs w:val="20"/>
                <w:u w:val="single"/>
                <w:lang w:val="fr-CA"/>
              </w:rPr>
            </w:pPr>
          </w:p>
        </w:tc>
        <w:tc>
          <w:tcPr>
            <w:tcW w:w="4536" w:type="dxa"/>
          </w:tcPr>
          <w:p w:rsidR="00B944C8" w:rsidRPr="00982C2B" w:rsidRDefault="00B944C8" w:rsidP="008A719E">
            <w:pPr>
              <w:jc w:val="both"/>
              <w:rPr>
                <w:rFonts w:cs="Times New Roman"/>
                <w:szCs w:val="20"/>
                <w:u w:val="single"/>
                <w:lang w:val="fr-CA"/>
              </w:rPr>
            </w:pPr>
            <w:r w:rsidRPr="00982C2B">
              <w:rPr>
                <w:rFonts w:cs="Times New Roman"/>
                <w:sz w:val="20"/>
                <w:szCs w:val="20"/>
                <w:lang w:val="fr-CA"/>
              </w:rPr>
              <w:t>Dépôt de la requête en prorogation du délai de signification et de dépôt de la demande d’autorisation d’appel et de la demande d’autorisation d’appel</w:t>
            </w:r>
          </w:p>
        </w:tc>
      </w:tr>
    </w:tbl>
    <w:p w:rsidR="00B944C8" w:rsidRPr="00982C2B" w:rsidRDefault="009F3029" w:rsidP="00B944C8">
      <w:pPr>
        <w:rPr>
          <w:rFonts w:cs="Times New Roman"/>
          <w:sz w:val="20"/>
          <w:szCs w:val="20"/>
          <w:lang w:val="fr-CA"/>
        </w:rPr>
      </w:pPr>
      <w:r>
        <w:rPr>
          <w:rFonts w:cs="Times New Roman"/>
          <w:sz w:val="20"/>
          <w:szCs w:val="20"/>
          <w:lang w:val="fr-CA"/>
        </w:rPr>
        <w:pict>
          <v:rect id="_x0000_i1060" style="width:2in;height:1pt" o:hrpct="0" o:hralign="center" o:hrstd="t" o:hrnoshade="t" o:hr="t" fillcolor="black [3213]" stroked="f"/>
        </w:pict>
      </w:r>
    </w:p>
    <w:p w:rsidR="00B944C8" w:rsidRPr="00982C2B" w:rsidRDefault="00B944C8" w:rsidP="00B944C8">
      <w:pPr>
        <w:rPr>
          <w:rFonts w:cs="Times New Roman"/>
          <w:sz w:val="20"/>
          <w:szCs w:val="20"/>
        </w:rPr>
      </w:pPr>
    </w:p>
    <w:p w:rsidR="002C243F" w:rsidRDefault="002C243F">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C3FF8" w:rsidRPr="00982C2B" w:rsidTr="009D18B6">
        <w:trPr>
          <w:cantSplit/>
        </w:trPr>
        <w:tc>
          <w:tcPr>
            <w:tcW w:w="1458" w:type="dxa"/>
          </w:tcPr>
          <w:p w:rsidR="003C3FF8" w:rsidRPr="00982C2B" w:rsidRDefault="003C3FF8" w:rsidP="00275F20">
            <w:pPr>
              <w:jc w:val="both"/>
              <w:rPr>
                <w:rFonts w:cs="Times New Roman"/>
                <w:sz w:val="20"/>
                <w:szCs w:val="20"/>
              </w:rPr>
            </w:pPr>
            <w:r w:rsidRPr="00982C2B">
              <w:rPr>
                <w:rStyle w:val="SCCFileNumberChar"/>
                <w:sz w:val="20"/>
                <w:szCs w:val="20"/>
              </w:rPr>
              <w:t>36723</w:t>
            </w:r>
          </w:p>
          <w:p w:rsidR="003C3FF8" w:rsidRPr="00982C2B" w:rsidRDefault="003C3FF8" w:rsidP="00275F20">
            <w:pPr>
              <w:jc w:val="both"/>
              <w:rPr>
                <w:rFonts w:cs="Times New Roman"/>
                <w:b/>
                <w:sz w:val="20"/>
                <w:szCs w:val="20"/>
              </w:rPr>
            </w:pPr>
          </w:p>
        </w:tc>
        <w:tc>
          <w:tcPr>
            <w:tcW w:w="8118" w:type="dxa"/>
            <w:gridSpan w:val="3"/>
          </w:tcPr>
          <w:p w:rsidR="003C3FF8" w:rsidRPr="00982C2B" w:rsidRDefault="003C3FF8" w:rsidP="00275F20">
            <w:pPr>
              <w:jc w:val="both"/>
              <w:rPr>
                <w:rFonts w:cs="Times New Roman"/>
                <w:b/>
                <w:sz w:val="20"/>
                <w:szCs w:val="20"/>
              </w:rPr>
            </w:pPr>
            <w:r w:rsidRPr="00982C2B">
              <w:rPr>
                <w:rStyle w:val="SCCLsocChar"/>
                <w:rFonts w:cs="Times New Roman"/>
                <w:sz w:val="20"/>
                <w:szCs w:val="20"/>
                <w:lang w:val="en-CA"/>
              </w:rPr>
              <w:t>Insurance Corporation of British Columbia v. Marnetta Lynn Felix</w:t>
            </w:r>
            <w:r w:rsidRPr="00982C2B">
              <w:rPr>
                <w:rStyle w:val="SCCLsocChar"/>
                <w:rFonts w:cs="Times New Roman"/>
                <w:sz w:val="20"/>
                <w:szCs w:val="20"/>
                <w:u w:val="none"/>
                <w:lang w:val="en-CA"/>
              </w:rPr>
              <w:t xml:space="preserve"> </w:t>
            </w:r>
            <w:r w:rsidRPr="00982C2B">
              <w:rPr>
                <w:rStyle w:val="SCCLsocChar"/>
                <w:rFonts w:cs="Times New Roman"/>
                <w:b w:val="0"/>
                <w:sz w:val="20"/>
                <w:szCs w:val="20"/>
                <w:u w:val="none"/>
                <w:lang w:val="en-CA"/>
              </w:rPr>
              <w:t>(B.C.) (Civil) (By Leave)</w:t>
            </w:r>
          </w:p>
        </w:tc>
      </w:tr>
      <w:tr w:rsidR="003C3FF8" w:rsidRPr="00982C2B" w:rsidTr="009D18B6">
        <w:trPr>
          <w:cantSplit/>
        </w:trPr>
        <w:tc>
          <w:tcPr>
            <w:tcW w:w="1458" w:type="dxa"/>
          </w:tcPr>
          <w:p w:rsidR="003C3FF8" w:rsidRPr="00982C2B" w:rsidRDefault="003C3FF8" w:rsidP="00275F20">
            <w:pPr>
              <w:jc w:val="both"/>
              <w:rPr>
                <w:rFonts w:cs="Times New Roman"/>
                <w:sz w:val="20"/>
                <w:szCs w:val="20"/>
              </w:rPr>
            </w:pPr>
            <w:r w:rsidRPr="00982C2B">
              <w:rPr>
                <w:rFonts w:cs="Times New Roman"/>
                <w:sz w:val="20"/>
                <w:szCs w:val="20"/>
              </w:rPr>
              <w:t>Coram :</w:t>
            </w:r>
          </w:p>
        </w:tc>
        <w:tc>
          <w:tcPr>
            <w:tcW w:w="8118" w:type="dxa"/>
            <w:gridSpan w:val="3"/>
          </w:tcPr>
          <w:p w:rsidR="003C3FF8" w:rsidRPr="00982C2B" w:rsidRDefault="003C3FF8" w:rsidP="00275F20">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3C3FF8" w:rsidRPr="00982C2B" w:rsidRDefault="003C3FF8" w:rsidP="00275F20">
            <w:pPr>
              <w:jc w:val="both"/>
              <w:rPr>
                <w:rFonts w:cs="Times New Roman"/>
                <w:sz w:val="20"/>
                <w:szCs w:val="20"/>
                <w:u w:val="single"/>
              </w:rPr>
            </w:pPr>
          </w:p>
        </w:tc>
      </w:tr>
      <w:tr w:rsidR="003C3FF8" w:rsidRPr="009F3029" w:rsidTr="00ED734E">
        <w:tc>
          <w:tcPr>
            <w:tcW w:w="9576" w:type="dxa"/>
            <w:gridSpan w:val="4"/>
          </w:tcPr>
          <w:p w:rsidR="003C3FF8" w:rsidRPr="00982C2B" w:rsidRDefault="003C3FF8" w:rsidP="00275F20">
            <w:pPr>
              <w:pStyle w:val="SCCShortJudgment"/>
              <w:ind w:firstLine="0"/>
              <w:rPr>
                <w:rFonts w:cs="Times New Roman"/>
                <w:szCs w:val="20"/>
              </w:rPr>
            </w:pPr>
            <w:r w:rsidRPr="00982C2B">
              <w:rPr>
                <w:rFonts w:cs="Times New Roman"/>
                <w:szCs w:val="20"/>
              </w:rPr>
              <w:tab/>
              <w:t>The application for leave to appeal from the judgment of the Court of Appeal for British Columbia (Vancouver), Number CA41588, 2015 BCCA 394, dated September 23, 2015, is dismissed with costs.</w:t>
            </w:r>
          </w:p>
          <w:p w:rsidR="003C3FF8" w:rsidRPr="00982C2B" w:rsidRDefault="003C3FF8" w:rsidP="00275F20">
            <w:pPr>
              <w:pStyle w:val="SCCShortJudgment"/>
              <w:ind w:firstLine="0"/>
              <w:rPr>
                <w:rFonts w:cs="Times New Roman"/>
                <w:szCs w:val="20"/>
              </w:rPr>
            </w:pPr>
          </w:p>
          <w:p w:rsidR="003C3FF8" w:rsidRPr="00982C2B" w:rsidRDefault="003C3FF8" w:rsidP="00275F20">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la Colombie-Britannique (Vancouver)</w:t>
            </w:r>
            <w:r w:rsidRPr="00982C2B">
              <w:rPr>
                <w:rFonts w:cs="Times New Roman"/>
                <w:szCs w:val="20"/>
                <w:lang w:val="fr-CA"/>
              </w:rPr>
              <w:t xml:space="preserve">, numéro </w:t>
            </w:r>
            <w:r w:rsidRPr="00982C2B">
              <w:rPr>
                <w:rFonts w:cs="Times New Roman"/>
                <w:szCs w:val="20"/>
                <w:lang w:val="fr-FR"/>
              </w:rPr>
              <w:t>CA41588, 2015 BCCA 394</w:t>
            </w:r>
            <w:r w:rsidRPr="00982C2B">
              <w:rPr>
                <w:rFonts w:cs="Times New Roman"/>
                <w:szCs w:val="20"/>
                <w:lang w:val="fr-CA"/>
              </w:rPr>
              <w:t xml:space="preserve">, daté du </w:t>
            </w:r>
            <w:r w:rsidRPr="00982C2B">
              <w:rPr>
                <w:rFonts w:cs="Times New Roman"/>
                <w:szCs w:val="20"/>
                <w:lang w:val="fr-FR"/>
              </w:rPr>
              <w:t>23 septembre 2015</w:t>
            </w:r>
            <w:r w:rsidRPr="00982C2B">
              <w:rPr>
                <w:rFonts w:cs="Times New Roman"/>
                <w:szCs w:val="20"/>
                <w:lang w:val="fr-CA"/>
              </w:rPr>
              <w:t>, est rejetée avec dépens.</w:t>
            </w:r>
          </w:p>
          <w:p w:rsidR="003C3FF8" w:rsidRPr="00982C2B" w:rsidRDefault="003C3FF8" w:rsidP="00275F20">
            <w:pPr>
              <w:pStyle w:val="SCCShortJudgment"/>
              <w:ind w:firstLine="0"/>
              <w:rPr>
                <w:rFonts w:cs="Times New Roman"/>
                <w:szCs w:val="20"/>
                <w:lang w:val="fr-CA"/>
              </w:rPr>
            </w:pPr>
          </w:p>
        </w:tc>
      </w:tr>
      <w:tr w:rsidR="003C3FF8" w:rsidRPr="00982C2B" w:rsidTr="009D18B6">
        <w:trPr>
          <w:cantSplit/>
        </w:trPr>
        <w:tc>
          <w:tcPr>
            <w:tcW w:w="9576" w:type="dxa"/>
            <w:gridSpan w:val="4"/>
          </w:tcPr>
          <w:p w:rsidR="003C3FF8" w:rsidRPr="00982C2B" w:rsidRDefault="003C3FF8" w:rsidP="00275F20">
            <w:pPr>
              <w:pStyle w:val="SCCShortJudgment"/>
              <w:ind w:firstLine="0"/>
              <w:rPr>
                <w:rFonts w:cs="Times New Roman"/>
                <w:szCs w:val="20"/>
                <w:u w:val="single"/>
                <w:lang w:val="fr-CA"/>
              </w:rPr>
            </w:pPr>
            <w:r w:rsidRPr="00982C2B">
              <w:rPr>
                <w:rFonts w:cs="Times New Roman"/>
                <w:szCs w:val="20"/>
                <w:u w:val="single"/>
                <w:lang w:val="fr-CA"/>
              </w:rPr>
              <w:t>CASE SUMMARY</w:t>
            </w:r>
          </w:p>
          <w:p w:rsidR="003C3FF8" w:rsidRPr="00982C2B" w:rsidRDefault="003C3FF8" w:rsidP="00275F20">
            <w:pPr>
              <w:pStyle w:val="SCCShortJudgment"/>
              <w:ind w:firstLine="0"/>
              <w:rPr>
                <w:rFonts w:cs="Times New Roman"/>
                <w:szCs w:val="20"/>
                <w:u w:val="single"/>
                <w:lang w:val="fr-CA"/>
              </w:rPr>
            </w:pPr>
          </w:p>
        </w:tc>
      </w:tr>
      <w:tr w:rsidR="003C3FF8" w:rsidRPr="00982C2B" w:rsidTr="009D18B6">
        <w:trPr>
          <w:cantSplit/>
        </w:trPr>
        <w:tc>
          <w:tcPr>
            <w:tcW w:w="9576" w:type="dxa"/>
            <w:gridSpan w:val="4"/>
          </w:tcPr>
          <w:p w:rsidR="003C3FF8" w:rsidRPr="00982C2B" w:rsidRDefault="00ED734E" w:rsidP="00275F20">
            <w:pPr>
              <w:pStyle w:val="SCCShortJudgment"/>
              <w:ind w:firstLine="0"/>
              <w:rPr>
                <w:rFonts w:cs="Times New Roman"/>
                <w:szCs w:val="20"/>
              </w:rPr>
            </w:pPr>
            <w:r w:rsidRPr="00982C2B">
              <w:rPr>
                <w:rFonts w:cs="Times New Roman"/>
                <w:szCs w:val="20"/>
              </w:rPr>
              <w:t>Insurance — Automobile insurance — Respondent’s  claim for indemnity — Legal test for indemnity under a third party liability insurance policy for injuries arising from the “use or operation” of a motor vehicle — Whether the Court of Appeal erred in its interpretation of the phrase “arises out of the use or operation by the insured of a vehicle” in automobile insurance legislation by erroneously applying a “but for” test for causation — Whether there are conflicting appellate decisions</w:t>
            </w:r>
          </w:p>
          <w:p w:rsidR="00ED734E" w:rsidRPr="00982C2B" w:rsidRDefault="00ED734E" w:rsidP="00275F20">
            <w:pPr>
              <w:pStyle w:val="SCCShortJudgment"/>
              <w:ind w:firstLine="0"/>
              <w:rPr>
                <w:rFonts w:cs="Times New Roman"/>
                <w:szCs w:val="20"/>
              </w:rPr>
            </w:pPr>
          </w:p>
        </w:tc>
      </w:tr>
      <w:tr w:rsidR="003C3FF8" w:rsidRPr="00982C2B" w:rsidTr="009D18B6">
        <w:trPr>
          <w:cantSplit/>
        </w:trPr>
        <w:tc>
          <w:tcPr>
            <w:tcW w:w="9576" w:type="dxa"/>
            <w:gridSpan w:val="4"/>
          </w:tcPr>
          <w:p w:rsidR="003C3FF8" w:rsidRPr="00982C2B" w:rsidRDefault="00ED734E" w:rsidP="00275F20">
            <w:pPr>
              <w:pStyle w:val="SCCShortJudgment"/>
              <w:tabs>
                <w:tab w:val="left" w:pos="1365"/>
              </w:tabs>
              <w:ind w:firstLine="0"/>
              <w:rPr>
                <w:rFonts w:cs="Times New Roman"/>
                <w:iCs/>
                <w:szCs w:val="20"/>
              </w:rPr>
            </w:pPr>
            <w:r w:rsidRPr="00982C2B">
              <w:rPr>
                <w:rFonts w:cs="Times New Roman"/>
                <w:szCs w:val="20"/>
              </w:rPr>
              <w:t>The respondent was driving her automobile, when the passenger, her boyfriend, grabbed the steering wheel. The respondent lost control and the vehicle crashed. The passenger was killed in the accident.</w:t>
            </w:r>
            <w:r w:rsidRPr="00982C2B">
              <w:rPr>
                <w:rFonts w:cs="Times New Roman"/>
                <w:iCs/>
                <w:szCs w:val="20"/>
              </w:rPr>
              <w:t xml:space="preserve"> The respondent was severely injured in the accident. Judgment was entered against the passenger for the respondent’s losses. </w:t>
            </w:r>
            <w:r w:rsidRPr="00982C2B">
              <w:rPr>
                <w:rFonts w:cs="Times New Roman"/>
                <w:szCs w:val="20"/>
              </w:rPr>
              <w:t xml:space="preserve">The respondent then brought an action for indemnity against the applicant Insurance Corporation of British Columbia. </w:t>
            </w:r>
            <w:r w:rsidRPr="00982C2B">
              <w:rPr>
                <w:rFonts w:cs="Times New Roman"/>
                <w:iCs/>
                <w:szCs w:val="20"/>
              </w:rPr>
              <w:t>The trial judge dismissed the respondent’s claim for indemnity. The Court of Appeal allowed the appeal.</w:t>
            </w:r>
          </w:p>
          <w:p w:rsidR="00ED734E" w:rsidRPr="00982C2B" w:rsidRDefault="00ED734E" w:rsidP="00275F20">
            <w:pPr>
              <w:pStyle w:val="SCCShortJudgment"/>
              <w:tabs>
                <w:tab w:val="left" w:pos="1365"/>
              </w:tabs>
              <w:ind w:firstLine="0"/>
              <w:rPr>
                <w:rFonts w:cs="Times New Roman"/>
                <w:szCs w:val="20"/>
              </w:rPr>
            </w:pPr>
          </w:p>
        </w:tc>
      </w:tr>
      <w:tr w:rsidR="003C3FF8" w:rsidRPr="00982C2B" w:rsidTr="009D18B6">
        <w:trPr>
          <w:cantSplit/>
        </w:trPr>
        <w:tc>
          <w:tcPr>
            <w:tcW w:w="4410" w:type="dxa"/>
            <w:gridSpan w:val="2"/>
          </w:tcPr>
          <w:p w:rsidR="00ED734E" w:rsidRPr="00982C2B" w:rsidRDefault="00ED734E" w:rsidP="00275F20">
            <w:pPr>
              <w:jc w:val="both"/>
              <w:rPr>
                <w:rFonts w:cs="Times New Roman"/>
                <w:sz w:val="20"/>
                <w:szCs w:val="20"/>
              </w:rPr>
            </w:pPr>
            <w:r w:rsidRPr="00982C2B">
              <w:rPr>
                <w:rFonts w:cs="Times New Roman"/>
                <w:sz w:val="20"/>
                <w:szCs w:val="20"/>
              </w:rPr>
              <w:t>February 3, 2014</w:t>
            </w:r>
          </w:p>
          <w:p w:rsidR="00ED734E" w:rsidRPr="00982C2B" w:rsidRDefault="00ED734E" w:rsidP="00275F20">
            <w:pPr>
              <w:jc w:val="both"/>
              <w:rPr>
                <w:rFonts w:cs="Times New Roman"/>
                <w:sz w:val="20"/>
                <w:szCs w:val="20"/>
              </w:rPr>
            </w:pPr>
            <w:r w:rsidRPr="00982C2B">
              <w:rPr>
                <w:rFonts w:cs="Times New Roman"/>
                <w:sz w:val="20"/>
                <w:szCs w:val="20"/>
              </w:rPr>
              <w:t>Supreme Court of British Columbia</w:t>
            </w:r>
          </w:p>
          <w:p w:rsidR="00ED734E" w:rsidRPr="00982C2B" w:rsidRDefault="00ED734E" w:rsidP="00275F20">
            <w:pPr>
              <w:jc w:val="both"/>
              <w:rPr>
                <w:rFonts w:cs="Times New Roman"/>
                <w:sz w:val="20"/>
                <w:szCs w:val="20"/>
              </w:rPr>
            </w:pPr>
            <w:r w:rsidRPr="00982C2B">
              <w:rPr>
                <w:rFonts w:cs="Times New Roman"/>
                <w:sz w:val="20"/>
                <w:szCs w:val="20"/>
              </w:rPr>
              <w:t>(Saunders J.)</w:t>
            </w:r>
          </w:p>
          <w:p w:rsidR="00ED734E" w:rsidRPr="00982C2B" w:rsidRDefault="00ED734E" w:rsidP="00275F20">
            <w:pPr>
              <w:jc w:val="both"/>
              <w:rPr>
                <w:rFonts w:cs="Times New Roman"/>
                <w:sz w:val="20"/>
                <w:szCs w:val="20"/>
              </w:rPr>
            </w:pPr>
            <w:r w:rsidRPr="00982C2B">
              <w:rPr>
                <w:rFonts w:cs="Times New Roman"/>
                <w:sz w:val="20"/>
                <w:szCs w:val="20"/>
              </w:rPr>
              <w:t>2014 BCSC 166</w:t>
            </w:r>
          </w:p>
          <w:p w:rsidR="003C3FF8" w:rsidRPr="00982C2B" w:rsidRDefault="009F3029" w:rsidP="00275F20">
            <w:pPr>
              <w:jc w:val="both"/>
              <w:rPr>
                <w:rStyle w:val="Hyperlink"/>
                <w:rFonts w:eastAsiaTheme="majorEastAsia" w:cs="Times New Roman"/>
                <w:color w:val="0000FF"/>
                <w:sz w:val="20"/>
                <w:szCs w:val="20"/>
              </w:rPr>
            </w:pPr>
            <w:hyperlink r:id="rId58" w:history="1">
              <w:r w:rsidR="00ED734E" w:rsidRPr="00982C2B">
                <w:rPr>
                  <w:rStyle w:val="Hyperlink"/>
                  <w:rFonts w:eastAsiaTheme="majorEastAsia" w:cs="Times New Roman"/>
                  <w:color w:val="0000FF"/>
                  <w:sz w:val="20"/>
                  <w:szCs w:val="20"/>
                </w:rPr>
                <w:t>http://canlii.ca/t/g2xnb</w:t>
              </w:r>
            </w:hyperlink>
          </w:p>
          <w:p w:rsidR="00ED734E" w:rsidRPr="00982C2B" w:rsidRDefault="00ED734E" w:rsidP="00275F20">
            <w:pPr>
              <w:jc w:val="both"/>
              <w:rPr>
                <w:rFonts w:cs="Times New Roman"/>
                <w:sz w:val="20"/>
                <w:szCs w:val="20"/>
              </w:rPr>
            </w:pPr>
          </w:p>
        </w:tc>
        <w:tc>
          <w:tcPr>
            <w:tcW w:w="630" w:type="dxa"/>
          </w:tcPr>
          <w:p w:rsidR="003C3FF8" w:rsidRPr="00982C2B" w:rsidRDefault="003C3FF8" w:rsidP="00275F20">
            <w:pPr>
              <w:pStyle w:val="SCCShortJudgment"/>
              <w:ind w:firstLine="0"/>
              <w:rPr>
                <w:rFonts w:cs="Times New Roman"/>
                <w:szCs w:val="20"/>
              </w:rPr>
            </w:pPr>
          </w:p>
        </w:tc>
        <w:tc>
          <w:tcPr>
            <w:tcW w:w="4536" w:type="dxa"/>
          </w:tcPr>
          <w:p w:rsidR="00ED734E" w:rsidRPr="00982C2B" w:rsidRDefault="00ED734E" w:rsidP="00275F20">
            <w:pPr>
              <w:jc w:val="both"/>
              <w:rPr>
                <w:rFonts w:cs="Times New Roman"/>
                <w:sz w:val="20"/>
                <w:szCs w:val="20"/>
              </w:rPr>
            </w:pPr>
            <w:r w:rsidRPr="00982C2B">
              <w:rPr>
                <w:rFonts w:cs="Times New Roman"/>
                <w:sz w:val="20"/>
                <w:szCs w:val="20"/>
              </w:rPr>
              <w:t>Respondent’s claim for indemnity dismissed</w:t>
            </w:r>
          </w:p>
          <w:p w:rsidR="003C3FF8" w:rsidRPr="00982C2B" w:rsidRDefault="003C3FF8" w:rsidP="00275F20">
            <w:pPr>
              <w:jc w:val="both"/>
              <w:rPr>
                <w:rFonts w:cs="Times New Roman"/>
                <w:sz w:val="20"/>
                <w:szCs w:val="20"/>
              </w:rPr>
            </w:pPr>
          </w:p>
        </w:tc>
      </w:tr>
      <w:tr w:rsidR="003C3FF8" w:rsidRPr="00982C2B" w:rsidTr="009D18B6">
        <w:trPr>
          <w:cantSplit/>
        </w:trPr>
        <w:tc>
          <w:tcPr>
            <w:tcW w:w="4410" w:type="dxa"/>
            <w:gridSpan w:val="2"/>
          </w:tcPr>
          <w:p w:rsidR="00ED734E" w:rsidRPr="00982C2B" w:rsidRDefault="00ED734E" w:rsidP="00275F20">
            <w:pPr>
              <w:jc w:val="both"/>
              <w:rPr>
                <w:rFonts w:cs="Times New Roman"/>
                <w:sz w:val="20"/>
                <w:szCs w:val="20"/>
              </w:rPr>
            </w:pPr>
            <w:r w:rsidRPr="00982C2B">
              <w:rPr>
                <w:rFonts w:cs="Times New Roman"/>
                <w:sz w:val="20"/>
                <w:szCs w:val="20"/>
              </w:rPr>
              <w:t>September 23, 2015</w:t>
            </w:r>
          </w:p>
          <w:p w:rsidR="00ED734E" w:rsidRPr="00982C2B" w:rsidRDefault="00ED734E" w:rsidP="00275F20">
            <w:pPr>
              <w:jc w:val="both"/>
              <w:rPr>
                <w:rFonts w:cs="Times New Roman"/>
                <w:sz w:val="20"/>
                <w:szCs w:val="20"/>
              </w:rPr>
            </w:pPr>
            <w:r w:rsidRPr="00982C2B">
              <w:rPr>
                <w:rFonts w:cs="Times New Roman"/>
                <w:sz w:val="20"/>
                <w:szCs w:val="20"/>
              </w:rPr>
              <w:t>Court of Appeal for British Columbia (Vancouver)</w:t>
            </w:r>
          </w:p>
          <w:p w:rsidR="00ED734E" w:rsidRPr="00982C2B" w:rsidRDefault="00ED734E" w:rsidP="00275F20">
            <w:pPr>
              <w:jc w:val="both"/>
              <w:rPr>
                <w:rFonts w:cs="Times New Roman"/>
                <w:sz w:val="20"/>
                <w:szCs w:val="20"/>
              </w:rPr>
            </w:pPr>
            <w:r w:rsidRPr="00982C2B">
              <w:rPr>
                <w:rFonts w:cs="Times New Roman"/>
                <w:sz w:val="20"/>
                <w:szCs w:val="20"/>
              </w:rPr>
              <w:t>(Saunders, Bennett, Stromberg-Stein JJ.A.)</w:t>
            </w:r>
          </w:p>
          <w:p w:rsidR="00ED734E" w:rsidRPr="00982C2B" w:rsidRDefault="00ED734E" w:rsidP="00275F20">
            <w:pPr>
              <w:jc w:val="both"/>
              <w:rPr>
                <w:rFonts w:cs="Times New Roman"/>
                <w:sz w:val="20"/>
                <w:szCs w:val="20"/>
              </w:rPr>
            </w:pPr>
            <w:r w:rsidRPr="00982C2B">
              <w:rPr>
                <w:rFonts w:cs="Times New Roman"/>
                <w:sz w:val="20"/>
                <w:szCs w:val="20"/>
              </w:rPr>
              <w:t>2015 BCCA 394; CA41588</w:t>
            </w:r>
          </w:p>
          <w:p w:rsidR="00ED734E" w:rsidRPr="00982C2B" w:rsidRDefault="009F3029" w:rsidP="00275F20">
            <w:pPr>
              <w:jc w:val="both"/>
              <w:rPr>
                <w:rFonts w:cs="Times New Roman"/>
                <w:sz w:val="20"/>
                <w:szCs w:val="20"/>
              </w:rPr>
            </w:pPr>
            <w:hyperlink r:id="rId59" w:history="1">
              <w:r w:rsidR="00ED734E" w:rsidRPr="00982C2B">
                <w:rPr>
                  <w:rStyle w:val="Hyperlink"/>
                  <w:rFonts w:eastAsiaTheme="majorEastAsia" w:cs="Times New Roman"/>
                  <w:color w:val="0000FF"/>
                  <w:sz w:val="20"/>
                  <w:szCs w:val="20"/>
                </w:rPr>
                <w:t>http://canlii.ca/t/gl8hl</w:t>
              </w:r>
            </w:hyperlink>
          </w:p>
          <w:p w:rsidR="003C3FF8" w:rsidRPr="00982C2B" w:rsidRDefault="003C3FF8" w:rsidP="00275F20">
            <w:pPr>
              <w:jc w:val="both"/>
              <w:rPr>
                <w:rFonts w:cs="Times New Roman"/>
                <w:sz w:val="20"/>
                <w:szCs w:val="20"/>
              </w:rPr>
            </w:pPr>
          </w:p>
        </w:tc>
        <w:tc>
          <w:tcPr>
            <w:tcW w:w="630" w:type="dxa"/>
          </w:tcPr>
          <w:p w:rsidR="003C3FF8" w:rsidRPr="00982C2B" w:rsidRDefault="003C3FF8" w:rsidP="00275F20">
            <w:pPr>
              <w:pStyle w:val="SCCShortJudgment"/>
              <w:ind w:firstLine="0"/>
              <w:rPr>
                <w:rFonts w:cs="Times New Roman"/>
                <w:szCs w:val="20"/>
              </w:rPr>
            </w:pPr>
          </w:p>
        </w:tc>
        <w:tc>
          <w:tcPr>
            <w:tcW w:w="4536" w:type="dxa"/>
          </w:tcPr>
          <w:p w:rsidR="00ED734E" w:rsidRPr="00982C2B" w:rsidRDefault="00ED734E" w:rsidP="00275F20">
            <w:pPr>
              <w:jc w:val="both"/>
              <w:rPr>
                <w:rFonts w:cs="Times New Roman"/>
                <w:sz w:val="20"/>
                <w:szCs w:val="20"/>
              </w:rPr>
            </w:pPr>
            <w:r w:rsidRPr="00982C2B">
              <w:rPr>
                <w:rFonts w:cs="Times New Roman"/>
                <w:sz w:val="20"/>
                <w:szCs w:val="20"/>
              </w:rPr>
              <w:t>Appeal allowed</w:t>
            </w:r>
          </w:p>
          <w:p w:rsidR="003C3FF8" w:rsidRPr="00982C2B" w:rsidRDefault="003C3FF8" w:rsidP="00275F20">
            <w:pPr>
              <w:jc w:val="both"/>
              <w:rPr>
                <w:rFonts w:cs="Times New Roman"/>
                <w:sz w:val="20"/>
                <w:szCs w:val="20"/>
              </w:rPr>
            </w:pPr>
          </w:p>
        </w:tc>
      </w:tr>
      <w:tr w:rsidR="003C3FF8" w:rsidRPr="00982C2B" w:rsidTr="009D18B6">
        <w:trPr>
          <w:cantSplit/>
        </w:trPr>
        <w:tc>
          <w:tcPr>
            <w:tcW w:w="4410" w:type="dxa"/>
            <w:gridSpan w:val="2"/>
          </w:tcPr>
          <w:p w:rsidR="00ED734E" w:rsidRPr="00982C2B" w:rsidRDefault="00ED734E" w:rsidP="00275F20">
            <w:pPr>
              <w:jc w:val="both"/>
              <w:rPr>
                <w:rFonts w:cs="Times New Roman"/>
                <w:sz w:val="20"/>
                <w:szCs w:val="20"/>
              </w:rPr>
            </w:pPr>
            <w:r w:rsidRPr="00982C2B">
              <w:rPr>
                <w:rFonts w:cs="Times New Roman"/>
                <w:sz w:val="20"/>
                <w:szCs w:val="20"/>
              </w:rPr>
              <w:t>November 17, 2015</w:t>
            </w:r>
          </w:p>
          <w:p w:rsidR="00ED734E" w:rsidRPr="00982C2B" w:rsidRDefault="00ED734E" w:rsidP="00275F20">
            <w:pPr>
              <w:jc w:val="both"/>
              <w:rPr>
                <w:rFonts w:cs="Times New Roman"/>
                <w:sz w:val="20"/>
                <w:szCs w:val="20"/>
              </w:rPr>
            </w:pPr>
            <w:r w:rsidRPr="00982C2B">
              <w:rPr>
                <w:rFonts w:cs="Times New Roman"/>
                <w:sz w:val="20"/>
                <w:szCs w:val="20"/>
              </w:rPr>
              <w:t>Supreme Court of Canada</w:t>
            </w:r>
          </w:p>
          <w:p w:rsidR="003C3FF8" w:rsidRPr="00982C2B" w:rsidRDefault="003C3FF8" w:rsidP="00275F20">
            <w:pPr>
              <w:jc w:val="both"/>
              <w:rPr>
                <w:rFonts w:cs="Times New Roman"/>
                <w:sz w:val="20"/>
                <w:szCs w:val="20"/>
              </w:rPr>
            </w:pPr>
          </w:p>
        </w:tc>
        <w:tc>
          <w:tcPr>
            <w:tcW w:w="630" w:type="dxa"/>
          </w:tcPr>
          <w:p w:rsidR="003C3FF8" w:rsidRPr="00982C2B" w:rsidRDefault="003C3FF8" w:rsidP="00275F20">
            <w:pPr>
              <w:pStyle w:val="SCCShortJudgment"/>
              <w:ind w:firstLine="0"/>
              <w:rPr>
                <w:rFonts w:cs="Times New Roman"/>
                <w:szCs w:val="20"/>
              </w:rPr>
            </w:pPr>
          </w:p>
        </w:tc>
        <w:tc>
          <w:tcPr>
            <w:tcW w:w="4536" w:type="dxa"/>
          </w:tcPr>
          <w:p w:rsidR="003C3FF8" w:rsidRPr="00982C2B" w:rsidRDefault="00ED734E" w:rsidP="00275F20">
            <w:pPr>
              <w:jc w:val="both"/>
              <w:rPr>
                <w:rFonts w:cs="Times New Roman"/>
                <w:sz w:val="20"/>
                <w:szCs w:val="20"/>
              </w:rPr>
            </w:pPr>
            <w:r w:rsidRPr="00982C2B">
              <w:rPr>
                <w:rFonts w:cs="Times New Roman"/>
                <w:sz w:val="20"/>
                <w:szCs w:val="20"/>
              </w:rPr>
              <w:t>Application for leave to appeal filed</w:t>
            </w:r>
          </w:p>
        </w:tc>
      </w:tr>
      <w:tr w:rsidR="003C3FF8" w:rsidRPr="00982C2B" w:rsidTr="009D18B6">
        <w:trPr>
          <w:cantSplit/>
        </w:trPr>
        <w:tc>
          <w:tcPr>
            <w:tcW w:w="9576" w:type="dxa"/>
            <w:gridSpan w:val="4"/>
          </w:tcPr>
          <w:p w:rsidR="003C3FF8" w:rsidRPr="00982C2B" w:rsidRDefault="009F3029" w:rsidP="009D18B6">
            <w:pPr>
              <w:pStyle w:val="SCCShortJudgment"/>
              <w:ind w:firstLine="0"/>
              <w:rPr>
                <w:rFonts w:cs="Times New Roman"/>
                <w:szCs w:val="20"/>
                <w:lang w:val="fr-CA"/>
              </w:rPr>
            </w:pPr>
            <w:r>
              <w:rPr>
                <w:rFonts w:cs="Times New Roman"/>
                <w:szCs w:val="20"/>
                <w:lang w:val="fr-CA"/>
              </w:rPr>
              <w:pict>
                <v:rect id="_x0000_i1061" style="width:2in;height:1pt" o:hrpct="0" o:hralign="center" o:hrstd="t" o:hrnoshade="t" o:hr="t" fillcolor="black [3213]" stroked="f"/>
              </w:pict>
            </w:r>
          </w:p>
          <w:p w:rsidR="003C3FF8" w:rsidRPr="00982C2B" w:rsidRDefault="003C3FF8" w:rsidP="009D18B6">
            <w:pPr>
              <w:pStyle w:val="SCCShortJudgment"/>
              <w:ind w:firstLine="0"/>
              <w:rPr>
                <w:rFonts w:cs="Times New Roman"/>
                <w:szCs w:val="20"/>
                <w:lang w:val="fr-CA"/>
              </w:rPr>
            </w:pPr>
          </w:p>
        </w:tc>
      </w:tr>
      <w:tr w:rsidR="003C3FF8" w:rsidRPr="00982C2B" w:rsidTr="009D18B6">
        <w:trPr>
          <w:cantSplit/>
        </w:trPr>
        <w:tc>
          <w:tcPr>
            <w:tcW w:w="9576" w:type="dxa"/>
            <w:gridSpan w:val="4"/>
          </w:tcPr>
          <w:p w:rsidR="003C3FF8" w:rsidRPr="00982C2B" w:rsidRDefault="003C3FF8"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3C3FF8" w:rsidRPr="00982C2B" w:rsidRDefault="003C3FF8" w:rsidP="009D18B6">
            <w:pPr>
              <w:pStyle w:val="SCCShortJudgment"/>
              <w:ind w:firstLine="0"/>
              <w:rPr>
                <w:rFonts w:cs="Times New Roman"/>
                <w:szCs w:val="20"/>
                <w:u w:val="single"/>
                <w:lang w:val="fr-CA"/>
              </w:rPr>
            </w:pPr>
          </w:p>
        </w:tc>
      </w:tr>
      <w:tr w:rsidR="003C3FF8" w:rsidRPr="009F3029" w:rsidTr="009D18B6">
        <w:trPr>
          <w:cantSplit/>
        </w:trPr>
        <w:tc>
          <w:tcPr>
            <w:tcW w:w="9576" w:type="dxa"/>
            <w:gridSpan w:val="4"/>
          </w:tcPr>
          <w:p w:rsidR="003C3FF8" w:rsidRPr="00982C2B" w:rsidRDefault="00ED734E" w:rsidP="00275F20">
            <w:pPr>
              <w:pStyle w:val="SCCShortJudgment"/>
              <w:ind w:firstLine="0"/>
              <w:rPr>
                <w:rFonts w:cs="Times New Roman"/>
                <w:szCs w:val="20"/>
                <w:lang w:val="fr-CA"/>
              </w:rPr>
            </w:pPr>
            <w:r w:rsidRPr="00982C2B">
              <w:rPr>
                <w:rFonts w:cs="Times New Roman"/>
                <w:szCs w:val="20"/>
                <w:lang w:val="fr-CA"/>
              </w:rPr>
              <w:t>Assurance — Assurance automobile — Demande d’indemnisation de l’intimée — Critère juridique de l’indemnisation en vertu d’une police d’assurance de responsabilité civile pour des blessures attribuables à l’utilisation ou à la conduite d’un véhicule automobile — La Cour d’appel a-t-elle commis une erreur dans son interprétation de l’expression [</w:t>
            </w:r>
            <w:r w:rsidRPr="00982C2B">
              <w:rPr>
                <w:rFonts w:cs="Times New Roman"/>
                <w:smallCaps/>
                <w:szCs w:val="20"/>
                <w:lang w:val="fr-CA"/>
              </w:rPr>
              <w:t>traduction</w:t>
            </w:r>
            <w:r w:rsidRPr="00982C2B">
              <w:rPr>
                <w:rFonts w:cs="Times New Roman"/>
                <w:szCs w:val="20"/>
                <w:lang w:val="fr-CA"/>
              </w:rPr>
              <w:t>] « attribuable à l’utilisation ou la conduite d’un véhicule  par l’assuré » employée dans une loi sur l’assurance automobile en appliquant à tort un critère de causalité dit « du facteur déterminant »? — Les cours d’appel ont-elles rendu des décisions contradictoires?</w:t>
            </w:r>
          </w:p>
          <w:p w:rsidR="00ED734E" w:rsidRPr="00982C2B" w:rsidRDefault="00ED734E" w:rsidP="00275F20">
            <w:pPr>
              <w:pStyle w:val="SCCShortJudgment"/>
              <w:ind w:firstLine="0"/>
              <w:rPr>
                <w:rFonts w:cs="Times New Roman"/>
                <w:szCs w:val="20"/>
                <w:u w:val="single"/>
                <w:lang w:val="fr-CA"/>
              </w:rPr>
            </w:pPr>
          </w:p>
        </w:tc>
      </w:tr>
      <w:tr w:rsidR="003C3FF8" w:rsidRPr="00982C2B" w:rsidTr="009D18B6">
        <w:trPr>
          <w:cantSplit/>
        </w:trPr>
        <w:tc>
          <w:tcPr>
            <w:tcW w:w="9576" w:type="dxa"/>
            <w:gridSpan w:val="4"/>
          </w:tcPr>
          <w:p w:rsidR="003C3FF8" w:rsidRPr="00982C2B" w:rsidRDefault="00ED734E" w:rsidP="00275F20">
            <w:pPr>
              <w:jc w:val="both"/>
              <w:rPr>
                <w:rFonts w:cs="Times New Roman"/>
                <w:iCs/>
                <w:sz w:val="20"/>
                <w:szCs w:val="20"/>
                <w:lang w:val="fr-CA"/>
              </w:rPr>
            </w:pPr>
            <w:r w:rsidRPr="00982C2B">
              <w:rPr>
                <w:rFonts w:cs="Times New Roman"/>
                <w:sz w:val="20"/>
                <w:szCs w:val="20"/>
                <w:lang w:val="fr-CA"/>
              </w:rPr>
              <w:t xml:space="preserve">L’intimée conduisait son automobile lorsque le passager, son petit ami, a saisi le volant. L’intimée a perdu la maîtrise du véhicule et celui-ci a fait une embardée. Le passager a été tué dans l’accident. L’intimée a été grièvement blessée. Un jugement a été prononcé contre le passager pour les préjudices subis par l’intimée. L’intimée a alors intenté une action en indemnisation contre la demanderesse, Insurance Corporation of British Columbia. </w:t>
            </w:r>
            <w:r w:rsidRPr="00982C2B">
              <w:rPr>
                <w:rFonts w:cs="Times New Roman"/>
                <w:iCs/>
                <w:sz w:val="20"/>
                <w:szCs w:val="20"/>
                <w:lang w:val="fr-CA"/>
              </w:rPr>
              <w:t>Le juge de première instance a rejeté la demande d’indemnisation de l’intimée. La Cour d’appel a accueilli l’appel.</w:t>
            </w:r>
          </w:p>
        </w:tc>
      </w:tr>
      <w:tr w:rsidR="003C3FF8" w:rsidRPr="00982C2B" w:rsidTr="009D18B6">
        <w:trPr>
          <w:cantSplit/>
        </w:trPr>
        <w:tc>
          <w:tcPr>
            <w:tcW w:w="9576" w:type="dxa"/>
            <w:gridSpan w:val="4"/>
          </w:tcPr>
          <w:p w:rsidR="003C3FF8" w:rsidRPr="00982C2B" w:rsidRDefault="003C3FF8" w:rsidP="00275F20">
            <w:pPr>
              <w:pStyle w:val="SCCShortJudgment"/>
              <w:ind w:firstLine="0"/>
              <w:rPr>
                <w:rFonts w:cs="Times New Roman"/>
                <w:szCs w:val="20"/>
                <w:u w:val="single"/>
                <w:lang w:val="fr-CA"/>
              </w:rPr>
            </w:pPr>
          </w:p>
        </w:tc>
      </w:tr>
      <w:tr w:rsidR="003C3FF8" w:rsidRPr="009F3029" w:rsidTr="009D18B6">
        <w:trPr>
          <w:cantSplit/>
        </w:trPr>
        <w:tc>
          <w:tcPr>
            <w:tcW w:w="4410" w:type="dxa"/>
            <w:gridSpan w:val="2"/>
          </w:tcPr>
          <w:p w:rsidR="00ED734E" w:rsidRPr="00982C2B" w:rsidRDefault="00ED734E" w:rsidP="00275F20">
            <w:pPr>
              <w:jc w:val="both"/>
              <w:rPr>
                <w:rFonts w:cs="Times New Roman"/>
                <w:sz w:val="20"/>
                <w:szCs w:val="20"/>
                <w:lang w:val="fr-CA"/>
              </w:rPr>
            </w:pPr>
            <w:r w:rsidRPr="00982C2B">
              <w:rPr>
                <w:rFonts w:cs="Times New Roman"/>
                <w:sz w:val="20"/>
                <w:szCs w:val="20"/>
                <w:lang w:val="fr-CA"/>
              </w:rPr>
              <w:t>3 février 2014</w:t>
            </w:r>
          </w:p>
          <w:p w:rsidR="00ED734E" w:rsidRPr="00982C2B" w:rsidRDefault="00ED734E" w:rsidP="00275F20">
            <w:pPr>
              <w:jc w:val="both"/>
              <w:rPr>
                <w:rFonts w:cs="Times New Roman"/>
                <w:sz w:val="20"/>
                <w:szCs w:val="20"/>
                <w:lang w:val="fr-CA"/>
              </w:rPr>
            </w:pPr>
            <w:r w:rsidRPr="00982C2B">
              <w:rPr>
                <w:rFonts w:cs="Times New Roman"/>
                <w:sz w:val="20"/>
                <w:szCs w:val="20"/>
                <w:lang w:val="fr-CA"/>
              </w:rPr>
              <w:t xml:space="preserve">Cour suprême de la Colombie-Britannique </w:t>
            </w:r>
          </w:p>
          <w:p w:rsidR="00ED734E" w:rsidRPr="00982C2B" w:rsidRDefault="00ED734E" w:rsidP="00275F20">
            <w:pPr>
              <w:jc w:val="both"/>
              <w:rPr>
                <w:rFonts w:cs="Times New Roman"/>
                <w:sz w:val="20"/>
                <w:szCs w:val="20"/>
                <w:lang w:val="fr-CA"/>
              </w:rPr>
            </w:pPr>
            <w:r w:rsidRPr="00982C2B">
              <w:rPr>
                <w:rFonts w:cs="Times New Roman"/>
                <w:sz w:val="20"/>
                <w:szCs w:val="20"/>
                <w:lang w:val="fr-CA"/>
              </w:rPr>
              <w:t>(Juge Saunders)</w:t>
            </w:r>
          </w:p>
          <w:p w:rsidR="00ED734E" w:rsidRPr="00982C2B" w:rsidRDefault="00ED734E" w:rsidP="00275F20">
            <w:pPr>
              <w:jc w:val="both"/>
              <w:rPr>
                <w:rFonts w:cs="Times New Roman"/>
                <w:sz w:val="20"/>
                <w:szCs w:val="20"/>
                <w:lang w:val="fr-CA"/>
              </w:rPr>
            </w:pPr>
            <w:r w:rsidRPr="00982C2B">
              <w:rPr>
                <w:rFonts w:cs="Times New Roman"/>
                <w:sz w:val="20"/>
                <w:szCs w:val="20"/>
                <w:lang w:val="fr-CA"/>
              </w:rPr>
              <w:t>2014 BCSC 166</w:t>
            </w:r>
          </w:p>
          <w:p w:rsidR="00ED734E" w:rsidRPr="00982C2B" w:rsidRDefault="009F3029" w:rsidP="00275F20">
            <w:pPr>
              <w:jc w:val="both"/>
              <w:rPr>
                <w:rFonts w:cs="Times New Roman"/>
                <w:sz w:val="20"/>
                <w:szCs w:val="20"/>
                <w:lang w:val="fr-CA"/>
              </w:rPr>
            </w:pPr>
            <w:hyperlink r:id="rId60" w:history="1">
              <w:r w:rsidR="00ED734E" w:rsidRPr="00982C2B">
                <w:rPr>
                  <w:rStyle w:val="Hyperlink"/>
                  <w:rFonts w:eastAsiaTheme="majorEastAsia" w:cs="Times New Roman"/>
                  <w:color w:val="0000FF"/>
                  <w:sz w:val="20"/>
                  <w:szCs w:val="20"/>
                  <w:lang w:val="fr-CA"/>
                </w:rPr>
                <w:t>http://canlii.ca/t/g2xnb</w:t>
              </w:r>
            </w:hyperlink>
          </w:p>
          <w:p w:rsidR="003C3FF8" w:rsidRPr="00982C2B" w:rsidRDefault="003C3FF8" w:rsidP="00275F20">
            <w:pPr>
              <w:pStyle w:val="SCCShortJudgment"/>
              <w:ind w:firstLine="0"/>
              <w:rPr>
                <w:rFonts w:cs="Times New Roman"/>
                <w:szCs w:val="20"/>
                <w:u w:val="single"/>
                <w:lang w:val="fr-CA"/>
              </w:rPr>
            </w:pPr>
          </w:p>
        </w:tc>
        <w:tc>
          <w:tcPr>
            <w:tcW w:w="630" w:type="dxa"/>
          </w:tcPr>
          <w:p w:rsidR="003C3FF8" w:rsidRPr="00982C2B" w:rsidRDefault="003C3FF8" w:rsidP="00275F20">
            <w:pPr>
              <w:pStyle w:val="SCCShortJudgment"/>
              <w:ind w:firstLine="0"/>
              <w:rPr>
                <w:rFonts w:cs="Times New Roman"/>
                <w:szCs w:val="20"/>
                <w:u w:val="single"/>
                <w:lang w:val="fr-CA"/>
              </w:rPr>
            </w:pPr>
          </w:p>
        </w:tc>
        <w:tc>
          <w:tcPr>
            <w:tcW w:w="4536" w:type="dxa"/>
          </w:tcPr>
          <w:p w:rsidR="003C3FF8" w:rsidRPr="00982C2B" w:rsidRDefault="00ED734E" w:rsidP="00275F20">
            <w:pPr>
              <w:pStyle w:val="SCCShortJudgment"/>
              <w:ind w:firstLine="0"/>
              <w:rPr>
                <w:rFonts w:cs="Times New Roman"/>
                <w:szCs w:val="20"/>
                <w:u w:val="single"/>
                <w:lang w:val="fr-CA"/>
              </w:rPr>
            </w:pPr>
            <w:r w:rsidRPr="00982C2B">
              <w:rPr>
                <w:rFonts w:cs="Times New Roman"/>
                <w:szCs w:val="20"/>
                <w:lang w:val="fr-CA"/>
              </w:rPr>
              <w:t>Rejet de la demande d’indemnisation de l’intimée</w:t>
            </w:r>
          </w:p>
        </w:tc>
      </w:tr>
      <w:tr w:rsidR="003C3FF8" w:rsidRPr="00982C2B" w:rsidTr="009D18B6">
        <w:trPr>
          <w:cantSplit/>
        </w:trPr>
        <w:tc>
          <w:tcPr>
            <w:tcW w:w="4410" w:type="dxa"/>
            <w:gridSpan w:val="2"/>
          </w:tcPr>
          <w:p w:rsidR="00ED734E" w:rsidRPr="00982C2B" w:rsidRDefault="00ED734E" w:rsidP="00275F20">
            <w:pPr>
              <w:jc w:val="both"/>
              <w:rPr>
                <w:rFonts w:cs="Times New Roman"/>
                <w:sz w:val="20"/>
                <w:szCs w:val="20"/>
                <w:lang w:val="fr-CA"/>
              </w:rPr>
            </w:pPr>
            <w:r w:rsidRPr="00982C2B">
              <w:rPr>
                <w:rFonts w:cs="Times New Roman"/>
                <w:sz w:val="20"/>
                <w:szCs w:val="20"/>
                <w:lang w:val="fr-CA"/>
              </w:rPr>
              <w:t>23 septembre 2015</w:t>
            </w:r>
          </w:p>
          <w:p w:rsidR="00ED734E" w:rsidRPr="00982C2B" w:rsidRDefault="00ED734E" w:rsidP="00275F20">
            <w:pPr>
              <w:jc w:val="both"/>
              <w:rPr>
                <w:rFonts w:cs="Times New Roman"/>
                <w:sz w:val="20"/>
                <w:szCs w:val="20"/>
                <w:lang w:val="fr-CA"/>
              </w:rPr>
            </w:pPr>
            <w:r w:rsidRPr="00982C2B">
              <w:rPr>
                <w:rFonts w:cs="Times New Roman"/>
                <w:sz w:val="20"/>
                <w:szCs w:val="20"/>
                <w:lang w:val="fr-CA"/>
              </w:rPr>
              <w:t>Cour d’appel de la Colombie-Britannique (Vancouver)</w:t>
            </w:r>
          </w:p>
          <w:p w:rsidR="00ED734E" w:rsidRPr="00982C2B" w:rsidRDefault="00ED734E" w:rsidP="00275F20">
            <w:pPr>
              <w:jc w:val="both"/>
              <w:rPr>
                <w:rFonts w:cs="Times New Roman"/>
                <w:sz w:val="20"/>
                <w:szCs w:val="20"/>
                <w:lang w:val="fr-CA"/>
              </w:rPr>
            </w:pPr>
            <w:r w:rsidRPr="00982C2B">
              <w:rPr>
                <w:rFonts w:cs="Times New Roman"/>
                <w:sz w:val="20"/>
                <w:szCs w:val="20"/>
                <w:lang w:val="fr-CA"/>
              </w:rPr>
              <w:t>(Juges Saunders, Bennett et Stromberg-Stein)</w:t>
            </w:r>
          </w:p>
          <w:p w:rsidR="00ED734E" w:rsidRPr="00982C2B" w:rsidRDefault="00ED734E" w:rsidP="00275F20">
            <w:pPr>
              <w:jc w:val="both"/>
              <w:rPr>
                <w:rFonts w:cs="Times New Roman"/>
                <w:sz w:val="20"/>
                <w:szCs w:val="20"/>
                <w:lang w:val="en-US"/>
              </w:rPr>
            </w:pPr>
            <w:r w:rsidRPr="00982C2B">
              <w:rPr>
                <w:rFonts w:cs="Times New Roman"/>
                <w:sz w:val="20"/>
                <w:szCs w:val="20"/>
                <w:lang w:val="en-US"/>
              </w:rPr>
              <w:t>2015 BCCA 394; CA41588</w:t>
            </w:r>
          </w:p>
          <w:p w:rsidR="00ED734E" w:rsidRPr="00982C2B" w:rsidRDefault="009F3029" w:rsidP="00275F20">
            <w:pPr>
              <w:jc w:val="both"/>
              <w:rPr>
                <w:rFonts w:cs="Times New Roman"/>
                <w:sz w:val="20"/>
                <w:szCs w:val="20"/>
                <w:lang w:val="en-US"/>
              </w:rPr>
            </w:pPr>
            <w:hyperlink r:id="rId61" w:history="1">
              <w:r w:rsidR="00ED734E" w:rsidRPr="00982C2B">
                <w:rPr>
                  <w:rStyle w:val="Hyperlink"/>
                  <w:rFonts w:eastAsiaTheme="majorEastAsia" w:cs="Times New Roman"/>
                  <w:color w:val="0000FF"/>
                  <w:sz w:val="20"/>
                  <w:szCs w:val="20"/>
                  <w:lang w:val="en-US"/>
                </w:rPr>
                <w:t>http://canlii.ca/t/gl8hl</w:t>
              </w:r>
            </w:hyperlink>
          </w:p>
          <w:p w:rsidR="003C3FF8" w:rsidRPr="00982C2B" w:rsidRDefault="003C3FF8" w:rsidP="00275F20">
            <w:pPr>
              <w:pStyle w:val="SCCShortJudgment"/>
              <w:ind w:firstLine="0"/>
              <w:rPr>
                <w:rFonts w:cs="Times New Roman"/>
                <w:szCs w:val="20"/>
                <w:u w:val="single"/>
                <w:lang w:val="en-US"/>
              </w:rPr>
            </w:pPr>
          </w:p>
        </w:tc>
        <w:tc>
          <w:tcPr>
            <w:tcW w:w="630" w:type="dxa"/>
          </w:tcPr>
          <w:p w:rsidR="003C3FF8" w:rsidRPr="00982C2B" w:rsidRDefault="003C3FF8" w:rsidP="00275F20">
            <w:pPr>
              <w:pStyle w:val="SCCShortJudgment"/>
              <w:ind w:firstLine="0"/>
              <w:rPr>
                <w:rFonts w:cs="Times New Roman"/>
                <w:szCs w:val="20"/>
                <w:u w:val="single"/>
              </w:rPr>
            </w:pPr>
          </w:p>
        </w:tc>
        <w:tc>
          <w:tcPr>
            <w:tcW w:w="4536" w:type="dxa"/>
          </w:tcPr>
          <w:p w:rsidR="003C3FF8" w:rsidRPr="00982C2B" w:rsidRDefault="00ED734E" w:rsidP="00275F20">
            <w:pPr>
              <w:jc w:val="both"/>
              <w:rPr>
                <w:rFonts w:cs="Times New Roman"/>
                <w:sz w:val="20"/>
                <w:szCs w:val="20"/>
              </w:rPr>
            </w:pPr>
            <w:r w:rsidRPr="00982C2B">
              <w:rPr>
                <w:rFonts w:cs="Times New Roman"/>
                <w:sz w:val="20"/>
                <w:szCs w:val="20"/>
                <w:lang w:val="fr-CA"/>
              </w:rPr>
              <w:t>Arrêt accueillant l’appel</w:t>
            </w:r>
          </w:p>
        </w:tc>
      </w:tr>
      <w:tr w:rsidR="003C3FF8" w:rsidRPr="009F3029" w:rsidTr="009D18B6">
        <w:trPr>
          <w:cantSplit/>
        </w:trPr>
        <w:tc>
          <w:tcPr>
            <w:tcW w:w="4410" w:type="dxa"/>
            <w:gridSpan w:val="2"/>
          </w:tcPr>
          <w:p w:rsidR="00ED734E" w:rsidRPr="00982C2B" w:rsidRDefault="00ED734E" w:rsidP="00275F20">
            <w:pPr>
              <w:jc w:val="both"/>
              <w:rPr>
                <w:rFonts w:cs="Times New Roman"/>
                <w:sz w:val="20"/>
                <w:szCs w:val="20"/>
                <w:lang w:val="fr-CA"/>
              </w:rPr>
            </w:pPr>
            <w:r w:rsidRPr="00982C2B">
              <w:rPr>
                <w:rFonts w:cs="Times New Roman"/>
                <w:sz w:val="20"/>
                <w:szCs w:val="20"/>
                <w:lang w:val="fr-CA"/>
              </w:rPr>
              <w:t>17 novembre 2015</w:t>
            </w:r>
          </w:p>
          <w:p w:rsidR="00ED734E" w:rsidRPr="00982C2B" w:rsidRDefault="00ED734E" w:rsidP="00275F20">
            <w:pPr>
              <w:jc w:val="both"/>
              <w:rPr>
                <w:rFonts w:cs="Times New Roman"/>
                <w:sz w:val="20"/>
                <w:szCs w:val="20"/>
                <w:lang w:val="fr-CA"/>
              </w:rPr>
            </w:pPr>
            <w:r w:rsidRPr="00982C2B">
              <w:rPr>
                <w:rFonts w:cs="Times New Roman"/>
                <w:sz w:val="20"/>
                <w:szCs w:val="20"/>
                <w:lang w:val="fr-CA"/>
              </w:rPr>
              <w:t>Cour suprême du Canada</w:t>
            </w:r>
          </w:p>
          <w:p w:rsidR="003C3FF8" w:rsidRPr="00982C2B" w:rsidRDefault="003C3FF8" w:rsidP="00275F20">
            <w:pPr>
              <w:pStyle w:val="SCCShortJudgment"/>
              <w:ind w:firstLine="0"/>
              <w:rPr>
                <w:rFonts w:cs="Times New Roman"/>
                <w:szCs w:val="20"/>
                <w:u w:val="single"/>
              </w:rPr>
            </w:pPr>
          </w:p>
        </w:tc>
        <w:tc>
          <w:tcPr>
            <w:tcW w:w="630" w:type="dxa"/>
          </w:tcPr>
          <w:p w:rsidR="003C3FF8" w:rsidRPr="00982C2B" w:rsidRDefault="003C3FF8" w:rsidP="00275F20">
            <w:pPr>
              <w:pStyle w:val="SCCShortJudgment"/>
              <w:ind w:firstLine="0"/>
              <w:rPr>
                <w:rFonts w:cs="Times New Roman"/>
                <w:szCs w:val="20"/>
                <w:u w:val="single"/>
              </w:rPr>
            </w:pPr>
          </w:p>
        </w:tc>
        <w:tc>
          <w:tcPr>
            <w:tcW w:w="4536" w:type="dxa"/>
          </w:tcPr>
          <w:p w:rsidR="003C3FF8" w:rsidRPr="00982C2B" w:rsidRDefault="00ED734E" w:rsidP="00275F20">
            <w:pPr>
              <w:jc w:val="both"/>
              <w:rPr>
                <w:rFonts w:cs="Times New Roman"/>
                <w:sz w:val="20"/>
                <w:szCs w:val="20"/>
                <w:lang w:val="fr-CA"/>
              </w:rPr>
            </w:pPr>
            <w:r w:rsidRPr="00982C2B">
              <w:rPr>
                <w:rFonts w:cs="Times New Roman"/>
                <w:sz w:val="20"/>
                <w:szCs w:val="20"/>
                <w:lang w:val="fr-CA"/>
              </w:rPr>
              <w:t>Dépôt de la demande d’autorisation d’appel</w:t>
            </w:r>
          </w:p>
        </w:tc>
      </w:tr>
    </w:tbl>
    <w:p w:rsidR="003C3FF8" w:rsidRPr="00982C2B" w:rsidRDefault="009F3029" w:rsidP="003C3FF8">
      <w:pPr>
        <w:rPr>
          <w:rFonts w:cs="Times New Roman"/>
          <w:sz w:val="20"/>
          <w:szCs w:val="20"/>
          <w:lang w:val="fr-CA"/>
        </w:rPr>
      </w:pPr>
      <w:r>
        <w:rPr>
          <w:rFonts w:cs="Times New Roman"/>
          <w:sz w:val="20"/>
          <w:szCs w:val="20"/>
          <w:lang w:val="fr-CA"/>
        </w:rPr>
        <w:pict>
          <v:rect id="_x0000_i1062" style="width:2in;height:1pt" o:hrpct="0" o:hralign="center" o:hrstd="t" o:hrnoshade="t" o:hr="t" fillcolor="black [3213]" stroked="f"/>
        </w:pict>
      </w:r>
    </w:p>
    <w:p w:rsidR="003C3FF8" w:rsidRPr="00982C2B" w:rsidRDefault="003C3FF8" w:rsidP="003C3FF8">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04B67" w:rsidRPr="00982C2B" w:rsidTr="004A459F">
        <w:tc>
          <w:tcPr>
            <w:tcW w:w="1458" w:type="dxa"/>
          </w:tcPr>
          <w:p w:rsidR="00204B67" w:rsidRPr="00982C2B" w:rsidRDefault="00204B67" w:rsidP="00DD39BD">
            <w:pPr>
              <w:jc w:val="both"/>
              <w:rPr>
                <w:rFonts w:cs="Times New Roman"/>
                <w:sz w:val="20"/>
                <w:szCs w:val="20"/>
              </w:rPr>
            </w:pPr>
            <w:r w:rsidRPr="00982C2B">
              <w:rPr>
                <w:rStyle w:val="SCCFileNumberChar"/>
                <w:sz w:val="20"/>
                <w:szCs w:val="20"/>
              </w:rPr>
              <w:t>36737</w:t>
            </w:r>
          </w:p>
          <w:p w:rsidR="00204B67" w:rsidRPr="00982C2B" w:rsidRDefault="00204B67" w:rsidP="00DD39BD">
            <w:pPr>
              <w:jc w:val="both"/>
              <w:rPr>
                <w:rFonts w:cs="Times New Roman"/>
                <w:b/>
                <w:sz w:val="20"/>
                <w:szCs w:val="20"/>
              </w:rPr>
            </w:pPr>
          </w:p>
        </w:tc>
        <w:tc>
          <w:tcPr>
            <w:tcW w:w="8118" w:type="dxa"/>
            <w:gridSpan w:val="3"/>
          </w:tcPr>
          <w:p w:rsidR="00204B67" w:rsidRPr="00982C2B" w:rsidRDefault="00204B67" w:rsidP="00DD39BD">
            <w:pPr>
              <w:jc w:val="both"/>
              <w:rPr>
                <w:rFonts w:cs="Times New Roman"/>
                <w:sz w:val="20"/>
                <w:szCs w:val="20"/>
              </w:rPr>
            </w:pPr>
            <w:r w:rsidRPr="00982C2B">
              <w:rPr>
                <w:rStyle w:val="SCCLsocChar"/>
                <w:rFonts w:cs="Times New Roman"/>
                <w:sz w:val="20"/>
                <w:szCs w:val="20"/>
                <w:lang w:val="en-CA"/>
              </w:rPr>
              <w:t>XY v. Minister of Justice of Canada and Attorney General of Canada</w:t>
            </w:r>
            <w:r w:rsidRPr="00982C2B">
              <w:rPr>
                <w:rStyle w:val="SCCLsocChar"/>
                <w:rFonts w:cs="Times New Roman"/>
                <w:b w:val="0"/>
                <w:sz w:val="20"/>
                <w:szCs w:val="20"/>
                <w:u w:val="none"/>
                <w:lang w:val="en-CA"/>
              </w:rPr>
              <w:t xml:space="preserve"> </w:t>
            </w:r>
            <w:r w:rsidR="00DD39BD" w:rsidRPr="00982C2B">
              <w:rPr>
                <w:rFonts w:cs="Times New Roman"/>
                <w:sz w:val="20"/>
                <w:szCs w:val="20"/>
              </w:rPr>
              <w:t>(Ont.) (Crim.</w:t>
            </w:r>
            <w:r w:rsidRPr="00982C2B">
              <w:rPr>
                <w:rFonts w:cs="Times New Roman"/>
                <w:sz w:val="20"/>
                <w:szCs w:val="20"/>
              </w:rPr>
              <w:t>) (By Leave)</w:t>
            </w:r>
          </w:p>
          <w:p w:rsidR="00204B67" w:rsidRPr="00982C2B" w:rsidRDefault="00204B67" w:rsidP="00DD39BD">
            <w:pPr>
              <w:jc w:val="both"/>
              <w:rPr>
                <w:rFonts w:cs="Times New Roman"/>
                <w:sz w:val="20"/>
                <w:szCs w:val="20"/>
              </w:rPr>
            </w:pPr>
          </w:p>
        </w:tc>
      </w:tr>
      <w:tr w:rsidR="00204B67" w:rsidRPr="00982C2B" w:rsidTr="004A459F">
        <w:tc>
          <w:tcPr>
            <w:tcW w:w="1458" w:type="dxa"/>
          </w:tcPr>
          <w:p w:rsidR="00204B67" w:rsidRPr="00982C2B" w:rsidRDefault="00204B67" w:rsidP="00DD39BD">
            <w:pPr>
              <w:jc w:val="both"/>
              <w:rPr>
                <w:rFonts w:cs="Times New Roman"/>
                <w:sz w:val="20"/>
                <w:szCs w:val="20"/>
              </w:rPr>
            </w:pPr>
            <w:r w:rsidRPr="00982C2B">
              <w:rPr>
                <w:rFonts w:cs="Times New Roman"/>
                <w:sz w:val="20"/>
                <w:szCs w:val="20"/>
              </w:rPr>
              <w:t>Coram :</w:t>
            </w:r>
          </w:p>
        </w:tc>
        <w:tc>
          <w:tcPr>
            <w:tcW w:w="8118" w:type="dxa"/>
            <w:gridSpan w:val="3"/>
          </w:tcPr>
          <w:p w:rsidR="00204B67" w:rsidRPr="00982C2B" w:rsidRDefault="00204B67" w:rsidP="00DD39BD">
            <w:pPr>
              <w:jc w:val="both"/>
              <w:rPr>
                <w:rStyle w:val="SCCCoramChar"/>
                <w:rFonts w:cs="Times New Roman"/>
                <w:sz w:val="20"/>
                <w:szCs w:val="20"/>
                <w:lang w:val="en-CA"/>
              </w:rPr>
            </w:pPr>
            <w:r w:rsidRPr="00982C2B">
              <w:rPr>
                <w:rStyle w:val="SCCCoramChar"/>
                <w:rFonts w:cs="Times New Roman"/>
                <w:sz w:val="20"/>
                <w:szCs w:val="20"/>
                <w:lang w:val="en-CA"/>
              </w:rPr>
              <w:t>Abella, Karakatsanis and Brown JJ.</w:t>
            </w:r>
          </w:p>
          <w:p w:rsidR="00204B67" w:rsidRPr="00982C2B" w:rsidRDefault="00204B67" w:rsidP="00DD39BD">
            <w:pPr>
              <w:jc w:val="both"/>
              <w:rPr>
                <w:rFonts w:cs="Times New Roman"/>
                <w:sz w:val="20"/>
                <w:szCs w:val="20"/>
                <w:u w:val="single"/>
              </w:rPr>
            </w:pPr>
          </w:p>
        </w:tc>
      </w:tr>
      <w:tr w:rsidR="00204B67" w:rsidRPr="009F3029" w:rsidTr="004A459F">
        <w:tc>
          <w:tcPr>
            <w:tcW w:w="9576" w:type="dxa"/>
            <w:gridSpan w:val="4"/>
          </w:tcPr>
          <w:p w:rsidR="00204B67" w:rsidRPr="00982C2B" w:rsidRDefault="00204B67" w:rsidP="00DD39BD">
            <w:pPr>
              <w:pStyle w:val="SCCShortJudgment"/>
              <w:ind w:firstLine="0"/>
              <w:rPr>
                <w:rFonts w:cs="Times New Roman"/>
                <w:szCs w:val="20"/>
              </w:rPr>
            </w:pPr>
            <w:r w:rsidRPr="00982C2B">
              <w:rPr>
                <w:rFonts w:cs="Times New Roman"/>
                <w:szCs w:val="20"/>
              </w:rPr>
              <w:tab/>
              <w:t>The application for leave to appeal from the judgment of the Court of Appeal for Ontario, Number C59731, 2015 ONCA 773, dated November 5, 2015, is dismissed.</w:t>
            </w:r>
          </w:p>
          <w:p w:rsidR="00204B67" w:rsidRPr="00982C2B" w:rsidRDefault="00204B67" w:rsidP="00DD39BD">
            <w:pPr>
              <w:pStyle w:val="SCCShortJudgment"/>
              <w:ind w:firstLine="0"/>
              <w:rPr>
                <w:rFonts w:cs="Times New Roman"/>
                <w:szCs w:val="20"/>
              </w:rPr>
            </w:pPr>
          </w:p>
          <w:p w:rsidR="00204B67" w:rsidRPr="00982C2B" w:rsidRDefault="00204B67" w:rsidP="00DD39BD">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l’Ontario</w:t>
            </w:r>
            <w:r w:rsidRPr="00982C2B">
              <w:rPr>
                <w:rFonts w:cs="Times New Roman"/>
                <w:szCs w:val="20"/>
                <w:lang w:val="fr-CA"/>
              </w:rPr>
              <w:t xml:space="preserve">, numéro </w:t>
            </w:r>
            <w:r w:rsidRPr="00982C2B">
              <w:rPr>
                <w:rFonts w:cs="Times New Roman"/>
                <w:szCs w:val="20"/>
                <w:lang w:val="fr-FR"/>
              </w:rPr>
              <w:t>C59731, 2015 ONCA 773</w:t>
            </w:r>
            <w:r w:rsidRPr="00982C2B">
              <w:rPr>
                <w:rFonts w:cs="Times New Roman"/>
                <w:szCs w:val="20"/>
                <w:lang w:val="fr-CA"/>
              </w:rPr>
              <w:t xml:space="preserve">, daté du </w:t>
            </w:r>
            <w:r w:rsidRPr="00982C2B">
              <w:rPr>
                <w:rFonts w:cs="Times New Roman"/>
                <w:szCs w:val="20"/>
                <w:lang w:val="fr-FR"/>
              </w:rPr>
              <w:t>5 novembre 2015</w:t>
            </w:r>
            <w:r w:rsidRPr="00982C2B">
              <w:rPr>
                <w:rFonts w:cs="Times New Roman"/>
                <w:szCs w:val="20"/>
                <w:lang w:val="fr-CA"/>
              </w:rPr>
              <w:t xml:space="preserve">, est rejetée. </w:t>
            </w:r>
          </w:p>
          <w:p w:rsidR="00204B67" w:rsidRPr="00982C2B" w:rsidRDefault="00204B67" w:rsidP="00DD39BD">
            <w:pPr>
              <w:pStyle w:val="SCCShortJudgment"/>
              <w:ind w:firstLine="0"/>
              <w:rPr>
                <w:rFonts w:cs="Times New Roman"/>
                <w:szCs w:val="20"/>
                <w:lang w:val="fr-CA"/>
              </w:rPr>
            </w:pPr>
          </w:p>
        </w:tc>
      </w:tr>
      <w:tr w:rsidR="00204B67" w:rsidRPr="00982C2B" w:rsidTr="004A459F">
        <w:tc>
          <w:tcPr>
            <w:tcW w:w="9576" w:type="dxa"/>
            <w:gridSpan w:val="4"/>
          </w:tcPr>
          <w:p w:rsidR="00204B67" w:rsidRPr="00982C2B" w:rsidRDefault="00204B67" w:rsidP="00DD39BD">
            <w:pPr>
              <w:pStyle w:val="SCCShortJudgment"/>
              <w:ind w:firstLine="0"/>
              <w:rPr>
                <w:rFonts w:cs="Times New Roman"/>
                <w:szCs w:val="20"/>
                <w:u w:val="single"/>
                <w:lang w:val="fr-CA"/>
              </w:rPr>
            </w:pPr>
            <w:r w:rsidRPr="00982C2B">
              <w:rPr>
                <w:rFonts w:cs="Times New Roman"/>
                <w:szCs w:val="20"/>
                <w:u w:val="single"/>
                <w:lang w:val="fr-CA"/>
              </w:rPr>
              <w:t>CASE SUMMARY</w:t>
            </w:r>
          </w:p>
          <w:p w:rsidR="00204B67" w:rsidRPr="00982C2B" w:rsidRDefault="00204B67" w:rsidP="00DD39BD">
            <w:pPr>
              <w:pStyle w:val="SCCShortJudgment"/>
              <w:ind w:firstLine="0"/>
              <w:rPr>
                <w:rFonts w:cs="Times New Roman"/>
                <w:szCs w:val="20"/>
                <w:u w:val="single"/>
                <w:lang w:val="fr-CA"/>
              </w:rPr>
            </w:pPr>
          </w:p>
        </w:tc>
      </w:tr>
      <w:tr w:rsidR="00204B67" w:rsidRPr="00982C2B" w:rsidTr="004A459F">
        <w:tc>
          <w:tcPr>
            <w:tcW w:w="9576" w:type="dxa"/>
            <w:gridSpan w:val="4"/>
          </w:tcPr>
          <w:p w:rsidR="00204B67" w:rsidRPr="00982C2B" w:rsidRDefault="004A459F" w:rsidP="00DD39BD">
            <w:pPr>
              <w:pStyle w:val="SCCShortJudgment"/>
              <w:ind w:firstLine="0"/>
              <w:rPr>
                <w:rFonts w:cs="Times New Roman"/>
                <w:szCs w:val="20"/>
              </w:rPr>
            </w:pPr>
            <w:r w:rsidRPr="00982C2B">
              <w:rPr>
                <w:rFonts w:cs="Times New Roman"/>
                <w:szCs w:val="20"/>
              </w:rPr>
              <w:t>(</w:t>
            </w:r>
            <w:r w:rsidRPr="00982C2B">
              <w:rPr>
                <w:rFonts w:cs="Times New Roman"/>
                <w:smallCaps/>
                <w:szCs w:val="20"/>
              </w:rPr>
              <w:t>Sealing order</w:t>
            </w:r>
            <w:r w:rsidRPr="00982C2B">
              <w:rPr>
                <w:rFonts w:cs="Times New Roman"/>
                <w:szCs w:val="20"/>
              </w:rPr>
              <w:t>)</w:t>
            </w:r>
          </w:p>
          <w:p w:rsidR="004A459F" w:rsidRPr="00982C2B" w:rsidRDefault="004A459F" w:rsidP="00DD39BD">
            <w:pPr>
              <w:pStyle w:val="SCCShortJudgment"/>
              <w:ind w:firstLine="0"/>
              <w:rPr>
                <w:rFonts w:cs="Times New Roman"/>
                <w:szCs w:val="20"/>
              </w:rPr>
            </w:pPr>
          </w:p>
          <w:p w:rsidR="004A459F" w:rsidRPr="00982C2B" w:rsidRDefault="004A459F" w:rsidP="00DD39BD">
            <w:pPr>
              <w:pStyle w:val="SCCShortJudgment"/>
              <w:ind w:firstLine="0"/>
              <w:rPr>
                <w:rFonts w:cs="Times New Roman"/>
                <w:szCs w:val="20"/>
              </w:rPr>
            </w:pPr>
            <w:r w:rsidRPr="00982C2B">
              <w:rPr>
                <w:rFonts w:cs="Times New Roman"/>
                <w:i/>
                <w:szCs w:val="20"/>
              </w:rPr>
              <w:t>Charter of Rights</w:t>
            </w:r>
            <w:r w:rsidRPr="00982C2B">
              <w:rPr>
                <w:rFonts w:cs="Times New Roman"/>
                <w:szCs w:val="20"/>
              </w:rPr>
              <w:t xml:space="preserve"> — Section 7 — Right to life, liberty and security of the person — Extradition — Surrender order granted — Application for judicial review of decision dismissed — Whether the Court of Appeal erred in finding that the failure of the Minister to require assurances by the requesting state regarding the applicant's personal safety and custodial conditions following surrender was reasonable — Whether the Court of Appeal erred in finding that the decision of the Minister of Justice to surrender the applicant to conditions which will be tantamount to solitary confinement was reasonable — </w:t>
            </w:r>
            <w:r w:rsidRPr="00982C2B">
              <w:rPr>
                <w:rFonts w:cs="Times New Roman"/>
                <w:i/>
                <w:szCs w:val="20"/>
              </w:rPr>
              <w:t>Charter of Rights</w:t>
            </w:r>
            <w:r w:rsidRPr="00982C2B">
              <w:rPr>
                <w:rFonts w:cs="Times New Roman"/>
                <w:szCs w:val="20"/>
              </w:rPr>
              <w:t>, s. 7.</w:t>
            </w:r>
          </w:p>
          <w:p w:rsidR="004A459F" w:rsidRPr="00982C2B" w:rsidRDefault="004A459F" w:rsidP="00DD39BD">
            <w:pPr>
              <w:pStyle w:val="SCCShortJudgment"/>
              <w:ind w:firstLine="0"/>
              <w:rPr>
                <w:rFonts w:cs="Times New Roman"/>
                <w:szCs w:val="20"/>
              </w:rPr>
            </w:pPr>
          </w:p>
        </w:tc>
      </w:tr>
      <w:tr w:rsidR="00204B67" w:rsidRPr="00982C2B" w:rsidTr="004A459F">
        <w:tc>
          <w:tcPr>
            <w:tcW w:w="9576" w:type="dxa"/>
            <w:gridSpan w:val="4"/>
          </w:tcPr>
          <w:p w:rsidR="004A459F" w:rsidRPr="00982C2B" w:rsidRDefault="004A459F" w:rsidP="00DD39BD">
            <w:pPr>
              <w:jc w:val="both"/>
              <w:rPr>
                <w:rFonts w:cs="Times New Roman"/>
                <w:sz w:val="20"/>
                <w:szCs w:val="20"/>
              </w:rPr>
            </w:pPr>
            <w:r w:rsidRPr="00982C2B">
              <w:rPr>
                <w:rFonts w:cs="Times New Roman"/>
                <w:sz w:val="20"/>
                <w:szCs w:val="20"/>
              </w:rPr>
              <w:t>By order dated December 9, 2014, from the Minister of Justice, the applicant is to be surrendered to the United States of America. The Court of Appeal dismissed the applicant’s application for judicial review of the surrender order of the Minister of Justice dated December 9, 2014.</w:t>
            </w:r>
          </w:p>
          <w:p w:rsidR="00204B67" w:rsidRPr="00982C2B" w:rsidRDefault="00204B67" w:rsidP="00DD39BD">
            <w:pPr>
              <w:pStyle w:val="SCCShortJudgment"/>
              <w:ind w:firstLine="0"/>
              <w:rPr>
                <w:rFonts w:cs="Times New Roman"/>
                <w:szCs w:val="20"/>
              </w:rPr>
            </w:pPr>
          </w:p>
        </w:tc>
      </w:tr>
      <w:tr w:rsidR="00204B67"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December 14, 2011</w:t>
            </w:r>
          </w:p>
          <w:p w:rsidR="004A459F" w:rsidRPr="00982C2B" w:rsidRDefault="004A459F" w:rsidP="00DD39BD">
            <w:pPr>
              <w:jc w:val="both"/>
              <w:rPr>
                <w:rFonts w:cs="Times New Roman"/>
                <w:sz w:val="20"/>
                <w:szCs w:val="20"/>
              </w:rPr>
            </w:pPr>
            <w:r w:rsidRPr="00982C2B">
              <w:rPr>
                <w:rFonts w:cs="Times New Roman"/>
                <w:sz w:val="20"/>
                <w:szCs w:val="20"/>
              </w:rPr>
              <w:t>The Honourable Rob Nicholson, P.C., Q.C., M.P.</w:t>
            </w:r>
          </w:p>
          <w:p w:rsidR="00204B67" w:rsidRPr="00982C2B" w:rsidRDefault="00204B67" w:rsidP="00DD39BD">
            <w:pPr>
              <w:jc w:val="both"/>
              <w:rPr>
                <w:rFonts w:cs="Times New Roman"/>
                <w:sz w:val="20"/>
                <w:szCs w:val="20"/>
              </w:rPr>
            </w:pPr>
          </w:p>
        </w:tc>
        <w:tc>
          <w:tcPr>
            <w:tcW w:w="630" w:type="dxa"/>
          </w:tcPr>
          <w:p w:rsidR="00204B67" w:rsidRPr="00982C2B" w:rsidRDefault="00204B67" w:rsidP="00DD39BD">
            <w:pPr>
              <w:pStyle w:val="SCCShortJudgment"/>
              <w:ind w:firstLine="0"/>
              <w:rPr>
                <w:rFonts w:cs="Times New Roman"/>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First surrender order granted</w:t>
            </w:r>
          </w:p>
          <w:p w:rsidR="00204B67" w:rsidRPr="00982C2B" w:rsidRDefault="00204B67" w:rsidP="00DD39BD">
            <w:pPr>
              <w:jc w:val="both"/>
              <w:rPr>
                <w:rFonts w:cs="Times New Roman"/>
                <w:sz w:val="20"/>
                <w:szCs w:val="20"/>
              </w:rPr>
            </w:pPr>
          </w:p>
        </w:tc>
      </w:tr>
      <w:tr w:rsidR="00204B67"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July 24, 2013</w:t>
            </w:r>
          </w:p>
          <w:p w:rsidR="004A459F" w:rsidRPr="00982C2B" w:rsidRDefault="004A459F" w:rsidP="00DD39BD">
            <w:pPr>
              <w:jc w:val="both"/>
              <w:rPr>
                <w:rFonts w:cs="Times New Roman"/>
                <w:sz w:val="20"/>
                <w:szCs w:val="20"/>
              </w:rPr>
            </w:pPr>
            <w:r w:rsidRPr="00982C2B">
              <w:rPr>
                <w:rFonts w:cs="Times New Roman"/>
                <w:sz w:val="20"/>
                <w:szCs w:val="20"/>
              </w:rPr>
              <w:t>Court of Appeal for Ontario</w:t>
            </w:r>
          </w:p>
          <w:p w:rsidR="004A459F" w:rsidRPr="00982C2B" w:rsidRDefault="004A459F" w:rsidP="00DD39BD">
            <w:pPr>
              <w:jc w:val="both"/>
              <w:rPr>
                <w:rFonts w:cs="Times New Roman"/>
                <w:sz w:val="20"/>
                <w:szCs w:val="20"/>
                <w:lang w:val="fr-CA"/>
              </w:rPr>
            </w:pPr>
            <w:r w:rsidRPr="00982C2B">
              <w:rPr>
                <w:rFonts w:cs="Times New Roman"/>
                <w:sz w:val="20"/>
                <w:szCs w:val="20"/>
                <w:lang w:val="fr-CA"/>
              </w:rPr>
              <w:t>(Rouleau J.A.)</w:t>
            </w:r>
          </w:p>
          <w:p w:rsidR="004A459F" w:rsidRPr="00982C2B" w:rsidRDefault="004A459F" w:rsidP="00DD39BD">
            <w:pPr>
              <w:jc w:val="both"/>
              <w:rPr>
                <w:rFonts w:cs="Times New Roman"/>
                <w:sz w:val="20"/>
                <w:szCs w:val="20"/>
                <w:lang w:val="fr-CA"/>
              </w:rPr>
            </w:pPr>
            <w:r w:rsidRPr="00982C2B">
              <w:rPr>
                <w:rFonts w:cs="Times New Roman"/>
                <w:sz w:val="20"/>
                <w:szCs w:val="20"/>
                <w:lang w:val="fr-CA"/>
              </w:rPr>
              <w:t>2013 ONCA 497</w:t>
            </w:r>
          </w:p>
          <w:p w:rsidR="00204B67" w:rsidRPr="00982C2B" w:rsidRDefault="00204B67" w:rsidP="00DD39BD">
            <w:pPr>
              <w:jc w:val="both"/>
              <w:rPr>
                <w:rFonts w:cs="Times New Roman"/>
                <w:sz w:val="20"/>
                <w:szCs w:val="20"/>
              </w:rPr>
            </w:pPr>
          </w:p>
        </w:tc>
        <w:tc>
          <w:tcPr>
            <w:tcW w:w="630" w:type="dxa"/>
          </w:tcPr>
          <w:p w:rsidR="00204B67" w:rsidRPr="00982C2B" w:rsidRDefault="00204B67" w:rsidP="00DD39BD">
            <w:pPr>
              <w:pStyle w:val="SCCShortJudgment"/>
              <w:ind w:firstLine="0"/>
              <w:rPr>
                <w:rFonts w:cs="Times New Roman"/>
                <w:szCs w:val="20"/>
              </w:rPr>
            </w:pPr>
          </w:p>
        </w:tc>
        <w:tc>
          <w:tcPr>
            <w:tcW w:w="4536" w:type="dxa"/>
          </w:tcPr>
          <w:p w:rsidR="00204B67" w:rsidRPr="00982C2B" w:rsidRDefault="004A459F" w:rsidP="00DD39BD">
            <w:pPr>
              <w:jc w:val="both"/>
              <w:rPr>
                <w:rFonts w:cs="Times New Roman"/>
                <w:sz w:val="20"/>
                <w:szCs w:val="20"/>
              </w:rPr>
            </w:pPr>
            <w:r w:rsidRPr="00982C2B">
              <w:rPr>
                <w:rFonts w:cs="Times New Roman"/>
                <w:sz w:val="20"/>
                <w:szCs w:val="20"/>
              </w:rPr>
              <w:t>Sealing Order granted: court record ordered sealed</w:t>
            </w:r>
          </w:p>
        </w:tc>
      </w:tr>
      <w:tr w:rsidR="00204B67"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October 31, 2013</w:t>
            </w:r>
          </w:p>
          <w:p w:rsidR="004A459F" w:rsidRPr="00982C2B" w:rsidRDefault="004A459F" w:rsidP="00DD39BD">
            <w:pPr>
              <w:jc w:val="both"/>
              <w:rPr>
                <w:rFonts w:cs="Times New Roman"/>
                <w:sz w:val="20"/>
                <w:szCs w:val="20"/>
              </w:rPr>
            </w:pPr>
            <w:r w:rsidRPr="00982C2B">
              <w:rPr>
                <w:rFonts w:cs="Times New Roman"/>
                <w:sz w:val="20"/>
                <w:szCs w:val="20"/>
              </w:rPr>
              <w:t>Court of Appeal for Ontario</w:t>
            </w:r>
          </w:p>
          <w:p w:rsidR="004A459F" w:rsidRPr="00982C2B" w:rsidRDefault="004A459F" w:rsidP="00DD39BD">
            <w:pPr>
              <w:jc w:val="both"/>
              <w:rPr>
                <w:rFonts w:cs="Times New Roman"/>
                <w:sz w:val="20"/>
                <w:szCs w:val="20"/>
              </w:rPr>
            </w:pPr>
            <w:r w:rsidRPr="00982C2B">
              <w:rPr>
                <w:rFonts w:cs="Times New Roman"/>
                <w:sz w:val="20"/>
                <w:szCs w:val="20"/>
              </w:rPr>
              <w:t>(Laskin, Rosenberg, Epstein JJ.A.)</w:t>
            </w:r>
          </w:p>
          <w:p w:rsidR="00204B67" w:rsidRPr="00982C2B" w:rsidRDefault="00204B67" w:rsidP="00DD39BD">
            <w:pPr>
              <w:jc w:val="both"/>
              <w:rPr>
                <w:rFonts w:cs="Times New Roman"/>
                <w:sz w:val="20"/>
                <w:szCs w:val="20"/>
              </w:rPr>
            </w:pPr>
          </w:p>
        </w:tc>
        <w:tc>
          <w:tcPr>
            <w:tcW w:w="630" w:type="dxa"/>
          </w:tcPr>
          <w:p w:rsidR="00204B67" w:rsidRPr="00982C2B" w:rsidRDefault="00204B67" w:rsidP="00DD39BD">
            <w:pPr>
              <w:pStyle w:val="SCCShortJudgment"/>
              <w:ind w:firstLine="0"/>
              <w:rPr>
                <w:rFonts w:cs="Times New Roman"/>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Appeal adjourned for further information</w:t>
            </w:r>
          </w:p>
          <w:p w:rsidR="00204B67" w:rsidRPr="00982C2B" w:rsidRDefault="00204B67" w:rsidP="00DD39BD">
            <w:pPr>
              <w:jc w:val="both"/>
              <w:rPr>
                <w:rFonts w:cs="Times New Roman"/>
                <w:sz w:val="20"/>
                <w:szCs w:val="20"/>
              </w:rPr>
            </w:pPr>
          </w:p>
        </w:tc>
      </w:tr>
      <w:tr w:rsidR="00204B67"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February 3, 2014</w:t>
            </w:r>
          </w:p>
          <w:p w:rsidR="004A459F" w:rsidRPr="00982C2B" w:rsidRDefault="004A459F" w:rsidP="00DD39BD">
            <w:pPr>
              <w:jc w:val="both"/>
              <w:rPr>
                <w:rFonts w:cs="Times New Roman"/>
                <w:sz w:val="20"/>
                <w:szCs w:val="20"/>
              </w:rPr>
            </w:pPr>
            <w:r w:rsidRPr="00982C2B">
              <w:rPr>
                <w:rFonts w:cs="Times New Roman"/>
                <w:sz w:val="20"/>
                <w:szCs w:val="20"/>
              </w:rPr>
              <w:t>Court of Appeal for Ontario</w:t>
            </w:r>
          </w:p>
          <w:p w:rsidR="004A459F" w:rsidRPr="00982C2B" w:rsidRDefault="004A459F" w:rsidP="00DD39BD">
            <w:pPr>
              <w:jc w:val="both"/>
              <w:rPr>
                <w:rFonts w:cs="Times New Roman"/>
                <w:sz w:val="20"/>
                <w:szCs w:val="20"/>
              </w:rPr>
            </w:pPr>
            <w:r w:rsidRPr="00982C2B">
              <w:rPr>
                <w:rFonts w:cs="Times New Roman"/>
                <w:sz w:val="20"/>
                <w:szCs w:val="20"/>
              </w:rPr>
              <w:t>(Laskin, Rosenberg, Epstein JJ.A.)</w:t>
            </w:r>
          </w:p>
          <w:p w:rsidR="00204B67" w:rsidRPr="00982C2B" w:rsidRDefault="00204B67" w:rsidP="00DD39BD">
            <w:pPr>
              <w:jc w:val="both"/>
              <w:rPr>
                <w:rFonts w:cs="Times New Roman"/>
                <w:sz w:val="20"/>
                <w:szCs w:val="20"/>
              </w:rPr>
            </w:pPr>
          </w:p>
        </w:tc>
        <w:tc>
          <w:tcPr>
            <w:tcW w:w="630" w:type="dxa"/>
          </w:tcPr>
          <w:p w:rsidR="00204B67" w:rsidRPr="00982C2B" w:rsidRDefault="00204B67" w:rsidP="00DD39BD">
            <w:pPr>
              <w:jc w:val="both"/>
              <w:rPr>
                <w:rFonts w:cs="Times New Roman"/>
                <w:sz w:val="20"/>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Surrender order dated December 14, 2011</w:t>
            </w:r>
          </w:p>
          <w:p w:rsidR="004A459F" w:rsidRPr="00982C2B" w:rsidRDefault="004A459F" w:rsidP="00DD39BD">
            <w:pPr>
              <w:jc w:val="both"/>
              <w:rPr>
                <w:rFonts w:cs="Times New Roman"/>
                <w:sz w:val="20"/>
                <w:szCs w:val="20"/>
              </w:rPr>
            </w:pPr>
            <w:r w:rsidRPr="00982C2B">
              <w:rPr>
                <w:rFonts w:cs="Times New Roman"/>
                <w:sz w:val="20"/>
                <w:szCs w:val="20"/>
              </w:rPr>
              <w:t>ordered to be reconsidered</w:t>
            </w:r>
          </w:p>
          <w:p w:rsidR="00204B67" w:rsidRPr="00982C2B" w:rsidRDefault="00204B67" w:rsidP="00DD39BD">
            <w:pPr>
              <w:jc w:val="both"/>
              <w:rPr>
                <w:rFonts w:cs="Times New Roman"/>
                <w:sz w:val="20"/>
                <w:szCs w:val="20"/>
              </w:rPr>
            </w:pPr>
          </w:p>
        </w:tc>
      </w:tr>
      <w:tr w:rsidR="004A459F"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December 9, 2014</w:t>
            </w:r>
          </w:p>
          <w:p w:rsidR="004A459F" w:rsidRPr="00982C2B" w:rsidRDefault="004A459F" w:rsidP="00DD39BD">
            <w:pPr>
              <w:jc w:val="both"/>
              <w:rPr>
                <w:rFonts w:cs="Times New Roman"/>
                <w:sz w:val="20"/>
                <w:szCs w:val="20"/>
              </w:rPr>
            </w:pPr>
            <w:r w:rsidRPr="00982C2B">
              <w:rPr>
                <w:rFonts w:cs="Times New Roman"/>
                <w:sz w:val="20"/>
                <w:szCs w:val="20"/>
              </w:rPr>
              <w:t>The Honourable Peter MacKay, P.C., Q.C., M.P.</w:t>
            </w:r>
          </w:p>
          <w:p w:rsidR="004A459F" w:rsidRPr="00982C2B" w:rsidRDefault="004A459F" w:rsidP="00DD39BD">
            <w:pPr>
              <w:jc w:val="both"/>
              <w:rPr>
                <w:rFonts w:cs="Times New Roman"/>
                <w:sz w:val="20"/>
                <w:szCs w:val="20"/>
              </w:rPr>
            </w:pPr>
          </w:p>
        </w:tc>
        <w:tc>
          <w:tcPr>
            <w:tcW w:w="630" w:type="dxa"/>
          </w:tcPr>
          <w:p w:rsidR="004A459F" w:rsidRPr="00982C2B" w:rsidRDefault="004A459F" w:rsidP="00DD39BD">
            <w:pPr>
              <w:jc w:val="both"/>
              <w:rPr>
                <w:rFonts w:cs="Times New Roman"/>
                <w:sz w:val="20"/>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Second surrender order granted</w:t>
            </w:r>
          </w:p>
        </w:tc>
      </w:tr>
      <w:tr w:rsidR="004A459F"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July 2, 2015</w:t>
            </w:r>
          </w:p>
          <w:p w:rsidR="004A459F" w:rsidRPr="00982C2B" w:rsidRDefault="004A459F" w:rsidP="00DD39BD">
            <w:pPr>
              <w:jc w:val="both"/>
              <w:rPr>
                <w:rFonts w:cs="Times New Roman"/>
                <w:sz w:val="20"/>
                <w:szCs w:val="20"/>
              </w:rPr>
            </w:pPr>
            <w:r w:rsidRPr="00982C2B">
              <w:rPr>
                <w:rFonts w:cs="Times New Roman"/>
                <w:sz w:val="20"/>
                <w:szCs w:val="20"/>
              </w:rPr>
              <w:t>Court of Appeal for Ontario</w:t>
            </w:r>
          </w:p>
          <w:p w:rsidR="004A459F" w:rsidRPr="00982C2B" w:rsidRDefault="004A459F" w:rsidP="00DD39BD">
            <w:pPr>
              <w:jc w:val="both"/>
              <w:rPr>
                <w:rFonts w:cs="Times New Roman"/>
                <w:sz w:val="20"/>
                <w:szCs w:val="20"/>
                <w:lang w:val="fr-CA"/>
              </w:rPr>
            </w:pPr>
            <w:r w:rsidRPr="00982C2B">
              <w:rPr>
                <w:rFonts w:cs="Times New Roman"/>
                <w:sz w:val="20"/>
                <w:szCs w:val="20"/>
                <w:lang w:val="fr-CA"/>
              </w:rPr>
              <w:t>(Rouleau J.A.)</w:t>
            </w:r>
          </w:p>
          <w:p w:rsidR="004A459F" w:rsidRPr="00982C2B" w:rsidRDefault="004A459F" w:rsidP="00DD39BD">
            <w:pPr>
              <w:jc w:val="both"/>
              <w:rPr>
                <w:rFonts w:cs="Times New Roman"/>
                <w:sz w:val="20"/>
                <w:szCs w:val="20"/>
              </w:rPr>
            </w:pPr>
          </w:p>
        </w:tc>
        <w:tc>
          <w:tcPr>
            <w:tcW w:w="630" w:type="dxa"/>
          </w:tcPr>
          <w:p w:rsidR="004A459F" w:rsidRPr="00982C2B" w:rsidRDefault="004A459F" w:rsidP="00DD39BD">
            <w:pPr>
              <w:jc w:val="both"/>
              <w:rPr>
                <w:rFonts w:cs="Times New Roman"/>
                <w:sz w:val="20"/>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Sealing Order granted: court record ordered sealed</w:t>
            </w:r>
          </w:p>
          <w:p w:rsidR="004A459F" w:rsidRPr="00982C2B" w:rsidRDefault="004A459F" w:rsidP="00DD39BD">
            <w:pPr>
              <w:jc w:val="both"/>
              <w:rPr>
                <w:rFonts w:cs="Times New Roman"/>
                <w:sz w:val="20"/>
                <w:szCs w:val="20"/>
              </w:rPr>
            </w:pPr>
          </w:p>
        </w:tc>
      </w:tr>
      <w:tr w:rsidR="004A459F"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November 5, 2015</w:t>
            </w:r>
          </w:p>
          <w:p w:rsidR="004A459F" w:rsidRPr="00982C2B" w:rsidRDefault="004A459F" w:rsidP="00DD39BD">
            <w:pPr>
              <w:jc w:val="both"/>
              <w:rPr>
                <w:rFonts w:cs="Times New Roman"/>
                <w:sz w:val="20"/>
                <w:szCs w:val="20"/>
              </w:rPr>
            </w:pPr>
            <w:r w:rsidRPr="00982C2B">
              <w:rPr>
                <w:rFonts w:cs="Times New Roman"/>
                <w:sz w:val="20"/>
                <w:szCs w:val="20"/>
              </w:rPr>
              <w:t>Court of Appeal for Ontario</w:t>
            </w:r>
          </w:p>
          <w:p w:rsidR="004A459F" w:rsidRPr="00982C2B" w:rsidRDefault="004A459F" w:rsidP="00DD39BD">
            <w:pPr>
              <w:jc w:val="both"/>
              <w:rPr>
                <w:rFonts w:cs="Times New Roman"/>
                <w:sz w:val="20"/>
                <w:szCs w:val="20"/>
              </w:rPr>
            </w:pPr>
            <w:r w:rsidRPr="00982C2B">
              <w:rPr>
                <w:rFonts w:cs="Times New Roman"/>
                <w:sz w:val="20"/>
                <w:szCs w:val="20"/>
              </w:rPr>
              <w:t>(Doherty, Pepall, Brown JJ.A.)</w:t>
            </w:r>
          </w:p>
          <w:p w:rsidR="004A459F" w:rsidRPr="00982C2B" w:rsidRDefault="004A459F" w:rsidP="00DD39BD">
            <w:pPr>
              <w:jc w:val="both"/>
              <w:rPr>
                <w:rFonts w:cs="Times New Roman"/>
                <w:sz w:val="20"/>
                <w:szCs w:val="20"/>
              </w:rPr>
            </w:pPr>
            <w:r w:rsidRPr="00982C2B">
              <w:rPr>
                <w:rFonts w:cs="Times New Roman"/>
                <w:sz w:val="20"/>
                <w:szCs w:val="20"/>
              </w:rPr>
              <w:t>2015 ONCA 773; C59731</w:t>
            </w:r>
          </w:p>
          <w:p w:rsidR="004A459F" w:rsidRPr="00982C2B" w:rsidRDefault="009F3029" w:rsidP="00DD39BD">
            <w:pPr>
              <w:jc w:val="both"/>
              <w:rPr>
                <w:rFonts w:cs="Times New Roman"/>
                <w:sz w:val="20"/>
                <w:szCs w:val="20"/>
              </w:rPr>
            </w:pPr>
            <w:hyperlink r:id="rId62" w:history="1">
              <w:r w:rsidR="004A459F" w:rsidRPr="00982C2B">
                <w:rPr>
                  <w:rStyle w:val="Hyperlink"/>
                  <w:rFonts w:eastAsiaTheme="majorEastAsia" w:cs="Times New Roman"/>
                  <w:sz w:val="20"/>
                  <w:szCs w:val="20"/>
                </w:rPr>
                <w:t>http://canlii.ca/t/gm1lh</w:t>
              </w:r>
            </w:hyperlink>
          </w:p>
          <w:p w:rsidR="004A459F" w:rsidRPr="00982C2B" w:rsidRDefault="004A459F" w:rsidP="00DD39BD">
            <w:pPr>
              <w:jc w:val="both"/>
              <w:rPr>
                <w:rFonts w:cs="Times New Roman"/>
                <w:sz w:val="20"/>
                <w:szCs w:val="20"/>
              </w:rPr>
            </w:pPr>
          </w:p>
        </w:tc>
        <w:tc>
          <w:tcPr>
            <w:tcW w:w="630" w:type="dxa"/>
          </w:tcPr>
          <w:p w:rsidR="004A459F" w:rsidRPr="00982C2B" w:rsidRDefault="004A459F" w:rsidP="00DD39BD">
            <w:pPr>
              <w:jc w:val="both"/>
              <w:rPr>
                <w:rFonts w:cs="Times New Roman"/>
                <w:sz w:val="20"/>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Judicial review of surrender order of the Minister of Justice dated December 9, 2014  dismissed</w:t>
            </w:r>
          </w:p>
          <w:p w:rsidR="004A459F" w:rsidRPr="00982C2B" w:rsidRDefault="004A459F" w:rsidP="00DD39BD">
            <w:pPr>
              <w:jc w:val="both"/>
              <w:rPr>
                <w:rFonts w:cs="Times New Roman"/>
                <w:sz w:val="20"/>
                <w:szCs w:val="20"/>
              </w:rPr>
            </w:pPr>
          </w:p>
        </w:tc>
      </w:tr>
      <w:tr w:rsidR="004A459F" w:rsidRPr="00982C2B" w:rsidTr="004A459F">
        <w:tc>
          <w:tcPr>
            <w:tcW w:w="4410" w:type="dxa"/>
            <w:gridSpan w:val="2"/>
          </w:tcPr>
          <w:p w:rsidR="004A459F" w:rsidRPr="00982C2B" w:rsidRDefault="004A459F" w:rsidP="00DD39BD">
            <w:pPr>
              <w:jc w:val="both"/>
              <w:rPr>
                <w:rFonts w:cs="Times New Roman"/>
                <w:sz w:val="20"/>
                <w:szCs w:val="20"/>
              </w:rPr>
            </w:pPr>
            <w:r w:rsidRPr="00982C2B">
              <w:rPr>
                <w:rFonts w:cs="Times New Roman"/>
                <w:sz w:val="20"/>
                <w:szCs w:val="20"/>
              </w:rPr>
              <w:t>December 29, 2015</w:t>
            </w:r>
          </w:p>
          <w:p w:rsidR="004A459F" w:rsidRPr="00982C2B" w:rsidRDefault="004A459F" w:rsidP="00DD39BD">
            <w:pPr>
              <w:jc w:val="both"/>
              <w:rPr>
                <w:rFonts w:cs="Times New Roman"/>
                <w:sz w:val="20"/>
                <w:szCs w:val="20"/>
              </w:rPr>
            </w:pPr>
            <w:r w:rsidRPr="00982C2B">
              <w:rPr>
                <w:rFonts w:cs="Times New Roman"/>
                <w:sz w:val="20"/>
                <w:szCs w:val="20"/>
              </w:rPr>
              <w:t>Supreme Court of Canada</w:t>
            </w:r>
          </w:p>
        </w:tc>
        <w:tc>
          <w:tcPr>
            <w:tcW w:w="630" w:type="dxa"/>
          </w:tcPr>
          <w:p w:rsidR="004A459F" w:rsidRPr="00982C2B" w:rsidRDefault="004A459F" w:rsidP="00DD39BD">
            <w:pPr>
              <w:jc w:val="both"/>
              <w:rPr>
                <w:rFonts w:cs="Times New Roman"/>
                <w:sz w:val="20"/>
                <w:szCs w:val="20"/>
              </w:rPr>
            </w:pPr>
          </w:p>
        </w:tc>
        <w:tc>
          <w:tcPr>
            <w:tcW w:w="4536" w:type="dxa"/>
          </w:tcPr>
          <w:p w:rsidR="004A459F" w:rsidRPr="00982C2B" w:rsidRDefault="004A459F" w:rsidP="00DD39BD">
            <w:pPr>
              <w:jc w:val="both"/>
              <w:rPr>
                <w:rFonts w:cs="Times New Roman"/>
                <w:sz w:val="20"/>
                <w:szCs w:val="20"/>
              </w:rPr>
            </w:pPr>
            <w:r w:rsidRPr="00982C2B">
              <w:rPr>
                <w:rFonts w:cs="Times New Roman"/>
                <w:sz w:val="20"/>
                <w:szCs w:val="20"/>
              </w:rPr>
              <w:t>Application for leave to appeal filed</w:t>
            </w:r>
          </w:p>
          <w:p w:rsidR="004A459F" w:rsidRPr="00982C2B" w:rsidRDefault="004A459F" w:rsidP="00DD39BD">
            <w:pPr>
              <w:jc w:val="both"/>
              <w:rPr>
                <w:rFonts w:cs="Times New Roman"/>
                <w:sz w:val="20"/>
                <w:szCs w:val="20"/>
              </w:rPr>
            </w:pPr>
          </w:p>
        </w:tc>
      </w:tr>
      <w:tr w:rsidR="00204B67" w:rsidRPr="00982C2B" w:rsidTr="004A459F">
        <w:tc>
          <w:tcPr>
            <w:tcW w:w="9576" w:type="dxa"/>
            <w:gridSpan w:val="4"/>
          </w:tcPr>
          <w:p w:rsidR="00204B67" w:rsidRPr="00982C2B" w:rsidRDefault="009F3029" w:rsidP="009D18B6">
            <w:pPr>
              <w:pStyle w:val="SCCShortJudgment"/>
              <w:ind w:firstLine="0"/>
              <w:rPr>
                <w:rFonts w:cs="Times New Roman"/>
                <w:szCs w:val="20"/>
                <w:lang w:val="fr-CA"/>
              </w:rPr>
            </w:pPr>
            <w:r>
              <w:rPr>
                <w:rFonts w:cs="Times New Roman"/>
                <w:szCs w:val="20"/>
                <w:lang w:val="fr-CA"/>
              </w:rPr>
              <w:pict>
                <v:rect id="_x0000_i1063" style="width:2in;height:1pt" o:hrpct="0" o:hralign="center" o:hrstd="t" o:hrnoshade="t" o:hr="t" fillcolor="black [3213]" stroked="f"/>
              </w:pict>
            </w:r>
          </w:p>
          <w:p w:rsidR="00204B67" w:rsidRPr="00982C2B" w:rsidRDefault="00204B67" w:rsidP="009D18B6">
            <w:pPr>
              <w:pStyle w:val="SCCShortJudgment"/>
              <w:ind w:firstLine="0"/>
              <w:rPr>
                <w:rFonts w:cs="Times New Roman"/>
                <w:szCs w:val="20"/>
                <w:lang w:val="fr-CA"/>
              </w:rPr>
            </w:pPr>
          </w:p>
        </w:tc>
      </w:tr>
      <w:tr w:rsidR="00204B67" w:rsidRPr="00982C2B" w:rsidTr="004A459F">
        <w:tc>
          <w:tcPr>
            <w:tcW w:w="9576" w:type="dxa"/>
            <w:gridSpan w:val="4"/>
          </w:tcPr>
          <w:p w:rsidR="00204B67" w:rsidRPr="00982C2B" w:rsidRDefault="00204B67"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204B67" w:rsidRPr="00982C2B" w:rsidRDefault="00204B67" w:rsidP="009D18B6">
            <w:pPr>
              <w:pStyle w:val="SCCShortJudgment"/>
              <w:ind w:firstLine="0"/>
              <w:rPr>
                <w:rFonts w:cs="Times New Roman"/>
                <w:szCs w:val="20"/>
                <w:u w:val="single"/>
                <w:lang w:val="fr-CA"/>
              </w:rPr>
            </w:pPr>
          </w:p>
        </w:tc>
      </w:tr>
      <w:tr w:rsidR="00204B67" w:rsidRPr="009F3029" w:rsidTr="004A459F">
        <w:tc>
          <w:tcPr>
            <w:tcW w:w="9576" w:type="dxa"/>
            <w:gridSpan w:val="4"/>
          </w:tcPr>
          <w:p w:rsidR="00204B67" w:rsidRPr="00982C2B" w:rsidRDefault="004A459F" w:rsidP="00DD39BD">
            <w:pPr>
              <w:pStyle w:val="SCCShortJudgment"/>
              <w:ind w:firstLine="0"/>
              <w:rPr>
                <w:rFonts w:cs="Times New Roman"/>
                <w:szCs w:val="20"/>
                <w:lang w:val="fr-CA"/>
              </w:rPr>
            </w:pPr>
            <w:r w:rsidRPr="00982C2B">
              <w:rPr>
                <w:rFonts w:cs="Times New Roman"/>
                <w:szCs w:val="20"/>
                <w:lang w:val="fr-CA"/>
              </w:rPr>
              <w:t>(</w:t>
            </w:r>
            <w:r w:rsidRPr="00982C2B">
              <w:rPr>
                <w:rFonts w:cs="Times New Roman"/>
                <w:smallCaps/>
                <w:szCs w:val="20"/>
                <w:lang w:val="fr-CA"/>
              </w:rPr>
              <w:t>Ordonnance de mise sous scellés</w:t>
            </w:r>
            <w:r w:rsidRPr="00982C2B">
              <w:rPr>
                <w:rFonts w:cs="Times New Roman"/>
                <w:szCs w:val="20"/>
                <w:lang w:val="fr-CA"/>
              </w:rPr>
              <w:t>)</w:t>
            </w:r>
          </w:p>
          <w:p w:rsidR="004A459F" w:rsidRPr="00982C2B" w:rsidRDefault="004A459F" w:rsidP="00DD39BD">
            <w:pPr>
              <w:pStyle w:val="SCCShortJudgment"/>
              <w:ind w:firstLine="0"/>
              <w:rPr>
                <w:rFonts w:cs="Times New Roman"/>
                <w:szCs w:val="20"/>
                <w:lang w:val="fr-CA"/>
              </w:rPr>
            </w:pPr>
          </w:p>
          <w:p w:rsidR="004A459F" w:rsidRPr="00982C2B" w:rsidRDefault="004A459F" w:rsidP="00DD39BD">
            <w:pPr>
              <w:pStyle w:val="SCCShortJudgment"/>
              <w:ind w:firstLine="0"/>
              <w:rPr>
                <w:rFonts w:cs="Times New Roman"/>
                <w:szCs w:val="20"/>
                <w:lang w:val="fr-CA"/>
              </w:rPr>
            </w:pPr>
            <w:r w:rsidRPr="00982C2B">
              <w:rPr>
                <w:rFonts w:cs="Times New Roman"/>
                <w:i/>
                <w:szCs w:val="20"/>
                <w:lang w:val="fr-CA"/>
              </w:rPr>
              <w:t xml:space="preserve">Charte des droits </w:t>
            </w:r>
            <w:r w:rsidRPr="00982C2B">
              <w:rPr>
                <w:rFonts w:cs="Times New Roman"/>
                <w:szCs w:val="20"/>
                <w:lang w:val="fr-CA"/>
              </w:rPr>
              <w:t xml:space="preserve">— Article 7 — Droit à la vie, à la liberté et à la sécurité de la personne — Extradition — Arrêté d’extradition — Rejet de la demande de contrôle judiciaire de la décision — La Cour d’appel a-t-elle eu tort de conclure que l’omission du ministre d’exiger des assurances de la part de l’État requérant concernant la sécurité personnelle du demandeur et ses conditions de détention après l’extradition était raisonnable? — La Cour d’appel a-t-elle eu tort de conclure que la décision du ministre de la Justice d’extrader le demandeur dans des conditions qui équivaudront à l’isolement cellulaire était raisonnable? — </w:t>
            </w:r>
            <w:r w:rsidRPr="00982C2B">
              <w:rPr>
                <w:rFonts w:cs="Times New Roman"/>
                <w:i/>
                <w:szCs w:val="20"/>
                <w:lang w:val="fr-CA"/>
              </w:rPr>
              <w:t>Charte des droits</w:t>
            </w:r>
            <w:r w:rsidRPr="00982C2B">
              <w:rPr>
                <w:rFonts w:cs="Times New Roman"/>
                <w:szCs w:val="20"/>
                <w:lang w:val="fr-CA"/>
              </w:rPr>
              <w:t>, art. 7.</w:t>
            </w:r>
          </w:p>
          <w:p w:rsidR="004A459F" w:rsidRPr="00982C2B" w:rsidRDefault="004A459F" w:rsidP="00DD39BD">
            <w:pPr>
              <w:pStyle w:val="SCCShortJudgment"/>
              <w:ind w:firstLine="0"/>
              <w:rPr>
                <w:rFonts w:cs="Times New Roman"/>
                <w:szCs w:val="20"/>
                <w:u w:val="single"/>
                <w:lang w:val="fr-CA"/>
              </w:rPr>
            </w:pPr>
          </w:p>
        </w:tc>
      </w:tr>
      <w:tr w:rsidR="00204B67" w:rsidRPr="009F3029" w:rsidTr="004A459F">
        <w:tc>
          <w:tcPr>
            <w:tcW w:w="9576" w:type="dxa"/>
            <w:gridSpan w:val="4"/>
          </w:tcPr>
          <w:p w:rsidR="00204B67" w:rsidRPr="00982C2B" w:rsidRDefault="004A459F" w:rsidP="00DD39BD">
            <w:pPr>
              <w:jc w:val="both"/>
              <w:rPr>
                <w:rFonts w:cs="Times New Roman"/>
                <w:sz w:val="20"/>
                <w:szCs w:val="20"/>
                <w:lang w:val="fr-CA"/>
              </w:rPr>
            </w:pPr>
            <w:r w:rsidRPr="00982C2B">
              <w:rPr>
                <w:rFonts w:cs="Times New Roman"/>
                <w:sz w:val="20"/>
                <w:szCs w:val="20"/>
                <w:lang w:val="fr-CA"/>
              </w:rPr>
              <w:t>En vertu d’un arrêté du ministre de la Justice daté du 9 décembre 2014, le demandeur doit être extradé aux États-Unis d’Amérique. La Cour d’appel a rejeté la demande de contrôle judiciaire de cet arrêté d’extradition présentée par le demandeur.</w:t>
            </w:r>
          </w:p>
        </w:tc>
      </w:tr>
      <w:tr w:rsidR="00204B67" w:rsidRPr="009F3029" w:rsidTr="004A459F">
        <w:tc>
          <w:tcPr>
            <w:tcW w:w="9576" w:type="dxa"/>
            <w:gridSpan w:val="4"/>
          </w:tcPr>
          <w:p w:rsidR="00204B67" w:rsidRPr="00982C2B" w:rsidRDefault="00204B67" w:rsidP="00DD39BD">
            <w:pPr>
              <w:pStyle w:val="SCCShortJudgment"/>
              <w:ind w:firstLine="0"/>
              <w:rPr>
                <w:rFonts w:cs="Times New Roman"/>
                <w:szCs w:val="20"/>
                <w:u w:val="single"/>
                <w:lang w:val="fr-CA"/>
              </w:rPr>
            </w:pPr>
          </w:p>
        </w:tc>
      </w:tr>
      <w:tr w:rsidR="00204B67" w:rsidRPr="00982C2B" w:rsidTr="004A459F">
        <w:tc>
          <w:tcPr>
            <w:tcW w:w="4410" w:type="dxa"/>
            <w:gridSpan w:val="2"/>
          </w:tcPr>
          <w:p w:rsidR="004A459F" w:rsidRPr="00982C2B" w:rsidRDefault="004A459F" w:rsidP="00DD39BD">
            <w:pPr>
              <w:jc w:val="both"/>
              <w:rPr>
                <w:rFonts w:cs="Times New Roman"/>
                <w:sz w:val="20"/>
                <w:szCs w:val="20"/>
                <w:lang w:val="fr-CA"/>
              </w:rPr>
            </w:pPr>
            <w:r w:rsidRPr="00982C2B">
              <w:rPr>
                <w:rFonts w:cs="Times New Roman"/>
                <w:sz w:val="20"/>
                <w:szCs w:val="20"/>
                <w:lang w:val="fr-CA"/>
              </w:rPr>
              <w:t>14 décembre 2011</w:t>
            </w:r>
          </w:p>
          <w:p w:rsidR="004A459F" w:rsidRPr="00982C2B" w:rsidRDefault="004A459F" w:rsidP="00DD39BD">
            <w:pPr>
              <w:jc w:val="both"/>
              <w:rPr>
                <w:rFonts w:cs="Times New Roman"/>
                <w:sz w:val="20"/>
                <w:szCs w:val="20"/>
                <w:lang w:val="fr-CA"/>
              </w:rPr>
            </w:pPr>
            <w:r w:rsidRPr="00982C2B">
              <w:rPr>
                <w:rFonts w:cs="Times New Roman"/>
                <w:sz w:val="20"/>
                <w:szCs w:val="20"/>
                <w:lang w:val="fr-CA"/>
              </w:rPr>
              <w:t>L’honorable Rob Nicholson, C.p., c.r., député</w:t>
            </w:r>
          </w:p>
          <w:p w:rsidR="00204B67" w:rsidRPr="00982C2B" w:rsidRDefault="00204B67" w:rsidP="00DD39BD">
            <w:pPr>
              <w:pStyle w:val="SCCShortJudgment"/>
              <w:ind w:firstLine="0"/>
              <w:rPr>
                <w:rFonts w:cs="Times New Roman"/>
                <w:szCs w:val="20"/>
                <w:u w:val="single"/>
                <w:lang w:val="fr-CA"/>
              </w:rPr>
            </w:pPr>
          </w:p>
        </w:tc>
        <w:tc>
          <w:tcPr>
            <w:tcW w:w="630" w:type="dxa"/>
          </w:tcPr>
          <w:p w:rsidR="00204B67" w:rsidRPr="00982C2B" w:rsidRDefault="00204B67"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Premier arrêté d’extradition</w:t>
            </w:r>
          </w:p>
          <w:p w:rsidR="00204B67" w:rsidRPr="00982C2B" w:rsidRDefault="00204B67" w:rsidP="00DD39BD">
            <w:pPr>
              <w:pStyle w:val="SCCShortJudgment"/>
              <w:ind w:firstLine="0"/>
              <w:rPr>
                <w:rFonts w:cs="Times New Roman"/>
                <w:szCs w:val="20"/>
                <w:u w:val="single"/>
                <w:lang w:val="fr-CA"/>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04B67"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24 juillet 2013</w:t>
            </w:r>
          </w:p>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Cour d’appel de l’Ontario </w:t>
            </w:r>
          </w:p>
          <w:p w:rsidR="004A459F" w:rsidRPr="00982C2B" w:rsidRDefault="004A459F" w:rsidP="00DD39BD">
            <w:pPr>
              <w:jc w:val="both"/>
              <w:rPr>
                <w:rFonts w:cs="Times New Roman"/>
                <w:sz w:val="20"/>
                <w:szCs w:val="20"/>
                <w:lang w:val="fr-CA"/>
              </w:rPr>
            </w:pPr>
            <w:r w:rsidRPr="00982C2B">
              <w:rPr>
                <w:rFonts w:cs="Times New Roman"/>
                <w:sz w:val="20"/>
                <w:szCs w:val="20"/>
                <w:lang w:val="fr-CA"/>
              </w:rPr>
              <w:t>(Juge Rouleau)</w:t>
            </w:r>
          </w:p>
          <w:p w:rsidR="004A459F" w:rsidRPr="00982C2B" w:rsidRDefault="004A459F" w:rsidP="00DD39BD">
            <w:pPr>
              <w:jc w:val="both"/>
              <w:rPr>
                <w:rFonts w:cs="Times New Roman"/>
                <w:sz w:val="20"/>
                <w:szCs w:val="20"/>
                <w:lang w:val="fr-CA"/>
              </w:rPr>
            </w:pPr>
            <w:r w:rsidRPr="00982C2B">
              <w:rPr>
                <w:rFonts w:cs="Times New Roman"/>
                <w:sz w:val="20"/>
                <w:szCs w:val="20"/>
                <w:lang w:val="fr-CA"/>
              </w:rPr>
              <w:t>2013 ONCA 497</w:t>
            </w:r>
          </w:p>
          <w:p w:rsidR="00204B67" w:rsidRPr="00982C2B" w:rsidRDefault="00204B67" w:rsidP="00DD39BD">
            <w:pPr>
              <w:pStyle w:val="SCCShortJudgment"/>
              <w:ind w:firstLine="0"/>
              <w:rPr>
                <w:rFonts w:cs="Times New Roman"/>
                <w:szCs w:val="20"/>
                <w:u w:val="single"/>
                <w:lang w:val="fr-CA"/>
              </w:rPr>
            </w:pPr>
          </w:p>
        </w:tc>
        <w:tc>
          <w:tcPr>
            <w:tcW w:w="630" w:type="dxa"/>
          </w:tcPr>
          <w:p w:rsidR="00204B67" w:rsidRPr="00982C2B" w:rsidRDefault="00204B67"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Jugement accueillant la demande d’ordonnance de mise sous scellés du dossier de la cour </w:t>
            </w:r>
          </w:p>
          <w:p w:rsidR="00204B67" w:rsidRPr="00982C2B" w:rsidRDefault="00204B67" w:rsidP="00DD39BD">
            <w:pPr>
              <w:pStyle w:val="SCCShortJudgment"/>
              <w:ind w:firstLine="0"/>
              <w:rPr>
                <w:rFonts w:cs="Times New Roman"/>
                <w:szCs w:val="20"/>
                <w:u w:val="single"/>
                <w:lang w:val="fr-CA"/>
              </w:rPr>
            </w:pPr>
          </w:p>
        </w:tc>
      </w:tr>
      <w:tr w:rsidR="00204B67"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31 octobre 2013</w:t>
            </w:r>
          </w:p>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Cour d’appel de l’Ontario </w:t>
            </w:r>
          </w:p>
          <w:p w:rsidR="004A459F" w:rsidRPr="00982C2B" w:rsidRDefault="004A459F" w:rsidP="00DD39BD">
            <w:pPr>
              <w:jc w:val="both"/>
              <w:rPr>
                <w:rFonts w:cs="Times New Roman"/>
                <w:sz w:val="20"/>
                <w:szCs w:val="20"/>
                <w:lang w:val="fr-CA"/>
              </w:rPr>
            </w:pPr>
            <w:r w:rsidRPr="00982C2B">
              <w:rPr>
                <w:rFonts w:cs="Times New Roman"/>
                <w:sz w:val="20"/>
                <w:szCs w:val="20"/>
                <w:lang w:val="fr-CA"/>
              </w:rPr>
              <w:t>(Juges Laskin, Rosenberg et Epstein)</w:t>
            </w:r>
          </w:p>
          <w:p w:rsidR="00204B67" w:rsidRPr="00982C2B" w:rsidRDefault="00204B67" w:rsidP="00DD39BD">
            <w:pPr>
              <w:pStyle w:val="SCCShortJudgment"/>
              <w:ind w:firstLine="0"/>
              <w:rPr>
                <w:rFonts w:cs="Times New Roman"/>
                <w:szCs w:val="20"/>
                <w:u w:val="single"/>
                <w:lang w:val="fr-CA"/>
              </w:rPr>
            </w:pPr>
          </w:p>
        </w:tc>
        <w:tc>
          <w:tcPr>
            <w:tcW w:w="630" w:type="dxa"/>
          </w:tcPr>
          <w:p w:rsidR="00204B67" w:rsidRPr="00982C2B" w:rsidRDefault="00204B67"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Ajournement de l’appel pour obtenir d’autres renseignements</w:t>
            </w:r>
          </w:p>
          <w:p w:rsidR="004A459F" w:rsidRPr="00982C2B" w:rsidRDefault="004A459F" w:rsidP="00DD39BD">
            <w:pPr>
              <w:pStyle w:val="SCCShortJudgment"/>
              <w:ind w:firstLine="0"/>
              <w:rPr>
                <w:rFonts w:cs="Times New Roman"/>
                <w:szCs w:val="20"/>
                <w:u w:val="single"/>
                <w:lang w:val="fr-CA"/>
              </w:rPr>
            </w:pPr>
          </w:p>
          <w:p w:rsidR="00204B67" w:rsidRPr="00982C2B" w:rsidRDefault="00204B67" w:rsidP="00DD39BD">
            <w:pPr>
              <w:ind w:firstLine="720"/>
              <w:jc w:val="both"/>
              <w:rPr>
                <w:rFonts w:cs="Times New Roman"/>
                <w:sz w:val="20"/>
                <w:szCs w:val="20"/>
                <w:lang w:val="fr-CA"/>
              </w:rPr>
            </w:pPr>
          </w:p>
        </w:tc>
      </w:tr>
      <w:tr w:rsidR="004A459F"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3 février 2014</w:t>
            </w:r>
          </w:p>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Cour d’appel de l’Ontario </w:t>
            </w:r>
          </w:p>
          <w:p w:rsidR="004A459F" w:rsidRPr="00982C2B" w:rsidRDefault="004A459F" w:rsidP="00DD39BD">
            <w:pPr>
              <w:jc w:val="both"/>
              <w:rPr>
                <w:rFonts w:cs="Times New Roman"/>
                <w:sz w:val="20"/>
                <w:szCs w:val="20"/>
                <w:lang w:val="fr-CA"/>
              </w:rPr>
            </w:pPr>
            <w:r w:rsidRPr="00982C2B">
              <w:rPr>
                <w:rFonts w:cs="Times New Roman"/>
                <w:sz w:val="20"/>
                <w:szCs w:val="20"/>
                <w:lang w:val="fr-CA"/>
              </w:rPr>
              <w:t>(Juges Laskin, Rosenberg et Epstein)</w:t>
            </w:r>
          </w:p>
          <w:p w:rsidR="004A459F" w:rsidRPr="00982C2B" w:rsidRDefault="004A459F" w:rsidP="00DD39BD">
            <w:pPr>
              <w:jc w:val="both"/>
              <w:rPr>
                <w:rFonts w:cs="Times New Roman"/>
                <w:sz w:val="20"/>
                <w:szCs w:val="20"/>
                <w:lang w:val="fr-CA"/>
              </w:rPr>
            </w:pPr>
          </w:p>
        </w:tc>
        <w:tc>
          <w:tcPr>
            <w:tcW w:w="630" w:type="dxa"/>
          </w:tcPr>
          <w:p w:rsidR="004A459F" w:rsidRPr="00982C2B" w:rsidRDefault="004A459F"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Ordonnance de réexamen de l’arrêté d’extradition daté du 14 décembre 2011</w:t>
            </w:r>
          </w:p>
          <w:p w:rsidR="004A459F" w:rsidRPr="00982C2B" w:rsidRDefault="004A459F" w:rsidP="00DD39BD">
            <w:pPr>
              <w:pStyle w:val="SCCShortJudgment"/>
              <w:ind w:firstLine="0"/>
              <w:rPr>
                <w:rFonts w:cs="Times New Roman"/>
                <w:szCs w:val="20"/>
                <w:u w:val="single"/>
                <w:lang w:val="fr-CA"/>
              </w:rPr>
            </w:pPr>
          </w:p>
        </w:tc>
      </w:tr>
      <w:tr w:rsidR="004A459F" w:rsidRPr="00982C2B"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9 décembre 2014</w:t>
            </w:r>
          </w:p>
          <w:p w:rsidR="004A459F" w:rsidRPr="00982C2B" w:rsidRDefault="004A459F" w:rsidP="00DD39BD">
            <w:pPr>
              <w:jc w:val="both"/>
              <w:rPr>
                <w:rFonts w:cs="Times New Roman"/>
                <w:sz w:val="20"/>
                <w:szCs w:val="20"/>
                <w:lang w:val="fr-CA"/>
              </w:rPr>
            </w:pPr>
            <w:r w:rsidRPr="00982C2B">
              <w:rPr>
                <w:rFonts w:cs="Times New Roman"/>
                <w:sz w:val="20"/>
                <w:szCs w:val="20"/>
                <w:lang w:val="fr-CA"/>
              </w:rPr>
              <w:t>L’honorable Peter MacKay, C.p., c.r., député</w:t>
            </w:r>
          </w:p>
          <w:p w:rsidR="004A459F" w:rsidRPr="00982C2B" w:rsidRDefault="004A459F" w:rsidP="00DD39BD">
            <w:pPr>
              <w:jc w:val="both"/>
              <w:rPr>
                <w:rFonts w:cs="Times New Roman"/>
                <w:sz w:val="20"/>
                <w:szCs w:val="20"/>
                <w:lang w:val="fr-CA"/>
              </w:rPr>
            </w:pPr>
          </w:p>
        </w:tc>
        <w:tc>
          <w:tcPr>
            <w:tcW w:w="630" w:type="dxa"/>
          </w:tcPr>
          <w:p w:rsidR="004A459F" w:rsidRPr="00982C2B" w:rsidRDefault="004A459F" w:rsidP="00DD39BD">
            <w:pPr>
              <w:pStyle w:val="SCCShortJudgment"/>
              <w:ind w:firstLine="0"/>
              <w:rPr>
                <w:rFonts w:cs="Times New Roman"/>
                <w:szCs w:val="20"/>
                <w:u w:val="single"/>
                <w:lang w:val="fr-CA"/>
              </w:rPr>
            </w:pPr>
          </w:p>
        </w:tc>
        <w:tc>
          <w:tcPr>
            <w:tcW w:w="4536" w:type="dxa"/>
          </w:tcPr>
          <w:p w:rsidR="004A459F" w:rsidRPr="00982C2B" w:rsidRDefault="004A459F" w:rsidP="00DD39BD">
            <w:pPr>
              <w:pStyle w:val="SCCShortJudgment"/>
              <w:ind w:firstLine="0"/>
              <w:rPr>
                <w:rFonts w:cs="Times New Roman"/>
                <w:szCs w:val="20"/>
                <w:u w:val="single"/>
                <w:lang w:val="fr-CA"/>
              </w:rPr>
            </w:pPr>
            <w:r w:rsidRPr="00982C2B">
              <w:rPr>
                <w:rFonts w:cs="Times New Roman"/>
                <w:szCs w:val="20"/>
                <w:lang w:val="fr-CA"/>
              </w:rPr>
              <w:t>Deuxième arrêté d’extradition</w:t>
            </w:r>
          </w:p>
        </w:tc>
      </w:tr>
      <w:tr w:rsidR="004A459F"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2 juillet 2015</w:t>
            </w:r>
          </w:p>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Cour d’appel de l’Ontario </w:t>
            </w:r>
          </w:p>
          <w:p w:rsidR="004A459F" w:rsidRDefault="004A459F" w:rsidP="00DD39BD">
            <w:pPr>
              <w:jc w:val="both"/>
              <w:rPr>
                <w:rFonts w:cs="Times New Roman"/>
                <w:sz w:val="20"/>
                <w:szCs w:val="20"/>
                <w:lang w:val="fr-CA"/>
              </w:rPr>
            </w:pPr>
            <w:r w:rsidRPr="00982C2B">
              <w:rPr>
                <w:rFonts w:cs="Times New Roman"/>
                <w:sz w:val="20"/>
                <w:szCs w:val="20"/>
                <w:lang w:val="fr-CA"/>
              </w:rPr>
              <w:t>(Juge Rouleau)</w:t>
            </w:r>
          </w:p>
          <w:p w:rsidR="002C243F" w:rsidRPr="00982C2B" w:rsidRDefault="002C243F" w:rsidP="00DD39BD">
            <w:pPr>
              <w:jc w:val="both"/>
              <w:rPr>
                <w:rFonts w:cs="Times New Roman"/>
                <w:sz w:val="20"/>
                <w:szCs w:val="20"/>
                <w:lang w:val="fr-CA"/>
              </w:rPr>
            </w:pPr>
          </w:p>
        </w:tc>
        <w:tc>
          <w:tcPr>
            <w:tcW w:w="630" w:type="dxa"/>
          </w:tcPr>
          <w:p w:rsidR="004A459F" w:rsidRPr="00982C2B" w:rsidRDefault="004A459F"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Jugement accueillant la demande d’ordonnance de mise sous scellés du dossier de la cour </w:t>
            </w:r>
          </w:p>
          <w:p w:rsidR="004A459F" w:rsidRPr="00982C2B" w:rsidRDefault="004A459F" w:rsidP="00DD39BD">
            <w:pPr>
              <w:pStyle w:val="SCCShortJudgment"/>
              <w:ind w:firstLine="0"/>
              <w:rPr>
                <w:rFonts w:cs="Times New Roman"/>
                <w:szCs w:val="20"/>
                <w:u w:val="single"/>
                <w:lang w:val="fr-CA"/>
              </w:rPr>
            </w:pPr>
          </w:p>
        </w:tc>
      </w:tr>
      <w:tr w:rsidR="004A459F"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5 novembre 2015</w:t>
            </w:r>
          </w:p>
          <w:p w:rsidR="004A459F" w:rsidRPr="00982C2B" w:rsidRDefault="004A459F" w:rsidP="00DD39BD">
            <w:pPr>
              <w:jc w:val="both"/>
              <w:rPr>
                <w:rFonts w:cs="Times New Roman"/>
                <w:sz w:val="20"/>
                <w:szCs w:val="20"/>
                <w:lang w:val="fr-CA"/>
              </w:rPr>
            </w:pPr>
            <w:r w:rsidRPr="00982C2B">
              <w:rPr>
                <w:rFonts w:cs="Times New Roman"/>
                <w:sz w:val="20"/>
                <w:szCs w:val="20"/>
                <w:lang w:val="fr-CA"/>
              </w:rPr>
              <w:t xml:space="preserve">Cour d’appel de l’Ontario </w:t>
            </w:r>
          </w:p>
          <w:p w:rsidR="004A459F" w:rsidRPr="00982C2B" w:rsidRDefault="004A459F" w:rsidP="00DD39BD">
            <w:pPr>
              <w:jc w:val="both"/>
              <w:rPr>
                <w:rFonts w:cs="Times New Roman"/>
                <w:sz w:val="20"/>
                <w:szCs w:val="20"/>
                <w:lang w:val="fr-CA"/>
              </w:rPr>
            </w:pPr>
            <w:r w:rsidRPr="00982C2B">
              <w:rPr>
                <w:rFonts w:cs="Times New Roman"/>
                <w:sz w:val="20"/>
                <w:szCs w:val="20"/>
                <w:lang w:val="fr-CA"/>
              </w:rPr>
              <w:t>(Juges Doherty, Pepall et Brown)</w:t>
            </w:r>
          </w:p>
          <w:p w:rsidR="004A459F" w:rsidRPr="00982C2B" w:rsidRDefault="004A459F" w:rsidP="00DD39BD">
            <w:pPr>
              <w:jc w:val="both"/>
              <w:rPr>
                <w:rFonts w:cs="Times New Roman"/>
                <w:sz w:val="20"/>
                <w:szCs w:val="20"/>
                <w:lang w:val="en-US"/>
              </w:rPr>
            </w:pPr>
            <w:r w:rsidRPr="00982C2B">
              <w:rPr>
                <w:rFonts w:cs="Times New Roman"/>
                <w:sz w:val="20"/>
                <w:szCs w:val="20"/>
                <w:lang w:val="en-US"/>
              </w:rPr>
              <w:t>2015 ONCA 773; C59731</w:t>
            </w:r>
          </w:p>
          <w:p w:rsidR="004A459F" w:rsidRPr="00982C2B" w:rsidRDefault="009F3029" w:rsidP="00DD39BD">
            <w:pPr>
              <w:jc w:val="both"/>
              <w:rPr>
                <w:rFonts w:cs="Times New Roman"/>
                <w:sz w:val="20"/>
                <w:szCs w:val="20"/>
                <w:lang w:val="en-US"/>
              </w:rPr>
            </w:pPr>
            <w:hyperlink r:id="rId63" w:history="1">
              <w:r w:rsidR="004A459F" w:rsidRPr="00982C2B">
                <w:rPr>
                  <w:rStyle w:val="Hyperlink"/>
                  <w:rFonts w:eastAsiaTheme="majorEastAsia" w:cs="Times New Roman"/>
                  <w:sz w:val="20"/>
                  <w:szCs w:val="20"/>
                  <w:lang w:val="en-US"/>
                </w:rPr>
                <w:t>http://canlii.ca/t/gm1lh</w:t>
              </w:r>
            </w:hyperlink>
          </w:p>
          <w:p w:rsidR="004A459F" w:rsidRPr="00982C2B" w:rsidRDefault="004A459F" w:rsidP="00DD39BD">
            <w:pPr>
              <w:jc w:val="both"/>
              <w:rPr>
                <w:rFonts w:cs="Times New Roman"/>
                <w:sz w:val="20"/>
                <w:szCs w:val="20"/>
                <w:lang w:val="en-US"/>
              </w:rPr>
            </w:pPr>
          </w:p>
        </w:tc>
        <w:tc>
          <w:tcPr>
            <w:tcW w:w="630" w:type="dxa"/>
          </w:tcPr>
          <w:p w:rsidR="004A459F" w:rsidRPr="00982C2B" w:rsidRDefault="004A459F" w:rsidP="00DD39BD">
            <w:pPr>
              <w:pStyle w:val="SCCShortJudgment"/>
              <w:ind w:firstLine="0"/>
              <w:rPr>
                <w:rFonts w:cs="Times New Roman"/>
                <w:szCs w:val="20"/>
                <w:u w:val="single"/>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Rejet de la demande de contrôle judiciaire de l’arrêté d’extradition du ministre de la Justice daté du 9 décembre 2014</w:t>
            </w:r>
          </w:p>
          <w:p w:rsidR="004A459F" w:rsidRPr="00982C2B" w:rsidRDefault="004A459F" w:rsidP="00DD39BD">
            <w:pPr>
              <w:pStyle w:val="SCCShortJudgment"/>
              <w:ind w:firstLine="0"/>
              <w:rPr>
                <w:rFonts w:cs="Times New Roman"/>
                <w:szCs w:val="20"/>
                <w:u w:val="single"/>
                <w:lang w:val="fr-CA"/>
              </w:rPr>
            </w:pPr>
          </w:p>
        </w:tc>
      </w:tr>
      <w:tr w:rsidR="004A459F" w:rsidRPr="009F3029" w:rsidTr="004A459F">
        <w:tc>
          <w:tcPr>
            <w:tcW w:w="4410"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29 décembre 2015</w:t>
            </w:r>
          </w:p>
          <w:p w:rsidR="004A459F" w:rsidRPr="00982C2B" w:rsidRDefault="004A459F" w:rsidP="00DD39BD">
            <w:pPr>
              <w:jc w:val="both"/>
              <w:rPr>
                <w:rFonts w:cs="Times New Roman"/>
                <w:sz w:val="20"/>
                <w:szCs w:val="20"/>
                <w:lang w:val="fr-CA"/>
              </w:rPr>
            </w:pPr>
            <w:r w:rsidRPr="00982C2B">
              <w:rPr>
                <w:rFonts w:cs="Times New Roman"/>
                <w:sz w:val="20"/>
                <w:szCs w:val="20"/>
                <w:lang w:val="fr-CA"/>
              </w:rPr>
              <w:t>Cour suprême du Canada</w:t>
            </w:r>
          </w:p>
        </w:tc>
        <w:tc>
          <w:tcPr>
            <w:tcW w:w="630" w:type="dxa"/>
          </w:tcPr>
          <w:p w:rsidR="004A459F" w:rsidRPr="00982C2B" w:rsidRDefault="004A459F" w:rsidP="00DD39BD">
            <w:pPr>
              <w:pStyle w:val="SCCShortJudgment"/>
              <w:ind w:firstLine="0"/>
              <w:rPr>
                <w:rFonts w:cs="Times New Roman"/>
                <w:szCs w:val="20"/>
                <w:u w:val="single"/>
                <w:lang w:val="fr-CA"/>
              </w:rPr>
            </w:pPr>
          </w:p>
        </w:tc>
        <w:tc>
          <w:tcPr>
            <w:tcW w:w="4536" w:type="dxa"/>
          </w:tcPr>
          <w:p w:rsidR="004A459F" w:rsidRPr="00982C2B" w:rsidRDefault="004A459F" w:rsidP="00DD39BD">
            <w:pPr>
              <w:jc w:val="both"/>
              <w:rPr>
                <w:rFonts w:cs="Times New Roman"/>
                <w:sz w:val="20"/>
                <w:szCs w:val="20"/>
                <w:lang w:val="fr-CA"/>
              </w:rPr>
            </w:pPr>
            <w:r w:rsidRPr="00982C2B">
              <w:rPr>
                <w:rFonts w:cs="Times New Roman"/>
                <w:sz w:val="20"/>
                <w:szCs w:val="20"/>
                <w:lang w:val="fr-CA"/>
              </w:rPr>
              <w:t>Dépôt de la demande d’autorisation d’appel</w:t>
            </w:r>
          </w:p>
          <w:p w:rsidR="004A459F" w:rsidRPr="00982C2B" w:rsidRDefault="004A459F" w:rsidP="00DD39BD">
            <w:pPr>
              <w:pStyle w:val="SCCShortJudgment"/>
              <w:ind w:firstLine="0"/>
              <w:rPr>
                <w:rFonts w:cs="Times New Roman"/>
                <w:szCs w:val="20"/>
                <w:u w:val="single"/>
                <w:lang w:val="fr-CA"/>
              </w:rPr>
            </w:pPr>
          </w:p>
        </w:tc>
      </w:tr>
    </w:tbl>
    <w:p w:rsidR="00204B67" w:rsidRPr="00982C2B" w:rsidRDefault="009F3029" w:rsidP="00204B67">
      <w:pPr>
        <w:rPr>
          <w:rFonts w:cs="Times New Roman"/>
          <w:sz w:val="20"/>
          <w:szCs w:val="20"/>
          <w:lang w:val="fr-CA"/>
        </w:rPr>
      </w:pPr>
      <w:r>
        <w:rPr>
          <w:rFonts w:cs="Times New Roman"/>
          <w:sz w:val="20"/>
          <w:szCs w:val="20"/>
          <w:lang w:val="fr-CA"/>
        </w:rPr>
        <w:pict>
          <v:rect id="_x0000_i1064" style="width:2in;height:1pt" o:hrpct="0" o:hralign="center" o:hrstd="t" o:hrnoshade="t" o:hr="t" fillcolor="black [3213]" stroked="f"/>
        </w:pict>
      </w:r>
    </w:p>
    <w:p w:rsidR="00204B67" w:rsidRPr="00982C2B" w:rsidRDefault="00204B67" w:rsidP="00204B67">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0929F8" w:rsidRPr="00982C2B" w:rsidTr="009D18B6">
        <w:trPr>
          <w:cantSplit/>
        </w:trPr>
        <w:tc>
          <w:tcPr>
            <w:tcW w:w="1458" w:type="dxa"/>
          </w:tcPr>
          <w:p w:rsidR="000929F8" w:rsidRPr="00982C2B" w:rsidRDefault="007C3743" w:rsidP="00390398">
            <w:pPr>
              <w:jc w:val="both"/>
              <w:rPr>
                <w:rFonts w:cs="Times New Roman"/>
                <w:sz w:val="20"/>
                <w:szCs w:val="20"/>
              </w:rPr>
            </w:pPr>
            <w:r w:rsidRPr="00982C2B">
              <w:rPr>
                <w:rStyle w:val="SCCFileNumberChar"/>
                <w:sz w:val="20"/>
                <w:szCs w:val="20"/>
              </w:rPr>
              <w:t>36743</w:t>
            </w:r>
          </w:p>
          <w:p w:rsidR="000929F8" w:rsidRPr="00982C2B" w:rsidRDefault="000929F8" w:rsidP="00390398">
            <w:pPr>
              <w:jc w:val="both"/>
              <w:rPr>
                <w:rFonts w:cs="Times New Roman"/>
                <w:b/>
                <w:sz w:val="20"/>
                <w:szCs w:val="20"/>
              </w:rPr>
            </w:pPr>
          </w:p>
        </w:tc>
        <w:tc>
          <w:tcPr>
            <w:tcW w:w="8118" w:type="dxa"/>
            <w:gridSpan w:val="3"/>
          </w:tcPr>
          <w:p w:rsidR="000929F8" w:rsidRPr="00982C2B" w:rsidRDefault="007C3743" w:rsidP="00390398">
            <w:pPr>
              <w:jc w:val="both"/>
              <w:rPr>
                <w:rFonts w:cs="Times New Roman"/>
                <w:sz w:val="20"/>
                <w:szCs w:val="20"/>
              </w:rPr>
            </w:pPr>
            <w:r w:rsidRPr="00982C2B">
              <w:rPr>
                <w:rStyle w:val="SCCLsocChar"/>
                <w:rFonts w:cs="Times New Roman"/>
                <w:sz w:val="20"/>
                <w:szCs w:val="20"/>
                <w:lang w:val="en-CA"/>
              </w:rPr>
              <w:t>Katherine Lin v. Thomas Griether, I AM St. Germain Church, City of Vancouver and Toronto Police Services Board</w:t>
            </w:r>
            <w:r w:rsidRPr="00982C2B">
              <w:rPr>
                <w:rStyle w:val="SCCLsocChar"/>
                <w:rFonts w:cs="Times New Roman"/>
                <w:sz w:val="20"/>
                <w:szCs w:val="20"/>
                <w:u w:val="none"/>
                <w:lang w:val="en-CA"/>
              </w:rPr>
              <w:t xml:space="preserve"> </w:t>
            </w:r>
            <w:r w:rsidR="000929F8" w:rsidRPr="00982C2B">
              <w:rPr>
                <w:rFonts w:cs="Times New Roman"/>
                <w:sz w:val="20"/>
                <w:szCs w:val="20"/>
              </w:rPr>
              <w:t>(Ont.) (Civil) (By Leave)</w:t>
            </w:r>
          </w:p>
          <w:p w:rsidR="000929F8" w:rsidRPr="00982C2B" w:rsidRDefault="000929F8" w:rsidP="00390398">
            <w:pPr>
              <w:jc w:val="both"/>
              <w:rPr>
                <w:rFonts w:cs="Times New Roman"/>
                <w:sz w:val="20"/>
                <w:szCs w:val="20"/>
              </w:rPr>
            </w:pPr>
          </w:p>
        </w:tc>
      </w:tr>
      <w:tr w:rsidR="000929F8" w:rsidRPr="00982C2B" w:rsidTr="009D18B6">
        <w:trPr>
          <w:cantSplit/>
        </w:trPr>
        <w:tc>
          <w:tcPr>
            <w:tcW w:w="1458" w:type="dxa"/>
          </w:tcPr>
          <w:p w:rsidR="000929F8" w:rsidRPr="00982C2B" w:rsidRDefault="000929F8" w:rsidP="00390398">
            <w:pPr>
              <w:jc w:val="both"/>
              <w:rPr>
                <w:rFonts w:cs="Times New Roman"/>
                <w:sz w:val="20"/>
                <w:szCs w:val="20"/>
              </w:rPr>
            </w:pPr>
            <w:r w:rsidRPr="00982C2B">
              <w:rPr>
                <w:rFonts w:cs="Times New Roman"/>
                <w:sz w:val="20"/>
                <w:szCs w:val="20"/>
              </w:rPr>
              <w:t>Coram :</w:t>
            </w:r>
          </w:p>
        </w:tc>
        <w:tc>
          <w:tcPr>
            <w:tcW w:w="8118" w:type="dxa"/>
            <w:gridSpan w:val="3"/>
          </w:tcPr>
          <w:p w:rsidR="000929F8" w:rsidRPr="00982C2B" w:rsidRDefault="007C3743" w:rsidP="00390398">
            <w:pPr>
              <w:jc w:val="both"/>
              <w:rPr>
                <w:rStyle w:val="SCCCoramChar"/>
                <w:rFonts w:cs="Times New Roman"/>
                <w:sz w:val="20"/>
                <w:szCs w:val="20"/>
                <w:lang w:val="en-CA"/>
              </w:rPr>
            </w:pPr>
            <w:r w:rsidRPr="00982C2B">
              <w:rPr>
                <w:rStyle w:val="SCCCoramChar"/>
                <w:rFonts w:cs="Times New Roman"/>
                <w:sz w:val="20"/>
                <w:szCs w:val="20"/>
                <w:lang w:val="en-CA"/>
              </w:rPr>
              <w:t>Abella, Karakatsanis and Brown JJ.</w:t>
            </w:r>
          </w:p>
          <w:p w:rsidR="007C3743" w:rsidRPr="00982C2B" w:rsidRDefault="007C3743" w:rsidP="00390398">
            <w:pPr>
              <w:jc w:val="both"/>
              <w:rPr>
                <w:rFonts w:cs="Times New Roman"/>
                <w:sz w:val="20"/>
                <w:szCs w:val="20"/>
                <w:u w:val="single"/>
              </w:rPr>
            </w:pPr>
          </w:p>
        </w:tc>
      </w:tr>
      <w:tr w:rsidR="000929F8" w:rsidRPr="009F3029" w:rsidTr="009D18B6">
        <w:trPr>
          <w:cantSplit/>
        </w:trPr>
        <w:tc>
          <w:tcPr>
            <w:tcW w:w="9576" w:type="dxa"/>
            <w:gridSpan w:val="4"/>
          </w:tcPr>
          <w:p w:rsidR="000929F8" w:rsidRPr="00982C2B" w:rsidRDefault="000929F8" w:rsidP="00390398">
            <w:pPr>
              <w:pStyle w:val="SCCShortJudgment"/>
              <w:ind w:firstLine="0"/>
              <w:rPr>
                <w:rFonts w:cs="Times New Roman"/>
                <w:szCs w:val="20"/>
              </w:rPr>
            </w:pPr>
            <w:r w:rsidRPr="00982C2B">
              <w:rPr>
                <w:rFonts w:cs="Times New Roman"/>
                <w:szCs w:val="20"/>
              </w:rPr>
              <w:tab/>
            </w:r>
            <w:r w:rsidR="007C3743" w:rsidRPr="00982C2B">
              <w:rPr>
                <w:rFonts w:cs="Times New Roman"/>
                <w:szCs w:val="20"/>
              </w:rPr>
              <w:t>The application for leave to appeal from the judgment of the Court of Appeal for Ontario, Number M45366, dated October 21, 2015, is dismissed with costs to the respondent, Toronto Police Services Board.</w:t>
            </w:r>
          </w:p>
          <w:p w:rsidR="007C3743" w:rsidRPr="00982C2B" w:rsidRDefault="007C3743" w:rsidP="00390398">
            <w:pPr>
              <w:pStyle w:val="SCCShortJudgment"/>
              <w:ind w:firstLine="0"/>
              <w:rPr>
                <w:rFonts w:cs="Times New Roman"/>
                <w:szCs w:val="20"/>
              </w:rPr>
            </w:pPr>
          </w:p>
          <w:p w:rsidR="000929F8" w:rsidRPr="00982C2B" w:rsidRDefault="000929F8" w:rsidP="00390398">
            <w:pPr>
              <w:pStyle w:val="SCCShortJudgment"/>
              <w:ind w:firstLine="0"/>
              <w:rPr>
                <w:rFonts w:cs="Times New Roman"/>
                <w:szCs w:val="20"/>
                <w:lang w:val="fr-CA"/>
              </w:rPr>
            </w:pPr>
            <w:r w:rsidRPr="00982C2B">
              <w:rPr>
                <w:rFonts w:cs="Times New Roman"/>
                <w:szCs w:val="20"/>
              </w:rPr>
              <w:tab/>
            </w:r>
            <w:r w:rsidR="007C3743" w:rsidRPr="00982C2B">
              <w:rPr>
                <w:rFonts w:cs="Times New Roman"/>
                <w:szCs w:val="20"/>
                <w:lang w:val="fr-CA"/>
              </w:rPr>
              <w:t xml:space="preserve">La demande d’autorisation d’appel de l’arrêt de la </w:t>
            </w:r>
            <w:r w:rsidR="007C3743" w:rsidRPr="00982C2B">
              <w:rPr>
                <w:rFonts w:cs="Times New Roman"/>
                <w:szCs w:val="20"/>
                <w:lang w:val="fr-FR"/>
              </w:rPr>
              <w:t>Cour d’appel de l’Ontario</w:t>
            </w:r>
            <w:r w:rsidR="007C3743" w:rsidRPr="00982C2B">
              <w:rPr>
                <w:rFonts w:cs="Times New Roman"/>
                <w:szCs w:val="20"/>
                <w:lang w:val="fr-CA"/>
              </w:rPr>
              <w:t xml:space="preserve">, numéro </w:t>
            </w:r>
            <w:r w:rsidR="007C3743" w:rsidRPr="00982C2B">
              <w:rPr>
                <w:rFonts w:cs="Times New Roman"/>
                <w:szCs w:val="20"/>
                <w:lang w:val="fr-FR"/>
              </w:rPr>
              <w:t>M45366</w:t>
            </w:r>
            <w:r w:rsidR="007C3743" w:rsidRPr="00982C2B">
              <w:rPr>
                <w:rFonts w:cs="Times New Roman"/>
                <w:szCs w:val="20"/>
                <w:lang w:val="fr-CA"/>
              </w:rPr>
              <w:t xml:space="preserve">, daté du </w:t>
            </w:r>
            <w:r w:rsidR="007C3743" w:rsidRPr="00982C2B">
              <w:rPr>
                <w:rFonts w:cs="Times New Roman"/>
                <w:szCs w:val="20"/>
                <w:lang w:val="fr-FR"/>
              </w:rPr>
              <w:t>21 octobre 2015</w:t>
            </w:r>
            <w:r w:rsidR="007C3743" w:rsidRPr="00982C2B">
              <w:rPr>
                <w:rFonts w:cs="Times New Roman"/>
                <w:szCs w:val="20"/>
                <w:lang w:val="fr-CA"/>
              </w:rPr>
              <w:t xml:space="preserve">, est rejetée avec dépens en faveur de l’intimée, Toronto Police Services Board. </w:t>
            </w:r>
          </w:p>
          <w:p w:rsidR="007C3743" w:rsidRPr="00982C2B" w:rsidRDefault="007C3743" w:rsidP="00390398">
            <w:pPr>
              <w:pStyle w:val="SCCShortJudgment"/>
              <w:ind w:firstLine="0"/>
              <w:rPr>
                <w:rFonts w:cs="Times New Roman"/>
                <w:szCs w:val="20"/>
                <w:lang w:val="fr-CA"/>
              </w:rPr>
            </w:pPr>
          </w:p>
        </w:tc>
      </w:tr>
      <w:tr w:rsidR="000929F8" w:rsidRPr="00982C2B" w:rsidTr="007C3743">
        <w:tc>
          <w:tcPr>
            <w:tcW w:w="9576" w:type="dxa"/>
            <w:gridSpan w:val="4"/>
          </w:tcPr>
          <w:p w:rsidR="000929F8" w:rsidRPr="00982C2B" w:rsidRDefault="000929F8" w:rsidP="009D18B6">
            <w:pPr>
              <w:pStyle w:val="SCCShortJudgment"/>
              <w:ind w:firstLine="0"/>
              <w:rPr>
                <w:rFonts w:cs="Times New Roman"/>
                <w:szCs w:val="20"/>
                <w:u w:val="single"/>
                <w:lang w:val="fr-CA"/>
              </w:rPr>
            </w:pPr>
            <w:r w:rsidRPr="00982C2B">
              <w:rPr>
                <w:rFonts w:cs="Times New Roman"/>
                <w:szCs w:val="20"/>
                <w:u w:val="single"/>
                <w:lang w:val="fr-CA"/>
              </w:rPr>
              <w:t>CASE SUMMARY</w:t>
            </w:r>
          </w:p>
          <w:p w:rsidR="000929F8" w:rsidRPr="00982C2B" w:rsidRDefault="000929F8" w:rsidP="009D18B6">
            <w:pPr>
              <w:pStyle w:val="SCCShortJudgment"/>
              <w:ind w:firstLine="0"/>
              <w:rPr>
                <w:rFonts w:cs="Times New Roman"/>
                <w:szCs w:val="20"/>
                <w:u w:val="single"/>
                <w:lang w:val="fr-CA"/>
              </w:rPr>
            </w:pPr>
          </w:p>
        </w:tc>
      </w:tr>
      <w:tr w:rsidR="000929F8" w:rsidRPr="00982C2B" w:rsidTr="007C3743">
        <w:tc>
          <w:tcPr>
            <w:tcW w:w="9576" w:type="dxa"/>
            <w:gridSpan w:val="4"/>
          </w:tcPr>
          <w:p w:rsidR="000929F8" w:rsidRPr="00982C2B" w:rsidRDefault="007C3743" w:rsidP="00390398">
            <w:pPr>
              <w:pStyle w:val="SCCShortJudgment"/>
              <w:ind w:firstLine="0"/>
              <w:rPr>
                <w:rFonts w:cs="Times New Roman"/>
                <w:szCs w:val="20"/>
              </w:rPr>
            </w:pPr>
            <w:r w:rsidRPr="00982C2B">
              <w:rPr>
                <w:rFonts w:cs="Times New Roman"/>
                <w:szCs w:val="20"/>
              </w:rPr>
              <w:t>Judgments and orders — Summary judgments — Applicant’s statement of claim struck by motion judge — Whether applicant was harassed and court involved — Whether there was evidence in respondents’ words and legal documents proving their guilt — Whether there is corruption.</w:t>
            </w:r>
          </w:p>
          <w:p w:rsidR="007C3743" w:rsidRPr="00982C2B" w:rsidRDefault="007C3743" w:rsidP="00390398">
            <w:pPr>
              <w:pStyle w:val="SCCShortJudgment"/>
              <w:ind w:firstLine="0"/>
              <w:rPr>
                <w:rFonts w:cs="Times New Roman"/>
                <w:szCs w:val="20"/>
              </w:rPr>
            </w:pPr>
          </w:p>
        </w:tc>
      </w:tr>
      <w:tr w:rsidR="000929F8" w:rsidRPr="00982C2B" w:rsidTr="007C3743">
        <w:tc>
          <w:tcPr>
            <w:tcW w:w="9576" w:type="dxa"/>
            <w:gridSpan w:val="4"/>
          </w:tcPr>
          <w:p w:rsidR="000929F8" w:rsidRPr="00982C2B" w:rsidRDefault="007C3743" w:rsidP="00390398">
            <w:pPr>
              <w:pStyle w:val="SCCShortJudgment"/>
              <w:ind w:firstLine="0"/>
              <w:rPr>
                <w:rFonts w:cs="Times New Roman"/>
                <w:szCs w:val="20"/>
              </w:rPr>
            </w:pPr>
            <w:r w:rsidRPr="00982C2B">
              <w:rPr>
                <w:rFonts w:cs="Times New Roman"/>
                <w:szCs w:val="20"/>
              </w:rPr>
              <w:t xml:space="preserve">In January, 2015, the applicant commenced an action in Ontario, seeking damages in the aggregate amount of approximately $104 million, and alleging wrongful dismissal, false arrest and harassment relating to events that occurred in British Columbia in or before 2009. She also alleged that more recently, she had been harassed by former employers in Ontario. Further, she claimed against the Toronto Police Services Board for failing to stop crime. Counsel for the Toronto Police Services Board requested that action be dismissed under Rule 2.1 of Ontario’s </w:t>
            </w:r>
            <w:r w:rsidRPr="00982C2B">
              <w:rPr>
                <w:rFonts w:cs="Times New Roman"/>
                <w:i/>
                <w:szCs w:val="20"/>
              </w:rPr>
              <w:t>Rules of Civil Procedure</w:t>
            </w:r>
            <w:r w:rsidRPr="00982C2B">
              <w:rPr>
                <w:rFonts w:cs="Times New Roman"/>
                <w:szCs w:val="20"/>
              </w:rPr>
              <w:t>, R.R.O. 1990 Reg. 194.</w:t>
            </w:r>
          </w:p>
          <w:p w:rsidR="007C3743" w:rsidRPr="00982C2B" w:rsidRDefault="007C3743" w:rsidP="00390398">
            <w:pPr>
              <w:pStyle w:val="SCCShortJudgment"/>
              <w:ind w:firstLine="0"/>
              <w:rPr>
                <w:rFonts w:cs="Times New Roman"/>
                <w:szCs w:val="20"/>
              </w:rPr>
            </w:pPr>
          </w:p>
        </w:tc>
      </w:tr>
      <w:tr w:rsidR="000929F8" w:rsidRPr="00982C2B" w:rsidTr="007C3743">
        <w:tc>
          <w:tcPr>
            <w:tcW w:w="4410" w:type="dxa"/>
            <w:gridSpan w:val="2"/>
          </w:tcPr>
          <w:p w:rsidR="007C3743" w:rsidRPr="00982C2B" w:rsidRDefault="007C3743" w:rsidP="00390398">
            <w:pPr>
              <w:jc w:val="both"/>
              <w:rPr>
                <w:rFonts w:cs="Times New Roman"/>
                <w:sz w:val="20"/>
                <w:szCs w:val="20"/>
              </w:rPr>
            </w:pPr>
            <w:r w:rsidRPr="00982C2B">
              <w:rPr>
                <w:rFonts w:cs="Times New Roman"/>
                <w:sz w:val="20"/>
                <w:szCs w:val="20"/>
              </w:rPr>
              <w:t>April 14, 2015</w:t>
            </w:r>
          </w:p>
          <w:p w:rsidR="007C3743" w:rsidRPr="00982C2B" w:rsidRDefault="007C3743" w:rsidP="00390398">
            <w:pPr>
              <w:jc w:val="both"/>
              <w:rPr>
                <w:rFonts w:cs="Times New Roman"/>
                <w:sz w:val="20"/>
                <w:szCs w:val="20"/>
              </w:rPr>
            </w:pPr>
            <w:r w:rsidRPr="00982C2B">
              <w:rPr>
                <w:rFonts w:cs="Times New Roman"/>
                <w:sz w:val="20"/>
                <w:szCs w:val="20"/>
              </w:rPr>
              <w:t>Ontario Superior Court of Justice</w:t>
            </w:r>
          </w:p>
          <w:p w:rsidR="007C3743" w:rsidRPr="00982C2B" w:rsidRDefault="007C3743" w:rsidP="00390398">
            <w:pPr>
              <w:jc w:val="both"/>
              <w:rPr>
                <w:rFonts w:cs="Times New Roman"/>
                <w:sz w:val="20"/>
                <w:szCs w:val="20"/>
              </w:rPr>
            </w:pPr>
            <w:r w:rsidRPr="00982C2B">
              <w:rPr>
                <w:rFonts w:cs="Times New Roman"/>
                <w:sz w:val="20"/>
                <w:szCs w:val="20"/>
              </w:rPr>
              <w:t>(Myers J.)</w:t>
            </w:r>
          </w:p>
          <w:p w:rsidR="007C3743" w:rsidRPr="00982C2B" w:rsidRDefault="009F3029" w:rsidP="00390398">
            <w:pPr>
              <w:jc w:val="both"/>
              <w:rPr>
                <w:rStyle w:val="Hyperlink"/>
                <w:rFonts w:cs="Times New Roman"/>
                <w:sz w:val="20"/>
                <w:szCs w:val="20"/>
              </w:rPr>
            </w:pPr>
            <w:hyperlink r:id="rId64" w:history="1">
              <w:r w:rsidR="007C3743" w:rsidRPr="00982C2B">
                <w:rPr>
                  <w:rStyle w:val="Hyperlink"/>
                  <w:rFonts w:cs="Times New Roman"/>
                  <w:sz w:val="20"/>
                  <w:szCs w:val="20"/>
                </w:rPr>
                <w:t>2015 ONSC 2421</w:t>
              </w:r>
            </w:hyperlink>
          </w:p>
          <w:p w:rsidR="000929F8" w:rsidRPr="00982C2B" w:rsidRDefault="000929F8" w:rsidP="00390398">
            <w:pPr>
              <w:jc w:val="both"/>
              <w:rPr>
                <w:rFonts w:cs="Times New Roman"/>
                <w:sz w:val="20"/>
                <w:szCs w:val="20"/>
              </w:rPr>
            </w:pPr>
          </w:p>
        </w:tc>
        <w:tc>
          <w:tcPr>
            <w:tcW w:w="630" w:type="dxa"/>
          </w:tcPr>
          <w:p w:rsidR="000929F8" w:rsidRPr="00982C2B" w:rsidRDefault="000929F8" w:rsidP="00390398">
            <w:pPr>
              <w:pStyle w:val="SCCShortJudgment"/>
              <w:ind w:firstLine="0"/>
              <w:rPr>
                <w:rFonts w:cs="Times New Roman"/>
                <w:szCs w:val="20"/>
              </w:rPr>
            </w:pPr>
          </w:p>
        </w:tc>
        <w:tc>
          <w:tcPr>
            <w:tcW w:w="4536" w:type="dxa"/>
          </w:tcPr>
          <w:p w:rsidR="007C3743" w:rsidRPr="00982C2B" w:rsidRDefault="007C3743" w:rsidP="00390398">
            <w:pPr>
              <w:jc w:val="both"/>
              <w:rPr>
                <w:rFonts w:cs="Times New Roman"/>
                <w:sz w:val="20"/>
                <w:szCs w:val="20"/>
              </w:rPr>
            </w:pPr>
            <w:r w:rsidRPr="00982C2B">
              <w:rPr>
                <w:rFonts w:cs="Times New Roman"/>
                <w:sz w:val="20"/>
                <w:szCs w:val="20"/>
              </w:rPr>
              <w:t xml:space="preserve">Applicant’s action dismissed </w:t>
            </w:r>
          </w:p>
          <w:p w:rsidR="000929F8" w:rsidRPr="00982C2B" w:rsidRDefault="000929F8" w:rsidP="00390398">
            <w:pPr>
              <w:jc w:val="both"/>
              <w:rPr>
                <w:rFonts w:cs="Times New Roman"/>
                <w:sz w:val="20"/>
                <w:szCs w:val="20"/>
              </w:rPr>
            </w:pPr>
          </w:p>
        </w:tc>
      </w:tr>
      <w:tr w:rsidR="000929F8" w:rsidRPr="00982C2B" w:rsidTr="007C3743">
        <w:tc>
          <w:tcPr>
            <w:tcW w:w="4410" w:type="dxa"/>
            <w:gridSpan w:val="2"/>
          </w:tcPr>
          <w:p w:rsidR="007C3743" w:rsidRPr="00982C2B" w:rsidRDefault="007C3743" w:rsidP="00390398">
            <w:pPr>
              <w:jc w:val="both"/>
              <w:rPr>
                <w:rFonts w:cs="Times New Roman"/>
                <w:sz w:val="20"/>
                <w:szCs w:val="20"/>
              </w:rPr>
            </w:pPr>
            <w:r w:rsidRPr="00982C2B">
              <w:rPr>
                <w:rFonts w:cs="Times New Roman"/>
                <w:sz w:val="20"/>
                <w:szCs w:val="20"/>
              </w:rPr>
              <w:t>July 30, 2015</w:t>
            </w:r>
          </w:p>
          <w:p w:rsidR="007C3743" w:rsidRPr="00982C2B" w:rsidRDefault="007C3743" w:rsidP="00390398">
            <w:pPr>
              <w:jc w:val="both"/>
              <w:rPr>
                <w:rFonts w:cs="Times New Roman"/>
                <w:sz w:val="20"/>
                <w:szCs w:val="20"/>
              </w:rPr>
            </w:pPr>
            <w:r w:rsidRPr="00982C2B">
              <w:rPr>
                <w:rFonts w:cs="Times New Roman"/>
                <w:sz w:val="20"/>
                <w:szCs w:val="20"/>
              </w:rPr>
              <w:t>Ontario Superior Court of Justice</w:t>
            </w:r>
          </w:p>
          <w:p w:rsidR="007C3743" w:rsidRPr="00982C2B" w:rsidRDefault="007C3743" w:rsidP="00390398">
            <w:pPr>
              <w:jc w:val="both"/>
              <w:rPr>
                <w:rFonts w:cs="Times New Roman"/>
                <w:sz w:val="20"/>
                <w:szCs w:val="20"/>
              </w:rPr>
            </w:pPr>
            <w:r w:rsidRPr="00982C2B">
              <w:rPr>
                <w:rFonts w:cs="Times New Roman"/>
                <w:sz w:val="20"/>
                <w:szCs w:val="20"/>
              </w:rPr>
              <w:t>(Divisional Court)</w:t>
            </w:r>
          </w:p>
          <w:p w:rsidR="007C3743" w:rsidRPr="00982C2B" w:rsidRDefault="007C3743" w:rsidP="00390398">
            <w:pPr>
              <w:jc w:val="both"/>
              <w:rPr>
                <w:rFonts w:cs="Times New Roman"/>
                <w:sz w:val="20"/>
                <w:szCs w:val="20"/>
              </w:rPr>
            </w:pPr>
            <w:r w:rsidRPr="00982C2B">
              <w:rPr>
                <w:rFonts w:cs="Times New Roman"/>
                <w:sz w:val="20"/>
                <w:szCs w:val="20"/>
              </w:rPr>
              <w:t xml:space="preserve">(Corbett J.) </w:t>
            </w:r>
          </w:p>
          <w:p w:rsidR="007C3743" w:rsidRPr="00982C2B" w:rsidRDefault="007C3743" w:rsidP="00390398">
            <w:pPr>
              <w:jc w:val="both"/>
              <w:rPr>
                <w:rFonts w:cs="Times New Roman"/>
                <w:sz w:val="20"/>
                <w:szCs w:val="20"/>
              </w:rPr>
            </w:pPr>
            <w:r w:rsidRPr="00982C2B">
              <w:rPr>
                <w:rFonts w:cs="Times New Roman"/>
                <w:sz w:val="20"/>
                <w:szCs w:val="20"/>
              </w:rPr>
              <w:t>Unreported</w:t>
            </w:r>
          </w:p>
          <w:p w:rsidR="000929F8" w:rsidRPr="00982C2B" w:rsidRDefault="000929F8" w:rsidP="00390398">
            <w:pPr>
              <w:jc w:val="both"/>
              <w:rPr>
                <w:rFonts w:cs="Times New Roman"/>
                <w:sz w:val="20"/>
                <w:szCs w:val="20"/>
              </w:rPr>
            </w:pPr>
          </w:p>
        </w:tc>
        <w:tc>
          <w:tcPr>
            <w:tcW w:w="630" w:type="dxa"/>
          </w:tcPr>
          <w:p w:rsidR="000929F8" w:rsidRPr="00982C2B" w:rsidRDefault="000929F8" w:rsidP="00390398">
            <w:pPr>
              <w:pStyle w:val="SCCShortJudgment"/>
              <w:ind w:firstLine="0"/>
              <w:rPr>
                <w:rFonts w:cs="Times New Roman"/>
                <w:szCs w:val="20"/>
              </w:rPr>
            </w:pPr>
          </w:p>
        </w:tc>
        <w:tc>
          <w:tcPr>
            <w:tcW w:w="4536" w:type="dxa"/>
          </w:tcPr>
          <w:p w:rsidR="000929F8" w:rsidRPr="00982C2B" w:rsidRDefault="007C3743" w:rsidP="00390398">
            <w:pPr>
              <w:jc w:val="both"/>
              <w:rPr>
                <w:rFonts w:cs="Times New Roman"/>
                <w:sz w:val="20"/>
                <w:szCs w:val="20"/>
              </w:rPr>
            </w:pPr>
            <w:r w:rsidRPr="00982C2B">
              <w:rPr>
                <w:rFonts w:cs="Times New Roman"/>
                <w:sz w:val="20"/>
                <w:szCs w:val="20"/>
              </w:rPr>
              <w:t>Applicant’s appeal dismissed</w:t>
            </w:r>
          </w:p>
        </w:tc>
      </w:tr>
      <w:tr w:rsidR="000929F8" w:rsidRPr="00982C2B" w:rsidTr="007C3743">
        <w:tc>
          <w:tcPr>
            <w:tcW w:w="4410" w:type="dxa"/>
            <w:gridSpan w:val="2"/>
          </w:tcPr>
          <w:p w:rsidR="007C3743" w:rsidRPr="00982C2B" w:rsidRDefault="007C3743" w:rsidP="00390398">
            <w:pPr>
              <w:jc w:val="both"/>
              <w:rPr>
                <w:rFonts w:cs="Times New Roman"/>
                <w:sz w:val="20"/>
                <w:szCs w:val="20"/>
              </w:rPr>
            </w:pPr>
            <w:r w:rsidRPr="00982C2B">
              <w:rPr>
                <w:rFonts w:cs="Times New Roman"/>
                <w:sz w:val="20"/>
                <w:szCs w:val="20"/>
              </w:rPr>
              <w:t>October 21, 2015</w:t>
            </w:r>
          </w:p>
          <w:p w:rsidR="007C3743" w:rsidRPr="00982C2B" w:rsidRDefault="007C3743" w:rsidP="00390398">
            <w:pPr>
              <w:jc w:val="both"/>
              <w:rPr>
                <w:rFonts w:cs="Times New Roman"/>
                <w:sz w:val="20"/>
                <w:szCs w:val="20"/>
              </w:rPr>
            </w:pPr>
            <w:r w:rsidRPr="00982C2B">
              <w:rPr>
                <w:rFonts w:cs="Times New Roman"/>
                <w:sz w:val="20"/>
                <w:szCs w:val="20"/>
              </w:rPr>
              <w:t>Court of Appeal for Ontario</w:t>
            </w:r>
          </w:p>
          <w:p w:rsidR="007C3743" w:rsidRPr="00982C2B" w:rsidRDefault="007C3743" w:rsidP="00390398">
            <w:pPr>
              <w:jc w:val="both"/>
              <w:rPr>
                <w:rFonts w:cs="Times New Roman"/>
                <w:sz w:val="20"/>
                <w:szCs w:val="20"/>
              </w:rPr>
            </w:pPr>
            <w:r w:rsidRPr="00982C2B">
              <w:rPr>
                <w:rFonts w:cs="Times New Roman"/>
                <w:sz w:val="20"/>
                <w:szCs w:val="20"/>
              </w:rPr>
              <w:t>(Strathy, Gillese and Blair JJ.A.)</w:t>
            </w:r>
          </w:p>
          <w:p w:rsidR="007C3743" w:rsidRPr="00982C2B" w:rsidRDefault="007C3743" w:rsidP="00390398">
            <w:pPr>
              <w:jc w:val="both"/>
              <w:rPr>
                <w:rFonts w:cs="Times New Roman"/>
                <w:sz w:val="20"/>
                <w:szCs w:val="20"/>
              </w:rPr>
            </w:pPr>
            <w:r w:rsidRPr="00982C2B">
              <w:rPr>
                <w:rFonts w:cs="Times New Roman"/>
                <w:sz w:val="20"/>
                <w:szCs w:val="20"/>
              </w:rPr>
              <w:t>Unreported</w:t>
            </w:r>
          </w:p>
          <w:p w:rsidR="000929F8" w:rsidRPr="00982C2B" w:rsidRDefault="000929F8" w:rsidP="00390398">
            <w:pPr>
              <w:jc w:val="both"/>
              <w:rPr>
                <w:rFonts w:cs="Times New Roman"/>
                <w:sz w:val="20"/>
                <w:szCs w:val="20"/>
              </w:rPr>
            </w:pPr>
          </w:p>
        </w:tc>
        <w:tc>
          <w:tcPr>
            <w:tcW w:w="630" w:type="dxa"/>
          </w:tcPr>
          <w:p w:rsidR="000929F8" w:rsidRPr="00982C2B" w:rsidRDefault="000929F8" w:rsidP="00390398">
            <w:pPr>
              <w:pStyle w:val="SCCShortJudgment"/>
              <w:ind w:firstLine="0"/>
              <w:rPr>
                <w:rFonts w:cs="Times New Roman"/>
                <w:szCs w:val="20"/>
              </w:rPr>
            </w:pPr>
          </w:p>
        </w:tc>
        <w:tc>
          <w:tcPr>
            <w:tcW w:w="4536" w:type="dxa"/>
          </w:tcPr>
          <w:p w:rsidR="007C3743" w:rsidRPr="00982C2B" w:rsidRDefault="007C3743" w:rsidP="00390398">
            <w:pPr>
              <w:jc w:val="both"/>
              <w:rPr>
                <w:rFonts w:cs="Times New Roman"/>
                <w:sz w:val="20"/>
                <w:szCs w:val="20"/>
              </w:rPr>
            </w:pPr>
            <w:r w:rsidRPr="00982C2B">
              <w:rPr>
                <w:rFonts w:cs="Times New Roman"/>
                <w:sz w:val="20"/>
                <w:szCs w:val="20"/>
              </w:rPr>
              <w:t>Applicant’s motion for leave to leave to appeal dismissed</w:t>
            </w:r>
          </w:p>
          <w:p w:rsidR="000929F8" w:rsidRPr="00982C2B" w:rsidRDefault="000929F8" w:rsidP="00390398">
            <w:pPr>
              <w:tabs>
                <w:tab w:val="left" w:pos="1102"/>
              </w:tabs>
              <w:jc w:val="both"/>
              <w:rPr>
                <w:rFonts w:cs="Times New Roman"/>
                <w:sz w:val="20"/>
                <w:szCs w:val="20"/>
              </w:rPr>
            </w:pPr>
          </w:p>
        </w:tc>
      </w:tr>
      <w:tr w:rsidR="000929F8" w:rsidRPr="00982C2B" w:rsidTr="007C3743">
        <w:tc>
          <w:tcPr>
            <w:tcW w:w="4410" w:type="dxa"/>
            <w:gridSpan w:val="2"/>
          </w:tcPr>
          <w:p w:rsidR="007C3743" w:rsidRPr="00982C2B" w:rsidRDefault="007C3743" w:rsidP="00390398">
            <w:pPr>
              <w:jc w:val="both"/>
              <w:rPr>
                <w:rFonts w:cs="Times New Roman"/>
                <w:sz w:val="20"/>
                <w:szCs w:val="20"/>
              </w:rPr>
            </w:pPr>
            <w:r w:rsidRPr="00982C2B">
              <w:rPr>
                <w:rFonts w:cs="Times New Roman"/>
                <w:sz w:val="20"/>
                <w:szCs w:val="20"/>
              </w:rPr>
              <w:t>October 26, 2015</w:t>
            </w:r>
          </w:p>
          <w:p w:rsidR="007C3743" w:rsidRPr="00982C2B" w:rsidRDefault="007C3743" w:rsidP="00390398">
            <w:pPr>
              <w:jc w:val="both"/>
              <w:rPr>
                <w:rFonts w:cs="Times New Roman"/>
                <w:sz w:val="20"/>
                <w:szCs w:val="20"/>
              </w:rPr>
            </w:pPr>
            <w:r w:rsidRPr="00982C2B">
              <w:rPr>
                <w:rFonts w:cs="Times New Roman"/>
                <w:sz w:val="20"/>
                <w:szCs w:val="20"/>
              </w:rPr>
              <w:t>Supreme Court of Canada</w:t>
            </w:r>
          </w:p>
          <w:p w:rsidR="000929F8" w:rsidRPr="00982C2B" w:rsidRDefault="000929F8" w:rsidP="00390398">
            <w:pPr>
              <w:tabs>
                <w:tab w:val="left" w:pos="952"/>
              </w:tabs>
              <w:jc w:val="both"/>
              <w:rPr>
                <w:rFonts w:cs="Times New Roman"/>
                <w:sz w:val="20"/>
                <w:szCs w:val="20"/>
              </w:rPr>
            </w:pPr>
          </w:p>
        </w:tc>
        <w:tc>
          <w:tcPr>
            <w:tcW w:w="630" w:type="dxa"/>
          </w:tcPr>
          <w:p w:rsidR="000929F8" w:rsidRPr="00982C2B" w:rsidRDefault="000929F8" w:rsidP="00390398">
            <w:pPr>
              <w:jc w:val="both"/>
              <w:rPr>
                <w:rFonts w:cs="Times New Roman"/>
                <w:sz w:val="20"/>
                <w:szCs w:val="20"/>
              </w:rPr>
            </w:pPr>
          </w:p>
        </w:tc>
        <w:tc>
          <w:tcPr>
            <w:tcW w:w="4536" w:type="dxa"/>
          </w:tcPr>
          <w:p w:rsidR="007C3743" w:rsidRPr="00982C2B" w:rsidRDefault="007C3743" w:rsidP="00390398">
            <w:pPr>
              <w:jc w:val="both"/>
              <w:rPr>
                <w:rFonts w:cs="Times New Roman"/>
                <w:sz w:val="20"/>
                <w:szCs w:val="20"/>
              </w:rPr>
            </w:pPr>
            <w:r w:rsidRPr="00982C2B">
              <w:rPr>
                <w:rFonts w:cs="Times New Roman"/>
                <w:sz w:val="20"/>
                <w:szCs w:val="20"/>
              </w:rPr>
              <w:t>Application for leave to appeal filed</w:t>
            </w:r>
          </w:p>
          <w:p w:rsidR="000929F8" w:rsidRPr="00982C2B" w:rsidRDefault="000929F8" w:rsidP="00390398">
            <w:pPr>
              <w:jc w:val="both"/>
              <w:rPr>
                <w:rFonts w:cs="Times New Roman"/>
                <w:sz w:val="20"/>
                <w:szCs w:val="20"/>
              </w:rPr>
            </w:pPr>
          </w:p>
        </w:tc>
      </w:tr>
      <w:tr w:rsidR="000929F8" w:rsidRPr="00982C2B" w:rsidTr="007C3743">
        <w:tc>
          <w:tcPr>
            <w:tcW w:w="9576" w:type="dxa"/>
            <w:gridSpan w:val="4"/>
          </w:tcPr>
          <w:p w:rsidR="000929F8" w:rsidRPr="00982C2B" w:rsidRDefault="009F3029" w:rsidP="009D18B6">
            <w:pPr>
              <w:pStyle w:val="SCCShortJudgment"/>
              <w:ind w:firstLine="0"/>
              <w:rPr>
                <w:rFonts w:cs="Times New Roman"/>
                <w:szCs w:val="20"/>
                <w:lang w:val="fr-CA"/>
              </w:rPr>
            </w:pPr>
            <w:r>
              <w:rPr>
                <w:rFonts w:cs="Times New Roman"/>
                <w:szCs w:val="20"/>
                <w:lang w:val="fr-CA"/>
              </w:rPr>
              <w:pict>
                <v:rect id="_x0000_i1065" style="width:2in;height:1pt" o:hrpct="0" o:hralign="center" o:hrstd="t" o:hrnoshade="t" o:hr="t" fillcolor="black [3213]" stroked="f"/>
              </w:pict>
            </w:r>
          </w:p>
          <w:p w:rsidR="000929F8" w:rsidRPr="00982C2B" w:rsidRDefault="000929F8" w:rsidP="009D18B6">
            <w:pPr>
              <w:pStyle w:val="SCCShortJudgment"/>
              <w:ind w:firstLine="0"/>
              <w:rPr>
                <w:rFonts w:cs="Times New Roman"/>
                <w:szCs w:val="20"/>
                <w:lang w:val="fr-CA"/>
              </w:rPr>
            </w:pPr>
          </w:p>
        </w:tc>
      </w:tr>
      <w:tr w:rsidR="000929F8" w:rsidRPr="00982C2B" w:rsidTr="007C3743">
        <w:tc>
          <w:tcPr>
            <w:tcW w:w="9576" w:type="dxa"/>
            <w:gridSpan w:val="4"/>
          </w:tcPr>
          <w:p w:rsidR="000929F8" w:rsidRPr="00982C2B" w:rsidRDefault="000929F8"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0929F8" w:rsidRPr="00982C2B" w:rsidRDefault="000929F8" w:rsidP="009D18B6">
            <w:pPr>
              <w:pStyle w:val="SCCShortJudgment"/>
              <w:ind w:firstLine="0"/>
              <w:rPr>
                <w:rFonts w:cs="Times New Roman"/>
                <w:szCs w:val="20"/>
                <w:u w:val="single"/>
                <w:lang w:val="fr-CA"/>
              </w:rPr>
            </w:pPr>
          </w:p>
        </w:tc>
      </w:tr>
      <w:tr w:rsidR="000929F8" w:rsidRPr="009F3029" w:rsidTr="007C3743">
        <w:tc>
          <w:tcPr>
            <w:tcW w:w="9576" w:type="dxa"/>
            <w:gridSpan w:val="4"/>
          </w:tcPr>
          <w:p w:rsidR="000929F8" w:rsidRPr="00982C2B" w:rsidRDefault="007C3743" w:rsidP="009D18B6">
            <w:pPr>
              <w:pStyle w:val="SCCShortJudgment"/>
              <w:ind w:firstLine="0"/>
              <w:rPr>
                <w:rFonts w:cs="Times New Roman"/>
                <w:szCs w:val="20"/>
                <w:lang w:val="fr-CA"/>
              </w:rPr>
            </w:pPr>
            <w:r w:rsidRPr="00982C2B">
              <w:rPr>
                <w:rFonts w:cs="Times New Roman"/>
                <w:szCs w:val="20"/>
                <w:lang w:val="fr-CA"/>
              </w:rPr>
              <w:t>Jugements et ordonnances — Jugements sommaires — Le juge de première instance a radié la déclaration de la demanderesse — La demanderesse a-t-elle été l’objet de harcèlement et la cour y a-t-elle pris part? — Les propos et les documents juridiques des intimées font-ils preuve de leur culpabilité? — Y a-t-il corruption?</w:t>
            </w:r>
          </w:p>
          <w:p w:rsidR="007C3743" w:rsidRPr="00982C2B" w:rsidRDefault="007C3743" w:rsidP="009D18B6">
            <w:pPr>
              <w:pStyle w:val="SCCShortJudgment"/>
              <w:ind w:firstLine="0"/>
              <w:rPr>
                <w:rFonts w:cs="Times New Roman"/>
                <w:szCs w:val="20"/>
                <w:u w:val="single"/>
                <w:lang w:val="fr-CA"/>
              </w:rPr>
            </w:pPr>
          </w:p>
        </w:tc>
      </w:tr>
      <w:tr w:rsidR="000929F8" w:rsidRPr="009F3029" w:rsidTr="007C3743">
        <w:tc>
          <w:tcPr>
            <w:tcW w:w="9576" w:type="dxa"/>
            <w:gridSpan w:val="4"/>
          </w:tcPr>
          <w:p w:rsidR="007C3743" w:rsidRPr="00527434" w:rsidRDefault="007C3743" w:rsidP="009D18B6">
            <w:pPr>
              <w:jc w:val="both"/>
              <w:rPr>
                <w:rFonts w:cs="Times New Roman"/>
                <w:sz w:val="20"/>
                <w:szCs w:val="20"/>
                <w:lang w:val="fr-CA"/>
              </w:rPr>
            </w:pPr>
            <w:r w:rsidRPr="00982C2B">
              <w:rPr>
                <w:rFonts w:cs="Times New Roman"/>
                <w:sz w:val="20"/>
                <w:szCs w:val="20"/>
                <w:lang w:val="fr-CA"/>
              </w:rPr>
              <w:t xml:space="preserve">En janvier 2015, la demanderesse a intenté une action en Ontario, sollicitant des dommages-intérêts d’environ 104 millions de dollars au total et alléguant le congédiement injustifié, l’arrestation illégale et le harcèlement en lien avec des événements qui se seraient produits en Colombie-Britannique en 2009 ou avant. Elle a également allégué que, plus récemment, elle avait été harcelée par ses anciens employeurs en Ontario. De plus, elle a poursuivi la Commission des services policiers de Toronto pour avoir omis de réprimer le crime. Les avocats de la Commission ont demandé le rejet de l’action en application de la Règle 2.1 des </w:t>
            </w:r>
            <w:r w:rsidRPr="00982C2B">
              <w:rPr>
                <w:rFonts w:cs="Times New Roman"/>
                <w:i/>
                <w:sz w:val="20"/>
                <w:szCs w:val="20"/>
                <w:lang w:val="fr-CA"/>
              </w:rPr>
              <w:t>Règles de procédure civile</w:t>
            </w:r>
            <w:r w:rsidRPr="00982C2B">
              <w:rPr>
                <w:rFonts w:cs="Times New Roman"/>
                <w:sz w:val="20"/>
                <w:szCs w:val="20"/>
                <w:lang w:val="fr-CA"/>
              </w:rPr>
              <w:t xml:space="preserve"> de l’Ontario, R.R.O. 1990 Règl. 194.</w:t>
            </w:r>
          </w:p>
        </w:tc>
      </w:tr>
      <w:tr w:rsidR="000929F8" w:rsidRPr="009F3029" w:rsidTr="007C3743">
        <w:tc>
          <w:tcPr>
            <w:tcW w:w="9576" w:type="dxa"/>
            <w:gridSpan w:val="4"/>
          </w:tcPr>
          <w:p w:rsidR="007C3743" w:rsidRPr="00982C2B" w:rsidRDefault="007C3743" w:rsidP="009D18B6">
            <w:pPr>
              <w:pStyle w:val="SCCShortJudgment"/>
              <w:ind w:firstLine="0"/>
              <w:rPr>
                <w:rFonts w:cs="Times New Roman"/>
                <w:szCs w:val="20"/>
                <w:u w:val="single"/>
                <w:lang w:val="fr-CA"/>
              </w:rPr>
            </w:pPr>
          </w:p>
        </w:tc>
      </w:tr>
      <w:tr w:rsidR="000929F8" w:rsidRPr="009F3029" w:rsidTr="007C3743">
        <w:tc>
          <w:tcPr>
            <w:tcW w:w="4410" w:type="dxa"/>
            <w:gridSpan w:val="2"/>
          </w:tcPr>
          <w:p w:rsidR="007C3743" w:rsidRPr="00982C2B" w:rsidRDefault="007C3743" w:rsidP="00390398">
            <w:pPr>
              <w:jc w:val="both"/>
              <w:rPr>
                <w:rFonts w:cs="Times New Roman"/>
                <w:sz w:val="20"/>
                <w:szCs w:val="20"/>
                <w:lang w:val="fr-CA"/>
              </w:rPr>
            </w:pPr>
            <w:r w:rsidRPr="00982C2B">
              <w:rPr>
                <w:rFonts w:cs="Times New Roman"/>
                <w:sz w:val="20"/>
                <w:szCs w:val="20"/>
                <w:lang w:val="fr-CA"/>
              </w:rPr>
              <w:t>14 avril 2015</w:t>
            </w:r>
          </w:p>
          <w:p w:rsidR="007C3743" w:rsidRPr="00982C2B" w:rsidRDefault="007C3743" w:rsidP="00390398">
            <w:pPr>
              <w:jc w:val="both"/>
              <w:rPr>
                <w:rFonts w:cs="Times New Roman"/>
                <w:sz w:val="20"/>
                <w:szCs w:val="20"/>
                <w:lang w:val="fr-CA"/>
              </w:rPr>
            </w:pPr>
            <w:r w:rsidRPr="00982C2B">
              <w:rPr>
                <w:rFonts w:cs="Times New Roman"/>
                <w:sz w:val="20"/>
                <w:szCs w:val="20"/>
                <w:lang w:val="fr-CA"/>
              </w:rPr>
              <w:t xml:space="preserve">Cour supérieure de justice de l’Ontario </w:t>
            </w:r>
          </w:p>
          <w:p w:rsidR="007C3743" w:rsidRPr="00982C2B" w:rsidRDefault="007C3743" w:rsidP="00390398">
            <w:pPr>
              <w:jc w:val="both"/>
              <w:rPr>
                <w:rFonts w:cs="Times New Roman"/>
                <w:sz w:val="20"/>
                <w:szCs w:val="20"/>
                <w:lang w:val="fr-CA"/>
              </w:rPr>
            </w:pPr>
            <w:r w:rsidRPr="00982C2B">
              <w:rPr>
                <w:rFonts w:cs="Times New Roman"/>
                <w:sz w:val="20"/>
                <w:szCs w:val="20"/>
                <w:lang w:val="fr-CA"/>
              </w:rPr>
              <w:t>(Juge Myers)</w:t>
            </w:r>
          </w:p>
          <w:p w:rsidR="007C3743" w:rsidRPr="00982C2B" w:rsidRDefault="009F3029" w:rsidP="00390398">
            <w:pPr>
              <w:jc w:val="both"/>
              <w:rPr>
                <w:rStyle w:val="Hyperlink"/>
                <w:rFonts w:cs="Times New Roman"/>
                <w:sz w:val="20"/>
                <w:szCs w:val="20"/>
              </w:rPr>
            </w:pPr>
            <w:hyperlink r:id="rId65" w:history="1">
              <w:r w:rsidR="007C3743" w:rsidRPr="00982C2B">
                <w:rPr>
                  <w:rStyle w:val="Hyperlink"/>
                  <w:rFonts w:cs="Times New Roman"/>
                  <w:sz w:val="20"/>
                  <w:szCs w:val="20"/>
                  <w:lang w:val="fr-CA"/>
                </w:rPr>
                <w:t>2015 ONSC 2421</w:t>
              </w:r>
            </w:hyperlink>
          </w:p>
          <w:p w:rsidR="000929F8" w:rsidRPr="00982C2B" w:rsidRDefault="000929F8" w:rsidP="00390398">
            <w:pPr>
              <w:pStyle w:val="SCCShortJudgment"/>
              <w:ind w:firstLine="0"/>
              <w:rPr>
                <w:rFonts w:cs="Times New Roman"/>
                <w:szCs w:val="20"/>
                <w:u w:val="single"/>
                <w:lang w:val="fr-CA"/>
              </w:rPr>
            </w:pPr>
          </w:p>
        </w:tc>
        <w:tc>
          <w:tcPr>
            <w:tcW w:w="630" w:type="dxa"/>
          </w:tcPr>
          <w:p w:rsidR="000929F8" w:rsidRPr="00982C2B" w:rsidRDefault="000929F8" w:rsidP="00390398">
            <w:pPr>
              <w:pStyle w:val="SCCShortJudgment"/>
              <w:ind w:firstLine="0"/>
              <w:rPr>
                <w:rFonts w:cs="Times New Roman"/>
                <w:szCs w:val="20"/>
                <w:u w:val="single"/>
                <w:lang w:val="fr-CA"/>
              </w:rPr>
            </w:pPr>
          </w:p>
        </w:tc>
        <w:tc>
          <w:tcPr>
            <w:tcW w:w="4536" w:type="dxa"/>
          </w:tcPr>
          <w:p w:rsidR="000929F8" w:rsidRPr="00982C2B" w:rsidRDefault="007C3743" w:rsidP="00390398">
            <w:pPr>
              <w:pStyle w:val="SCCShortJudgment"/>
              <w:ind w:firstLine="0"/>
              <w:rPr>
                <w:rFonts w:cs="Times New Roman"/>
                <w:szCs w:val="20"/>
                <w:u w:val="single"/>
                <w:lang w:val="fr-CA"/>
              </w:rPr>
            </w:pPr>
            <w:r w:rsidRPr="00982C2B">
              <w:rPr>
                <w:rFonts w:cs="Times New Roman"/>
                <w:szCs w:val="20"/>
                <w:lang w:val="fr-CA"/>
              </w:rPr>
              <w:t>Rejet de l’action de la demanderesse</w:t>
            </w:r>
          </w:p>
        </w:tc>
      </w:tr>
      <w:tr w:rsidR="000929F8" w:rsidRPr="009F3029" w:rsidTr="007C3743">
        <w:tc>
          <w:tcPr>
            <w:tcW w:w="4410" w:type="dxa"/>
            <w:gridSpan w:val="2"/>
          </w:tcPr>
          <w:p w:rsidR="007C3743" w:rsidRPr="00982C2B" w:rsidRDefault="007C3743" w:rsidP="00390398">
            <w:pPr>
              <w:jc w:val="both"/>
              <w:rPr>
                <w:rFonts w:cs="Times New Roman"/>
                <w:sz w:val="20"/>
                <w:szCs w:val="20"/>
                <w:lang w:val="fr-CA"/>
              </w:rPr>
            </w:pPr>
            <w:r w:rsidRPr="00982C2B">
              <w:rPr>
                <w:rFonts w:cs="Times New Roman"/>
                <w:sz w:val="20"/>
                <w:szCs w:val="20"/>
                <w:lang w:val="fr-CA"/>
              </w:rPr>
              <w:t>30 juillet 2015</w:t>
            </w:r>
          </w:p>
          <w:p w:rsidR="007C3743" w:rsidRPr="00982C2B" w:rsidRDefault="007C3743" w:rsidP="00390398">
            <w:pPr>
              <w:jc w:val="both"/>
              <w:rPr>
                <w:rFonts w:cs="Times New Roman"/>
                <w:sz w:val="20"/>
                <w:szCs w:val="20"/>
                <w:lang w:val="fr-CA"/>
              </w:rPr>
            </w:pPr>
            <w:r w:rsidRPr="00982C2B">
              <w:rPr>
                <w:rFonts w:cs="Times New Roman"/>
                <w:sz w:val="20"/>
                <w:szCs w:val="20"/>
                <w:lang w:val="fr-CA"/>
              </w:rPr>
              <w:t xml:space="preserve">Cour supérieure de justice de l’Ontario </w:t>
            </w:r>
          </w:p>
          <w:p w:rsidR="007C3743" w:rsidRPr="00982C2B" w:rsidRDefault="007C3743" w:rsidP="00390398">
            <w:pPr>
              <w:jc w:val="both"/>
              <w:rPr>
                <w:rFonts w:cs="Times New Roman"/>
                <w:sz w:val="20"/>
                <w:szCs w:val="20"/>
                <w:lang w:val="fr-CA"/>
              </w:rPr>
            </w:pPr>
            <w:r w:rsidRPr="00982C2B">
              <w:rPr>
                <w:rFonts w:cs="Times New Roman"/>
                <w:sz w:val="20"/>
                <w:szCs w:val="20"/>
                <w:lang w:val="fr-CA"/>
              </w:rPr>
              <w:t>(Cour divisionnaire)</w:t>
            </w:r>
          </w:p>
          <w:p w:rsidR="007C3743" w:rsidRPr="00982C2B" w:rsidRDefault="007C3743" w:rsidP="00390398">
            <w:pPr>
              <w:jc w:val="both"/>
              <w:rPr>
                <w:rFonts w:cs="Times New Roman"/>
                <w:sz w:val="20"/>
                <w:szCs w:val="20"/>
                <w:lang w:val="fr-CA"/>
              </w:rPr>
            </w:pPr>
            <w:r w:rsidRPr="00982C2B">
              <w:rPr>
                <w:rFonts w:cs="Times New Roman"/>
                <w:sz w:val="20"/>
                <w:szCs w:val="20"/>
                <w:lang w:val="fr-CA"/>
              </w:rPr>
              <w:t xml:space="preserve">(Juge Corbett) </w:t>
            </w:r>
          </w:p>
          <w:p w:rsidR="007C3743" w:rsidRPr="00982C2B" w:rsidRDefault="007C3743" w:rsidP="00390398">
            <w:pPr>
              <w:jc w:val="both"/>
              <w:rPr>
                <w:rFonts w:cs="Times New Roman"/>
                <w:sz w:val="20"/>
                <w:szCs w:val="20"/>
                <w:lang w:val="fr-CA"/>
              </w:rPr>
            </w:pPr>
            <w:r w:rsidRPr="00982C2B">
              <w:rPr>
                <w:rFonts w:cs="Times New Roman"/>
                <w:sz w:val="20"/>
                <w:szCs w:val="20"/>
                <w:lang w:val="fr-CA"/>
              </w:rPr>
              <w:t>Non publié</w:t>
            </w:r>
          </w:p>
          <w:p w:rsidR="000929F8" w:rsidRPr="00982C2B" w:rsidRDefault="000929F8" w:rsidP="00390398">
            <w:pPr>
              <w:pStyle w:val="SCCShortJudgment"/>
              <w:ind w:firstLine="0"/>
              <w:rPr>
                <w:rFonts w:cs="Times New Roman"/>
                <w:szCs w:val="20"/>
                <w:u w:val="single"/>
                <w:lang w:val="fr-CA"/>
              </w:rPr>
            </w:pPr>
          </w:p>
        </w:tc>
        <w:tc>
          <w:tcPr>
            <w:tcW w:w="630" w:type="dxa"/>
          </w:tcPr>
          <w:p w:rsidR="000929F8" w:rsidRPr="00982C2B" w:rsidRDefault="000929F8" w:rsidP="00390398">
            <w:pPr>
              <w:pStyle w:val="SCCShortJudgment"/>
              <w:ind w:firstLine="0"/>
              <w:rPr>
                <w:rFonts w:cs="Times New Roman"/>
                <w:szCs w:val="20"/>
                <w:u w:val="single"/>
                <w:lang w:val="fr-CA"/>
              </w:rPr>
            </w:pPr>
          </w:p>
        </w:tc>
        <w:tc>
          <w:tcPr>
            <w:tcW w:w="4536" w:type="dxa"/>
          </w:tcPr>
          <w:p w:rsidR="000929F8" w:rsidRPr="00982C2B" w:rsidRDefault="007C3743" w:rsidP="00390398">
            <w:pPr>
              <w:pStyle w:val="SCCShortJudgment"/>
              <w:ind w:firstLine="0"/>
              <w:rPr>
                <w:rFonts w:cs="Times New Roman"/>
                <w:szCs w:val="20"/>
                <w:u w:val="single"/>
                <w:lang w:val="fr-CA"/>
              </w:rPr>
            </w:pPr>
            <w:r w:rsidRPr="00982C2B">
              <w:rPr>
                <w:rFonts w:cs="Times New Roman"/>
                <w:szCs w:val="20"/>
                <w:lang w:val="fr-CA"/>
              </w:rPr>
              <w:t>Rejet de l’appel de la demanderesse</w:t>
            </w:r>
          </w:p>
        </w:tc>
      </w:tr>
    </w:tbl>
    <w:p w:rsidR="00527434" w:rsidRPr="00165F6D" w:rsidRDefault="00527434">
      <w:pPr>
        <w:rPr>
          <w:lang w:val="fr-CA"/>
        </w:rPr>
      </w:pPr>
      <w:r w:rsidRPr="00165F6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0929F8" w:rsidRPr="009F3029" w:rsidTr="007C3743">
        <w:tc>
          <w:tcPr>
            <w:tcW w:w="4410" w:type="dxa"/>
          </w:tcPr>
          <w:p w:rsidR="007C3743" w:rsidRPr="00982C2B" w:rsidRDefault="007C3743" w:rsidP="00390398">
            <w:pPr>
              <w:jc w:val="both"/>
              <w:rPr>
                <w:rFonts w:cs="Times New Roman"/>
                <w:sz w:val="20"/>
                <w:szCs w:val="20"/>
                <w:lang w:val="fr-CA"/>
              </w:rPr>
            </w:pPr>
            <w:r w:rsidRPr="00982C2B">
              <w:rPr>
                <w:rFonts w:cs="Times New Roman"/>
                <w:sz w:val="20"/>
                <w:szCs w:val="20"/>
                <w:lang w:val="fr-CA"/>
              </w:rPr>
              <w:t>21 octobre 2015</w:t>
            </w:r>
          </w:p>
          <w:p w:rsidR="007C3743" w:rsidRPr="00982C2B" w:rsidRDefault="007C3743" w:rsidP="00390398">
            <w:pPr>
              <w:jc w:val="both"/>
              <w:rPr>
                <w:rFonts w:cs="Times New Roman"/>
                <w:sz w:val="20"/>
                <w:szCs w:val="20"/>
                <w:lang w:val="fr-CA"/>
              </w:rPr>
            </w:pPr>
            <w:r w:rsidRPr="00982C2B">
              <w:rPr>
                <w:rFonts w:cs="Times New Roman"/>
                <w:sz w:val="20"/>
                <w:szCs w:val="20"/>
                <w:lang w:val="fr-CA"/>
              </w:rPr>
              <w:t xml:space="preserve">Cour d’appel de l’Ontario </w:t>
            </w:r>
          </w:p>
          <w:p w:rsidR="007C3743" w:rsidRPr="00982C2B" w:rsidRDefault="007C3743" w:rsidP="00390398">
            <w:pPr>
              <w:jc w:val="both"/>
              <w:rPr>
                <w:rFonts w:cs="Times New Roman"/>
                <w:sz w:val="20"/>
                <w:szCs w:val="20"/>
                <w:lang w:val="fr-CA"/>
              </w:rPr>
            </w:pPr>
            <w:r w:rsidRPr="00982C2B">
              <w:rPr>
                <w:rFonts w:cs="Times New Roman"/>
                <w:sz w:val="20"/>
                <w:szCs w:val="20"/>
                <w:lang w:val="fr-CA"/>
              </w:rPr>
              <w:t>(Juges Strathy, Gillese et Blair)</w:t>
            </w:r>
          </w:p>
          <w:p w:rsidR="007C3743" w:rsidRPr="00982C2B" w:rsidRDefault="007C3743" w:rsidP="00390398">
            <w:pPr>
              <w:jc w:val="both"/>
              <w:rPr>
                <w:rFonts w:cs="Times New Roman"/>
                <w:sz w:val="20"/>
                <w:szCs w:val="20"/>
                <w:lang w:val="fr-CA"/>
              </w:rPr>
            </w:pPr>
            <w:r w:rsidRPr="00982C2B">
              <w:rPr>
                <w:rFonts w:cs="Times New Roman"/>
                <w:sz w:val="20"/>
                <w:szCs w:val="20"/>
                <w:lang w:val="fr-CA"/>
              </w:rPr>
              <w:t>Non publié</w:t>
            </w:r>
          </w:p>
          <w:p w:rsidR="000929F8" w:rsidRPr="00982C2B" w:rsidRDefault="000929F8" w:rsidP="00390398">
            <w:pPr>
              <w:pStyle w:val="SCCShortJudgment"/>
              <w:ind w:firstLine="0"/>
              <w:rPr>
                <w:rFonts w:cs="Times New Roman"/>
                <w:szCs w:val="20"/>
                <w:u w:val="single"/>
                <w:lang w:val="fr-CA"/>
              </w:rPr>
            </w:pPr>
          </w:p>
        </w:tc>
        <w:tc>
          <w:tcPr>
            <w:tcW w:w="630" w:type="dxa"/>
          </w:tcPr>
          <w:p w:rsidR="000929F8" w:rsidRPr="00982C2B" w:rsidRDefault="000929F8" w:rsidP="00390398">
            <w:pPr>
              <w:pStyle w:val="SCCShortJudgment"/>
              <w:ind w:firstLine="0"/>
              <w:rPr>
                <w:rFonts w:cs="Times New Roman"/>
                <w:szCs w:val="20"/>
                <w:u w:val="single"/>
                <w:lang w:val="fr-CA"/>
              </w:rPr>
            </w:pPr>
          </w:p>
        </w:tc>
        <w:tc>
          <w:tcPr>
            <w:tcW w:w="4536" w:type="dxa"/>
          </w:tcPr>
          <w:p w:rsidR="000929F8" w:rsidRPr="00982C2B" w:rsidRDefault="007C3743" w:rsidP="00390398">
            <w:pPr>
              <w:pStyle w:val="SCCShortJudgment"/>
              <w:ind w:firstLine="0"/>
              <w:rPr>
                <w:rFonts w:cs="Times New Roman"/>
                <w:szCs w:val="20"/>
                <w:u w:val="single"/>
                <w:lang w:val="fr-CA"/>
              </w:rPr>
            </w:pPr>
            <w:r w:rsidRPr="00982C2B">
              <w:rPr>
                <w:rFonts w:cs="Times New Roman"/>
                <w:szCs w:val="20"/>
                <w:lang w:val="fr-CA"/>
              </w:rPr>
              <w:t>Rejet de la motion en autorisation d’appel de la demanderesse</w:t>
            </w:r>
          </w:p>
        </w:tc>
      </w:tr>
      <w:tr w:rsidR="007C3743" w:rsidRPr="009F3029" w:rsidTr="007C3743">
        <w:tc>
          <w:tcPr>
            <w:tcW w:w="4410" w:type="dxa"/>
          </w:tcPr>
          <w:p w:rsidR="007C3743" w:rsidRPr="00982C2B" w:rsidRDefault="007C3743" w:rsidP="00390398">
            <w:pPr>
              <w:jc w:val="both"/>
              <w:rPr>
                <w:rFonts w:cs="Times New Roman"/>
                <w:sz w:val="20"/>
                <w:szCs w:val="20"/>
                <w:lang w:val="fr-CA"/>
              </w:rPr>
            </w:pPr>
            <w:r w:rsidRPr="00982C2B">
              <w:rPr>
                <w:rFonts w:cs="Times New Roman"/>
                <w:sz w:val="20"/>
                <w:szCs w:val="20"/>
                <w:lang w:val="fr-CA"/>
              </w:rPr>
              <w:t>26 octobre 2015</w:t>
            </w:r>
          </w:p>
          <w:p w:rsidR="007C3743" w:rsidRPr="00982C2B" w:rsidRDefault="007C3743" w:rsidP="00390398">
            <w:pPr>
              <w:jc w:val="both"/>
              <w:rPr>
                <w:rFonts w:cs="Times New Roman"/>
                <w:sz w:val="20"/>
                <w:szCs w:val="20"/>
                <w:lang w:val="fr-CA"/>
              </w:rPr>
            </w:pPr>
            <w:r w:rsidRPr="00982C2B">
              <w:rPr>
                <w:rFonts w:cs="Times New Roman"/>
                <w:sz w:val="20"/>
                <w:szCs w:val="20"/>
                <w:lang w:val="fr-CA"/>
              </w:rPr>
              <w:t>Cour suprême du Canada</w:t>
            </w:r>
          </w:p>
          <w:p w:rsidR="007C3743" w:rsidRPr="00982C2B" w:rsidRDefault="007C3743" w:rsidP="00390398">
            <w:pPr>
              <w:pStyle w:val="SCCShortJudgment"/>
              <w:ind w:firstLine="0"/>
              <w:rPr>
                <w:rFonts w:cs="Times New Roman"/>
                <w:szCs w:val="20"/>
                <w:u w:val="single"/>
                <w:lang w:val="fr-CA"/>
              </w:rPr>
            </w:pPr>
          </w:p>
        </w:tc>
        <w:tc>
          <w:tcPr>
            <w:tcW w:w="630" w:type="dxa"/>
          </w:tcPr>
          <w:p w:rsidR="007C3743" w:rsidRPr="00982C2B" w:rsidRDefault="007C3743" w:rsidP="00390398">
            <w:pPr>
              <w:pStyle w:val="SCCShortJudgment"/>
              <w:ind w:firstLine="0"/>
              <w:rPr>
                <w:rFonts w:cs="Times New Roman"/>
                <w:szCs w:val="20"/>
                <w:u w:val="single"/>
                <w:lang w:val="fr-CA"/>
              </w:rPr>
            </w:pPr>
          </w:p>
        </w:tc>
        <w:tc>
          <w:tcPr>
            <w:tcW w:w="4536" w:type="dxa"/>
          </w:tcPr>
          <w:p w:rsidR="007C3743" w:rsidRPr="00982C2B" w:rsidRDefault="007C3743" w:rsidP="00390398">
            <w:pPr>
              <w:pStyle w:val="SCCShortJudgment"/>
              <w:ind w:firstLine="0"/>
              <w:rPr>
                <w:rFonts w:cs="Times New Roman"/>
                <w:szCs w:val="20"/>
                <w:u w:val="single"/>
                <w:lang w:val="fr-CA"/>
              </w:rPr>
            </w:pPr>
            <w:r w:rsidRPr="00982C2B">
              <w:rPr>
                <w:rFonts w:cs="Times New Roman"/>
                <w:szCs w:val="20"/>
                <w:lang w:val="fr-CA"/>
              </w:rPr>
              <w:t>Dépôt de la demande d’autorisation d’appel</w:t>
            </w:r>
          </w:p>
        </w:tc>
      </w:tr>
    </w:tbl>
    <w:p w:rsidR="000929F8" w:rsidRPr="00982C2B" w:rsidRDefault="009F3029" w:rsidP="000929F8">
      <w:pPr>
        <w:rPr>
          <w:rFonts w:cs="Times New Roman"/>
          <w:sz w:val="20"/>
          <w:szCs w:val="20"/>
          <w:lang w:val="fr-CA"/>
        </w:rPr>
      </w:pPr>
      <w:r>
        <w:rPr>
          <w:rFonts w:cs="Times New Roman"/>
          <w:sz w:val="20"/>
          <w:szCs w:val="20"/>
          <w:lang w:val="fr-CA"/>
        </w:rPr>
        <w:pict>
          <v:rect id="_x0000_i1066" style="width:2in;height:1pt" o:hrpct="0" o:hralign="center" o:hrstd="t" o:hrnoshade="t" o:hr="t" fillcolor="black [3213]" stroked="f"/>
        </w:pict>
      </w:r>
    </w:p>
    <w:p w:rsidR="000929F8" w:rsidRPr="00982C2B" w:rsidRDefault="000929F8" w:rsidP="000929F8">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D18B6" w:rsidRPr="00982C2B" w:rsidTr="009D18B6">
        <w:tc>
          <w:tcPr>
            <w:tcW w:w="1458" w:type="dxa"/>
          </w:tcPr>
          <w:p w:rsidR="009D18B6" w:rsidRPr="00982C2B" w:rsidRDefault="009D18B6" w:rsidP="00390398">
            <w:pPr>
              <w:jc w:val="both"/>
              <w:rPr>
                <w:rFonts w:cs="Times New Roman"/>
                <w:sz w:val="20"/>
                <w:szCs w:val="20"/>
              </w:rPr>
            </w:pPr>
            <w:r w:rsidRPr="00982C2B">
              <w:rPr>
                <w:rStyle w:val="SCCFileNumberChar"/>
                <w:sz w:val="20"/>
                <w:szCs w:val="20"/>
              </w:rPr>
              <w:t>36745</w:t>
            </w:r>
          </w:p>
          <w:p w:rsidR="009D18B6" w:rsidRPr="00982C2B" w:rsidRDefault="009D18B6" w:rsidP="00390398">
            <w:pPr>
              <w:jc w:val="both"/>
              <w:rPr>
                <w:rFonts w:cs="Times New Roman"/>
                <w:b/>
                <w:sz w:val="20"/>
                <w:szCs w:val="20"/>
              </w:rPr>
            </w:pPr>
          </w:p>
        </w:tc>
        <w:tc>
          <w:tcPr>
            <w:tcW w:w="8118" w:type="dxa"/>
            <w:gridSpan w:val="3"/>
          </w:tcPr>
          <w:p w:rsidR="009D18B6" w:rsidRPr="00982C2B" w:rsidRDefault="009D18B6" w:rsidP="00390398">
            <w:pPr>
              <w:jc w:val="both"/>
              <w:rPr>
                <w:rFonts w:cs="Times New Roman"/>
                <w:sz w:val="20"/>
                <w:szCs w:val="20"/>
              </w:rPr>
            </w:pPr>
            <w:r w:rsidRPr="00982C2B">
              <w:rPr>
                <w:rStyle w:val="SCCLsocChar"/>
                <w:rFonts w:cs="Times New Roman"/>
                <w:sz w:val="20"/>
                <w:szCs w:val="20"/>
                <w:lang w:val="en-CA"/>
              </w:rPr>
              <w:t>Rienzi Changoor v. International Brotherhood of Electrical Workers, Local 353</w:t>
            </w:r>
            <w:r w:rsidRPr="00982C2B">
              <w:rPr>
                <w:rStyle w:val="SCCLsocChar"/>
                <w:rFonts w:cs="Times New Roman"/>
                <w:sz w:val="20"/>
                <w:szCs w:val="20"/>
                <w:u w:val="none"/>
                <w:lang w:val="en-CA"/>
              </w:rPr>
              <w:t xml:space="preserve"> </w:t>
            </w:r>
            <w:r w:rsidRPr="00982C2B">
              <w:rPr>
                <w:rFonts w:cs="Times New Roman"/>
                <w:sz w:val="20"/>
                <w:szCs w:val="20"/>
              </w:rPr>
              <w:t>(Ont.) (Civil) (By Leave)</w:t>
            </w:r>
          </w:p>
          <w:p w:rsidR="009D18B6" w:rsidRPr="00982C2B" w:rsidRDefault="009D18B6" w:rsidP="00390398">
            <w:pPr>
              <w:jc w:val="both"/>
              <w:rPr>
                <w:rFonts w:cs="Times New Roman"/>
                <w:sz w:val="20"/>
                <w:szCs w:val="20"/>
              </w:rPr>
            </w:pPr>
          </w:p>
        </w:tc>
      </w:tr>
      <w:tr w:rsidR="009D18B6" w:rsidRPr="00982C2B" w:rsidTr="009D18B6">
        <w:tc>
          <w:tcPr>
            <w:tcW w:w="1458" w:type="dxa"/>
          </w:tcPr>
          <w:p w:rsidR="009D18B6" w:rsidRPr="00982C2B" w:rsidRDefault="009D18B6" w:rsidP="00390398">
            <w:pPr>
              <w:jc w:val="both"/>
              <w:rPr>
                <w:rFonts w:cs="Times New Roman"/>
                <w:sz w:val="20"/>
                <w:szCs w:val="20"/>
              </w:rPr>
            </w:pPr>
            <w:r w:rsidRPr="00982C2B">
              <w:rPr>
                <w:rFonts w:cs="Times New Roman"/>
                <w:sz w:val="20"/>
                <w:szCs w:val="20"/>
              </w:rPr>
              <w:t>Coram :</w:t>
            </w:r>
          </w:p>
        </w:tc>
        <w:tc>
          <w:tcPr>
            <w:tcW w:w="8118" w:type="dxa"/>
            <w:gridSpan w:val="3"/>
          </w:tcPr>
          <w:p w:rsidR="009D18B6" w:rsidRPr="00982C2B" w:rsidRDefault="009D18B6" w:rsidP="00390398">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9D18B6" w:rsidRPr="00982C2B" w:rsidRDefault="009D18B6" w:rsidP="00390398">
            <w:pPr>
              <w:jc w:val="both"/>
              <w:rPr>
                <w:rFonts w:cs="Times New Roman"/>
                <w:sz w:val="20"/>
                <w:szCs w:val="20"/>
                <w:u w:val="single"/>
              </w:rPr>
            </w:pPr>
          </w:p>
        </w:tc>
      </w:tr>
      <w:tr w:rsidR="009D18B6" w:rsidRPr="009F3029" w:rsidTr="009D18B6">
        <w:tc>
          <w:tcPr>
            <w:tcW w:w="9576" w:type="dxa"/>
            <w:gridSpan w:val="4"/>
          </w:tcPr>
          <w:p w:rsidR="009D18B6" w:rsidRPr="00982C2B" w:rsidRDefault="009D18B6" w:rsidP="00390398">
            <w:pPr>
              <w:pStyle w:val="SCCShortJudgment"/>
              <w:ind w:firstLine="0"/>
              <w:rPr>
                <w:rFonts w:cs="Times New Roman"/>
                <w:szCs w:val="20"/>
              </w:rPr>
            </w:pPr>
            <w:r w:rsidRPr="00982C2B">
              <w:rPr>
                <w:rFonts w:cs="Times New Roman"/>
                <w:szCs w:val="20"/>
              </w:rPr>
              <w:tab/>
              <w:t>The motion for an extension of time to serve and file the application for leave to appeal is granted.  The application for leave to appeal from the judgment of the Court of Appeal for Ontario, Number M45048, dated September 25, 2015, is dismissed with costs.</w:t>
            </w:r>
          </w:p>
          <w:p w:rsidR="009D18B6" w:rsidRPr="00982C2B" w:rsidRDefault="009D18B6" w:rsidP="00390398">
            <w:pPr>
              <w:pStyle w:val="SCCShortJudgment"/>
              <w:ind w:firstLine="0"/>
              <w:rPr>
                <w:rFonts w:cs="Times New Roman"/>
                <w:szCs w:val="20"/>
              </w:rPr>
            </w:pPr>
          </w:p>
          <w:p w:rsidR="009D18B6" w:rsidRPr="00982C2B" w:rsidRDefault="009D18B6" w:rsidP="00390398">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requête en prorogation du délai de signification et de dépôt de la demande d’autorisation d’appel est accueillie. La demande d’autorisation d’appel de l’arrêt de la </w:t>
            </w:r>
            <w:r w:rsidRPr="00982C2B">
              <w:rPr>
                <w:rFonts w:cs="Times New Roman"/>
                <w:szCs w:val="20"/>
                <w:lang w:val="fr-FR"/>
              </w:rPr>
              <w:t>Cour d’appel de l’Ontario</w:t>
            </w:r>
            <w:r w:rsidRPr="00982C2B">
              <w:rPr>
                <w:rFonts w:cs="Times New Roman"/>
                <w:szCs w:val="20"/>
                <w:lang w:val="fr-CA"/>
              </w:rPr>
              <w:t xml:space="preserve">, numéro </w:t>
            </w:r>
            <w:r w:rsidRPr="00982C2B">
              <w:rPr>
                <w:rFonts w:cs="Times New Roman"/>
                <w:szCs w:val="20"/>
                <w:lang w:val="fr-FR"/>
              </w:rPr>
              <w:t>M45048</w:t>
            </w:r>
            <w:r w:rsidRPr="00982C2B">
              <w:rPr>
                <w:rFonts w:cs="Times New Roman"/>
                <w:szCs w:val="20"/>
                <w:lang w:val="fr-CA"/>
              </w:rPr>
              <w:t xml:space="preserve">, daté du </w:t>
            </w:r>
            <w:r w:rsidRPr="00982C2B">
              <w:rPr>
                <w:rFonts w:cs="Times New Roman"/>
                <w:szCs w:val="20"/>
                <w:lang w:val="fr-FR"/>
              </w:rPr>
              <w:t>25 septembre 2015</w:t>
            </w:r>
            <w:r w:rsidRPr="00982C2B">
              <w:rPr>
                <w:rFonts w:cs="Times New Roman"/>
                <w:szCs w:val="20"/>
                <w:lang w:val="fr-CA"/>
              </w:rPr>
              <w:t>, est rejetée avec dépens.</w:t>
            </w:r>
          </w:p>
          <w:p w:rsidR="009D18B6" w:rsidRPr="00982C2B" w:rsidRDefault="009D18B6" w:rsidP="00390398">
            <w:pPr>
              <w:pStyle w:val="SCCShortJudgment"/>
              <w:ind w:firstLine="0"/>
              <w:rPr>
                <w:rFonts w:cs="Times New Roman"/>
                <w:szCs w:val="20"/>
                <w:lang w:val="fr-CA"/>
              </w:rPr>
            </w:pPr>
          </w:p>
        </w:tc>
      </w:tr>
      <w:tr w:rsidR="009D18B6" w:rsidRPr="00982C2B" w:rsidTr="009D18B6">
        <w:tc>
          <w:tcPr>
            <w:tcW w:w="9576" w:type="dxa"/>
            <w:gridSpan w:val="4"/>
          </w:tcPr>
          <w:p w:rsidR="009D18B6" w:rsidRPr="00982C2B" w:rsidRDefault="009D18B6" w:rsidP="00390398">
            <w:pPr>
              <w:pStyle w:val="SCCShortJudgment"/>
              <w:ind w:firstLine="0"/>
              <w:rPr>
                <w:rFonts w:cs="Times New Roman"/>
                <w:szCs w:val="20"/>
                <w:u w:val="single"/>
                <w:lang w:val="fr-CA"/>
              </w:rPr>
            </w:pPr>
            <w:r w:rsidRPr="00982C2B">
              <w:rPr>
                <w:rFonts w:cs="Times New Roman"/>
                <w:szCs w:val="20"/>
                <w:u w:val="single"/>
                <w:lang w:val="fr-CA"/>
              </w:rPr>
              <w:t>CASE SUMMARY</w:t>
            </w:r>
          </w:p>
          <w:p w:rsidR="009D18B6" w:rsidRPr="00982C2B" w:rsidRDefault="009D18B6" w:rsidP="00390398">
            <w:pPr>
              <w:pStyle w:val="SCCShortJudgment"/>
              <w:ind w:firstLine="0"/>
              <w:rPr>
                <w:rFonts w:cs="Times New Roman"/>
                <w:szCs w:val="20"/>
                <w:u w:val="single"/>
                <w:lang w:val="fr-CA"/>
              </w:rPr>
            </w:pPr>
          </w:p>
        </w:tc>
      </w:tr>
      <w:tr w:rsidR="009D18B6" w:rsidRPr="00982C2B" w:rsidTr="009D18B6">
        <w:tc>
          <w:tcPr>
            <w:tcW w:w="9576" w:type="dxa"/>
            <w:gridSpan w:val="4"/>
          </w:tcPr>
          <w:p w:rsidR="009D18B6" w:rsidRPr="00982C2B" w:rsidRDefault="009D18B6" w:rsidP="00390398">
            <w:pPr>
              <w:pStyle w:val="SCCShortJudgment"/>
              <w:ind w:firstLine="0"/>
              <w:rPr>
                <w:rFonts w:cs="Times New Roman"/>
                <w:szCs w:val="20"/>
              </w:rPr>
            </w:pPr>
            <w:r w:rsidRPr="00982C2B">
              <w:rPr>
                <w:rFonts w:cs="Times New Roman"/>
                <w:szCs w:val="20"/>
              </w:rPr>
              <w:t>Labour relations — Natural Justice — Human rights — Discrimination - Review of internal Union Tribunal decision — Whether the Union Tribunal violated the Union’s Constitution? — Whether the Union Tribunal breached natural justice? — Whether the Union Tribunal acted in bad faith.</w:t>
            </w:r>
          </w:p>
          <w:p w:rsidR="009D18B6" w:rsidRPr="00982C2B" w:rsidRDefault="009D18B6" w:rsidP="00390398">
            <w:pPr>
              <w:pStyle w:val="SCCShortJudgment"/>
              <w:ind w:firstLine="0"/>
              <w:rPr>
                <w:rFonts w:cs="Times New Roman"/>
                <w:szCs w:val="20"/>
              </w:rPr>
            </w:pPr>
          </w:p>
        </w:tc>
      </w:tr>
      <w:tr w:rsidR="009D18B6" w:rsidRPr="00982C2B" w:rsidTr="009D18B6">
        <w:tc>
          <w:tcPr>
            <w:tcW w:w="9576" w:type="dxa"/>
            <w:gridSpan w:val="4"/>
          </w:tcPr>
          <w:p w:rsidR="009D18B6" w:rsidRPr="00982C2B" w:rsidRDefault="009D18B6" w:rsidP="00390398">
            <w:pPr>
              <w:pStyle w:val="SCCShortJudgment"/>
              <w:ind w:firstLine="0"/>
              <w:rPr>
                <w:rFonts w:cs="Times New Roman"/>
                <w:szCs w:val="20"/>
              </w:rPr>
            </w:pPr>
            <w:r w:rsidRPr="00982C2B">
              <w:rPr>
                <w:rFonts w:cs="Times New Roman"/>
                <w:szCs w:val="20"/>
              </w:rPr>
              <w:t>The Applicant, a member of the Respondent union, was charged with violating the Union’s Constitution. An internal Union Tribunal found him guilty of these charges. He appealed this decision internally on four occasions with the decision being upheld each time.</w:t>
            </w:r>
          </w:p>
          <w:p w:rsidR="009D18B6" w:rsidRPr="00982C2B" w:rsidRDefault="009D18B6" w:rsidP="00390398">
            <w:pPr>
              <w:pStyle w:val="SCCShortJudgment"/>
              <w:ind w:firstLine="0"/>
              <w:rPr>
                <w:rFonts w:cs="Times New Roman"/>
                <w:szCs w:val="20"/>
              </w:rPr>
            </w:pPr>
          </w:p>
        </w:tc>
      </w:tr>
      <w:tr w:rsidR="009D18B6" w:rsidRPr="00982C2B" w:rsidTr="009D18B6">
        <w:tc>
          <w:tcPr>
            <w:tcW w:w="4410" w:type="dxa"/>
            <w:gridSpan w:val="2"/>
          </w:tcPr>
          <w:p w:rsidR="009D18B6" w:rsidRPr="00982C2B" w:rsidRDefault="009D18B6" w:rsidP="00390398">
            <w:pPr>
              <w:jc w:val="both"/>
              <w:rPr>
                <w:rFonts w:cs="Times New Roman"/>
                <w:sz w:val="20"/>
                <w:szCs w:val="20"/>
              </w:rPr>
            </w:pPr>
            <w:r w:rsidRPr="00982C2B">
              <w:rPr>
                <w:rFonts w:cs="Times New Roman"/>
                <w:sz w:val="20"/>
                <w:szCs w:val="20"/>
              </w:rPr>
              <w:t>August 1, 2014</w:t>
            </w:r>
          </w:p>
          <w:p w:rsidR="009D18B6" w:rsidRPr="00982C2B" w:rsidRDefault="009D18B6" w:rsidP="00390398">
            <w:pPr>
              <w:jc w:val="both"/>
              <w:rPr>
                <w:rFonts w:cs="Times New Roman"/>
                <w:sz w:val="20"/>
                <w:szCs w:val="20"/>
              </w:rPr>
            </w:pPr>
            <w:r w:rsidRPr="00982C2B">
              <w:rPr>
                <w:rFonts w:cs="Times New Roman"/>
                <w:sz w:val="20"/>
                <w:szCs w:val="20"/>
              </w:rPr>
              <w:t>Ontario Superior Court of Justice</w:t>
            </w:r>
          </w:p>
          <w:p w:rsidR="009D18B6" w:rsidRPr="00982C2B" w:rsidRDefault="009D18B6" w:rsidP="00390398">
            <w:pPr>
              <w:jc w:val="both"/>
              <w:rPr>
                <w:rFonts w:cs="Times New Roman"/>
                <w:sz w:val="20"/>
                <w:szCs w:val="20"/>
              </w:rPr>
            </w:pPr>
            <w:r w:rsidRPr="00982C2B">
              <w:rPr>
                <w:rFonts w:cs="Times New Roman"/>
                <w:sz w:val="20"/>
                <w:szCs w:val="20"/>
              </w:rPr>
              <w:t>(Corbett J.)</w:t>
            </w:r>
          </w:p>
          <w:p w:rsidR="009D18B6" w:rsidRPr="00982C2B" w:rsidRDefault="009F3029" w:rsidP="00390398">
            <w:pPr>
              <w:jc w:val="both"/>
              <w:rPr>
                <w:rFonts w:eastAsia="Times New Roman" w:cs="Times New Roman"/>
                <w:sz w:val="20"/>
                <w:szCs w:val="20"/>
                <w:lang w:eastAsia="en-CA"/>
              </w:rPr>
            </w:pPr>
            <w:hyperlink r:id="rId66" w:history="1">
              <w:r w:rsidR="009D18B6" w:rsidRPr="00982C2B">
                <w:rPr>
                  <w:rFonts w:eastAsia="Times New Roman" w:cs="Times New Roman"/>
                  <w:color w:val="0000FF" w:themeColor="hyperlink"/>
                  <w:sz w:val="20"/>
                  <w:szCs w:val="20"/>
                  <w:u w:val="single"/>
                  <w:lang w:eastAsia="en-CA"/>
                </w:rPr>
                <w:t>2014 ONSC 455</w:t>
              </w:r>
            </w:hyperlink>
          </w:p>
          <w:p w:rsidR="009D18B6" w:rsidRPr="00982C2B" w:rsidRDefault="009D18B6" w:rsidP="00390398">
            <w:pPr>
              <w:jc w:val="both"/>
              <w:rPr>
                <w:rFonts w:cs="Times New Roman"/>
                <w:sz w:val="20"/>
                <w:szCs w:val="20"/>
              </w:rPr>
            </w:pPr>
          </w:p>
        </w:tc>
        <w:tc>
          <w:tcPr>
            <w:tcW w:w="630" w:type="dxa"/>
          </w:tcPr>
          <w:p w:rsidR="009D18B6" w:rsidRPr="00982C2B" w:rsidRDefault="009D18B6" w:rsidP="00390398">
            <w:pPr>
              <w:pStyle w:val="SCCShortJudgment"/>
              <w:ind w:firstLine="0"/>
              <w:rPr>
                <w:rFonts w:cs="Times New Roman"/>
                <w:szCs w:val="20"/>
              </w:rPr>
            </w:pPr>
          </w:p>
        </w:tc>
        <w:tc>
          <w:tcPr>
            <w:tcW w:w="4536" w:type="dxa"/>
          </w:tcPr>
          <w:p w:rsidR="009D18B6" w:rsidRPr="00982C2B" w:rsidRDefault="009D18B6" w:rsidP="00390398">
            <w:pPr>
              <w:jc w:val="both"/>
              <w:rPr>
                <w:rFonts w:cs="Times New Roman"/>
                <w:sz w:val="20"/>
                <w:szCs w:val="20"/>
              </w:rPr>
            </w:pPr>
            <w:r w:rsidRPr="00982C2B">
              <w:rPr>
                <w:rFonts w:cs="Times New Roman"/>
                <w:sz w:val="20"/>
                <w:szCs w:val="20"/>
              </w:rPr>
              <w:t>Respondent’s motion for summary judgment granted and Applicant’s claim dismissed in its entirety with costs.</w:t>
            </w:r>
          </w:p>
          <w:p w:rsidR="009D18B6" w:rsidRPr="00982C2B" w:rsidRDefault="009D18B6" w:rsidP="00390398">
            <w:pPr>
              <w:jc w:val="both"/>
              <w:rPr>
                <w:rFonts w:cs="Times New Roman"/>
                <w:sz w:val="20"/>
                <w:szCs w:val="20"/>
              </w:rPr>
            </w:pPr>
          </w:p>
        </w:tc>
      </w:tr>
      <w:tr w:rsidR="009D18B6" w:rsidRPr="00982C2B" w:rsidTr="009D18B6">
        <w:tc>
          <w:tcPr>
            <w:tcW w:w="4410" w:type="dxa"/>
            <w:gridSpan w:val="2"/>
          </w:tcPr>
          <w:p w:rsidR="009D18B6" w:rsidRPr="00982C2B" w:rsidRDefault="009D18B6" w:rsidP="00390398">
            <w:pPr>
              <w:jc w:val="both"/>
              <w:rPr>
                <w:rFonts w:cs="Times New Roman"/>
                <w:sz w:val="20"/>
                <w:szCs w:val="20"/>
              </w:rPr>
            </w:pPr>
            <w:r w:rsidRPr="00982C2B">
              <w:rPr>
                <w:rFonts w:cs="Times New Roman"/>
                <w:sz w:val="20"/>
                <w:szCs w:val="20"/>
              </w:rPr>
              <w:t>April 17, 2015</w:t>
            </w:r>
          </w:p>
          <w:p w:rsidR="009D18B6" w:rsidRPr="00982C2B" w:rsidRDefault="009D18B6" w:rsidP="00390398">
            <w:pPr>
              <w:jc w:val="both"/>
              <w:rPr>
                <w:rFonts w:cs="Times New Roman"/>
                <w:sz w:val="20"/>
                <w:szCs w:val="20"/>
              </w:rPr>
            </w:pPr>
            <w:r w:rsidRPr="00982C2B">
              <w:rPr>
                <w:rFonts w:cs="Times New Roman"/>
                <w:sz w:val="20"/>
                <w:szCs w:val="20"/>
              </w:rPr>
              <w:t>Ontario Divisional Court</w:t>
            </w:r>
          </w:p>
          <w:p w:rsidR="009D18B6" w:rsidRPr="00982C2B" w:rsidRDefault="009D18B6" w:rsidP="00390398">
            <w:pPr>
              <w:jc w:val="both"/>
              <w:rPr>
                <w:rFonts w:cs="Times New Roman"/>
                <w:sz w:val="20"/>
                <w:szCs w:val="20"/>
              </w:rPr>
            </w:pPr>
            <w:r w:rsidRPr="00982C2B">
              <w:rPr>
                <w:rFonts w:cs="Times New Roman"/>
                <w:sz w:val="20"/>
                <w:szCs w:val="20"/>
              </w:rPr>
              <w:t>(Lederman, Molloy, and Lederer JJ.)</w:t>
            </w:r>
          </w:p>
          <w:p w:rsidR="009D18B6" w:rsidRPr="00982C2B" w:rsidRDefault="009F3029" w:rsidP="00390398">
            <w:pPr>
              <w:jc w:val="both"/>
              <w:rPr>
                <w:rFonts w:eastAsia="Times New Roman" w:cs="Times New Roman"/>
                <w:sz w:val="20"/>
                <w:szCs w:val="20"/>
                <w:lang w:eastAsia="en-CA"/>
              </w:rPr>
            </w:pPr>
            <w:hyperlink r:id="rId67" w:history="1">
              <w:r w:rsidR="009D18B6" w:rsidRPr="00982C2B">
                <w:rPr>
                  <w:rFonts w:eastAsia="Times New Roman" w:cs="Times New Roman"/>
                  <w:color w:val="0000FF" w:themeColor="hyperlink"/>
                  <w:sz w:val="20"/>
                  <w:szCs w:val="20"/>
                  <w:u w:val="single"/>
                  <w:lang w:eastAsia="en-CA"/>
                </w:rPr>
                <w:t>2015 ONSC 2472</w:t>
              </w:r>
            </w:hyperlink>
          </w:p>
          <w:p w:rsidR="009D18B6" w:rsidRPr="00982C2B" w:rsidRDefault="009D18B6" w:rsidP="00390398">
            <w:pPr>
              <w:jc w:val="both"/>
              <w:rPr>
                <w:rFonts w:cs="Times New Roman"/>
                <w:sz w:val="20"/>
                <w:szCs w:val="20"/>
              </w:rPr>
            </w:pPr>
          </w:p>
        </w:tc>
        <w:tc>
          <w:tcPr>
            <w:tcW w:w="630" w:type="dxa"/>
          </w:tcPr>
          <w:p w:rsidR="009D18B6" w:rsidRPr="00982C2B" w:rsidRDefault="009D18B6" w:rsidP="00390398">
            <w:pPr>
              <w:pStyle w:val="SCCShortJudgment"/>
              <w:ind w:firstLine="0"/>
              <w:rPr>
                <w:rFonts w:cs="Times New Roman"/>
                <w:szCs w:val="20"/>
              </w:rPr>
            </w:pPr>
          </w:p>
        </w:tc>
        <w:tc>
          <w:tcPr>
            <w:tcW w:w="4536" w:type="dxa"/>
          </w:tcPr>
          <w:p w:rsidR="009D18B6" w:rsidRPr="00982C2B" w:rsidRDefault="009D18B6" w:rsidP="00390398">
            <w:pPr>
              <w:jc w:val="both"/>
              <w:rPr>
                <w:rFonts w:cs="Times New Roman"/>
                <w:sz w:val="20"/>
                <w:szCs w:val="20"/>
              </w:rPr>
            </w:pPr>
            <w:r w:rsidRPr="00982C2B">
              <w:rPr>
                <w:rFonts w:cs="Times New Roman"/>
                <w:sz w:val="20"/>
                <w:szCs w:val="20"/>
              </w:rPr>
              <w:t>Appeal dismissed with costs.</w:t>
            </w:r>
          </w:p>
        </w:tc>
      </w:tr>
      <w:tr w:rsidR="009D18B6" w:rsidRPr="00982C2B" w:rsidTr="00527434">
        <w:trPr>
          <w:trHeight w:val="1033"/>
        </w:trPr>
        <w:tc>
          <w:tcPr>
            <w:tcW w:w="4410" w:type="dxa"/>
            <w:gridSpan w:val="2"/>
          </w:tcPr>
          <w:p w:rsidR="009D18B6" w:rsidRPr="00982C2B" w:rsidRDefault="009D18B6" w:rsidP="00390398">
            <w:pPr>
              <w:jc w:val="both"/>
              <w:rPr>
                <w:rFonts w:cs="Times New Roman"/>
                <w:sz w:val="20"/>
                <w:szCs w:val="20"/>
              </w:rPr>
            </w:pPr>
            <w:r w:rsidRPr="00982C2B">
              <w:rPr>
                <w:rFonts w:cs="Times New Roman"/>
                <w:sz w:val="20"/>
                <w:szCs w:val="20"/>
              </w:rPr>
              <w:t>September 25, 2015</w:t>
            </w:r>
          </w:p>
          <w:p w:rsidR="009D18B6" w:rsidRPr="00982C2B" w:rsidRDefault="009D18B6" w:rsidP="00390398">
            <w:pPr>
              <w:jc w:val="both"/>
              <w:rPr>
                <w:rFonts w:cs="Times New Roman"/>
                <w:sz w:val="20"/>
                <w:szCs w:val="20"/>
              </w:rPr>
            </w:pPr>
            <w:r w:rsidRPr="00982C2B">
              <w:rPr>
                <w:rFonts w:cs="Times New Roman"/>
                <w:sz w:val="20"/>
                <w:szCs w:val="20"/>
              </w:rPr>
              <w:t>Court of Appeal for Ontario</w:t>
            </w:r>
          </w:p>
          <w:p w:rsidR="009D18B6" w:rsidRPr="00982C2B" w:rsidRDefault="009D18B6" w:rsidP="00390398">
            <w:pPr>
              <w:jc w:val="both"/>
              <w:rPr>
                <w:rFonts w:cs="Times New Roman"/>
                <w:sz w:val="20"/>
                <w:szCs w:val="20"/>
                <w:lang w:val="en-US"/>
              </w:rPr>
            </w:pPr>
            <w:r w:rsidRPr="00982C2B">
              <w:rPr>
                <w:rFonts w:cs="Times New Roman"/>
                <w:sz w:val="20"/>
                <w:szCs w:val="20"/>
                <w:lang w:val="en-US"/>
              </w:rPr>
              <w:t>(Gillese, Epstein, and Roberts JJ. A.)</w:t>
            </w:r>
          </w:p>
          <w:p w:rsidR="009D18B6" w:rsidRPr="00982C2B" w:rsidRDefault="009D18B6" w:rsidP="00390398">
            <w:pPr>
              <w:jc w:val="both"/>
              <w:rPr>
                <w:rFonts w:cs="Times New Roman"/>
                <w:sz w:val="20"/>
                <w:szCs w:val="20"/>
                <w:lang w:val="en-US"/>
              </w:rPr>
            </w:pPr>
            <w:r w:rsidRPr="00982C2B">
              <w:rPr>
                <w:rFonts w:cs="Times New Roman"/>
                <w:sz w:val="20"/>
                <w:szCs w:val="20"/>
                <w:lang w:val="en-US"/>
              </w:rPr>
              <w:t>(unreported)</w:t>
            </w:r>
          </w:p>
          <w:p w:rsidR="009D18B6" w:rsidRPr="00982C2B" w:rsidRDefault="009D18B6" w:rsidP="00390398">
            <w:pPr>
              <w:jc w:val="both"/>
              <w:rPr>
                <w:rFonts w:cs="Times New Roman"/>
                <w:sz w:val="20"/>
                <w:szCs w:val="20"/>
              </w:rPr>
            </w:pPr>
          </w:p>
        </w:tc>
        <w:tc>
          <w:tcPr>
            <w:tcW w:w="630" w:type="dxa"/>
          </w:tcPr>
          <w:p w:rsidR="009D18B6" w:rsidRPr="00982C2B" w:rsidRDefault="009D18B6" w:rsidP="00390398">
            <w:pPr>
              <w:pStyle w:val="SCCShortJudgment"/>
              <w:ind w:firstLine="0"/>
              <w:rPr>
                <w:rFonts w:cs="Times New Roman"/>
                <w:szCs w:val="20"/>
              </w:rPr>
            </w:pPr>
          </w:p>
        </w:tc>
        <w:tc>
          <w:tcPr>
            <w:tcW w:w="4536" w:type="dxa"/>
          </w:tcPr>
          <w:p w:rsidR="009D18B6" w:rsidRPr="00982C2B" w:rsidRDefault="009D18B6" w:rsidP="00390398">
            <w:pPr>
              <w:jc w:val="both"/>
              <w:rPr>
                <w:rFonts w:cs="Times New Roman"/>
                <w:sz w:val="20"/>
                <w:szCs w:val="20"/>
              </w:rPr>
            </w:pPr>
            <w:r w:rsidRPr="00982C2B">
              <w:rPr>
                <w:rFonts w:cs="Times New Roman"/>
                <w:sz w:val="20"/>
                <w:szCs w:val="20"/>
              </w:rPr>
              <w:t>Motion for leave to appeal dismissed with costs.</w:t>
            </w:r>
          </w:p>
          <w:p w:rsidR="009D18B6" w:rsidRPr="00982C2B" w:rsidRDefault="009D18B6" w:rsidP="00390398">
            <w:pPr>
              <w:jc w:val="both"/>
              <w:rPr>
                <w:rFonts w:cs="Times New Roman"/>
                <w:sz w:val="20"/>
                <w:szCs w:val="20"/>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9D18B6" w:rsidRPr="00982C2B" w:rsidTr="009D18B6">
        <w:tc>
          <w:tcPr>
            <w:tcW w:w="4410" w:type="dxa"/>
          </w:tcPr>
          <w:p w:rsidR="009D18B6" w:rsidRPr="00982C2B" w:rsidRDefault="009D18B6" w:rsidP="00390398">
            <w:pPr>
              <w:jc w:val="both"/>
              <w:rPr>
                <w:rFonts w:cs="Times New Roman"/>
                <w:sz w:val="20"/>
                <w:szCs w:val="20"/>
              </w:rPr>
            </w:pPr>
            <w:r w:rsidRPr="00982C2B">
              <w:rPr>
                <w:rFonts w:cs="Times New Roman"/>
                <w:sz w:val="20"/>
                <w:szCs w:val="20"/>
              </w:rPr>
              <w:t>November 26, 2015</w:t>
            </w:r>
          </w:p>
          <w:p w:rsidR="009D18B6" w:rsidRPr="00982C2B" w:rsidRDefault="009D18B6" w:rsidP="00390398">
            <w:pPr>
              <w:tabs>
                <w:tab w:val="left" w:pos="1052"/>
              </w:tabs>
              <w:jc w:val="both"/>
              <w:rPr>
                <w:rFonts w:cs="Times New Roman"/>
                <w:sz w:val="20"/>
                <w:szCs w:val="20"/>
              </w:rPr>
            </w:pPr>
            <w:r w:rsidRPr="00982C2B">
              <w:rPr>
                <w:rFonts w:cs="Times New Roman"/>
                <w:sz w:val="20"/>
                <w:szCs w:val="20"/>
              </w:rPr>
              <w:t>Supreme Court of Canada</w:t>
            </w:r>
          </w:p>
        </w:tc>
        <w:tc>
          <w:tcPr>
            <w:tcW w:w="630" w:type="dxa"/>
          </w:tcPr>
          <w:p w:rsidR="009D18B6" w:rsidRPr="00982C2B" w:rsidRDefault="009D18B6" w:rsidP="00390398">
            <w:pPr>
              <w:jc w:val="both"/>
              <w:rPr>
                <w:rFonts w:cs="Times New Roman"/>
                <w:sz w:val="20"/>
                <w:szCs w:val="20"/>
              </w:rPr>
            </w:pPr>
          </w:p>
        </w:tc>
        <w:tc>
          <w:tcPr>
            <w:tcW w:w="4536" w:type="dxa"/>
          </w:tcPr>
          <w:p w:rsidR="009D18B6" w:rsidRPr="00982C2B" w:rsidRDefault="009D18B6" w:rsidP="00390398">
            <w:pPr>
              <w:jc w:val="both"/>
              <w:rPr>
                <w:rFonts w:cs="Times New Roman"/>
                <w:sz w:val="20"/>
                <w:szCs w:val="20"/>
              </w:rPr>
            </w:pPr>
            <w:r w:rsidRPr="00982C2B">
              <w:rPr>
                <w:rFonts w:cs="Times New Roman"/>
                <w:sz w:val="20"/>
                <w:szCs w:val="20"/>
              </w:rPr>
              <w:t>Motion to extend time to serve and file application for leave to appeal and application for leave to appeal filed.</w:t>
            </w:r>
          </w:p>
          <w:p w:rsidR="009D18B6" w:rsidRPr="00982C2B" w:rsidRDefault="009D18B6" w:rsidP="00390398">
            <w:pPr>
              <w:jc w:val="both"/>
              <w:rPr>
                <w:rFonts w:cs="Times New Roman"/>
                <w:sz w:val="20"/>
                <w:szCs w:val="20"/>
              </w:rPr>
            </w:pPr>
          </w:p>
        </w:tc>
      </w:tr>
      <w:tr w:rsidR="009D18B6" w:rsidRPr="00982C2B" w:rsidTr="009D18B6">
        <w:tc>
          <w:tcPr>
            <w:tcW w:w="9576" w:type="dxa"/>
            <w:gridSpan w:val="3"/>
          </w:tcPr>
          <w:p w:rsidR="009D18B6" w:rsidRPr="00982C2B" w:rsidRDefault="009F3029" w:rsidP="009D18B6">
            <w:pPr>
              <w:pStyle w:val="SCCShortJudgment"/>
              <w:ind w:firstLine="0"/>
              <w:rPr>
                <w:rFonts w:cs="Times New Roman"/>
                <w:szCs w:val="20"/>
                <w:lang w:val="fr-CA"/>
              </w:rPr>
            </w:pPr>
            <w:r>
              <w:rPr>
                <w:rFonts w:cs="Times New Roman"/>
                <w:szCs w:val="20"/>
                <w:lang w:val="fr-CA"/>
              </w:rPr>
              <w:pict>
                <v:rect id="_x0000_i1067" style="width:2in;height:1pt" o:hrpct="0" o:hralign="center" o:hrstd="t" o:hrnoshade="t" o:hr="t" fillcolor="black [3213]" stroked="f"/>
              </w:pict>
            </w:r>
          </w:p>
          <w:p w:rsidR="009D18B6" w:rsidRPr="00982C2B" w:rsidRDefault="009D18B6" w:rsidP="009D18B6">
            <w:pPr>
              <w:pStyle w:val="SCCShortJudgment"/>
              <w:ind w:firstLine="0"/>
              <w:rPr>
                <w:rFonts w:cs="Times New Roman"/>
                <w:szCs w:val="20"/>
                <w:lang w:val="fr-CA"/>
              </w:rPr>
            </w:pPr>
          </w:p>
        </w:tc>
      </w:tr>
      <w:tr w:rsidR="009D18B6" w:rsidRPr="00982C2B" w:rsidTr="009D18B6">
        <w:tc>
          <w:tcPr>
            <w:tcW w:w="9576" w:type="dxa"/>
            <w:gridSpan w:val="3"/>
          </w:tcPr>
          <w:p w:rsidR="009D18B6" w:rsidRPr="00982C2B" w:rsidRDefault="009D18B6" w:rsidP="009D18B6">
            <w:pPr>
              <w:pStyle w:val="SCCShortJudgment"/>
              <w:ind w:firstLine="0"/>
              <w:rPr>
                <w:rFonts w:cs="Times New Roman"/>
                <w:szCs w:val="20"/>
                <w:u w:val="single"/>
                <w:lang w:val="fr-CA"/>
              </w:rPr>
            </w:pPr>
            <w:r w:rsidRPr="00982C2B">
              <w:rPr>
                <w:rFonts w:cs="Times New Roman"/>
                <w:szCs w:val="20"/>
                <w:u w:val="single"/>
                <w:lang w:val="fr-CA"/>
              </w:rPr>
              <w:t>RÉSUMÉ DE L’AFFAIRE </w:t>
            </w:r>
          </w:p>
          <w:p w:rsidR="009D18B6" w:rsidRPr="00982C2B" w:rsidRDefault="009D18B6" w:rsidP="009D18B6">
            <w:pPr>
              <w:pStyle w:val="SCCShortJudgment"/>
              <w:ind w:firstLine="0"/>
              <w:rPr>
                <w:rFonts w:cs="Times New Roman"/>
                <w:szCs w:val="20"/>
                <w:u w:val="single"/>
                <w:lang w:val="fr-CA"/>
              </w:rPr>
            </w:pPr>
          </w:p>
        </w:tc>
      </w:tr>
      <w:tr w:rsidR="009D18B6" w:rsidRPr="009F3029" w:rsidTr="009D18B6">
        <w:tc>
          <w:tcPr>
            <w:tcW w:w="9576" w:type="dxa"/>
            <w:gridSpan w:val="3"/>
          </w:tcPr>
          <w:p w:rsidR="009D18B6" w:rsidRPr="00982C2B" w:rsidRDefault="009D18B6" w:rsidP="00390398">
            <w:pPr>
              <w:pStyle w:val="SCCShortJudgment"/>
              <w:ind w:firstLine="0"/>
              <w:rPr>
                <w:rFonts w:cs="Times New Roman"/>
                <w:szCs w:val="20"/>
                <w:lang w:val="fr-CA"/>
              </w:rPr>
            </w:pPr>
            <w:r w:rsidRPr="00982C2B">
              <w:rPr>
                <w:rFonts w:cs="Times New Roman"/>
                <w:szCs w:val="20"/>
                <w:lang w:val="fr-CA"/>
              </w:rPr>
              <w:t>Relations du travail — Justice naturelle — Droits de la personne — Discrimination - Examen de la décision rendue par un tribunal syndical — Le tribunal syndical a-t-il violé la constitution du syndicat? — Le tribunal syndical a-t-il porté atteinte à la justice naturelle? — Le tribunal syndical a-t-il agi de mauvaise foi?</w:t>
            </w:r>
          </w:p>
          <w:p w:rsidR="009D18B6" w:rsidRPr="00982C2B" w:rsidRDefault="009D18B6" w:rsidP="00390398">
            <w:pPr>
              <w:pStyle w:val="SCCShortJudgment"/>
              <w:ind w:firstLine="0"/>
              <w:rPr>
                <w:rFonts w:cs="Times New Roman"/>
                <w:szCs w:val="20"/>
                <w:u w:val="single"/>
                <w:lang w:val="fr-CA"/>
              </w:rPr>
            </w:pPr>
          </w:p>
        </w:tc>
      </w:tr>
      <w:tr w:rsidR="009D18B6" w:rsidRPr="009F3029" w:rsidTr="009D18B6">
        <w:tc>
          <w:tcPr>
            <w:tcW w:w="9576" w:type="dxa"/>
            <w:gridSpan w:val="3"/>
          </w:tcPr>
          <w:p w:rsidR="009D18B6" w:rsidRPr="00982C2B" w:rsidRDefault="009D18B6" w:rsidP="00390398">
            <w:pPr>
              <w:jc w:val="both"/>
              <w:rPr>
                <w:rFonts w:cs="Times New Roman"/>
                <w:sz w:val="20"/>
                <w:szCs w:val="20"/>
                <w:u w:val="single"/>
                <w:lang w:val="fr-CA"/>
              </w:rPr>
            </w:pPr>
            <w:r w:rsidRPr="00982C2B">
              <w:rPr>
                <w:rFonts w:cs="Times New Roman"/>
                <w:sz w:val="20"/>
                <w:szCs w:val="20"/>
                <w:lang w:val="fr-CA"/>
              </w:rPr>
              <w:t>Le demandeur, membre du syndicat intimé, a été accusé d’avoir violé la constitution du syndicat. Un tribunal syndical l’a déclaré coupable de ces accusations. Il a interjeté appel de cette décision à quatre reprises, mais il a été débouté à chaque fois.</w:t>
            </w:r>
          </w:p>
        </w:tc>
      </w:tr>
      <w:tr w:rsidR="009D18B6" w:rsidRPr="009F3029" w:rsidTr="009D18B6">
        <w:tc>
          <w:tcPr>
            <w:tcW w:w="9576" w:type="dxa"/>
            <w:gridSpan w:val="3"/>
          </w:tcPr>
          <w:p w:rsidR="009D18B6" w:rsidRPr="00982C2B" w:rsidRDefault="009D18B6" w:rsidP="00390398">
            <w:pPr>
              <w:pStyle w:val="SCCShortJudgment"/>
              <w:ind w:firstLine="0"/>
              <w:rPr>
                <w:rFonts w:cs="Times New Roman"/>
                <w:szCs w:val="20"/>
                <w:u w:val="single"/>
                <w:lang w:val="fr-CA"/>
              </w:rPr>
            </w:pPr>
          </w:p>
        </w:tc>
      </w:tr>
      <w:tr w:rsidR="009D18B6" w:rsidRPr="009F3029" w:rsidTr="009D18B6">
        <w:tc>
          <w:tcPr>
            <w:tcW w:w="4410"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1</w:t>
            </w:r>
            <w:r w:rsidRPr="00982C2B">
              <w:rPr>
                <w:rFonts w:cs="Times New Roman"/>
                <w:sz w:val="20"/>
                <w:szCs w:val="20"/>
                <w:vertAlign w:val="superscript"/>
                <w:lang w:val="fr-CA"/>
              </w:rPr>
              <w:t>er</w:t>
            </w:r>
            <w:r w:rsidRPr="00982C2B">
              <w:rPr>
                <w:rFonts w:cs="Times New Roman"/>
                <w:sz w:val="20"/>
                <w:szCs w:val="20"/>
                <w:lang w:val="fr-CA"/>
              </w:rPr>
              <w:t xml:space="preserve"> août 2014</w:t>
            </w:r>
          </w:p>
          <w:p w:rsidR="009D18B6" w:rsidRPr="00982C2B" w:rsidRDefault="009D18B6" w:rsidP="00390398">
            <w:pPr>
              <w:jc w:val="both"/>
              <w:rPr>
                <w:rFonts w:cs="Times New Roman"/>
                <w:sz w:val="20"/>
                <w:szCs w:val="20"/>
                <w:lang w:val="fr-CA"/>
              </w:rPr>
            </w:pPr>
            <w:r w:rsidRPr="00982C2B">
              <w:rPr>
                <w:rFonts w:cs="Times New Roman"/>
                <w:sz w:val="20"/>
                <w:szCs w:val="20"/>
                <w:lang w:val="fr-CA"/>
              </w:rPr>
              <w:t xml:space="preserve">Cour supérieure de justice de l’Ontario </w:t>
            </w:r>
          </w:p>
          <w:p w:rsidR="009D18B6" w:rsidRPr="00982C2B" w:rsidRDefault="009D18B6" w:rsidP="00390398">
            <w:pPr>
              <w:jc w:val="both"/>
              <w:rPr>
                <w:rFonts w:cs="Times New Roman"/>
                <w:sz w:val="20"/>
                <w:szCs w:val="20"/>
                <w:lang w:val="fr-CA"/>
              </w:rPr>
            </w:pPr>
            <w:r w:rsidRPr="00982C2B">
              <w:rPr>
                <w:rFonts w:cs="Times New Roman"/>
                <w:sz w:val="20"/>
                <w:szCs w:val="20"/>
                <w:lang w:val="fr-CA"/>
              </w:rPr>
              <w:t>(Juge Corbett)</w:t>
            </w:r>
          </w:p>
          <w:p w:rsidR="009D18B6" w:rsidRPr="00982C2B" w:rsidRDefault="009F3029" w:rsidP="00390398">
            <w:pPr>
              <w:jc w:val="both"/>
              <w:rPr>
                <w:rFonts w:eastAsia="Times New Roman" w:cs="Times New Roman"/>
                <w:sz w:val="20"/>
                <w:szCs w:val="20"/>
                <w:lang w:val="fr-CA" w:eastAsia="en-CA"/>
              </w:rPr>
            </w:pPr>
            <w:hyperlink r:id="rId68" w:history="1">
              <w:r w:rsidR="009D18B6" w:rsidRPr="00982C2B">
                <w:rPr>
                  <w:rStyle w:val="Hyperlink"/>
                  <w:rFonts w:eastAsia="Times New Roman" w:cs="Times New Roman"/>
                  <w:sz w:val="20"/>
                  <w:szCs w:val="20"/>
                  <w:lang w:val="fr-CA" w:eastAsia="en-CA"/>
                </w:rPr>
                <w:t>2014 ONSC 455</w:t>
              </w:r>
            </w:hyperlink>
          </w:p>
          <w:p w:rsidR="009D18B6" w:rsidRPr="00982C2B" w:rsidRDefault="009D18B6" w:rsidP="00390398">
            <w:pPr>
              <w:pStyle w:val="SCCShortJudgment"/>
              <w:ind w:firstLine="0"/>
              <w:rPr>
                <w:rFonts w:cs="Times New Roman"/>
                <w:szCs w:val="20"/>
                <w:u w:val="single"/>
                <w:lang w:val="fr-CA"/>
              </w:rPr>
            </w:pPr>
          </w:p>
        </w:tc>
        <w:tc>
          <w:tcPr>
            <w:tcW w:w="630" w:type="dxa"/>
          </w:tcPr>
          <w:p w:rsidR="009D18B6" w:rsidRPr="00982C2B" w:rsidRDefault="009D18B6" w:rsidP="00390398">
            <w:pPr>
              <w:pStyle w:val="SCCShortJudgment"/>
              <w:ind w:firstLine="0"/>
              <w:rPr>
                <w:rFonts w:cs="Times New Roman"/>
                <w:szCs w:val="20"/>
                <w:u w:val="single"/>
                <w:lang w:val="fr-CA"/>
              </w:rPr>
            </w:pPr>
          </w:p>
        </w:tc>
        <w:tc>
          <w:tcPr>
            <w:tcW w:w="4536"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Jugement accueillant la motion en jugement sommaire de l’intimé et rejetant la demande du demandeur dans son intégralité, avec dépens.</w:t>
            </w:r>
          </w:p>
          <w:p w:rsidR="009D18B6" w:rsidRPr="00982C2B" w:rsidRDefault="009D18B6" w:rsidP="00390398">
            <w:pPr>
              <w:pStyle w:val="SCCShortJudgment"/>
              <w:ind w:firstLine="0"/>
              <w:rPr>
                <w:rFonts w:cs="Times New Roman"/>
                <w:szCs w:val="20"/>
                <w:u w:val="single"/>
                <w:lang w:val="fr-CA"/>
              </w:rPr>
            </w:pPr>
          </w:p>
        </w:tc>
      </w:tr>
      <w:tr w:rsidR="009D18B6" w:rsidRPr="009F3029" w:rsidTr="009D18B6">
        <w:tc>
          <w:tcPr>
            <w:tcW w:w="4410"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17 avril 2015</w:t>
            </w:r>
          </w:p>
          <w:p w:rsidR="009D18B6" w:rsidRPr="00982C2B" w:rsidRDefault="009D18B6" w:rsidP="00390398">
            <w:pPr>
              <w:jc w:val="both"/>
              <w:rPr>
                <w:rFonts w:cs="Times New Roman"/>
                <w:sz w:val="20"/>
                <w:szCs w:val="20"/>
                <w:lang w:val="fr-CA"/>
              </w:rPr>
            </w:pPr>
            <w:r w:rsidRPr="00982C2B">
              <w:rPr>
                <w:rFonts w:cs="Times New Roman"/>
                <w:sz w:val="20"/>
                <w:szCs w:val="20"/>
                <w:lang w:val="fr-CA"/>
              </w:rPr>
              <w:t xml:space="preserve">Cour divisionnaire de l’Ontario </w:t>
            </w:r>
          </w:p>
          <w:p w:rsidR="009D18B6" w:rsidRPr="00982C2B" w:rsidRDefault="009D18B6" w:rsidP="00390398">
            <w:pPr>
              <w:jc w:val="both"/>
              <w:rPr>
                <w:rFonts w:cs="Times New Roman"/>
                <w:sz w:val="20"/>
                <w:szCs w:val="20"/>
                <w:lang w:val="fr-CA"/>
              </w:rPr>
            </w:pPr>
            <w:r w:rsidRPr="00982C2B">
              <w:rPr>
                <w:rFonts w:cs="Times New Roman"/>
                <w:sz w:val="20"/>
                <w:szCs w:val="20"/>
                <w:lang w:val="fr-CA"/>
              </w:rPr>
              <w:t>(Juges Lederman, Molloy et Lederer)</w:t>
            </w:r>
          </w:p>
          <w:p w:rsidR="009D18B6" w:rsidRPr="00982C2B" w:rsidRDefault="009F3029" w:rsidP="00390398">
            <w:pPr>
              <w:jc w:val="both"/>
              <w:rPr>
                <w:rFonts w:eastAsia="Times New Roman" w:cs="Times New Roman"/>
                <w:sz w:val="20"/>
                <w:szCs w:val="20"/>
                <w:lang w:val="fr-CA" w:eastAsia="en-CA"/>
              </w:rPr>
            </w:pPr>
            <w:hyperlink r:id="rId69" w:history="1">
              <w:r w:rsidR="009D18B6" w:rsidRPr="00982C2B">
                <w:rPr>
                  <w:rStyle w:val="Hyperlink"/>
                  <w:rFonts w:eastAsia="Times New Roman" w:cs="Times New Roman"/>
                  <w:sz w:val="20"/>
                  <w:szCs w:val="20"/>
                  <w:lang w:val="fr-CA" w:eastAsia="en-CA"/>
                </w:rPr>
                <w:t>2015 ONSC 2472</w:t>
              </w:r>
            </w:hyperlink>
          </w:p>
          <w:p w:rsidR="009D18B6" w:rsidRPr="00982C2B" w:rsidRDefault="009D18B6" w:rsidP="00390398">
            <w:pPr>
              <w:pStyle w:val="SCCShortJudgment"/>
              <w:ind w:firstLine="0"/>
              <w:rPr>
                <w:rFonts w:cs="Times New Roman"/>
                <w:szCs w:val="20"/>
                <w:u w:val="single"/>
                <w:lang w:val="fr-CA"/>
              </w:rPr>
            </w:pPr>
          </w:p>
        </w:tc>
        <w:tc>
          <w:tcPr>
            <w:tcW w:w="630" w:type="dxa"/>
          </w:tcPr>
          <w:p w:rsidR="009D18B6" w:rsidRPr="00982C2B" w:rsidRDefault="009D18B6" w:rsidP="00390398">
            <w:pPr>
              <w:pStyle w:val="SCCShortJudgment"/>
              <w:ind w:firstLine="0"/>
              <w:rPr>
                <w:rFonts w:cs="Times New Roman"/>
                <w:szCs w:val="20"/>
                <w:u w:val="single"/>
                <w:lang w:val="fr-CA"/>
              </w:rPr>
            </w:pPr>
          </w:p>
        </w:tc>
        <w:tc>
          <w:tcPr>
            <w:tcW w:w="4536" w:type="dxa"/>
          </w:tcPr>
          <w:p w:rsidR="009D18B6" w:rsidRPr="00982C2B" w:rsidRDefault="009D18B6" w:rsidP="00390398">
            <w:pPr>
              <w:pStyle w:val="SCCShortJudgment"/>
              <w:ind w:firstLine="0"/>
              <w:rPr>
                <w:rFonts w:cs="Times New Roman"/>
                <w:szCs w:val="20"/>
                <w:u w:val="single"/>
                <w:lang w:val="fr-CA"/>
              </w:rPr>
            </w:pPr>
            <w:r w:rsidRPr="00982C2B">
              <w:rPr>
                <w:rFonts w:cs="Times New Roman"/>
                <w:szCs w:val="20"/>
                <w:lang w:val="fr-CA"/>
              </w:rPr>
              <w:t>Rejet de l’appel avec dépens.</w:t>
            </w:r>
          </w:p>
        </w:tc>
      </w:tr>
      <w:tr w:rsidR="009D18B6" w:rsidRPr="009F3029" w:rsidTr="009D18B6">
        <w:tc>
          <w:tcPr>
            <w:tcW w:w="4410"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25 septembre 2015</w:t>
            </w:r>
          </w:p>
          <w:p w:rsidR="009D18B6" w:rsidRPr="00982C2B" w:rsidRDefault="009D18B6" w:rsidP="00390398">
            <w:pPr>
              <w:jc w:val="both"/>
              <w:rPr>
                <w:rFonts w:cs="Times New Roman"/>
                <w:sz w:val="20"/>
                <w:szCs w:val="20"/>
                <w:lang w:val="fr-CA"/>
              </w:rPr>
            </w:pPr>
            <w:r w:rsidRPr="00982C2B">
              <w:rPr>
                <w:rFonts w:cs="Times New Roman"/>
                <w:sz w:val="20"/>
                <w:szCs w:val="20"/>
                <w:lang w:val="fr-CA"/>
              </w:rPr>
              <w:t xml:space="preserve">Cour d’appel de l’Ontario </w:t>
            </w:r>
          </w:p>
          <w:p w:rsidR="009D18B6" w:rsidRPr="00982C2B" w:rsidRDefault="009D18B6" w:rsidP="00390398">
            <w:pPr>
              <w:jc w:val="both"/>
              <w:rPr>
                <w:rFonts w:cs="Times New Roman"/>
                <w:sz w:val="20"/>
                <w:szCs w:val="20"/>
                <w:lang w:val="fr-CA"/>
              </w:rPr>
            </w:pPr>
            <w:r w:rsidRPr="00982C2B">
              <w:rPr>
                <w:rFonts w:cs="Times New Roman"/>
                <w:sz w:val="20"/>
                <w:szCs w:val="20"/>
                <w:lang w:val="fr-CA"/>
              </w:rPr>
              <w:t>(Juges Gillese, Epstein et Roberts)</w:t>
            </w:r>
          </w:p>
          <w:p w:rsidR="009D18B6" w:rsidRPr="00982C2B" w:rsidRDefault="009D18B6" w:rsidP="00390398">
            <w:pPr>
              <w:jc w:val="both"/>
              <w:rPr>
                <w:rFonts w:cs="Times New Roman"/>
                <w:sz w:val="20"/>
                <w:szCs w:val="20"/>
                <w:lang w:val="fr-CA"/>
              </w:rPr>
            </w:pPr>
            <w:r w:rsidRPr="00982C2B">
              <w:rPr>
                <w:rFonts w:cs="Times New Roman"/>
                <w:sz w:val="20"/>
                <w:szCs w:val="20"/>
                <w:lang w:val="fr-CA"/>
              </w:rPr>
              <w:t>(Non publié)</w:t>
            </w:r>
          </w:p>
          <w:p w:rsidR="009D18B6" w:rsidRPr="00982C2B" w:rsidRDefault="009D18B6" w:rsidP="00390398">
            <w:pPr>
              <w:pStyle w:val="SCCShortJudgment"/>
              <w:ind w:firstLine="0"/>
              <w:rPr>
                <w:rFonts w:cs="Times New Roman"/>
                <w:szCs w:val="20"/>
                <w:u w:val="single"/>
                <w:lang w:val="fr-CA"/>
              </w:rPr>
            </w:pPr>
          </w:p>
        </w:tc>
        <w:tc>
          <w:tcPr>
            <w:tcW w:w="630" w:type="dxa"/>
          </w:tcPr>
          <w:p w:rsidR="009D18B6" w:rsidRPr="00982C2B" w:rsidRDefault="009D18B6" w:rsidP="00390398">
            <w:pPr>
              <w:pStyle w:val="SCCShortJudgment"/>
              <w:ind w:firstLine="0"/>
              <w:rPr>
                <w:rFonts w:cs="Times New Roman"/>
                <w:szCs w:val="20"/>
                <w:u w:val="single"/>
                <w:lang w:val="fr-CA"/>
              </w:rPr>
            </w:pPr>
          </w:p>
        </w:tc>
        <w:tc>
          <w:tcPr>
            <w:tcW w:w="4536"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Rejet de la motion en autorisation d’appel avec dépens.</w:t>
            </w:r>
          </w:p>
          <w:p w:rsidR="009D18B6" w:rsidRPr="00982C2B" w:rsidRDefault="009D18B6" w:rsidP="00390398">
            <w:pPr>
              <w:pStyle w:val="SCCShortJudgment"/>
              <w:ind w:firstLine="0"/>
              <w:rPr>
                <w:rFonts w:cs="Times New Roman"/>
                <w:szCs w:val="20"/>
                <w:u w:val="single"/>
                <w:lang w:val="fr-CA"/>
              </w:rPr>
            </w:pPr>
          </w:p>
        </w:tc>
      </w:tr>
      <w:tr w:rsidR="009D18B6" w:rsidRPr="009F3029" w:rsidTr="009D18B6">
        <w:tc>
          <w:tcPr>
            <w:tcW w:w="4410"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26 novembre 2015</w:t>
            </w:r>
          </w:p>
          <w:p w:rsidR="009D18B6" w:rsidRPr="00982C2B" w:rsidRDefault="009D18B6" w:rsidP="00390398">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9D18B6" w:rsidRPr="00982C2B" w:rsidRDefault="009D18B6" w:rsidP="00390398">
            <w:pPr>
              <w:pStyle w:val="SCCShortJudgment"/>
              <w:ind w:firstLine="0"/>
              <w:rPr>
                <w:rFonts w:cs="Times New Roman"/>
                <w:szCs w:val="20"/>
                <w:u w:val="single"/>
                <w:lang w:val="fr-CA"/>
              </w:rPr>
            </w:pPr>
          </w:p>
        </w:tc>
        <w:tc>
          <w:tcPr>
            <w:tcW w:w="4536" w:type="dxa"/>
          </w:tcPr>
          <w:p w:rsidR="009D18B6" w:rsidRPr="00982C2B" w:rsidRDefault="009D18B6" w:rsidP="00390398">
            <w:pPr>
              <w:jc w:val="both"/>
              <w:rPr>
                <w:rFonts w:cs="Times New Roman"/>
                <w:sz w:val="20"/>
                <w:szCs w:val="20"/>
                <w:lang w:val="fr-CA"/>
              </w:rPr>
            </w:pPr>
            <w:r w:rsidRPr="00982C2B">
              <w:rPr>
                <w:rFonts w:cs="Times New Roman"/>
                <w:sz w:val="20"/>
                <w:szCs w:val="20"/>
                <w:lang w:val="fr-CA"/>
              </w:rPr>
              <w:t>Dépôt de la requête en prorogation du délai de signification et de dépôt de la demande d’autorisation d’appel et de la demande d’autorisation d’appel.</w:t>
            </w:r>
          </w:p>
          <w:p w:rsidR="009D18B6" w:rsidRPr="00982C2B" w:rsidRDefault="009D18B6" w:rsidP="00390398">
            <w:pPr>
              <w:pStyle w:val="SCCShortJudgment"/>
              <w:ind w:firstLine="0"/>
              <w:rPr>
                <w:rFonts w:cs="Times New Roman"/>
                <w:szCs w:val="20"/>
                <w:u w:val="single"/>
                <w:lang w:val="fr-CA"/>
              </w:rPr>
            </w:pPr>
          </w:p>
        </w:tc>
      </w:tr>
    </w:tbl>
    <w:p w:rsidR="009D18B6" w:rsidRPr="00982C2B" w:rsidRDefault="009F3029" w:rsidP="009D18B6">
      <w:pPr>
        <w:rPr>
          <w:rFonts w:cs="Times New Roman"/>
          <w:sz w:val="20"/>
          <w:szCs w:val="20"/>
          <w:lang w:val="fr-CA"/>
        </w:rPr>
      </w:pPr>
      <w:r>
        <w:rPr>
          <w:rFonts w:cs="Times New Roman"/>
          <w:sz w:val="20"/>
          <w:szCs w:val="20"/>
          <w:lang w:val="fr-CA"/>
        </w:rPr>
        <w:pict>
          <v:rect id="_x0000_i1068" style="width:2in;height:1pt" o:hrpct="0" o:hralign="center" o:hrstd="t" o:hrnoshade="t" o:hr="t" fillcolor="black [3213]" stroked="f"/>
        </w:pict>
      </w:r>
    </w:p>
    <w:p w:rsidR="009D18B6" w:rsidRPr="00982C2B" w:rsidRDefault="009D18B6" w:rsidP="009D18B6">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7766A" w:rsidRPr="009F3029" w:rsidTr="00DD2353">
        <w:tc>
          <w:tcPr>
            <w:tcW w:w="1458" w:type="dxa"/>
          </w:tcPr>
          <w:p w:rsidR="0087766A" w:rsidRPr="00982C2B" w:rsidRDefault="0087766A" w:rsidP="001828DC">
            <w:pPr>
              <w:jc w:val="both"/>
              <w:rPr>
                <w:rFonts w:cs="Times New Roman"/>
                <w:sz w:val="20"/>
                <w:szCs w:val="20"/>
              </w:rPr>
            </w:pPr>
            <w:r w:rsidRPr="00982C2B">
              <w:rPr>
                <w:rStyle w:val="SCCFileNumberChar"/>
                <w:sz w:val="20"/>
                <w:szCs w:val="20"/>
              </w:rPr>
              <w:t>36</w:t>
            </w:r>
            <w:r w:rsidR="00DD2353" w:rsidRPr="00982C2B">
              <w:rPr>
                <w:rStyle w:val="SCCFileNumberChar"/>
                <w:sz w:val="20"/>
                <w:szCs w:val="20"/>
              </w:rPr>
              <w:t>755</w:t>
            </w:r>
          </w:p>
          <w:p w:rsidR="0087766A" w:rsidRPr="00982C2B" w:rsidRDefault="0087766A" w:rsidP="001828DC">
            <w:pPr>
              <w:jc w:val="both"/>
              <w:rPr>
                <w:rFonts w:cs="Times New Roman"/>
                <w:b/>
                <w:sz w:val="20"/>
                <w:szCs w:val="20"/>
              </w:rPr>
            </w:pPr>
          </w:p>
        </w:tc>
        <w:tc>
          <w:tcPr>
            <w:tcW w:w="8118" w:type="dxa"/>
            <w:gridSpan w:val="3"/>
          </w:tcPr>
          <w:p w:rsidR="0087766A" w:rsidRPr="00982C2B" w:rsidRDefault="00DD2353" w:rsidP="001828DC">
            <w:pPr>
              <w:jc w:val="both"/>
              <w:rPr>
                <w:rFonts w:cs="Times New Roman"/>
                <w:sz w:val="20"/>
                <w:szCs w:val="20"/>
                <w:lang w:val="fr-CA"/>
              </w:rPr>
            </w:pPr>
            <w:r w:rsidRPr="00982C2B">
              <w:rPr>
                <w:rStyle w:val="SCCLsocChar"/>
                <w:rFonts w:cs="Times New Roman"/>
                <w:sz w:val="20"/>
                <w:szCs w:val="20"/>
              </w:rPr>
              <w:t xml:space="preserve">Pompage de Béton TPG Ltée c. Hydro-Québec </w:t>
            </w:r>
            <w:r w:rsidR="0087766A" w:rsidRPr="00982C2B">
              <w:rPr>
                <w:rFonts w:cs="Times New Roman"/>
                <w:sz w:val="20"/>
                <w:szCs w:val="20"/>
                <w:lang w:val="fr-CA"/>
              </w:rPr>
              <w:t>(</w:t>
            </w:r>
            <w:r w:rsidRPr="00982C2B">
              <w:rPr>
                <w:rFonts w:cs="Times New Roman"/>
                <w:sz w:val="20"/>
                <w:szCs w:val="20"/>
                <w:lang w:val="fr-CA"/>
              </w:rPr>
              <w:t>Qc</w:t>
            </w:r>
            <w:r w:rsidR="0087766A" w:rsidRPr="00982C2B">
              <w:rPr>
                <w:rFonts w:cs="Times New Roman"/>
                <w:sz w:val="20"/>
                <w:szCs w:val="20"/>
                <w:lang w:val="fr-CA"/>
              </w:rPr>
              <w:t>) (Civil</w:t>
            </w:r>
            <w:r w:rsidRPr="00982C2B">
              <w:rPr>
                <w:rFonts w:cs="Times New Roman"/>
                <w:sz w:val="20"/>
                <w:szCs w:val="20"/>
                <w:lang w:val="fr-CA"/>
              </w:rPr>
              <w:t>e</w:t>
            </w:r>
            <w:r w:rsidR="0087766A" w:rsidRPr="00982C2B">
              <w:rPr>
                <w:rFonts w:cs="Times New Roman"/>
                <w:sz w:val="20"/>
                <w:szCs w:val="20"/>
                <w:lang w:val="fr-CA"/>
              </w:rPr>
              <w:t>) (</w:t>
            </w:r>
            <w:r w:rsidRPr="00982C2B">
              <w:rPr>
                <w:rFonts w:cs="Times New Roman"/>
                <w:sz w:val="20"/>
                <w:szCs w:val="20"/>
                <w:lang w:val="fr-CA"/>
              </w:rPr>
              <w:t>Autorisation</w:t>
            </w:r>
            <w:r w:rsidR="0087766A" w:rsidRPr="00982C2B">
              <w:rPr>
                <w:rFonts w:cs="Times New Roman"/>
                <w:sz w:val="20"/>
                <w:szCs w:val="20"/>
                <w:lang w:val="fr-CA"/>
              </w:rPr>
              <w:t>)</w:t>
            </w:r>
          </w:p>
          <w:p w:rsidR="0087766A" w:rsidRPr="00982C2B" w:rsidRDefault="0087766A" w:rsidP="001828DC">
            <w:pPr>
              <w:jc w:val="both"/>
              <w:rPr>
                <w:rFonts w:cs="Times New Roman"/>
                <w:sz w:val="20"/>
                <w:szCs w:val="20"/>
                <w:lang w:val="fr-CA"/>
              </w:rPr>
            </w:pPr>
          </w:p>
        </w:tc>
      </w:tr>
      <w:tr w:rsidR="0087766A" w:rsidRPr="009F3029" w:rsidTr="00DD2353">
        <w:tc>
          <w:tcPr>
            <w:tcW w:w="1458" w:type="dxa"/>
          </w:tcPr>
          <w:p w:rsidR="0087766A" w:rsidRPr="00982C2B" w:rsidRDefault="0087766A" w:rsidP="001828DC">
            <w:pPr>
              <w:jc w:val="both"/>
              <w:rPr>
                <w:rFonts w:cs="Times New Roman"/>
                <w:sz w:val="20"/>
                <w:szCs w:val="20"/>
              </w:rPr>
            </w:pPr>
            <w:r w:rsidRPr="00982C2B">
              <w:rPr>
                <w:rFonts w:cs="Times New Roman"/>
                <w:sz w:val="20"/>
                <w:szCs w:val="20"/>
              </w:rPr>
              <w:t>Coram :</w:t>
            </w:r>
          </w:p>
        </w:tc>
        <w:tc>
          <w:tcPr>
            <w:tcW w:w="8118" w:type="dxa"/>
            <w:gridSpan w:val="3"/>
          </w:tcPr>
          <w:p w:rsidR="0087766A" w:rsidRPr="00982C2B" w:rsidRDefault="00DD2353" w:rsidP="001828DC">
            <w:pPr>
              <w:jc w:val="both"/>
              <w:rPr>
                <w:rStyle w:val="SCCCoramChar"/>
                <w:rFonts w:cs="Times New Roman"/>
                <w:sz w:val="20"/>
                <w:szCs w:val="20"/>
              </w:rPr>
            </w:pPr>
            <w:r w:rsidRPr="00982C2B">
              <w:rPr>
                <w:rStyle w:val="SCCCoramChar"/>
                <w:rFonts w:cs="Times New Roman"/>
                <w:sz w:val="20"/>
                <w:szCs w:val="20"/>
              </w:rPr>
              <w:t xml:space="preserve">Les juges Abella, Karakatsanis et Brown </w:t>
            </w:r>
          </w:p>
          <w:p w:rsidR="00DD2353" w:rsidRPr="00982C2B" w:rsidRDefault="00DD2353" w:rsidP="001828DC">
            <w:pPr>
              <w:jc w:val="both"/>
              <w:rPr>
                <w:rFonts w:cs="Times New Roman"/>
                <w:sz w:val="20"/>
                <w:szCs w:val="20"/>
                <w:u w:val="single"/>
                <w:lang w:val="fr-CA"/>
              </w:rPr>
            </w:pPr>
          </w:p>
        </w:tc>
      </w:tr>
      <w:tr w:rsidR="0087766A" w:rsidRPr="00982C2B" w:rsidTr="00DD2353">
        <w:tc>
          <w:tcPr>
            <w:tcW w:w="9576" w:type="dxa"/>
            <w:gridSpan w:val="4"/>
          </w:tcPr>
          <w:p w:rsidR="0087766A" w:rsidRPr="00982C2B" w:rsidRDefault="0087766A" w:rsidP="001828DC">
            <w:pPr>
              <w:pStyle w:val="SCCShortJudgment"/>
              <w:ind w:firstLine="0"/>
              <w:rPr>
                <w:rFonts w:cs="Times New Roman"/>
                <w:szCs w:val="20"/>
                <w:lang w:val="fr-CA"/>
              </w:rPr>
            </w:pPr>
            <w:r w:rsidRPr="00982C2B">
              <w:rPr>
                <w:rFonts w:cs="Times New Roman"/>
                <w:szCs w:val="20"/>
                <w:lang w:val="fr-CA"/>
              </w:rPr>
              <w:tab/>
            </w:r>
            <w:r w:rsidR="00DD2353" w:rsidRPr="00982C2B">
              <w:rPr>
                <w:rFonts w:cs="Times New Roman"/>
                <w:szCs w:val="20"/>
                <w:lang w:val="fr-CA"/>
              </w:rPr>
              <w:t>La demande d’autorisation d’appel de l’arrêt de la Cour d’appel du Québec (Montréal), numéro 500-09-025396-151, 2015 QCCA 1642, daté du 5 octobre 2015, est rejetée avec dépens.</w:t>
            </w:r>
          </w:p>
          <w:p w:rsidR="0087766A" w:rsidRPr="00982C2B" w:rsidRDefault="0087766A" w:rsidP="001828DC">
            <w:pPr>
              <w:pStyle w:val="SCCShortJudgment"/>
              <w:ind w:firstLine="0"/>
              <w:rPr>
                <w:rFonts w:cs="Times New Roman"/>
                <w:szCs w:val="20"/>
                <w:lang w:val="fr-CA"/>
              </w:rPr>
            </w:pPr>
          </w:p>
          <w:p w:rsidR="0087766A" w:rsidRPr="00982C2B" w:rsidRDefault="0087766A" w:rsidP="001828DC">
            <w:pPr>
              <w:pStyle w:val="SCCShortJudgment"/>
              <w:ind w:firstLine="0"/>
              <w:rPr>
                <w:rFonts w:cs="Times New Roman"/>
                <w:szCs w:val="20"/>
              </w:rPr>
            </w:pPr>
            <w:r w:rsidRPr="00982C2B">
              <w:rPr>
                <w:rFonts w:cs="Times New Roman"/>
                <w:szCs w:val="20"/>
                <w:lang w:val="fr-CA"/>
              </w:rPr>
              <w:tab/>
            </w:r>
            <w:r w:rsidR="00DD2353" w:rsidRPr="00982C2B">
              <w:rPr>
                <w:rFonts w:cs="Times New Roman"/>
                <w:szCs w:val="20"/>
              </w:rPr>
              <w:t>The application for leave to appeal from the judgment of the Court of Appeal of Quebec (Montréal), Number 500-09-025396-151, 2015 QCCA 1642, dated October 5, 2015, is dismissed with costs.</w:t>
            </w:r>
          </w:p>
          <w:p w:rsidR="0087766A" w:rsidRPr="00982C2B" w:rsidRDefault="0087766A" w:rsidP="001828DC">
            <w:pPr>
              <w:pStyle w:val="SCCShortJudgment"/>
              <w:ind w:firstLine="0"/>
              <w:rPr>
                <w:rFonts w:cs="Times New Roman"/>
                <w:szCs w:val="20"/>
              </w:rPr>
            </w:pPr>
          </w:p>
        </w:tc>
      </w:tr>
      <w:tr w:rsidR="0087766A" w:rsidRPr="00982C2B" w:rsidTr="00DD2353">
        <w:tc>
          <w:tcPr>
            <w:tcW w:w="9576" w:type="dxa"/>
            <w:gridSpan w:val="4"/>
          </w:tcPr>
          <w:p w:rsidR="0087766A" w:rsidRPr="00982C2B" w:rsidRDefault="0087766A" w:rsidP="001828DC">
            <w:pPr>
              <w:pStyle w:val="SCCShortJudgment"/>
              <w:ind w:firstLine="0"/>
              <w:rPr>
                <w:rFonts w:cs="Times New Roman"/>
                <w:szCs w:val="20"/>
                <w:u w:val="single"/>
                <w:lang w:val="fr-CA"/>
              </w:rPr>
            </w:pPr>
            <w:r w:rsidRPr="00982C2B">
              <w:rPr>
                <w:rFonts w:cs="Times New Roman"/>
                <w:szCs w:val="20"/>
                <w:u w:val="single"/>
                <w:lang w:val="fr-CA"/>
              </w:rPr>
              <w:t>CASE SUMMARY</w:t>
            </w:r>
          </w:p>
          <w:p w:rsidR="0087766A" w:rsidRPr="00982C2B" w:rsidRDefault="0087766A" w:rsidP="001828DC">
            <w:pPr>
              <w:pStyle w:val="SCCShortJudgment"/>
              <w:ind w:firstLine="0"/>
              <w:rPr>
                <w:rFonts w:cs="Times New Roman"/>
                <w:szCs w:val="20"/>
                <w:u w:val="single"/>
                <w:lang w:val="fr-CA"/>
              </w:rPr>
            </w:pPr>
          </w:p>
        </w:tc>
      </w:tr>
      <w:tr w:rsidR="0087766A" w:rsidRPr="00982C2B" w:rsidTr="00DD2353">
        <w:tc>
          <w:tcPr>
            <w:tcW w:w="9576" w:type="dxa"/>
            <w:gridSpan w:val="4"/>
          </w:tcPr>
          <w:p w:rsidR="00DD2353" w:rsidRPr="00982C2B" w:rsidRDefault="00DD2353" w:rsidP="001828DC">
            <w:pPr>
              <w:pStyle w:val="SCCShortJudgment"/>
              <w:ind w:firstLine="0"/>
              <w:rPr>
                <w:rFonts w:cs="Times New Roman"/>
                <w:szCs w:val="20"/>
              </w:rPr>
            </w:pPr>
            <w:r w:rsidRPr="00982C2B">
              <w:rPr>
                <w:rFonts w:cs="Times New Roman"/>
                <w:szCs w:val="20"/>
              </w:rPr>
              <w:t xml:space="preserve">Contracts </w:t>
            </w:r>
            <w:r w:rsidRPr="00982C2B">
              <w:rPr>
                <w:rFonts w:cs="Times New Roman"/>
                <w:szCs w:val="20"/>
                <w:lang w:val="en-US"/>
              </w:rPr>
              <w:t>—</w:t>
            </w:r>
            <w:r w:rsidRPr="00982C2B">
              <w:rPr>
                <w:rFonts w:cs="Times New Roman"/>
                <w:szCs w:val="20"/>
              </w:rPr>
              <w:t xml:space="preserve"> Call for tenders </w:t>
            </w:r>
            <w:r w:rsidRPr="00982C2B">
              <w:rPr>
                <w:rFonts w:cs="Times New Roman"/>
                <w:szCs w:val="20"/>
                <w:lang w:val="en-US"/>
              </w:rPr>
              <w:t>—</w:t>
            </w:r>
            <w:r w:rsidRPr="00982C2B">
              <w:rPr>
                <w:rFonts w:cs="Times New Roman"/>
                <w:szCs w:val="20"/>
              </w:rPr>
              <w:t xml:space="preserve"> Conformity of lowest tender </w:t>
            </w:r>
            <w:r w:rsidRPr="00982C2B">
              <w:rPr>
                <w:rFonts w:cs="Times New Roman"/>
                <w:szCs w:val="20"/>
                <w:lang w:val="en-US"/>
              </w:rPr>
              <w:t>—</w:t>
            </w:r>
            <w:r w:rsidRPr="00982C2B">
              <w:rPr>
                <w:rFonts w:cs="Times New Roman"/>
                <w:szCs w:val="20"/>
              </w:rPr>
              <w:t xml:space="preserve"> Whether evaluation of tenders must be based on uniform criteria and requirements for all tenderers </w:t>
            </w:r>
            <w:r w:rsidRPr="00982C2B">
              <w:rPr>
                <w:rFonts w:cs="Times New Roman"/>
                <w:szCs w:val="20"/>
                <w:lang w:val="en-US"/>
              </w:rPr>
              <w:t>—</w:t>
            </w:r>
            <w:r w:rsidRPr="00982C2B">
              <w:rPr>
                <w:rFonts w:cs="Times New Roman"/>
                <w:szCs w:val="20"/>
              </w:rPr>
              <w:t xml:space="preserve"> Whether acceptance of substantial change to tender between closing date of calls for tenders and awarding of contract is contrary to obligation to treat tenderers fairly.</w:t>
            </w:r>
          </w:p>
        </w:tc>
      </w:tr>
      <w:tr w:rsidR="0087766A" w:rsidRPr="00982C2B" w:rsidTr="00DD2353">
        <w:tc>
          <w:tcPr>
            <w:tcW w:w="9576" w:type="dxa"/>
            <w:gridSpan w:val="4"/>
          </w:tcPr>
          <w:p w:rsidR="00DD2353" w:rsidRPr="00982C2B" w:rsidRDefault="00DD2353" w:rsidP="001828DC">
            <w:pPr>
              <w:jc w:val="both"/>
              <w:rPr>
                <w:rFonts w:cs="Times New Roman"/>
                <w:sz w:val="20"/>
                <w:szCs w:val="20"/>
              </w:rPr>
            </w:pPr>
            <w:r w:rsidRPr="00982C2B">
              <w:rPr>
                <w:rFonts w:cs="Times New Roman"/>
                <w:sz w:val="20"/>
                <w:szCs w:val="20"/>
              </w:rPr>
              <w:t xml:space="preserve">In November 2007, the applicant participated in a call for tenders issued by the respondent for the supply of a concrete pump. It was in competition with a third party, which tendered at a lower price. The applicant, relying on its knowledge of the pumps owned by the third party, pointed out to the respondent that the third party’s tender was non-conforming. It seems that the third party did not have the required pump at the time it tendered and referred in its tender to a model existing on the market that it planned to acquire. </w:t>
            </w:r>
          </w:p>
          <w:p w:rsidR="00DD2353" w:rsidRPr="00982C2B" w:rsidRDefault="00DD2353" w:rsidP="001828DC">
            <w:pPr>
              <w:jc w:val="both"/>
              <w:rPr>
                <w:rFonts w:cs="Times New Roman"/>
                <w:sz w:val="20"/>
                <w:szCs w:val="20"/>
              </w:rPr>
            </w:pPr>
          </w:p>
          <w:p w:rsidR="00DD2353" w:rsidRPr="00982C2B" w:rsidRDefault="00DD2353" w:rsidP="001828DC">
            <w:pPr>
              <w:jc w:val="both"/>
              <w:rPr>
                <w:rFonts w:cs="Times New Roman"/>
                <w:sz w:val="20"/>
                <w:szCs w:val="20"/>
              </w:rPr>
            </w:pPr>
            <w:r w:rsidRPr="00982C2B">
              <w:rPr>
                <w:rFonts w:cs="Times New Roman"/>
                <w:sz w:val="20"/>
                <w:szCs w:val="20"/>
              </w:rPr>
              <w:t xml:space="preserve">In response to the applicant’s allegations, the respondent requested details on the pump from the third party, which changed its mind and rented a pump that was similar but not identical to the pump specified in its tender. Since the rented pump was considered conforming, the respondent awarded the contract to the third party. </w:t>
            </w:r>
          </w:p>
          <w:p w:rsidR="00DD2353" w:rsidRPr="00982C2B" w:rsidRDefault="00DD2353" w:rsidP="001828DC">
            <w:pPr>
              <w:jc w:val="both"/>
              <w:rPr>
                <w:rFonts w:cs="Times New Roman"/>
                <w:sz w:val="20"/>
                <w:szCs w:val="20"/>
              </w:rPr>
            </w:pPr>
          </w:p>
          <w:p w:rsidR="00DD2353" w:rsidRPr="00982C2B" w:rsidRDefault="00DD2353" w:rsidP="001828DC">
            <w:pPr>
              <w:jc w:val="both"/>
              <w:rPr>
                <w:rFonts w:cs="Times New Roman"/>
                <w:sz w:val="20"/>
                <w:szCs w:val="20"/>
              </w:rPr>
            </w:pPr>
            <w:r w:rsidRPr="00982C2B">
              <w:rPr>
                <w:rFonts w:cs="Times New Roman"/>
                <w:sz w:val="20"/>
                <w:szCs w:val="20"/>
              </w:rPr>
              <w:t>The respondent also awarded that third party two other contracts, which had shorter terms and were made by mutual agreement.</w:t>
            </w:r>
          </w:p>
          <w:p w:rsidR="00DD2353" w:rsidRPr="00982C2B" w:rsidRDefault="00DD2353" w:rsidP="001828DC">
            <w:pPr>
              <w:jc w:val="both"/>
              <w:rPr>
                <w:rFonts w:cs="Times New Roman"/>
                <w:sz w:val="20"/>
                <w:szCs w:val="20"/>
              </w:rPr>
            </w:pPr>
          </w:p>
          <w:p w:rsidR="0087766A" w:rsidRPr="00982C2B" w:rsidRDefault="00DD2353" w:rsidP="001828DC">
            <w:pPr>
              <w:pStyle w:val="SCCShortJudgment"/>
              <w:ind w:firstLine="0"/>
              <w:rPr>
                <w:rFonts w:cs="Times New Roman"/>
                <w:szCs w:val="20"/>
              </w:rPr>
            </w:pPr>
            <w:r w:rsidRPr="00982C2B">
              <w:rPr>
                <w:rFonts w:cs="Times New Roman"/>
                <w:szCs w:val="20"/>
              </w:rPr>
              <w:t>The applicant filed a motion to institute proceedings for damages because it had not been awarded the contracts even though it was the only conforming tenderer. The applicant also argued that the respondent had favoured the third party in its tendering process.</w:t>
            </w:r>
          </w:p>
          <w:p w:rsidR="00DD2353" w:rsidRPr="00982C2B" w:rsidRDefault="00DD2353" w:rsidP="001828DC">
            <w:pPr>
              <w:pStyle w:val="SCCShortJudgment"/>
              <w:ind w:firstLine="0"/>
              <w:rPr>
                <w:rFonts w:cs="Times New Roman"/>
                <w:szCs w:val="20"/>
              </w:rPr>
            </w:pPr>
          </w:p>
        </w:tc>
      </w:tr>
      <w:tr w:rsidR="0087766A" w:rsidRPr="00982C2B" w:rsidTr="00DD2353">
        <w:tc>
          <w:tcPr>
            <w:tcW w:w="4410" w:type="dxa"/>
            <w:gridSpan w:val="2"/>
          </w:tcPr>
          <w:p w:rsidR="00DD2353" w:rsidRPr="00982C2B" w:rsidRDefault="00DD2353" w:rsidP="001828DC">
            <w:pPr>
              <w:jc w:val="both"/>
              <w:rPr>
                <w:rFonts w:cs="Times New Roman"/>
                <w:sz w:val="20"/>
                <w:szCs w:val="20"/>
              </w:rPr>
            </w:pPr>
            <w:r w:rsidRPr="00982C2B">
              <w:rPr>
                <w:rFonts w:cs="Times New Roman"/>
                <w:sz w:val="20"/>
                <w:szCs w:val="20"/>
              </w:rPr>
              <w:t>May 26, 2015</w:t>
            </w:r>
          </w:p>
          <w:p w:rsidR="00DD2353" w:rsidRPr="00982C2B" w:rsidRDefault="00DD2353" w:rsidP="001828DC">
            <w:pPr>
              <w:jc w:val="both"/>
              <w:rPr>
                <w:rFonts w:cs="Times New Roman"/>
                <w:sz w:val="20"/>
                <w:szCs w:val="20"/>
              </w:rPr>
            </w:pPr>
            <w:r w:rsidRPr="00982C2B">
              <w:rPr>
                <w:rFonts w:cs="Times New Roman"/>
                <w:sz w:val="20"/>
                <w:szCs w:val="20"/>
              </w:rPr>
              <w:t>Quebec Superior Court</w:t>
            </w:r>
          </w:p>
          <w:p w:rsidR="00DD2353" w:rsidRPr="00982C2B" w:rsidRDefault="00DD2353" w:rsidP="001828DC">
            <w:pPr>
              <w:jc w:val="both"/>
              <w:rPr>
                <w:rFonts w:cs="Times New Roman"/>
                <w:sz w:val="20"/>
                <w:szCs w:val="20"/>
              </w:rPr>
            </w:pPr>
            <w:r w:rsidRPr="00982C2B">
              <w:rPr>
                <w:rFonts w:cs="Times New Roman"/>
                <w:sz w:val="20"/>
                <w:szCs w:val="20"/>
              </w:rPr>
              <w:t>(Hamilton J.)</w:t>
            </w:r>
          </w:p>
          <w:p w:rsidR="00DD2353" w:rsidRPr="00982C2B" w:rsidRDefault="009F3029" w:rsidP="001828DC">
            <w:pPr>
              <w:jc w:val="both"/>
              <w:rPr>
                <w:rFonts w:cs="Times New Roman"/>
                <w:sz w:val="20"/>
                <w:szCs w:val="20"/>
              </w:rPr>
            </w:pPr>
            <w:hyperlink r:id="rId70" w:history="1">
              <w:r w:rsidR="00DD2353" w:rsidRPr="00982C2B">
                <w:rPr>
                  <w:rStyle w:val="Hyperlink"/>
                  <w:rFonts w:cs="Times New Roman"/>
                  <w:sz w:val="20"/>
                  <w:szCs w:val="20"/>
                </w:rPr>
                <w:t>2015 QCCS 2378</w:t>
              </w:r>
            </w:hyperlink>
            <w:r w:rsidR="00DD2353" w:rsidRPr="00982C2B">
              <w:rPr>
                <w:rFonts w:cs="Times New Roman"/>
                <w:sz w:val="20"/>
                <w:szCs w:val="20"/>
              </w:rPr>
              <w:t xml:space="preserve"> </w:t>
            </w:r>
          </w:p>
          <w:p w:rsidR="0087766A" w:rsidRPr="00982C2B" w:rsidRDefault="0087766A" w:rsidP="001828DC">
            <w:pPr>
              <w:jc w:val="both"/>
              <w:rPr>
                <w:rFonts w:cs="Times New Roman"/>
                <w:sz w:val="20"/>
                <w:szCs w:val="20"/>
              </w:rPr>
            </w:pPr>
          </w:p>
        </w:tc>
        <w:tc>
          <w:tcPr>
            <w:tcW w:w="630" w:type="dxa"/>
          </w:tcPr>
          <w:p w:rsidR="0087766A" w:rsidRPr="00982C2B" w:rsidRDefault="0087766A" w:rsidP="001828DC">
            <w:pPr>
              <w:pStyle w:val="SCCShortJudgment"/>
              <w:ind w:firstLine="0"/>
              <w:rPr>
                <w:rFonts w:cs="Times New Roman"/>
                <w:szCs w:val="20"/>
              </w:rPr>
            </w:pPr>
          </w:p>
        </w:tc>
        <w:tc>
          <w:tcPr>
            <w:tcW w:w="4536" w:type="dxa"/>
          </w:tcPr>
          <w:p w:rsidR="0087766A" w:rsidRPr="00982C2B" w:rsidRDefault="00DD2353" w:rsidP="001828DC">
            <w:pPr>
              <w:jc w:val="both"/>
              <w:rPr>
                <w:rFonts w:cs="Times New Roman"/>
                <w:sz w:val="20"/>
                <w:szCs w:val="20"/>
              </w:rPr>
            </w:pPr>
            <w:r w:rsidRPr="00982C2B">
              <w:rPr>
                <w:rFonts w:cs="Times New Roman"/>
                <w:sz w:val="20"/>
                <w:szCs w:val="20"/>
              </w:rPr>
              <w:t>Motion for damages dismissed</w:t>
            </w:r>
          </w:p>
        </w:tc>
      </w:tr>
      <w:tr w:rsidR="0087766A" w:rsidRPr="00982C2B" w:rsidTr="00DD2353">
        <w:tc>
          <w:tcPr>
            <w:tcW w:w="4410" w:type="dxa"/>
            <w:gridSpan w:val="2"/>
          </w:tcPr>
          <w:p w:rsidR="00DD2353" w:rsidRPr="00982C2B" w:rsidRDefault="00DD2353" w:rsidP="001828DC">
            <w:pPr>
              <w:jc w:val="both"/>
              <w:rPr>
                <w:rFonts w:cs="Times New Roman"/>
                <w:sz w:val="20"/>
                <w:szCs w:val="20"/>
              </w:rPr>
            </w:pPr>
            <w:r w:rsidRPr="00982C2B">
              <w:rPr>
                <w:rFonts w:cs="Times New Roman"/>
                <w:sz w:val="20"/>
                <w:szCs w:val="20"/>
              </w:rPr>
              <w:t>October 5, 2015</w:t>
            </w:r>
          </w:p>
          <w:p w:rsidR="00DD2353" w:rsidRPr="00982C2B" w:rsidRDefault="00DD2353" w:rsidP="001828DC">
            <w:pPr>
              <w:jc w:val="both"/>
              <w:rPr>
                <w:rFonts w:cs="Times New Roman"/>
                <w:sz w:val="20"/>
                <w:szCs w:val="20"/>
              </w:rPr>
            </w:pPr>
            <w:r w:rsidRPr="00982C2B">
              <w:rPr>
                <w:rFonts w:cs="Times New Roman"/>
                <w:sz w:val="20"/>
                <w:szCs w:val="20"/>
              </w:rPr>
              <w:t>Quebec Court of Appeal (Montréal)</w:t>
            </w:r>
          </w:p>
          <w:p w:rsidR="00DD2353" w:rsidRPr="00982C2B" w:rsidRDefault="00DD2353" w:rsidP="001828DC">
            <w:pPr>
              <w:jc w:val="both"/>
              <w:rPr>
                <w:rFonts w:cs="Times New Roman"/>
                <w:sz w:val="20"/>
                <w:szCs w:val="20"/>
              </w:rPr>
            </w:pPr>
            <w:r w:rsidRPr="00982C2B">
              <w:rPr>
                <w:rFonts w:cs="Times New Roman"/>
                <w:sz w:val="20"/>
                <w:szCs w:val="20"/>
              </w:rPr>
              <w:t>(Chamberland, Marcotte and Emond JJ.A.)</w:t>
            </w:r>
          </w:p>
          <w:p w:rsidR="00DD2353" w:rsidRPr="00982C2B" w:rsidRDefault="009F3029" w:rsidP="001828DC">
            <w:pPr>
              <w:jc w:val="both"/>
              <w:rPr>
                <w:rFonts w:cs="Times New Roman"/>
                <w:sz w:val="20"/>
                <w:szCs w:val="20"/>
              </w:rPr>
            </w:pPr>
            <w:hyperlink r:id="rId71" w:history="1">
              <w:r w:rsidR="00DD2353" w:rsidRPr="00982C2B">
                <w:rPr>
                  <w:rStyle w:val="Hyperlink"/>
                  <w:rFonts w:cs="Times New Roman"/>
                  <w:sz w:val="20"/>
                  <w:szCs w:val="20"/>
                </w:rPr>
                <w:t>2015 QCCA 1642</w:t>
              </w:r>
            </w:hyperlink>
          </w:p>
          <w:p w:rsidR="0087766A" w:rsidRPr="00982C2B" w:rsidRDefault="0087766A" w:rsidP="001828DC">
            <w:pPr>
              <w:jc w:val="both"/>
              <w:rPr>
                <w:rFonts w:cs="Times New Roman"/>
                <w:sz w:val="20"/>
                <w:szCs w:val="20"/>
              </w:rPr>
            </w:pPr>
          </w:p>
        </w:tc>
        <w:tc>
          <w:tcPr>
            <w:tcW w:w="630" w:type="dxa"/>
          </w:tcPr>
          <w:p w:rsidR="0087766A" w:rsidRPr="00982C2B" w:rsidRDefault="0087766A" w:rsidP="001828DC">
            <w:pPr>
              <w:pStyle w:val="SCCShortJudgment"/>
              <w:ind w:firstLine="0"/>
              <w:rPr>
                <w:rFonts w:cs="Times New Roman"/>
                <w:szCs w:val="20"/>
              </w:rPr>
            </w:pPr>
          </w:p>
        </w:tc>
        <w:tc>
          <w:tcPr>
            <w:tcW w:w="4536" w:type="dxa"/>
          </w:tcPr>
          <w:p w:rsidR="00DD2353" w:rsidRPr="00982C2B" w:rsidRDefault="00DD2353" w:rsidP="001828DC">
            <w:pPr>
              <w:jc w:val="both"/>
              <w:rPr>
                <w:rFonts w:cs="Times New Roman"/>
                <w:sz w:val="20"/>
                <w:szCs w:val="20"/>
              </w:rPr>
            </w:pPr>
            <w:r w:rsidRPr="00982C2B">
              <w:rPr>
                <w:rFonts w:cs="Times New Roman"/>
                <w:sz w:val="20"/>
                <w:szCs w:val="20"/>
              </w:rPr>
              <w:t>Respondent’s motion to dismiss appeal allowed</w:t>
            </w:r>
          </w:p>
          <w:p w:rsidR="0087766A" w:rsidRPr="00982C2B" w:rsidRDefault="0087766A" w:rsidP="001828DC">
            <w:pPr>
              <w:jc w:val="both"/>
              <w:rPr>
                <w:rFonts w:cs="Times New Roman"/>
                <w:sz w:val="20"/>
                <w:szCs w:val="20"/>
              </w:rPr>
            </w:pPr>
          </w:p>
        </w:tc>
      </w:tr>
      <w:tr w:rsidR="0087766A" w:rsidRPr="00982C2B" w:rsidTr="00DD2353">
        <w:tc>
          <w:tcPr>
            <w:tcW w:w="4410" w:type="dxa"/>
            <w:gridSpan w:val="2"/>
          </w:tcPr>
          <w:p w:rsidR="00DD2353" w:rsidRPr="00982C2B" w:rsidRDefault="00DD2353" w:rsidP="001828DC">
            <w:pPr>
              <w:jc w:val="both"/>
              <w:rPr>
                <w:rFonts w:cs="Times New Roman"/>
                <w:sz w:val="20"/>
                <w:szCs w:val="20"/>
              </w:rPr>
            </w:pPr>
            <w:r w:rsidRPr="00982C2B">
              <w:rPr>
                <w:rFonts w:cs="Times New Roman"/>
                <w:sz w:val="20"/>
                <w:szCs w:val="20"/>
              </w:rPr>
              <w:t>December 4, 2015</w:t>
            </w:r>
          </w:p>
          <w:p w:rsidR="00DD2353" w:rsidRPr="00982C2B" w:rsidRDefault="00DD2353" w:rsidP="001828DC">
            <w:pPr>
              <w:jc w:val="both"/>
              <w:rPr>
                <w:rFonts w:cs="Times New Roman"/>
                <w:sz w:val="20"/>
                <w:szCs w:val="20"/>
              </w:rPr>
            </w:pPr>
            <w:r w:rsidRPr="00982C2B">
              <w:rPr>
                <w:rFonts w:cs="Times New Roman"/>
                <w:sz w:val="20"/>
                <w:szCs w:val="20"/>
              </w:rPr>
              <w:t>Supreme Court of Canada</w:t>
            </w:r>
          </w:p>
          <w:p w:rsidR="0087766A" w:rsidRPr="00982C2B" w:rsidRDefault="0087766A" w:rsidP="001828DC">
            <w:pPr>
              <w:jc w:val="both"/>
              <w:rPr>
                <w:rFonts w:cs="Times New Roman"/>
                <w:sz w:val="20"/>
                <w:szCs w:val="20"/>
              </w:rPr>
            </w:pPr>
          </w:p>
        </w:tc>
        <w:tc>
          <w:tcPr>
            <w:tcW w:w="630" w:type="dxa"/>
          </w:tcPr>
          <w:p w:rsidR="0087766A" w:rsidRPr="00982C2B" w:rsidRDefault="0087766A" w:rsidP="001828DC">
            <w:pPr>
              <w:pStyle w:val="SCCShortJudgment"/>
              <w:ind w:firstLine="0"/>
              <w:rPr>
                <w:rFonts w:cs="Times New Roman"/>
                <w:szCs w:val="20"/>
              </w:rPr>
            </w:pPr>
          </w:p>
        </w:tc>
        <w:tc>
          <w:tcPr>
            <w:tcW w:w="4536" w:type="dxa"/>
          </w:tcPr>
          <w:p w:rsidR="0087766A" w:rsidRPr="00982C2B" w:rsidRDefault="00DD2353" w:rsidP="001828DC">
            <w:pPr>
              <w:jc w:val="both"/>
              <w:rPr>
                <w:rFonts w:cs="Times New Roman"/>
                <w:sz w:val="20"/>
                <w:szCs w:val="20"/>
              </w:rPr>
            </w:pPr>
            <w:r w:rsidRPr="00982C2B">
              <w:rPr>
                <w:rFonts w:cs="Times New Roman"/>
                <w:sz w:val="20"/>
                <w:szCs w:val="20"/>
              </w:rPr>
              <w:t>Application for leave to appeal filed</w:t>
            </w:r>
          </w:p>
        </w:tc>
      </w:tr>
      <w:tr w:rsidR="0087766A" w:rsidRPr="00982C2B" w:rsidTr="00DD2353">
        <w:tc>
          <w:tcPr>
            <w:tcW w:w="9576" w:type="dxa"/>
            <w:gridSpan w:val="4"/>
          </w:tcPr>
          <w:p w:rsidR="0087766A" w:rsidRPr="00982C2B" w:rsidRDefault="009F3029" w:rsidP="00C643DA">
            <w:pPr>
              <w:pStyle w:val="SCCShortJudgment"/>
              <w:ind w:firstLine="0"/>
              <w:rPr>
                <w:rFonts w:cs="Times New Roman"/>
                <w:szCs w:val="20"/>
                <w:lang w:val="fr-CA"/>
              </w:rPr>
            </w:pPr>
            <w:r>
              <w:rPr>
                <w:rFonts w:cs="Times New Roman"/>
                <w:szCs w:val="20"/>
                <w:lang w:val="fr-CA"/>
              </w:rPr>
              <w:pict>
                <v:rect id="_x0000_i1069" style="width:2in;height:1pt" o:hrpct="0" o:hralign="center" o:hrstd="t" o:hrnoshade="t" o:hr="t" fillcolor="black [3213]" stroked="f"/>
              </w:pict>
            </w:r>
          </w:p>
          <w:p w:rsidR="0087766A" w:rsidRPr="00982C2B" w:rsidRDefault="0087766A" w:rsidP="00C643DA">
            <w:pPr>
              <w:pStyle w:val="SCCShortJudgment"/>
              <w:ind w:firstLine="0"/>
              <w:rPr>
                <w:rFonts w:cs="Times New Roman"/>
                <w:szCs w:val="20"/>
                <w:lang w:val="fr-CA"/>
              </w:rPr>
            </w:pPr>
          </w:p>
        </w:tc>
      </w:tr>
      <w:tr w:rsidR="0087766A" w:rsidRPr="00982C2B" w:rsidTr="00DD2353">
        <w:tc>
          <w:tcPr>
            <w:tcW w:w="9576" w:type="dxa"/>
            <w:gridSpan w:val="4"/>
          </w:tcPr>
          <w:p w:rsidR="0087766A" w:rsidRPr="00982C2B" w:rsidRDefault="0087766A"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87766A" w:rsidRPr="00982C2B" w:rsidRDefault="0087766A" w:rsidP="00C643DA">
            <w:pPr>
              <w:pStyle w:val="SCCShortJudgment"/>
              <w:ind w:firstLine="0"/>
              <w:rPr>
                <w:rFonts w:cs="Times New Roman"/>
                <w:szCs w:val="20"/>
                <w:u w:val="single"/>
                <w:lang w:val="fr-CA"/>
              </w:rPr>
            </w:pPr>
          </w:p>
        </w:tc>
      </w:tr>
      <w:tr w:rsidR="0087766A" w:rsidRPr="009F3029" w:rsidTr="00DD2353">
        <w:tc>
          <w:tcPr>
            <w:tcW w:w="9576" w:type="dxa"/>
            <w:gridSpan w:val="4"/>
          </w:tcPr>
          <w:p w:rsidR="0087766A" w:rsidRPr="00982C2B" w:rsidRDefault="00DD2353" w:rsidP="00C643DA">
            <w:pPr>
              <w:pStyle w:val="SCCShortJudgment"/>
              <w:ind w:firstLine="0"/>
              <w:rPr>
                <w:rFonts w:cs="Times New Roman"/>
                <w:szCs w:val="20"/>
                <w:lang w:val="fr-CA"/>
              </w:rPr>
            </w:pPr>
            <w:r w:rsidRPr="00982C2B">
              <w:rPr>
                <w:rFonts w:cs="Times New Roman"/>
                <w:szCs w:val="20"/>
                <w:lang w:val="fr-CA"/>
              </w:rPr>
              <w:t>Contrats — Appel d’offres — Conformité de la plus basse soumission — Est-ce que l’évaluation des soumissions doit être soumise à l’application de critères et exigences uniformes pour tous les soumissionnaires? — Le fait d’accepter une modification substantielle à une soumission entre l’expiration du délai de clôture des appels d’offres et l’octroi du contrat va-t-il à l’encontre de l’obligation de traiter les soumissionnaires équitablement?</w:t>
            </w:r>
          </w:p>
          <w:p w:rsidR="00DD2353" w:rsidRPr="00982C2B" w:rsidRDefault="00DD2353" w:rsidP="00C643DA">
            <w:pPr>
              <w:pStyle w:val="SCCShortJudgment"/>
              <w:ind w:firstLine="0"/>
              <w:rPr>
                <w:rFonts w:cs="Times New Roman"/>
                <w:szCs w:val="20"/>
                <w:u w:val="single"/>
                <w:lang w:val="fr-CA"/>
              </w:rPr>
            </w:pPr>
          </w:p>
        </w:tc>
      </w:tr>
      <w:tr w:rsidR="0087766A" w:rsidRPr="009F3029" w:rsidTr="00DD2353">
        <w:tc>
          <w:tcPr>
            <w:tcW w:w="9576" w:type="dxa"/>
            <w:gridSpan w:val="4"/>
          </w:tcPr>
          <w:p w:rsidR="00DD2353" w:rsidRPr="00982C2B" w:rsidRDefault="00DD2353" w:rsidP="00DD2353">
            <w:pPr>
              <w:jc w:val="both"/>
              <w:rPr>
                <w:rFonts w:cs="Times New Roman"/>
                <w:sz w:val="20"/>
                <w:szCs w:val="20"/>
                <w:lang w:val="fr-CA"/>
              </w:rPr>
            </w:pPr>
            <w:r w:rsidRPr="00982C2B">
              <w:rPr>
                <w:rFonts w:cs="Times New Roman"/>
                <w:sz w:val="20"/>
                <w:szCs w:val="20"/>
                <w:lang w:val="fr-CA"/>
              </w:rPr>
              <w:t xml:space="preserve">La demanderesse participe, en novembre 2007, à un appel d’offres de l’intimée pour la fourniture  d’une pompe à béton. Elle est en compétition avec une tierce compagnie, qui soumissionne à un plus bas prix. La demanderesse soulève à l’intimée la non-conformité de cette soumission, se fondant sur sa connaissance des pompes que cette dernière possède. Or, il appert que la tierce compagnie n’avait pas la pompe requise au moment de soumissionner et qu’elle a indiqué dans sa soumission un modèle existant sur le marché, qu’elle prévoyait acquérir. </w:t>
            </w:r>
          </w:p>
          <w:p w:rsidR="00DD2353" w:rsidRPr="00982C2B" w:rsidRDefault="00DD2353" w:rsidP="00DD2353">
            <w:pPr>
              <w:jc w:val="both"/>
              <w:rPr>
                <w:rFonts w:cs="Times New Roman"/>
                <w:sz w:val="20"/>
                <w:szCs w:val="20"/>
                <w:lang w:val="fr-CA"/>
              </w:rPr>
            </w:pPr>
          </w:p>
          <w:p w:rsidR="00DD2353" w:rsidRPr="00982C2B" w:rsidRDefault="00DD2353" w:rsidP="00DD2353">
            <w:pPr>
              <w:jc w:val="both"/>
              <w:rPr>
                <w:rFonts w:cs="Times New Roman"/>
                <w:sz w:val="20"/>
                <w:szCs w:val="20"/>
                <w:lang w:val="fr-CA"/>
              </w:rPr>
            </w:pPr>
            <w:r w:rsidRPr="00982C2B">
              <w:rPr>
                <w:rFonts w:cs="Times New Roman"/>
                <w:sz w:val="20"/>
                <w:szCs w:val="20"/>
                <w:lang w:val="fr-CA"/>
              </w:rPr>
              <w:t xml:space="preserve">L’intimée, en réponse aux allégations de la demanderesse, demande les détails de ladite pompe à la tierce compagnie qui se ravise et loue une pompe semblable, mais pas identique, à celle indiquée dans sa soumission. Puisque la pompe louée est considérée comme étant conforme, l’intimée accorde le contrat à la tierce compagnie. </w:t>
            </w:r>
          </w:p>
          <w:p w:rsidR="00DD2353" w:rsidRPr="00982C2B" w:rsidRDefault="00DD2353" w:rsidP="00DD2353">
            <w:pPr>
              <w:jc w:val="both"/>
              <w:rPr>
                <w:rFonts w:cs="Times New Roman"/>
                <w:sz w:val="20"/>
                <w:szCs w:val="20"/>
                <w:lang w:val="fr-CA"/>
              </w:rPr>
            </w:pPr>
          </w:p>
          <w:p w:rsidR="00DD2353" w:rsidRPr="00982C2B" w:rsidRDefault="00DD2353" w:rsidP="00DD2353">
            <w:pPr>
              <w:jc w:val="both"/>
              <w:rPr>
                <w:rFonts w:cs="Times New Roman"/>
                <w:sz w:val="20"/>
                <w:szCs w:val="20"/>
                <w:lang w:val="fr-CA"/>
              </w:rPr>
            </w:pPr>
            <w:r w:rsidRPr="00982C2B">
              <w:rPr>
                <w:rFonts w:cs="Times New Roman"/>
                <w:sz w:val="20"/>
                <w:szCs w:val="20"/>
                <w:lang w:val="fr-CA"/>
              </w:rPr>
              <w:t>Cette tierce compagnie s’est également vue octroyé par l’intimée deux autre contrats, de plus courtes durées et conclut de gré à gré.</w:t>
            </w:r>
          </w:p>
          <w:p w:rsidR="00DD2353" w:rsidRPr="00982C2B" w:rsidRDefault="00DD2353" w:rsidP="00DD2353">
            <w:pPr>
              <w:jc w:val="both"/>
              <w:rPr>
                <w:rFonts w:cs="Times New Roman"/>
                <w:sz w:val="20"/>
                <w:szCs w:val="20"/>
                <w:lang w:val="fr-CA"/>
              </w:rPr>
            </w:pPr>
          </w:p>
          <w:p w:rsidR="0087766A" w:rsidRPr="00982C2B" w:rsidRDefault="00DD2353" w:rsidP="00DD2353">
            <w:pPr>
              <w:jc w:val="both"/>
              <w:rPr>
                <w:rFonts w:cs="Times New Roman"/>
                <w:sz w:val="20"/>
                <w:szCs w:val="20"/>
                <w:u w:val="single"/>
                <w:lang w:val="fr-CA"/>
              </w:rPr>
            </w:pPr>
            <w:r w:rsidRPr="00982C2B">
              <w:rPr>
                <w:rFonts w:cs="Times New Roman"/>
                <w:sz w:val="20"/>
                <w:szCs w:val="20"/>
                <w:lang w:val="fr-CA"/>
              </w:rPr>
              <w:t xml:space="preserve">La demanderesse dépose une requête introductive d’instance pour dommages du fait qu’elle ne s’est pas vu octroyer les contrats alors qu’elle était la seule soumissionnaire conforme. La demanderesse soutient également que l’intimée a favorisé la tierce compagnie dans le processus d’appel d’offres qu’elle a tenue.  </w:t>
            </w:r>
          </w:p>
        </w:tc>
      </w:tr>
      <w:tr w:rsidR="0087766A" w:rsidRPr="009F3029" w:rsidTr="00DD2353">
        <w:tc>
          <w:tcPr>
            <w:tcW w:w="9576" w:type="dxa"/>
            <w:gridSpan w:val="4"/>
          </w:tcPr>
          <w:p w:rsidR="0087766A" w:rsidRPr="00982C2B" w:rsidRDefault="0087766A" w:rsidP="00C643DA">
            <w:pPr>
              <w:pStyle w:val="SCCShortJudgment"/>
              <w:ind w:firstLine="0"/>
              <w:rPr>
                <w:rFonts w:cs="Times New Roman"/>
                <w:szCs w:val="20"/>
                <w:u w:val="single"/>
                <w:lang w:val="fr-CA"/>
              </w:rPr>
            </w:pPr>
          </w:p>
        </w:tc>
      </w:tr>
      <w:tr w:rsidR="0087766A" w:rsidRPr="00982C2B" w:rsidTr="00DD2353">
        <w:tc>
          <w:tcPr>
            <w:tcW w:w="4410" w:type="dxa"/>
            <w:gridSpan w:val="2"/>
          </w:tcPr>
          <w:p w:rsidR="00DD2353" w:rsidRPr="00982C2B" w:rsidRDefault="00DD2353" w:rsidP="001828DC">
            <w:pPr>
              <w:jc w:val="both"/>
              <w:rPr>
                <w:rFonts w:cs="Times New Roman"/>
                <w:sz w:val="20"/>
                <w:szCs w:val="20"/>
                <w:lang w:val="fr-CA"/>
              </w:rPr>
            </w:pPr>
            <w:r w:rsidRPr="00982C2B">
              <w:rPr>
                <w:rFonts w:cs="Times New Roman"/>
                <w:sz w:val="20"/>
                <w:szCs w:val="20"/>
                <w:lang w:val="fr-CA"/>
              </w:rPr>
              <w:t>Le 26 mai 2015</w:t>
            </w:r>
          </w:p>
          <w:p w:rsidR="00DD2353" w:rsidRPr="00982C2B" w:rsidRDefault="00DD2353" w:rsidP="001828DC">
            <w:pPr>
              <w:jc w:val="both"/>
              <w:rPr>
                <w:rFonts w:cs="Times New Roman"/>
                <w:sz w:val="20"/>
                <w:szCs w:val="20"/>
                <w:lang w:val="fr-CA"/>
              </w:rPr>
            </w:pPr>
            <w:r w:rsidRPr="00982C2B">
              <w:rPr>
                <w:rFonts w:cs="Times New Roman"/>
                <w:sz w:val="20"/>
                <w:szCs w:val="20"/>
                <w:lang w:val="fr-CA"/>
              </w:rPr>
              <w:t>Cour supérieure du Québec</w:t>
            </w:r>
          </w:p>
          <w:p w:rsidR="00DD2353" w:rsidRPr="00982C2B" w:rsidRDefault="00DD2353" w:rsidP="001828DC">
            <w:pPr>
              <w:jc w:val="both"/>
              <w:rPr>
                <w:rFonts w:cs="Times New Roman"/>
                <w:sz w:val="20"/>
                <w:szCs w:val="20"/>
              </w:rPr>
            </w:pPr>
            <w:r w:rsidRPr="00982C2B">
              <w:rPr>
                <w:rFonts w:cs="Times New Roman"/>
                <w:sz w:val="20"/>
                <w:szCs w:val="20"/>
              </w:rPr>
              <w:t>(Le juge Hamilton)</w:t>
            </w:r>
          </w:p>
          <w:p w:rsidR="00DD2353" w:rsidRPr="00982C2B" w:rsidRDefault="009F3029" w:rsidP="001828DC">
            <w:pPr>
              <w:jc w:val="both"/>
              <w:rPr>
                <w:rFonts w:cs="Times New Roman"/>
                <w:sz w:val="20"/>
                <w:szCs w:val="20"/>
              </w:rPr>
            </w:pPr>
            <w:hyperlink r:id="rId72" w:history="1">
              <w:r w:rsidR="00DD2353" w:rsidRPr="00982C2B">
                <w:rPr>
                  <w:rStyle w:val="Hyperlink"/>
                  <w:rFonts w:cs="Times New Roman"/>
                  <w:sz w:val="20"/>
                  <w:szCs w:val="20"/>
                </w:rPr>
                <w:t>2015 QCCS 2378</w:t>
              </w:r>
            </w:hyperlink>
            <w:r w:rsidR="00DD2353" w:rsidRPr="00982C2B">
              <w:rPr>
                <w:rFonts w:cs="Times New Roman"/>
                <w:sz w:val="20"/>
                <w:szCs w:val="20"/>
              </w:rPr>
              <w:t xml:space="preserve"> </w:t>
            </w:r>
          </w:p>
          <w:p w:rsidR="0087766A" w:rsidRPr="00982C2B" w:rsidRDefault="0087766A" w:rsidP="001828DC">
            <w:pPr>
              <w:pStyle w:val="SCCShortJudgment"/>
              <w:ind w:firstLine="0"/>
              <w:rPr>
                <w:rFonts w:cs="Times New Roman"/>
                <w:szCs w:val="20"/>
                <w:u w:val="single"/>
                <w:lang w:val="fr-CA"/>
              </w:rPr>
            </w:pPr>
          </w:p>
        </w:tc>
        <w:tc>
          <w:tcPr>
            <w:tcW w:w="630" w:type="dxa"/>
          </w:tcPr>
          <w:p w:rsidR="0087766A" w:rsidRPr="00982C2B" w:rsidRDefault="0087766A" w:rsidP="001828DC">
            <w:pPr>
              <w:pStyle w:val="SCCShortJudgment"/>
              <w:ind w:firstLine="0"/>
              <w:rPr>
                <w:rFonts w:cs="Times New Roman"/>
                <w:szCs w:val="20"/>
                <w:u w:val="single"/>
                <w:lang w:val="fr-CA"/>
              </w:rPr>
            </w:pPr>
          </w:p>
        </w:tc>
        <w:tc>
          <w:tcPr>
            <w:tcW w:w="4536" w:type="dxa"/>
          </w:tcPr>
          <w:p w:rsidR="00DD2353" w:rsidRPr="00982C2B" w:rsidRDefault="00DD2353" w:rsidP="001828DC">
            <w:pPr>
              <w:jc w:val="both"/>
              <w:rPr>
                <w:rFonts w:cs="Times New Roman"/>
                <w:sz w:val="20"/>
                <w:szCs w:val="20"/>
              </w:rPr>
            </w:pPr>
            <w:r w:rsidRPr="00982C2B">
              <w:rPr>
                <w:rFonts w:cs="Times New Roman"/>
                <w:sz w:val="20"/>
                <w:szCs w:val="20"/>
              </w:rPr>
              <w:t>Requête pour dommages rejetée</w:t>
            </w:r>
          </w:p>
          <w:p w:rsidR="0087766A" w:rsidRPr="00982C2B" w:rsidRDefault="0087766A" w:rsidP="001828DC">
            <w:pPr>
              <w:pStyle w:val="SCCShortJudgment"/>
              <w:ind w:firstLine="0"/>
              <w:rPr>
                <w:rFonts w:cs="Times New Roman"/>
                <w:szCs w:val="20"/>
                <w:u w:val="single"/>
                <w:lang w:val="fr-CA"/>
              </w:rPr>
            </w:pPr>
          </w:p>
        </w:tc>
      </w:tr>
      <w:tr w:rsidR="0087766A" w:rsidRPr="009F3029" w:rsidTr="00DD2353">
        <w:tc>
          <w:tcPr>
            <w:tcW w:w="4410" w:type="dxa"/>
            <w:gridSpan w:val="2"/>
          </w:tcPr>
          <w:p w:rsidR="00DD2353" w:rsidRPr="00982C2B" w:rsidRDefault="00DD2353" w:rsidP="001828DC">
            <w:pPr>
              <w:jc w:val="both"/>
              <w:rPr>
                <w:rFonts w:cs="Times New Roman"/>
                <w:sz w:val="20"/>
                <w:szCs w:val="20"/>
                <w:lang w:val="fr-CA"/>
              </w:rPr>
            </w:pPr>
            <w:r w:rsidRPr="00982C2B">
              <w:rPr>
                <w:rFonts w:cs="Times New Roman"/>
                <w:sz w:val="20"/>
                <w:szCs w:val="20"/>
                <w:lang w:val="fr-CA"/>
              </w:rPr>
              <w:t>Le 5 octobre 2015</w:t>
            </w:r>
          </w:p>
          <w:p w:rsidR="00DD2353" w:rsidRPr="00982C2B" w:rsidRDefault="00DD2353" w:rsidP="001828DC">
            <w:pPr>
              <w:jc w:val="both"/>
              <w:rPr>
                <w:rFonts w:cs="Times New Roman"/>
                <w:sz w:val="20"/>
                <w:szCs w:val="20"/>
                <w:lang w:val="fr-CA"/>
              </w:rPr>
            </w:pPr>
            <w:r w:rsidRPr="00982C2B">
              <w:rPr>
                <w:rFonts w:cs="Times New Roman"/>
                <w:sz w:val="20"/>
                <w:szCs w:val="20"/>
                <w:lang w:val="fr-CA"/>
              </w:rPr>
              <w:t>Cour d’appel du Québec (Montréal)</w:t>
            </w:r>
          </w:p>
          <w:p w:rsidR="00DD2353" w:rsidRPr="00982C2B" w:rsidRDefault="00DD2353" w:rsidP="001828DC">
            <w:pPr>
              <w:jc w:val="both"/>
              <w:rPr>
                <w:rFonts w:cs="Times New Roman"/>
                <w:sz w:val="20"/>
                <w:szCs w:val="20"/>
                <w:lang w:val="fr-CA"/>
              </w:rPr>
            </w:pPr>
            <w:r w:rsidRPr="00982C2B">
              <w:rPr>
                <w:rFonts w:cs="Times New Roman"/>
                <w:sz w:val="20"/>
                <w:szCs w:val="20"/>
                <w:lang w:val="fr-CA"/>
              </w:rPr>
              <w:t>(Les juges Chamberland, Marcotte et Emond)</w:t>
            </w:r>
          </w:p>
          <w:p w:rsidR="00DD2353" w:rsidRPr="00982C2B" w:rsidRDefault="009F3029" w:rsidP="001828DC">
            <w:pPr>
              <w:jc w:val="both"/>
              <w:rPr>
                <w:rFonts w:cs="Times New Roman"/>
                <w:sz w:val="20"/>
                <w:szCs w:val="20"/>
              </w:rPr>
            </w:pPr>
            <w:hyperlink r:id="rId73" w:history="1">
              <w:r w:rsidR="00DD2353" w:rsidRPr="00982C2B">
                <w:rPr>
                  <w:rStyle w:val="Hyperlink"/>
                  <w:rFonts w:cs="Times New Roman"/>
                  <w:sz w:val="20"/>
                  <w:szCs w:val="20"/>
                </w:rPr>
                <w:t>2015 QCCA 1642</w:t>
              </w:r>
            </w:hyperlink>
          </w:p>
          <w:p w:rsidR="0087766A" w:rsidRPr="00982C2B" w:rsidRDefault="0087766A" w:rsidP="001828DC">
            <w:pPr>
              <w:pStyle w:val="SCCShortJudgment"/>
              <w:ind w:firstLine="0"/>
              <w:rPr>
                <w:rFonts w:cs="Times New Roman"/>
                <w:szCs w:val="20"/>
                <w:u w:val="single"/>
                <w:lang w:val="fr-CA"/>
              </w:rPr>
            </w:pPr>
          </w:p>
        </w:tc>
        <w:tc>
          <w:tcPr>
            <w:tcW w:w="630" w:type="dxa"/>
          </w:tcPr>
          <w:p w:rsidR="0087766A" w:rsidRPr="00982C2B" w:rsidRDefault="0087766A" w:rsidP="001828DC">
            <w:pPr>
              <w:pStyle w:val="SCCShortJudgment"/>
              <w:ind w:firstLine="0"/>
              <w:rPr>
                <w:rFonts w:cs="Times New Roman"/>
                <w:szCs w:val="20"/>
                <w:u w:val="single"/>
                <w:lang w:val="fr-CA"/>
              </w:rPr>
            </w:pPr>
          </w:p>
        </w:tc>
        <w:tc>
          <w:tcPr>
            <w:tcW w:w="4536" w:type="dxa"/>
          </w:tcPr>
          <w:p w:rsidR="00DD2353" w:rsidRPr="00982C2B" w:rsidRDefault="00DD2353" w:rsidP="001828DC">
            <w:pPr>
              <w:jc w:val="both"/>
              <w:rPr>
                <w:rFonts w:cs="Times New Roman"/>
                <w:sz w:val="20"/>
                <w:szCs w:val="20"/>
                <w:lang w:val="fr-CA"/>
              </w:rPr>
            </w:pPr>
            <w:r w:rsidRPr="00982C2B">
              <w:rPr>
                <w:rFonts w:cs="Times New Roman"/>
                <w:sz w:val="20"/>
                <w:szCs w:val="20"/>
                <w:lang w:val="fr-CA"/>
              </w:rPr>
              <w:t>Requête en rejet d’appel de l’intimée accueillie</w:t>
            </w:r>
          </w:p>
          <w:p w:rsidR="0087766A" w:rsidRPr="00982C2B" w:rsidRDefault="0087766A" w:rsidP="001828DC">
            <w:pPr>
              <w:pStyle w:val="SCCShortJudgment"/>
              <w:ind w:firstLine="0"/>
              <w:rPr>
                <w:rFonts w:cs="Times New Roman"/>
                <w:szCs w:val="20"/>
                <w:u w:val="single"/>
                <w:lang w:val="fr-CA"/>
              </w:rPr>
            </w:pPr>
          </w:p>
        </w:tc>
      </w:tr>
      <w:tr w:rsidR="0087766A" w:rsidRPr="00982C2B" w:rsidTr="00DD2353">
        <w:tc>
          <w:tcPr>
            <w:tcW w:w="4410" w:type="dxa"/>
            <w:gridSpan w:val="2"/>
          </w:tcPr>
          <w:p w:rsidR="00DD2353" w:rsidRPr="00982C2B" w:rsidRDefault="00DD2353" w:rsidP="001828DC">
            <w:pPr>
              <w:jc w:val="both"/>
              <w:rPr>
                <w:rFonts w:cs="Times New Roman"/>
                <w:sz w:val="20"/>
                <w:szCs w:val="20"/>
                <w:lang w:val="fr-CA"/>
              </w:rPr>
            </w:pPr>
            <w:r w:rsidRPr="00982C2B">
              <w:rPr>
                <w:rFonts w:cs="Times New Roman"/>
                <w:sz w:val="20"/>
                <w:szCs w:val="20"/>
                <w:lang w:val="fr-CA"/>
              </w:rPr>
              <w:t>Le 4 décembre 2015</w:t>
            </w:r>
          </w:p>
          <w:p w:rsidR="00DD2353" w:rsidRPr="00982C2B" w:rsidRDefault="00DD2353" w:rsidP="001828DC">
            <w:pPr>
              <w:jc w:val="both"/>
              <w:rPr>
                <w:rFonts w:cs="Times New Roman"/>
                <w:sz w:val="20"/>
                <w:szCs w:val="20"/>
                <w:lang w:val="fr-CA"/>
              </w:rPr>
            </w:pPr>
            <w:r w:rsidRPr="00982C2B">
              <w:rPr>
                <w:rFonts w:cs="Times New Roman"/>
                <w:sz w:val="20"/>
                <w:szCs w:val="20"/>
                <w:lang w:val="fr-CA"/>
              </w:rPr>
              <w:t>Cour suprême du Canada</w:t>
            </w:r>
          </w:p>
          <w:p w:rsidR="0087766A" w:rsidRPr="00982C2B" w:rsidRDefault="0087766A" w:rsidP="001828DC">
            <w:pPr>
              <w:pStyle w:val="SCCShortJudgment"/>
              <w:ind w:firstLine="0"/>
              <w:rPr>
                <w:rFonts w:cs="Times New Roman"/>
                <w:szCs w:val="20"/>
                <w:u w:val="single"/>
                <w:lang w:val="fr-CA"/>
              </w:rPr>
            </w:pPr>
          </w:p>
        </w:tc>
        <w:tc>
          <w:tcPr>
            <w:tcW w:w="630" w:type="dxa"/>
          </w:tcPr>
          <w:p w:rsidR="0087766A" w:rsidRPr="00982C2B" w:rsidRDefault="0087766A" w:rsidP="001828DC">
            <w:pPr>
              <w:pStyle w:val="SCCShortJudgment"/>
              <w:ind w:firstLine="0"/>
              <w:rPr>
                <w:rFonts w:cs="Times New Roman"/>
                <w:szCs w:val="20"/>
                <w:u w:val="single"/>
                <w:lang w:val="fr-CA"/>
              </w:rPr>
            </w:pPr>
          </w:p>
        </w:tc>
        <w:tc>
          <w:tcPr>
            <w:tcW w:w="4536" w:type="dxa"/>
          </w:tcPr>
          <w:p w:rsidR="0087766A" w:rsidRPr="00982C2B" w:rsidRDefault="00DD2353" w:rsidP="001828DC">
            <w:pPr>
              <w:pStyle w:val="SCCShortJudgment"/>
              <w:ind w:firstLine="0"/>
              <w:rPr>
                <w:rFonts w:cs="Times New Roman"/>
                <w:szCs w:val="20"/>
                <w:u w:val="single"/>
                <w:lang w:val="fr-CA"/>
              </w:rPr>
            </w:pPr>
            <w:r w:rsidRPr="00982C2B">
              <w:rPr>
                <w:rFonts w:cs="Times New Roman"/>
                <w:szCs w:val="20"/>
              </w:rPr>
              <w:t>Demande d'autorisation d'appel déposée</w:t>
            </w:r>
          </w:p>
        </w:tc>
      </w:tr>
    </w:tbl>
    <w:p w:rsidR="005236C8" w:rsidRPr="00982C2B" w:rsidRDefault="009F3029" w:rsidP="008D292F">
      <w:pPr>
        <w:rPr>
          <w:rFonts w:cs="Times New Roman"/>
          <w:sz w:val="20"/>
          <w:szCs w:val="20"/>
          <w:lang w:val="fr-CA"/>
        </w:rPr>
      </w:pPr>
      <w:r>
        <w:rPr>
          <w:rFonts w:cs="Times New Roman"/>
          <w:sz w:val="20"/>
          <w:szCs w:val="20"/>
          <w:lang w:val="fr-CA"/>
        </w:rPr>
        <w:pict>
          <v:rect id="_x0000_i1070" style="width:2in;height:1pt" o:hrpct="0" o:hralign="center" o:hrstd="t" o:hrnoshade="t" o:hr="t" fillcolor="black [3213]" stroked="f"/>
        </w:pict>
      </w:r>
    </w:p>
    <w:p w:rsidR="005236C8" w:rsidRPr="00982C2B" w:rsidRDefault="005236C8" w:rsidP="008D292F">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A1666" w:rsidRPr="00982C2B" w:rsidTr="006A1666">
        <w:tc>
          <w:tcPr>
            <w:tcW w:w="1458" w:type="dxa"/>
          </w:tcPr>
          <w:p w:rsidR="006A1666" w:rsidRPr="00982C2B" w:rsidRDefault="006A1666" w:rsidP="00C643DA">
            <w:pPr>
              <w:rPr>
                <w:rFonts w:cs="Times New Roman"/>
                <w:sz w:val="20"/>
                <w:szCs w:val="20"/>
              </w:rPr>
            </w:pPr>
            <w:r w:rsidRPr="00982C2B">
              <w:rPr>
                <w:rStyle w:val="SCCFileNumberChar"/>
                <w:sz w:val="20"/>
                <w:szCs w:val="20"/>
              </w:rPr>
              <w:t>36756</w:t>
            </w:r>
          </w:p>
          <w:p w:rsidR="006A1666" w:rsidRPr="00982C2B" w:rsidRDefault="006A1666" w:rsidP="00C643DA">
            <w:pPr>
              <w:rPr>
                <w:rFonts w:cs="Times New Roman"/>
                <w:b/>
                <w:sz w:val="20"/>
                <w:szCs w:val="20"/>
              </w:rPr>
            </w:pPr>
          </w:p>
        </w:tc>
        <w:tc>
          <w:tcPr>
            <w:tcW w:w="8118" w:type="dxa"/>
            <w:gridSpan w:val="3"/>
          </w:tcPr>
          <w:p w:rsidR="006A1666" w:rsidRPr="00982C2B" w:rsidRDefault="006A1666" w:rsidP="00C643DA">
            <w:pPr>
              <w:rPr>
                <w:rFonts w:cs="Times New Roman"/>
                <w:sz w:val="20"/>
                <w:szCs w:val="20"/>
              </w:rPr>
            </w:pPr>
            <w:r w:rsidRPr="00982C2B">
              <w:rPr>
                <w:rStyle w:val="SCCLsocChar"/>
                <w:rFonts w:cs="Times New Roman"/>
                <w:sz w:val="20"/>
                <w:szCs w:val="20"/>
                <w:lang w:val="en-CA"/>
              </w:rPr>
              <w:t>Robert Charles Phillip Lawrence v. Her Majesty the Queen</w:t>
            </w:r>
            <w:r w:rsidRPr="00982C2B">
              <w:rPr>
                <w:rStyle w:val="SCCLsocChar"/>
                <w:rFonts w:cs="Times New Roman"/>
                <w:sz w:val="20"/>
                <w:szCs w:val="20"/>
                <w:u w:val="none"/>
                <w:lang w:val="en-CA"/>
              </w:rPr>
              <w:t xml:space="preserve"> </w:t>
            </w:r>
            <w:r w:rsidRPr="00982C2B">
              <w:rPr>
                <w:rFonts w:cs="Times New Roman"/>
                <w:sz w:val="20"/>
                <w:szCs w:val="20"/>
              </w:rPr>
              <w:t>(</w:t>
            </w:r>
            <w:r w:rsidR="00B56816" w:rsidRPr="00982C2B">
              <w:rPr>
                <w:rFonts w:cs="Times New Roman"/>
                <w:sz w:val="20"/>
                <w:szCs w:val="20"/>
              </w:rPr>
              <w:t>B.C.</w:t>
            </w:r>
            <w:r w:rsidRPr="00982C2B">
              <w:rPr>
                <w:rFonts w:cs="Times New Roman"/>
                <w:sz w:val="20"/>
                <w:szCs w:val="20"/>
              </w:rPr>
              <w:t>) (C</w:t>
            </w:r>
            <w:r w:rsidR="00B56816" w:rsidRPr="00982C2B">
              <w:rPr>
                <w:rFonts w:cs="Times New Roman"/>
                <w:sz w:val="20"/>
                <w:szCs w:val="20"/>
              </w:rPr>
              <w:t>rim.</w:t>
            </w:r>
            <w:r w:rsidRPr="00982C2B">
              <w:rPr>
                <w:rFonts w:cs="Times New Roman"/>
                <w:sz w:val="20"/>
                <w:szCs w:val="20"/>
              </w:rPr>
              <w:t>) (By Leave)</w:t>
            </w:r>
          </w:p>
          <w:p w:rsidR="006A1666" w:rsidRPr="00982C2B" w:rsidRDefault="006A1666" w:rsidP="00C643DA">
            <w:pPr>
              <w:rPr>
                <w:rFonts w:cs="Times New Roman"/>
                <w:sz w:val="20"/>
                <w:szCs w:val="20"/>
              </w:rPr>
            </w:pPr>
          </w:p>
        </w:tc>
      </w:tr>
      <w:tr w:rsidR="006A1666" w:rsidRPr="00982C2B" w:rsidTr="006A1666">
        <w:tc>
          <w:tcPr>
            <w:tcW w:w="1458" w:type="dxa"/>
          </w:tcPr>
          <w:p w:rsidR="006A1666" w:rsidRPr="00982C2B" w:rsidRDefault="006A1666" w:rsidP="00C643DA">
            <w:pPr>
              <w:rPr>
                <w:rFonts w:cs="Times New Roman"/>
                <w:sz w:val="20"/>
                <w:szCs w:val="20"/>
              </w:rPr>
            </w:pPr>
            <w:r w:rsidRPr="00982C2B">
              <w:rPr>
                <w:rFonts w:cs="Times New Roman"/>
                <w:sz w:val="20"/>
                <w:szCs w:val="20"/>
              </w:rPr>
              <w:t>Coram :</w:t>
            </w:r>
          </w:p>
        </w:tc>
        <w:tc>
          <w:tcPr>
            <w:tcW w:w="8118" w:type="dxa"/>
            <w:gridSpan w:val="3"/>
          </w:tcPr>
          <w:p w:rsidR="006A1666" w:rsidRPr="00982C2B" w:rsidRDefault="006A1666" w:rsidP="00C643DA">
            <w:pPr>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6A1666" w:rsidRPr="00982C2B" w:rsidRDefault="006A1666" w:rsidP="00C643DA">
            <w:pPr>
              <w:rPr>
                <w:rFonts w:cs="Times New Roman"/>
                <w:sz w:val="20"/>
                <w:szCs w:val="20"/>
                <w:u w:val="single"/>
              </w:rPr>
            </w:pPr>
          </w:p>
        </w:tc>
      </w:tr>
      <w:tr w:rsidR="006A1666" w:rsidRPr="009F3029" w:rsidTr="006A1666">
        <w:tc>
          <w:tcPr>
            <w:tcW w:w="9576" w:type="dxa"/>
            <w:gridSpan w:val="4"/>
          </w:tcPr>
          <w:p w:rsidR="006A1666" w:rsidRPr="00982C2B" w:rsidRDefault="006A1666" w:rsidP="00C643DA">
            <w:pPr>
              <w:pStyle w:val="SCCShortJudgment"/>
              <w:ind w:firstLine="0"/>
              <w:rPr>
                <w:rFonts w:cs="Times New Roman"/>
                <w:szCs w:val="20"/>
              </w:rPr>
            </w:pPr>
            <w:r w:rsidRPr="00982C2B">
              <w:rPr>
                <w:rFonts w:cs="Times New Roman"/>
                <w:szCs w:val="20"/>
              </w:rPr>
              <w:tab/>
              <w:t>The motion for an extension of time to serve and file the application for leave to appeal is granted.  The application for leave to appeal from the judgment of the Court of Appeal for British Columbia (Vancouver), Number CA39802, 2015 BCCA 358, dated August 12, 2015, is dismissed.</w:t>
            </w:r>
          </w:p>
          <w:p w:rsidR="006A1666" w:rsidRPr="00982C2B" w:rsidRDefault="006A1666" w:rsidP="00C643DA">
            <w:pPr>
              <w:pStyle w:val="SCCShortJudgment"/>
              <w:ind w:firstLine="0"/>
              <w:rPr>
                <w:rFonts w:cs="Times New Roman"/>
                <w:szCs w:val="20"/>
              </w:rPr>
            </w:pPr>
          </w:p>
          <w:p w:rsidR="006A1666" w:rsidRPr="00982C2B" w:rsidRDefault="006A1666" w:rsidP="00C643DA">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requête en prorogation du délai de signification et de dépôt de la demande d’autorisation d’appel est accueillie. La demande d’autorisation d’appel de l’arrêt de la </w:t>
            </w:r>
            <w:r w:rsidRPr="00982C2B">
              <w:rPr>
                <w:rFonts w:cs="Times New Roman"/>
                <w:szCs w:val="20"/>
                <w:lang w:val="fr-FR"/>
              </w:rPr>
              <w:t>Cour d’appel de la Colombie-Britannique (Vancouver)</w:t>
            </w:r>
            <w:r w:rsidRPr="00982C2B">
              <w:rPr>
                <w:rFonts w:cs="Times New Roman"/>
                <w:szCs w:val="20"/>
                <w:lang w:val="fr-CA"/>
              </w:rPr>
              <w:t xml:space="preserve">, numéro </w:t>
            </w:r>
            <w:r w:rsidRPr="00982C2B">
              <w:rPr>
                <w:rFonts w:cs="Times New Roman"/>
                <w:szCs w:val="20"/>
                <w:lang w:val="fr-FR"/>
              </w:rPr>
              <w:t>CA39802, 2015 BCCA 358</w:t>
            </w:r>
            <w:r w:rsidRPr="00982C2B">
              <w:rPr>
                <w:rFonts w:cs="Times New Roman"/>
                <w:szCs w:val="20"/>
                <w:lang w:val="fr-CA"/>
              </w:rPr>
              <w:t xml:space="preserve">, daté du </w:t>
            </w:r>
            <w:r w:rsidRPr="00982C2B">
              <w:rPr>
                <w:rFonts w:cs="Times New Roman"/>
                <w:szCs w:val="20"/>
                <w:lang w:val="fr-FR"/>
              </w:rPr>
              <w:t>12 août 2015</w:t>
            </w:r>
            <w:r w:rsidRPr="00982C2B">
              <w:rPr>
                <w:rFonts w:cs="Times New Roman"/>
                <w:szCs w:val="20"/>
                <w:lang w:val="fr-CA"/>
              </w:rPr>
              <w:t>, est rejetée.</w:t>
            </w:r>
          </w:p>
          <w:p w:rsidR="006A1666" w:rsidRPr="00982C2B" w:rsidRDefault="006A1666" w:rsidP="00C643DA">
            <w:pPr>
              <w:pStyle w:val="SCCShortJudgment"/>
              <w:ind w:firstLine="0"/>
              <w:rPr>
                <w:rFonts w:cs="Times New Roman"/>
                <w:szCs w:val="20"/>
                <w:lang w:val="fr-CA"/>
              </w:rPr>
            </w:pPr>
          </w:p>
        </w:tc>
      </w:tr>
      <w:tr w:rsidR="006A1666" w:rsidRPr="00982C2B" w:rsidTr="006A1666">
        <w:tc>
          <w:tcPr>
            <w:tcW w:w="9576" w:type="dxa"/>
            <w:gridSpan w:val="4"/>
          </w:tcPr>
          <w:p w:rsidR="006A1666" w:rsidRPr="00982C2B" w:rsidRDefault="006A1666" w:rsidP="00C643DA">
            <w:pPr>
              <w:pStyle w:val="SCCShortJudgment"/>
              <w:ind w:firstLine="0"/>
              <w:rPr>
                <w:rFonts w:cs="Times New Roman"/>
                <w:szCs w:val="20"/>
                <w:u w:val="single"/>
                <w:lang w:val="fr-CA"/>
              </w:rPr>
            </w:pPr>
            <w:r w:rsidRPr="00982C2B">
              <w:rPr>
                <w:rFonts w:cs="Times New Roman"/>
                <w:szCs w:val="20"/>
                <w:u w:val="single"/>
                <w:lang w:val="fr-CA"/>
              </w:rPr>
              <w:t>CASE SUMMARY</w:t>
            </w:r>
          </w:p>
          <w:p w:rsidR="006A1666" w:rsidRPr="00982C2B" w:rsidRDefault="006A1666" w:rsidP="00C643DA">
            <w:pPr>
              <w:pStyle w:val="SCCShortJudgment"/>
              <w:ind w:firstLine="0"/>
              <w:rPr>
                <w:rFonts w:cs="Times New Roman"/>
                <w:szCs w:val="20"/>
                <w:u w:val="single"/>
                <w:lang w:val="fr-CA"/>
              </w:rPr>
            </w:pPr>
          </w:p>
        </w:tc>
      </w:tr>
      <w:tr w:rsidR="006A1666" w:rsidRPr="00982C2B" w:rsidTr="006A1666">
        <w:tc>
          <w:tcPr>
            <w:tcW w:w="9576" w:type="dxa"/>
            <w:gridSpan w:val="4"/>
          </w:tcPr>
          <w:p w:rsidR="006A1666" w:rsidRPr="00982C2B" w:rsidRDefault="006A1666" w:rsidP="006A1666">
            <w:pPr>
              <w:pStyle w:val="SCCBanSummary"/>
              <w:rPr>
                <w:rFonts w:cs="Times New Roman"/>
                <w:sz w:val="20"/>
                <w:szCs w:val="20"/>
              </w:rPr>
            </w:pPr>
            <w:r w:rsidRPr="00982C2B">
              <w:rPr>
                <w:rFonts w:cs="Times New Roman"/>
                <w:sz w:val="20"/>
                <w:szCs w:val="20"/>
              </w:rPr>
              <w:t>(Publication ban in case)</w:t>
            </w:r>
          </w:p>
          <w:p w:rsidR="006A1666" w:rsidRPr="00982C2B" w:rsidRDefault="006A1666" w:rsidP="006A1666">
            <w:pPr>
              <w:jc w:val="both"/>
              <w:rPr>
                <w:rFonts w:cs="Times New Roman"/>
                <w:sz w:val="20"/>
                <w:szCs w:val="20"/>
              </w:rPr>
            </w:pPr>
          </w:p>
          <w:p w:rsidR="006A1666" w:rsidRPr="00982C2B" w:rsidRDefault="006A1666" w:rsidP="006A1666">
            <w:pPr>
              <w:jc w:val="both"/>
              <w:rPr>
                <w:rFonts w:cs="Times New Roman"/>
                <w:sz w:val="20"/>
                <w:szCs w:val="20"/>
              </w:rPr>
            </w:pPr>
            <w:r w:rsidRPr="00982C2B">
              <w:rPr>
                <w:rFonts w:cs="Times New Roman"/>
                <w:sz w:val="20"/>
                <w:szCs w:val="20"/>
              </w:rPr>
              <w:t xml:space="preserve">Criminal law — Sexual assault — Evidence — Expert evidence — Credibility — Whether evidence of nature and quality of complainant’s spousal relationship at time of offence admissible and relevant to issue of consent — In what circumstances can such evidence be admitted and for what purpose — What is scope and effect of notice and disclosure provisions for expert evidence in s. 657.3 of the </w:t>
            </w:r>
            <w:r w:rsidRPr="00982C2B">
              <w:rPr>
                <w:rFonts w:cs="Times New Roman"/>
                <w:i/>
                <w:sz w:val="20"/>
                <w:szCs w:val="20"/>
              </w:rPr>
              <w:t>Criminal Code</w:t>
            </w:r>
            <w:r w:rsidRPr="00982C2B">
              <w:rPr>
                <w:rFonts w:cs="Times New Roman"/>
                <w:sz w:val="20"/>
                <w:szCs w:val="20"/>
              </w:rPr>
              <w:t>?</w:t>
            </w:r>
          </w:p>
          <w:p w:rsidR="006A1666" w:rsidRPr="00982C2B" w:rsidRDefault="006A1666" w:rsidP="006A1666">
            <w:pPr>
              <w:pStyle w:val="SCCShortJudgment"/>
              <w:ind w:firstLine="0"/>
              <w:rPr>
                <w:rFonts w:cs="Times New Roman"/>
                <w:szCs w:val="20"/>
              </w:rPr>
            </w:pPr>
          </w:p>
        </w:tc>
      </w:tr>
      <w:tr w:rsidR="006A1666" w:rsidRPr="00982C2B" w:rsidTr="006A1666">
        <w:tc>
          <w:tcPr>
            <w:tcW w:w="9576" w:type="dxa"/>
            <w:gridSpan w:val="4"/>
          </w:tcPr>
          <w:p w:rsidR="006A1666" w:rsidRPr="00982C2B" w:rsidRDefault="006A1666" w:rsidP="006A1666">
            <w:pPr>
              <w:jc w:val="both"/>
              <w:rPr>
                <w:rFonts w:cs="Times New Roman"/>
                <w:sz w:val="20"/>
                <w:szCs w:val="20"/>
              </w:rPr>
            </w:pPr>
            <w:r w:rsidRPr="00982C2B">
              <w:rPr>
                <w:rFonts w:cs="Times New Roman"/>
                <w:sz w:val="20"/>
                <w:szCs w:val="20"/>
              </w:rPr>
              <w:t xml:space="preserve">Robert Lawrence was charged with sexual assault and attempting to render the complainant incapable of resistance to sexual assault, contrary to ss. 271(1) and 246(a) of the </w:t>
            </w:r>
            <w:r w:rsidRPr="00982C2B">
              <w:rPr>
                <w:rFonts w:cs="Times New Roman"/>
                <w:i/>
                <w:sz w:val="20"/>
                <w:szCs w:val="20"/>
              </w:rPr>
              <w:t>Criminal Code</w:t>
            </w:r>
            <w:r w:rsidRPr="00982C2B">
              <w:rPr>
                <w:rFonts w:cs="Times New Roman"/>
                <w:sz w:val="20"/>
                <w:szCs w:val="20"/>
              </w:rPr>
              <w:t>. Credibility was the central issue at trial. Mr. Lawrence stated that the sexual activity was consensual, while the complainant denied having any sexual interest in him or consenting to the sexual activity. The testimony included the opinion evidence of a police officer that marks on the complainant were consistent with bruising. The complainant testified that her relationship with her husband was a strong and solid one, in support of the Crown’s theory that they were a devoted couple and, by inference, the complainant would not have cheated on him.</w:t>
            </w:r>
          </w:p>
          <w:p w:rsidR="006A1666" w:rsidRPr="00982C2B" w:rsidRDefault="006A1666" w:rsidP="006A1666">
            <w:pPr>
              <w:jc w:val="both"/>
              <w:rPr>
                <w:rFonts w:cs="Times New Roman"/>
                <w:sz w:val="20"/>
                <w:szCs w:val="20"/>
              </w:rPr>
            </w:pPr>
          </w:p>
          <w:p w:rsidR="006A1666" w:rsidRPr="00982C2B" w:rsidRDefault="006A1666" w:rsidP="006A1666">
            <w:pPr>
              <w:jc w:val="both"/>
              <w:rPr>
                <w:rFonts w:cs="Times New Roman"/>
                <w:sz w:val="20"/>
                <w:szCs w:val="20"/>
              </w:rPr>
            </w:pPr>
            <w:r w:rsidRPr="00982C2B">
              <w:rPr>
                <w:rFonts w:cs="Times New Roman"/>
                <w:sz w:val="20"/>
                <w:szCs w:val="20"/>
              </w:rPr>
              <w:t xml:space="preserve">The Supreme Court of British Columbia convicted Mr. Lawrence of sexual assault and attempting to render the complainant incapable of resistance to sexual assault, contrary to ss. 271(1) and 246(a) of the </w:t>
            </w:r>
            <w:r w:rsidRPr="00982C2B">
              <w:rPr>
                <w:rFonts w:cs="Times New Roman"/>
                <w:i/>
                <w:sz w:val="20"/>
                <w:szCs w:val="20"/>
              </w:rPr>
              <w:t>Criminal Code</w:t>
            </w:r>
            <w:r w:rsidRPr="00982C2B">
              <w:rPr>
                <w:rFonts w:cs="Times New Roman"/>
                <w:sz w:val="20"/>
                <w:szCs w:val="20"/>
              </w:rPr>
              <w:t>. The British Columbia Court of Appeal unanimously dismissed his appeal against both convictions.</w:t>
            </w:r>
          </w:p>
          <w:p w:rsidR="006A1666" w:rsidRPr="00982C2B" w:rsidRDefault="006A1666" w:rsidP="006A1666">
            <w:pPr>
              <w:pStyle w:val="SCCShortJudgment"/>
              <w:ind w:firstLine="0"/>
              <w:rPr>
                <w:rFonts w:cs="Times New Roman"/>
                <w:szCs w:val="20"/>
              </w:rPr>
            </w:pPr>
          </w:p>
        </w:tc>
      </w:tr>
      <w:tr w:rsidR="006A1666" w:rsidRPr="00982C2B" w:rsidTr="006A1666">
        <w:tc>
          <w:tcPr>
            <w:tcW w:w="4410" w:type="dxa"/>
            <w:gridSpan w:val="2"/>
          </w:tcPr>
          <w:p w:rsidR="006A1666" w:rsidRPr="00982C2B" w:rsidRDefault="006A1666" w:rsidP="006A1666">
            <w:pPr>
              <w:jc w:val="both"/>
              <w:rPr>
                <w:rFonts w:cs="Times New Roman"/>
                <w:sz w:val="20"/>
                <w:szCs w:val="20"/>
              </w:rPr>
            </w:pPr>
            <w:r w:rsidRPr="00982C2B">
              <w:rPr>
                <w:rFonts w:cs="Times New Roman"/>
                <w:sz w:val="20"/>
                <w:szCs w:val="20"/>
              </w:rPr>
              <w:t>April 24, 2009</w:t>
            </w:r>
          </w:p>
          <w:p w:rsidR="006A1666" w:rsidRPr="00982C2B" w:rsidRDefault="006A1666" w:rsidP="006A1666">
            <w:pPr>
              <w:jc w:val="both"/>
              <w:rPr>
                <w:rFonts w:cs="Times New Roman"/>
                <w:sz w:val="20"/>
                <w:szCs w:val="20"/>
              </w:rPr>
            </w:pPr>
            <w:r w:rsidRPr="00982C2B">
              <w:rPr>
                <w:rFonts w:cs="Times New Roman"/>
                <w:sz w:val="20"/>
                <w:szCs w:val="20"/>
              </w:rPr>
              <w:t>Supreme Court of British Columbia</w:t>
            </w:r>
          </w:p>
          <w:p w:rsidR="006A1666" w:rsidRPr="00982C2B" w:rsidRDefault="006A1666" w:rsidP="006A1666">
            <w:pPr>
              <w:jc w:val="both"/>
              <w:rPr>
                <w:rFonts w:cs="Times New Roman"/>
                <w:sz w:val="20"/>
                <w:szCs w:val="20"/>
              </w:rPr>
            </w:pPr>
            <w:r w:rsidRPr="00982C2B">
              <w:rPr>
                <w:rFonts w:cs="Times New Roman"/>
                <w:sz w:val="20"/>
                <w:szCs w:val="20"/>
              </w:rPr>
              <w:t>(Bracken J.)</w:t>
            </w:r>
          </w:p>
          <w:p w:rsidR="006A1666" w:rsidRPr="00982C2B" w:rsidRDefault="006A1666" w:rsidP="006A1666">
            <w:pPr>
              <w:jc w:val="both"/>
              <w:rPr>
                <w:rFonts w:cs="Times New Roman"/>
                <w:sz w:val="20"/>
                <w:szCs w:val="20"/>
              </w:rPr>
            </w:pPr>
            <w:r w:rsidRPr="00982C2B">
              <w:rPr>
                <w:rFonts w:cs="Times New Roman"/>
                <w:sz w:val="20"/>
                <w:szCs w:val="20"/>
              </w:rPr>
              <w:t>Unreported oral reasons for judgment</w:t>
            </w:r>
          </w:p>
          <w:p w:rsidR="006A1666" w:rsidRPr="00982C2B" w:rsidRDefault="006A1666" w:rsidP="006A1666">
            <w:pPr>
              <w:jc w:val="both"/>
              <w:rPr>
                <w:rFonts w:cs="Times New Roman"/>
                <w:sz w:val="20"/>
                <w:szCs w:val="20"/>
              </w:rPr>
            </w:pPr>
          </w:p>
        </w:tc>
        <w:tc>
          <w:tcPr>
            <w:tcW w:w="630" w:type="dxa"/>
          </w:tcPr>
          <w:p w:rsidR="006A1666" w:rsidRPr="00982C2B" w:rsidRDefault="006A1666" w:rsidP="006A1666">
            <w:pPr>
              <w:pStyle w:val="SCCShortJudgment"/>
              <w:ind w:firstLine="0"/>
              <w:rPr>
                <w:rFonts w:cs="Times New Roman"/>
                <w:szCs w:val="20"/>
              </w:rPr>
            </w:pPr>
          </w:p>
        </w:tc>
        <w:tc>
          <w:tcPr>
            <w:tcW w:w="4536" w:type="dxa"/>
          </w:tcPr>
          <w:p w:rsidR="006A1666" w:rsidRPr="00982C2B" w:rsidRDefault="006A1666" w:rsidP="006A1666">
            <w:pPr>
              <w:jc w:val="both"/>
              <w:rPr>
                <w:rFonts w:cs="Times New Roman"/>
                <w:sz w:val="20"/>
                <w:szCs w:val="20"/>
              </w:rPr>
            </w:pPr>
            <w:r w:rsidRPr="00982C2B">
              <w:rPr>
                <w:rFonts w:cs="Times New Roman"/>
                <w:sz w:val="20"/>
                <w:szCs w:val="20"/>
              </w:rPr>
              <w:t xml:space="preserve">Applicant convicted of sexual assault and attempting to render the complainant incapable of resistance to sexual assault, contrary to ss. 271(1) and 246(a) of the </w:t>
            </w:r>
            <w:r w:rsidRPr="00982C2B">
              <w:rPr>
                <w:rFonts w:cs="Times New Roman"/>
                <w:i/>
                <w:sz w:val="20"/>
                <w:szCs w:val="20"/>
              </w:rPr>
              <w:t>Criminal Code</w:t>
            </w:r>
            <w:r w:rsidRPr="00982C2B">
              <w:rPr>
                <w:rFonts w:cs="Times New Roman"/>
                <w:sz w:val="20"/>
                <w:szCs w:val="20"/>
              </w:rPr>
              <w:t>,</w:t>
            </w:r>
            <w:r w:rsidRPr="00982C2B">
              <w:rPr>
                <w:rFonts w:cs="Times New Roman"/>
                <w:i/>
                <w:sz w:val="20"/>
                <w:szCs w:val="20"/>
              </w:rPr>
              <w:t xml:space="preserve"> </w:t>
            </w:r>
            <w:r w:rsidRPr="00982C2B">
              <w:rPr>
                <w:rFonts w:cs="Times New Roman"/>
                <w:sz w:val="20"/>
                <w:szCs w:val="20"/>
              </w:rPr>
              <w:t>R.S.C., 1985, c. C-46.</w:t>
            </w:r>
          </w:p>
          <w:p w:rsidR="006A1666" w:rsidRPr="00982C2B" w:rsidRDefault="006A1666" w:rsidP="006A1666">
            <w:pPr>
              <w:jc w:val="both"/>
              <w:rPr>
                <w:rFonts w:cs="Times New Roman"/>
                <w:sz w:val="20"/>
                <w:szCs w:val="20"/>
              </w:rPr>
            </w:pPr>
          </w:p>
        </w:tc>
      </w:tr>
      <w:tr w:rsidR="006A1666" w:rsidRPr="00982C2B" w:rsidTr="006A1666">
        <w:tc>
          <w:tcPr>
            <w:tcW w:w="4410" w:type="dxa"/>
            <w:gridSpan w:val="2"/>
          </w:tcPr>
          <w:p w:rsidR="006A1666" w:rsidRPr="00982C2B" w:rsidRDefault="006A1666" w:rsidP="006A1666">
            <w:pPr>
              <w:jc w:val="both"/>
              <w:rPr>
                <w:rFonts w:cs="Times New Roman"/>
                <w:sz w:val="20"/>
                <w:szCs w:val="20"/>
              </w:rPr>
            </w:pPr>
            <w:r w:rsidRPr="00982C2B">
              <w:rPr>
                <w:rFonts w:cs="Times New Roman"/>
                <w:sz w:val="20"/>
                <w:szCs w:val="20"/>
              </w:rPr>
              <w:t>August 12, 2015</w:t>
            </w:r>
          </w:p>
          <w:p w:rsidR="006A1666" w:rsidRPr="00982C2B" w:rsidRDefault="006A1666" w:rsidP="006A1666">
            <w:pPr>
              <w:jc w:val="both"/>
              <w:rPr>
                <w:rFonts w:cs="Times New Roman"/>
                <w:sz w:val="20"/>
                <w:szCs w:val="20"/>
              </w:rPr>
            </w:pPr>
            <w:r w:rsidRPr="00982C2B">
              <w:rPr>
                <w:rFonts w:cs="Times New Roman"/>
                <w:sz w:val="20"/>
                <w:szCs w:val="20"/>
              </w:rPr>
              <w:t xml:space="preserve">Court of Appeal for British Columbia </w:t>
            </w:r>
          </w:p>
          <w:p w:rsidR="006A1666" w:rsidRPr="00982C2B" w:rsidRDefault="006A1666" w:rsidP="006A1666">
            <w:pPr>
              <w:jc w:val="both"/>
              <w:rPr>
                <w:rFonts w:cs="Times New Roman"/>
                <w:sz w:val="20"/>
                <w:szCs w:val="20"/>
              </w:rPr>
            </w:pPr>
            <w:r w:rsidRPr="00982C2B">
              <w:rPr>
                <w:rFonts w:cs="Times New Roman"/>
                <w:sz w:val="20"/>
                <w:szCs w:val="20"/>
              </w:rPr>
              <w:t>(Vancouver)</w:t>
            </w:r>
          </w:p>
          <w:p w:rsidR="006A1666" w:rsidRPr="00982C2B" w:rsidRDefault="006A1666" w:rsidP="006A1666">
            <w:pPr>
              <w:jc w:val="both"/>
              <w:rPr>
                <w:rFonts w:cs="Times New Roman"/>
                <w:sz w:val="20"/>
                <w:szCs w:val="20"/>
              </w:rPr>
            </w:pPr>
            <w:r w:rsidRPr="00982C2B">
              <w:rPr>
                <w:rFonts w:cs="Times New Roman"/>
                <w:sz w:val="20"/>
                <w:szCs w:val="20"/>
              </w:rPr>
              <w:t>(Newbury, Smith and Groberman JJ.A.)</w:t>
            </w:r>
          </w:p>
          <w:p w:rsidR="006A1666" w:rsidRPr="00982C2B" w:rsidRDefault="009F3029" w:rsidP="006A1666">
            <w:pPr>
              <w:jc w:val="both"/>
              <w:rPr>
                <w:rFonts w:cs="Times New Roman"/>
                <w:sz w:val="20"/>
                <w:szCs w:val="20"/>
              </w:rPr>
            </w:pPr>
            <w:hyperlink r:id="rId74" w:history="1">
              <w:r w:rsidR="006A1666" w:rsidRPr="00982C2B">
                <w:rPr>
                  <w:rStyle w:val="Hyperlink"/>
                  <w:rFonts w:cs="Times New Roman"/>
                  <w:sz w:val="20"/>
                  <w:szCs w:val="20"/>
                </w:rPr>
                <w:t>2015 BCCA 358</w:t>
              </w:r>
            </w:hyperlink>
          </w:p>
          <w:p w:rsidR="006A1666" w:rsidRPr="00982C2B" w:rsidRDefault="006A1666" w:rsidP="006A1666">
            <w:pPr>
              <w:jc w:val="both"/>
              <w:rPr>
                <w:rFonts w:cs="Times New Roman"/>
                <w:sz w:val="20"/>
                <w:szCs w:val="20"/>
              </w:rPr>
            </w:pPr>
          </w:p>
        </w:tc>
        <w:tc>
          <w:tcPr>
            <w:tcW w:w="630" w:type="dxa"/>
          </w:tcPr>
          <w:p w:rsidR="006A1666" w:rsidRPr="00982C2B" w:rsidRDefault="006A1666" w:rsidP="006A1666">
            <w:pPr>
              <w:pStyle w:val="SCCShortJudgment"/>
              <w:ind w:firstLine="0"/>
              <w:rPr>
                <w:rFonts w:cs="Times New Roman"/>
                <w:szCs w:val="20"/>
              </w:rPr>
            </w:pPr>
          </w:p>
        </w:tc>
        <w:tc>
          <w:tcPr>
            <w:tcW w:w="4536" w:type="dxa"/>
          </w:tcPr>
          <w:p w:rsidR="006A1666" w:rsidRPr="00982C2B" w:rsidRDefault="006A1666" w:rsidP="006A1666">
            <w:pPr>
              <w:jc w:val="both"/>
              <w:rPr>
                <w:rFonts w:cs="Times New Roman"/>
                <w:sz w:val="20"/>
                <w:szCs w:val="20"/>
              </w:rPr>
            </w:pPr>
            <w:r w:rsidRPr="00982C2B">
              <w:rPr>
                <w:rFonts w:cs="Times New Roman"/>
                <w:sz w:val="20"/>
                <w:szCs w:val="20"/>
              </w:rPr>
              <w:t>Applicant’s appeal from convictions, dismissed.</w:t>
            </w:r>
          </w:p>
          <w:p w:rsidR="006A1666" w:rsidRPr="00982C2B" w:rsidRDefault="006A1666" w:rsidP="006A1666">
            <w:pPr>
              <w:jc w:val="both"/>
              <w:rPr>
                <w:rFonts w:cs="Times New Roman"/>
                <w:sz w:val="20"/>
                <w:szCs w:val="20"/>
              </w:rPr>
            </w:pPr>
          </w:p>
        </w:tc>
      </w:tr>
      <w:tr w:rsidR="006A1666" w:rsidRPr="00982C2B" w:rsidTr="006A1666">
        <w:tc>
          <w:tcPr>
            <w:tcW w:w="4410" w:type="dxa"/>
            <w:gridSpan w:val="2"/>
          </w:tcPr>
          <w:p w:rsidR="006A1666" w:rsidRPr="00982C2B" w:rsidRDefault="006A1666" w:rsidP="006A1666">
            <w:pPr>
              <w:jc w:val="both"/>
              <w:rPr>
                <w:rFonts w:cs="Times New Roman"/>
                <w:sz w:val="20"/>
                <w:szCs w:val="20"/>
              </w:rPr>
            </w:pPr>
            <w:r w:rsidRPr="00982C2B">
              <w:rPr>
                <w:rFonts w:cs="Times New Roman"/>
                <w:sz w:val="20"/>
                <w:szCs w:val="20"/>
              </w:rPr>
              <w:t>December 8, 2015</w:t>
            </w:r>
          </w:p>
          <w:p w:rsidR="006A1666" w:rsidRPr="00982C2B" w:rsidRDefault="006A1666" w:rsidP="006A1666">
            <w:pPr>
              <w:jc w:val="both"/>
              <w:rPr>
                <w:rFonts w:cs="Times New Roman"/>
                <w:sz w:val="20"/>
                <w:szCs w:val="20"/>
              </w:rPr>
            </w:pPr>
            <w:r w:rsidRPr="00982C2B">
              <w:rPr>
                <w:rFonts w:cs="Times New Roman"/>
                <w:sz w:val="20"/>
                <w:szCs w:val="20"/>
              </w:rPr>
              <w:t>Supreme Court of Canada</w:t>
            </w:r>
          </w:p>
          <w:p w:rsidR="006A1666" w:rsidRPr="00982C2B" w:rsidRDefault="006A1666" w:rsidP="006A1666">
            <w:pPr>
              <w:jc w:val="both"/>
              <w:rPr>
                <w:rFonts w:cs="Times New Roman"/>
                <w:sz w:val="20"/>
                <w:szCs w:val="20"/>
              </w:rPr>
            </w:pPr>
          </w:p>
        </w:tc>
        <w:tc>
          <w:tcPr>
            <w:tcW w:w="630" w:type="dxa"/>
          </w:tcPr>
          <w:p w:rsidR="006A1666" w:rsidRPr="00982C2B" w:rsidRDefault="006A1666" w:rsidP="006A1666">
            <w:pPr>
              <w:pStyle w:val="SCCShortJudgment"/>
              <w:ind w:firstLine="0"/>
              <w:rPr>
                <w:rFonts w:cs="Times New Roman"/>
                <w:szCs w:val="20"/>
              </w:rPr>
            </w:pPr>
          </w:p>
        </w:tc>
        <w:tc>
          <w:tcPr>
            <w:tcW w:w="4536" w:type="dxa"/>
          </w:tcPr>
          <w:p w:rsidR="006A1666" w:rsidRPr="00982C2B" w:rsidRDefault="006A1666" w:rsidP="006A1666">
            <w:pPr>
              <w:jc w:val="both"/>
              <w:rPr>
                <w:rFonts w:cs="Times New Roman"/>
                <w:sz w:val="20"/>
                <w:szCs w:val="20"/>
              </w:rPr>
            </w:pPr>
            <w:r w:rsidRPr="00982C2B">
              <w:rPr>
                <w:rFonts w:cs="Times New Roman"/>
                <w:sz w:val="20"/>
                <w:szCs w:val="20"/>
              </w:rPr>
              <w:t>Motion for extension of time and Application for leave to appeal, filed.</w:t>
            </w:r>
          </w:p>
          <w:p w:rsidR="006A1666" w:rsidRPr="00982C2B" w:rsidRDefault="006A1666" w:rsidP="006A1666">
            <w:pPr>
              <w:jc w:val="both"/>
              <w:rPr>
                <w:rFonts w:cs="Times New Roman"/>
                <w:sz w:val="20"/>
                <w:szCs w:val="20"/>
              </w:rPr>
            </w:pPr>
          </w:p>
        </w:tc>
      </w:tr>
      <w:tr w:rsidR="006A1666" w:rsidRPr="00982C2B" w:rsidTr="006A1666">
        <w:tc>
          <w:tcPr>
            <w:tcW w:w="9576" w:type="dxa"/>
            <w:gridSpan w:val="4"/>
          </w:tcPr>
          <w:p w:rsidR="006A1666" w:rsidRPr="00982C2B" w:rsidRDefault="009F3029" w:rsidP="00C643DA">
            <w:pPr>
              <w:pStyle w:val="SCCShortJudgment"/>
              <w:ind w:firstLine="0"/>
              <w:rPr>
                <w:rFonts w:cs="Times New Roman"/>
                <w:szCs w:val="20"/>
                <w:lang w:val="fr-CA"/>
              </w:rPr>
            </w:pPr>
            <w:r>
              <w:rPr>
                <w:rFonts w:cs="Times New Roman"/>
                <w:szCs w:val="20"/>
                <w:lang w:val="fr-CA"/>
              </w:rPr>
              <w:pict>
                <v:rect id="_x0000_i1071" style="width:2in;height:1pt" o:hrpct="0" o:hralign="center" o:hrstd="t" o:hrnoshade="t" o:hr="t" fillcolor="black [3213]" stroked="f"/>
              </w:pict>
            </w:r>
          </w:p>
          <w:p w:rsidR="006A1666" w:rsidRPr="00982C2B" w:rsidRDefault="006A1666" w:rsidP="00C643DA">
            <w:pPr>
              <w:pStyle w:val="SCCShortJudgment"/>
              <w:ind w:firstLine="0"/>
              <w:rPr>
                <w:rFonts w:cs="Times New Roman"/>
                <w:szCs w:val="20"/>
                <w:lang w:val="fr-CA"/>
              </w:rPr>
            </w:pPr>
          </w:p>
        </w:tc>
      </w:tr>
      <w:tr w:rsidR="006A1666" w:rsidRPr="00982C2B" w:rsidTr="006A1666">
        <w:tc>
          <w:tcPr>
            <w:tcW w:w="9576" w:type="dxa"/>
            <w:gridSpan w:val="4"/>
          </w:tcPr>
          <w:p w:rsidR="006A1666" w:rsidRPr="00982C2B" w:rsidRDefault="006A1666" w:rsidP="006A1666">
            <w:pPr>
              <w:pStyle w:val="SCCShortJudgment"/>
              <w:ind w:firstLine="0"/>
              <w:rPr>
                <w:rFonts w:cs="Times New Roman"/>
                <w:szCs w:val="20"/>
                <w:u w:val="single"/>
                <w:lang w:val="fr-CA"/>
              </w:rPr>
            </w:pPr>
            <w:r w:rsidRPr="00982C2B">
              <w:rPr>
                <w:rFonts w:cs="Times New Roman"/>
                <w:szCs w:val="20"/>
                <w:u w:val="single"/>
                <w:lang w:val="fr-CA"/>
              </w:rPr>
              <w:t>RÉSUMÉ DE L’AFFAIRE </w:t>
            </w:r>
          </w:p>
          <w:p w:rsidR="006A1666" w:rsidRPr="00982C2B" w:rsidRDefault="006A1666" w:rsidP="006A1666">
            <w:pPr>
              <w:pStyle w:val="SCCShortJudgment"/>
              <w:ind w:firstLine="0"/>
              <w:rPr>
                <w:rFonts w:cs="Times New Roman"/>
                <w:szCs w:val="20"/>
                <w:u w:val="single"/>
                <w:lang w:val="fr-CA"/>
              </w:rPr>
            </w:pPr>
          </w:p>
        </w:tc>
      </w:tr>
      <w:tr w:rsidR="006A1666" w:rsidRPr="009F3029" w:rsidTr="006A1666">
        <w:tc>
          <w:tcPr>
            <w:tcW w:w="9576" w:type="dxa"/>
            <w:gridSpan w:val="4"/>
          </w:tcPr>
          <w:p w:rsidR="006A1666" w:rsidRPr="00982C2B" w:rsidRDefault="006A1666" w:rsidP="006A1666">
            <w:pPr>
              <w:jc w:val="both"/>
              <w:rPr>
                <w:rFonts w:cs="Times New Roman"/>
                <w:sz w:val="20"/>
                <w:szCs w:val="20"/>
                <w:lang w:val="fr-CA"/>
              </w:rPr>
            </w:pPr>
          </w:p>
          <w:p w:rsidR="006A1666" w:rsidRPr="00982C2B" w:rsidRDefault="006A1666" w:rsidP="006A1666">
            <w:pPr>
              <w:pStyle w:val="SCCBanSummary"/>
              <w:rPr>
                <w:rFonts w:cs="Times New Roman"/>
                <w:sz w:val="20"/>
                <w:szCs w:val="20"/>
                <w:lang w:val="fr-CA"/>
              </w:rPr>
            </w:pPr>
            <w:r w:rsidRPr="00982C2B">
              <w:rPr>
                <w:rFonts w:cs="Times New Roman"/>
                <w:sz w:val="20"/>
                <w:szCs w:val="20"/>
                <w:lang w:val="fr-CA"/>
              </w:rPr>
              <w:t>(Ordonnance de non-publication dans le dossier)</w:t>
            </w:r>
          </w:p>
          <w:p w:rsidR="006A1666" w:rsidRPr="00982C2B" w:rsidRDefault="006A1666" w:rsidP="006A1666">
            <w:pPr>
              <w:jc w:val="both"/>
              <w:rPr>
                <w:rFonts w:cs="Times New Roman"/>
                <w:sz w:val="20"/>
                <w:szCs w:val="20"/>
                <w:lang w:val="fr-CA"/>
              </w:rPr>
            </w:pPr>
          </w:p>
          <w:p w:rsidR="006A1666" w:rsidRPr="00982C2B" w:rsidRDefault="006A1666" w:rsidP="006A1666">
            <w:pPr>
              <w:jc w:val="both"/>
              <w:rPr>
                <w:rFonts w:cs="Times New Roman"/>
                <w:sz w:val="20"/>
                <w:szCs w:val="20"/>
                <w:lang w:val="fr-CA"/>
              </w:rPr>
            </w:pPr>
            <w:r w:rsidRPr="00982C2B">
              <w:rPr>
                <w:rFonts w:cs="Times New Roman"/>
                <w:sz w:val="20"/>
                <w:szCs w:val="20"/>
                <w:lang w:val="fr-CA"/>
              </w:rPr>
              <w:t>Droit criminel — Agression sexuelle — Preuve — Preuve d’expert — Crédibilité — Une preuve de la nature et de la qualité de la relation conjugale de la plaignante au moment de l’infraction est-elle admissible et pertinente quant à la question du consentement? — Dans quelles situations et à quelle fin une telle preuve peut-elle être admise? — Quelle est la portée et quel est l’effet des dispositions en matière de préavis et de divulgation de la preuve d’expert que l’on trouve à l’art. 657.3 du</w:t>
            </w:r>
            <w:r w:rsidRPr="00982C2B">
              <w:rPr>
                <w:rFonts w:cs="Times New Roman"/>
                <w:i/>
                <w:sz w:val="20"/>
                <w:szCs w:val="20"/>
                <w:lang w:val="fr-CA"/>
              </w:rPr>
              <w:t xml:space="preserve"> Code criminel</w:t>
            </w:r>
            <w:r w:rsidRPr="00982C2B">
              <w:rPr>
                <w:rFonts w:cs="Times New Roman"/>
                <w:sz w:val="20"/>
                <w:szCs w:val="20"/>
                <w:lang w:val="fr-CA"/>
              </w:rPr>
              <w:t>?</w:t>
            </w:r>
          </w:p>
          <w:p w:rsidR="006A1666" w:rsidRPr="00982C2B" w:rsidRDefault="006A1666" w:rsidP="006A1666">
            <w:pPr>
              <w:pStyle w:val="SCCShortJudgment"/>
              <w:ind w:firstLine="0"/>
              <w:rPr>
                <w:rFonts w:cs="Times New Roman"/>
                <w:szCs w:val="20"/>
                <w:u w:val="single"/>
                <w:lang w:val="fr-CA"/>
              </w:rPr>
            </w:pPr>
          </w:p>
        </w:tc>
      </w:tr>
      <w:tr w:rsidR="006A1666" w:rsidRPr="009F3029" w:rsidTr="006A1666">
        <w:tc>
          <w:tcPr>
            <w:tcW w:w="9576" w:type="dxa"/>
            <w:gridSpan w:val="4"/>
          </w:tcPr>
          <w:p w:rsidR="006A1666" w:rsidRPr="00982C2B" w:rsidRDefault="006A1666" w:rsidP="006A1666">
            <w:pPr>
              <w:jc w:val="both"/>
              <w:rPr>
                <w:rFonts w:cs="Times New Roman"/>
                <w:sz w:val="20"/>
                <w:szCs w:val="20"/>
                <w:lang w:val="fr-CA"/>
              </w:rPr>
            </w:pPr>
            <w:r w:rsidRPr="00982C2B">
              <w:rPr>
                <w:rFonts w:cs="Times New Roman"/>
                <w:sz w:val="20"/>
                <w:szCs w:val="20"/>
                <w:lang w:val="fr-CA"/>
              </w:rPr>
              <w:t xml:space="preserve">Robert Lawrence a été accusé d’agression sexuelle et de tentative de rendre la plaignante incapable de résistance à la relation sexuelle, des infractions prévues au par. 271(1) et à l’al. 246a) du </w:t>
            </w:r>
            <w:r w:rsidRPr="00982C2B">
              <w:rPr>
                <w:rFonts w:cs="Times New Roman"/>
                <w:i/>
                <w:sz w:val="20"/>
                <w:szCs w:val="20"/>
                <w:lang w:val="fr-CA"/>
              </w:rPr>
              <w:t>Code criminel</w:t>
            </w:r>
            <w:r w:rsidRPr="00982C2B">
              <w:rPr>
                <w:rFonts w:cs="Times New Roman"/>
                <w:sz w:val="20"/>
                <w:szCs w:val="20"/>
                <w:lang w:val="fr-CA"/>
              </w:rPr>
              <w:t>. La crédibilité était la question cruciale au procès. Monsieur Lawrence a affirmé que l’activité sexuelle était consensuelle, alors que la plaignante a nié avoir été intéressée à lui au plan sexuel où avoir consenti à l’activité sexuelle. Le témoignage comprenait la preuve d’opinion d’un policier selon laquelle les marques qui se trouvaient sur la plaignante auraient pu être des ecchymoses. La plaignante a affirmé dans son témoignage que sa relation avec son mari était solide, au soutien de la thèse du ministère public selon laquelle ils formaient un couple uni et, par inférence, que la plaignante n’aurait pas été infidèle.</w:t>
            </w:r>
          </w:p>
          <w:p w:rsidR="006A1666" w:rsidRPr="00982C2B" w:rsidRDefault="006A1666" w:rsidP="006A1666">
            <w:pPr>
              <w:jc w:val="both"/>
              <w:rPr>
                <w:rFonts w:cs="Times New Roman"/>
                <w:sz w:val="20"/>
                <w:szCs w:val="20"/>
                <w:lang w:val="fr-CA"/>
              </w:rPr>
            </w:pPr>
          </w:p>
          <w:p w:rsidR="006A1666" w:rsidRPr="00982C2B" w:rsidRDefault="006A1666" w:rsidP="006A1666">
            <w:pPr>
              <w:jc w:val="both"/>
              <w:rPr>
                <w:rFonts w:cs="Times New Roman"/>
                <w:sz w:val="20"/>
                <w:szCs w:val="20"/>
                <w:lang w:val="fr-CA"/>
              </w:rPr>
            </w:pPr>
            <w:r w:rsidRPr="00982C2B">
              <w:rPr>
                <w:rFonts w:cs="Times New Roman"/>
                <w:sz w:val="20"/>
                <w:szCs w:val="20"/>
                <w:lang w:val="fr-CA"/>
              </w:rPr>
              <w:t xml:space="preserve">La Cour suprême de la Colombie-Britannique a déclaré M. Lawrence coupable d’agression sexuelle et de tentative de rendre la plaignante incapable de résistance à l’agression sexuelle, des infractions prévues au par. 271(1) et à l’al. 246a) du </w:t>
            </w:r>
            <w:r w:rsidRPr="00982C2B">
              <w:rPr>
                <w:rFonts w:cs="Times New Roman"/>
                <w:i/>
                <w:sz w:val="20"/>
                <w:szCs w:val="20"/>
                <w:lang w:val="fr-CA"/>
              </w:rPr>
              <w:t>Code criminel</w:t>
            </w:r>
            <w:r w:rsidRPr="00982C2B">
              <w:rPr>
                <w:rFonts w:cs="Times New Roman"/>
                <w:sz w:val="20"/>
                <w:szCs w:val="20"/>
                <w:lang w:val="fr-CA"/>
              </w:rPr>
              <w:t>. À l’unanimité, la Cour d’appel de la Colombie-Britannique a rejeté son appel des deux déclarations de culpabilité.</w:t>
            </w:r>
          </w:p>
        </w:tc>
      </w:tr>
      <w:tr w:rsidR="006A1666" w:rsidRPr="009F3029" w:rsidTr="006A1666">
        <w:tc>
          <w:tcPr>
            <w:tcW w:w="9576" w:type="dxa"/>
            <w:gridSpan w:val="4"/>
          </w:tcPr>
          <w:p w:rsidR="006A1666" w:rsidRPr="00982C2B" w:rsidRDefault="006A1666" w:rsidP="006A1666">
            <w:pPr>
              <w:pStyle w:val="SCCShortJudgment"/>
              <w:ind w:firstLine="0"/>
              <w:rPr>
                <w:rFonts w:cs="Times New Roman"/>
                <w:szCs w:val="20"/>
                <w:u w:val="single"/>
                <w:lang w:val="fr-CA"/>
              </w:rPr>
            </w:pPr>
          </w:p>
        </w:tc>
      </w:tr>
      <w:tr w:rsidR="006A1666" w:rsidRPr="00982C2B" w:rsidTr="006A1666">
        <w:tc>
          <w:tcPr>
            <w:tcW w:w="4410" w:type="dxa"/>
            <w:gridSpan w:val="2"/>
          </w:tcPr>
          <w:p w:rsidR="006A1666" w:rsidRPr="00982C2B" w:rsidRDefault="006A1666" w:rsidP="006A1666">
            <w:pPr>
              <w:rPr>
                <w:rFonts w:cs="Times New Roman"/>
                <w:sz w:val="20"/>
                <w:szCs w:val="20"/>
                <w:lang w:val="fr-CA"/>
              </w:rPr>
            </w:pPr>
            <w:r w:rsidRPr="00982C2B">
              <w:rPr>
                <w:rFonts w:cs="Times New Roman"/>
                <w:sz w:val="20"/>
                <w:szCs w:val="20"/>
                <w:lang w:val="fr-CA"/>
              </w:rPr>
              <w:t>24 avril 2009</w:t>
            </w:r>
          </w:p>
          <w:p w:rsidR="006A1666" w:rsidRPr="00982C2B" w:rsidRDefault="006A1666" w:rsidP="006A1666">
            <w:pPr>
              <w:rPr>
                <w:rFonts w:cs="Times New Roman"/>
                <w:sz w:val="20"/>
                <w:szCs w:val="20"/>
                <w:lang w:val="fr-CA"/>
              </w:rPr>
            </w:pPr>
            <w:r w:rsidRPr="00982C2B">
              <w:rPr>
                <w:rFonts w:cs="Times New Roman"/>
                <w:sz w:val="20"/>
                <w:szCs w:val="20"/>
                <w:lang w:val="fr-CA"/>
              </w:rPr>
              <w:t xml:space="preserve">Cour suprême de la Colombie-Britannique </w:t>
            </w:r>
          </w:p>
          <w:p w:rsidR="006A1666" w:rsidRPr="00982C2B" w:rsidRDefault="006A1666" w:rsidP="006A1666">
            <w:pPr>
              <w:rPr>
                <w:rFonts w:cs="Times New Roman"/>
                <w:sz w:val="20"/>
                <w:szCs w:val="20"/>
                <w:lang w:val="fr-CA"/>
              </w:rPr>
            </w:pPr>
            <w:r w:rsidRPr="00982C2B">
              <w:rPr>
                <w:rFonts w:cs="Times New Roman"/>
                <w:sz w:val="20"/>
                <w:szCs w:val="20"/>
                <w:lang w:val="fr-CA"/>
              </w:rPr>
              <w:t>(Juge Bracken)</w:t>
            </w:r>
          </w:p>
          <w:p w:rsidR="006A1666" w:rsidRPr="00982C2B" w:rsidRDefault="006A1666" w:rsidP="006A1666">
            <w:pPr>
              <w:rPr>
                <w:rFonts w:cs="Times New Roman"/>
                <w:sz w:val="20"/>
                <w:szCs w:val="20"/>
                <w:lang w:val="fr-CA"/>
              </w:rPr>
            </w:pPr>
            <w:r w:rsidRPr="00982C2B">
              <w:rPr>
                <w:rFonts w:cs="Times New Roman"/>
                <w:sz w:val="20"/>
                <w:szCs w:val="20"/>
                <w:lang w:val="fr-CA"/>
              </w:rPr>
              <w:t xml:space="preserve">Motifs du jugement prononcés à l’audience, non publiés </w:t>
            </w:r>
          </w:p>
          <w:p w:rsidR="006A1666" w:rsidRPr="00982C2B" w:rsidRDefault="006A1666" w:rsidP="006A1666">
            <w:pPr>
              <w:pStyle w:val="SCCShortJudgment"/>
              <w:ind w:firstLine="0"/>
              <w:rPr>
                <w:rFonts w:cs="Times New Roman"/>
                <w:szCs w:val="20"/>
                <w:u w:val="single"/>
                <w:lang w:val="fr-CA"/>
              </w:rPr>
            </w:pPr>
          </w:p>
        </w:tc>
        <w:tc>
          <w:tcPr>
            <w:tcW w:w="630" w:type="dxa"/>
          </w:tcPr>
          <w:p w:rsidR="006A1666" w:rsidRPr="00982C2B" w:rsidRDefault="006A1666" w:rsidP="006A1666">
            <w:pPr>
              <w:pStyle w:val="SCCShortJudgment"/>
              <w:ind w:firstLine="0"/>
              <w:rPr>
                <w:rFonts w:cs="Times New Roman"/>
                <w:szCs w:val="20"/>
                <w:u w:val="single"/>
                <w:lang w:val="fr-CA"/>
              </w:rPr>
            </w:pPr>
          </w:p>
        </w:tc>
        <w:tc>
          <w:tcPr>
            <w:tcW w:w="4536" w:type="dxa"/>
          </w:tcPr>
          <w:p w:rsidR="006A1666" w:rsidRPr="00982C2B" w:rsidRDefault="006A1666" w:rsidP="006A1666">
            <w:pPr>
              <w:jc w:val="both"/>
              <w:rPr>
                <w:rFonts w:cs="Times New Roman"/>
                <w:sz w:val="20"/>
                <w:szCs w:val="20"/>
                <w:lang w:val="fr-CA"/>
              </w:rPr>
            </w:pPr>
            <w:r w:rsidRPr="00982C2B">
              <w:rPr>
                <w:rFonts w:cs="Times New Roman"/>
                <w:sz w:val="20"/>
                <w:szCs w:val="20"/>
                <w:lang w:val="fr-CA"/>
              </w:rPr>
              <w:t xml:space="preserve">Déclaration de culpabilité, prononcée contre le demandeur, d’agression sexuelle et de tentative de rendre la plaignante incapable de résistance à l’agression sexuelle, des infractions prévues au par. 271(1) et à l’al. 246a) du </w:t>
            </w:r>
            <w:r w:rsidRPr="00982C2B">
              <w:rPr>
                <w:rFonts w:cs="Times New Roman"/>
                <w:i/>
                <w:sz w:val="20"/>
                <w:szCs w:val="20"/>
                <w:lang w:val="fr-CA"/>
              </w:rPr>
              <w:t>Code criminel</w:t>
            </w:r>
            <w:r w:rsidRPr="00982C2B">
              <w:rPr>
                <w:rFonts w:cs="Times New Roman"/>
                <w:sz w:val="20"/>
                <w:szCs w:val="20"/>
                <w:lang w:val="fr-CA"/>
              </w:rPr>
              <w:t>,</w:t>
            </w:r>
            <w:r w:rsidRPr="00982C2B">
              <w:rPr>
                <w:rFonts w:cs="Times New Roman"/>
                <w:i/>
                <w:sz w:val="20"/>
                <w:szCs w:val="20"/>
                <w:lang w:val="fr-CA"/>
              </w:rPr>
              <w:t xml:space="preserve"> </w:t>
            </w:r>
            <w:r w:rsidRPr="00982C2B">
              <w:rPr>
                <w:rFonts w:cs="Times New Roman"/>
                <w:sz w:val="20"/>
                <w:szCs w:val="20"/>
                <w:lang w:val="fr-CA"/>
              </w:rPr>
              <w:t>L.R.C., 1985, ch. C-46.</w:t>
            </w:r>
          </w:p>
          <w:p w:rsidR="006A1666" w:rsidRPr="00982C2B" w:rsidRDefault="006A1666" w:rsidP="006A1666">
            <w:pPr>
              <w:pStyle w:val="SCCShortJudgment"/>
              <w:ind w:firstLine="0"/>
              <w:rPr>
                <w:rFonts w:cs="Times New Roman"/>
                <w:szCs w:val="20"/>
                <w:u w:val="single"/>
                <w:lang w:val="fr-CA"/>
              </w:rPr>
            </w:pPr>
          </w:p>
        </w:tc>
      </w:tr>
      <w:tr w:rsidR="006A1666" w:rsidRPr="009F3029" w:rsidTr="006A1666">
        <w:tc>
          <w:tcPr>
            <w:tcW w:w="4410" w:type="dxa"/>
            <w:gridSpan w:val="2"/>
          </w:tcPr>
          <w:p w:rsidR="006A1666" w:rsidRPr="00982C2B" w:rsidRDefault="006A1666" w:rsidP="006A1666">
            <w:pPr>
              <w:rPr>
                <w:rFonts w:cs="Times New Roman"/>
                <w:sz w:val="20"/>
                <w:szCs w:val="20"/>
                <w:lang w:val="fr-CA"/>
              </w:rPr>
            </w:pPr>
            <w:r w:rsidRPr="00982C2B">
              <w:rPr>
                <w:rFonts w:cs="Times New Roman"/>
                <w:sz w:val="20"/>
                <w:szCs w:val="20"/>
                <w:lang w:val="fr-CA"/>
              </w:rPr>
              <w:t>12 août 2015</w:t>
            </w:r>
          </w:p>
          <w:p w:rsidR="006A1666" w:rsidRPr="00982C2B" w:rsidRDefault="006A1666" w:rsidP="006A1666">
            <w:pPr>
              <w:rPr>
                <w:rFonts w:cs="Times New Roman"/>
                <w:sz w:val="20"/>
                <w:szCs w:val="20"/>
                <w:lang w:val="fr-CA"/>
              </w:rPr>
            </w:pPr>
            <w:r w:rsidRPr="00982C2B">
              <w:rPr>
                <w:rFonts w:cs="Times New Roman"/>
                <w:sz w:val="20"/>
                <w:szCs w:val="20"/>
                <w:lang w:val="fr-CA"/>
              </w:rPr>
              <w:t xml:space="preserve">Cour d’appel de la Colombie-Britannique </w:t>
            </w:r>
          </w:p>
          <w:p w:rsidR="006A1666" w:rsidRPr="00982C2B" w:rsidRDefault="006A1666" w:rsidP="006A1666">
            <w:pPr>
              <w:rPr>
                <w:rFonts w:cs="Times New Roman"/>
                <w:sz w:val="20"/>
                <w:szCs w:val="20"/>
                <w:lang w:val="fr-CA"/>
              </w:rPr>
            </w:pPr>
            <w:r w:rsidRPr="00982C2B">
              <w:rPr>
                <w:rFonts w:cs="Times New Roman"/>
                <w:sz w:val="20"/>
                <w:szCs w:val="20"/>
                <w:lang w:val="fr-CA"/>
              </w:rPr>
              <w:t>(Vancouver)</w:t>
            </w:r>
          </w:p>
          <w:p w:rsidR="006A1666" w:rsidRPr="00982C2B" w:rsidRDefault="006A1666" w:rsidP="006A1666">
            <w:pPr>
              <w:rPr>
                <w:rFonts w:cs="Times New Roman"/>
                <w:sz w:val="20"/>
                <w:szCs w:val="20"/>
                <w:lang w:val="fr-CA"/>
              </w:rPr>
            </w:pPr>
            <w:r w:rsidRPr="00982C2B">
              <w:rPr>
                <w:rFonts w:cs="Times New Roman"/>
                <w:sz w:val="20"/>
                <w:szCs w:val="20"/>
                <w:lang w:val="fr-CA"/>
              </w:rPr>
              <w:t>(Juges Newbury, Smith et Groberman)</w:t>
            </w:r>
          </w:p>
          <w:p w:rsidR="006A1666" w:rsidRPr="00982C2B" w:rsidRDefault="009F3029" w:rsidP="006A1666">
            <w:pPr>
              <w:rPr>
                <w:rFonts w:cs="Times New Roman"/>
                <w:sz w:val="20"/>
                <w:szCs w:val="20"/>
                <w:lang w:val="fr-CA"/>
              </w:rPr>
            </w:pPr>
            <w:hyperlink r:id="rId75" w:history="1">
              <w:r w:rsidR="006A1666" w:rsidRPr="00982C2B">
                <w:rPr>
                  <w:rStyle w:val="Hyperlink"/>
                  <w:rFonts w:cs="Times New Roman"/>
                  <w:sz w:val="20"/>
                  <w:szCs w:val="20"/>
                  <w:lang w:val="fr-CA"/>
                </w:rPr>
                <w:t>2015 BCCA 358</w:t>
              </w:r>
            </w:hyperlink>
          </w:p>
          <w:p w:rsidR="006A1666" w:rsidRPr="00982C2B" w:rsidRDefault="006A1666" w:rsidP="006A1666">
            <w:pPr>
              <w:pStyle w:val="SCCShortJudgment"/>
              <w:ind w:firstLine="0"/>
              <w:rPr>
                <w:rFonts w:cs="Times New Roman"/>
                <w:szCs w:val="20"/>
                <w:u w:val="single"/>
                <w:lang w:val="fr-CA"/>
              </w:rPr>
            </w:pPr>
          </w:p>
        </w:tc>
        <w:tc>
          <w:tcPr>
            <w:tcW w:w="630" w:type="dxa"/>
          </w:tcPr>
          <w:p w:rsidR="006A1666" w:rsidRPr="00982C2B" w:rsidRDefault="006A1666" w:rsidP="006A1666">
            <w:pPr>
              <w:pStyle w:val="SCCShortJudgment"/>
              <w:ind w:firstLine="0"/>
              <w:rPr>
                <w:rFonts w:cs="Times New Roman"/>
                <w:szCs w:val="20"/>
                <w:u w:val="single"/>
                <w:lang w:val="fr-CA"/>
              </w:rPr>
            </w:pPr>
          </w:p>
        </w:tc>
        <w:tc>
          <w:tcPr>
            <w:tcW w:w="4536" w:type="dxa"/>
          </w:tcPr>
          <w:p w:rsidR="006A1666" w:rsidRPr="00982C2B" w:rsidRDefault="006A1666" w:rsidP="006A1666">
            <w:pPr>
              <w:jc w:val="both"/>
              <w:rPr>
                <w:rFonts w:cs="Times New Roman"/>
                <w:sz w:val="20"/>
                <w:szCs w:val="20"/>
                <w:lang w:val="fr-CA"/>
              </w:rPr>
            </w:pPr>
            <w:r w:rsidRPr="00982C2B">
              <w:rPr>
                <w:rFonts w:cs="Times New Roman"/>
                <w:sz w:val="20"/>
                <w:szCs w:val="20"/>
                <w:lang w:val="fr-CA"/>
              </w:rPr>
              <w:t>Rejet de l’appel du demandeur des déclarations de culpabilité.</w:t>
            </w:r>
          </w:p>
          <w:p w:rsidR="006A1666" w:rsidRPr="00982C2B" w:rsidRDefault="006A1666" w:rsidP="006A1666">
            <w:pPr>
              <w:pStyle w:val="SCCShortJudgment"/>
              <w:ind w:firstLine="0"/>
              <w:rPr>
                <w:rFonts w:cs="Times New Roman"/>
                <w:szCs w:val="20"/>
                <w:u w:val="single"/>
                <w:lang w:val="fr-CA"/>
              </w:rPr>
            </w:pPr>
          </w:p>
        </w:tc>
      </w:tr>
      <w:tr w:rsidR="006A1666" w:rsidRPr="009F3029" w:rsidTr="006A1666">
        <w:tc>
          <w:tcPr>
            <w:tcW w:w="4410" w:type="dxa"/>
            <w:gridSpan w:val="2"/>
          </w:tcPr>
          <w:p w:rsidR="006A1666" w:rsidRPr="00982C2B" w:rsidRDefault="006A1666" w:rsidP="006A1666">
            <w:pPr>
              <w:rPr>
                <w:rFonts w:cs="Times New Roman"/>
                <w:sz w:val="20"/>
                <w:szCs w:val="20"/>
                <w:lang w:val="fr-CA"/>
              </w:rPr>
            </w:pPr>
            <w:r w:rsidRPr="00982C2B">
              <w:rPr>
                <w:rFonts w:cs="Times New Roman"/>
                <w:sz w:val="20"/>
                <w:szCs w:val="20"/>
                <w:lang w:val="fr-CA"/>
              </w:rPr>
              <w:t>8 décembre 2015</w:t>
            </w:r>
          </w:p>
          <w:p w:rsidR="006A1666" w:rsidRPr="00982C2B" w:rsidRDefault="006A1666" w:rsidP="006A1666">
            <w:pPr>
              <w:rPr>
                <w:rFonts w:cs="Times New Roman"/>
                <w:sz w:val="20"/>
                <w:szCs w:val="20"/>
                <w:lang w:val="fr-CA"/>
              </w:rPr>
            </w:pPr>
            <w:r w:rsidRPr="00982C2B">
              <w:rPr>
                <w:rFonts w:cs="Times New Roman"/>
                <w:sz w:val="20"/>
                <w:szCs w:val="20"/>
                <w:lang w:val="fr-CA"/>
              </w:rPr>
              <w:t>Cour suprême du Canada</w:t>
            </w:r>
          </w:p>
          <w:p w:rsidR="006A1666" w:rsidRPr="00982C2B" w:rsidRDefault="006A1666" w:rsidP="006A1666">
            <w:pPr>
              <w:pStyle w:val="SCCShortJudgment"/>
              <w:ind w:firstLine="0"/>
              <w:rPr>
                <w:rFonts w:cs="Times New Roman"/>
                <w:szCs w:val="20"/>
                <w:u w:val="single"/>
                <w:lang w:val="fr-CA"/>
              </w:rPr>
            </w:pPr>
          </w:p>
        </w:tc>
        <w:tc>
          <w:tcPr>
            <w:tcW w:w="630" w:type="dxa"/>
          </w:tcPr>
          <w:p w:rsidR="006A1666" w:rsidRPr="00982C2B" w:rsidRDefault="006A1666" w:rsidP="006A1666">
            <w:pPr>
              <w:pStyle w:val="SCCShortJudgment"/>
              <w:ind w:firstLine="0"/>
              <w:rPr>
                <w:rFonts w:cs="Times New Roman"/>
                <w:szCs w:val="20"/>
                <w:u w:val="single"/>
                <w:lang w:val="fr-CA"/>
              </w:rPr>
            </w:pPr>
          </w:p>
        </w:tc>
        <w:tc>
          <w:tcPr>
            <w:tcW w:w="4536" w:type="dxa"/>
          </w:tcPr>
          <w:p w:rsidR="006A1666" w:rsidRPr="00982C2B" w:rsidRDefault="006A1666" w:rsidP="006A1666">
            <w:pPr>
              <w:jc w:val="both"/>
              <w:rPr>
                <w:rFonts w:cs="Times New Roman"/>
                <w:sz w:val="20"/>
                <w:szCs w:val="20"/>
                <w:lang w:val="fr-CA"/>
              </w:rPr>
            </w:pPr>
            <w:r w:rsidRPr="00982C2B">
              <w:rPr>
                <w:rFonts w:cs="Times New Roman"/>
                <w:sz w:val="20"/>
                <w:szCs w:val="20"/>
                <w:lang w:val="fr-CA"/>
              </w:rPr>
              <w:t>Dépôt de la requête en prorogation du délai et de la demande d’autorisation d’appel.</w:t>
            </w:r>
          </w:p>
          <w:p w:rsidR="006A1666" w:rsidRPr="00982C2B" w:rsidRDefault="006A1666" w:rsidP="006A1666">
            <w:pPr>
              <w:pStyle w:val="SCCShortJudgment"/>
              <w:ind w:firstLine="0"/>
              <w:rPr>
                <w:rFonts w:cs="Times New Roman"/>
                <w:szCs w:val="20"/>
                <w:u w:val="single"/>
                <w:lang w:val="fr-CA"/>
              </w:rPr>
            </w:pPr>
          </w:p>
        </w:tc>
      </w:tr>
    </w:tbl>
    <w:p w:rsidR="005236C8" w:rsidRPr="00982C2B" w:rsidRDefault="009F3029" w:rsidP="006A1666">
      <w:pPr>
        <w:jc w:val="both"/>
        <w:rPr>
          <w:rFonts w:cs="Times New Roman"/>
          <w:sz w:val="20"/>
          <w:szCs w:val="20"/>
          <w:lang w:val="fr-CA"/>
        </w:rPr>
      </w:pPr>
      <w:r>
        <w:rPr>
          <w:rFonts w:cs="Times New Roman"/>
          <w:sz w:val="20"/>
          <w:szCs w:val="20"/>
          <w:lang w:val="fr-CA"/>
        </w:rPr>
        <w:pict>
          <v:rect id="_x0000_i1072" style="width:2in;height:1pt" o:hrpct="0" o:hralign="center" o:hrstd="t" o:hrnoshade="t" o:hr="t" fillcolor="black [3213]" stroked="f"/>
        </w:pict>
      </w:r>
    </w:p>
    <w:p w:rsidR="006A1666" w:rsidRPr="00982C2B" w:rsidRDefault="006A1666" w:rsidP="006A1666">
      <w:pPr>
        <w:jc w:val="both"/>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97F6A" w:rsidRPr="00982C2B" w:rsidTr="00C643DA">
        <w:trPr>
          <w:cantSplit/>
        </w:trPr>
        <w:tc>
          <w:tcPr>
            <w:tcW w:w="1458" w:type="dxa"/>
          </w:tcPr>
          <w:p w:rsidR="00B97F6A" w:rsidRPr="00982C2B" w:rsidRDefault="00B97F6A" w:rsidP="00C643DA">
            <w:pPr>
              <w:jc w:val="both"/>
              <w:rPr>
                <w:rFonts w:cs="Times New Roman"/>
                <w:sz w:val="20"/>
                <w:szCs w:val="20"/>
              </w:rPr>
            </w:pPr>
            <w:r w:rsidRPr="00982C2B">
              <w:rPr>
                <w:rStyle w:val="SCCFileNumberChar"/>
                <w:sz w:val="20"/>
                <w:szCs w:val="20"/>
              </w:rPr>
              <w:t>36759</w:t>
            </w:r>
          </w:p>
          <w:p w:rsidR="00B97F6A" w:rsidRPr="00982C2B" w:rsidRDefault="00B97F6A" w:rsidP="00C643DA">
            <w:pPr>
              <w:jc w:val="both"/>
              <w:rPr>
                <w:rFonts w:cs="Times New Roman"/>
                <w:b/>
                <w:sz w:val="20"/>
                <w:szCs w:val="20"/>
              </w:rPr>
            </w:pPr>
          </w:p>
        </w:tc>
        <w:tc>
          <w:tcPr>
            <w:tcW w:w="8118" w:type="dxa"/>
            <w:gridSpan w:val="3"/>
          </w:tcPr>
          <w:p w:rsidR="00B97F6A" w:rsidRPr="00982C2B" w:rsidRDefault="00B97F6A" w:rsidP="00C643DA">
            <w:pPr>
              <w:jc w:val="both"/>
              <w:rPr>
                <w:rFonts w:cs="Times New Roman"/>
                <w:sz w:val="20"/>
                <w:szCs w:val="20"/>
              </w:rPr>
            </w:pPr>
            <w:r w:rsidRPr="00982C2B">
              <w:rPr>
                <w:rStyle w:val="SCCLsocChar"/>
                <w:rFonts w:cs="Times New Roman"/>
                <w:sz w:val="20"/>
                <w:szCs w:val="20"/>
                <w:lang w:val="en-CA"/>
              </w:rPr>
              <w:t>Daniel DeMaria v. Law Society of Saskatchewan</w:t>
            </w:r>
            <w:r w:rsidRPr="00982C2B">
              <w:rPr>
                <w:rStyle w:val="SCCLsocChar"/>
                <w:rFonts w:cs="Times New Roman"/>
                <w:b w:val="0"/>
                <w:sz w:val="20"/>
                <w:szCs w:val="20"/>
                <w:u w:val="none"/>
                <w:lang w:val="en-CA"/>
              </w:rPr>
              <w:t xml:space="preserve"> </w:t>
            </w:r>
            <w:r w:rsidRPr="00982C2B">
              <w:rPr>
                <w:rFonts w:cs="Times New Roman"/>
                <w:sz w:val="20"/>
                <w:szCs w:val="20"/>
              </w:rPr>
              <w:t>(Sask.) (Civil) (By Leave)</w:t>
            </w:r>
          </w:p>
          <w:p w:rsidR="00B97F6A" w:rsidRPr="00982C2B" w:rsidRDefault="00B97F6A" w:rsidP="00C643DA">
            <w:pPr>
              <w:jc w:val="both"/>
              <w:rPr>
                <w:rFonts w:cs="Times New Roman"/>
                <w:sz w:val="20"/>
                <w:szCs w:val="20"/>
              </w:rPr>
            </w:pPr>
          </w:p>
        </w:tc>
      </w:tr>
      <w:tr w:rsidR="00B97F6A" w:rsidRPr="00982C2B" w:rsidTr="00C643DA">
        <w:trPr>
          <w:cantSplit/>
        </w:trPr>
        <w:tc>
          <w:tcPr>
            <w:tcW w:w="1458" w:type="dxa"/>
          </w:tcPr>
          <w:p w:rsidR="00B97F6A" w:rsidRPr="00982C2B" w:rsidRDefault="00B97F6A" w:rsidP="00C643DA">
            <w:pPr>
              <w:jc w:val="both"/>
              <w:rPr>
                <w:rFonts w:cs="Times New Roman"/>
                <w:sz w:val="20"/>
                <w:szCs w:val="20"/>
              </w:rPr>
            </w:pPr>
            <w:r w:rsidRPr="00982C2B">
              <w:rPr>
                <w:rFonts w:cs="Times New Roman"/>
                <w:sz w:val="20"/>
                <w:szCs w:val="20"/>
              </w:rPr>
              <w:t>Coram :</w:t>
            </w:r>
          </w:p>
        </w:tc>
        <w:tc>
          <w:tcPr>
            <w:tcW w:w="8118" w:type="dxa"/>
            <w:gridSpan w:val="3"/>
          </w:tcPr>
          <w:p w:rsidR="00B97F6A" w:rsidRPr="00982C2B" w:rsidRDefault="00B97F6A" w:rsidP="00C643DA">
            <w:pPr>
              <w:jc w:val="both"/>
              <w:rPr>
                <w:rStyle w:val="SCCCoramChar"/>
                <w:rFonts w:cs="Times New Roman"/>
                <w:sz w:val="20"/>
                <w:szCs w:val="20"/>
                <w:lang w:val="en-CA"/>
              </w:rPr>
            </w:pPr>
            <w:r w:rsidRPr="00982C2B">
              <w:rPr>
                <w:rStyle w:val="SCCCoramChar"/>
                <w:rFonts w:cs="Times New Roman"/>
                <w:sz w:val="20"/>
                <w:szCs w:val="20"/>
                <w:lang w:val="en-CA"/>
              </w:rPr>
              <w:t>Abella, Karakatsanis and Gascon JJ.</w:t>
            </w:r>
          </w:p>
          <w:p w:rsidR="00B97F6A" w:rsidRPr="00982C2B" w:rsidRDefault="00B97F6A" w:rsidP="00C643DA">
            <w:pPr>
              <w:jc w:val="both"/>
              <w:rPr>
                <w:rFonts w:cs="Times New Roman"/>
                <w:sz w:val="20"/>
                <w:szCs w:val="20"/>
                <w:u w:val="single"/>
              </w:rPr>
            </w:pPr>
          </w:p>
        </w:tc>
      </w:tr>
      <w:tr w:rsidR="00B97F6A" w:rsidRPr="009F3029" w:rsidTr="00C643DA">
        <w:trPr>
          <w:cantSplit/>
        </w:trPr>
        <w:tc>
          <w:tcPr>
            <w:tcW w:w="9576" w:type="dxa"/>
            <w:gridSpan w:val="4"/>
          </w:tcPr>
          <w:p w:rsidR="00B97F6A" w:rsidRPr="00982C2B" w:rsidRDefault="00B97F6A" w:rsidP="00B97F6A">
            <w:pPr>
              <w:pStyle w:val="SCCShortJudgment"/>
              <w:ind w:firstLine="0"/>
              <w:rPr>
                <w:rFonts w:cs="Times New Roman"/>
                <w:szCs w:val="20"/>
              </w:rPr>
            </w:pPr>
            <w:r w:rsidRPr="00982C2B">
              <w:rPr>
                <w:rFonts w:cs="Times New Roman"/>
                <w:szCs w:val="20"/>
              </w:rPr>
              <w:tab/>
              <w:t>The application for leave to appeal from the judgment of the Court of Appeal for Saskatchewan, Number CACV2425, 2015 SKCA 106, dated October 9, 2015, is dismissed with costs.</w:t>
            </w:r>
          </w:p>
          <w:p w:rsidR="00B97F6A" w:rsidRPr="00982C2B" w:rsidRDefault="00B97F6A" w:rsidP="00C643DA">
            <w:pPr>
              <w:pStyle w:val="SCCShortJudgment"/>
              <w:ind w:firstLine="0"/>
              <w:rPr>
                <w:rFonts w:cs="Times New Roman"/>
                <w:szCs w:val="20"/>
              </w:rPr>
            </w:pPr>
          </w:p>
          <w:p w:rsidR="00B97F6A" w:rsidRPr="00982C2B" w:rsidRDefault="00B97F6A" w:rsidP="00C643DA">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la Saskatchewan</w:t>
            </w:r>
            <w:r w:rsidRPr="00982C2B">
              <w:rPr>
                <w:rFonts w:cs="Times New Roman"/>
                <w:szCs w:val="20"/>
                <w:lang w:val="fr-CA"/>
              </w:rPr>
              <w:t xml:space="preserve">, numéro </w:t>
            </w:r>
            <w:r w:rsidRPr="00982C2B">
              <w:rPr>
                <w:rFonts w:cs="Times New Roman"/>
                <w:szCs w:val="20"/>
                <w:lang w:val="fr-FR"/>
              </w:rPr>
              <w:t>CACV2425</w:t>
            </w:r>
            <w:r w:rsidRPr="00982C2B">
              <w:rPr>
                <w:rFonts w:cs="Times New Roman"/>
                <w:szCs w:val="20"/>
                <w:lang w:val="fr-CA"/>
              </w:rPr>
              <w:t>,</w:t>
            </w:r>
            <w:r w:rsidRPr="00982C2B">
              <w:rPr>
                <w:rFonts w:cs="Times New Roman"/>
                <w:szCs w:val="20"/>
                <w:lang w:val="fr-FR"/>
              </w:rPr>
              <w:t xml:space="preserve"> 2015 SKCA 106, </w:t>
            </w:r>
            <w:r w:rsidRPr="00982C2B">
              <w:rPr>
                <w:rFonts w:cs="Times New Roman"/>
                <w:szCs w:val="20"/>
                <w:lang w:val="fr-CA"/>
              </w:rPr>
              <w:t xml:space="preserve"> daté du </w:t>
            </w:r>
            <w:r w:rsidRPr="00982C2B">
              <w:rPr>
                <w:rFonts w:cs="Times New Roman"/>
                <w:szCs w:val="20"/>
                <w:lang w:val="fr-FR"/>
              </w:rPr>
              <w:t>9 octobre 2015</w:t>
            </w:r>
            <w:r w:rsidRPr="00982C2B">
              <w:rPr>
                <w:rFonts w:cs="Times New Roman"/>
                <w:szCs w:val="20"/>
                <w:lang w:val="fr-CA"/>
              </w:rPr>
              <w:t xml:space="preserve">, est rejetée avec dépens. </w:t>
            </w:r>
          </w:p>
          <w:p w:rsidR="00B97F6A" w:rsidRPr="00982C2B" w:rsidRDefault="00B97F6A" w:rsidP="00C643DA">
            <w:pPr>
              <w:pStyle w:val="SCCShortJudgment"/>
              <w:ind w:firstLine="0"/>
              <w:rPr>
                <w:rFonts w:cs="Times New Roman"/>
                <w:szCs w:val="20"/>
                <w:lang w:val="fr-CA"/>
              </w:rPr>
            </w:pPr>
          </w:p>
        </w:tc>
      </w:tr>
      <w:tr w:rsidR="00B97F6A" w:rsidRPr="00982C2B" w:rsidTr="00C643DA">
        <w:trPr>
          <w:cantSplit/>
        </w:trPr>
        <w:tc>
          <w:tcPr>
            <w:tcW w:w="9576" w:type="dxa"/>
            <w:gridSpan w:val="4"/>
          </w:tcPr>
          <w:p w:rsidR="00B97F6A" w:rsidRPr="00982C2B" w:rsidRDefault="00B97F6A" w:rsidP="00C643DA">
            <w:pPr>
              <w:pStyle w:val="SCCShortJudgment"/>
              <w:ind w:firstLine="0"/>
              <w:rPr>
                <w:rFonts w:cs="Times New Roman"/>
                <w:szCs w:val="20"/>
                <w:u w:val="single"/>
                <w:lang w:val="fr-CA"/>
              </w:rPr>
            </w:pPr>
            <w:r w:rsidRPr="00982C2B">
              <w:rPr>
                <w:rFonts w:cs="Times New Roman"/>
                <w:szCs w:val="20"/>
                <w:u w:val="single"/>
                <w:lang w:val="fr-CA"/>
              </w:rPr>
              <w:t>CASE SUMMARY</w:t>
            </w:r>
          </w:p>
          <w:p w:rsidR="00B97F6A" w:rsidRPr="00982C2B" w:rsidRDefault="00B97F6A" w:rsidP="00C643DA">
            <w:pPr>
              <w:pStyle w:val="SCCShortJudgment"/>
              <w:ind w:firstLine="0"/>
              <w:rPr>
                <w:rFonts w:cs="Times New Roman"/>
                <w:szCs w:val="20"/>
                <w:u w:val="single"/>
                <w:lang w:val="fr-CA"/>
              </w:rPr>
            </w:pPr>
          </w:p>
        </w:tc>
      </w:tr>
      <w:tr w:rsidR="00B97F6A" w:rsidRPr="00982C2B" w:rsidTr="000F4E44">
        <w:tc>
          <w:tcPr>
            <w:tcW w:w="9576" w:type="dxa"/>
            <w:gridSpan w:val="4"/>
          </w:tcPr>
          <w:p w:rsidR="00B97F6A" w:rsidRPr="00982C2B" w:rsidRDefault="00B97F6A" w:rsidP="00C643DA">
            <w:pPr>
              <w:pStyle w:val="SCCShortJudgment"/>
              <w:ind w:firstLine="0"/>
              <w:rPr>
                <w:rFonts w:cs="Times New Roman"/>
                <w:szCs w:val="20"/>
              </w:rPr>
            </w:pPr>
            <w:r w:rsidRPr="00982C2B">
              <w:rPr>
                <w:rFonts w:cs="Times New Roman"/>
                <w:szCs w:val="20"/>
              </w:rPr>
              <w:t>Law of professions — Barristers and solicitors — Ethics — Admissions — Applicant denied admission to Law Society — Whether Court of Appeal erred in holding that applicant had burden of disproving vague and non-specific allegations of wrongdoing regarding his application for admission as a lawyer and in failing to hold that decision of Admissions and Education Committee was a nullity in circumstances where the decision was first released to counsel for the Law Society who unscrupulously edited it after committee members purported to sign it without notifying applicant</w:t>
            </w:r>
          </w:p>
          <w:p w:rsidR="00B97F6A" w:rsidRPr="00982C2B" w:rsidRDefault="00B97F6A" w:rsidP="00C643DA">
            <w:pPr>
              <w:pStyle w:val="SCCShortJudgment"/>
              <w:ind w:firstLine="0"/>
              <w:rPr>
                <w:rFonts w:cs="Times New Roman"/>
                <w:szCs w:val="20"/>
              </w:rPr>
            </w:pP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August 8, 2011</w:t>
            </w:r>
          </w:p>
          <w:p w:rsidR="00B97F6A" w:rsidRPr="00982C2B" w:rsidRDefault="00B97F6A" w:rsidP="00F87FAB">
            <w:pPr>
              <w:jc w:val="both"/>
              <w:rPr>
                <w:rFonts w:cs="Times New Roman"/>
                <w:sz w:val="20"/>
                <w:szCs w:val="20"/>
              </w:rPr>
            </w:pPr>
            <w:r w:rsidRPr="00982C2B">
              <w:rPr>
                <w:rFonts w:cs="Times New Roman"/>
                <w:sz w:val="20"/>
                <w:szCs w:val="20"/>
              </w:rPr>
              <w:t>Admissions and Education Committee</w:t>
            </w:r>
          </w:p>
          <w:p w:rsidR="00B97F6A" w:rsidRPr="00982C2B" w:rsidRDefault="00B97F6A" w:rsidP="00F87FAB">
            <w:pPr>
              <w:jc w:val="both"/>
              <w:rPr>
                <w:rFonts w:cs="Times New Roman"/>
                <w:sz w:val="20"/>
                <w:szCs w:val="20"/>
              </w:rPr>
            </w:pPr>
            <w:r w:rsidRPr="00982C2B">
              <w:rPr>
                <w:rFonts w:cs="Times New Roman"/>
                <w:sz w:val="20"/>
                <w:szCs w:val="20"/>
              </w:rPr>
              <w:t>Law Society of Saskatchewan</w:t>
            </w:r>
          </w:p>
          <w:p w:rsidR="00B97F6A" w:rsidRPr="00982C2B" w:rsidRDefault="00B97F6A" w:rsidP="00F87FAB">
            <w:pPr>
              <w:jc w:val="both"/>
              <w:rPr>
                <w:rFonts w:cs="Times New Roman"/>
                <w:sz w:val="20"/>
                <w:szCs w:val="20"/>
              </w:rPr>
            </w:pPr>
            <w:r w:rsidRPr="00982C2B">
              <w:rPr>
                <w:rFonts w:cs="Times New Roman"/>
                <w:sz w:val="20"/>
                <w:szCs w:val="20"/>
              </w:rPr>
              <w:t>(Patterson, Hesje Q.C and Berra, Members)</w:t>
            </w:r>
          </w:p>
          <w:p w:rsidR="00B97F6A" w:rsidRPr="00982C2B" w:rsidRDefault="00B97F6A" w:rsidP="00F87FAB">
            <w:pPr>
              <w:jc w:val="both"/>
              <w:rPr>
                <w:rFonts w:cs="Times New Roman"/>
                <w:sz w:val="20"/>
                <w:szCs w:val="20"/>
              </w:rPr>
            </w:pPr>
            <w:r w:rsidRPr="00982C2B">
              <w:rPr>
                <w:rFonts w:cs="Times New Roman"/>
                <w:sz w:val="20"/>
                <w:szCs w:val="20"/>
              </w:rPr>
              <w:t>Unreported</w:t>
            </w:r>
          </w:p>
          <w:p w:rsidR="00B97F6A" w:rsidRPr="00982C2B" w:rsidRDefault="00B97F6A" w:rsidP="00F87FAB">
            <w:pPr>
              <w:jc w:val="both"/>
              <w:rPr>
                <w:rFonts w:cs="Times New Roman"/>
                <w:sz w:val="20"/>
                <w:szCs w:val="20"/>
              </w:rPr>
            </w:pPr>
          </w:p>
        </w:tc>
        <w:tc>
          <w:tcPr>
            <w:tcW w:w="630" w:type="dxa"/>
          </w:tcPr>
          <w:p w:rsidR="00B97F6A" w:rsidRPr="00982C2B" w:rsidRDefault="00B97F6A" w:rsidP="00F87FAB">
            <w:pPr>
              <w:pStyle w:val="SCCShortJudgment"/>
              <w:ind w:firstLine="0"/>
              <w:rPr>
                <w:rFonts w:cs="Times New Roman"/>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Applicant’s application for admission as a lawyer to Law Society of Saskatchewan denied</w:t>
            </w: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July 11, 2012</w:t>
            </w:r>
          </w:p>
          <w:p w:rsidR="00B97F6A" w:rsidRPr="00982C2B" w:rsidRDefault="00B97F6A" w:rsidP="00F87FAB">
            <w:pPr>
              <w:jc w:val="both"/>
              <w:rPr>
                <w:rFonts w:cs="Times New Roman"/>
                <w:sz w:val="20"/>
                <w:szCs w:val="20"/>
              </w:rPr>
            </w:pPr>
            <w:r w:rsidRPr="00982C2B">
              <w:rPr>
                <w:rFonts w:cs="Times New Roman"/>
                <w:sz w:val="20"/>
                <w:szCs w:val="20"/>
              </w:rPr>
              <w:t>Benchers on Review</w:t>
            </w:r>
          </w:p>
          <w:p w:rsidR="00B97F6A" w:rsidRPr="00982C2B" w:rsidRDefault="00B97F6A" w:rsidP="00F87FAB">
            <w:pPr>
              <w:jc w:val="both"/>
              <w:rPr>
                <w:rFonts w:cs="Times New Roman"/>
                <w:sz w:val="20"/>
                <w:szCs w:val="20"/>
              </w:rPr>
            </w:pPr>
            <w:r w:rsidRPr="00982C2B">
              <w:rPr>
                <w:rFonts w:cs="Times New Roman"/>
                <w:sz w:val="20"/>
                <w:szCs w:val="20"/>
              </w:rPr>
              <w:t xml:space="preserve">Law Society of Saskatchewan </w:t>
            </w:r>
          </w:p>
          <w:p w:rsidR="00B97F6A" w:rsidRPr="00982C2B" w:rsidRDefault="00B97F6A" w:rsidP="00F87FAB">
            <w:pPr>
              <w:jc w:val="both"/>
              <w:rPr>
                <w:rFonts w:cs="Times New Roman"/>
                <w:sz w:val="20"/>
                <w:szCs w:val="20"/>
              </w:rPr>
            </w:pPr>
            <w:r w:rsidRPr="00982C2B">
              <w:rPr>
                <w:rFonts w:cs="Times New Roman"/>
                <w:sz w:val="20"/>
                <w:szCs w:val="20"/>
              </w:rPr>
              <w:t>(Korpan Q.C., Chair)</w:t>
            </w:r>
          </w:p>
          <w:p w:rsidR="00B97F6A" w:rsidRPr="00982C2B" w:rsidRDefault="00B97F6A" w:rsidP="00F87FAB">
            <w:pPr>
              <w:jc w:val="both"/>
              <w:rPr>
                <w:rFonts w:cs="Times New Roman"/>
                <w:sz w:val="20"/>
                <w:szCs w:val="20"/>
              </w:rPr>
            </w:pPr>
            <w:r w:rsidRPr="00982C2B">
              <w:rPr>
                <w:rFonts w:cs="Times New Roman"/>
                <w:sz w:val="20"/>
                <w:szCs w:val="20"/>
              </w:rPr>
              <w:t>Unreported</w:t>
            </w:r>
          </w:p>
          <w:p w:rsidR="00B97F6A" w:rsidRPr="00982C2B" w:rsidRDefault="00B97F6A" w:rsidP="00F87FAB">
            <w:pPr>
              <w:jc w:val="both"/>
              <w:rPr>
                <w:rFonts w:cs="Times New Roman"/>
                <w:sz w:val="20"/>
                <w:szCs w:val="20"/>
              </w:rPr>
            </w:pPr>
          </w:p>
        </w:tc>
        <w:tc>
          <w:tcPr>
            <w:tcW w:w="630" w:type="dxa"/>
          </w:tcPr>
          <w:p w:rsidR="00B97F6A" w:rsidRPr="00982C2B" w:rsidRDefault="00B97F6A" w:rsidP="00F87FAB">
            <w:pPr>
              <w:pStyle w:val="SCCShortJudgment"/>
              <w:ind w:firstLine="0"/>
              <w:rPr>
                <w:rFonts w:cs="Times New Roman"/>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Applicant’s application for review dismissed</w:t>
            </w: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November 2, 2012</w:t>
            </w:r>
          </w:p>
          <w:p w:rsidR="00B97F6A" w:rsidRPr="00982C2B" w:rsidRDefault="00B97F6A" w:rsidP="00F87FAB">
            <w:pPr>
              <w:jc w:val="both"/>
              <w:rPr>
                <w:rFonts w:cs="Times New Roman"/>
                <w:sz w:val="20"/>
                <w:szCs w:val="20"/>
              </w:rPr>
            </w:pPr>
            <w:r w:rsidRPr="00982C2B">
              <w:rPr>
                <w:rFonts w:cs="Times New Roman"/>
                <w:sz w:val="20"/>
                <w:szCs w:val="20"/>
              </w:rPr>
              <w:t>Court of Queen’s Bench of Saskatchewan</w:t>
            </w:r>
          </w:p>
          <w:p w:rsidR="00B97F6A" w:rsidRPr="00982C2B" w:rsidRDefault="00B97F6A" w:rsidP="00F87FAB">
            <w:pPr>
              <w:jc w:val="both"/>
              <w:rPr>
                <w:rFonts w:cs="Times New Roman"/>
                <w:sz w:val="20"/>
                <w:szCs w:val="20"/>
              </w:rPr>
            </w:pPr>
            <w:r w:rsidRPr="00982C2B">
              <w:rPr>
                <w:rFonts w:cs="Times New Roman"/>
                <w:sz w:val="20"/>
                <w:szCs w:val="20"/>
              </w:rPr>
              <w:t>(Schwann J.)</w:t>
            </w:r>
          </w:p>
          <w:p w:rsidR="00B97F6A" w:rsidRPr="00982C2B" w:rsidRDefault="009F3029" w:rsidP="00F87FAB">
            <w:pPr>
              <w:jc w:val="both"/>
              <w:rPr>
                <w:rFonts w:cs="Times New Roman"/>
                <w:sz w:val="20"/>
                <w:szCs w:val="20"/>
              </w:rPr>
            </w:pPr>
            <w:hyperlink r:id="rId76" w:history="1">
              <w:r w:rsidR="00B97F6A" w:rsidRPr="00982C2B">
                <w:rPr>
                  <w:rStyle w:val="Hyperlink"/>
                  <w:rFonts w:cs="Times New Roman"/>
                  <w:sz w:val="20"/>
                  <w:szCs w:val="20"/>
                </w:rPr>
                <w:t>2012 SKQB 454</w:t>
              </w:r>
            </w:hyperlink>
          </w:p>
          <w:p w:rsidR="00B97F6A" w:rsidRPr="00982C2B" w:rsidRDefault="00B97F6A" w:rsidP="00F87FAB">
            <w:pPr>
              <w:jc w:val="both"/>
              <w:rPr>
                <w:rFonts w:cs="Times New Roman"/>
                <w:sz w:val="20"/>
                <w:szCs w:val="20"/>
              </w:rPr>
            </w:pPr>
          </w:p>
        </w:tc>
        <w:tc>
          <w:tcPr>
            <w:tcW w:w="630" w:type="dxa"/>
          </w:tcPr>
          <w:p w:rsidR="00B97F6A" w:rsidRPr="00982C2B" w:rsidRDefault="00B97F6A" w:rsidP="00F87FAB">
            <w:pPr>
              <w:pStyle w:val="SCCShortJudgment"/>
              <w:ind w:firstLine="0"/>
              <w:rPr>
                <w:rFonts w:cs="Times New Roman"/>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Applicant’s application for judicial review and for orders of certiorari, mandamus and injunctive relief dismissed</w:t>
            </w:r>
          </w:p>
          <w:p w:rsidR="00B97F6A" w:rsidRPr="00982C2B" w:rsidRDefault="00B97F6A" w:rsidP="00F87FAB">
            <w:pPr>
              <w:jc w:val="both"/>
              <w:rPr>
                <w:rFonts w:cs="Times New Roman"/>
                <w:sz w:val="20"/>
                <w:szCs w:val="20"/>
              </w:rPr>
            </w:pP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May 10, 2013</w:t>
            </w:r>
          </w:p>
          <w:p w:rsidR="00B97F6A" w:rsidRPr="00982C2B" w:rsidRDefault="00B97F6A" w:rsidP="00F87FAB">
            <w:pPr>
              <w:jc w:val="both"/>
              <w:rPr>
                <w:rFonts w:cs="Times New Roman"/>
                <w:sz w:val="20"/>
                <w:szCs w:val="20"/>
              </w:rPr>
            </w:pPr>
            <w:r w:rsidRPr="00982C2B">
              <w:rPr>
                <w:rFonts w:cs="Times New Roman"/>
                <w:sz w:val="20"/>
                <w:szCs w:val="20"/>
              </w:rPr>
              <w:t>Court of Queen’s Bench of Saskatchewan</w:t>
            </w:r>
          </w:p>
          <w:p w:rsidR="00B97F6A" w:rsidRPr="00982C2B" w:rsidRDefault="00B97F6A" w:rsidP="00F87FAB">
            <w:pPr>
              <w:jc w:val="both"/>
              <w:rPr>
                <w:rFonts w:cs="Times New Roman"/>
                <w:sz w:val="20"/>
                <w:szCs w:val="20"/>
              </w:rPr>
            </w:pPr>
            <w:r w:rsidRPr="00982C2B">
              <w:rPr>
                <w:rFonts w:cs="Times New Roman"/>
                <w:sz w:val="20"/>
                <w:szCs w:val="20"/>
              </w:rPr>
              <w:t>(Schwann J.)</w:t>
            </w:r>
          </w:p>
          <w:p w:rsidR="00B97F6A" w:rsidRPr="00982C2B" w:rsidRDefault="009F3029" w:rsidP="00F87FAB">
            <w:pPr>
              <w:jc w:val="both"/>
              <w:rPr>
                <w:rFonts w:cs="Times New Roman"/>
                <w:sz w:val="20"/>
                <w:szCs w:val="20"/>
              </w:rPr>
            </w:pPr>
            <w:hyperlink r:id="rId77" w:history="1">
              <w:r w:rsidR="00B97F6A" w:rsidRPr="00982C2B">
                <w:rPr>
                  <w:rStyle w:val="Hyperlink"/>
                  <w:rFonts w:cs="Times New Roman"/>
                  <w:sz w:val="20"/>
                  <w:szCs w:val="20"/>
                </w:rPr>
                <w:t>2013 SKQB 178</w:t>
              </w:r>
            </w:hyperlink>
          </w:p>
          <w:p w:rsidR="00B97F6A" w:rsidRPr="00982C2B" w:rsidRDefault="00B97F6A" w:rsidP="00F87FAB">
            <w:pPr>
              <w:jc w:val="both"/>
              <w:rPr>
                <w:rFonts w:cs="Times New Roman"/>
                <w:sz w:val="20"/>
                <w:szCs w:val="20"/>
              </w:rPr>
            </w:pPr>
          </w:p>
        </w:tc>
        <w:tc>
          <w:tcPr>
            <w:tcW w:w="630" w:type="dxa"/>
          </w:tcPr>
          <w:p w:rsidR="00B97F6A" w:rsidRPr="00982C2B" w:rsidRDefault="00B97F6A" w:rsidP="00F87FAB">
            <w:pPr>
              <w:jc w:val="both"/>
              <w:rPr>
                <w:rFonts w:cs="Times New Roman"/>
                <w:sz w:val="20"/>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Applicant’s application for judicial review and for orders of certiorari, mandamus and injunctive relief dismissed</w:t>
            </w:r>
          </w:p>
          <w:p w:rsidR="00B97F6A" w:rsidRPr="00982C2B" w:rsidRDefault="00B97F6A" w:rsidP="00F87FAB">
            <w:pPr>
              <w:jc w:val="both"/>
              <w:rPr>
                <w:rFonts w:cs="Times New Roman"/>
                <w:sz w:val="20"/>
                <w:szCs w:val="20"/>
              </w:rPr>
            </w:pP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October 9, 2015</w:t>
            </w:r>
          </w:p>
          <w:p w:rsidR="00B97F6A" w:rsidRPr="00982C2B" w:rsidRDefault="00B97F6A" w:rsidP="00F87FAB">
            <w:pPr>
              <w:jc w:val="both"/>
              <w:rPr>
                <w:rFonts w:cs="Times New Roman"/>
                <w:sz w:val="20"/>
                <w:szCs w:val="20"/>
              </w:rPr>
            </w:pPr>
            <w:r w:rsidRPr="00982C2B">
              <w:rPr>
                <w:rFonts w:cs="Times New Roman"/>
                <w:sz w:val="20"/>
                <w:szCs w:val="20"/>
              </w:rPr>
              <w:t>Court of Appeal for Saskatchewan</w:t>
            </w:r>
          </w:p>
          <w:p w:rsidR="00B97F6A" w:rsidRPr="00982C2B" w:rsidRDefault="00B97F6A" w:rsidP="00F87FAB">
            <w:pPr>
              <w:jc w:val="both"/>
              <w:rPr>
                <w:rFonts w:cs="Times New Roman"/>
                <w:sz w:val="20"/>
                <w:szCs w:val="20"/>
              </w:rPr>
            </w:pPr>
            <w:r w:rsidRPr="00982C2B">
              <w:rPr>
                <w:rFonts w:cs="Times New Roman"/>
                <w:sz w:val="20"/>
                <w:szCs w:val="20"/>
              </w:rPr>
              <w:t>(Caldwell, Ottenbreit and Ryan-Frosile JJ.A.)</w:t>
            </w:r>
          </w:p>
          <w:p w:rsidR="00B97F6A" w:rsidRPr="00982C2B" w:rsidRDefault="009F3029" w:rsidP="00F87FAB">
            <w:pPr>
              <w:jc w:val="both"/>
              <w:rPr>
                <w:rFonts w:cs="Times New Roman"/>
                <w:sz w:val="20"/>
                <w:szCs w:val="20"/>
              </w:rPr>
            </w:pPr>
            <w:hyperlink r:id="rId78" w:history="1">
              <w:r w:rsidR="00B97F6A" w:rsidRPr="00982C2B">
                <w:rPr>
                  <w:rStyle w:val="Hyperlink"/>
                  <w:rFonts w:cs="Times New Roman"/>
                  <w:sz w:val="20"/>
                  <w:szCs w:val="20"/>
                </w:rPr>
                <w:t>2015 SKCA 106</w:t>
              </w:r>
            </w:hyperlink>
          </w:p>
          <w:p w:rsidR="00B97F6A" w:rsidRPr="00982C2B" w:rsidRDefault="00B97F6A" w:rsidP="00F87FAB">
            <w:pPr>
              <w:jc w:val="both"/>
              <w:rPr>
                <w:rFonts w:cs="Times New Roman"/>
                <w:sz w:val="20"/>
                <w:szCs w:val="20"/>
              </w:rPr>
            </w:pPr>
          </w:p>
        </w:tc>
        <w:tc>
          <w:tcPr>
            <w:tcW w:w="630" w:type="dxa"/>
          </w:tcPr>
          <w:p w:rsidR="00B97F6A" w:rsidRPr="00982C2B" w:rsidRDefault="00B97F6A" w:rsidP="00F87FAB">
            <w:pPr>
              <w:jc w:val="both"/>
              <w:rPr>
                <w:rFonts w:cs="Times New Roman"/>
                <w:sz w:val="20"/>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Applicant’s appeal dismissed</w:t>
            </w:r>
          </w:p>
          <w:p w:rsidR="00B97F6A" w:rsidRPr="00982C2B" w:rsidRDefault="00B97F6A" w:rsidP="00F87FAB">
            <w:pPr>
              <w:jc w:val="both"/>
              <w:rPr>
                <w:rFonts w:cs="Times New Roman"/>
                <w:sz w:val="20"/>
                <w:szCs w:val="20"/>
              </w:rPr>
            </w:pPr>
          </w:p>
        </w:tc>
      </w:tr>
      <w:tr w:rsidR="00B97F6A" w:rsidRPr="00982C2B" w:rsidTr="00C643DA">
        <w:trPr>
          <w:cantSplit/>
        </w:trPr>
        <w:tc>
          <w:tcPr>
            <w:tcW w:w="4410" w:type="dxa"/>
            <w:gridSpan w:val="2"/>
          </w:tcPr>
          <w:p w:rsidR="00B97F6A" w:rsidRPr="00982C2B" w:rsidRDefault="00B97F6A" w:rsidP="00F87FAB">
            <w:pPr>
              <w:jc w:val="both"/>
              <w:rPr>
                <w:rFonts w:cs="Times New Roman"/>
                <w:sz w:val="20"/>
                <w:szCs w:val="20"/>
              </w:rPr>
            </w:pPr>
            <w:r w:rsidRPr="00982C2B">
              <w:rPr>
                <w:rFonts w:cs="Times New Roman"/>
                <w:sz w:val="20"/>
                <w:szCs w:val="20"/>
              </w:rPr>
              <w:t>December 8, 2015</w:t>
            </w:r>
          </w:p>
          <w:p w:rsidR="00B97F6A" w:rsidRPr="00982C2B" w:rsidRDefault="00B97F6A" w:rsidP="00F87FAB">
            <w:pPr>
              <w:jc w:val="both"/>
              <w:rPr>
                <w:rFonts w:cs="Times New Roman"/>
                <w:sz w:val="20"/>
                <w:szCs w:val="20"/>
              </w:rPr>
            </w:pPr>
            <w:r w:rsidRPr="00982C2B">
              <w:rPr>
                <w:rFonts w:cs="Times New Roman"/>
                <w:sz w:val="20"/>
                <w:szCs w:val="20"/>
              </w:rPr>
              <w:t>Supreme Court of Canada</w:t>
            </w:r>
          </w:p>
        </w:tc>
        <w:tc>
          <w:tcPr>
            <w:tcW w:w="630" w:type="dxa"/>
          </w:tcPr>
          <w:p w:rsidR="00B97F6A" w:rsidRPr="00982C2B" w:rsidRDefault="00B97F6A" w:rsidP="00F87FAB">
            <w:pPr>
              <w:jc w:val="both"/>
              <w:rPr>
                <w:rFonts w:cs="Times New Roman"/>
                <w:sz w:val="20"/>
                <w:szCs w:val="20"/>
              </w:rPr>
            </w:pPr>
          </w:p>
        </w:tc>
        <w:tc>
          <w:tcPr>
            <w:tcW w:w="4536" w:type="dxa"/>
          </w:tcPr>
          <w:p w:rsidR="00B97F6A" w:rsidRPr="00982C2B" w:rsidRDefault="00B97F6A" w:rsidP="00F87FAB">
            <w:pPr>
              <w:jc w:val="both"/>
              <w:rPr>
                <w:rFonts w:cs="Times New Roman"/>
                <w:sz w:val="20"/>
                <w:szCs w:val="20"/>
              </w:rPr>
            </w:pPr>
            <w:r w:rsidRPr="00982C2B">
              <w:rPr>
                <w:rFonts w:cs="Times New Roman"/>
                <w:sz w:val="20"/>
                <w:szCs w:val="20"/>
              </w:rPr>
              <w:t>Application for leave to appeal filed</w:t>
            </w:r>
          </w:p>
          <w:p w:rsidR="00B97F6A" w:rsidRPr="00982C2B" w:rsidRDefault="00B97F6A" w:rsidP="00F87FAB">
            <w:pPr>
              <w:jc w:val="both"/>
              <w:rPr>
                <w:rFonts w:cs="Times New Roman"/>
                <w:sz w:val="20"/>
                <w:szCs w:val="20"/>
              </w:rPr>
            </w:pPr>
          </w:p>
        </w:tc>
      </w:tr>
      <w:tr w:rsidR="00B97F6A" w:rsidRPr="00982C2B" w:rsidTr="00C643DA">
        <w:trPr>
          <w:cantSplit/>
        </w:trPr>
        <w:tc>
          <w:tcPr>
            <w:tcW w:w="9576" w:type="dxa"/>
            <w:gridSpan w:val="4"/>
          </w:tcPr>
          <w:p w:rsidR="00B97F6A" w:rsidRPr="00982C2B" w:rsidRDefault="009F3029" w:rsidP="00B97F6A">
            <w:pPr>
              <w:pStyle w:val="SCCShortJudgment"/>
              <w:ind w:firstLine="0"/>
              <w:rPr>
                <w:rFonts w:cs="Times New Roman"/>
                <w:szCs w:val="20"/>
                <w:lang w:val="fr-CA"/>
              </w:rPr>
            </w:pPr>
            <w:r>
              <w:rPr>
                <w:rFonts w:cs="Times New Roman"/>
                <w:szCs w:val="20"/>
                <w:lang w:val="fr-CA"/>
              </w:rPr>
              <w:pict>
                <v:rect id="_x0000_i1073" style="width:2in;height:1pt" o:hrpct="0" o:hralign="center" o:hrstd="t" o:hrnoshade="t" o:hr="t" fillcolor="black [3213]" stroked="f"/>
              </w:pict>
            </w:r>
          </w:p>
          <w:p w:rsidR="00B97F6A" w:rsidRPr="00982C2B" w:rsidRDefault="00B97F6A" w:rsidP="00B97F6A">
            <w:pPr>
              <w:pStyle w:val="SCCShortJudgment"/>
              <w:ind w:firstLine="0"/>
              <w:rPr>
                <w:rFonts w:cs="Times New Roman"/>
                <w:szCs w:val="20"/>
                <w:lang w:val="fr-CA"/>
              </w:rPr>
            </w:pPr>
          </w:p>
        </w:tc>
      </w:tr>
      <w:tr w:rsidR="00B97F6A" w:rsidRPr="00982C2B" w:rsidTr="00C643DA">
        <w:trPr>
          <w:cantSplit/>
        </w:trPr>
        <w:tc>
          <w:tcPr>
            <w:tcW w:w="9576" w:type="dxa"/>
            <w:gridSpan w:val="4"/>
          </w:tcPr>
          <w:p w:rsidR="00B97F6A" w:rsidRPr="00982C2B" w:rsidRDefault="00B97F6A" w:rsidP="00B97F6A">
            <w:pPr>
              <w:pStyle w:val="SCCShortJudgment"/>
              <w:ind w:firstLine="0"/>
              <w:rPr>
                <w:rFonts w:cs="Times New Roman"/>
                <w:szCs w:val="20"/>
                <w:u w:val="single"/>
                <w:lang w:val="fr-CA"/>
              </w:rPr>
            </w:pPr>
            <w:r w:rsidRPr="00982C2B">
              <w:rPr>
                <w:rFonts w:cs="Times New Roman"/>
                <w:szCs w:val="20"/>
                <w:u w:val="single"/>
                <w:lang w:val="fr-CA"/>
              </w:rPr>
              <w:t>RÉSUMÉ DE L’AFFAIRE </w:t>
            </w:r>
          </w:p>
          <w:p w:rsidR="00B97F6A" w:rsidRPr="00982C2B" w:rsidRDefault="00B97F6A" w:rsidP="00B97F6A">
            <w:pPr>
              <w:pStyle w:val="SCCShortJudgment"/>
              <w:ind w:firstLine="0"/>
              <w:rPr>
                <w:rFonts w:cs="Times New Roman"/>
                <w:szCs w:val="20"/>
                <w:u w:val="single"/>
                <w:lang w:val="fr-CA"/>
              </w:rPr>
            </w:pPr>
          </w:p>
        </w:tc>
      </w:tr>
      <w:tr w:rsidR="00B97F6A" w:rsidRPr="009F3029" w:rsidTr="00C643DA">
        <w:trPr>
          <w:cantSplit/>
        </w:trPr>
        <w:tc>
          <w:tcPr>
            <w:tcW w:w="9576" w:type="dxa"/>
            <w:gridSpan w:val="4"/>
          </w:tcPr>
          <w:p w:rsidR="00B97F6A" w:rsidRPr="00982C2B" w:rsidRDefault="00B97F6A" w:rsidP="00B97F6A">
            <w:pPr>
              <w:pStyle w:val="SCCShortJudgment"/>
              <w:ind w:firstLine="0"/>
              <w:rPr>
                <w:rFonts w:cs="Times New Roman"/>
                <w:szCs w:val="20"/>
                <w:lang w:val="fr-CA"/>
              </w:rPr>
            </w:pPr>
            <w:r w:rsidRPr="00982C2B">
              <w:rPr>
                <w:rFonts w:cs="Times New Roman"/>
                <w:szCs w:val="20"/>
                <w:lang w:val="fr-CA"/>
              </w:rPr>
              <w:t>Droit des professions — Avocats et procureurs — Déontologie — Admissions — Le demandeur s’est vu refuser l’admission au barreau intimé — La Cour d’appel a-t-elle eu tort de statuer que le demandeur avait le fardeau de réfuter des allégations vagues et imprécises d’actes répréhensibles concernant sa demande d’admission à titre d’avocat et d’avoir omis de statuer que la décision du comité des admissions et de la formation était nulle dans une situation où la décision avait été communiquée d’abord aux avocats du barreau qui l’ont révisée de façon éhontée après que les membres du comité l’eurent censément signé sans en avoir avisé le demandeur?</w:t>
            </w:r>
          </w:p>
          <w:p w:rsidR="00B97F6A" w:rsidRPr="00982C2B" w:rsidRDefault="00B97F6A" w:rsidP="00B97F6A">
            <w:pPr>
              <w:pStyle w:val="SCCShortJudgment"/>
              <w:ind w:firstLine="0"/>
              <w:rPr>
                <w:rFonts w:cs="Times New Roman"/>
                <w:szCs w:val="20"/>
                <w:u w:val="single"/>
                <w:lang w:val="fr-CA"/>
              </w:rPr>
            </w:pPr>
          </w:p>
        </w:tc>
      </w:tr>
      <w:tr w:rsidR="00B97F6A" w:rsidRPr="009F3029" w:rsidTr="00C643DA">
        <w:trPr>
          <w:cantSplit/>
        </w:trPr>
        <w:tc>
          <w:tcPr>
            <w:tcW w:w="9576" w:type="dxa"/>
            <w:gridSpan w:val="4"/>
          </w:tcPr>
          <w:p w:rsidR="00B97F6A" w:rsidRPr="00982C2B" w:rsidRDefault="00B97F6A" w:rsidP="00B97F6A">
            <w:pPr>
              <w:ind w:right="4"/>
              <w:jc w:val="both"/>
              <w:rPr>
                <w:rFonts w:cs="Times New Roman"/>
                <w:sz w:val="20"/>
                <w:szCs w:val="20"/>
                <w:u w:val="single"/>
                <w:lang w:val="fr-CA"/>
              </w:rPr>
            </w:pPr>
            <w:r w:rsidRPr="00982C2B">
              <w:rPr>
                <w:rFonts w:cs="Times New Roman"/>
                <w:sz w:val="20"/>
                <w:szCs w:val="20"/>
                <w:lang w:val="fr-CA"/>
              </w:rPr>
              <w:t>En 2008, M. DeMaria était stagiaire en droit au cabinet d’avocats Merchant Law Group. Le barreau de la Saskatchewan a conclu qu’il avait triché, de même qu’un autre étudiant, au cours de préparation au barreau. En septembre 2009, le comité des admissions et de formation du barreau lui a ordonné de reprendre certaines parties du cours de formation professionnelle. En mai 2010, M. DeMaria a réussi les modules du cours du barreau et, en juillet 2010, il a présenté sa demande d’admission à titre d’avocat. Le barreau a renvoyé sa demande au comité des admissions et de la formation et M. DeMaria s’est vu signifier un avis d’audition. Au terme d’une audience de trois jours, il a été statué que M. DeMaria ne serait pas admis au barreau, puisqu’il n’avait pas convaincu le comité de sa bonne moralité.</w:t>
            </w:r>
          </w:p>
        </w:tc>
      </w:tr>
      <w:tr w:rsidR="00B97F6A" w:rsidRPr="009F3029" w:rsidTr="00C643DA">
        <w:trPr>
          <w:cantSplit/>
        </w:trPr>
        <w:tc>
          <w:tcPr>
            <w:tcW w:w="9576" w:type="dxa"/>
            <w:gridSpan w:val="4"/>
          </w:tcPr>
          <w:p w:rsidR="00B97F6A" w:rsidRPr="00982C2B" w:rsidRDefault="00B97F6A" w:rsidP="00B97F6A">
            <w:pPr>
              <w:pStyle w:val="SCCShortJudgment"/>
              <w:ind w:firstLine="0"/>
              <w:rPr>
                <w:rFonts w:cs="Times New Roman"/>
                <w:szCs w:val="20"/>
                <w:u w:val="single"/>
                <w:lang w:val="fr-CA"/>
              </w:rPr>
            </w:pP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en-US"/>
              </w:rPr>
            </w:pPr>
            <w:r w:rsidRPr="00982C2B">
              <w:rPr>
                <w:rFonts w:cs="Times New Roman"/>
                <w:sz w:val="20"/>
                <w:szCs w:val="20"/>
                <w:lang w:val="en-US"/>
              </w:rPr>
              <w:t>8 août 2011</w:t>
            </w:r>
          </w:p>
          <w:p w:rsidR="00B97F6A" w:rsidRPr="00982C2B" w:rsidRDefault="00B97F6A" w:rsidP="00B97F6A">
            <w:pPr>
              <w:rPr>
                <w:rFonts w:cs="Times New Roman"/>
                <w:sz w:val="20"/>
                <w:szCs w:val="20"/>
                <w:lang w:val="en-US"/>
              </w:rPr>
            </w:pPr>
            <w:r w:rsidRPr="00982C2B">
              <w:rPr>
                <w:rFonts w:cs="Times New Roman"/>
                <w:sz w:val="20"/>
                <w:szCs w:val="20"/>
                <w:lang w:val="en-US"/>
              </w:rPr>
              <w:t>Admissions and Education Committee</w:t>
            </w:r>
          </w:p>
          <w:p w:rsidR="00B97F6A" w:rsidRPr="00982C2B" w:rsidRDefault="00B97F6A" w:rsidP="00B97F6A">
            <w:pPr>
              <w:rPr>
                <w:rFonts w:cs="Times New Roman"/>
                <w:sz w:val="20"/>
                <w:szCs w:val="20"/>
                <w:lang w:val="en-US"/>
              </w:rPr>
            </w:pPr>
            <w:r w:rsidRPr="00982C2B">
              <w:rPr>
                <w:rFonts w:cs="Times New Roman"/>
                <w:sz w:val="20"/>
                <w:szCs w:val="20"/>
                <w:lang w:val="en-US"/>
              </w:rPr>
              <w:t>Law Society of Saskatchewan</w:t>
            </w:r>
          </w:p>
          <w:p w:rsidR="00B97F6A" w:rsidRPr="00982C2B" w:rsidRDefault="00B97F6A" w:rsidP="00B97F6A">
            <w:pPr>
              <w:rPr>
                <w:rFonts w:cs="Times New Roman"/>
                <w:sz w:val="20"/>
                <w:szCs w:val="20"/>
                <w:lang w:val="fr-CA"/>
              </w:rPr>
            </w:pPr>
            <w:r w:rsidRPr="00982C2B">
              <w:rPr>
                <w:rFonts w:cs="Times New Roman"/>
                <w:sz w:val="20"/>
                <w:szCs w:val="20"/>
                <w:lang w:val="fr-CA"/>
              </w:rPr>
              <w:t>(M</w:t>
            </w:r>
            <w:r w:rsidRPr="00982C2B">
              <w:rPr>
                <w:rFonts w:cs="Times New Roman"/>
                <w:sz w:val="20"/>
                <w:szCs w:val="20"/>
                <w:vertAlign w:val="superscript"/>
                <w:lang w:val="fr-CA"/>
              </w:rPr>
              <w:t>es</w:t>
            </w:r>
            <w:r w:rsidRPr="00982C2B">
              <w:rPr>
                <w:rFonts w:cs="Times New Roman"/>
                <w:sz w:val="20"/>
                <w:szCs w:val="20"/>
                <w:lang w:val="fr-CA"/>
              </w:rPr>
              <w:t> Patterson, Hesje c.r. et Berra)</w:t>
            </w:r>
          </w:p>
          <w:p w:rsidR="00B97F6A" w:rsidRPr="00982C2B" w:rsidRDefault="00B97F6A" w:rsidP="00B97F6A">
            <w:pPr>
              <w:rPr>
                <w:rFonts w:cs="Times New Roman"/>
                <w:sz w:val="20"/>
                <w:szCs w:val="20"/>
                <w:lang w:val="fr-CA"/>
              </w:rPr>
            </w:pPr>
            <w:r w:rsidRPr="00982C2B">
              <w:rPr>
                <w:rFonts w:cs="Times New Roman"/>
                <w:sz w:val="20"/>
                <w:szCs w:val="20"/>
                <w:lang w:val="fr-CA"/>
              </w:rPr>
              <w:t>Non publié</w:t>
            </w:r>
          </w:p>
          <w:p w:rsidR="00B97F6A" w:rsidRPr="00982C2B" w:rsidRDefault="00B97F6A" w:rsidP="00B97F6A">
            <w:pPr>
              <w:pStyle w:val="SCCShortJudgment"/>
              <w:ind w:firstLine="0"/>
              <w:rPr>
                <w:rFonts w:cs="Times New Roman"/>
                <w:szCs w:val="20"/>
                <w:u w:val="single"/>
                <w:lang w:val="fr-CA"/>
              </w:rPr>
            </w:pP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B97F6A" w:rsidRPr="00982C2B" w:rsidRDefault="000F4E44" w:rsidP="000F4E44">
            <w:pPr>
              <w:pStyle w:val="SCCShortJudgment"/>
              <w:ind w:firstLine="0"/>
              <w:rPr>
                <w:rFonts w:cs="Times New Roman"/>
                <w:szCs w:val="20"/>
                <w:u w:val="single"/>
                <w:lang w:val="fr-CA"/>
              </w:rPr>
            </w:pPr>
            <w:r w:rsidRPr="00982C2B">
              <w:rPr>
                <w:rFonts w:cs="Times New Roman"/>
                <w:szCs w:val="20"/>
                <w:lang w:val="fr-CA"/>
              </w:rPr>
              <w:t>Rejet de la demande d’admission au barreau de la Saskatchewan présentée par le demandeur</w:t>
            </w: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fr-CA"/>
              </w:rPr>
            </w:pPr>
            <w:r w:rsidRPr="00982C2B">
              <w:rPr>
                <w:rFonts w:cs="Times New Roman"/>
                <w:sz w:val="20"/>
                <w:szCs w:val="20"/>
                <w:lang w:val="fr-CA"/>
              </w:rPr>
              <w:t>11 juillet 2012</w:t>
            </w:r>
          </w:p>
          <w:p w:rsidR="00B97F6A" w:rsidRPr="00982C2B" w:rsidRDefault="00B97F6A" w:rsidP="00B97F6A">
            <w:pPr>
              <w:rPr>
                <w:rFonts w:cs="Times New Roman"/>
                <w:sz w:val="20"/>
                <w:szCs w:val="20"/>
                <w:lang w:val="fr-CA"/>
              </w:rPr>
            </w:pPr>
            <w:r w:rsidRPr="00982C2B">
              <w:rPr>
                <w:rFonts w:cs="Times New Roman"/>
                <w:sz w:val="20"/>
                <w:szCs w:val="20"/>
                <w:lang w:val="fr-CA"/>
              </w:rPr>
              <w:t>Conseil de révision</w:t>
            </w:r>
          </w:p>
          <w:p w:rsidR="00B97F6A" w:rsidRPr="00982C2B" w:rsidRDefault="00B97F6A" w:rsidP="00B97F6A">
            <w:pPr>
              <w:rPr>
                <w:rFonts w:cs="Times New Roman"/>
                <w:sz w:val="20"/>
                <w:szCs w:val="20"/>
                <w:lang w:val="fr-CA"/>
              </w:rPr>
            </w:pPr>
            <w:r w:rsidRPr="00982C2B">
              <w:rPr>
                <w:rFonts w:cs="Times New Roman"/>
                <w:sz w:val="20"/>
                <w:szCs w:val="20"/>
                <w:lang w:val="fr-CA"/>
              </w:rPr>
              <w:t xml:space="preserve">Law Society of Saskatchewan </w:t>
            </w:r>
          </w:p>
          <w:p w:rsidR="00B97F6A" w:rsidRPr="00982C2B" w:rsidRDefault="00B97F6A" w:rsidP="00B97F6A">
            <w:pPr>
              <w:rPr>
                <w:rFonts w:cs="Times New Roman"/>
                <w:sz w:val="20"/>
                <w:szCs w:val="20"/>
                <w:lang w:val="fr-CA"/>
              </w:rPr>
            </w:pPr>
            <w:r w:rsidRPr="00982C2B">
              <w:rPr>
                <w:rFonts w:cs="Times New Roman"/>
                <w:sz w:val="20"/>
                <w:szCs w:val="20"/>
                <w:lang w:val="fr-CA"/>
              </w:rPr>
              <w:t>(Président Korpan, c.r.)</w:t>
            </w:r>
          </w:p>
          <w:p w:rsidR="00B97F6A" w:rsidRPr="00982C2B" w:rsidRDefault="00B97F6A" w:rsidP="00B97F6A">
            <w:pPr>
              <w:rPr>
                <w:rFonts w:cs="Times New Roman"/>
                <w:sz w:val="20"/>
                <w:szCs w:val="20"/>
                <w:lang w:val="fr-CA"/>
              </w:rPr>
            </w:pPr>
            <w:r w:rsidRPr="00982C2B">
              <w:rPr>
                <w:rFonts w:cs="Times New Roman"/>
                <w:sz w:val="20"/>
                <w:szCs w:val="20"/>
                <w:lang w:val="fr-CA"/>
              </w:rPr>
              <w:t>Non publié</w:t>
            </w:r>
          </w:p>
          <w:p w:rsidR="00B97F6A" w:rsidRPr="00982C2B" w:rsidRDefault="00B97F6A" w:rsidP="00B97F6A">
            <w:pPr>
              <w:pStyle w:val="SCCShortJudgment"/>
              <w:ind w:firstLine="0"/>
              <w:rPr>
                <w:rFonts w:cs="Times New Roman"/>
                <w:szCs w:val="20"/>
                <w:u w:val="single"/>
                <w:lang w:val="fr-CA"/>
              </w:rPr>
            </w:pP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B97F6A" w:rsidRPr="00982C2B" w:rsidRDefault="000F4E44" w:rsidP="000F4E44">
            <w:pPr>
              <w:pStyle w:val="SCCShortJudgment"/>
              <w:ind w:firstLine="0"/>
              <w:rPr>
                <w:rFonts w:cs="Times New Roman"/>
                <w:szCs w:val="20"/>
                <w:u w:val="single"/>
                <w:lang w:val="fr-CA"/>
              </w:rPr>
            </w:pPr>
            <w:r w:rsidRPr="00982C2B">
              <w:rPr>
                <w:rFonts w:cs="Times New Roman"/>
                <w:szCs w:val="20"/>
                <w:lang w:val="fr-CA"/>
              </w:rPr>
              <w:t>Rejet de la demande de révision présentée par le demandeur</w:t>
            </w: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fr-CA"/>
              </w:rPr>
            </w:pPr>
            <w:r w:rsidRPr="00982C2B">
              <w:rPr>
                <w:rFonts w:cs="Times New Roman"/>
                <w:sz w:val="20"/>
                <w:szCs w:val="20"/>
                <w:lang w:val="fr-CA"/>
              </w:rPr>
              <w:t>2 novembre 2012</w:t>
            </w:r>
          </w:p>
          <w:p w:rsidR="00B97F6A" w:rsidRPr="00982C2B" w:rsidRDefault="00B97F6A" w:rsidP="00B97F6A">
            <w:pPr>
              <w:rPr>
                <w:rFonts w:cs="Times New Roman"/>
                <w:sz w:val="20"/>
                <w:szCs w:val="20"/>
                <w:lang w:val="fr-CA"/>
              </w:rPr>
            </w:pPr>
            <w:r w:rsidRPr="00982C2B">
              <w:rPr>
                <w:rFonts w:cs="Times New Roman"/>
                <w:sz w:val="20"/>
                <w:szCs w:val="20"/>
                <w:lang w:val="fr-CA"/>
              </w:rPr>
              <w:t xml:space="preserve">Cour du Banc de la Reine de la Saskatchewan </w:t>
            </w:r>
          </w:p>
          <w:p w:rsidR="00B97F6A" w:rsidRPr="00982C2B" w:rsidRDefault="00B97F6A" w:rsidP="00B97F6A">
            <w:pPr>
              <w:rPr>
                <w:rFonts w:cs="Times New Roman"/>
                <w:sz w:val="20"/>
                <w:szCs w:val="20"/>
                <w:lang w:val="fr-CA"/>
              </w:rPr>
            </w:pPr>
            <w:r w:rsidRPr="00982C2B">
              <w:rPr>
                <w:rFonts w:cs="Times New Roman"/>
                <w:sz w:val="20"/>
                <w:szCs w:val="20"/>
                <w:lang w:val="fr-CA"/>
              </w:rPr>
              <w:t>(Juge Schwann)</w:t>
            </w:r>
          </w:p>
          <w:p w:rsidR="00B97F6A" w:rsidRPr="00982C2B" w:rsidRDefault="009F3029" w:rsidP="00B97F6A">
            <w:pPr>
              <w:rPr>
                <w:rFonts w:cs="Times New Roman"/>
                <w:sz w:val="20"/>
                <w:szCs w:val="20"/>
                <w:lang w:val="fr-CA"/>
              </w:rPr>
            </w:pPr>
            <w:hyperlink r:id="rId79" w:history="1">
              <w:r w:rsidR="00B97F6A" w:rsidRPr="00982C2B">
                <w:rPr>
                  <w:rStyle w:val="Hyperlink"/>
                  <w:rFonts w:cs="Times New Roman"/>
                  <w:sz w:val="20"/>
                  <w:szCs w:val="20"/>
                  <w:lang w:val="fr-CA"/>
                </w:rPr>
                <w:t>2012 SKQB 454</w:t>
              </w:r>
            </w:hyperlink>
          </w:p>
          <w:p w:rsidR="00B97F6A" w:rsidRPr="00982C2B" w:rsidRDefault="00B97F6A" w:rsidP="00B97F6A">
            <w:pPr>
              <w:pStyle w:val="SCCShortJudgment"/>
              <w:ind w:firstLine="0"/>
              <w:rPr>
                <w:rFonts w:cs="Times New Roman"/>
                <w:szCs w:val="20"/>
                <w:u w:val="single"/>
                <w:lang w:val="fr-CA"/>
              </w:rPr>
            </w:pP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0F4E44" w:rsidRPr="00982C2B" w:rsidRDefault="000F4E44" w:rsidP="000F4E44">
            <w:pPr>
              <w:jc w:val="both"/>
              <w:rPr>
                <w:rFonts w:cs="Times New Roman"/>
                <w:sz w:val="20"/>
                <w:szCs w:val="20"/>
                <w:lang w:val="fr-CA"/>
              </w:rPr>
            </w:pPr>
            <w:r w:rsidRPr="00982C2B">
              <w:rPr>
                <w:rFonts w:cs="Times New Roman"/>
                <w:sz w:val="20"/>
                <w:szCs w:val="20"/>
                <w:lang w:val="fr-CA"/>
              </w:rPr>
              <w:t>Rejet de la demande de contrôle judiciaire et d’ordonnances de certiorari, de mandamus et d’injonction présentée par le demandeur</w:t>
            </w:r>
          </w:p>
          <w:p w:rsidR="00B97F6A" w:rsidRPr="00982C2B" w:rsidRDefault="00B97F6A" w:rsidP="000F4E44">
            <w:pPr>
              <w:pStyle w:val="SCCShortJudgment"/>
              <w:ind w:firstLine="0"/>
              <w:rPr>
                <w:rFonts w:cs="Times New Roman"/>
                <w:szCs w:val="20"/>
                <w:u w:val="single"/>
                <w:lang w:val="fr-CA"/>
              </w:rPr>
            </w:pP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fr-CA"/>
              </w:rPr>
            </w:pPr>
            <w:r w:rsidRPr="00982C2B">
              <w:rPr>
                <w:rFonts w:cs="Times New Roman"/>
                <w:sz w:val="20"/>
                <w:szCs w:val="20"/>
                <w:lang w:val="fr-CA"/>
              </w:rPr>
              <w:t>10 mai 2013</w:t>
            </w:r>
          </w:p>
          <w:p w:rsidR="00B97F6A" w:rsidRPr="00982C2B" w:rsidRDefault="00B97F6A" w:rsidP="00B97F6A">
            <w:pPr>
              <w:rPr>
                <w:rFonts w:cs="Times New Roman"/>
                <w:sz w:val="20"/>
                <w:szCs w:val="20"/>
                <w:lang w:val="fr-CA"/>
              </w:rPr>
            </w:pPr>
            <w:r w:rsidRPr="00982C2B">
              <w:rPr>
                <w:rFonts w:cs="Times New Roman"/>
                <w:sz w:val="20"/>
                <w:szCs w:val="20"/>
                <w:lang w:val="fr-CA"/>
              </w:rPr>
              <w:t xml:space="preserve">Cour du Banc de la Reine de la Saskatchewan </w:t>
            </w:r>
          </w:p>
          <w:p w:rsidR="00B97F6A" w:rsidRPr="00982C2B" w:rsidRDefault="00B97F6A" w:rsidP="00B97F6A">
            <w:pPr>
              <w:rPr>
                <w:rFonts w:cs="Times New Roman"/>
                <w:sz w:val="20"/>
                <w:szCs w:val="20"/>
                <w:lang w:val="fr-CA"/>
              </w:rPr>
            </w:pPr>
            <w:r w:rsidRPr="00982C2B">
              <w:rPr>
                <w:rFonts w:cs="Times New Roman"/>
                <w:sz w:val="20"/>
                <w:szCs w:val="20"/>
                <w:lang w:val="fr-CA"/>
              </w:rPr>
              <w:t>(Juge Schwann)</w:t>
            </w:r>
          </w:p>
          <w:p w:rsidR="00B97F6A" w:rsidRPr="00982C2B" w:rsidRDefault="009F3029" w:rsidP="00B97F6A">
            <w:pPr>
              <w:rPr>
                <w:rFonts w:cs="Times New Roman"/>
                <w:sz w:val="20"/>
                <w:szCs w:val="20"/>
                <w:lang w:val="fr-CA"/>
              </w:rPr>
            </w:pPr>
            <w:hyperlink r:id="rId80" w:history="1">
              <w:r w:rsidR="00B97F6A" w:rsidRPr="00982C2B">
                <w:rPr>
                  <w:rStyle w:val="Hyperlink"/>
                  <w:rFonts w:cs="Times New Roman"/>
                  <w:sz w:val="20"/>
                  <w:szCs w:val="20"/>
                  <w:lang w:val="fr-CA"/>
                </w:rPr>
                <w:t>2013 SKQB 178</w:t>
              </w:r>
            </w:hyperlink>
          </w:p>
          <w:p w:rsidR="00B97F6A" w:rsidRPr="00982C2B" w:rsidRDefault="00B97F6A" w:rsidP="00B97F6A">
            <w:pPr>
              <w:pStyle w:val="SCCShortJudgment"/>
              <w:ind w:firstLine="0"/>
              <w:rPr>
                <w:rFonts w:cs="Times New Roman"/>
                <w:szCs w:val="20"/>
                <w:u w:val="single"/>
                <w:lang w:val="fr-CA"/>
              </w:rPr>
            </w:pP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0F4E44" w:rsidRPr="00982C2B" w:rsidRDefault="000F4E44" w:rsidP="000F4E44">
            <w:pPr>
              <w:jc w:val="both"/>
              <w:rPr>
                <w:rFonts w:cs="Times New Roman"/>
                <w:sz w:val="20"/>
                <w:szCs w:val="20"/>
                <w:lang w:val="fr-CA"/>
              </w:rPr>
            </w:pPr>
            <w:r w:rsidRPr="00982C2B">
              <w:rPr>
                <w:rFonts w:cs="Times New Roman"/>
                <w:sz w:val="20"/>
                <w:szCs w:val="20"/>
                <w:lang w:val="fr-CA"/>
              </w:rPr>
              <w:t>Rejet de la demande de contrôle judiciaire et d’ordonnances de certiorari, de mandamus et d’injonction présentée par le demandeur</w:t>
            </w:r>
          </w:p>
          <w:p w:rsidR="00B97F6A" w:rsidRPr="00982C2B" w:rsidRDefault="00B97F6A" w:rsidP="000F4E44">
            <w:pPr>
              <w:pStyle w:val="SCCShortJudgment"/>
              <w:ind w:firstLine="0"/>
              <w:rPr>
                <w:rFonts w:cs="Times New Roman"/>
                <w:szCs w:val="20"/>
                <w:u w:val="single"/>
                <w:lang w:val="fr-CA"/>
              </w:rPr>
            </w:pP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fr-CA"/>
              </w:rPr>
            </w:pPr>
            <w:r w:rsidRPr="00982C2B">
              <w:rPr>
                <w:rFonts w:cs="Times New Roman"/>
                <w:sz w:val="20"/>
                <w:szCs w:val="20"/>
                <w:lang w:val="fr-CA"/>
              </w:rPr>
              <w:t>9 octobre 2015</w:t>
            </w:r>
          </w:p>
          <w:p w:rsidR="00B97F6A" w:rsidRPr="00982C2B" w:rsidRDefault="00B97F6A" w:rsidP="00B97F6A">
            <w:pPr>
              <w:rPr>
                <w:rFonts w:cs="Times New Roman"/>
                <w:sz w:val="20"/>
                <w:szCs w:val="20"/>
                <w:lang w:val="fr-CA"/>
              </w:rPr>
            </w:pPr>
            <w:r w:rsidRPr="00982C2B">
              <w:rPr>
                <w:rFonts w:cs="Times New Roman"/>
                <w:sz w:val="20"/>
                <w:szCs w:val="20"/>
                <w:lang w:val="fr-CA"/>
              </w:rPr>
              <w:t xml:space="preserve">Cour d’appel de la Saskatchewan </w:t>
            </w:r>
          </w:p>
          <w:p w:rsidR="00B97F6A" w:rsidRPr="00982C2B" w:rsidRDefault="00B97F6A" w:rsidP="00B97F6A">
            <w:pPr>
              <w:rPr>
                <w:rFonts w:cs="Times New Roman"/>
                <w:sz w:val="20"/>
                <w:szCs w:val="20"/>
                <w:lang w:val="fr-CA"/>
              </w:rPr>
            </w:pPr>
            <w:r w:rsidRPr="00982C2B">
              <w:rPr>
                <w:rFonts w:cs="Times New Roman"/>
                <w:sz w:val="20"/>
                <w:szCs w:val="20"/>
                <w:lang w:val="fr-CA"/>
              </w:rPr>
              <w:t>(Juges Caldwell, Ottenbreit et Ryan-Frosile)</w:t>
            </w:r>
          </w:p>
          <w:p w:rsidR="00B97F6A" w:rsidRPr="00982C2B" w:rsidRDefault="009F3029" w:rsidP="00B97F6A">
            <w:pPr>
              <w:rPr>
                <w:rFonts w:cs="Times New Roman"/>
                <w:sz w:val="20"/>
                <w:szCs w:val="20"/>
                <w:lang w:val="fr-CA"/>
              </w:rPr>
            </w:pPr>
            <w:hyperlink r:id="rId81" w:history="1">
              <w:r w:rsidR="00B97F6A" w:rsidRPr="00982C2B">
                <w:rPr>
                  <w:rStyle w:val="Hyperlink"/>
                  <w:rFonts w:cs="Times New Roman"/>
                  <w:sz w:val="20"/>
                  <w:szCs w:val="20"/>
                  <w:lang w:val="fr-CA"/>
                </w:rPr>
                <w:t>2015 SKCA 106</w:t>
              </w:r>
            </w:hyperlink>
          </w:p>
          <w:p w:rsidR="00B97F6A" w:rsidRPr="00982C2B" w:rsidRDefault="00B97F6A" w:rsidP="00B97F6A">
            <w:pPr>
              <w:pStyle w:val="SCCShortJudgment"/>
              <w:tabs>
                <w:tab w:val="left" w:pos="1127"/>
              </w:tabs>
              <w:ind w:firstLine="0"/>
              <w:rPr>
                <w:rFonts w:cs="Times New Roman"/>
                <w:szCs w:val="20"/>
                <w:u w:val="single"/>
                <w:lang w:val="fr-CA"/>
              </w:rPr>
            </w:pP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B97F6A" w:rsidRPr="00982C2B" w:rsidRDefault="000F4E44" w:rsidP="000F4E44">
            <w:pPr>
              <w:pStyle w:val="SCCShortJudgment"/>
              <w:ind w:firstLine="0"/>
              <w:rPr>
                <w:rFonts w:cs="Times New Roman"/>
                <w:szCs w:val="20"/>
                <w:u w:val="single"/>
                <w:lang w:val="fr-CA"/>
              </w:rPr>
            </w:pPr>
            <w:r w:rsidRPr="00982C2B">
              <w:rPr>
                <w:rFonts w:cs="Times New Roman"/>
                <w:szCs w:val="20"/>
                <w:lang w:val="fr-CA"/>
              </w:rPr>
              <w:t>Rejet de l’appel du demandeur</w:t>
            </w:r>
          </w:p>
        </w:tc>
      </w:tr>
      <w:tr w:rsidR="00B97F6A" w:rsidRPr="009F3029" w:rsidTr="00C643DA">
        <w:trPr>
          <w:cantSplit/>
        </w:trPr>
        <w:tc>
          <w:tcPr>
            <w:tcW w:w="4410" w:type="dxa"/>
            <w:gridSpan w:val="2"/>
          </w:tcPr>
          <w:p w:rsidR="00B97F6A" w:rsidRPr="00982C2B" w:rsidRDefault="00B97F6A" w:rsidP="00B97F6A">
            <w:pPr>
              <w:rPr>
                <w:rFonts w:cs="Times New Roman"/>
                <w:sz w:val="20"/>
                <w:szCs w:val="20"/>
                <w:lang w:val="fr-CA"/>
              </w:rPr>
            </w:pPr>
            <w:r w:rsidRPr="00982C2B">
              <w:rPr>
                <w:rFonts w:cs="Times New Roman"/>
                <w:sz w:val="20"/>
                <w:szCs w:val="20"/>
                <w:lang w:val="fr-CA"/>
              </w:rPr>
              <w:t>8 décembre 2015</w:t>
            </w:r>
          </w:p>
          <w:p w:rsidR="00B97F6A" w:rsidRPr="00982C2B" w:rsidRDefault="00B97F6A" w:rsidP="00B97F6A">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B97F6A" w:rsidRPr="00982C2B" w:rsidRDefault="00B97F6A" w:rsidP="00B97F6A">
            <w:pPr>
              <w:pStyle w:val="SCCShortJudgment"/>
              <w:ind w:firstLine="0"/>
              <w:rPr>
                <w:rFonts w:cs="Times New Roman"/>
                <w:szCs w:val="20"/>
                <w:u w:val="single"/>
                <w:lang w:val="fr-CA"/>
              </w:rPr>
            </w:pPr>
          </w:p>
        </w:tc>
        <w:tc>
          <w:tcPr>
            <w:tcW w:w="4536" w:type="dxa"/>
          </w:tcPr>
          <w:p w:rsidR="000F4E44" w:rsidRPr="00982C2B" w:rsidRDefault="000F4E44" w:rsidP="000F4E44">
            <w:pPr>
              <w:jc w:val="both"/>
              <w:rPr>
                <w:rFonts w:cs="Times New Roman"/>
                <w:sz w:val="20"/>
                <w:szCs w:val="20"/>
                <w:lang w:val="fr-CA"/>
              </w:rPr>
            </w:pPr>
            <w:r w:rsidRPr="00982C2B">
              <w:rPr>
                <w:rFonts w:cs="Times New Roman"/>
                <w:sz w:val="20"/>
                <w:szCs w:val="20"/>
                <w:lang w:val="fr-CA"/>
              </w:rPr>
              <w:t>Dépôt de la demande d’autorisation d’appel</w:t>
            </w:r>
          </w:p>
          <w:p w:rsidR="00B97F6A" w:rsidRPr="00982C2B" w:rsidRDefault="00B97F6A" w:rsidP="000F4E44">
            <w:pPr>
              <w:pStyle w:val="SCCShortJudgment"/>
              <w:ind w:firstLine="0"/>
              <w:rPr>
                <w:rFonts w:cs="Times New Roman"/>
                <w:szCs w:val="20"/>
                <w:u w:val="single"/>
                <w:lang w:val="fr-CA"/>
              </w:rPr>
            </w:pPr>
          </w:p>
        </w:tc>
      </w:tr>
    </w:tbl>
    <w:p w:rsidR="00B97F6A" w:rsidRPr="00982C2B" w:rsidRDefault="009F3029" w:rsidP="00B97F6A">
      <w:pPr>
        <w:rPr>
          <w:rFonts w:cs="Times New Roman"/>
          <w:sz w:val="20"/>
          <w:szCs w:val="20"/>
          <w:lang w:val="fr-CA"/>
        </w:rPr>
      </w:pPr>
      <w:r>
        <w:rPr>
          <w:rFonts w:cs="Times New Roman"/>
          <w:sz w:val="20"/>
          <w:szCs w:val="20"/>
          <w:lang w:val="fr-CA"/>
        </w:rPr>
        <w:pict>
          <v:rect id="_x0000_i1074" style="width:2in;height:1pt" o:hrpct="0" o:hralign="center" o:hrstd="t" o:hrnoshade="t" o:hr="t" fillcolor="black [3213]" stroked="f"/>
        </w:pict>
      </w:r>
    </w:p>
    <w:p w:rsidR="00B97F6A" w:rsidRPr="00982C2B" w:rsidRDefault="00B97F6A" w:rsidP="00B97F6A">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03168D" w:rsidRPr="00982C2B" w:rsidTr="0003168D">
        <w:tc>
          <w:tcPr>
            <w:tcW w:w="1458" w:type="dxa"/>
          </w:tcPr>
          <w:p w:rsidR="0003168D" w:rsidRPr="00982C2B" w:rsidRDefault="0003168D" w:rsidP="00C643DA">
            <w:pPr>
              <w:jc w:val="both"/>
              <w:rPr>
                <w:rFonts w:cs="Times New Roman"/>
                <w:sz w:val="20"/>
                <w:szCs w:val="20"/>
              </w:rPr>
            </w:pPr>
            <w:r w:rsidRPr="00982C2B">
              <w:rPr>
                <w:rStyle w:val="SCCFileNumberChar"/>
                <w:sz w:val="20"/>
                <w:szCs w:val="20"/>
              </w:rPr>
              <w:t>36762</w:t>
            </w:r>
          </w:p>
          <w:p w:rsidR="0003168D" w:rsidRPr="00982C2B" w:rsidRDefault="0003168D" w:rsidP="00C643DA">
            <w:pPr>
              <w:jc w:val="both"/>
              <w:rPr>
                <w:rFonts w:cs="Times New Roman"/>
                <w:b/>
                <w:sz w:val="20"/>
                <w:szCs w:val="20"/>
              </w:rPr>
            </w:pPr>
          </w:p>
        </w:tc>
        <w:tc>
          <w:tcPr>
            <w:tcW w:w="8118" w:type="dxa"/>
            <w:gridSpan w:val="3"/>
          </w:tcPr>
          <w:p w:rsidR="0003168D" w:rsidRPr="00982C2B" w:rsidRDefault="0003168D" w:rsidP="00C643DA">
            <w:pPr>
              <w:jc w:val="both"/>
              <w:rPr>
                <w:rFonts w:cs="Times New Roman"/>
                <w:sz w:val="20"/>
                <w:szCs w:val="20"/>
              </w:rPr>
            </w:pPr>
            <w:r w:rsidRPr="00982C2B">
              <w:rPr>
                <w:rStyle w:val="SCCLsocChar"/>
                <w:rFonts w:cs="Times New Roman"/>
                <w:sz w:val="20"/>
                <w:szCs w:val="20"/>
                <w:lang w:val="en-CA"/>
              </w:rPr>
              <w:t>Kam Chong Li v. Novopharm Limited (Teva Canada Limited)</w:t>
            </w:r>
            <w:r w:rsidRPr="00982C2B">
              <w:rPr>
                <w:rStyle w:val="SCCLsocChar"/>
                <w:rFonts w:cs="Times New Roman"/>
                <w:sz w:val="20"/>
                <w:szCs w:val="20"/>
                <w:u w:val="none"/>
                <w:lang w:val="en-CA"/>
              </w:rPr>
              <w:t xml:space="preserve"> </w:t>
            </w:r>
            <w:r w:rsidRPr="00982C2B">
              <w:rPr>
                <w:rFonts w:cs="Times New Roman"/>
                <w:sz w:val="20"/>
                <w:szCs w:val="20"/>
              </w:rPr>
              <w:t>(Ont.) (Civil) (By Leave)</w:t>
            </w:r>
          </w:p>
          <w:p w:rsidR="0003168D" w:rsidRPr="00982C2B" w:rsidRDefault="0003168D" w:rsidP="00C643DA">
            <w:pPr>
              <w:jc w:val="both"/>
              <w:rPr>
                <w:rFonts w:cs="Times New Roman"/>
                <w:sz w:val="20"/>
                <w:szCs w:val="20"/>
              </w:rPr>
            </w:pPr>
          </w:p>
        </w:tc>
      </w:tr>
      <w:tr w:rsidR="0003168D" w:rsidRPr="00982C2B" w:rsidTr="0003168D">
        <w:tc>
          <w:tcPr>
            <w:tcW w:w="1458" w:type="dxa"/>
          </w:tcPr>
          <w:p w:rsidR="0003168D" w:rsidRPr="00982C2B" w:rsidRDefault="0003168D" w:rsidP="00C643DA">
            <w:pPr>
              <w:jc w:val="both"/>
              <w:rPr>
                <w:rFonts w:cs="Times New Roman"/>
                <w:sz w:val="20"/>
                <w:szCs w:val="20"/>
              </w:rPr>
            </w:pPr>
            <w:r w:rsidRPr="00982C2B">
              <w:rPr>
                <w:rFonts w:cs="Times New Roman"/>
                <w:sz w:val="20"/>
                <w:szCs w:val="20"/>
              </w:rPr>
              <w:t>Coram :</w:t>
            </w:r>
          </w:p>
        </w:tc>
        <w:tc>
          <w:tcPr>
            <w:tcW w:w="8118" w:type="dxa"/>
            <w:gridSpan w:val="3"/>
          </w:tcPr>
          <w:p w:rsidR="0003168D" w:rsidRPr="00982C2B" w:rsidRDefault="0003168D" w:rsidP="00C643DA">
            <w:pPr>
              <w:jc w:val="both"/>
              <w:rPr>
                <w:rStyle w:val="SCCCoramChar"/>
                <w:rFonts w:cs="Times New Roman"/>
                <w:sz w:val="20"/>
                <w:szCs w:val="20"/>
                <w:lang w:val="en-CA"/>
              </w:rPr>
            </w:pPr>
            <w:r w:rsidRPr="00982C2B">
              <w:rPr>
                <w:rStyle w:val="SCCCoramChar"/>
                <w:rFonts w:cs="Times New Roman"/>
                <w:sz w:val="20"/>
                <w:szCs w:val="20"/>
                <w:lang w:val="en-CA"/>
              </w:rPr>
              <w:t>Abella, Karakatsanis and Brown JJ.</w:t>
            </w:r>
          </w:p>
          <w:p w:rsidR="0003168D" w:rsidRPr="00982C2B" w:rsidRDefault="0003168D" w:rsidP="00C643DA">
            <w:pPr>
              <w:jc w:val="both"/>
              <w:rPr>
                <w:rFonts w:cs="Times New Roman"/>
                <w:sz w:val="20"/>
                <w:szCs w:val="20"/>
                <w:u w:val="single"/>
              </w:rPr>
            </w:pPr>
          </w:p>
        </w:tc>
      </w:tr>
      <w:tr w:rsidR="0003168D" w:rsidRPr="009F3029" w:rsidTr="0003168D">
        <w:tc>
          <w:tcPr>
            <w:tcW w:w="9576" w:type="dxa"/>
            <w:gridSpan w:val="4"/>
          </w:tcPr>
          <w:p w:rsidR="0003168D" w:rsidRPr="00982C2B" w:rsidRDefault="0003168D" w:rsidP="00C643DA">
            <w:pPr>
              <w:pStyle w:val="SCCShortJudgment"/>
              <w:ind w:firstLine="0"/>
              <w:rPr>
                <w:rFonts w:cs="Times New Roman"/>
                <w:szCs w:val="20"/>
              </w:rPr>
            </w:pPr>
            <w:r w:rsidRPr="00982C2B">
              <w:rPr>
                <w:rFonts w:cs="Times New Roman"/>
                <w:szCs w:val="20"/>
              </w:rPr>
              <w:tab/>
              <w:t xml:space="preserve">The application for leave to appeal from the judgment of the Court of Appeal for Ontario, Number M45152, dated October 19, 2015, is dismissed with costs in accordance with the Tariff of fees and disbursements set out in Schedule B of the </w:t>
            </w:r>
            <w:r w:rsidRPr="00982C2B">
              <w:rPr>
                <w:rFonts w:cs="Times New Roman"/>
                <w:i/>
                <w:szCs w:val="20"/>
              </w:rPr>
              <w:t>Rules of the Supreme Court of Canada</w:t>
            </w:r>
            <w:r w:rsidRPr="00982C2B">
              <w:rPr>
                <w:rFonts w:cs="Times New Roman"/>
                <w:szCs w:val="20"/>
              </w:rPr>
              <w:t>.</w:t>
            </w:r>
          </w:p>
          <w:p w:rsidR="0003168D" w:rsidRPr="00982C2B" w:rsidRDefault="0003168D" w:rsidP="00C643DA">
            <w:pPr>
              <w:pStyle w:val="SCCShortJudgment"/>
              <w:ind w:firstLine="0"/>
              <w:rPr>
                <w:rFonts w:cs="Times New Roman"/>
                <w:szCs w:val="20"/>
              </w:rPr>
            </w:pPr>
          </w:p>
          <w:p w:rsidR="0003168D" w:rsidRPr="00982C2B" w:rsidRDefault="0003168D" w:rsidP="00C643DA">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l’Ontario</w:t>
            </w:r>
            <w:r w:rsidRPr="00982C2B">
              <w:rPr>
                <w:rFonts w:cs="Times New Roman"/>
                <w:szCs w:val="20"/>
                <w:lang w:val="fr-CA"/>
              </w:rPr>
              <w:t xml:space="preserve">, numéro </w:t>
            </w:r>
            <w:r w:rsidRPr="00982C2B">
              <w:rPr>
                <w:rFonts w:cs="Times New Roman"/>
                <w:szCs w:val="20"/>
                <w:lang w:val="fr-FR"/>
              </w:rPr>
              <w:t>M45152</w:t>
            </w:r>
            <w:r w:rsidRPr="00982C2B">
              <w:rPr>
                <w:rFonts w:cs="Times New Roman"/>
                <w:szCs w:val="20"/>
                <w:lang w:val="fr-CA"/>
              </w:rPr>
              <w:t xml:space="preserve">, daté du </w:t>
            </w:r>
            <w:r w:rsidRPr="00982C2B">
              <w:rPr>
                <w:rFonts w:cs="Times New Roman"/>
                <w:szCs w:val="20"/>
                <w:lang w:val="fr-FR"/>
              </w:rPr>
              <w:t>19 octobre 2015</w:t>
            </w:r>
            <w:r w:rsidRPr="00982C2B">
              <w:rPr>
                <w:rFonts w:cs="Times New Roman"/>
                <w:szCs w:val="20"/>
                <w:lang w:val="fr-CA"/>
              </w:rPr>
              <w:t xml:space="preserve">, est rejetée avec dépens conformément au tarif des honoraires et débours établi à l’Annexe B des </w:t>
            </w:r>
            <w:r w:rsidRPr="00982C2B">
              <w:rPr>
                <w:rFonts w:cs="Times New Roman"/>
                <w:i/>
                <w:iCs/>
                <w:szCs w:val="20"/>
                <w:lang w:val="fr-CA"/>
              </w:rPr>
              <w:t>Règles de la Cour suprême du Canada</w:t>
            </w:r>
            <w:r w:rsidRPr="00982C2B">
              <w:rPr>
                <w:rFonts w:cs="Times New Roman"/>
                <w:szCs w:val="20"/>
                <w:lang w:val="fr-CA"/>
              </w:rPr>
              <w:t>.</w:t>
            </w:r>
          </w:p>
          <w:p w:rsidR="0003168D" w:rsidRPr="00982C2B" w:rsidRDefault="0003168D" w:rsidP="00C643DA">
            <w:pPr>
              <w:pStyle w:val="SCCShortJudgment"/>
              <w:ind w:firstLine="0"/>
              <w:rPr>
                <w:rFonts w:cs="Times New Roman"/>
                <w:szCs w:val="20"/>
                <w:lang w:val="fr-CA"/>
              </w:rPr>
            </w:pPr>
          </w:p>
        </w:tc>
      </w:tr>
      <w:tr w:rsidR="0003168D" w:rsidRPr="00982C2B" w:rsidTr="0003168D">
        <w:tc>
          <w:tcPr>
            <w:tcW w:w="9576" w:type="dxa"/>
            <w:gridSpan w:val="4"/>
          </w:tcPr>
          <w:p w:rsidR="0003168D" w:rsidRPr="00982C2B" w:rsidRDefault="0003168D" w:rsidP="00C643DA">
            <w:pPr>
              <w:pStyle w:val="SCCShortJudgment"/>
              <w:ind w:firstLine="0"/>
              <w:rPr>
                <w:rFonts w:cs="Times New Roman"/>
                <w:szCs w:val="20"/>
                <w:u w:val="single"/>
                <w:lang w:val="fr-CA"/>
              </w:rPr>
            </w:pPr>
            <w:r w:rsidRPr="00982C2B">
              <w:rPr>
                <w:rFonts w:cs="Times New Roman"/>
                <w:szCs w:val="20"/>
                <w:u w:val="single"/>
                <w:lang w:val="fr-CA"/>
              </w:rPr>
              <w:t>CASE SUMMARY</w:t>
            </w:r>
          </w:p>
          <w:p w:rsidR="0003168D" w:rsidRPr="00982C2B" w:rsidRDefault="0003168D" w:rsidP="00C643DA">
            <w:pPr>
              <w:pStyle w:val="SCCShortJudgment"/>
              <w:ind w:firstLine="0"/>
              <w:rPr>
                <w:rFonts w:cs="Times New Roman"/>
                <w:szCs w:val="20"/>
                <w:u w:val="single"/>
                <w:lang w:val="fr-CA"/>
              </w:rPr>
            </w:pPr>
          </w:p>
        </w:tc>
      </w:tr>
      <w:tr w:rsidR="0003168D" w:rsidRPr="00982C2B" w:rsidTr="0003168D">
        <w:tc>
          <w:tcPr>
            <w:tcW w:w="9576" w:type="dxa"/>
            <w:gridSpan w:val="4"/>
          </w:tcPr>
          <w:p w:rsidR="0003168D" w:rsidRPr="00982C2B" w:rsidRDefault="0003168D" w:rsidP="00C643DA">
            <w:pPr>
              <w:pStyle w:val="SCCShortJudgment"/>
              <w:ind w:firstLine="0"/>
              <w:rPr>
                <w:rFonts w:cs="Times New Roman"/>
                <w:szCs w:val="20"/>
              </w:rPr>
            </w:pPr>
            <w:r w:rsidRPr="00982C2B">
              <w:rPr>
                <w:rFonts w:cs="Times New Roman"/>
                <w:szCs w:val="20"/>
              </w:rPr>
              <w:t>Administrative law — Judicial review — Human rights — Workplace safety — Whether the existence of a privative clause or preclusive clause gives rise to a strong indication of review pursuant to the reasonableness standard since it is evidence of Parliament or a legislature’s intent that an administrative decision maker be given greater deference and that interference by reviewing courts be minimized</w:t>
            </w:r>
          </w:p>
          <w:p w:rsidR="0003168D" w:rsidRPr="00982C2B" w:rsidRDefault="0003168D" w:rsidP="00C643DA">
            <w:pPr>
              <w:pStyle w:val="SCCShortJudgment"/>
              <w:ind w:firstLine="0"/>
              <w:rPr>
                <w:rFonts w:cs="Times New Roman"/>
                <w:szCs w:val="20"/>
              </w:rPr>
            </w:pPr>
          </w:p>
        </w:tc>
      </w:tr>
      <w:tr w:rsidR="0003168D" w:rsidRPr="00982C2B" w:rsidTr="0003168D">
        <w:tc>
          <w:tcPr>
            <w:tcW w:w="9576" w:type="dxa"/>
            <w:gridSpan w:val="4"/>
          </w:tcPr>
          <w:p w:rsidR="0003168D" w:rsidRPr="00982C2B" w:rsidRDefault="0003168D" w:rsidP="0003168D">
            <w:pPr>
              <w:jc w:val="both"/>
              <w:rPr>
                <w:rFonts w:cs="Times New Roman"/>
                <w:sz w:val="20"/>
                <w:szCs w:val="20"/>
              </w:rPr>
            </w:pPr>
            <w:r w:rsidRPr="00982C2B">
              <w:rPr>
                <w:rFonts w:cs="Times New Roman"/>
                <w:sz w:val="20"/>
                <w:szCs w:val="20"/>
              </w:rPr>
              <w:t xml:space="preserve">Mr. Li filed an application for judicial review seeking judicial review of certain decisions of the Human Rights Tribunal of Ontario issued approximately five years earlier. Mr. Li submitted that the Human Rights Tribunal decisions deprived him of his judicial remedy rights under both the </w:t>
            </w:r>
            <w:r w:rsidRPr="00982C2B">
              <w:rPr>
                <w:rFonts w:cs="Times New Roman"/>
                <w:i/>
                <w:sz w:val="20"/>
                <w:szCs w:val="20"/>
              </w:rPr>
              <w:t>Workplace Safety and Insurance Act</w:t>
            </w:r>
            <w:r w:rsidRPr="00982C2B">
              <w:rPr>
                <w:rFonts w:cs="Times New Roman"/>
                <w:sz w:val="20"/>
                <w:szCs w:val="20"/>
              </w:rPr>
              <w:t xml:space="preserve"> and the </w:t>
            </w:r>
            <w:r w:rsidRPr="00982C2B">
              <w:rPr>
                <w:rFonts w:cs="Times New Roman"/>
                <w:i/>
                <w:sz w:val="20"/>
                <w:szCs w:val="20"/>
              </w:rPr>
              <w:t>Ontario Human Rights Code</w:t>
            </w:r>
            <w:r w:rsidRPr="00982C2B">
              <w:rPr>
                <w:rFonts w:cs="Times New Roman"/>
                <w:sz w:val="20"/>
                <w:szCs w:val="20"/>
              </w:rPr>
              <w:t xml:space="preserve">. He also sought a declaration that certain sections of the </w:t>
            </w:r>
            <w:r w:rsidRPr="00982C2B">
              <w:rPr>
                <w:rFonts w:cs="Times New Roman"/>
                <w:i/>
                <w:sz w:val="20"/>
                <w:szCs w:val="20"/>
              </w:rPr>
              <w:t>Workplace Safety and Insurance Act</w:t>
            </w:r>
            <w:r w:rsidRPr="00982C2B">
              <w:rPr>
                <w:rFonts w:cs="Times New Roman"/>
                <w:sz w:val="20"/>
                <w:szCs w:val="20"/>
              </w:rPr>
              <w:t xml:space="preserve"> were inconsistent with the </w:t>
            </w:r>
            <w:r w:rsidRPr="00982C2B">
              <w:rPr>
                <w:rFonts w:cs="Times New Roman"/>
                <w:i/>
                <w:sz w:val="20"/>
                <w:szCs w:val="20"/>
              </w:rPr>
              <w:t>Ontario Human Rights Code</w:t>
            </w:r>
            <w:r w:rsidRPr="00982C2B">
              <w:rPr>
                <w:rFonts w:cs="Times New Roman"/>
                <w:sz w:val="20"/>
                <w:szCs w:val="20"/>
              </w:rPr>
              <w:t xml:space="preserve">, the Constitution and the United Nations Convention on Civil and Political Rights and were thus of no force and effect. The events giving rise to the application for judicial review began when Mr. Li suffered a workplace injury. Since that date, Mr. Li alleged that Teva Canada Limited (formerly Novopharm Limited) failed in its duty under the </w:t>
            </w:r>
            <w:r w:rsidRPr="00982C2B">
              <w:rPr>
                <w:rFonts w:cs="Times New Roman"/>
                <w:i/>
                <w:sz w:val="20"/>
                <w:szCs w:val="20"/>
              </w:rPr>
              <w:t>Ontario Human Rights Code</w:t>
            </w:r>
            <w:r w:rsidRPr="00982C2B">
              <w:rPr>
                <w:rFonts w:cs="Times New Roman"/>
                <w:sz w:val="20"/>
                <w:szCs w:val="20"/>
              </w:rPr>
              <w:t xml:space="preserve"> to accommodate him and thereby discriminated against him because of his disability.   </w:t>
            </w:r>
          </w:p>
          <w:p w:rsidR="0003168D" w:rsidRPr="00982C2B" w:rsidRDefault="0003168D" w:rsidP="0003168D">
            <w:pPr>
              <w:rPr>
                <w:rFonts w:cs="Times New Roman"/>
                <w:sz w:val="20"/>
                <w:szCs w:val="20"/>
              </w:rPr>
            </w:pPr>
          </w:p>
          <w:p w:rsidR="0003168D" w:rsidRPr="00982C2B" w:rsidRDefault="0003168D" w:rsidP="0003168D">
            <w:pPr>
              <w:jc w:val="both"/>
              <w:rPr>
                <w:rFonts w:cs="Times New Roman"/>
                <w:sz w:val="20"/>
                <w:szCs w:val="20"/>
              </w:rPr>
            </w:pPr>
            <w:r w:rsidRPr="00982C2B">
              <w:rPr>
                <w:rFonts w:cs="Times New Roman"/>
                <w:sz w:val="20"/>
                <w:szCs w:val="20"/>
              </w:rPr>
              <w:t>Teva brought a motion before the Superior Court of Justice — Divisional Court to dismiss Mr.  Li’s judicial review application for the reason of delay. The motion was granted.  Mr. Li then sought leave of the Ontario Court of Appeal to appeal. The motion for leave to appeal was dismissed.</w:t>
            </w:r>
          </w:p>
          <w:p w:rsidR="0003168D" w:rsidRPr="00982C2B" w:rsidRDefault="0003168D" w:rsidP="00C643DA">
            <w:pPr>
              <w:pStyle w:val="SCCShortJudgment"/>
              <w:ind w:firstLine="0"/>
              <w:rPr>
                <w:rFonts w:cs="Times New Roman"/>
                <w:szCs w:val="20"/>
              </w:rPr>
            </w:pPr>
          </w:p>
        </w:tc>
      </w:tr>
      <w:tr w:rsidR="0003168D" w:rsidRPr="00982C2B" w:rsidTr="0003168D">
        <w:tc>
          <w:tcPr>
            <w:tcW w:w="4410" w:type="dxa"/>
            <w:gridSpan w:val="2"/>
          </w:tcPr>
          <w:p w:rsidR="0003168D" w:rsidRPr="00982C2B" w:rsidRDefault="0003168D" w:rsidP="0003168D">
            <w:pPr>
              <w:jc w:val="both"/>
              <w:rPr>
                <w:rFonts w:cs="Times New Roman"/>
                <w:sz w:val="20"/>
                <w:szCs w:val="20"/>
              </w:rPr>
            </w:pPr>
            <w:r w:rsidRPr="00982C2B">
              <w:rPr>
                <w:rFonts w:cs="Times New Roman"/>
                <w:sz w:val="20"/>
                <w:szCs w:val="20"/>
              </w:rPr>
              <w:t>May 20, 2015</w:t>
            </w:r>
          </w:p>
          <w:p w:rsidR="0003168D" w:rsidRPr="00982C2B" w:rsidRDefault="0003168D" w:rsidP="0003168D">
            <w:pPr>
              <w:jc w:val="both"/>
              <w:rPr>
                <w:rFonts w:cs="Times New Roman"/>
                <w:sz w:val="20"/>
                <w:szCs w:val="20"/>
              </w:rPr>
            </w:pPr>
            <w:r w:rsidRPr="00982C2B">
              <w:rPr>
                <w:rFonts w:cs="Times New Roman"/>
                <w:sz w:val="20"/>
                <w:szCs w:val="20"/>
              </w:rPr>
              <w:t>Ontario Superior Court of Justice</w:t>
            </w:r>
          </w:p>
          <w:p w:rsidR="0003168D" w:rsidRPr="00982C2B" w:rsidRDefault="0003168D" w:rsidP="0003168D">
            <w:pPr>
              <w:jc w:val="both"/>
              <w:rPr>
                <w:rFonts w:cs="Times New Roman"/>
                <w:sz w:val="20"/>
                <w:szCs w:val="20"/>
              </w:rPr>
            </w:pPr>
            <w:r w:rsidRPr="00982C2B">
              <w:rPr>
                <w:rFonts w:cs="Times New Roman"/>
                <w:sz w:val="20"/>
                <w:szCs w:val="20"/>
              </w:rPr>
              <w:t>(Lederman J.)</w:t>
            </w:r>
          </w:p>
          <w:p w:rsidR="0003168D" w:rsidRPr="00982C2B" w:rsidRDefault="009F3029" w:rsidP="0003168D">
            <w:pPr>
              <w:jc w:val="both"/>
              <w:rPr>
                <w:rFonts w:cs="Times New Roman"/>
                <w:sz w:val="20"/>
                <w:szCs w:val="20"/>
              </w:rPr>
            </w:pPr>
            <w:hyperlink r:id="rId82" w:history="1">
              <w:r w:rsidR="0003168D" w:rsidRPr="00982C2B">
                <w:rPr>
                  <w:rStyle w:val="Hyperlink"/>
                  <w:rFonts w:cs="Times New Roman"/>
                  <w:sz w:val="20"/>
                  <w:szCs w:val="20"/>
                </w:rPr>
                <w:t>2015 ONSC 3221</w:t>
              </w:r>
            </w:hyperlink>
            <w:r w:rsidR="0003168D" w:rsidRPr="00982C2B">
              <w:rPr>
                <w:rFonts w:cs="Times New Roman"/>
                <w:sz w:val="20"/>
                <w:szCs w:val="20"/>
              </w:rPr>
              <w:t>; 47/15</w:t>
            </w:r>
          </w:p>
          <w:p w:rsidR="0003168D" w:rsidRPr="00982C2B" w:rsidRDefault="0003168D" w:rsidP="0003168D">
            <w:pPr>
              <w:jc w:val="both"/>
              <w:rPr>
                <w:rFonts w:cs="Times New Roman"/>
                <w:sz w:val="20"/>
                <w:szCs w:val="20"/>
              </w:rPr>
            </w:pPr>
          </w:p>
        </w:tc>
        <w:tc>
          <w:tcPr>
            <w:tcW w:w="630" w:type="dxa"/>
          </w:tcPr>
          <w:p w:rsidR="0003168D" w:rsidRPr="00982C2B" w:rsidRDefault="0003168D" w:rsidP="0003168D">
            <w:pPr>
              <w:pStyle w:val="SCCShortJudgment"/>
              <w:ind w:firstLine="0"/>
              <w:rPr>
                <w:rFonts w:cs="Times New Roman"/>
                <w:szCs w:val="20"/>
              </w:rPr>
            </w:pPr>
          </w:p>
        </w:tc>
        <w:tc>
          <w:tcPr>
            <w:tcW w:w="4536" w:type="dxa"/>
          </w:tcPr>
          <w:p w:rsidR="0003168D" w:rsidRPr="00982C2B" w:rsidRDefault="0003168D" w:rsidP="0003168D">
            <w:pPr>
              <w:jc w:val="both"/>
              <w:rPr>
                <w:rFonts w:cs="Times New Roman"/>
                <w:sz w:val="20"/>
                <w:szCs w:val="20"/>
              </w:rPr>
            </w:pPr>
            <w:r w:rsidRPr="00982C2B">
              <w:rPr>
                <w:rFonts w:cs="Times New Roman"/>
                <w:sz w:val="20"/>
                <w:szCs w:val="20"/>
              </w:rPr>
              <w:t>Teva’s motion to dismiss application for judicial review for delay, granted.</w:t>
            </w:r>
          </w:p>
          <w:p w:rsidR="0003168D" w:rsidRPr="00982C2B" w:rsidRDefault="0003168D" w:rsidP="0003168D">
            <w:pPr>
              <w:jc w:val="both"/>
              <w:rPr>
                <w:rFonts w:cs="Times New Roman"/>
                <w:sz w:val="20"/>
                <w:szCs w:val="20"/>
              </w:rPr>
            </w:pPr>
          </w:p>
        </w:tc>
      </w:tr>
      <w:tr w:rsidR="0003168D" w:rsidRPr="00982C2B" w:rsidTr="0003168D">
        <w:tc>
          <w:tcPr>
            <w:tcW w:w="4410" w:type="dxa"/>
            <w:gridSpan w:val="2"/>
          </w:tcPr>
          <w:p w:rsidR="0003168D" w:rsidRPr="00982C2B" w:rsidRDefault="0003168D" w:rsidP="0003168D">
            <w:pPr>
              <w:jc w:val="both"/>
              <w:rPr>
                <w:rFonts w:cs="Times New Roman"/>
                <w:sz w:val="20"/>
                <w:szCs w:val="20"/>
              </w:rPr>
            </w:pPr>
            <w:r w:rsidRPr="00982C2B">
              <w:rPr>
                <w:rFonts w:cs="Times New Roman"/>
                <w:sz w:val="20"/>
                <w:szCs w:val="20"/>
              </w:rPr>
              <w:t>October 19, 2015</w:t>
            </w:r>
          </w:p>
          <w:p w:rsidR="0003168D" w:rsidRPr="00982C2B" w:rsidRDefault="0003168D" w:rsidP="0003168D">
            <w:pPr>
              <w:jc w:val="both"/>
              <w:rPr>
                <w:rFonts w:cs="Times New Roman"/>
                <w:sz w:val="20"/>
                <w:szCs w:val="20"/>
              </w:rPr>
            </w:pPr>
            <w:r w:rsidRPr="00982C2B">
              <w:rPr>
                <w:rFonts w:cs="Times New Roman"/>
                <w:sz w:val="20"/>
                <w:szCs w:val="20"/>
              </w:rPr>
              <w:t>Court of Appeal for Ontario</w:t>
            </w:r>
          </w:p>
          <w:p w:rsidR="0003168D" w:rsidRPr="00982C2B" w:rsidRDefault="0003168D" w:rsidP="0003168D">
            <w:pPr>
              <w:jc w:val="both"/>
              <w:rPr>
                <w:rFonts w:cs="Times New Roman"/>
                <w:sz w:val="20"/>
                <w:szCs w:val="20"/>
              </w:rPr>
            </w:pPr>
            <w:r w:rsidRPr="00982C2B">
              <w:rPr>
                <w:rFonts w:cs="Times New Roman"/>
                <w:sz w:val="20"/>
                <w:szCs w:val="20"/>
              </w:rPr>
              <w:t>(Cronk, Pepall and Lauwers JJ.A.)</w:t>
            </w:r>
          </w:p>
          <w:p w:rsidR="0003168D" w:rsidRPr="00982C2B" w:rsidRDefault="0003168D" w:rsidP="0003168D">
            <w:pPr>
              <w:jc w:val="both"/>
              <w:rPr>
                <w:rFonts w:cs="Times New Roman"/>
                <w:sz w:val="20"/>
                <w:szCs w:val="20"/>
              </w:rPr>
            </w:pPr>
            <w:r w:rsidRPr="00982C2B">
              <w:rPr>
                <w:rFonts w:cs="Times New Roman"/>
                <w:sz w:val="20"/>
                <w:szCs w:val="20"/>
              </w:rPr>
              <w:t>M45152</w:t>
            </w:r>
          </w:p>
          <w:p w:rsidR="0003168D" w:rsidRPr="00982C2B" w:rsidRDefault="0003168D" w:rsidP="0003168D">
            <w:pPr>
              <w:jc w:val="both"/>
              <w:rPr>
                <w:rFonts w:cs="Times New Roman"/>
                <w:sz w:val="20"/>
                <w:szCs w:val="20"/>
              </w:rPr>
            </w:pPr>
          </w:p>
        </w:tc>
        <w:tc>
          <w:tcPr>
            <w:tcW w:w="630" w:type="dxa"/>
          </w:tcPr>
          <w:p w:rsidR="0003168D" w:rsidRPr="00982C2B" w:rsidRDefault="0003168D" w:rsidP="0003168D">
            <w:pPr>
              <w:pStyle w:val="SCCShortJudgment"/>
              <w:ind w:firstLine="0"/>
              <w:rPr>
                <w:rFonts w:cs="Times New Roman"/>
                <w:szCs w:val="20"/>
              </w:rPr>
            </w:pPr>
          </w:p>
        </w:tc>
        <w:tc>
          <w:tcPr>
            <w:tcW w:w="4536" w:type="dxa"/>
          </w:tcPr>
          <w:p w:rsidR="0003168D" w:rsidRPr="00982C2B" w:rsidRDefault="0003168D" w:rsidP="0003168D">
            <w:pPr>
              <w:jc w:val="both"/>
              <w:rPr>
                <w:rFonts w:cs="Times New Roman"/>
                <w:sz w:val="20"/>
                <w:szCs w:val="20"/>
              </w:rPr>
            </w:pPr>
            <w:r w:rsidRPr="00982C2B">
              <w:rPr>
                <w:rFonts w:cs="Times New Roman"/>
                <w:sz w:val="20"/>
                <w:szCs w:val="20"/>
              </w:rPr>
              <w:t>Motion for leave to appeal, dismissed.</w:t>
            </w:r>
          </w:p>
          <w:p w:rsidR="0003168D" w:rsidRPr="00982C2B" w:rsidRDefault="0003168D" w:rsidP="0003168D">
            <w:pPr>
              <w:jc w:val="both"/>
              <w:rPr>
                <w:rFonts w:cs="Times New Roman"/>
                <w:sz w:val="20"/>
                <w:szCs w:val="20"/>
              </w:rPr>
            </w:pPr>
          </w:p>
        </w:tc>
      </w:tr>
      <w:tr w:rsidR="0003168D" w:rsidRPr="00982C2B" w:rsidTr="0003168D">
        <w:tc>
          <w:tcPr>
            <w:tcW w:w="4410" w:type="dxa"/>
            <w:gridSpan w:val="2"/>
          </w:tcPr>
          <w:p w:rsidR="0003168D" w:rsidRPr="00982C2B" w:rsidRDefault="0003168D" w:rsidP="0003168D">
            <w:pPr>
              <w:jc w:val="both"/>
              <w:rPr>
                <w:rFonts w:cs="Times New Roman"/>
                <w:sz w:val="20"/>
                <w:szCs w:val="20"/>
              </w:rPr>
            </w:pPr>
            <w:r w:rsidRPr="00982C2B">
              <w:rPr>
                <w:rFonts w:cs="Times New Roman"/>
                <w:sz w:val="20"/>
                <w:szCs w:val="20"/>
              </w:rPr>
              <w:t>December 10, 2015</w:t>
            </w:r>
          </w:p>
          <w:p w:rsidR="0003168D" w:rsidRPr="00982C2B" w:rsidRDefault="0003168D" w:rsidP="0003168D">
            <w:pPr>
              <w:jc w:val="both"/>
              <w:rPr>
                <w:rFonts w:cs="Times New Roman"/>
                <w:sz w:val="20"/>
                <w:szCs w:val="20"/>
              </w:rPr>
            </w:pPr>
            <w:r w:rsidRPr="00982C2B">
              <w:rPr>
                <w:rFonts w:cs="Times New Roman"/>
                <w:sz w:val="20"/>
                <w:szCs w:val="20"/>
              </w:rPr>
              <w:t>Supreme Court of Canada</w:t>
            </w:r>
          </w:p>
        </w:tc>
        <w:tc>
          <w:tcPr>
            <w:tcW w:w="630" w:type="dxa"/>
          </w:tcPr>
          <w:p w:rsidR="0003168D" w:rsidRPr="00982C2B" w:rsidRDefault="0003168D" w:rsidP="0003168D">
            <w:pPr>
              <w:pStyle w:val="SCCShortJudgment"/>
              <w:ind w:firstLine="0"/>
              <w:rPr>
                <w:rFonts w:cs="Times New Roman"/>
                <w:szCs w:val="20"/>
              </w:rPr>
            </w:pPr>
          </w:p>
        </w:tc>
        <w:tc>
          <w:tcPr>
            <w:tcW w:w="4536" w:type="dxa"/>
          </w:tcPr>
          <w:p w:rsidR="0003168D" w:rsidRPr="00982C2B" w:rsidRDefault="0003168D" w:rsidP="0003168D">
            <w:pPr>
              <w:jc w:val="both"/>
              <w:rPr>
                <w:rFonts w:cs="Times New Roman"/>
                <w:sz w:val="20"/>
                <w:szCs w:val="20"/>
              </w:rPr>
            </w:pPr>
            <w:r w:rsidRPr="00982C2B">
              <w:rPr>
                <w:rFonts w:cs="Times New Roman"/>
                <w:sz w:val="20"/>
                <w:szCs w:val="20"/>
              </w:rPr>
              <w:t>Application for leave to appeal filed</w:t>
            </w:r>
          </w:p>
          <w:p w:rsidR="0003168D" w:rsidRPr="00982C2B" w:rsidRDefault="0003168D" w:rsidP="0003168D">
            <w:pPr>
              <w:jc w:val="both"/>
              <w:rPr>
                <w:rFonts w:cs="Times New Roman"/>
                <w:sz w:val="20"/>
                <w:szCs w:val="20"/>
              </w:rPr>
            </w:pPr>
          </w:p>
        </w:tc>
      </w:tr>
      <w:tr w:rsidR="0003168D" w:rsidRPr="00982C2B" w:rsidTr="0003168D">
        <w:tc>
          <w:tcPr>
            <w:tcW w:w="9576" w:type="dxa"/>
            <w:gridSpan w:val="4"/>
          </w:tcPr>
          <w:p w:rsidR="0003168D" w:rsidRPr="00982C2B" w:rsidRDefault="009F3029" w:rsidP="00C643DA">
            <w:pPr>
              <w:pStyle w:val="SCCShortJudgment"/>
              <w:ind w:firstLine="0"/>
              <w:rPr>
                <w:rFonts w:cs="Times New Roman"/>
                <w:szCs w:val="20"/>
                <w:lang w:val="fr-CA"/>
              </w:rPr>
            </w:pPr>
            <w:r>
              <w:rPr>
                <w:rFonts w:cs="Times New Roman"/>
                <w:szCs w:val="20"/>
                <w:lang w:val="fr-CA"/>
              </w:rPr>
              <w:pict>
                <v:rect id="_x0000_i1075" style="width:2in;height:1pt" o:hrpct="0" o:hralign="center" o:hrstd="t" o:hrnoshade="t" o:hr="t" fillcolor="black [3213]" stroked="f"/>
              </w:pict>
            </w:r>
          </w:p>
          <w:p w:rsidR="0003168D" w:rsidRPr="00982C2B" w:rsidRDefault="0003168D" w:rsidP="00C643DA">
            <w:pPr>
              <w:pStyle w:val="SCCShortJudgment"/>
              <w:ind w:firstLine="0"/>
              <w:rPr>
                <w:rFonts w:cs="Times New Roman"/>
                <w:szCs w:val="20"/>
                <w:lang w:val="fr-CA"/>
              </w:rPr>
            </w:pPr>
          </w:p>
        </w:tc>
      </w:tr>
    </w:tbl>
    <w:p w:rsidR="00527434" w:rsidRDefault="0052743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03168D" w:rsidRPr="00982C2B" w:rsidTr="0003168D">
        <w:tc>
          <w:tcPr>
            <w:tcW w:w="9576" w:type="dxa"/>
            <w:gridSpan w:val="3"/>
          </w:tcPr>
          <w:p w:rsidR="0003168D" w:rsidRPr="00982C2B" w:rsidRDefault="0003168D"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03168D" w:rsidRPr="00982C2B" w:rsidRDefault="0003168D" w:rsidP="00C643DA">
            <w:pPr>
              <w:pStyle w:val="SCCShortJudgment"/>
              <w:ind w:firstLine="0"/>
              <w:rPr>
                <w:rFonts w:cs="Times New Roman"/>
                <w:szCs w:val="20"/>
                <w:u w:val="single"/>
                <w:lang w:val="fr-CA"/>
              </w:rPr>
            </w:pPr>
          </w:p>
        </w:tc>
      </w:tr>
      <w:tr w:rsidR="0003168D" w:rsidRPr="009F3029" w:rsidTr="0003168D">
        <w:tc>
          <w:tcPr>
            <w:tcW w:w="9576" w:type="dxa"/>
            <w:gridSpan w:val="3"/>
          </w:tcPr>
          <w:p w:rsidR="0003168D" w:rsidRPr="00982C2B" w:rsidRDefault="0003168D" w:rsidP="0003168D">
            <w:pPr>
              <w:pStyle w:val="SCCShortJudgment"/>
              <w:ind w:firstLine="0"/>
              <w:rPr>
                <w:rFonts w:cs="Times New Roman"/>
                <w:szCs w:val="20"/>
                <w:lang w:val="fr-CA"/>
              </w:rPr>
            </w:pPr>
            <w:r w:rsidRPr="00982C2B">
              <w:rPr>
                <w:rFonts w:cs="Times New Roman"/>
                <w:szCs w:val="20"/>
                <w:lang w:val="fr-CA"/>
              </w:rPr>
              <w:t>Droit administratif — Contrôle judiciaire — Droits de la personne — Sécurité au travail — L’existence d’une clause privative milite-t-elle clairement en faveur d’un contrôle suivant la norme de la raisonnabilité, puisqu’elle atteste la volonté du législateur que les décisions du décideur administratif fassent l’objet de plus de déférence et que le contrôle judiciaire soit minimal?</w:t>
            </w:r>
          </w:p>
          <w:p w:rsidR="0003168D" w:rsidRPr="00982C2B" w:rsidRDefault="0003168D" w:rsidP="0003168D">
            <w:pPr>
              <w:pStyle w:val="SCCShortJudgment"/>
              <w:ind w:firstLine="0"/>
              <w:rPr>
                <w:rFonts w:cs="Times New Roman"/>
                <w:szCs w:val="20"/>
                <w:u w:val="single"/>
                <w:lang w:val="fr-CA"/>
              </w:rPr>
            </w:pPr>
          </w:p>
        </w:tc>
      </w:tr>
      <w:tr w:rsidR="0003168D" w:rsidRPr="00982C2B" w:rsidTr="0003168D">
        <w:tc>
          <w:tcPr>
            <w:tcW w:w="9576" w:type="dxa"/>
            <w:gridSpan w:val="3"/>
          </w:tcPr>
          <w:p w:rsidR="0003168D" w:rsidRPr="00982C2B" w:rsidRDefault="0003168D" w:rsidP="0003168D">
            <w:pPr>
              <w:jc w:val="both"/>
              <w:rPr>
                <w:rFonts w:cs="Times New Roman"/>
                <w:sz w:val="20"/>
                <w:szCs w:val="20"/>
                <w:lang w:val="fr-CA"/>
              </w:rPr>
            </w:pPr>
            <w:r w:rsidRPr="00982C2B">
              <w:rPr>
                <w:rFonts w:cs="Times New Roman"/>
                <w:sz w:val="20"/>
                <w:szCs w:val="20"/>
                <w:lang w:val="fr-CA"/>
              </w:rPr>
              <w:t>Monsieur Li a déposé une demande de contrôle judiciaire de certaines décisions du Tribunal des droits de la personne de l’Ontario rendues environ cinq ans plus tôt. Selon M. Li, les décisions du Tribunal des droits de la personne l’ont privé de ses recours judiciaires fondés sur la</w:t>
            </w:r>
            <w:r w:rsidRPr="00982C2B">
              <w:rPr>
                <w:rFonts w:cs="Times New Roman"/>
                <w:i/>
                <w:sz w:val="20"/>
                <w:szCs w:val="20"/>
                <w:lang w:val="fr-CA"/>
              </w:rPr>
              <w:t xml:space="preserve"> Loi sur la sécurité professionnelle et l’assurance contre les accidents du travail</w:t>
            </w:r>
            <w:r w:rsidRPr="00982C2B">
              <w:rPr>
                <w:rFonts w:cs="Times New Roman"/>
                <w:sz w:val="20"/>
                <w:szCs w:val="20"/>
                <w:lang w:val="fr-CA"/>
              </w:rPr>
              <w:t xml:space="preserve"> et le </w:t>
            </w:r>
            <w:r w:rsidRPr="00982C2B">
              <w:rPr>
                <w:rFonts w:cs="Times New Roman"/>
                <w:i/>
                <w:sz w:val="20"/>
                <w:szCs w:val="20"/>
                <w:lang w:val="fr-CA"/>
              </w:rPr>
              <w:t xml:space="preserve">Code des droits de la personne </w:t>
            </w:r>
            <w:r w:rsidRPr="00982C2B">
              <w:rPr>
                <w:rFonts w:cs="Times New Roman"/>
                <w:sz w:val="20"/>
                <w:szCs w:val="20"/>
                <w:lang w:val="fr-CA"/>
              </w:rPr>
              <w:t xml:space="preserve">de l’Ontario. Il a également sollicité un jugement déclarant que certains articles de la </w:t>
            </w:r>
            <w:r w:rsidRPr="00982C2B">
              <w:rPr>
                <w:rFonts w:cs="Times New Roman"/>
                <w:i/>
                <w:sz w:val="20"/>
                <w:szCs w:val="20"/>
                <w:lang w:val="fr-CA"/>
              </w:rPr>
              <w:t>Loi sur la sécurité professionnelle et l’assurance contre les accidents du travail</w:t>
            </w:r>
            <w:r w:rsidRPr="00982C2B">
              <w:rPr>
                <w:rFonts w:cs="Times New Roman"/>
                <w:sz w:val="20"/>
                <w:szCs w:val="20"/>
                <w:lang w:val="fr-CA"/>
              </w:rPr>
              <w:t xml:space="preserve"> étaient incompatibles avec le </w:t>
            </w:r>
            <w:r w:rsidRPr="00982C2B">
              <w:rPr>
                <w:rFonts w:cs="Times New Roman"/>
                <w:i/>
                <w:sz w:val="20"/>
                <w:szCs w:val="20"/>
                <w:lang w:val="fr-CA"/>
              </w:rPr>
              <w:t>Code des droits de la personne</w:t>
            </w:r>
            <w:r w:rsidRPr="00982C2B">
              <w:rPr>
                <w:rFonts w:cs="Times New Roman"/>
                <w:sz w:val="20"/>
                <w:szCs w:val="20"/>
                <w:lang w:val="fr-CA"/>
              </w:rPr>
              <w:t xml:space="preserve"> de l’Ontario, la Constitution et le Pacte international relatif aux droits civils et politiques, et qu’ils étaient donc inopérants. Les événements qui ont donné lieu à la demande de contrôle judiciaire ont commencé lorsque M. Li a subi une blessure au travail. Depuis cette date, M. Li allègue que Teva Canada Limitée (anciennement Novopharm Limited) a manqué à son obligation, prescrite par le </w:t>
            </w:r>
            <w:r w:rsidRPr="00982C2B">
              <w:rPr>
                <w:rFonts w:cs="Times New Roman"/>
                <w:i/>
                <w:sz w:val="20"/>
                <w:szCs w:val="20"/>
                <w:lang w:val="fr-CA"/>
              </w:rPr>
              <w:t>Code des droits de la personne</w:t>
            </w:r>
            <w:r w:rsidRPr="00982C2B">
              <w:rPr>
                <w:rFonts w:cs="Times New Roman"/>
                <w:sz w:val="20"/>
                <w:szCs w:val="20"/>
                <w:lang w:val="fr-CA"/>
              </w:rPr>
              <w:t xml:space="preserve"> de l’Ontario, de tenir compte de ses besoins, si bien qu’elle a été discriminatoire à son égard en raison de son handicap.   </w:t>
            </w:r>
          </w:p>
          <w:p w:rsidR="0003168D" w:rsidRPr="00982C2B" w:rsidRDefault="0003168D" w:rsidP="0003168D">
            <w:pPr>
              <w:jc w:val="both"/>
              <w:rPr>
                <w:rFonts w:cs="Times New Roman"/>
                <w:sz w:val="20"/>
                <w:szCs w:val="20"/>
                <w:lang w:val="fr-CA"/>
              </w:rPr>
            </w:pPr>
          </w:p>
          <w:p w:rsidR="0003168D" w:rsidRPr="00982C2B" w:rsidRDefault="0003168D" w:rsidP="0003168D">
            <w:pPr>
              <w:jc w:val="both"/>
              <w:rPr>
                <w:rFonts w:cs="Times New Roman"/>
                <w:sz w:val="20"/>
                <w:szCs w:val="20"/>
                <w:lang w:val="fr-CA"/>
              </w:rPr>
            </w:pPr>
            <w:r w:rsidRPr="00982C2B">
              <w:rPr>
                <w:rFonts w:cs="Times New Roman"/>
                <w:sz w:val="20"/>
                <w:szCs w:val="20"/>
                <w:lang w:val="fr-CA"/>
              </w:rPr>
              <w:t>Teva a présenté une motion à la Cour supérieure de justice - Cour divisionnaire en rejet de la demande de contrôle judiciaire présentée par M. Li pour cause de retard. La motion a été accueillie. Monsieur Li a ensuite demandé l’autorisation d’appel à la Cour d’appel de l’Ontario. La motion en autorisation d’appel a été rejetée.</w:t>
            </w:r>
          </w:p>
          <w:p w:rsidR="0003168D" w:rsidRPr="00982C2B" w:rsidRDefault="0003168D" w:rsidP="0003168D">
            <w:pPr>
              <w:jc w:val="both"/>
              <w:rPr>
                <w:rFonts w:cs="Times New Roman"/>
                <w:sz w:val="20"/>
                <w:szCs w:val="20"/>
                <w:u w:val="single"/>
                <w:lang w:val="fr-CA"/>
              </w:rPr>
            </w:pPr>
          </w:p>
        </w:tc>
      </w:tr>
      <w:tr w:rsidR="0003168D" w:rsidRPr="00982C2B" w:rsidTr="0003168D">
        <w:tc>
          <w:tcPr>
            <w:tcW w:w="9576" w:type="dxa"/>
            <w:gridSpan w:val="3"/>
          </w:tcPr>
          <w:p w:rsidR="0003168D" w:rsidRPr="00982C2B" w:rsidRDefault="0003168D" w:rsidP="00C643DA">
            <w:pPr>
              <w:pStyle w:val="SCCShortJudgment"/>
              <w:ind w:firstLine="0"/>
              <w:rPr>
                <w:rFonts w:cs="Times New Roman"/>
                <w:szCs w:val="20"/>
                <w:u w:val="single"/>
                <w:lang w:val="fr-CA"/>
              </w:rPr>
            </w:pPr>
          </w:p>
        </w:tc>
      </w:tr>
      <w:tr w:rsidR="0003168D" w:rsidRPr="009F3029" w:rsidTr="0003168D">
        <w:tc>
          <w:tcPr>
            <w:tcW w:w="4410" w:type="dxa"/>
          </w:tcPr>
          <w:p w:rsidR="0003168D" w:rsidRPr="00982C2B" w:rsidRDefault="0003168D" w:rsidP="0003168D">
            <w:pPr>
              <w:jc w:val="both"/>
              <w:rPr>
                <w:rFonts w:cs="Times New Roman"/>
                <w:sz w:val="20"/>
                <w:szCs w:val="20"/>
                <w:lang w:val="fr-CA"/>
              </w:rPr>
            </w:pPr>
            <w:r w:rsidRPr="00982C2B">
              <w:rPr>
                <w:rFonts w:cs="Times New Roman"/>
                <w:sz w:val="20"/>
                <w:szCs w:val="20"/>
                <w:lang w:val="fr-CA"/>
              </w:rPr>
              <w:t>20 mai 2015</w:t>
            </w:r>
          </w:p>
          <w:p w:rsidR="0003168D" w:rsidRPr="00982C2B" w:rsidRDefault="0003168D" w:rsidP="0003168D">
            <w:pPr>
              <w:jc w:val="both"/>
              <w:rPr>
                <w:rFonts w:cs="Times New Roman"/>
                <w:sz w:val="20"/>
                <w:szCs w:val="20"/>
                <w:lang w:val="fr-CA"/>
              </w:rPr>
            </w:pPr>
            <w:r w:rsidRPr="00982C2B">
              <w:rPr>
                <w:rFonts w:cs="Times New Roman"/>
                <w:sz w:val="20"/>
                <w:szCs w:val="20"/>
                <w:lang w:val="fr-CA"/>
              </w:rPr>
              <w:t xml:space="preserve">Cour supérieure de justice de l’Ontario </w:t>
            </w:r>
          </w:p>
          <w:p w:rsidR="0003168D" w:rsidRPr="00982C2B" w:rsidRDefault="0003168D" w:rsidP="0003168D">
            <w:pPr>
              <w:jc w:val="both"/>
              <w:rPr>
                <w:rFonts w:cs="Times New Roman"/>
                <w:sz w:val="20"/>
                <w:szCs w:val="20"/>
                <w:lang w:val="fr-CA"/>
              </w:rPr>
            </w:pPr>
            <w:r w:rsidRPr="00982C2B">
              <w:rPr>
                <w:rFonts w:cs="Times New Roman"/>
                <w:sz w:val="20"/>
                <w:szCs w:val="20"/>
                <w:lang w:val="fr-CA"/>
              </w:rPr>
              <w:t>(Juge Lederman)</w:t>
            </w:r>
          </w:p>
          <w:p w:rsidR="0003168D" w:rsidRPr="00982C2B" w:rsidRDefault="009F3029" w:rsidP="0003168D">
            <w:pPr>
              <w:jc w:val="both"/>
              <w:rPr>
                <w:rFonts w:cs="Times New Roman"/>
                <w:sz w:val="20"/>
                <w:szCs w:val="20"/>
                <w:lang w:val="fr-CA"/>
              </w:rPr>
            </w:pPr>
            <w:hyperlink r:id="rId83" w:history="1">
              <w:r w:rsidR="0003168D" w:rsidRPr="00982C2B">
                <w:rPr>
                  <w:rStyle w:val="Hyperlink"/>
                  <w:rFonts w:cs="Times New Roman"/>
                  <w:sz w:val="20"/>
                  <w:szCs w:val="20"/>
                  <w:lang w:val="fr-CA"/>
                </w:rPr>
                <w:t>2015 ONSC 3221</w:t>
              </w:r>
            </w:hyperlink>
            <w:r w:rsidR="0003168D" w:rsidRPr="00982C2B">
              <w:rPr>
                <w:rFonts w:cs="Times New Roman"/>
                <w:sz w:val="20"/>
                <w:szCs w:val="20"/>
                <w:lang w:val="fr-CA"/>
              </w:rPr>
              <w:t>; 47/15</w:t>
            </w:r>
          </w:p>
          <w:p w:rsidR="0003168D" w:rsidRPr="00982C2B" w:rsidRDefault="0003168D" w:rsidP="0003168D">
            <w:pPr>
              <w:pStyle w:val="SCCShortJudgment"/>
              <w:ind w:firstLine="0"/>
              <w:rPr>
                <w:rFonts w:cs="Times New Roman"/>
                <w:szCs w:val="20"/>
                <w:u w:val="single"/>
                <w:lang w:val="fr-CA"/>
              </w:rPr>
            </w:pPr>
          </w:p>
        </w:tc>
        <w:tc>
          <w:tcPr>
            <w:tcW w:w="630" w:type="dxa"/>
          </w:tcPr>
          <w:p w:rsidR="0003168D" w:rsidRPr="00982C2B" w:rsidRDefault="0003168D" w:rsidP="0003168D">
            <w:pPr>
              <w:pStyle w:val="SCCShortJudgment"/>
              <w:ind w:firstLine="0"/>
              <w:rPr>
                <w:rFonts w:cs="Times New Roman"/>
                <w:szCs w:val="20"/>
                <w:u w:val="single"/>
                <w:lang w:val="fr-CA"/>
              </w:rPr>
            </w:pPr>
          </w:p>
        </w:tc>
        <w:tc>
          <w:tcPr>
            <w:tcW w:w="4536" w:type="dxa"/>
          </w:tcPr>
          <w:p w:rsidR="0003168D" w:rsidRPr="00982C2B" w:rsidRDefault="0003168D" w:rsidP="0003168D">
            <w:pPr>
              <w:jc w:val="both"/>
              <w:rPr>
                <w:rFonts w:cs="Times New Roman"/>
                <w:sz w:val="20"/>
                <w:szCs w:val="20"/>
                <w:lang w:val="fr-CA"/>
              </w:rPr>
            </w:pPr>
            <w:r w:rsidRPr="00982C2B">
              <w:rPr>
                <w:rFonts w:cs="Times New Roman"/>
                <w:sz w:val="20"/>
                <w:szCs w:val="20"/>
                <w:lang w:val="fr-CA"/>
              </w:rPr>
              <w:t>Jugement accueillant la motion de Teva en rejet de la demande de contrôle judiciaire pour cause de retard.</w:t>
            </w:r>
          </w:p>
          <w:p w:rsidR="0003168D" w:rsidRPr="00982C2B" w:rsidRDefault="0003168D" w:rsidP="0003168D">
            <w:pPr>
              <w:pStyle w:val="SCCShortJudgment"/>
              <w:ind w:firstLine="0"/>
              <w:rPr>
                <w:rFonts w:cs="Times New Roman"/>
                <w:szCs w:val="20"/>
                <w:u w:val="single"/>
                <w:lang w:val="fr-CA"/>
              </w:rPr>
            </w:pPr>
          </w:p>
        </w:tc>
      </w:tr>
      <w:tr w:rsidR="0003168D" w:rsidRPr="009F3029" w:rsidTr="0003168D">
        <w:tc>
          <w:tcPr>
            <w:tcW w:w="4410" w:type="dxa"/>
          </w:tcPr>
          <w:p w:rsidR="0003168D" w:rsidRPr="00982C2B" w:rsidRDefault="0003168D" w:rsidP="0003168D">
            <w:pPr>
              <w:jc w:val="both"/>
              <w:rPr>
                <w:rFonts w:cs="Times New Roman"/>
                <w:sz w:val="20"/>
                <w:szCs w:val="20"/>
                <w:lang w:val="fr-CA"/>
              </w:rPr>
            </w:pPr>
            <w:r w:rsidRPr="00982C2B">
              <w:rPr>
                <w:rFonts w:cs="Times New Roman"/>
                <w:sz w:val="20"/>
                <w:szCs w:val="20"/>
                <w:lang w:val="fr-CA"/>
              </w:rPr>
              <w:t>19 octobre 2015</w:t>
            </w:r>
          </w:p>
          <w:p w:rsidR="0003168D" w:rsidRPr="00982C2B" w:rsidRDefault="0003168D" w:rsidP="0003168D">
            <w:pPr>
              <w:jc w:val="both"/>
              <w:rPr>
                <w:rFonts w:cs="Times New Roman"/>
                <w:sz w:val="20"/>
                <w:szCs w:val="20"/>
                <w:lang w:val="fr-CA"/>
              </w:rPr>
            </w:pPr>
            <w:r w:rsidRPr="00982C2B">
              <w:rPr>
                <w:rFonts w:cs="Times New Roman"/>
                <w:sz w:val="20"/>
                <w:szCs w:val="20"/>
                <w:lang w:val="fr-CA"/>
              </w:rPr>
              <w:t xml:space="preserve">Cour d’appel de l’Ontario </w:t>
            </w:r>
          </w:p>
          <w:p w:rsidR="0003168D" w:rsidRPr="00982C2B" w:rsidRDefault="0003168D" w:rsidP="0003168D">
            <w:pPr>
              <w:jc w:val="both"/>
              <w:rPr>
                <w:rFonts w:cs="Times New Roman"/>
                <w:sz w:val="20"/>
                <w:szCs w:val="20"/>
                <w:lang w:val="fr-CA"/>
              </w:rPr>
            </w:pPr>
            <w:r w:rsidRPr="00982C2B">
              <w:rPr>
                <w:rFonts w:cs="Times New Roman"/>
                <w:sz w:val="20"/>
                <w:szCs w:val="20"/>
                <w:lang w:val="fr-CA"/>
              </w:rPr>
              <w:t>(Juges Cronk, Pepall et Lauwers)</w:t>
            </w:r>
          </w:p>
          <w:p w:rsidR="0003168D" w:rsidRPr="00982C2B" w:rsidRDefault="0003168D" w:rsidP="0003168D">
            <w:pPr>
              <w:jc w:val="both"/>
              <w:rPr>
                <w:rFonts w:cs="Times New Roman"/>
                <w:sz w:val="20"/>
                <w:szCs w:val="20"/>
                <w:lang w:val="fr-CA"/>
              </w:rPr>
            </w:pPr>
            <w:r w:rsidRPr="00982C2B">
              <w:rPr>
                <w:rFonts w:cs="Times New Roman"/>
                <w:sz w:val="20"/>
                <w:szCs w:val="20"/>
                <w:lang w:val="fr-CA"/>
              </w:rPr>
              <w:t>M45152</w:t>
            </w:r>
          </w:p>
          <w:p w:rsidR="0003168D" w:rsidRPr="00982C2B" w:rsidRDefault="0003168D" w:rsidP="0003168D">
            <w:pPr>
              <w:pStyle w:val="SCCShortJudgment"/>
              <w:ind w:firstLine="0"/>
              <w:rPr>
                <w:rFonts w:cs="Times New Roman"/>
                <w:szCs w:val="20"/>
                <w:u w:val="single"/>
                <w:lang w:val="fr-CA"/>
              </w:rPr>
            </w:pPr>
          </w:p>
        </w:tc>
        <w:tc>
          <w:tcPr>
            <w:tcW w:w="630" w:type="dxa"/>
          </w:tcPr>
          <w:p w:rsidR="0003168D" w:rsidRPr="00982C2B" w:rsidRDefault="0003168D" w:rsidP="0003168D">
            <w:pPr>
              <w:pStyle w:val="SCCShortJudgment"/>
              <w:ind w:firstLine="0"/>
              <w:rPr>
                <w:rFonts w:cs="Times New Roman"/>
                <w:szCs w:val="20"/>
                <w:u w:val="single"/>
                <w:lang w:val="fr-CA"/>
              </w:rPr>
            </w:pPr>
          </w:p>
        </w:tc>
        <w:tc>
          <w:tcPr>
            <w:tcW w:w="4536" w:type="dxa"/>
          </w:tcPr>
          <w:p w:rsidR="0003168D" w:rsidRPr="00982C2B" w:rsidRDefault="0003168D" w:rsidP="0003168D">
            <w:pPr>
              <w:pStyle w:val="SCCShortJudgment"/>
              <w:ind w:firstLine="0"/>
              <w:rPr>
                <w:rFonts w:cs="Times New Roman"/>
                <w:szCs w:val="20"/>
                <w:u w:val="single"/>
                <w:lang w:val="fr-CA"/>
              </w:rPr>
            </w:pPr>
            <w:r w:rsidRPr="00982C2B">
              <w:rPr>
                <w:rFonts w:cs="Times New Roman"/>
                <w:szCs w:val="20"/>
                <w:lang w:val="fr-CA"/>
              </w:rPr>
              <w:t>Rejet de la motion en autorisation d’appel.</w:t>
            </w:r>
          </w:p>
        </w:tc>
      </w:tr>
      <w:tr w:rsidR="0003168D" w:rsidRPr="009F3029" w:rsidTr="0003168D">
        <w:tc>
          <w:tcPr>
            <w:tcW w:w="4410" w:type="dxa"/>
          </w:tcPr>
          <w:p w:rsidR="0003168D" w:rsidRPr="00982C2B" w:rsidRDefault="0003168D" w:rsidP="0003168D">
            <w:pPr>
              <w:jc w:val="both"/>
              <w:rPr>
                <w:rFonts w:cs="Times New Roman"/>
                <w:sz w:val="20"/>
                <w:szCs w:val="20"/>
                <w:lang w:val="fr-CA"/>
              </w:rPr>
            </w:pPr>
            <w:r w:rsidRPr="00982C2B">
              <w:rPr>
                <w:rFonts w:cs="Times New Roman"/>
                <w:sz w:val="20"/>
                <w:szCs w:val="20"/>
                <w:lang w:val="fr-CA"/>
              </w:rPr>
              <w:t>10 décembre 2015</w:t>
            </w:r>
          </w:p>
          <w:p w:rsidR="0003168D" w:rsidRPr="00982C2B" w:rsidRDefault="0003168D" w:rsidP="0003168D">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03168D" w:rsidRPr="00982C2B" w:rsidRDefault="0003168D" w:rsidP="0003168D">
            <w:pPr>
              <w:pStyle w:val="SCCShortJudgment"/>
              <w:ind w:firstLine="0"/>
              <w:rPr>
                <w:rFonts w:cs="Times New Roman"/>
                <w:szCs w:val="20"/>
                <w:u w:val="single"/>
                <w:lang w:val="fr-CA"/>
              </w:rPr>
            </w:pPr>
          </w:p>
        </w:tc>
        <w:tc>
          <w:tcPr>
            <w:tcW w:w="4536" w:type="dxa"/>
          </w:tcPr>
          <w:p w:rsidR="0003168D" w:rsidRPr="00982C2B" w:rsidRDefault="0003168D" w:rsidP="0003168D">
            <w:pPr>
              <w:jc w:val="both"/>
              <w:rPr>
                <w:rFonts w:cs="Times New Roman"/>
                <w:sz w:val="20"/>
                <w:szCs w:val="20"/>
                <w:lang w:val="fr-CA"/>
              </w:rPr>
            </w:pPr>
            <w:r w:rsidRPr="00982C2B">
              <w:rPr>
                <w:rFonts w:cs="Times New Roman"/>
                <w:sz w:val="20"/>
                <w:szCs w:val="20"/>
                <w:lang w:val="fr-CA"/>
              </w:rPr>
              <w:t>Dépôt de la demande d’autorisation d’appel</w:t>
            </w:r>
          </w:p>
          <w:p w:rsidR="0003168D" w:rsidRPr="00982C2B" w:rsidRDefault="0003168D" w:rsidP="0003168D">
            <w:pPr>
              <w:pStyle w:val="SCCShortJudgment"/>
              <w:ind w:firstLine="0"/>
              <w:rPr>
                <w:rFonts w:cs="Times New Roman"/>
                <w:szCs w:val="20"/>
                <w:u w:val="single"/>
                <w:lang w:val="fr-CA"/>
              </w:rPr>
            </w:pPr>
          </w:p>
        </w:tc>
      </w:tr>
    </w:tbl>
    <w:p w:rsidR="0003168D" w:rsidRPr="00982C2B" w:rsidRDefault="009F3029" w:rsidP="0003168D">
      <w:pPr>
        <w:rPr>
          <w:rFonts w:cs="Times New Roman"/>
          <w:sz w:val="20"/>
          <w:szCs w:val="20"/>
          <w:lang w:val="fr-CA"/>
        </w:rPr>
      </w:pPr>
      <w:r>
        <w:rPr>
          <w:rFonts w:cs="Times New Roman"/>
          <w:sz w:val="20"/>
          <w:szCs w:val="20"/>
          <w:lang w:val="fr-CA"/>
        </w:rPr>
        <w:pict>
          <v:rect id="_x0000_i1076" style="width:2in;height:1pt" o:hrpct="0" o:hralign="center" o:hrstd="t" o:hrnoshade="t" o:hr="t" fillcolor="black [3213]" stroked="f"/>
        </w:pict>
      </w:r>
    </w:p>
    <w:p w:rsidR="0003168D" w:rsidRPr="00982C2B" w:rsidRDefault="0003168D" w:rsidP="0003168D">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6915BD" w:rsidRPr="00982C2B" w:rsidTr="0026725E">
        <w:tc>
          <w:tcPr>
            <w:tcW w:w="1458" w:type="dxa"/>
          </w:tcPr>
          <w:p w:rsidR="006915BD" w:rsidRPr="00982C2B" w:rsidRDefault="006915BD" w:rsidP="00C643DA">
            <w:pPr>
              <w:jc w:val="both"/>
              <w:rPr>
                <w:rFonts w:cs="Times New Roman"/>
                <w:sz w:val="20"/>
                <w:szCs w:val="20"/>
              </w:rPr>
            </w:pPr>
            <w:r w:rsidRPr="00982C2B">
              <w:rPr>
                <w:rStyle w:val="SCCFileNumberChar"/>
                <w:sz w:val="20"/>
                <w:szCs w:val="20"/>
              </w:rPr>
              <w:t>36765</w:t>
            </w:r>
          </w:p>
          <w:p w:rsidR="006915BD" w:rsidRPr="00982C2B" w:rsidRDefault="006915BD" w:rsidP="00C643DA">
            <w:pPr>
              <w:jc w:val="both"/>
              <w:rPr>
                <w:rFonts w:cs="Times New Roman"/>
                <w:b/>
                <w:sz w:val="20"/>
                <w:szCs w:val="20"/>
              </w:rPr>
            </w:pPr>
          </w:p>
        </w:tc>
        <w:tc>
          <w:tcPr>
            <w:tcW w:w="8118" w:type="dxa"/>
          </w:tcPr>
          <w:p w:rsidR="006915BD" w:rsidRPr="00982C2B" w:rsidRDefault="006915BD" w:rsidP="00C643DA">
            <w:pPr>
              <w:jc w:val="both"/>
              <w:rPr>
                <w:rFonts w:cs="Times New Roman"/>
                <w:sz w:val="20"/>
                <w:szCs w:val="20"/>
              </w:rPr>
            </w:pPr>
            <w:r w:rsidRPr="00982C2B">
              <w:rPr>
                <w:rStyle w:val="SCCLsocChar"/>
                <w:rFonts w:cs="Times New Roman"/>
                <w:sz w:val="20"/>
                <w:szCs w:val="20"/>
                <w:lang w:val="en-CA"/>
              </w:rPr>
              <w:t>Barry Oliver, Bryan Oliver, Douglas Oliver and Kimberley Maxwell v. Sandra Blais and Shelley Thomas</w:t>
            </w:r>
            <w:r w:rsidRPr="00982C2B">
              <w:rPr>
                <w:rStyle w:val="SCCLsocChar"/>
                <w:rFonts w:cs="Times New Roman"/>
                <w:sz w:val="20"/>
                <w:szCs w:val="20"/>
                <w:u w:val="none"/>
                <w:lang w:val="en-CA"/>
              </w:rPr>
              <w:t xml:space="preserve"> </w:t>
            </w:r>
            <w:r w:rsidRPr="00982C2B">
              <w:rPr>
                <w:rFonts w:cs="Times New Roman"/>
                <w:sz w:val="20"/>
                <w:szCs w:val="20"/>
              </w:rPr>
              <w:t>(Man.) (Civil) (By Leave)</w:t>
            </w:r>
          </w:p>
          <w:p w:rsidR="006915BD" w:rsidRPr="00982C2B" w:rsidRDefault="006915BD" w:rsidP="00C643DA">
            <w:pPr>
              <w:jc w:val="both"/>
              <w:rPr>
                <w:rFonts w:cs="Times New Roman"/>
                <w:sz w:val="20"/>
                <w:szCs w:val="20"/>
              </w:rPr>
            </w:pPr>
          </w:p>
        </w:tc>
      </w:tr>
      <w:tr w:rsidR="006915BD" w:rsidRPr="00982C2B" w:rsidTr="0026725E">
        <w:tc>
          <w:tcPr>
            <w:tcW w:w="1458" w:type="dxa"/>
          </w:tcPr>
          <w:p w:rsidR="006915BD" w:rsidRPr="00982C2B" w:rsidRDefault="006915BD" w:rsidP="00C643DA">
            <w:pPr>
              <w:jc w:val="both"/>
              <w:rPr>
                <w:rFonts w:cs="Times New Roman"/>
                <w:sz w:val="20"/>
                <w:szCs w:val="20"/>
              </w:rPr>
            </w:pPr>
            <w:r w:rsidRPr="00982C2B">
              <w:rPr>
                <w:rFonts w:cs="Times New Roman"/>
                <w:sz w:val="20"/>
                <w:szCs w:val="20"/>
              </w:rPr>
              <w:t>Coram :</w:t>
            </w:r>
          </w:p>
        </w:tc>
        <w:tc>
          <w:tcPr>
            <w:tcW w:w="8118" w:type="dxa"/>
          </w:tcPr>
          <w:p w:rsidR="006915BD" w:rsidRPr="00982C2B" w:rsidRDefault="006915BD" w:rsidP="00C643DA">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6915BD" w:rsidRPr="00982C2B" w:rsidRDefault="006915BD" w:rsidP="00C643DA">
            <w:pPr>
              <w:jc w:val="both"/>
              <w:rPr>
                <w:rFonts w:cs="Times New Roman"/>
                <w:sz w:val="20"/>
                <w:szCs w:val="20"/>
                <w:u w:val="single"/>
              </w:rPr>
            </w:pPr>
          </w:p>
        </w:tc>
      </w:tr>
      <w:tr w:rsidR="006915BD" w:rsidRPr="009F3029" w:rsidTr="0026725E">
        <w:tc>
          <w:tcPr>
            <w:tcW w:w="9576" w:type="dxa"/>
            <w:gridSpan w:val="2"/>
          </w:tcPr>
          <w:p w:rsidR="006915BD" w:rsidRPr="00982C2B" w:rsidRDefault="006915BD" w:rsidP="00C643DA">
            <w:pPr>
              <w:pStyle w:val="SCCShortJudgment"/>
              <w:ind w:firstLine="0"/>
              <w:rPr>
                <w:rFonts w:cs="Times New Roman"/>
                <w:szCs w:val="20"/>
              </w:rPr>
            </w:pPr>
            <w:r w:rsidRPr="00982C2B">
              <w:rPr>
                <w:rFonts w:cs="Times New Roman"/>
                <w:szCs w:val="20"/>
              </w:rPr>
              <w:tab/>
              <w:t>The application for leave to appeal from the judgment of the Court of Appeal of Manitoba, Number AI15-30-08315, 2015 MBCA 99, dated October 13, 2015, is dismissed with costs.</w:t>
            </w:r>
          </w:p>
          <w:p w:rsidR="006915BD" w:rsidRPr="00982C2B" w:rsidRDefault="006915BD" w:rsidP="00C643DA">
            <w:pPr>
              <w:pStyle w:val="SCCShortJudgment"/>
              <w:ind w:firstLine="0"/>
              <w:rPr>
                <w:rFonts w:cs="Times New Roman"/>
                <w:szCs w:val="20"/>
              </w:rPr>
            </w:pPr>
          </w:p>
          <w:p w:rsidR="006915BD" w:rsidRPr="00982C2B" w:rsidRDefault="006915BD" w:rsidP="00C643DA">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du Manitoba</w:t>
            </w:r>
            <w:r w:rsidRPr="00982C2B">
              <w:rPr>
                <w:rFonts w:cs="Times New Roman"/>
                <w:szCs w:val="20"/>
                <w:lang w:val="fr-CA"/>
              </w:rPr>
              <w:t>, nu</w:t>
            </w:r>
            <w:r w:rsidRPr="00982C2B">
              <w:rPr>
                <w:rFonts w:cs="Times New Roman"/>
                <w:szCs w:val="20"/>
                <w:lang w:val="fr-FR"/>
              </w:rPr>
              <w:t>méro AI15-30-08315, 2015 MBCA 99, daté du 13 octobre 2015, est rejetée avec dépens.</w:t>
            </w:r>
          </w:p>
          <w:p w:rsidR="006915BD" w:rsidRPr="00982C2B" w:rsidRDefault="006915BD" w:rsidP="00C643DA">
            <w:pPr>
              <w:pStyle w:val="SCCShortJudgment"/>
              <w:ind w:firstLine="0"/>
              <w:rPr>
                <w:rFonts w:cs="Times New Roman"/>
                <w:szCs w:val="20"/>
                <w:lang w:val="fr-CA"/>
              </w:rPr>
            </w:pPr>
          </w:p>
        </w:tc>
      </w:tr>
    </w:tbl>
    <w:p w:rsidR="00527434" w:rsidRPr="00165F6D" w:rsidRDefault="00527434">
      <w:pPr>
        <w:rPr>
          <w:lang w:val="fr-CA"/>
        </w:rPr>
      </w:pPr>
      <w:r w:rsidRPr="00165F6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915BD" w:rsidRPr="00982C2B" w:rsidTr="0026725E">
        <w:tc>
          <w:tcPr>
            <w:tcW w:w="9576" w:type="dxa"/>
            <w:gridSpan w:val="3"/>
          </w:tcPr>
          <w:p w:rsidR="006915BD" w:rsidRPr="00982C2B" w:rsidRDefault="006915BD" w:rsidP="00C643DA">
            <w:pPr>
              <w:pStyle w:val="SCCShortJudgment"/>
              <w:ind w:firstLine="0"/>
              <w:rPr>
                <w:rFonts w:cs="Times New Roman"/>
                <w:szCs w:val="20"/>
                <w:u w:val="single"/>
                <w:lang w:val="fr-CA"/>
              </w:rPr>
            </w:pPr>
            <w:r w:rsidRPr="00982C2B">
              <w:rPr>
                <w:rFonts w:cs="Times New Roman"/>
                <w:szCs w:val="20"/>
                <w:u w:val="single"/>
                <w:lang w:val="fr-CA"/>
              </w:rPr>
              <w:t>CASE SUMMARY</w:t>
            </w:r>
          </w:p>
          <w:p w:rsidR="006915BD" w:rsidRPr="00982C2B" w:rsidRDefault="006915BD" w:rsidP="00C643DA">
            <w:pPr>
              <w:pStyle w:val="SCCShortJudgment"/>
              <w:ind w:firstLine="0"/>
              <w:rPr>
                <w:rFonts w:cs="Times New Roman"/>
                <w:szCs w:val="20"/>
                <w:u w:val="single"/>
                <w:lang w:val="fr-CA"/>
              </w:rPr>
            </w:pPr>
          </w:p>
        </w:tc>
      </w:tr>
      <w:tr w:rsidR="006915BD" w:rsidRPr="00982C2B" w:rsidTr="0026725E">
        <w:tc>
          <w:tcPr>
            <w:tcW w:w="9576" w:type="dxa"/>
            <w:gridSpan w:val="3"/>
          </w:tcPr>
          <w:p w:rsidR="006915BD" w:rsidRPr="00982C2B" w:rsidRDefault="006915BD" w:rsidP="00F87FAB">
            <w:pPr>
              <w:jc w:val="both"/>
              <w:rPr>
                <w:rFonts w:cs="Times New Roman"/>
                <w:sz w:val="20"/>
                <w:szCs w:val="20"/>
              </w:rPr>
            </w:pPr>
            <w:r w:rsidRPr="00982C2B">
              <w:rPr>
                <w:rFonts w:cs="Times New Roman"/>
                <w:i/>
                <w:sz w:val="20"/>
                <w:szCs w:val="20"/>
              </w:rPr>
              <w:t>Canadian Charter of Rights and Freedoms</w:t>
            </w:r>
            <w:r w:rsidRPr="00982C2B">
              <w:rPr>
                <w:rFonts w:cs="Times New Roman"/>
                <w:sz w:val="20"/>
                <w:szCs w:val="20"/>
              </w:rPr>
              <w:t xml:space="preserve"> - Wills and estates – Revocation of probate – Whether the Will was invalid due to lack of capacity? – Whether the Will was invalid due to undue influence or fraud? – Mootness – Unjust enrichment – Whether the applicants have a constructive trust interest in the estate?</w:t>
            </w:r>
          </w:p>
          <w:p w:rsidR="006915BD" w:rsidRPr="00982C2B" w:rsidRDefault="006915BD" w:rsidP="00C643DA">
            <w:pPr>
              <w:pStyle w:val="SCCShortJudgment"/>
              <w:ind w:firstLine="0"/>
              <w:rPr>
                <w:rFonts w:cs="Times New Roman"/>
                <w:szCs w:val="20"/>
              </w:rPr>
            </w:pPr>
          </w:p>
        </w:tc>
      </w:tr>
      <w:tr w:rsidR="006915BD" w:rsidRPr="00982C2B" w:rsidTr="0026725E">
        <w:tc>
          <w:tcPr>
            <w:tcW w:w="9576" w:type="dxa"/>
            <w:gridSpan w:val="3"/>
          </w:tcPr>
          <w:p w:rsidR="006915BD" w:rsidRPr="00982C2B" w:rsidRDefault="006915BD" w:rsidP="0026725E">
            <w:pPr>
              <w:pStyle w:val="SCCShortJudgment"/>
              <w:ind w:firstLine="0"/>
              <w:rPr>
                <w:rFonts w:cs="Times New Roman"/>
                <w:szCs w:val="20"/>
              </w:rPr>
            </w:pPr>
            <w:r w:rsidRPr="00982C2B">
              <w:rPr>
                <w:rFonts w:cs="Times New Roman"/>
                <w:szCs w:val="20"/>
              </w:rPr>
              <w:t>The Applicants are four of the testator’s children. As children, they had worked, unpaid, on their parents’ farm. They left the farm as adults. In 1999, the testator and his wife executed mirror wills whereby, in the event that they both passed away, the estate would be divided equally among all seven children.  In May, 2004, the father executed a new will, removing the four Applicants as beneficiaries. The mother died in 2004, leaving all her assets to the father. The father passed away in 2010. The Applicants began legal proceedings to revoke probate or for a finding that they had a constructive trust interest in the estate’s assets. The trial judge dismissed the action and awarded lawyer and client costs to the Respondents together with reasonable disbursements given the manner in which the Applicants conducted their case.</w:t>
            </w:r>
          </w:p>
          <w:p w:rsidR="006915BD" w:rsidRPr="00982C2B" w:rsidRDefault="006915BD" w:rsidP="0026725E">
            <w:pPr>
              <w:pStyle w:val="SCCShortJudgment"/>
              <w:ind w:firstLine="0"/>
              <w:rPr>
                <w:rFonts w:cs="Times New Roman"/>
                <w:szCs w:val="20"/>
              </w:rPr>
            </w:pPr>
          </w:p>
        </w:tc>
      </w:tr>
      <w:tr w:rsidR="006915BD" w:rsidRPr="00982C2B" w:rsidTr="0026725E">
        <w:tc>
          <w:tcPr>
            <w:tcW w:w="4410" w:type="dxa"/>
          </w:tcPr>
          <w:p w:rsidR="006915BD" w:rsidRPr="00982C2B" w:rsidRDefault="006915BD" w:rsidP="006915BD">
            <w:pPr>
              <w:rPr>
                <w:rFonts w:cs="Times New Roman"/>
                <w:sz w:val="20"/>
                <w:szCs w:val="20"/>
              </w:rPr>
            </w:pPr>
            <w:r w:rsidRPr="00982C2B">
              <w:rPr>
                <w:rFonts w:cs="Times New Roman"/>
                <w:sz w:val="20"/>
                <w:szCs w:val="20"/>
              </w:rPr>
              <w:t>November 21, 2014</w:t>
            </w:r>
          </w:p>
          <w:p w:rsidR="006915BD" w:rsidRPr="00982C2B" w:rsidRDefault="006915BD" w:rsidP="006915BD">
            <w:pPr>
              <w:rPr>
                <w:rFonts w:cs="Times New Roman"/>
                <w:sz w:val="20"/>
                <w:szCs w:val="20"/>
              </w:rPr>
            </w:pPr>
            <w:r w:rsidRPr="00982C2B">
              <w:rPr>
                <w:rFonts w:cs="Times New Roman"/>
                <w:sz w:val="20"/>
                <w:szCs w:val="20"/>
              </w:rPr>
              <w:t>Court of Queen’s Bench of Manitoba</w:t>
            </w:r>
          </w:p>
          <w:p w:rsidR="006915BD" w:rsidRPr="00982C2B" w:rsidRDefault="006915BD" w:rsidP="006915BD">
            <w:pPr>
              <w:rPr>
                <w:rFonts w:cs="Times New Roman"/>
                <w:sz w:val="20"/>
                <w:szCs w:val="20"/>
              </w:rPr>
            </w:pPr>
            <w:r w:rsidRPr="00982C2B">
              <w:rPr>
                <w:rFonts w:cs="Times New Roman"/>
                <w:sz w:val="20"/>
                <w:szCs w:val="20"/>
              </w:rPr>
              <w:t>(Hanssen J.C.Q.B.)</w:t>
            </w:r>
          </w:p>
          <w:p w:rsidR="006915BD" w:rsidRPr="00982C2B" w:rsidRDefault="006915BD" w:rsidP="006915BD">
            <w:pPr>
              <w:rPr>
                <w:rFonts w:cs="Times New Roman"/>
                <w:sz w:val="20"/>
                <w:szCs w:val="20"/>
              </w:rPr>
            </w:pPr>
            <w:r w:rsidRPr="00982C2B">
              <w:rPr>
                <w:rFonts w:cs="Times New Roman"/>
                <w:sz w:val="20"/>
                <w:szCs w:val="20"/>
              </w:rPr>
              <w:t>(unreported)</w:t>
            </w:r>
          </w:p>
          <w:p w:rsidR="006915BD" w:rsidRPr="00982C2B" w:rsidRDefault="006915BD" w:rsidP="00C643DA">
            <w:pPr>
              <w:jc w:val="both"/>
              <w:rPr>
                <w:rFonts w:cs="Times New Roman"/>
                <w:sz w:val="20"/>
                <w:szCs w:val="20"/>
              </w:rPr>
            </w:pPr>
          </w:p>
        </w:tc>
        <w:tc>
          <w:tcPr>
            <w:tcW w:w="630" w:type="dxa"/>
          </w:tcPr>
          <w:p w:rsidR="006915BD" w:rsidRPr="00982C2B" w:rsidRDefault="006915BD" w:rsidP="0026725E">
            <w:pPr>
              <w:pStyle w:val="SCCShortJudgment"/>
              <w:ind w:firstLine="0"/>
              <w:rPr>
                <w:rFonts w:cs="Times New Roman"/>
                <w:szCs w:val="20"/>
              </w:rPr>
            </w:pPr>
          </w:p>
        </w:tc>
        <w:tc>
          <w:tcPr>
            <w:tcW w:w="4536" w:type="dxa"/>
          </w:tcPr>
          <w:p w:rsidR="006915BD" w:rsidRPr="00982C2B" w:rsidRDefault="006915BD" w:rsidP="0026725E">
            <w:pPr>
              <w:jc w:val="both"/>
              <w:rPr>
                <w:rFonts w:cs="Times New Roman"/>
                <w:sz w:val="20"/>
                <w:szCs w:val="20"/>
              </w:rPr>
            </w:pPr>
            <w:r w:rsidRPr="00982C2B">
              <w:rPr>
                <w:rFonts w:cs="Times New Roman"/>
                <w:sz w:val="20"/>
                <w:szCs w:val="20"/>
              </w:rPr>
              <w:t>Respondents’ motion for joint and several award of lawyer and client costs against the Applicants allowed</w:t>
            </w:r>
          </w:p>
        </w:tc>
      </w:tr>
      <w:tr w:rsidR="006915BD" w:rsidRPr="00982C2B" w:rsidTr="0026725E">
        <w:tc>
          <w:tcPr>
            <w:tcW w:w="4410" w:type="dxa"/>
          </w:tcPr>
          <w:p w:rsidR="006915BD" w:rsidRPr="00982C2B" w:rsidRDefault="006915BD" w:rsidP="006915BD">
            <w:pPr>
              <w:rPr>
                <w:rFonts w:cs="Times New Roman"/>
                <w:sz w:val="20"/>
                <w:szCs w:val="20"/>
              </w:rPr>
            </w:pPr>
            <w:r w:rsidRPr="00982C2B">
              <w:rPr>
                <w:rFonts w:cs="Times New Roman"/>
                <w:sz w:val="20"/>
                <w:szCs w:val="20"/>
              </w:rPr>
              <w:t>October 13, 2015</w:t>
            </w:r>
          </w:p>
          <w:p w:rsidR="006915BD" w:rsidRPr="00982C2B" w:rsidRDefault="006915BD" w:rsidP="006915BD">
            <w:pPr>
              <w:rPr>
                <w:rFonts w:cs="Times New Roman"/>
                <w:sz w:val="20"/>
                <w:szCs w:val="20"/>
              </w:rPr>
            </w:pPr>
            <w:r w:rsidRPr="00982C2B">
              <w:rPr>
                <w:rFonts w:cs="Times New Roman"/>
                <w:sz w:val="20"/>
                <w:szCs w:val="20"/>
              </w:rPr>
              <w:t>Court of Appeal of Manitoba</w:t>
            </w:r>
          </w:p>
          <w:p w:rsidR="006915BD" w:rsidRPr="00982C2B" w:rsidRDefault="006915BD" w:rsidP="006915BD">
            <w:pPr>
              <w:rPr>
                <w:rFonts w:cs="Times New Roman"/>
                <w:sz w:val="20"/>
                <w:szCs w:val="20"/>
              </w:rPr>
            </w:pPr>
            <w:r w:rsidRPr="00982C2B">
              <w:rPr>
                <w:rFonts w:cs="Times New Roman"/>
                <w:sz w:val="20"/>
                <w:szCs w:val="20"/>
              </w:rPr>
              <w:t>(Steel, MacInnes, and Burnett JJ. A.)</w:t>
            </w:r>
          </w:p>
          <w:p w:rsidR="006915BD" w:rsidRPr="00982C2B" w:rsidRDefault="009F3029" w:rsidP="006915BD">
            <w:pPr>
              <w:rPr>
                <w:rFonts w:cs="Times New Roman"/>
                <w:sz w:val="20"/>
                <w:szCs w:val="20"/>
              </w:rPr>
            </w:pPr>
            <w:hyperlink r:id="rId84" w:history="1">
              <w:r w:rsidR="006915BD" w:rsidRPr="00982C2B">
                <w:rPr>
                  <w:rStyle w:val="Hyperlink"/>
                  <w:rFonts w:cs="Times New Roman"/>
                  <w:sz w:val="20"/>
                  <w:szCs w:val="20"/>
                </w:rPr>
                <w:t>2015 MBCA 99</w:t>
              </w:r>
            </w:hyperlink>
          </w:p>
          <w:p w:rsidR="006915BD" w:rsidRPr="00982C2B" w:rsidRDefault="006915BD" w:rsidP="00C643DA">
            <w:pPr>
              <w:jc w:val="both"/>
              <w:rPr>
                <w:rFonts w:cs="Times New Roman"/>
                <w:sz w:val="20"/>
                <w:szCs w:val="20"/>
              </w:rPr>
            </w:pPr>
          </w:p>
        </w:tc>
        <w:tc>
          <w:tcPr>
            <w:tcW w:w="630" w:type="dxa"/>
          </w:tcPr>
          <w:p w:rsidR="006915BD" w:rsidRPr="00982C2B" w:rsidRDefault="006915BD" w:rsidP="0026725E">
            <w:pPr>
              <w:pStyle w:val="SCCShortJudgment"/>
              <w:ind w:firstLine="0"/>
              <w:rPr>
                <w:rFonts w:cs="Times New Roman"/>
                <w:szCs w:val="20"/>
              </w:rPr>
            </w:pPr>
          </w:p>
        </w:tc>
        <w:tc>
          <w:tcPr>
            <w:tcW w:w="4536" w:type="dxa"/>
          </w:tcPr>
          <w:p w:rsidR="006915BD" w:rsidRPr="00982C2B" w:rsidRDefault="006915BD" w:rsidP="0026725E">
            <w:pPr>
              <w:jc w:val="both"/>
              <w:rPr>
                <w:rFonts w:cs="Times New Roman"/>
                <w:sz w:val="20"/>
                <w:szCs w:val="20"/>
              </w:rPr>
            </w:pPr>
            <w:r w:rsidRPr="00982C2B">
              <w:rPr>
                <w:rFonts w:cs="Times New Roman"/>
                <w:sz w:val="20"/>
                <w:szCs w:val="20"/>
              </w:rPr>
              <w:t>Appeal from trial judge’s decision dismissing Applicants’ application to invalidate their father’s will and seeking a constructive trust, dismissed</w:t>
            </w:r>
          </w:p>
          <w:p w:rsidR="006915BD" w:rsidRPr="00982C2B" w:rsidRDefault="006915BD" w:rsidP="0026725E">
            <w:pPr>
              <w:jc w:val="both"/>
              <w:rPr>
                <w:rFonts w:cs="Times New Roman"/>
                <w:sz w:val="20"/>
                <w:szCs w:val="20"/>
              </w:rPr>
            </w:pPr>
          </w:p>
          <w:p w:rsidR="006915BD" w:rsidRPr="00982C2B" w:rsidRDefault="006915BD" w:rsidP="0026725E">
            <w:pPr>
              <w:jc w:val="both"/>
              <w:rPr>
                <w:rFonts w:cs="Times New Roman"/>
                <w:sz w:val="20"/>
                <w:szCs w:val="20"/>
              </w:rPr>
            </w:pPr>
          </w:p>
        </w:tc>
      </w:tr>
      <w:tr w:rsidR="006915BD" w:rsidRPr="00982C2B" w:rsidTr="0026725E">
        <w:tc>
          <w:tcPr>
            <w:tcW w:w="4410" w:type="dxa"/>
          </w:tcPr>
          <w:p w:rsidR="006915BD" w:rsidRPr="00982C2B" w:rsidRDefault="006915BD" w:rsidP="0026725E">
            <w:pPr>
              <w:jc w:val="both"/>
              <w:rPr>
                <w:rFonts w:cs="Times New Roman"/>
                <w:sz w:val="20"/>
                <w:szCs w:val="20"/>
              </w:rPr>
            </w:pPr>
            <w:r w:rsidRPr="00982C2B">
              <w:rPr>
                <w:rFonts w:cs="Times New Roman"/>
                <w:sz w:val="20"/>
                <w:szCs w:val="20"/>
              </w:rPr>
              <w:t>December 9, 2015</w:t>
            </w:r>
          </w:p>
          <w:p w:rsidR="006915BD" w:rsidRPr="00982C2B" w:rsidRDefault="006915BD" w:rsidP="0026725E">
            <w:pPr>
              <w:jc w:val="both"/>
              <w:rPr>
                <w:rFonts w:cs="Times New Roman"/>
                <w:sz w:val="20"/>
                <w:szCs w:val="20"/>
              </w:rPr>
            </w:pPr>
            <w:r w:rsidRPr="00982C2B">
              <w:rPr>
                <w:rFonts w:cs="Times New Roman"/>
                <w:sz w:val="20"/>
                <w:szCs w:val="20"/>
              </w:rPr>
              <w:t>Court of Appeal of Manitoba</w:t>
            </w:r>
          </w:p>
          <w:p w:rsidR="006915BD" w:rsidRPr="00982C2B" w:rsidRDefault="006915BD" w:rsidP="0026725E">
            <w:pPr>
              <w:jc w:val="both"/>
              <w:rPr>
                <w:rFonts w:cs="Times New Roman"/>
                <w:sz w:val="20"/>
                <w:szCs w:val="20"/>
              </w:rPr>
            </w:pPr>
            <w:r w:rsidRPr="00982C2B">
              <w:rPr>
                <w:rFonts w:cs="Times New Roman"/>
                <w:sz w:val="20"/>
                <w:szCs w:val="20"/>
              </w:rPr>
              <w:t>(Steel, MacInnes, and Burnett JJ. A.)</w:t>
            </w:r>
          </w:p>
          <w:p w:rsidR="006915BD" w:rsidRPr="00982C2B" w:rsidRDefault="009F3029" w:rsidP="0026725E">
            <w:pPr>
              <w:jc w:val="both"/>
              <w:rPr>
                <w:rFonts w:cs="Times New Roman"/>
                <w:sz w:val="20"/>
                <w:szCs w:val="20"/>
              </w:rPr>
            </w:pPr>
            <w:hyperlink r:id="rId85" w:history="1">
              <w:r w:rsidR="006915BD" w:rsidRPr="00982C2B">
                <w:rPr>
                  <w:rStyle w:val="Hyperlink"/>
                  <w:rFonts w:cs="Times New Roman"/>
                  <w:sz w:val="20"/>
                  <w:szCs w:val="20"/>
                </w:rPr>
                <w:t>2015 MBCA 115</w:t>
              </w:r>
            </w:hyperlink>
          </w:p>
          <w:p w:rsidR="006915BD" w:rsidRPr="00982C2B" w:rsidRDefault="006915BD" w:rsidP="0026725E">
            <w:pPr>
              <w:jc w:val="both"/>
              <w:rPr>
                <w:rFonts w:cs="Times New Roman"/>
                <w:sz w:val="20"/>
                <w:szCs w:val="20"/>
              </w:rPr>
            </w:pPr>
          </w:p>
        </w:tc>
        <w:tc>
          <w:tcPr>
            <w:tcW w:w="630" w:type="dxa"/>
          </w:tcPr>
          <w:p w:rsidR="006915BD" w:rsidRPr="00982C2B" w:rsidRDefault="006915BD" w:rsidP="0026725E">
            <w:pPr>
              <w:pStyle w:val="SCCShortJudgment"/>
              <w:ind w:firstLine="0"/>
              <w:rPr>
                <w:rFonts w:cs="Times New Roman"/>
                <w:szCs w:val="20"/>
              </w:rPr>
            </w:pPr>
          </w:p>
        </w:tc>
        <w:tc>
          <w:tcPr>
            <w:tcW w:w="4536" w:type="dxa"/>
          </w:tcPr>
          <w:p w:rsidR="006915BD" w:rsidRPr="00982C2B" w:rsidRDefault="006915BD" w:rsidP="0026725E">
            <w:pPr>
              <w:jc w:val="both"/>
              <w:rPr>
                <w:rFonts w:cs="Times New Roman"/>
                <w:sz w:val="20"/>
                <w:szCs w:val="20"/>
              </w:rPr>
            </w:pPr>
            <w:r w:rsidRPr="00982C2B">
              <w:rPr>
                <w:rFonts w:cs="Times New Roman"/>
                <w:sz w:val="20"/>
                <w:szCs w:val="20"/>
              </w:rPr>
              <w:t xml:space="preserve">Applicants’ motion pursuant to Rule 46.2 of the </w:t>
            </w:r>
            <w:r w:rsidRPr="00982C2B">
              <w:rPr>
                <w:rFonts w:cs="Times New Roman"/>
                <w:i/>
                <w:sz w:val="20"/>
                <w:szCs w:val="20"/>
              </w:rPr>
              <w:t>Court of Appeal Rules,</w:t>
            </w:r>
            <w:r w:rsidRPr="00982C2B">
              <w:rPr>
                <w:rFonts w:cs="Times New Roman"/>
                <w:sz w:val="20"/>
                <w:szCs w:val="20"/>
              </w:rPr>
              <w:t xml:space="preserve"> Man Reg 555/88R</w:t>
            </w:r>
            <w:r w:rsidRPr="00982C2B">
              <w:rPr>
                <w:rFonts w:cs="Times New Roman"/>
                <w:i/>
                <w:sz w:val="20"/>
                <w:szCs w:val="20"/>
              </w:rPr>
              <w:t xml:space="preserve">  </w:t>
            </w:r>
            <w:r w:rsidRPr="00982C2B">
              <w:rPr>
                <w:rFonts w:cs="Times New Roman"/>
                <w:sz w:val="20"/>
                <w:szCs w:val="20"/>
              </w:rPr>
              <w:t>for the rehearing of the appeal dismissed with costs.</w:t>
            </w:r>
          </w:p>
        </w:tc>
      </w:tr>
      <w:tr w:rsidR="006915BD" w:rsidRPr="00982C2B" w:rsidTr="0026725E">
        <w:tc>
          <w:tcPr>
            <w:tcW w:w="4410" w:type="dxa"/>
          </w:tcPr>
          <w:p w:rsidR="006915BD" w:rsidRPr="00982C2B" w:rsidRDefault="006915BD" w:rsidP="0026725E">
            <w:pPr>
              <w:jc w:val="both"/>
              <w:rPr>
                <w:rFonts w:cs="Times New Roman"/>
                <w:sz w:val="20"/>
                <w:szCs w:val="20"/>
              </w:rPr>
            </w:pPr>
            <w:r w:rsidRPr="00982C2B">
              <w:rPr>
                <w:rFonts w:cs="Times New Roman"/>
                <w:sz w:val="20"/>
                <w:szCs w:val="20"/>
              </w:rPr>
              <w:t>December 14, 2015</w:t>
            </w:r>
          </w:p>
          <w:p w:rsidR="006915BD" w:rsidRPr="00982C2B" w:rsidRDefault="006915BD" w:rsidP="0026725E">
            <w:pPr>
              <w:jc w:val="both"/>
              <w:rPr>
                <w:rFonts w:cs="Times New Roman"/>
                <w:sz w:val="20"/>
                <w:szCs w:val="20"/>
              </w:rPr>
            </w:pPr>
            <w:r w:rsidRPr="00982C2B">
              <w:rPr>
                <w:rFonts w:cs="Times New Roman"/>
                <w:sz w:val="20"/>
                <w:szCs w:val="20"/>
              </w:rPr>
              <w:t>Supreme Court of Canada</w:t>
            </w:r>
          </w:p>
        </w:tc>
        <w:tc>
          <w:tcPr>
            <w:tcW w:w="630" w:type="dxa"/>
          </w:tcPr>
          <w:p w:rsidR="006915BD" w:rsidRPr="00982C2B" w:rsidRDefault="006915BD" w:rsidP="0026725E">
            <w:pPr>
              <w:jc w:val="both"/>
              <w:rPr>
                <w:rFonts w:cs="Times New Roman"/>
                <w:sz w:val="20"/>
                <w:szCs w:val="20"/>
              </w:rPr>
            </w:pPr>
          </w:p>
        </w:tc>
        <w:tc>
          <w:tcPr>
            <w:tcW w:w="4536" w:type="dxa"/>
          </w:tcPr>
          <w:p w:rsidR="006915BD" w:rsidRPr="00982C2B" w:rsidRDefault="006915BD" w:rsidP="0026725E">
            <w:pPr>
              <w:jc w:val="both"/>
              <w:rPr>
                <w:rFonts w:cs="Times New Roman"/>
                <w:sz w:val="20"/>
                <w:szCs w:val="20"/>
              </w:rPr>
            </w:pPr>
            <w:r w:rsidRPr="00982C2B">
              <w:rPr>
                <w:rFonts w:cs="Times New Roman"/>
                <w:sz w:val="20"/>
                <w:szCs w:val="20"/>
              </w:rPr>
              <w:t>Application for leave to appeal filed.</w:t>
            </w:r>
          </w:p>
          <w:p w:rsidR="006915BD" w:rsidRPr="00982C2B" w:rsidRDefault="006915BD" w:rsidP="0026725E">
            <w:pPr>
              <w:jc w:val="both"/>
              <w:rPr>
                <w:rFonts w:cs="Times New Roman"/>
                <w:sz w:val="20"/>
                <w:szCs w:val="20"/>
              </w:rPr>
            </w:pPr>
          </w:p>
        </w:tc>
      </w:tr>
      <w:tr w:rsidR="006915BD" w:rsidRPr="00982C2B" w:rsidTr="0026725E">
        <w:tc>
          <w:tcPr>
            <w:tcW w:w="9576" w:type="dxa"/>
            <w:gridSpan w:val="3"/>
          </w:tcPr>
          <w:p w:rsidR="006915BD" w:rsidRPr="00982C2B" w:rsidRDefault="009F3029" w:rsidP="00C643DA">
            <w:pPr>
              <w:pStyle w:val="SCCShortJudgment"/>
              <w:ind w:firstLine="0"/>
              <w:rPr>
                <w:rFonts w:cs="Times New Roman"/>
                <w:szCs w:val="20"/>
                <w:lang w:val="fr-CA"/>
              </w:rPr>
            </w:pPr>
            <w:r>
              <w:rPr>
                <w:rFonts w:cs="Times New Roman"/>
                <w:szCs w:val="20"/>
                <w:lang w:val="fr-CA"/>
              </w:rPr>
              <w:pict>
                <v:rect id="_x0000_i1077" style="width:2in;height:1pt" o:hrpct="0" o:hralign="center" o:hrstd="t" o:hrnoshade="t" o:hr="t" fillcolor="black [3213]" stroked="f"/>
              </w:pict>
            </w:r>
          </w:p>
          <w:p w:rsidR="006915BD" w:rsidRPr="00982C2B" w:rsidRDefault="006915BD" w:rsidP="00C643DA">
            <w:pPr>
              <w:pStyle w:val="SCCShortJudgment"/>
              <w:ind w:firstLine="0"/>
              <w:rPr>
                <w:rFonts w:cs="Times New Roman"/>
                <w:szCs w:val="20"/>
                <w:lang w:val="fr-CA"/>
              </w:rPr>
            </w:pPr>
          </w:p>
        </w:tc>
      </w:tr>
      <w:tr w:rsidR="006915BD" w:rsidRPr="00982C2B" w:rsidTr="0026725E">
        <w:tc>
          <w:tcPr>
            <w:tcW w:w="9576" w:type="dxa"/>
            <w:gridSpan w:val="3"/>
          </w:tcPr>
          <w:p w:rsidR="006915BD" w:rsidRPr="00982C2B" w:rsidRDefault="006915BD"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6915BD" w:rsidRPr="00982C2B" w:rsidRDefault="006915BD" w:rsidP="00C643DA">
            <w:pPr>
              <w:pStyle w:val="SCCShortJudgment"/>
              <w:ind w:firstLine="0"/>
              <w:rPr>
                <w:rFonts w:cs="Times New Roman"/>
                <w:szCs w:val="20"/>
                <w:u w:val="single"/>
                <w:lang w:val="fr-CA"/>
              </w:rPr>
            </w:pPr>
          </w:p>
        </w:tc>
      </w:tr>
      <w:tr w:rsidR="006915BD" w:rsidRPr="009F3029" w:rsidTr="0026725E">
        <w:tc>
          <w:tcPr>
            <w:tcW w:w="9576" w:type="dxa"/>
            <w:gridSpan w:val="3"/>
          </w:tcPr>
          <w:p w:rsidR="0026725E" w:rsidRPr="00982C2B" w:rsidRDefault="0026725E" w:rsidP="0026725E">
            <w:pPr>
              <w:jc w:val="both"/>
              <w:rPr>
                <w:rFonts w:cs="Times New Roman"/>
                <w:sz w:val="20"/>
                <w:szCs w:val="20"/>
                <w:lang w:val="fr-CA"/>
              </w:rPr>
            </w:pPr>
            <w:r w:rsidRPr="00982C2B">
              <w:rPr>
                <w:rFonts w:cs="Times New Roman"/>
                <w:i/>
                <w:sz w:val="20"/>
                <w:szCs w:val="20"/>
                <w:lang w:val="fr-CA"/>
              </w:rPr>
              <w:t>Charte canadienne des droits et libertés</w:t>
            </w:r>
            <w:r w:rsidRPr="00982C2B">
              <w:rPr>
                <w:rFonts w:cs="Times New Roman"/>
                <w:sz w:val="20"/>
                <w:szCs w:val="20"/>
                <w:lang w:val="fr-CA"/>
              </w:rPr>
              <w:t xml:space="preserve"> — Successions — Révocation des lettres d’homologation — Le testament était-il invalide pour cause d’incapacité du testateur? — Le testament était-il invalide pour cause d’abus d’influence ou de manœuvres frauduleuses? — Caducité — Enrichissement injustifié — Une fiducie par interprétation confère-t-elle aux demandeurs un intérêt dans la succession?</w:t>
            </w:r>
          </w:p>
          <w:p w:rsidR="006915BD" w:rsidRPr="00982C2B" w:rsidRDefault="006915BD" w:rsidP="0026725E">
            <w:pPr>
              <w:pStyle w:val="SCCShortJudgment"/>
              <w:ind w:firstLine="0"/>
              <w:rPr>
                <w:rFonts w:cs="Times New Roman"/>
                <w:szCs w:val="20"/>
                <w:u w:val="single"/>
                <w:lang w:val="fr-CA"/>
              </w:rPr>
            </w:pPr>
          </w:p>
        </w:tc>
      </w:tr>
      <w:tr w:rsidR="006915BD" w:rsidRPr="009F3029" w:rsidTr="0026725E">
        <w:tc>
          <w:tcPr>
            <w:tcW w:w="9576" w:type="dxa"/>
            <w:gridSpan w:val="3"/>
          </w:tcPr>
          <w:p w:rsidR="006915BD" w:rsidRPr="00982C2B" w:rsidRDefault="0026725E" w:rsidP="0026725E">
            <w:pPr>
              <w:jc w:val="both"/>
              <w:rPr>
                <w:rFonts w:cs="Times New Roman"/>
                <w:sz w:val="20"/>
                <w:szCs w:val="20"/>
                <w:lang w:val="fr-CA"/>
              </w:rPr>
            </w:pPr>
            <w:r w:rsidRPr="00982C2B">
              <w:rPr>
                <w:rFonts w:cs="Times New Roman"/>
                <w:sz w:val="20"/>
                <w:szCs w:val="20"/>
                <w:lang w:val="fr-CA"/>
              </w:rPr>
              <w:t>Les demandeurs sont quatre des enfants du testateur. Durant leur enfance, ils ont travaillé sans toucher de rémunération sur la ferme de leurs parents. Ils ont quitté la ferme à l’âge adulte. En 1999, le testateur et son épouse ont signé des testaments identiques selon lesquelles la succession serait divisée à parts égales entre les sept enfants si tous deux décédaient. En mai 2004, le père a signé un nouveau testament dans lequel les quatre demandeurs ne figuraient plus comme héritiers. La mère est morte en 2004 et a légué tous ses biens au père. Ce dernier est mort à son tour en 2010. Les demandeurs ont intenté une action en justice pour faire révoquer les lettres d’homologation ou obtenir un jugement concluant qu’une fiducie par interprétation leur accordait un intérêt sur les biens de la succession. Le juge de première instance a rejeté l’action et adjugé aux intimés les dépens avocat-client et les débours raisonnables compte tenu de la manière dont les demandeurs ont défendu leur cause.</w:t>
            </w:r>
          </w:p>
          <w:p w:rsidR="0026725E" w:rsidRPr="00982C2B" w:rsidRDefault="0026725E" w:rsidP="0026725E">
            <w:pPr>
              <w:jc w:val="both"/>
              <w:rPr>
                <w:rFonts w:cs="Times New Roman"/>
                <w:sz w:val="20"/>
                <w:szCs w:val="20"/>
                <w:u w:val="single"/>
                <w:lang w:val="fr-CA"/>
              </w:rPr>
            </w:pPr>
          </w:p>
        </w:tc>
      </w:tr>
      <w:tr w:rsidR="006915BD" w:rsidRPr="009F3029" w:rsidTr="0026725E">
        <w:tc>
          <w:tcPr>
            <w:tcW w:w="4410"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21 novembre 2014</w:t>
            </w:r>
          </w:p>
          <w:p w:rsidR="0026725E" w:rsidRPr="00982C2B" w:rsidRDefault="0026725E" w:rsidP="0026725E">
            <w:pPr>
              <w:jc w:val="both"/>
              <w:rPr>
                <w:rFonts w:cs="Times New Roman"/>
                <w:sz w:val="20"/>
                <w:szCs w:val="20"/>
                <w:lang w:val="fr-CA"/>
              </w:rPr>
            </w:pPr>
            <w:r w:rsidRPr="00982C2B">
              <w:rPr>
                <w:rFonts w:cs="Times New Roman"/>
                <w:sz w:val="20"/>
                <w:szCs w:val="20"/>
                <w:lang w:val="fr-CA"/>
              </w:rPr>
              <w:t>Cour du Banc de la Reine du Manitoba</w:t>
            </w:r>
          </w:p>
          <w:p w:rsidR="0026725E" w:rsidRPr="00982C2B" w:rsidRDefault="0026725E" w:rsidP="0026725E">
            <w:pPr>
              <w:jc w:val="both"/>
              <w:rPr>
                <w:rFonts w:cs="Times New Roman"/>
                <w:sz w:val="20"/>
                <w:szCs w:val="20"/>
              </w:rPr>
            </w:pPr>
            <w:r w:rsidRPr="00982C2B">
              <w:rPr>
                <w:rFonts w:cs="Times New Roman"/>
                <w:sz w:val="20"/>
                <w:szCs w:val="20"/>
              </w:rPr>
              <w:t>(Juge Hanssen)</w:t>
            </w:r>
          </w:p>
          <w:p w:rsidR="0026725E" w:rsidRPr="00982C2B" w:rsidRDefault="0026725E" w:rsidP="0026725E">
            <w:pPr>
              <w:jc w:val="both"/>
              <w:rPr>
                <w:rFonts w:cs="Times New Roman"/>
                <w:sz w:val="20"/>
                <w:szCs w:val="20"/>
              </w:rPr>
            </w:pPr>
            <w:r w:rsidRPr="00982C2B">
              <w:rPr>
                <w:rFonts w:cs="Times New Roman"/>
                <w:sz w:val="20"/>
                <w:szCs w:val="20"/>
              </w:rPr>
              <w:t>(non publiée)</w:t>
            </w:r>
          </w:p>
          <w:p w:rsidR="006915BD" w:rsidRPr="00982C2B" w:rsidRDefault="006915BD" w:rsidP="0026725E">
            <w:pPr>
              <w:pStyle w:val="SCCShortJudgment"/>
              <w:ind w:firstLine="0"/>
              <w:rPr>
                <w:rFonts w:cs="Times New Roman"/>
                <w:szCs w:val="20"/>
                <w:u w:val="single"/>
                <w:lang w:val="fr-CA"/>
              </w:rPr>
            </w:pPr>
          </w:p>
        </w:tc>
        <w:tc>
          <w:tcPr>
            <w:tcW w:w="630" w:type="dxa"/>
          </w:tcPr>
          <w:p w:rsidR="006915BD" w:rsidRPr="00982C2B" w:rsidRDefault="006915BD" w:rsidP="0026725E">
            <w:pPr>
              <w:pStyle w:val="SCCShortJudgment"/>
              <w:ind w:firstLine="0"/>
              <w:rPr>
                <w:rFonts w:cs="Times New Roman"/>
                <w:szCs w:val="20"/>
                <w:u w:val="single"/>
                <w:lang w:val="fr-CA"/>
              </w:rPr>
            </w:pPr>
          </w:p>
        </w:tc>
        <w:tc>
          <w:tcPr>
            <w:tcW w:w="4536"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Requête des intimés en vue de faire condamner solidairement les demandeurs aux dépens avocat-client accueillie</w:t>
            </w:r>
          </w:p>
          <w:p w:rsidR="006915BD" w:rsidRPr="00982C2B" w:rsidRDefault="006915BD" w:rsidP="0026725E">
            <w:pPr>
              <w:pStyle w:val="SCCShortJudgment"/>
              <w:ind w:firstLine="0"/>
              <w:rPr>
                <w:rFonts w:cs="Times New Roman"/>
                <w:szCs w:val="20"/>
                <w:u w:val="single"/>
                <w:lang w:val="fr-CA"/>
              </w:rPr>
            </w:pPr>
          </w:p>
        </w:tc>
      </w:tr>
      <w:tr w:rsidR="006915BD" w:rsidRPr="009F3029" w:rsidTr="0026725E">
        <w:tc>
          <w:tcPr>
            <w:tcW w:w="4410"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13 octobre 2015</w:t>
            </w:r>
          </w:p>
          <w:p w:rsidR="0026725E" w:rsidRPr="00982C2B" w:rsidRDefault="0026725E" w:rsidP="0026725E">
            <w:pPr>
              <w:jc w:val="both"/>
              <w:rPr>
                <w:rFonts w:cs="Times New Roman"/>
                <w:sz w:val="20"/>
                <w:szCs w:val="20"/>
                <w:lang w:val="fr-CA"/>
              </w:rPr>
            </w:pPr>
            <w:r w:rsidRPr="00982C2B">
              <w:rPr>
                <w:rFonts w:cs="Times New Roman"/>
                <w:sz w:val="20"/>
                <w:szCs w:val="20"/>
                <w:lang w:val="fr-CA"/>
              </w:rPr>
              <w:t>Cour d’appel du Manitoba</w:t>
            </w:r>
          </w:p>
          <w:p w:rsidR="0026725E" w:rsidRPr="00982C2B" w:rsidRDefault="0026725E" w:rsidP="0026725E">
            <w:pPr>
              <w:jc w:val="both"/>
              <w:rPr>
                <w:rFonts w:cs="Times New Roman"/>
                <w:sz w:val="20"/>
                <w:szCs w:val="20"/>
                <w:lang w:val="fr-CA"/>
              </w:rPr>
            </w:pPr>
            <w:r w:rsidRPr="00982C2B">
              <w:rPr>
                <w:rFonts w:cs="Times New Roman"/>
                <w:sz w:val="20"/>
                <w:szCs w:val="20"/>
                <w:lang w:val="fr-CA"/>
              </w:rPr>
              <w:t>(Juges Steel, MacInnes et Burnett)</w:t>
            </w:r>
          </w:p>
          <w:p w:rsidR="0026725E" w:rsidRPr="00982C2B" w:rsidRDefault="009F3029" w:rsidP="0026725E">
            <w:pPr>
              <w:jc w:val="both"/>
              <w:rPr>
                <w:rFonts w:cs="Times New Roman"/>
                <w:sz w:val="20"/>
                <w:szCs w:val="20"/>
              </w:rPr>
            </w:pPr>
            <w:hyperlink r:id="rId86" w:history="1">
              <w:r w:rsidR="0026725E" w:rsidRPr="00982C2B">
                <w:rPr>
                  <w:rStyle w:val="Hyperlink"/>
                  <w:rFonts w:cs="Times New Roman"/>
                  <w:sz w:val="20"/>
                  <w:szCs w:val="20"/>
                </w:rPr>
                <w:t>2015 MBCA 99</w:t>
              </w:r>
            </w:hyperlink>
          </w:p>
          <w:p w:rsidR="006915BD" w:rsidRPr="00982C2B" w:rsidRDefault="006915BD" w:rsidP="0026725E">
            <w:pPr>
              <w:pStyle w:val="SCCShortJudgment"/>
              <w:ind w:firstLine="0"/>
              <w:rPr>
                <w:rFonts w:cs="Times New Roman"/>
                <w:szCs w:val="20"/>
                <w:u w:val="single"/>
                <w:lang w:val="fr-CA"/>
              </w:rPr>
            </w:pPr>
          </w:p>
        </w:tc>
        <w:tc>
          <w:tcPr>
            <w:tcW w:w="630" w:type="dxa"/>
          </w:tcPr>
          <w:p w:rsidR="006915BD" w:rsidRPr="00982C2B" w:rsidRDefault="006915BD" w:rsidP="0026725E">
            <w:pPr>
              <w:pStyle w:val="SCCShortJudgment"/>
              <w:ind w:firstLine="0"/>
              <w:rPr>
                <w:rFonts w:cs="Times New Roman"/>
                <w:szCs w:val="20"/>
                <w:u w:val="single"/>
                <w:lang w:val="fr-CA"/>
              </w:rPr>
            </w:pPr>
          </w:p>
        </w:tc>
        <w:tc>
          <w:tcPr>
            <w:tcW w:w="4536"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Rejet de l’appel formé contre la décision du juge de première instance de rejeter la demande des demandeurs visant à faire invalider le testament de leur père et à faire déclarer qu’il existe une fiducie par interprétation</w:t>
            </w:r>
          </w:p>
          <w:p w:rsidR="006915BD" w:rsidRPr="00982C2B" w:rsidRDefault="006915BD" w:rsidP="0026725E">
            <w:pPr>
              <w:pStyle w:val="SCCShortJudgment"/>
              <w:ind w:firstLine="0"/>
              <w:rPr>
                <w:rFonts w:cs="Times New Roman"/>
                <w:szCs w:val="20"/>
                <w:u w:val="single"/>
                <w:lang w:val="fr-CA"/>
              </w:rPr>
            </w:pPr>
          </w:p>
        </w:tc>
      </w:tr>
      <w:tr w:rsidR="006915BD" w:rsidRPr="009F3029" w:rsidTr="0026725E">
        <w:tc>
          <w:tcPr>
            <w:tcW w:w="4410"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9 décembre 2015</w:t>
            </w:r>
          </w:p>
          <w:p w:rsidR="0026725E" w:rsidRPr="00982C2B" w:rsidRDefault="0026725E" w:rsidP="0026725E">
            <w:pPr>
              <w:jc w:val="both"/>
              <w:rPr>
                <w:rFonts w:cs="Times New Roman"/>
                <w:sz w:val="20"/>
                <w:szCs w:val="20"/>
                <w:lang w:val="fr-CA"/>
              </w:rPr>
            </w:pPr>
            <w:r w:rsidRPr="00982C2B">
              <w:rPr>
                <w:rFonts w:cs="Times New Roman"/>
                <w:sz w:val="20"/>
                <w:szCs w:val="20"/>
                <w:lang w:val="fr-CA"/>
              </w:rPr>
              <w:t>Cour d’appel du Manitoba</w:t>
            </w:r>
          </w:p>
          <w:p w:rsidR="0026725E" w:rsidRPr="00982C2B" w:rsidRDefault="0026725E" w:rsidP="0026725E">
            <w:pPr>
              <w:jc w:val="both"/>
              <w:rPr>
                <w:rFonts w:cs="Times New Roman"/>
                <w:sz w:val="20"/>
                <w:szCs w:val="20"/>
                <w:lang w:val="fr-CA"/>
              </w:rPr>
            </w:pPr>
            <w:r w:rsidRPr="00982C2B">
              <w:rPr>
                <w:rFonts w:cs="Times New Roman"/>
                <w:sz w:val="20"/>
                <w:szCs w:val="20"/>
                <w:lang w:val="fr-CA"/>
              </w:rPr>
              <w:t>(Juges Steel, MacInnes et Burnett)</w:t>
            </w:r>
          </w:p>
          <w:p w:rsidR="0026725E" w:rsidRPr="00982C2B" w:rsidRDefault="009F3029" w:rsidP="0026725E">
            <w:pPr>
              <w:jc w:val="both"/>
              <w:rPr>
                <w:rFonts w:cs="Times New Roman"/>
                <w:sz w:val="20"/>
                <w:szCs w:val="20"/>
              </w:rPr>
            </w:pPr>
            <w:hyperlink r:id="rId87" w:history="1">
              <w:r w:rsidR="0026725E" w:rsidRPr="00982C2B">
                <w:rPr>
                  <w:rStyle w:val="Hyperlink"/>
                  <w:rFonts w:cs="Times New Roman"/>
                  <w:sz w:val="20"/>
                  <w:szCs w:val="20"/>
                </w:rPr>
                <w:t>2015 MBCA 115</w:t>
              </w:r>
            </w:hyperlink>
          </w:p>
          <w:p w:rsidR="006915BD" w:rsidRPr="00982C2B" w:rsidRDefault="006915BD" w:rsidP="0026725E">
            <w:pPr>
              <w:pStyle w:val="SCCShortJudgment"/>
              <w:ind w:firstLine="0"/>
              <w:rPr>
                <w:rFonts w:cs="Times New Roman"/>
                <w:szCs w:val="20"/>
                <w:u w:val="single"/>
                <w:lang w:val="fr-CA"/>
              </w:rPr>
            </w:pPr>
          </w:p>
        </w:tc>
        <w:tc>
          <w:tcPr>
            <w:tcW w:w="630" w:type="dxa"/>
          </w:tcPr>
          <w:p w:rsidR="006915BD" w:rsidRPr="00982C2B" w:rsidRDefault="006915BD" w:rsidP="0026725E">
            <w:pPr>
              <w:pStyle w:val="SCCShortJudgment"/>
              <w:ind w:firstLine="0"/>
              <w:rPr>
                <w:rFonts w:cs="Times New Roman"/>
                <w:szCs w:val="20"/>
                <w:u w:val="single"/>
                <w:lang w:val="fr-CA"/>
              </w:rPr>
            </w:pPr>
          </w:p>
        </w:tc>
        <w:tc>
          <w:tcPr>
            <w:tcW w:w="4536"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 xml:space="preserve">Rejet avec dépens de la requête en nouvelle audition de l’appel présentée par les demandeurs en vertu de l’art. 46.2 des </w:t>
            </w:r>
            <w:r w:rsidRPr="00982C2B">
              <w:rPr>
                <w:rFonts w:cs="Times New Roman"/>
                <w:i/>
                <w:sz w:val="20"/>
                <w:szCs w:val="20"/>
                <w:lang w:val="fr-CA"/>
              </w:rPr>
              <w:t>Règles de la Cour d’appel</w:t>
            </w:r>
            <w:r w:rsidRPr="00982C2B">
              <w:rPr>
                <w:rFonts w:cs="Times New Roman"/>
                <w:sz w:val="20"/>
                <w:szCs w:val="20"/>
                <w:lang w:val="fr-CA"/>
              </w:rPr>
              <w:t xml:space="preserve">, Règl. du Man. 555/88R. </w:t>
            </w:r>
          </w:p>
          <w:p w:rsidR="006915BD" w:rsidRPr="00982C2B" w:rsidRDefault="006915BD" w:rsidP="0026725E">
            <w:pPr>
              <w:pStyle w:val="SCCShortJudgment"/>
              <w:ind w:firstLine="0"/>
              <w:rPr>
                <w:rFonts w:cs="Times New Roman"/>
                <w:szCs w:val="20"/>
                <w:u w:val="single"/>
                <w:lang w:val="fr-CA"/>
              </w:rPr>
            </w:pPr>
          </w:p>
        </w:tc>
      </w:tr>
      <w:tr w:rsidR="0026725E" w:rsidRPr="009F3029" w:rsidTr="0026725E">
        <w:tc>
          <w:tcPr>
            <w:tcW w:w="4410"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14 décembre 2015</w:t>
            </w:r>
          </w:p>
          <w:p w:rsidR="0026725E" w:rsidRPr="00982C2B" w:rsidRDefault="0026725E" w:rsidP="0026725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26725E" w:rsidRPr="00982C2B" w:rsidRDefault="0026725E" w:rsidP="0026725E">
            <w:pPr>
              <w:pStyle w:val="SCCShortJudgment"/>
              <w:ind w:firstLine="0"/>
              <w:rPr>
                <w:rFonts w:cs="Times New Roman"/>
                <w:szCs w:val="20"/>
                <w:u w:val="single"/>
                <w:lang w:val="fr-CA"/>
              </w:rPr>
            </w:pPr>
          </w:p>
        </w:tc>
        <w:tc>
          <w:tcPr>
            <w:tcW w:w="4536" w:type="dxa"/>
          </w:tcPr>
          <w:p w:rsidR="0026725E" w:rsidRPr="00982C2B" w:rsidRDefault="0026725E" w:rsidP="0026725E">
            <w:pPr>
              <w:jc w:val="both"/>
              <w:rPr>
                <w:rFonts w:cs="Times New Roman"/>
                <w:sz w:val="20"/>
                <w:szCs w:val="20"/>
                <w:lang w:val="fr-CA"/>
              </w:rPr>
            </w:pPr>
            <w:r w:rsidRPr="00982C2B">
              <w:rPr>
                <w:rFonts w:cs="Times New Roman"/>
                <w:sz w:val="20"/>
                <w:szCs w:val="20"/>
                <w:lang w:val="fr-CA"/>
              </w:rPr>
              <w:t>Dépôt de la demande d’autorisation d’appel.</w:t>
            </w:r>
          </w:p>
          <w:p w:rsidR="0026725E" w:rsidRPr="00982C2B" w:rsidRDefault="0026725E" w:rsidP="0026725E">
            <w:pPr>
              <w:pStyle w:val="SCCShortJudgment"/>
              <w:ind w:firstLine="0"/>
              <w:rPr>
                <w:rFonts w:cs="Times New Roman"/>
                <w:szCs w:val="20"/>
                <w:u w:val="single"/>
                <w:lang w:val="fr-CA"/>
              </w:rPr>
            </w:pPr>
          </w:p>
        </w:tc>
      </w:tr>
    </w:tbl>
    <w:p w:rsidR="006915BD" w:rsidRPr="00982C2B" w:rsidRDefault="009F3029" w:rsidP="006915BD">
      <w:pPr>
        <w:rPr>
          <w:rFonts w:cs="Times New Roman"/>
          <w:sz w:val="20"/>
          <w:szCs w:val="20"/>
          <w:lang w:val="fr-CA"/>
        </w:rPr>
      </w:pPr>
      <w:r>
        <w:rPr>
          <w:rFonts w:cs="Times New Roman"/>
          <w:sz w:val="20"/>
          <w:szCs w:val="20"/>
          <w:lang w:val="fr-CA"/>
        </w:rPr>
        <w:pict>
          <v:rect id="_x0000_i1078" style="width:2in;height:1pt" o:hrpct="0" o:hralign="center" o:hrstd="t" o:hrnoshade="t" o:hr="t" fillcolor="black [3213]" stroked="f"/>
        </w:pict>
      </w:r>
    </w:p>
    <w:p w:rsidR="006915BD" w:rsidRPr="00982C2B" w:rsidRDefault="006915BD" w:rsidP="006915BD">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16920" w:rsidRPr="00982C2B" w:rsidTr="00A16920">
        <w:tc>
          <w:tcPr>
            <w:tcW w:w="1458" w:type="dxa"/>
          </w:tcPr>
          <w:p w:rsidR="00A16920" w:rsidRPr="00982C2B" w:rsidRDefault="00A16920" w:rsidP="00A16920">
            <w:pPr>
              <w:jc w:val="both"/>
              <w:rPr>
                <w:rFonts w:cs="Times New Roman"/>
                <w:sz w:val="20"/>
                <w:szCs w:val="20"/>
              </w:rPr>
            </w:pPr>
            <w:r w:rsidRPr="00982C2B">
              <w:rPr>
                <w:rStyle w:val="SCCFileNumberChar"/>
                <w:sz w:val="20"/>
                <w:szCs w:val="20"/>
              </w:rPr>
              <w:t>36769</w:t>
            </w:r>
          </w:p>
          <w:p w:rsidR="00A16920" w:rsidRPr="00982C2B" w:rsidRDefault="00A16920" w:rsidP="00A16920">
            <w:pPr>
              <w:jc w:val="both"/>
              <w:rPr>
                <w:rFonts w:cs="Times New Roman"/>
                <w:b/>
                <w:sz w:val="20"/>
                <w:szCs w:val="20"/>
              </w:rPr>
            </w:pPr>
          </w:p>
        </w:tc>
        <w:tc>
          <w:tcPr>
            <w:tcW w:w="8118" w:type="dxa"/>
            <w:gridSpan w:val="3"/>
          </w:tcPr>
          <w:p w:rsidR="00A16920" w:rsidRPr="00982C2B" w:rsidRDefault="00A16920" w:rsidP="00A16920">
            <w:pPr>
              <w:jc w:val="both"/>
              <w:rPr>
                <w:rFonts w:cs="Times New Roman"/>
                <w:sz w:val="20"/>
                <w:szCs w:val="20"/>
              </w:rPr>
            </w:pPr>
            <w:r w:rsidRPr="00982C2B">
              <w:rPr>
                <w:rStyle w:val="SCCLsocChar"/>
                <w:rFonts w:cs="Times New Roman"/>
                <w:sz w:val="20"/>
                <w:szCs w:val="20"/>
                <w:lang w:val="en-CA"/>
              </w:rPr>
              <w:t xml:space="preserve">Luc Des Roches v. Wasauksing First Nation </w:t>
            </w:r>
            <w:r w:rsidRPr="00982C2B">
              <w:rPr>
                <w:rFonts w:cs="Times New Roman"/>
                <w:sz w:val="20"/>
                <w:szCs w:val="20"/>
              </w:rPr>
              <w:t>(F.C.) (Civil) (By Leave)</w:t>
            </w:r>
          </w:p>
          <w:p w:rsidR="00A16920" w:rsidRPr="00982C2B" w:rsidRDefault="00A16920" w:rsidP="00A16920">
            <w:pPr>
              <w:jc w:val="both"/>
              <w:rPr>
                <w:rFonts w:cs="Times New Roman"/>
                <w:sz w:val="20"/>
                <w:szCs w:val="20"/>
              </w:rPr>
            </w:pPr>
          </w:p>
        </w:tc>
      </w:tr>
      <w:tr w:rsidR="00A16920" w:rsidRPr="00982C2B" w:rsidTr="00A16920">
        <w:tc>
          <w:tcPr>
            <w:tcW w:w="1458" w:type="dxa"/>
          </w:tcPr>
          <w:p w:rsidR="00A16920" w:rsidRPr="00982C2B" w:rsidRDefault="00A16920" w:rsidP="00A16920">
            <w:pPr>
              <w:jc w:val="both"/>
              <w:rPr>
                <w:rFonts w:cs="Times New Roman"/>
                <w:sz w:val="20"/>
                <w:szCs w:val="20"/>
              </w:rPr>
            </w:pPr>
            <w:r w:rsidRPr="00982C2B">
              <w:rPr>
                <w:rFonts w:cs="Times New Roman"/>
                <w:sz w:val="20"/>
                <w:szCs w:val="20"/>
              </w:rPr>
              <w:t>Coram :</w:t>
            </w:r>
          </w:p>
        </w:tc>
        <w:tc>
          <w:tcPr>
            <w:tcW w:w="8118" w:type="dxa"/>
            <w:gridSpan w:val="3"/>
          </w:tcPr>
          <w:p w:rsidR="00A16920" w:rsidRPr="00982C2B" w:rsidRDefault="00A16920" w:rsidP="00A16920">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A16920" w:rsidRPr="00982C2B" w:rsidRDefault="00A16920" w:rsidP="00A16920">
            <w:pPr>
              <w:jc w:val="both"/>
              <w:rPr>
                <w:rFonts w:cs="Times New Roman"/>
                <w:sz w:val="20"/>
                <w:szCs w:val="20"/>
                <w:u w:val="single"/>
              </w:rPr>
            </w:pPr>
          </w:p>
        </w:tc>
      </w:tr>
      <w:tr w:rsidR="00A16920" w:rsidRPr="009F3029" w:rsidTr="00A16920">
        <w:tc>
          <w:tcPr>
            <w:tcW w:w="9576" w:type="dxa"/>
            <w:gridSpan w:val="4"/>
          </w:tcPr>
          <w:p w:rsidR="00A16920" w:rsidRPr="00982C2B" w:rsidRDefault="00A16920" w:rsidP="00A16920">
            <w:pPr>
              <w:pStyle w:val="SCCShortJudgment"/>
              <w:ind w:firstLine="0"/>
              <w:rPr>
                <w:rFonts w:cs="Times New Roman"/>
                <w:szCs w:val="20"/>
              </w:rPr>
            </w:pPr>
            <w:r w:rsidRPr="00982C2B">
              <w:rPr>
                <w:rFonts w:cs="Times New Roman"/>
                <w:szCs w:val="20"/>
              </w:rPr>
              <w:tab/>
              <w:t>The application for leave to appeal from the judgment of the Federal Court of Appeal, Number A-573-14, 2015 FCA 234, dated October 28, 2015, is dismissed with costs.</w:t>
            </w:r>
          </w:p>
          <w:p w:rsidR="00A16920" w:rsidRPr="00982C2B" w:rsidRDefault="00A16920" w:rsidP="00A16920">
            <w:pPr>
              <w:pStyle w:val="SCCShortJudgment"/>
              <w:ind w:firstLine="0"/>
              <w:rPr>
                <w:rFonts w:cs="Times New Roman"/>
                <w:szCs w:val="20"/>
              </w:rPr>
            </w:pPr>
          </w:p>
          <w:p w:rsidR="00A16920" w:rsidRPr="00982C2B" w:rsidRDefault="00A16920" w:rsidP="00A16920">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fédérale</w:t>
            </w:r>
            <w:r w:rsidRPr="00982C2B">
              <w:rPr>
                <w:rFonts w:cs="Times New Roman"/>
                <w:szCs w:val="20"/>
                <w:lang w:val="fr-CA"/>
              </w:rPr>
              <w:t xml:space="preserve">, numéro </w:t>
            </w:r>
            <w:r w:rsidRPr="00982C2B">
              <w:rPr>
                <w:rFonts w:cs="Times New Roman"/>
                <w:szCs w:val="20"/>
                <w:lang w:val="fr-FR"/>
              </w:rPr>
              <w:t>A-573-14, 2015 FCA 234</w:t>
            </w:r>
            <w:r w:rsidRPr="00982C2B">
              <w:rPr>
                <w:rFonts w:cs="Times New Roman"/>
                <w:szCs w:val="20"/>
                <w:lang w:val="fr-CA"/>
              </w:rPr>
              <w:t xml:space="preserve">, daté du </w:t>
            </w:r>
            <w:r w:rsidRPr="00982C2B">
              <w:rPr>
                <w:rFonts w:cs="Times New Roman"/>
                <w:szCs w:val="20"/>
                <w:lang w:val="fr-FR"/>
              </w:rPr>
              <w:t>28 octobre 2015</w:t>
            </w:r>
            <w:r w:rsidRPr="00982C2B">
              <w:rPr>
                <w:rFonts w:cs="Times New Roman"/>
                <w:szCs w:val="20"/>
                <w:lang w:val="fr-CA"/>
              </w:rPr>
              <w:t>, est rejetée avec dépens.</w:t>
            </w:r>
          </w:p>
          <w:p w:rsidR="00A16920" w:rsidRPr="00982C2B" w:rsidRDefault="00A16920" w:rsidP="00A16920">
            <w:pPr>
              <w:pStyle w:val="SCCShortJudgment"/>
              <w:ind w:firstLine="0"/>
              <w:rPr>
                <w:rFonts w:cs="Times New Roman"/>
                <w:szCs w:val="20"/>
                <w:lang w:val="fr-CA"/>
              </w:rPr>
            </w:pPr>
          </w:p>
        </w:tc>
      </w:tr>
      <w:tr w:rsidR="00A16920" w:rsidRPr="00982C2B" w:rsidTr="00A16920">
        <w:tc>
          <w:tcPr>
            <w:tcW w:w="9576" w:type="dxa"/>
            <w:gridSpan w:val="4"/>
          </w:tcPr>
          <w:p w:rsidR="00A16920" w:rsidRPr="00982C2B" w:rsidRDefault="00A16920" w:rsidP="00A16920">
            <w:pPr>
              <w:pStyle w:val="SCCShortJudgment"/>
              <w:ind w:firstLine="0"/>
              <w:rPr>
                <w:rFonts w:cs="Times New Roman"/>
                <w:szCs w:val="20"/>
                <w:u w:val="single"/>
                <w:lang w:val="fr-CA"/>
              </w:rPr>
            </w:pPr>
            <w:r w:rsidRPr="00982C2B">
              <w:rPr>
                <w:rFonts w:cs="Times New Roman"/>
                <w:szCs w:val="20"/>
                <w:u w:val="single"/>
                <w:lang w:val="fr-CA"/>
              </w:rPr>
              <w:t>CASE SUMMARY</w:t>
            </w:r>
          </w:p>
          <w:p w:rsidR="00A16920" w:rsidRPr="00982C2B" w:rsidRDefault="00A16920" w:rsidP="00A16920">
            <w:pPr>
              <w:pStyle w:val="SCCShortJudgment"/>
              <w:ind w:firstLine="0"/>
              <w:rPr>
                <w:rFonts w:cs="Times New Roman"/>
                <w:szCs w:val="20"/>
                <w:u w:val="single"/>
                <w:lang w:val="fr-CA"/>
              </w:rPr>
            </w:pPr>
          </w:p>
        </w:tc>
      </w:tr>
      <w:tr w:rsidR="00A16920" w:rsidRPr="00982C2B" w:rsidTr="00A16920">
        <w:tc>
          <w:tcPr>
            <w:tcW w:w="9576" w:type="dxa"/>
            <w:gridSpan w:val="4"/>
          </w:tcPr>
          <w:p w:rsidR="00A16920" w:rsidRPr="00982C2B" w:rsidRDefault="00A16920" w:rsidP="00A16920">
            <w:pPr>
              <w:jc w:val="both"/>
              <w:rPr>
                <w:rFonts w:cs="Times New Roman"/>
                <w:sz w:val="20"/>
                <w:szCs w:val="20"/>
              </w:rPr>
            </w:pPr>
            <w:r w:rsidRPr="00982C2B">
              <w:rPr>
                <w:rFonts w:cs="Times New Roman"/>
                <w:sz w:val="20"/>
                <w:szCs w:val="20"/>
              </w:rPr>
              <w:t xml:space="preserve">Administrative law </w:t>
            </w:r>
            <w:r w:rsidRPr="00982C2B">
              <w:rPr>
                <w:rFonts w:cs="Times New Roman"/>
                <w:i/>
                <w:sz w:val="20"/>
                <w:szCs w:val="20"/>
                <w:lang w:val="en-US"/>
              </w:rPr>
              <w:t>—</w:t>
            </w:r>
            <w:r w:rsidRPr="00982C2B">
              <w:rPr>
                <w:rFonts w:cs="Times New Roman"/>
                <w:sz w:val="20"/>
                <w:szCs w:val="20"/>
              </w:rPr>
              <w:t xml:space="preserve"> Judicial review ― Jurisdiction ― Wasauksing First Nation managing allocation of tax exempt cigarettes quota to retailers on its reserve as per agreement with province of Ontario under </w:t>
            </w:r>
            <w:hyperlink r:id="rId88" w:history="1">
              <w:r w:rsidRPr="00982C2B">
                <w:rPr>
                  <w:rFonts w:cs="Times New Roman"/>
                  <w:i/>
                  <w:iCs/>
                  <w:sz w:val="20"/>
                  <w:szCs w:val="20"/>
                </w:rPr>
                <w:t>Tobacco Tax Act</w:t>
              </w:r>
              <w:r w:rsidRPr="00982C2B">
                <w:rPr>
                  <w:rFonts w:cs="Times New Roman"/>
                  <w:sz w:val="20"/>
                  <w:szCs w:val="20"/>
                </w:rPr>
                <w:t>, R.S.O. 1990, c. T-10</w:t>
              </w:r>
            </w:hyperlink>
            <w:r w:rsidRPr="00982C2B">
              <w:rPr>
                <w:rFonts w:cs="Times New Roman"/>
                <w:sz w:val="20"/>
                <w:szCs w:val="20"/>
              </w:rPr>
              <w:t xml:space="preserve"> and the </w:t>
            </w:r>
            <w:hyperlink r:id="rId89" w:history="1">
              <w:r w:rsidRPr="00982C2B">
                <w:rPr>
                  <w:rFonts w:cs="Times New Roman"/>
                  <w:i/>
                  <w:iCs/>
                  <w:sz w:val="20"/>
                  <w:szCs w:val="20"/>
                </w:rPr>
                <w:t>Sales of Unmarked Cigarettes on Indian Reserves</w:t>
              </w:r>
              <w:r w:rsidRPr="00982C2B">
                <w:rPr>
                  <w:rFonts w:cs="Times New Roman"/>
                  <w:sz w:val="20"/>
                  <w:szCs w:val="20"/>
                </w:rPr>
                <w:t>, O.Reg. 649/93</w:t>
              </w:r>
            </w:hyperlink>
            <w:r w:rsidRPr="00982C2B">
              <w:rPr>
                <w:rFonts w:cs="Times New Roman"/>
                <w:sz w:val="20"/>
                <w:szCs w:val="20"/>
              </w:rPr>
              <w:t xml:space="preserve"> ― On-reserve retailers were advised by the First Nation that a </w:t>
            </w:r>
            <w:r w:rsidRPr="00982C2B">
              <w:rPr>
                <w:rStyle w:val="citationcar"/>
                <w:rFonts w:cs="Times New Roman"/>
                <w:sz w:val="20"/>
                <w:szCs w:val="20"/>
              </w:rPr>
              <w:t xml:space="preserve">surcharge </w:t>
            </w:r>
            <w:r w:rsidRPr="00982C2B">
              <w:rPr>
                <w:rFonts w:cs="Times New Roman"/>
                <w:sz w:val="20"/>
                <w:szCs w:val="20"/>
              </w:rPr>
              <w:t xml:space="preserve">of $2 on each carton of tax exempt cigarettes would be imposed ― Retailer filing application for judicial review in Federal Court seeking declaration that surcharge imposed was an unlawful tax ― Federal Court dismissing application finding it did not have jurisdiction ― Federal Court of Appeal dismissing appeal ― Whether decision of Wasauksing First Nation to impose surcharge a public or a private commercial matter ― Whether Wasauksing Reserve retailers constitute “public” ― Whether surcharge a tax or a term of a contract between retailer and First Nation ― Whether Wasauksing First Nation exercising powers pursuant to both provincial and federal legislation ― Whether Federal Court has jurisdiction to review any decision exercised pursuant to federal legislation during course of exercising powers pursuant to provincial legislation ― Whether Wasauksing First Nation exercising powers pursuant to both Ontario </w:t>
            </w:r>
            <w:r w:rsidRPr="00982C2B">
              <w:rPr>
                <w:rFonts w:cs="Times New Roman"/>
                <w:i/>
                <w:sz w:val="20"/>
                <w:szCs w:val="20"/>
              </w:rPr>
              <w:t>Tobacco Tax Act</w:t>
            </w:r>
            <w:r w:rsidRPr="00982C2B">
              <w:rPr>
                <w:rFonts w:cs="Times New Roman"/>
                <w:sz w:val="20"/>
                <w:szCs w:val="20"/>
              </w:rPr>
              <w:t xml:space="preserve">, Tobacco Retailer Agreement and </w:t>
            </w:r>
            <w:r w:rsidRPr="00982C2B">
              <w:rPr>
                <w:rFonts w:cs="Times New Roman"/>
                <w:i/>
                <w:sz w:val="20"/>
                <w:szCs w:val="20"/>
              </w:rPr>
              <w:t>Indian Act</w:t>
            </w:r>
            <w:r w:rsidRPr="00982C2B">
              <w:rPr>
                <w:rFonts w:cs="Times New Roman"/>
                <w:sz w:val="20"/>
                <w:szCs w:val="20"/>
              </w:rPr>
              <w:t>.</w:t>
            </w:r>
          </w:p>
          <w:p w:rsidR="00A16920" w:rsidRPr="00982C2B" w:rsidRDefault="00A16920" w:rsidP="00A16920">
            <w:pPr>
              <w:pStyle w:val="SCCShortJudgment"/>
              <w:ind w:firstLine="0"/>
              <w:rPr>
                <w:rFonts w:cs="Times New Roman"/>
                <w:szCs w:val="20"/>
              </w:rPr>
            </w:pPr>
          </w:p>
        </w:tc>
      </w:tr>
      <w:tr w:rsidR="00527434" w:rsidRPr="00982C2B" w:rsidTr="00C50448">
        <w:tc>
          <w:tcPr>
            <w:tcW w:w="9576" w:type="dxa"/>
            <w:gridSpan w:val="4"/>
          </w:tcPr>
          <w:p w:rsidR="00527434" w:rsidRDefault="00527434" w:rsidP="007C712A">
            <w:pPr>
              <w:jc w:val="both"/>
              <w:rPr>
                <w:rFonts w:cs="Times New Roman"/>
                <w:sz w:val="20"/>
                <w:szCs w:val="20"/>
              </w:rPr>
            </w:pPr>
            <w:r>
              <w:rPr>
                <w:rFonts w:cs="Times New Roman"/>
                <w:sz w:val="20"/>
                <w:szCs w:val="20"/>
              </w:rPr>
              <w:t xml:space="preserve">The </w:t>
            </w:r>
            <w:r w:rsidR="00C50448" w:rsidRPr="00982C2B">
              <w:rPr>
                <w:rFonts w:cs="Times New Roman"/>
                <w:sz w:val="20"/>
                <w:szCs w:val="20"/>
                <w:lang w:eastAsia="en-CA"/>
              </w:rPr>
              <w:t xml:space="preserve">respondent, the </w:t>
            </w:r>
            <w:r w:rsidR="00C50448" w:rsidRPr="00982C2B">
              <w:rPr>
                <w:rFonts w:cs="Times New Roman"/>
                <w:sz w:val="20"/>
                <w:szCs w:val="20"/>
              </w:rPr>
              <w:t xml:space="preserve">Wasauksing First Nation concluded an agreement with the province of Ontario in 1999 under the </w:t>
            </w:r>
            <w:hyperlink r:id="rId90" w:history="1">
              <w:r w:rsidR="00C50448" w:rsidRPr="00982C2B">
                <w:rPr>
                  <w:rFonts w:cs="Times New Roman"/>
                  <w:i/>
                  <w:iCs/>
                  <w:sz w:val="20"/>
                  <w:szCs w:val="20"/>
                </w:rPr>
                <w:t>Tobacco Tax Act</w:t>
              </w:r>
            </w:hyperlink>
            <w:r w:rsidR="00C50448" w:rsidRPr="00982C2B">
              <w:rPr>
                <w:rFonts w:cs="Times New Roman"/>
                <w:sz w:val="20"/>
                <w:szCs w:val="20"/>
              </w:rPr>
              <w:t xml:space="preserve"> and the </w:t>
            </w:r>
            <w:hyperlink r:id="rId91" w:history="1">
              <w:r w:rsidR="00C50448" w:rsidRPr="00982C2B">
                <w:rPr>
                  <w:rFonts w:cs="Times New Roman"/>
                  <w:i/>
                  <w:iCs/>
                  <w:sz w:val="20"/>
                  <w:szCs w:val="20"/>
                </w:rPr>
                <w:t>Sales of Unmarked Cigarettes on Indian Reserves</w:t>
              </w:r>
            </w:hyperlink>
            <w:r w:rsidR="007C712A">
              <w:rPr>
                <w:rFonts w:cs="Times New Roman"/>
                <w:sz w:val="20"/>
                <w:szCs w:val="20"/>
              </w:rPr>
              <w:t xml:space="preserve">, </w:t>
            </w:r>
            <w:r w:rsidR="00C50448" w:rsidRPr="00982C2B">
              <w:rPr>
                <w:rFonts w:cs="Times New Roman"/>
                <w:sz w:val="20"/>
                <w:szCs w:val="20"/>
              </w:rPr>
              <w:t>whereby the First Nation agreed to manage the allocation of the tax exempt cigarettes quota to retailers and monitor compliance with the regulations on its reserve. In return, the province increased by 20% the quota that would have been available for allocation directly from the Ministry of Finance if the First Nation had not entered into the Tobacco Retailer</w:t>
            </w:r>
            <w:r w:rsidR="00C50448">
              <w:rPr>
                <w:rFonts w:cs="Times New Roman"/>
                <w:sz w:val="20"/>
                <w:szCs w:val="20"/>
              </w:rPr>
              <w:t xml:space="preserve"> </w:t>
            </w:r>
            <w:r w:rsidR="007C712A" w:rsidRPr="00982C2B">
              <w:rPr>
                <w:rFonts w:cs="Times New Roman"/>
                <w:sz w:val="20"/>
                <w:szCs w:val="20"/>
              </w:rPr>
              <w:t>Agreement.</w:t>
            </w:r>
          </w:p>
          <w:p w:rsidR="007C712A" w:rsidRDefault="007C712A" w:rsidP="007C712A">
            <w:pPr>
              <w:jc w:val="both"/>
              <w:rPr>
                <w:rFonts w:cs="Times New Roman"/>
                <w:sz w:val="20"/>
                <w:szCs w:val="20"/>
              </w:rPr>
            </w:pPr>
          </w:p>
          <w:p w:rsidR="007C712A" w:rsidRDefault="007C712A" w:rsidP="007C712A">
            <w:pPr>
              <w:jc w:val="both"/>
              <w:rPr>
                <w:rFonts w:cs="Times New Roman"/>
                <w:sz w:val="20"/>
                <w:szCs w:val="20"/>
              </w:rPr>
            </w:pPr>
            <w:r>
              <w:rPr>
                <w:rFonts w:cs="Times New Roman"/>
                <w:sz w:val="20"/>
                <w:szCs w:val="20"/>
              </w:rPr>
              <w:t xml:space="preserve">On April 10, 2012, </w:t>
            </w:r>
            <w:r w:rsidRPr="00982C2B">
              <w:rPr>
                <w:rFonts w:cs="Times New Roman"/>
                <w:sz w:val="20"/>
                <w:szCs w:val="20"/>
              </w:rPr>
              <w:t xml:space="preserve">on-reserve retailers were advised by the First Nation that a </w:t>
            </w:r>
            <w:r w:rsidRPr="00982C2B">
              <w:rPr>
                <w:rStyle w:val="citationcar"/>
                <w:rFonts w:cs="Times New Roman"/>
                <w:sz w:val="20"/>
                <w:szCs w:val="20"/>
              </w:rPr>
              <w:t>“surcharge”</w:t>
            </w:r>
            <w:r w:rsidRPr="00982C2B">
              <w:rPr>
                <w:rFonts w:cs="Times New Roman"/>
                <w:sz w:val="20"/>
                <w:szCs w:val="20"/>
              </w:rPr>
              <w:t xml:space="preserve"> of $2 on each carton of tax exempt cigarettes would be imposed and payable in instalments. Mr. Des Roches, an on-reserve retailer, filed an application for judicial review in the Federal Court seeking a declaration that the surcharge imposed was an unlawful tax, as well as an injunction prohibiting the First Nation from levying the surcharge in the future and an order compelling the First Nation to refund the money collected from him previously.</w:t>
            </w:r>
          </w:p>
          <w:p w:rsidR="00C50448" w:rsidRDefault="00C50448" w:rsidP="007C712A">
            <w:pPr>
              <w:jc w:val="both"/>
              <w:rPr>
                <w:rFonts w:cs="Times New Roman"/>
                <w:sz w:val="20"/>
                <w:szCs w:val="20"/>
              </w:rPr>
            </w:pPr>
          </w:p>
          <w:p w:rsidR="00C50448" w:rsidRPr="00982C2B" w:rsidRDefault="00C50448" w:rsidP="00C50448">
            <w:pPr>
              <w:pStyle w:val="SCCShortJudgment"/>
              <w:ind w:firstLine="0"/>
              <w:rPr>
                <w:rFonts w:cs="Times New Roman"/>
                <w:szCs w:val="20"/>
              </w:rPr>
            </w:pPr>
            <w:r>
              <w:rPr>
                <w:rFonts w:cs="Times New Roman"/>
                <w:szCs w:val="20"/>
              </w:rPr>
              <w:t xml:space="preserve">The </w:t>
            </w:r>
            <w:r w:rsidRPr="00982C2B">
              <w:rPr>
                <w:rFonts w:cs="Times New Roman"/>
                <w:szCs w:val="20"/>
              </w:rPr>
              <w:t>Federal Court dismissed the application for judicial review.  The Federal Court of Appeal dismissed the appeal on the lack of jurisdiction basis.</w:t>
            </w:r>
          </w:p>
          <w:p w:rsidR="00C50448" w:rsidRPr="007C712A" w:rsidRDefault="00C50448" w:rsidP="007C712A">
            <w:pPr>
              <w:jc w:val="both"/>
              <w:rPr>
                <w:rFonts w:cs="Times New Roman"/>
                <w:sz w:val="20"/>
                <w:szCs w:val="20"/>
              </w:rPr>
            </w:pPr>
          </w:p>
        </w:tc>
      </w:tr>
      <w:tr w:rsidR="00A16920" w:rsidRPr="00982C2B" w:rsidTr="00C50448">
        <w:tc>
          <w:tcPr>
            <w:tcW w:w="4410" w:type="dxa"/>
            <w:gridSpan w:val="2"/>
          </w:tcPr>
          <w:p w:rsidR="00A16920" w:rsidRPr="00982C2B" w:rsidRDefault="00A16920" w:rsidP="00A16920">
            <w:pPr>
              <w:jc w:val="both"/>
              <w:rPr>
                <w:rFonts w:cs="Times New Roman"/>
                <w:sz w:val="20"/>
                <w:szCs w:val="20"/>
              </w:rPr>
            </w:pPr>
            <w:r w:rsidRPr="00982C2B">
              <w:rPr>
                <w:rFonts w:cs="Times New Roman"/>
                <w:sz w:val="20"/>
                <w:szCs w:val="20"/>
              </w:rPr>
              <w:t>November 25, 2014</w:t>
            </w:r>
          </w:p>
          <w:p w:rsidR="00A16920" w:rsidRPr="00982C2B" w:rsidRDefault="00A16920" w:rsidP="00A16920">
            <w:pPr>
              <w:jc w:val="both"/>
              <w:rPr>
                <w:rFonts w:cs="Times New Roman"/>
                <w:sz w:val="20"/>
                <w:szCs w:val="20"/>
              </w:rPr>
            </w:pPr>
            <w:r w:rsidRPr="00982C2B">
              <w:rPr>
                <w:rFonts w:cs="Times New Roman"/>
                <w:sz w:val="20"/>
                <w:szCs w:val="20"/>
              </w:rPr>
              <w:t>Federal Court</w:t>
            </w:r>
          </w:p>
          <w:p w:rsidR="00A16920" w:rsidRPr="00982C2B" w:rsidRDefault="00A16920" w:rsidP="00A16920">
            <w:pPr>
              <w:jc w:val="both"/>
              <w:rPr>
                <w:rFonts w:cs="Times New Roman"/>
                <w:sz w:val="20"/>
                <w:szCs w:val="20"/>
              </w:rPr>
            </w:pPr>
            <w:r w:rsidRPr="00982C2B">
              <w:rPr>
                <w:rFonts w:cs="Times New Roman"/>
                <w:sz w:val="20"/>
                <w:szCs w:val="20"/>
              </w:rPr>
              <w:t>(Kane J.)</w:t>
            </w:r>
          </w:p>
          <w:p w:rsidR="00A16920" w:rsidRPr="00982C2B" w:rsidRDefault="009F3029" w:rsidP="00A16920">
            <w:pPr>
              <w:jc w:val="both"/>
              <w:rPr>
                <w:rFonts w:cs="Times New Roman"/>
                <w:sz w:val="20"/>
                <w:szCs w:val="20"/>
              </w:rPr>
            </w:pPr>
            <w:hyperlink r:id="rId92" w:history="1">
              <w:r w:rsidR="00A16920" w:rsidRPr="00982C2B">
                <w:rPr>
                  <w:rStyle w:val="Hyperlink"/>
                  <w:rFonts w:cs="Times New Roman"/>
                  <w:sz w:val="20"/>
                  <w:szCs w:val="20"/>
                </w:rPr>
                <w:t>2014 FC 1126</w:t>
              </w:r>
            </w:hyperlink>
          </w:p>
          <w:p w:rsidR="00A16920" w:rsidRPr="00982C2B" w:rsidRDefault="00A16920" w:rsidP="00A16920">
            <w:pPr>
              <w:jc w:val="both"/>
              <w:rPr>
                <w:rFonts w:cs="Times New Roman"/>
                <w:sz w:val="20"/>
                <w:szCs w:val="20"/>
              </w:rPr>
            </w:pPr>
          </w:p>
        </w:tc>
        <w:tc>
          <w:tcPr>
            <w:tcW w:w="630" w:type="dxa"/>
          </w:tcPr>
          <w:p w:rsidR="00A16920" w:rsidRPr="00982C2B" w:rsidRDefault="00A16920" w:rsidP="00A16920">
            <w:pPr>
              <w:pStyle w:val="SCCShortJudgment"/>
              <w:ind w:firstLine="0"/>
              <w:rPr>
                <w:rFonts w:cs="Times New Roman"/>
                <w:szCs w:val="20"/>
              </w:rPr>
            </w:pPr>
          </w:p>
        </w:tc>
        <w:tc>
          <w:tcPr>
            <w:tcW w:w="4536" w:type="dxa"/>
          </w:tcPr>
          <w:p w:rsidR="00A16920" w:rsidRPr="00982C2B" w:rsidRDefault="00A16920" w:rsidP="00A16920">
            <w:pPr>
              <w:jc w:val="both"/>
              <w:rPr>
                <w:rFonts w:cs="Times New Roman"/>
                <w:sz w:val="20"/>
                <w:szCs w:val="20"/>
              </w:rPr>
            </w:pPr>
            <w:r w:rsidRPr="00982C2B">
              <w:rPr>
                <w:rFonts w:cs="Times New Roman"/>
                <w:sz w:val="20"/>
                <w:szCs w:val="20"/>
              </w:rPr>
              <w:t xml:space="preserve">Application for judicial review dismissed.  </w:t>
            </w:r>
          </w:p>
          <w:p w:rsidR="00A16920" w:rsidRPr="00982C2B" w:rsidRDefault="00A16920" w:rsidP="00A16920">
            <w:pPr>
              <w:jc w:val="both"/>
              <w:rPr>
                <w:rFonts w:cs="Times New Roman"/>
                <w:sz w:val="20"/>
                <w:szCs w:val="20"/>
              </w:rPr>
            </w:pPr>
          </w:p>
        </w:tc>
      </w:tr>
      <w:tr w:rsidR="00A16920" w:rsidRPr="00982C2B" w:rsidTr="00C50448">
        <w:tc>
          <w:tcPr>
            <w:tcW w:w="4410" w:type="dxa"/>
            <w:gridSpan w:val="2"/>
          </w:tcPr>
          <w:p w:rsidR="00A16920" w:rsidRPr="00982C2B" w:rsidRDefault="00A16920" w:rsidP="00A16920">
            <w:pPr>
              <w:jc w:val="both"/>
              <w:rPr>
                <w:rFonts w:cs="Times New Roman"/>
                <w:sz w:val="20"/>
                <w:szCs w:val="20"/>
              </w:rPr>
            </w:pPr>
            <w:r w:rsidRPr="00982C2B">
              <w:rPr>
                <w:rFonts w:cs="Times New Roman"/>
                <w:sz w:val="20"/>
                <w:szCs w:val="20"/>
              </w:rPr>
              <w:t>October 28, 2015</w:t>
            </w:r>
          </w:p>
          <w:p w:rsidR="00A16920" w:rsidRPr="00982C2B" w:rsidRDefault="00A16920" w:rsidP="00A16920">
            <w:pPr>
              <w:jc w:val="both"/>
              <w:rPr>
                <w:rFonts w:cs="Times New Roman"/>
                <w:sz w:val="20"/>
                <w:szCs w:val="20"/>
              </w:rPr>
            </w:pPr>
            <w:r w:rsidRPr="00982C2B">
              <w:rPr>
                <w:rFonts w:cs="Times New Roman"/>
                <w:sz w:val="20"/>
                <w:szCs w:val="20"/>
              </w:rPr>
              <w:t>Federal Court of Appeal</w:t>
            </w:r>
          </w:p>
          <w:p w:rsidR="00A16920" w:rsidRPr="00982C2B" w:rsidRDefault="00A16920" w:rsidP="00A16920">
            <w:pPr>
              <w:jc w:val="both"/>
              <w:rPr>
                <w:rFonts w:cs="Times New Roman"/>
                <w:sz w:val="20"/>
                <w:szCs w:val="20"/>
                <w:lang w:val="en-US"/>
              </w:rPr>
            </w:pPr>
            <w:r w:rsidRPr="00982C2B">
              <w:rPr>
                <w:rFonts w:cs="Times New Roman"/>
                <w:sz w:val="20"/>
                <w:szCs w:val="20"/>
                <w:lang w:val="en-US"/>
              </w:rPr>
              <w:t>(Dawson, Stratas and De Montigny JJ.A.)</w:t>
            </w:r>
          </w:p>
          <w:p w:rsidR="00A16920" w:rsidRPr="00982C2B" w:rsidRDefault="009F3029" w:rsidP="00A16920">
            <w:pPr>
              <w:jc w:val="both"/>
              <w:rPr>
                <w:rFonts w:cs="Times New Roman"/>
                <w:sz w:val="20"/>
                <w:szCs w:val="20"/>
                <w:lang w:val="en-US"/>
              </w:rPr>
            </w:pPr>
            <w:hyperlink r:id="rId93" w:history="1">
              <w:r w:rsidR="00A16920" w:rsidRPr="00982C2B">
                <w:rPr>
                  <w:rStyle w:val="Hyperlink"/>
                  <w:rFonts w:cs="Times New Roman"/>
                  <w:sz w:val="20"/>
                  <w:szCs w:val="20"/>
                  <w:lang w:val="en-US"/>
                </w:rPr>
                <w:t>2015 FCA 234</w:t>
              </w:r>
            </w:hyperlink>
          </w:p>
          <w:p w:rsidR="00A16920" w:rsidRPr="00982C2B" w:rsidRDefault="00A16920" w:rsidP="00A16920">
            <w:pPr>
              <w:jc w:val="both"/>
              <w:rPr>
                <w:rFonts w:cs="Times New Roman"/>
                <w:sz w:val="20"/>
                <w:szCs w:val="20"/>
                <w:lang w:val="en-US"/>
              </w:rPr>
            </w:pPr>
            <w:r w:rsidRPr="00982C2B">
              <w:rPr>
                <w:rFonts w:cs="Times New Roman"/>
                <w:sz w:val="20"/>
                <w:szCs w:val="20"/>
                <w:lang w:val="en-US"/>
              </w:rPr>
              <w:t>File No. : A-573-14</w:t>
            </w:r>
          </w:p>
          <w:p w:rsidR="00A16920" w:rsidRPr="00982C2B" w:rsidRDefault="00A16920" w:rsidP="00A16920">
            <w:pPr>
              <w:jc w:val="both"/>
              <w:rPr>
                <w:rFonts w:cs="Times New Roman"/>
                <w:sz w:val="20"/>
                <w:szCs w:val="20"/>
              </w:rPr>
            </w:pPr>
          </w:p>
        </w:tc>
        <w:tc>
          <w:tcPr>
            <w:tcW w:w="630" w:type="dxa"/>
          </w:tcPr>
          <w:p w:rsidR="00A16920" w:rsidRPr="00982C2B" w:rsidRDefault="00A16920" w:rsidP="00A16920">
            <w:pPr>
              <w:pStyle w:val="SCCShortJudgment"/>
              <w:ind w:firstLine="0"/>
              <w:rPr>
                <w:rFonts w:cs="Times New Roman"/>
                <w:szCs w:val="20"/>
              </w:rPr>
            </w:pPr>
          </w:p>
        </w:tc>
        <w:tc>
          <w:tcPr>
            <w:tcW w:w="4536" w:type="dxa"/>
          </w:tcPr>
          <w:p w:rsidR="00A16920" w:rsidRPr="00982C2B" w:rsidRDefault="00A16920" w:rsidP="00A16920">
            <w:pPr>
              <w:jc w:val="both"/>
              <w:rPr>
                <w:rFonts w:cs="Times New Roman"/>
                <w:sz w:val="20"/>
                <w:szCs w:val="20"/>
              </w:rPr>
            </w:pPr>
            <w:r w:rsidRPr="00982C2B">
              <w:rPr>
                <w:rFonts w:cs="Times New Roman"/>
                <w:sz w:val="20"/>
                <w:szCs w:val="20"/>
              </w:rPr>
              <w:t>Appeal dismissed.</w:t>
            </w:r>
          </w:p>
          <w:p w:rsidR="00A16920" w:rsidRPr="00982C2B" w:rsidRDefault="00A16920" w:rsidP="00A16920">
            <w:pPr>
              <w:jc w:val="both"/>
              <w:rPr>
                <w:rFonts w:cs="Times New Roman"/>
                <w:sz w:val="20"/>
                <w:szCs w:val="20"/>
              </w:rPr>
            </w:pPr>
          </w:p>
        </w:tc>
      </w:tr>
      <w:tr w:rsidR="00A16920" w:rsidRPr="00982C2B" w:rsidTr="00C50448">
        <w:tc>
          <w:tcPr>
            <w:tcW w:w="4410" w:type="dxa"/>
            <w:gridSpan w:val="2"/>
          </w:tcPr>
          <w:p w:rsidR="00A16920" w:rsidRPr="00982C2B" w:rsidRDefault="00A16920" w:rsidP="00A16920">
            <w:pPr>
              <w:jc w:val="both"/>
              <w:rPr>
                <w:rFonts w:cs="Times New Roman"/>
                <w:sz w:val="20"/>
                <w:szCs w:val="20"/>
              </w:rPr>
            </w:pPr>
            <w:r w:rsidRPr="00982C2B">
              <w:rPr>
                <w:rFonts w:cs="Times New Roman"/>
                <w:sz w:val="20"/>
                <w:szCs w:val="20"/>
              </w:rPr>
              <w:t>December 16, 2015</w:t>
            </w:r>
          </w:p>
          <w:p w:rsidR="00A16920" w:rsidRPr="00982C2B" w:rsidRDefault="00A16920" w:rsidP="00A16920">
            <w:pPr>
              <w:jc w:val="both"/>
              <w:rPr>
                <w:rFonts w:cs="Times New Roman"/>
                <w:sz w:val="20"/>
                <w:szCs w:val="20"/>
              </w:rPr>
            </w:pPr>
            <w:r w:rsidRPr="00982C2B">
              <w:rPr>
                <w:rFonts w:cs="Times New Roman"/>
                <w:sz w:val="20"/>
                <w:szCs w:val="20"/>
              </w:rPr>
              <w:t>Supreme Court of Canada</w:t>
            </w:r>
          </w:p>
        </w:tc>
        <w:tc>
          <w:tcPr>
            <w:tcW w:w="630" w:type="dxa"/>
          </w:tcPr>
          <w:p w:rsidR="00A16920" w:rsidRPr="00982C2B" w:rsidRDefault="00A16920" w:rsidP="00A16920">
            <w:pPr>
              <w:pStyle w:val="SCCShortJudgment"/>
              <w:ind w:firstLine="0"/>
              <w:rPr>
                <w:rFonts w:cs="Times New Roman"/>
                <w:szCs w:val="20"/>
              </w:rPr>
            </w:pPr>
          </w:p>
        </w:tc>
        <w:tc>
          <w:tcPr>
            <w:tcW w:w="4536" w:type="dxa"/>
          </w:tcPr>
          <w:p w:rsidR="00A16920" w:rsidRPr="00982C2B" w:rsidRDefault="00A16920" w:rsidP="00A16920">
            <w:pPr>
              <w:jc w:val="both"/>
              <w:rPr>
                <w:rFonts w:cs="Times New Roman"/>
                <w:sz w:val="20"/>
                <w:szCs w:val="20"/>
              </w:rPr>
            </w:pPr>
            <w:r w:rsidRPr="00982C2B">
              <w:rPr>
                <w:rFonts w:cs="Times New Roman"/>
                <w:sz w:val="20"/>
                <w:szCs w:val="20"/>
              </w:rPr>
              <w:t>Application for leave to appeal filed.</w:t>
            </w:r>
          </w:p>
          <w:p w:rsidR="00A16920" w:rsidRPr="00982C2B" w:rsidRDefault="00A16920" w:rsidP="00A16920">
            <w:pPr>
              <w:jc w:val="both"/>
              <w:rPr>
                <w:rFonts w:cs="Times New Roman"/>
                <w:sz w:val="20"/>
                <w:szCs w:val="20"/>
              </w:rPr>
            </w:pPr>
          </w:p>
        </w:tc>
      </w:tr>
      <w:tr w:rsidR="00A16920" w:rsidRPr="00982C2B" w:rsidTr="00C50448">
        <w:tc>
          <w:tcPr>
            <w:tcW w:w="9576" w:type="dxa"/>
            <w:gridSpan w:val="4"/>
          </w:tcPr>
          <w:p w:rsidR="00A16920" w:rsidRPr="00982C2B" w:rsidRDefault="009F3029" w:rsidP="00C643DA">
            <w:pPr>
              <w:pStyle w:val="SCCShortJudgment"/>
              <w:ind w:firstLine="0"/>
              <w:rPr>
                <w:rFonts w:cs="Times New Roman"/>
                <w:szCs w:val="20"/>
                <w:lang w:val="fr-CA"/>
              </w:rPr>
            </w:pPr>
            <w:r>
              <w:rPr>
                <w:rFonts w:cs="Times New Roman"/>
                <w:szCs w:val="20"/>
                <w:lang w:val="fr-CA"/>
              </w:rPr>
              <w:pict>
                <v:rect id="_x0000_i1079" style="width:2in;height:1pt" o:hrpct="0" o:hralign="center" o:hrstd="t" o:hrnoshade="t" o:hr="t" fillcolor="black [3213]" stroked="f"/>
              </w:pict>
            </w:r>
          </w:p>
          <w:p w:rsidR="00A16920" w:rsidRPr="00982C2B" w:rsidRDefault="00A16920" w:rsidP="00C643DA">
            <w:pPr>
              <w:pStyle w:val="SCCShortJudgment"/>
              <w:ind w:firstLine="0"/>
              <w:rPr>
                <w:rFonts w:cs="Times New Roman"/>
                <w:szCs w:val="20"/>
                <w:lang w:val="fr-CA"/>
              </w:rPr>
            </w:pPr>
          </w:p>
        </w:tc>
      </w:tr>
      <w:tr w:rsidR="00A16920" w:rsidRPr="00982C2B" w:rsidTr="00C50448">
        <w:tc>
          <w:tcPr>
            <w:tcW w:w="9576" w:type="dxa"/>
            <w:gridSpan w:val="4"/>
          </w:tcPr>
          <w:p w:rsidR="00A16920" w:rsidRPr="00982C2B" w:rsidRDefault="00A16920"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A16920" w:rsidRPr="00982C2B" w:rsidRDefault="00A16920" w:rsidP="00C643DA">
            <w:pPr>
              <w:pStyle w:val="SCCShortJudgment"/>
              <w:ind w:firstLine="0"/>
              <w:rPr>
                <w:rFonts w:cs="Times New Roman"/>
                <w:szCs w:val="20"/>
                <w:u w:val="single"/>
                <w:lang w:val="fr-CA"/>
              </w:rPr>
            </w:pPr>
          </w:p>
        </w:tc>
      </w:tr>
      <w:tr w:rsidR="00A16920" w:rsidRPr="009F3029" w:rsidTr="00C50448">
        <w:tc>
          <w:tcPr>
            <w:tcW w:w="9576" w:type="dxa"/>
            <w:gridSpan w:val="4"/>
          </w:tcPr>
          <w:p w:rsidR="00A16920" w:rsidRPr="00982C2B" w:rsidRDefault="00A16920" w:rsidP="00A16920">
            <w:pPr>
              <w:jc w:val="both"/>
              <w:rPr>
                <w:rFonts w:cs="Times New Roman"/>
                <w:sz w:val="20"/>
                <w:szCs w:val="20"/>
                <w:lang w:val="fr-CA"/>
              </w:rPr>
            </w:pPr>
            <w:r w:rsidRPr="00982C2B">
              <w:rPr>
                <w:rFonts w:cs="Times New Roman"/>
                <w:sz w:val="20"/>
                <w:szCs w:val="20"/>
                <w:lang w:val="fr-CA"/>
              </w:rPr>
              <w:t xml:space="preserve">Droit administratif ― Contrôle judiciaire ― Compétence ―  La Première Nation de Wasauksing gère l’attribution d’un quota de cigarettes exemptes de taxes aux détaillants dans sa réserve en application d’un accord conclu avec la province d’Ontario sous le régime de la </w:t>
            </w:r>
            <w:hyperlink r:id="rId94" w:history="1">
              <w:r w:rsidRPr="00982C2B">
                <w:rPr>
                  <w:rFonts w:cs="Times New Roman"/>
                  <w:i/>
                  <w:iCs/>
                  <w:sz w:val="20"/>
                  <w:szCs w:val="20"/>
                  <w:lang w:val="fr-CA"/>
                </w:rPr>
                <w:t>Loi de la taxe sur le tabac</w:t>
              </w:r>
              <w:r w:rsidRPr="00982C2B">
                <w:rPr>
                  <w:rFonts w:cs="Times New Roman"/>
                  <w:sz w:val="20"/>
                  <w:szCs w:val="20"/>
                  <w:lang w:val="fr-CA"/>
                </w:rPr>
                <w:t>, L.R.O. 1990, ch. T-10</w:t>
              </w:r>
            </w:hyperlink>
            <w:r w:rsidRPr="00982C2B">
              <w:rPr>
                <w:rFonts w:cs="Times New Roman"/>
                <w:sz w:val="20"/>
                <w:szCs w:val="20"/>
                <w:lang w:val="fr-CA"/>
              </w:rPr>
              <w:t xml:space="preserve"> et du règlement intitulé </w:t>
            </w:r>
            <w:hyperlink r:id="rId95" w:history="1">
              <w:r w:rsidRPr="00982C2B">
                <w:rPr>
                  <w:rFonts w:cs="Times New Roman"/>
                  <w:i/>
                  <w:iCs/>
                  <w:sz w:val="20"/>
                  <w:szCs w:val="20"/>
                  <w:lang w:val="fr-CA"/>
                </w:rPr>
                <w:t>Sales of Unmarked Cigarettes on Indian Reserves</w:t>
              </w:r>
              <w:r w:rsidRPr="00982C2B">
                <w:rPr>
                  <w:rFonts w:cs="Times New Roman"/>
                  <w:sz w:val="20"/>
                  <w:szCs w:val="20"/>
                  <w:lang w:val="fr-CA"/>
                </w:rPr>
                <w:t>, O.Reg. 649/93</w:t>
              </w:r>
            </w:hyperlink>
            <w:r w:rsidRPr="00982C2B">
              <w:rPr>
                <w:rFonts w:cs="Times New Roman"/>
                <w:sz w:val="20"/>
                <w:szCs w:val="20"/>
                <w:lang w:val="fr-CA"/>
              </w:rPr>
              <w:t xml:space="preserve"> ― La Première Nation a informé les détaillants de la réserve qu’ils devaient lui verser un supplément de deux dollars sur chaque cartouche de cigarettes exemptes de taxes ― Un détaillant a déposé en Cour fédérale une demande de contrôle judiciaire sollicitant un jugement déclarant que ce supplément constituait une taxe illégale ― La Cour fédérale a rejeté la demande, concluant qu’elle n’avait pas compétence ― La Cour d’appel fédérale a rejeté l’appel de cette décision ― La décision de la Première Nation de Wasauksing d’imposer le supplément est-elle une question d’intérêt public ou une question commerciale de nature privée? ― Les détaillants de la réserve de Wasauksing constituent-ils à cet égard des « membres du public »? ― Le supplément est-il une taxe ou encore une modalité d’un contrat entre le détaillant et la Première Nation? ― La Première Nation de Wasauksing exerçait-elle des pouvoirs à la fois en vertu de lois provinciales et en vertu de lois fédérales? ― La Cour fédérale a-t-elle compétence pour contrôler toute décision prise en application d’une loi fédérale da</w:t>
            </w:r>
            <w:r w:rsidR="009E1FCF">
              <w:rPr>
                <w:rFonts w:cs="Times New Roman"/>
                <w:sz w:val="20"/>
                <w:szCs w:val="20"/>
                <w:lang w:val="fr-CA"/>
              </w:rPr>
              <w:t>ns l’exercice de pouvoirs fondé</w:t>
            </w:r>
            <w:r w:rsidRPr="00982C2B">
              <w:rPr>
                <w:rFonts w:cs="Times New Roman"/>
                <w:sz w:val="20"/>
                <w:szCs w:val="20"/>
                <w:lang w:val="fr-CA"/>
              </w:rPr>
              <w:t xml:space="preserve">s sur des lois provinciales? ― La Première Nation de Wasauksing exerçait-elle des pouvoirs en application de la </w:t>
            </w:r>
            <w:r w:rsidRPr="00982C2B">
              <w:rPr>
                <w:rFonts w:cs="Times New Roman"/>
                <w:i/>
                <w:sz w:val="20"/>
                <w:szCs w:val="20"/>
                <w:lang w:val="fr-CA"/>
              </w:rPr>
              <w:t>Loi de la taxe sur le tabac</w:t>
            </w:r>
            <w:r w:rsidRPr="00982C2B">
              <w:rPr>
                <w:rFonts w:cs="Times New Roman"/>
                <w:sz w:val="20"/>
                <w:szCs w:val="20"/>
                <w:lang w:val="fr-CA"/>
              </w:rPr>
              <w:t xml:space="preserve">, de l’accord sur la vente au détail de produits du tabac et de la </w:t>
            </w:r>
            <w:r w:rsidRPr="00982C2B">
              <w:rPr>
                <w:rFonts w:cs="Times New Roman"/>
                <w:i/>
                <w:sz w:val="20"/>
                <w:szCs w:val="20"/>
                <w:lang w:val="fr-CA"/>
              </w:rPr>
              <w:t>Loi sur les Indiens</w:t>
            </w:r>
            <w:r w:rsidRPr="00982C2B">
              <w:rPr>
                <w:rFonts w:cs="Times New Roman"/>
                <w:sz w:val="20"/>
                <w:szCs w:val="20"/>
                <w:lang w:val="fr-CA"/>
              </w:rPr>
              <w:t>?</w:t>
            </w:r>
          </w:p>
          <w:p w:rsidR="00A16920" w:rsidRPr="00982C2B" w:rsidRDefault="00A16920" w:rsidP="00A16920">
            <w:pPr>
              <w:pStyle w:val="SCCShortJudgment"/>
              <w:ind w:firstLine="0"/>
              <w:rPr>
                <w:rFonts w:cs="Times New Roman"/>
                <w:szCs w:val="20"/>
                <w:u w:val="single"/>
                <w:lang w:val="fr-CA"/>
              </w:rPr>
            </w:pPr>
          </w:p>
        </w:tc>
      </w:tr>
      <w:tr w:rsidR="00C50448" w:rsidRPr="009F3029" w:rsidTr="00C50448">
        <w:tc>
          <w:tcPr>
            <w:tcW w:w="9576" w:type="dxa"/>
            <w:gridSpan w:val="4"/>
          </w:tcPr>
          <w:p w:rsidR="00C50448" w:rsidRDefault="00C50448" w:rsidP="00A16920">
            <w:pPr>
              <w:jc w:val="both"/>
              <w:rPr>
                <w:rFonts w:cs="Times New Roman"/>
                <w:sz w:val="20"/>
                <w:szCs w:val="20"/>
                <w:lang w:val="fr-CA"/>
              </w:rPr>
            </w:pPr>
            <w:r>
              <w:rPr>
                <w:rFonts w:cs="Times New Roman"/>
                <w:sz w:val="20"/>
                <w:szCs w:val="20"/>
                <w:lang w:val="fr-CA"/>
              </w:rPr>
              <w:t xml:space="preserve">En </w:t>
            </w:r>
            <w:r w:rsidRPr="00982C2B">
              <w:rPr>
                <w:rFonts w:cs="Times New Roman"/>
                <w:sz w:val="20"/>
                <w:szCs w:val="20"/>
                <w:lang w:val="fr-CA" w:eastAsia="en-CA"/>
              </w:rPr>
              <w:t xml:space="preserve">1999, l’intimée, la Première Nation de </w:t>
            </w:r>
            <w:r w:rsidRPr="00982C2B">
              <w:rPr>
                <w:rFonts w:cs="Times New Roman"/>
                <w:sz w:val="20"/>
                <w:szCs w:val="20"/>
                <w:lang w:val="fr-CA"/>
              </w:rPr>
              <w:t xml:space="preserve">Wasauksing, a conclu avec la province d’Ontario, sous le régime de la </w:t>
            </w:r>
            <w:hyperlink r:id="rId96" w:history="1">
              <w:r w:rsidRPr="00982C2B">
                <w:rPr>
                  <w:rFonts w:cs="Times New Roman"/>
                  <w:i/>
                  <w:iCs/>
                  <w:sz w:val="20"/>
                  <w:szCs w:val="20"/>
                  <w:lang w:val="fr-CA"/>
                </w:rPr>
                <w:t>Loi</w:t>
              </w:r>
            </w:hyperlink>
            <w:r w:rsidRPr="00982C2B">
              <w:rPr>
                <w:rFonts w:cs="Times New Roman"/>
                <w:i/>
                <w:iCs/>
                <w:sz w:val="20"/>
                <w:szCs w:val="20"/>
                <w:lang w:val="fr-CA"/>
              </w:rPr>
              <w:t xml:space="preserve"> de la taxe sur le tabac</w:t>
            </w:r>
            <w:r w:rsidRPr="00982C2B">
              <w:rPr>
                <w:rFonts w:cs="Times New Roman"/>
                <w:sz w:val="20"/>
                <w:szCs w:val="20"/>
                <w:lang w:val="fr-CA"/>
              </w:rPr>
              <w:t xml:space="preserve"> et du règlement intitulé </w:t>
            </w:r>
            <w:hyperlink r:id="rId97" w:history="1">
              <w:r w:rsidRPr="00982C2B">
                <w:rPr>
                  <w:rFonts w:cs="Times New Roman"/>
                  <w:i/>
                  <w:iCs/>
                  <w:sz w:val="20"/>
                  <w:szCs w:val="20"/>
                  <w:lang w:val="fr-CA"/>
                </w:rPr>
                <w:t>Sales of Unmarked Cigarettes on Indian Reserves</w:t>
              </w:r>
            </w:hyperlink>
            <w:r w:rsidRPr="00982C2B">
              <w:rPr>
                <w:rFonts w:cs="Times New Roman"/>
                <w:sz w:val="20"/>
                <w:szCs w:val="20"/>
                <w:lang w:val="fr-CA"/>
              </w:rPr>
              <w:t>, un accord aux termes duquel la Première Nation acceptait de gérer l’attribution du quota de cigarettes exemptes de taxes aux détaillants et de veiller au respect du règlement dans sa réserve. En contrepartie, la province a majoré de 20 % le quota que le ministère des Finances aurait autrement attribué directement à la Première Nation si celle-ci n’avait pas conclu</w:t>
            </w:r>
            <w:r>
              <w:rPr>
                <w:rFonts w:cs="Times New Roman"/>
                <w:sz w:val="20"/>
                <w:szCs w:val="20"/>
                <w:lang w:val="fr-CA"/>
              </w:rPr>
              <w:t xml:space="preserve"> l’accord.</w:t>
            </w:r>
          </w:p>
          <w:p w:rsidR="00C50448" w:rsidRDefault="00C50448" w:rsidP="00A16920">
            <w:pPr>
              <w:jc w:val="both"/>
              <w:rPr>
                <w:rFonts w:cs="Times New Roman"/>
                <w:sz w:val="20"/>
                <w:szCs w:val="20"/>
                <w:lang w:val="fr-CA"/>
              </w:rPr>
            </w:pPr>
          </w:p>
          <w:p w:rsidR="00C50448" w:rsidRDefault="00C50448" w:rsidP="00A16920">
            <w:pPr>
              <w:jc w:val="both"/>
              <w:rPr>
                <w:rFonts w:cs="Times New Roman"/>
                <w:sz w:val="20"/>
                <w:szCs w:val="20"/>
                <w:lang w:val="fr-CA"/>
              </w:rPr>
            </w:pPr>
            <w:r>
              <w:rPr>
                <w:rFonts w:cs="Times New Roman"/>
                <w:sz w:val="20"/>
                <w:szCs w:val="20"/>
                <w:lang w:val="fr-CA"/>
              </w:rPr>
              <w:t xml:space="preserve">Le </w:t>
            </w:r>
            <w:r w:rsidRPr="00982C2B">
              <w:rPr>
                <w:rFonts w:cs="Times New Roman"/>
                <w:sz w:val="20"/>
                <w:szCs w:val="20"/>
                <w:lang w:val="fr-CA"/>
              </w:rPr>
              <w:t>10 avril 2012, la Première Nation a informé les détaillants de la réserve qu’elle leur imposait le paiement d’un « </w:t>
            </w:r>
            <w:r w:rsidRPr="00982C2B">
              <w:rPr>
                <w:rStyle w:val="citationcar"/>
                <w:rFonts w:cs="Times New Roman"/>
                <w:sz w:val="20"/>
                <w:szCs w:val="20"/>
                <w:lang w:val="fr-CA"/>
              </w:rPr>
              <w:t>supplément »</w:t>
            </w:r>
            <w:r w:rsidRPr="00982C2B">
              <w:rPr>
                <w:rFonts w:cs="Times New Roman"/>
                <w:sz w:val="20"/>
                <w:szCs w:val="20"/>
                <w:lang w:val="fr-CA"/>
              </w:rPr>
              <w:t xml:space="preserve"> de deux dollars sur chaque cartouche de cigarettes exemptes de taxe, supplément qui serait payable par versements. Monsieur Des Roches, un détaillant de la réserve, a déposé en Cour fédérale une demande de contrôle judiciaire sollicitant un jugement déclarant que ce supplément constituait une taxe illégale, ainsi qu’une injonction interdisant à la Première Nation d’imposer le supplément à l’avenir et une ordonnance enjoignant à la Première Nation de rembourser les sommes qu’il lui avait versées jusque-là à ce</w:t>
            </w:r>
            <w:r>
              <w:rPr>
                <w:rFonts w:cs="Times New Roman"/>
                <w:sz w:val="20"/>
                <w:szCs w:val="20"/>
                <w:lang w:val="fr-CA"/>
              </w:rPr>
              <w:t xml:space="preserve"> titre.</w:t>
            </w:r>
          </w:p>
          <w:p w:rsidR="00C50448" w:rsidRDefault="00C50448" w:rsidP="00A16920">
            <w:pPr>
              <w:jc w:val="both"/>
              <w:rPr>
                <w:rFonts w:cs="Times New Roman"/>
                <w:sz w:val="20"/>
                <w:szCs w:val="20"/>
                <w:lang w:val="fr-CA"/>
              </w:rPr>
            </w:pPr>
          </w:p>
          <w:p w:rsidR="00C50448" w:rsidRPr="00982C2B" w:rsidRDefault="00C50448" w:rsidP="00A16920">
            <w:pPr>
              <w:jc w:val="both"/>
              <w:rPr>
                <w:rFonts w:cs="Times New Roman"/>
                <w:sz w:val="20"/>
                <w:szCs w:val="20"/>
                <w:lang w:val="fr-CA"/>
              </w:rPr>
            </w:pPr>
            <w:r>
              <w:rPr>
                <w:rFonts w:cs="Times New Roman"/>
                <w:sz w:val="20"/>
                <w:szCs w:val="20"/>
                <w:lang w:val="fr-CA"/>
              </w:rPr>
              <w:t xml:space="preserve">La </w:t>
            </w:r>
            <w:r w:rsidRPr="00982C2B">
              <w:rPr>
                <w:rFonts w:cs="Times New Roman"/>
                <w:sz w:val="20"/>
                <w:szCs w:val="20"/>
                <w:lang w:val="fr-CA"/>
              </w:rPr>
              <w:t>Cour fédérale a rejeté la demande de contrôle judiciaire. La Cour d’appel fédérale a rejeté l’appel sur la base de l’absence de</w:t>
            </w:r>
            <w:r>
              <w:rPr>
                <w:rFonts w:cs="Times New Roman"/>
                <w:sz w:val="20"/>
                <w:szCs w:val="20"/>
                <w:lang w:val="fr-CA"/>
              </w:rPr>
              <w:t xml:space="preserve"> compétence.</w:t>
            </w:r>
          </w:p>
        </w:tc>
      </w:tr>
      <w:tr w:rsidR="00A16920" w:rsidRPr="009F3029" w:rsidTr="00C50448">
        <w:tc>
          <w:tcPr>
            <w:tcW w:w="9576" w:type="dxa"/>
            <w:gridSpan w:val="4"/>
          </w:tcPr>
          <w:p w:rsidR="00A16920" w:rsidRPr="00982C2B" w:rsidRDefault="00A16920" w:rsidP="00A16920">
            <w:pPr>
              <w:pStyle w:val="SCCShortJudgment"/>
              <w:ind w:firstLine="0"/>
              <w:rPr>
                <w:rFonts w:cs="Times New Roman"/>
                <w:szCs w:val="20"/>
                <w:u w:val="single"/>
                <w:lang w:val="fr-CA"/>
              </w:rPr>
            </w:pPr>
          </w:p>
        </w:tc>
      </w:tr>
      <w:tr w:rsidR="00A16920" w:rsidRPr="009F3029" w:rsidTr="00C50448">
        <w:tc>
          <w:tcPr>
            <w:tcW w:w="4410" w:type="dxa"/>
            <w:gridSpan w:val="2"/>
          </w:tcPr>
          <w:p w:rsidR="00A16920" w:rsidRPr="00982C2B" w:rsidRDefault="00A16920" w:rsidP="00A16920">
            <w:pPr>
              <w:jc w:val="both"/>
              <w:rPr>
                <w:rFonts w:cs="Times New Roman"/>
                <w:sz w:val="20"/>
                <w:szCs w:val="20"/>
                <w:lang w:val="fr-CA"/>
              </w:rPr>
            </w:pPr>
            <w:r w:rsidRPr="00982C2B">
              <w:rPr>
                <w:rFonts w:cs="Times New Roman"/>
                <w:sz w:val="20"/>
                <w:szCs w:val="20"/>
                <w:lang w:val="fr-CA"/>
              </w:rPr>
              <w:t>25 novembre 2014</w:t>
            </w:r>
          </w:p>
          <w:p w:rsidR="00A16920" w:rsidRPr="00982C2B" w:rsidRDefault="00A16920" w:rsidP="00A16920">
            <w:pPr>
              <w:jc w:val="both"/>
              <w:rPr>
                <w:rFonts w:cs="Times New Roman"/>
                <w:sz w:val="20"/>
                <w:szCs w:val="20"/>
                <w:lang w:val="fr-CA"/>
              </w:rPr>
            </w:pPr>
            <w:r w:rsidRPr="00982C2B">
              <w:rPr>
                <w:rFonts w:cs="Times New Roman"/>
                <w:sz w:val="20"/>
                <w:szCs w:val="20"/>
                <w:lang w:val="fr-CA"/>
              </w:rPr>
              <w:t xml:space="preserve">Cour fédérale </w:t>
            </w:r>
          </w:p>
          <w:p w:rsidR="00A16920" w:rsidRPr="00982C2B" w:rsidRDefault="00A16920" w:rsidP="00A16920">
            <w:pPr>
              <w:jc w:val="both"/>
              <w:rPr>
                <w:rFonts w:cs="Times New Roman"/>
                <w:sz w:val="20"/>
                <w:szCs w:val="20"/>
                <w:lang w:val="fr-CA"/>
              </w:rPr>
            </w:pPr>
            <w:r w:rsidRPr="00982C2B">
              <w:rPr>
                <w:rFonts w:cs="Times New Roman"/>
                <w:sz w:val="20"/>
                <w:szCs w:val="20"/>
                <w:lang w:val="fr-CA"/>
              </w:rPr>
              <w:t>(Juge Kane)</w:t>
            </w:r>
          </w:p>
          <w:p w:rsidR="00A16920" w:rsidRPr="00982C2B" w:rsidRDefault="009F3029" w:rsidP="00A16920">
            <w:pPr>
              <w:jc w:val="both"/>
              <w:rPr>
                <w:rFonts w:cs="Times New Roman"/>
                <w:sz w:val="20"/>
                <w:szCs w:val="20"/>
                <w:lang w:val="fr-CA"/>
              </w:rPr>
            </w:pPr>
            <w:hyperlink r:id="rId98" w:history="1">
              <w:r w:rsidR="00A16920" w:rsidRPr="00982C2B">
                <w:rPr>
                  <w:rStyle w:val="Hyperlink"/>
                  <w:rFonts w:cs="Times New Roman"/>
                  <w:sz w:val="20"/>
                  <w:szCs w:val="20"/>
                  <w:lang w:val="fr-CA"/>
                </w:rPr>
                <w:t>2014 FC 1126</w:t>
              </w:r>
            </w:hyperlink>
          </w:p>
          <w:p w:rsidR="00A16920" w:rsidRPr="00982C2B" w:rsidRDefault="00A16920" w:rsidP="00A16920">
            <w:pPr>
              <w:pStyle w:val="SCCShortJudgment"/>
              <w:ind w:firstLine="0"/>
              <w:rPr>
                <w:rFonts w:cs="Times New Roman"/>
                <w:szCs w:val="20"/>
                <w:u w:val="single"/>
                <w:lang w:val="fr-CA"/>
              </w:rPr>
            </w:pPr>
          </w:p>
        </w:tc>
        <w:tc>
          <w:tcPr>
            <w:tcW w:w="630" w:type="dxa"/>
          </w:tcPr>
          <w:p w:rsidR="00A16920" w:rsidRPr="00982C2B" w:rsidRDefault="00A16920" w:rsidP="00A16920">
            <w:pPr>
              <w:pStyle w:val="SCCShortJudgment"/>
              <w:ind w:firstLine="0"/>
              <w:rPr>
                <w:rFonts w:cs="Times New Roman"/>
                <w:szCs w:val="20"/>
                <w:u w:val="single"/>
                <w:lang w:val="fr-CA"/>
              </w:rPr>
            </w:pPr>
          </w:p>
        </w:tc>
        <w:tc>
          <w:tcPr>
            <w:tcW w:w="4536" w:type="dxa"/>
          </w:tcPr>
          <w:p w:rsidR="00A16920" w:rsidRPr="00982C2B" w:rsidRDefault="00A16920" w:rsidP="00A16920">
            <w:pPr>
              <w:jc w:val="both"/>
              <w:rPr>
                <w:rFonts w:cs="Times New Roman"/>
                <w:sz w:val="20"/>
                <w:szCs w:val="20"/>
                <w:lang w:val="fr-CA"/>
              </w:rPr>
            </w:pPr>
            <w:r w:rsidRPr="00982C2B">
              <w:rPr>
                <w:rFonts w:cs="Times New Roman"/>
                <w:sz w:val="20"/>
                <w:szCs w:val="20"/>
                <w:lang w:val="fr-CA"/>
              </w:rPr>
              <w:t xml:space="preserve">Rejet de la demande de contrôle judiciaire.  </w:t>
            </w:r>
          </w:p>
          <w:p w:rsidR="00A16920" w:rsidRPr="00982C2B" w:rsidRDefault="00A16920" w:rsidP="00A16920">
            <w:pPr>
              <w:pStyle w:val="SCCShortJudgment"/>
              <w:ind w:firstLine="0"/>
              <w:rPr>
                <w:rFonts w:cs="Times New Roman"/>
                <w:szCs w:val="20"/>
                <w:u w:val="single"/>
                <w:lang w:val="fr-CA"/>
              </w:rPr>
            </w:pPr>
          </w:p>
        </w:tc>
      </w:tr>
      <w:tr w:rsidR="00A16920" w:rsidRPr="00982C2B" w:rsidTr="00C50448">
        <w:tc>
          <w:tcPr>
            <w:tcW w:w="4410" w:type="dxa"/>
            <w:gridSpan w:val="2"/>
          </w:tcPr>
          <w:p w:rsidR="00A16920" w:rsidRPr="00982C2B" w:rsidRDefault="00A16920" w:rsidP="00A16920">
            <w:pPr>
              <w:jc w:val="both"/>
              <w:rPr>
                <w:rFonts w:cs="Times New Roman"/>
                <w:sz w:val="20"/>
                <w:szCs w:val="20"/>
                <w:lang w:val="fr-CA"/>
              </w:rPr>
            </w:pPr>
            <w:r w:rsidRPr="00982C2B">
              <w:rPr>
                <w:rFonts w:cs="Times New Roman"/>
                <w:sz w:val="20"/>
                <w:szCs w:val="20"/>
                <w:lang w:val="fr-CA"/>
              </w:rPr>
              <w:t>28 octobre 2015</w:t>
            </w:r>
          </w:p>
          <w:p w:rsidR="00A16920" w:rsidRPr="00982C2B" w:rsidRDefault="00A16920" w:rsidP="00A16920">
            <w:pPr>
              <w:jc w:val="both"/>
              <w:rPr>
                <w:rFonts w:cs="Times New Roman"/>
                <w:sz w:val="20"/>
                <w:szCs w:val="20"/>
                <w:lang w:val="fr-CA"/>
              </w:rPr>
            </w:pPr>
            <w:r w:rsidRPr="00982C2B">
              <w:rPr>
                <w:rFonts w:cs="Times New Roman"/>
                <w:sz w:val="20"/>
                <w:szCs w:val="20"/>
                <w:lang w:val="fr-CA"/>
              </w:rPr>
              <w:t xml:space="preserve">Cour d’appel fédérale </w:t>
            </w:r>
          </w:p>
          <w:p w:rsidR="00A16920" w:rsidRPr="00982C2B" w:rsidRDefault="00A16920" w:rsidP="00A16920">
            <w:pPr>
              <w:jc w:val="both"/>
              <w:rPr>
                <w:rFonts w:cs="Times New Roman"/>
                <w:sz w:val="20"/>
                <w:szCs w:val="20"/>
                <w:lang w:val="fr-CA"/>
              </w:rPr>
            </w:pPr>
            <w:r w:rsidRPr="00982C2B">
              <w:rPr>
                <w:rFonts w:cs="Times New Roman"/>
                <w:sz w:val="20"/>
                <w:szCs w:val="20"/>
                <w:lang w:val="fr-CA"/>
              </w:rPr>
              <w:t>(Juges Dawson, Stratas et De Montigny)</w:t>
            </w:r>
          </w:p>
          <w:p w:rsidR="00A16920" w:rsidRPr="00982C2B" w:rsidRDefault="009F3029" w:rsidP="00A16920">
            <w:pPr>
              <w:jc w:val="both"/>
              <w:rPr>
                <w:rFonts w:cs="Times New Roman"/>
                <w:sz w:val="20"/>
                <w:szCs w:val="20"/>
                <w:lang w:val="en-US"/>
              </w:rPr>
            </w:pPr>
            <w:hyperlink r:id="rId99" w:history="1">
              <w:r w:rsidR="00A16920" w:rsidRPr="00982C2B">
                <w:rPr>
                  <w:rStyle w:val="Hyperlink"/>
                  <w:rFonts w:cs="Times New Roman"/>
                  <w:sz w:val="20"/>
                  <w:szCs w:val="20"/>
                  <w:lang w:val="en-US"/>
                </w:rPr>
                <w:t>2015 FCA 234</w:t>
              </w:r>
            </w:hyperlink>
          </w:p>
          <w:p w:rsidR="00A16920" w:rsidRPr="00982C2B" w:rsidRDefault="00A16920" w:rsidP="00A16920">
            <w:pPr>
              <w:jc w:val="both"/>
              <w:rPr>
                <w:rFonts w:cs="Times New Roman"/>
                <w:sz w:val="20"/>
                <w:szCs w:val="20"/>
                <w:lang w:val="en-US"/>
              </w:rPr>
            </w:pPr>
            <w:r w:rsidRPr="00982C2B">
              <w:rPr>
                <w:rFonts w:cs="Times New Roman"/>
                <w:sz w:val="20"/>
                <w:szCs w:val="20"/>
                <w:lang w:val="en-US"/>
              </w:rPr>
              <w:t>N</w:t>
            </w:r>
            <w:r w:rsidRPr="00982C2B">
              <w:rPr>
                <w:rFonts w:cs="Times New Roman"/>
                <w:sz w:val="20"/>
                <w:szCs w:val="20"/>
                <w:vertAlign w:val="superscript"/>
                <w:lang w:val="en-US"/>
              </w:rPr>
              <w:t xml:space="preserve">o </w:t>
            </w:r>
            <w:r w:rsidRPr="00982C2B">
              <w:rPr>
                <w:rFonts w:cs="Times New Roman"/>
                <w:sz w:val="20"/>
                <w:szCs w:val="20"/>
                <w:lang w:val="en-US"/>
              </w:rPr>
              <w:t>du greffe : A-573-14</w:t>
            </w:r>
          </w:p>
          <w:p w:rsidR="00A16920" w:rsidRPr="00982C2B" w:rsidRDefault="00A16920" w:rsidP="00A16920">
            <w:pPr>
              <w:pStyle w:val="SCCShortJudgment"/>
              <w:ind w:firstLine="0"/>
              <w:rPr>
                <w:rFonts w:cs="Times New Roman"/>
                <w:szCs w:val="20"/>
                <w:u w:val="single"/>
                <w:lang w:val="en-US"/>
              </w:rPr>
            </w:pPr>
          </w:p>
        </w:tc>
        <w:tc>
          <w:tcPr>
            <w:tcW w:w="630" w:type="dxa"/>
          </w:tcPr>
          <w:p w:rsidR="00A16920" w:rsidRPr="00982C2B" w:rsidRDefault="00A16920" w:rsidP="00A16920">
            <w:pPr>
              <w:pStyle w:val="SCCShortJudgment"/>
              <w:ind w:firstLine="0"/>
              <w:rPr>
                <w:rFonts w:cs="Times New Roman"/>
                <w:szCs w:val="20"/>
                <w:u w:val="single"/>
              </w:rPr>
            </w:pPr>
          </w:p>
        </w:tc>
        <w:tc>
          <w:tcPr>
            <w:tcW w:w="4536" w:type="dxa"/>
          </w:tcPr>
          <w:p w:rsidR="00A16920" w:rsidRPr="00982C2B" w:rsidRDefault="00A16920" w:rsidP="00A16920">
            <w:pPr>
              <w:jc w:val="both"/>
              <w:rPr>
                <w:rFonts w:cs="Times New Roman"/>
                <w:sz w:val="20"/>
                <w:szCs w:val="20"/>
                <w:lang w:val="fr-CA"/>
              </w:rPr>
            </w:pPr>
            <w:r w:rsidRPr="00982C2B">
              <w:rPr>
                <w:rFonts w:cs="Times New Roman"/>
                <w:sz w:val="20"/>
                <w:szCs w:val="20"/>
                <w:lang w:val="fr-CA"/>
              </w:rPr>
              <w:t>Rejet de l’appel.</w:t>
            </w:r>
          </w:p>
          <w:p w:rsidR="00A16920" w:rsidRPr="00982C2B" w:rsidRDefault="00A16920" w:rsidP="00A16920">
            <w:pPr>
              <w:pStyle w:val="SCCShortJudgment"/>
              <w:ind w:firstLine="0"/>
              <w:rPr>
                <w:rFonts w:cs="Times New Roman"/>
                <w:szCs w:val="20"/>
                <w:u w:val="single"/>
              </w:rPr>
            </w:pPr>
          </w:p>
        </w:tc>
      </w:tr>
      <w:tr w:rsidR="00A16920" w:rsidRPr="009F3029" w:rsidTr="00C50448">
        <w:tc>
          <w:tcPr>
            <w:tcW w:w="4410" w:type="dxa"/>
            <w:gridSpan w:val="2"/>
          </w:tcPr>
          <w:p w:rsidR="00A16920" w:rsidRPr="00982C2B" w:rsidRDefault="00A16920" w:rsidP="00A16920">
            <w:pPr>
              <w:jc w:val="both"/>
              <w:rPr>
                <w:rFonts w:cs="Times New Roman"/>
                <w:sz w:val="20"/>
                <w:szCs w:val="20"/>
                <w:lang w:val="fr-CA"/>
              </w:rPr>
            </w:pPr>
            <w:r w:rsidRPr="00982C2B">
              <w:rPr>
                <w:rFonts w:cs="Times New Roman"/>
                <w:sz w:val="20"/>
                <w:szCs w:val="20"/>
                <w:lang w:val="fr-CA"/>
              </w:rPr>
              <w:t>16 décembre 2015</w:t>
            </w:r>
          </w:p>
          <w:p w:rsidR="00A16920" w:rsidRPr="00982C2B" w:rsidRDefault="00A16920" w:rsidP="00A16920">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A16920" w:rsidRPr="00982C2B" w:rsidRDefault="00A16920" w:rsidP="00A16920">
            <w:pPr>
              <w:pStyle w:val="SCCShortJudgment"/>
              <w:ind w:firstLine="0"/>
              <w:rPr>
                <w:rFonts w:cs="Times New Roman"/>
                <w:szCs w:val="20"/>
                <w:u w:val="single"/>
                <w:lang w:val="fr-CA"/>
              </w:rPr>
            </w:pPr>
          </w:p>
        </w:tc>
        <w:tc>
          <w:tcPr>
            <w:tcW w:w="4536" w:type="dxa"/>
          </w:tcPr>
          <w:p w:rsidR="00A16920" w:rsidRPr="00982C2B" w:rsidRDefault="00A16920" w:rsidP="00A16920">
            <w:pPr>
              <w:jc w:val="both"/>
              <w:rPr>
                <w:rFonts w:cs="Times New Roman"/>
                <w:sz w:val="20"/>
                <w:szCs w:val="20"/>
                <w:lang w:val="fr-CA"/>
              </w:rPr>
            </w:pPr>
            <w:r w:rsidRPr="00982C2B">
              <w:rPr>
                <w:rFonts w:cs="Times New Roman"/>
                <w:sz w:val="20"/>
                <w:szCs w:val="20"/>
                <w:lang w:val="fr-CA"/>
              </w:rPr>
              <w:t>Dépôt de la demande d’autorisation d’appel.</w:t>
            </w:r>
          </w:p>
          <w:p w:rsidR="00A16920" w:rsidRPr="00982C2B" w:rsidRDefault="00A16920" w:rsidP="00A16920">
            <w:pPr>
              <w:pStyle w:val="SCCShortJudgment"/>
              <w:ind w:firstLine="0"/>
              <w:rPr>
                <w:rFonts w:cs="Times New Roman"/>
                <w:szCs w:val="20"/>
                <w:u w:val="single"/>
                <w:lang w:val="fr-CA"/>
              </w:rPr>
            </w:pPr>
          </w:p>
        </w:tc>
      </w:tr>
    </w:tbl>
    <w:p w:rsidR="00A16920" w:rsidRPr="00982C2B" w:rsidRDefault="009F3029" w:rsidP="00A16920">
      <w:pPr>
        <w:rPr>
          <w:rFonts w:cs="Times New Roman"/>
          <w:sz w:val="20"/>
          <w:szCs w:val="20"/>
          <w:lang w:val="fr-CA"/>
        </w:rPr>
      </w:pPr>
      <w:r>
        <w:rPr>
          <w:rFonts w:cs="Times New Roman"/>
          <w:sz w:val="20"/>
          <w:szCs w:val="20"/>
          <w:lang w:val="fr-CA"/>
        </w:rPr>
        <w:pict>
          <v:rect id="_x0000_i1080" style="width:2in;height:1pt" o:hrpct="0" o:hralign="center" o:hrstd="t" o:hrnoshade="t" o:hr="t" fillcolor="black [3213]" stroked="f"/>
        </w:pict>
      </w:r>
    </w:p>
    <w:p w:rsidR="00A16920" w:rsidRPr="00982C2B" w:rsidRDefault="00A16920" w:rsidP="00A16920">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EE33D9" w:rsidRPr="00982C2B" w:rsidTr="00C643DA">
        <w:trPr>
          <w:cantSplit/>
        </w:trPr>
        <w:tc>
          <w:tcPr>
            <w:tcW w:w="1458" w:type="dxa"/>
          </w:tcPr>
          <w:p w:rsidR="00EE33D9" w:rsidRPr="00982C2B" w:rsidRDefault="00EE33D9" w:rsidP="00EE33D9">
            <w:pPr>
              <w:jc w:val="both"/>
              <w:rPr>
                <w:rFonts w:cs="Times New Roman"/>
                <w:sz w:val="20"/>
                <w:szCs w:val="20"/>
              </w:rPr>
            </w:pPr>
            <w:r w:rsidRPr="00982C2B">
              <w:rPr>
                <w:rStyle w:val="SCCFileNumberChar"/>
                <w:sz w:val="20"/>
                <w:szCs w:val="20"/>
              </w:rPr>
              <w:t>36770</w:t>
            </w:r>
          </w:p>
          <w:p w:rsidR="00EE33D9" w:rsidRPr="00982C2B" w:rsidRDefault="00EE33D9" w:rsidP="00EE33D9">
            <w:pPr>
              <w:jc w:val="both"/>
              <w:rPr>
                <w:rFonts w:cs="Times New Roman"/>
                <w:b/>
                <w:sz w:val="20"/>
                <w:szCs w:val="20"/>
              </w:rPr>
            </w:pPr>
          </w:p>
        </w:tc>
        <w:tc>
          <w:tcPr>
            <w:tcW w:w="8118" w:type="dxa"/>
            <w:gridSpan w:val="3"/>
          </w:tcPr>
          <w:p w:rsidR="00EE33D9" w:rsidRPr="00982C2B" w:rsidRDefault="00EE33D9" w:rsidP="00EE33D9">
            <w:pPr>
              <w:jc w:val="both"/>
              <w:rPr>
                <w:rFonts w:cs="Times New Roman"/>
                <w:sz w:val="20"/>
                <w:szCs w:val="20"/>
              </w:rPr>
            </w:pPr>
            <w:r w:rsidRPr="00982C2B">
              <w:rPr>
                <w:rStyle w:val="SCCLsocChar"/>
                <w:rFonts w:cs="Times New Roman"/>
                <w:sz w:val="20"/>
                <w:szCs w:val="20"/>
                <w:lang w:val="en-CA"/>
              </w:rPr>
              <w:t>Mary Paul v. Her Majesty the Queen in Right of Canada</w:t>
            </w:r>
            <w:r w:rsidRPr="00982C2B">
              <w:rPr>
                <w:rStyle w:val="SCCLsocChar"/>
                <w:rFonts w:cs="Times New Roman"/>
                <w:sz w:val="20"/>
                <w:szCs w:val="20"/>
                <w:u w:val="none"/>
                <w:lang w:val="en-CA"/>
              </w:rPr>
              <w:t xml:space="preserve"> </w:t>
            </w:r>
            <w:r w:rsidRPr="00982C2B">
              <w:rPr>
                <w:rFonts w:cs="Times New Roman"/>
                <w:sz w:val="20"/>
                <w:szCs w:val="20"/>
              </w:rPr>
              <w:t>(F.C.) (Civil) (By Leave)</w:t>
            </w:r>
          </w:p>
          <w:p w:rsidR="00EE33D9" w:rsidRPr="00982C2B" w:rsidRDefault="00EE33D9" w:rsidP="00EE33D9">
            <w:pPr>
              <w:jc w:val="both"/>
              <w:rPr>
                <w:rFonts w:cs="Times New Roman"/>
                <w:sz w:val="20"/>
                <w:szCs w:val="20"/>
              </w:rPr>
            </w:pPr>
          </w:p>
        </w:tc>
      </w:tr>
      <w:tr w:rsidR="00EE33D9" w:rsidRPr="00982C2B" w:rsidTr="00C643DA">
        <w:trPr>
          <w:cantSplit/>
        </w:trPr>
        <w:tc>
          <w:tcPr>
            <w:tcW w:w="1458" w:type="dxa"/>
          </w:tcPr>
          <w:p w:rsidR="00EE33D9" w:rsidRPr="00982C2B" w:rsidRDefault="00EE33D9" w:rsidP="00EE33D9">
            <w:pPr>
              <w:jc w:val="both"/>
              <w:rPr>
                <w:rFonts w:cs="Times New Roman"/>
                <w:sz w:val="20"/>
                <w:szCs w:val="20"/>
              </w:rPr>
            </w:pPr>
            <w:r w:rsidRPr="00982C2B">
              <w:rPr>
                <w:rFonts w:cs="Times New Roman"/>
                <w:sz w:val="20"/>
                <w:szCs w:val="20"/>
              </w:rPr>
              <w:t>Coram :</w:t>
            </w:r>
          </w:p>
        </w:tc>
        <w:tc>
          <w:tcPr>
            <w:tcW w:w="8118" w:type="dxa"/>
            <w:gridSpan w:val="3"/>
          </w:tcPr>
          <w:p w:rsidR="00EE33D9" w:rsidRPr="00982C2B" w:rsidRDefault="00EE33D9" w:rsidP="00EE33D9">
            <w:pPr>
              <w:jc w:val="both"/>
              <w:rPr>
                <w:rStyle w:val="SCCCoramChar"/>
                <w:rFonts w:cs="Times New Roman"/>
                <w:sz w:val="20"/>
                <w:szCs w:val="20"/>
                <w:lang w:val="en-CA"/>
              </w:rPr>
            </w:pPr>
            <w:r w:rsidRPr="00982C2B">
              <w:rPr>
                <w:rStyle w:val="SCCCoramChar"/>
                <w:rFonts w:cs="Times New Roman"/>
                <w:sz w:val="20"/>
                <w:szCs w:val="20"/>
                <w:lang w:val="en-CA"/>
              </w:rPr>
              <w:t>Abella, Karakatsanis and Brown JJ.</w:t>
            </w:r>
          </w:p>
          <w:p w:rsidR="00EE33D9" w:rsidRPr="00982C2B" w:rsidRDefault="00EE33D9" w:rsidP="00EE33D9">
            <w:pPr>
              <w:jc w:val="both"/>
              <w:rPr>
                <w:rFonts w:cs="Times New Roman"/>
                <w:sz w:val="20"/>
                <w:szCs w:val="20"/>
                <w:u w:val="single"/>
              </w:rPr>
            </w:pPr>
          </w:p>
        </w:tc>
      </w:tr>
      <w:tr w:rsidR="00EE33D9" w:rsidRPr="009F3029" w:rsidTr="002C243F">
        <w:tc>
          <w:tcPr>
            <w:tcW w:w="9576" w:type="dxa"/>
            <w:gridSpan w:val="4"/>
          </w:tcPr>
          <w:p w:rsidR="00EE33D9" w:rsidRPr="00982C2B" w:rsidRDefault="00EE33D9" w:rsidP="00EE33D9">
            <w:pPr>
              <w:pStyle w:val="SCCShortJudgment"/>
              <w:ind w:firstLine="0"/>
              <w:rPr>
                <w:rFonts w:cs="Times New Roman"/>
                <w:szCs w:val="20"/>
              </w:rPr>
            </w:pPr>
            <w:r w:rsidRPr="00982C2B">
              <w:rPr>
                <w:rFonts w:cs="Times New Roman"/>
                <w:szCs w:val="20"/>
              </w:rPr>
              <w:tab/>
              <w:t>The application for leave to appeal from the judgment of the Federal Court of Appeal, Number A-555-14, 2015 FCA 229, dated October 27, 2015, is dismissed with costs.</w:t>
            </w:r>
          </w:p>
          <w:p w:rsidR="00EE33D9" w:rsidRPr="00982C2B" w:rsidRDefault="00EE33D9" w:rsidP="00EE33D9">
            <w:pPr>
              <w:pStyle w:val="SCCShortJudgment"/>
              <w:ind w:firstLine="0"/>
              <w:rPr>
                <w:rFonts w:cs="Times New Roman"/>
                <w:szCs w:val="20"/>
              </w:rPr>
            </w:pPr>
          </w:p>
          <w:p w:rsidR="00EE33D9" w:rsidRDefault="00EE33D9" w:rsidP="002C243F">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fédérale</w:t>
            </w:r>
            <w:r w:rsidRPr="00982C2B">
              <w:rPr>
                <w:rFonts w:cs="Times New Roman"/>
                <w:szCs w:val="20"/>
                <w:lang w:val="fr-CA"/>
              </w:rPr>
              <w:t xml:space="preserve">, numéro </w:t>
            </w:r>
            <w:r w:rsidRPr="00982C2B">
              <w:rPr>
                <w:rFonts w:cs="Times New Roman"/>
                <w:szCs w:val="20"/>
                <w:lang w:val="fr-FR"/>
              </w:rPr>
              <w:t>A-555-14, 2015 CAF 229</w:t>
            </w:r>
            <w:r w:rsidRPr="00982C2B">
              <w:rPr>
                <w:rFonts w:cs="Times New Roman"/>
                <w:szCs w:val="20"/>
                <w:lang w:val="fr-CA"/>
              </w:rPr>
              <w:t xml:space="preserve">, daté du </w:t>
            </w:r>
            <w:r w:rsidRPr="00982C2B">
              <w:rPr>
                <w:rFonts w:cs="Times New Roman"/>
                <w:szCs w:val="20"/>
                <w:lang w:val="fr-FR"/>
              </w:rPr>
              <w:t>27 octobre 2015</w:t>
            </w:r>
            <w:r w:rsidRPr="00982C2B">
              <w:rPr>
                <w:rFonts w:cs="Times New Roman"/>
                <w:szCs w:val="20"/>
                <w:lang w:val="fr-CA"/>
              </w:rPr>
              <w:t>, est rejetée avec dépens.</w:t>
            </w:r>
          </w:p>
          <w:p w:rsidR="005F31B9" w:rsidRPr="00982C2B" w:rsidRDefault="005F31B9" w:rsidP="002C243F">
            <w:pPr>
              <w:pStyle w:val="SCCShortJudgment"/>
              <w:ind w:firstLine="0"/>
              <w:rPr>
                <w:rFonts w:cs="Times New Roman"/>
                <w:szCs w:val="20"/>
                <w:lang w:val="fr-CA"/>
              </w:rPr>
            </w:pPr>
          </w:p>
        </w:tc>
      </w:tr>
      <w:tr w:rsidR="00EE33D9" w:rsidRPr="00982C2B" w:rsidTr="00C643DA">
        <w:trPr>
          <w:cantSplit/>
        </w:trPr>
        <w:tc>
          <w:tcPr>
            <w:tcW w:w="9576" w:type="dxa"/>
            <w:gridSpan w:val="4"/>
          </w:tcPr>
          <w:p w:rsidR="00EE33D9" w:rsidRPr="00982C2B" w:rsidRDefault="00EE33D9" w:rsidP="00EE33D9">
            <w:pPr>
              <w:pStyle w:val="SCCShortJudgment"/>
              <w:ind w:firstLine="0"/>
              <w:rPr>
                <w:rFonts w:cs="Times New Roman"/>
                <w:szCs w:val="20"/>
                <w:u w:val="single"/>
                <w:lang w:val="fr-CA"/>
              </w:rPr>
            </w:pPr>
            <w:r w:rsidRPr="00982C2B">
              <w:rPr>
                <w:rFonts w:cs="Times New Roman"/>
                <w:szCs w:val="20"/>
                <w:u w:val="single"/>
                <w:lang w:val="fr-CA"/>
              </w:rPr>
              <w:t>CASE SUMMARY</w:t>
            </w:r>
          </w:p>
          <w:p w:rsidR="00EE33D9" w:rsidRPr="00982C2B" w:rsidRDefault="00EE33D9" w:rsidP="00EE33D9">
            <w:pPr>
              <w:pStyle w:val="SCCShortJudgment"/>
              <w:ind w:firstLine="0"/>
              <w:rPr>
                <w:rFonts w:cs="Times New Roman"/>
                <w:szCs w:val="20"/>
                <w:u w:val="single"/>
                <w:lang w:val="fr-CA"/>
              </w:rPr>
            </w:pPr>
          </w:p>
        </w:tc>
      </w:tr>
      <w:tr w:rsidR="00EE33D9" w:rsidRPr="00982C2B" w:rsidTr="00C643DA">
        <w:trPr>
          <w:cantSplit/>
        </w:trPr>
        <w:tc>
          <w:tcPr>
            <w:tcW w:w="9576" w:type="dxa"/>
            <w:gridSpan w:val="4"/>
          </w:tcPr>
          <w:p w:rsidR="00EE33D9" w:rsidRPr="00982C2B" w:rsidRDefault="00EE33D9" w:rsidP="00EE33D9">
            <w:pPr>
              <w:pStyle w:val="SCCShortJudgment"/>
              <w:ind w:firstLine="0"/>
              <w:rPr>
                <w:rFonts w:cs="Times New Roman"/>
                <w:szCs w:val="20"/>
              </w:rPr>
            </w:pPr>
            <w:r w:rsidRPr="00982C2B">
              <w:rPr>
                <w:rFonts w:cs="Times New Roman"/>
                <w:szCs w:val="20"/>
              </w:rPr>
              <w:t xml:space="preserve">Judgments and orders — Summary judgments — Applicant’s statement of claim struck as having no legal foundation — Whether the Federal Court of Appeal erred in ruling that the statement of claim did not assert any legal basis which would oblige the respondent to take steps on the Applicant’s behalf before the </w:t>
            </w:r>
            <w:r w:rsidRPr="00982C2B">
              <w:rPr>
                <w:rFonts w:cs="Times New Roman"/>
                <w:i/>
                <w:szCs w:val="20"/>
              </w:rPr>
              <w:t>Inter-American Commission on Human Rights</w:t>
            </w:r>
            <w:r w:rsidRPr="00982C2B">
              <w:rPr>
                <w:rFonts w:cs="Times New Roman"/>
                <w:szCs w:val="20"/>
              </w:rPr>
              <w:t xml:space="preserve">; that Canada was not obliged to assist the applicant by virtue of being a signatory to the </w:t>
            </w:r>
            <w:r w:rsidRPr="00982C2B">
              <w:rPr>
                <w:rFonts w:cs="Times New Roman"/>
                <w:i/>
                <w:szCs w:val="20"/>
              </w:rPr>
              <w:t>American Convention on Human Rights</w:t>
            </w:r>
            <w:r w:rsidRPr="00982C2B">
              <w:rPr>
                <w:rFonts w:cs="Times New Roman"/>
                <w:szCs w:val="20"/>
              </w:rPr>
              <w:t xml:space="preserve">; and that there was no fiduciary duty owed by Canada to the applicant as it was alleged to be in breach of the </w:t>
            </w:r>
            <w:r w:rsidRPr="00982C2B">
              <w:rPr>
                <w:rFonts w:cs="Times New Roman"/>
                <w:i/>
                <w:szCs w:val="20"/>
              </w:rPr>
              <w:t>American Convention on Human Rights</w:t>
            </w:r>
            <w:r w:rsidRPr="00982C2B">
              <w:rPr>
                <w:rFonts w:cs="Times New Roman"/>
                <w:szCs w:val="20"/>
              </w:rPr>
              <w:t>.</w:t>
            </w:r>
          </w:p>
          <w:p w:rsidR="00EE33D9" w:rsidRPr="00982C2B" w:rsidRDefault="00EE33D9" w:rsidP="00EE33D9">
            <w:pPr>
              <w:pStyle w:val="SCCShortJudgment"/>
              <w:ind w:firstLine="0"/>
              <w:rPr>
                <w:rFonts w:cs="Times New Roman"/>
                <w:szCs w:val="20"/>
              </w:rPr>
            </w:pPr>
          </w:p>
        </w:tc>
      </w:tr>
      <w:tr w:rsidR="00EE33D9" w:rsidRPr="00982C2B" w:rsidTr="00C643DA">
        <w:trPr>
          <w:cantSplit/>
        </w:trPr>
        <w:tc>
          <w:tcPr>
            <w:tcW w:w="9576" w:type="dxa"/>
            <w:gridSpan w:val="4"/>
          </w:tcPr>
          <w:p w:rsidR="00EE33D9" w:rsidRPr="00982C2B" w:rsidRDefault="00EE33D9" w:rsidP="00EE33D9">
            <w:pPr>
              <w:jc w:val="both"/>
              <w:rPr>
                <w:rFonts w:cs="Times New Roman"/>
                <w:sz w:val="20"/>
                <w:szCs w:val="20"/>
              </w:rPr>
            </w:pPr>
            <w:r w:rsidRPr="00982C2B">
              <w:rPr>
                <w:rFonts w:cs="Times New Roman"/>
                <w:sz w:val="20"/>
                <w:szCs w:val="20"/>
              </w:rPr>
              <w:t xml:space="preserve">The applicant believed that her obstetrician caused the death of her unborn child in 1981. She sought to have criminal charges for assault causing bodily harm brought against him. The Justice of the Peace refused to issue a criminal process on the information that she laid before the court.  She also made a complaint to the Coroner’s Council of the Province of Ontario alleging misconduct on the part of the obstetrician. The Chief Coroner concluded that her complaint was not well-founded. Ms. Paul then filed a petition with the Secretary of the </w:t>
            </w:r>
            <w:r w:rsidRPr="00982C2B">
              <w:rPr>
                <w:rFonts w:cs="Times New Roman"/>
                <w:i/>
                <w:sz w:val="20"/>
                <w:szCs w:val="20"/>
              </w:rPr>
              <w:t>Inter-American Commission on Human Rights</w:t>
            </w:r>
            <w:r w:rsidRPr="00982C2B">
              <w:rPr>
                <w:rFonts w:cs="Times New Roman"/>
                <w:sz w:val="20"/>
                <w:szCs w:val="20"/>
              </w:rPr>
              <w:t xml:space="preserve"> (“IACHR”) in 2009, alleging that her human rights had been violated because of the Justice of the Peace’s refusal to issue a criminal process and because the Coroner’s Council had failed to deal with the obstetrician’s alleged misconduct. When there was little action on her petition, Ms. Paul filed a statement of claim, seeking a declaration that the IACHR had a “moral and/or other duty” to ensure that her petition was dealt with in a timely manner. The respondent sought to have the statement of claim struck. </w:t>
            </w:r>
          </w:p>
          <w:p w:rsidR="00EE33D9" w:rsidRPr="00982C2B" w:rsidRDefault="00EE33D9" w:rsidP="00EE33D9">
            <w:pPr>
              <w:pStyle w:val="SCCShortJudgment"/>
              <w:ind w:firstLine="0"/>
              <w:rPr>
                <w:rFonts w:cs="Times New Roman"/>
                <w:szCs w:val="20"/>
              </w:rPr>
            </w:pPr>
          </w:p>
        </w:tc>
      </w:tr>
      <w:tr w:rsidR="00EE33D9" w:rsidRPr="00982C2B" w:rsidTr="00C643DA">
        <w:trPr>
          <w:cantSplit/>
        </w:trPr>
        <w:tc>
          <w:tcPr>
            <w:tcW w:w="4410" w:type="dxa"/>
            <w:gridSpan w:val="2"/>
          </w:tcPr>
          <w:p w:rsidR="00EE33D9" w:rsidRPr="00982C2B" w:rsidRDefault="00EE33D9" w:rsidP="00EE33D9">
            <w:pPr>
              <w:jc w:val="both"/>
              <w:rPr>
                <w:rFonts w:cs="Times New Roman"/>
                <w:sz w:val="20"/>
                <w:szCs w:val="20"/>
              </w:rPr>
            </w:pPr>
            <w:r w:rsidRPr="00982C2B">
              <w:rPr>
                <w:rFonts w:cs="Times New Roman"/>
                <w:sz w:val="20"/>
                <w:szCs w:val="20"/>
              </w:rPr>
              <w:t>November 27, 2014</w:t>
            </w:r>
          </w:p>
          <w:p w:rsidR="00EE33D9" w:rsidRPr="00982C2B" w:rsidRDefault="00EE33D9" w:rsidP="00EE33D9">
            <w:pPr>
              <w:jc w:val="both"/>
              <w:rPr>
                <w:rFonts w:cs="Times New Roman"/>
                <w:sz w:val="20"/>
                <w:szCs w:val="20"/>
              </w:rPr>
            </w:pPr>
            <w:r w:rsidRPr="00982C2B">
              <w:rPr>
                <w:rFonts w:cs="Times New Roman"/>
                <w:sz w:val="20"/>
                <w:szCs w:val="20"/>
              </w:rPr>
              <w:t>Federal Court</w:t>
            </w:r>
          </w:p>
          <w:p w:rsidR="00EE33D9" w:rsidRPr="00982C2B" w:rsidRDefault="00EE33D9" w:rsidP="00EE33D9">
            <w:pPr>
              <w:jc w:val="both"/>
              <w:rPr>
                <w:rFonts w:cs="Times New Roman"/>
                <w:sz w:val="20"/>
                <w:szCs w:val="20"/>
              </w:rPr>
            </w:pPr>
            <w:r w:rsidRPr="00982C2B">
              <w:rPr>
                <w:rFonts w:cs="Times New Roman"/>
                <w:sz w:val="20"/>
                <w:szCs w:val="20"/>
              </w:rPr>
              <w:t>(Hughes J.)</w:t>
            </w:r>
          </w:p>
          <w:p w:rsidR="00EE33D9" w:rsidRPr="00982C2B" w:rsidRDefault="00EE33D9" w:rsidP="00EE33D9">
            <w:pPr>
              <w:jc w:val="both"/>
              <w:rPr>
                <w:rFonts w:cs="Times New Roman"/>
                <w:sz w:val="20"/>
                <w:szCs w:val="20"/>
              </w:rPr>
            </w:pPr>
            <w:r w:rsidRPr="00982C2B">
              <w:rPr>
                <w:rFonts w:cs="Times New Roman"/>
                <w:sz w:val="20"/>
                <w:szCs w:val="20"/>
              </w:rPr>
              <w:t>Unreported</w:t>
            </w:r>
          </w:p>
          <w:p w:rsidR="00EE33D9" w:rsidRPr="00982C2B" w:rsidRDefault="00EE33D9" w:rsidP="00EE33D9">
            <w:pPr>
              <w:jc w:val="both"/>
              <w:rPr>
                <w:rFonts w:cs="Times New Roman"/>
                <w:sz w:val="20"/>
                <w:szCs w:val="20"/>
              </w:rPr>
            </w:pPr>
          </w:p>
        </w:tc>
        <w:tc>
          <w:tcPr>
            <w:tcW w:w="630" w:type="dxa"/>
          </w:tcPr>
          <w:p w:rsidR="00EE33D9" w:rsidRPr="00982C2B" w:rsidRDefault="00EE33D9" w:rsidP="00EE33D9">
            <w:pPr>
              <w:pStyle w:val="SCCShortJudgment"/>
              <w:ind w:firstLine="0"/>
              <w:rPr>
                <w:rFonts w:cs="Times New Roman"/>
                <w:szCs w:val="20"/>
              </w:rPr>
            </w:pPr>
          </w:p>
        </w:tc>
        <w:tc>
          <w:tcPr>
            <w:tcW w:w="4536" w:type="dxa"/>
          </w:tcPr>
          <w:p w:rsidR="00EE33D9" w:rsidRPr="00982C2B" w:rsidRDefault="00EE33D9" w:rsidP="00EE33D9">
            <w:pPr>
              <w:jc w:val="both"/>
              <w:rPr>
                <w:rFonts w:cs="Times New Roman"/>
                <w:sz w:val="20"/>
                <w:szCs w:val="20"/>
              </w:rPr>
            </w:pPr>
            <w:r w:rsidRPr="00982C2B">
              <w:rPr>
                <w:rFonts w:cs="Times New Roman"/>
                <w:sz w:val="20"/>
                <w:szCs w:val="20"/>
              </w:rPr>
              <w:t>Motion to strike applicant’s statement of claim granted; action dismissed</w:t>
            </w:r>
          </w:p>
          <w:p w:rsidR="00EE33D9" w:rsidRPr="00982C2B" w:rsidRDefault="00EE33D9" w:rsidP="00EE33D9">
            <w:pPr>
              <w:jc w:val="both"/>
              <w:rPr>
                <w:rFonts w:cs="Times New Roman"/>
                <w:sz w:val="20"/>
                <w:szCs w:val="20"/>
              </w:rPr>
            </w:pPr>
          </w:p>
        </w:tc>
      </w:tr>
      <w:tr w:rsidR="00EE33D9" w:rsidRPr="00982C2B" w:rsidTr="00C643DA">
        <w:trPr>
          <w:cantSplit/>
        </w:trPr>
        <w:tc>
          <w:tcPr>
            <w:tcW w:w="4410" w:type="dxa"/>
            <w:gridSpan w:val="2"/>
          </w:tcPr>
          <w:p w:rsidR="00EE33D9" w:rsidRPr="00982C2B" w:rsidRDefault="00EE33D9" w:rsidP="00EE33D9">
            <w:pPr>
              <w:jc w:val="both"/>
              <w:rPr>
                <w:rFonts w:cs="Times New Roman"/>
                <w:sz w:val="20"/>
                <w:szCs w:val="20"/>
              </w:rPr>
            </w:pPr>
            <w:r w:rsidRPr="00982C2B">
              <w:rPr>
                <w:rFonts w:cs="Times New Roman"/>
                <w:sz w:val="20"/>
                <w:szCs w:val="20"/>
              </w:rPr>
              <w:t>October 27, 2015</w:t>
            </w:r>
          </w:p>
          <w:p w:rsidR="00EE33D9" w:rsidRPr="00982C2B" w:rsidRDefault="00EE33D9" w:rsidP="00EE33D9">
            <w:pPr>
              <w:jc w:val="both"/>
              <w:rPr>
                <w:rFonts w:cs="Times New Roman"/>
                <w:sz w:val="20"/>
                <w:szCs w:val="20"/>
              </w:rPr>
            </w:pPr>
            <w:r w:rsidRPr="00982C2B">
              <w:rPr>
                <w:rFonts w:cs="Times New Roman"/>
                <w:sz w:val="20"/>
                <w:szCs w:val="20"/>
              </w:rPr>
              <w:t>Federal Court of Appeal</w:t>
            </w:r>
          </w:p>
          <w:p w:rsidR="00EE33D9" w:rsidRPr="00982C2B" w:rsidRDefault="00EE33D9" w:rsidP="00EE33D9">
            <w:pPr>
              <w:jc w:val="both"/>
              <w:rPr>
                <w:rFonts w:cs="Times New Roman"/>
                <w:sz w:val="20"/>
                <w:szCs w:val="20"/>
              </w:rPr>
            </w:pPr>
            <w:r w:rsidRPr="00982C2B">
              <w:rPr>
                <w:rFonts w:cs="Times New Roman"/>
                <w:sz w:val="20"/>
                <w:szCs w:val="20"/>
              </w:rPr>
              <w:t>(Dawson, Stratas and De Montigny J.A.)</w:t>
            </w:r>
          </w:p>
          <w:p w:rsidR="00EE33D9" w:rsidRPr="00982C2B" w:rsidRDefault="009F3029" w:rsidP="00EE33D9">
            <w:pPr>
              <w:jc w:val="both"/>
              <w:rPr>
                <w:rFonts w:cs="Times New Roman"/>
                <w:sz w:val="20"/>
                <w:szCs w:val="20"/>
                <w:lang w:val="fr-FR"/>
              </w:rPr>
            </w:pPr>
            <w:hyperlink r:id="rId100" w:history="1">
              <w:r w:rsidR="00EE33D9" w:rsidRPr="00982C2B">
                <w:rPr>
                  <w:rStyle w:val="Hyperlink"/>
                  <w:rFonts w:cs="Times New Roman"/>
                  <w:sz w:val="20"/>
                  <w:szCs w:val="20"/>
                  <w:lang w:val="fr-FR"/>
                </w:rPr>
                <w:t>2015 FCA 229</w:t>
              </w:r>
            </w:hyperlink>
          </w:p>
          <w:p w:rsidR="00EE33D9" w:rsidRPr="00982C2B" w:rsidRDefault="00EE33D9" w:rsidP="00EE33D9">
            <w:pPr>
              <w:jc w:val="both"/>
              <w:rPr>
                <w:rFonts w:cs="Times New Roman"/>
                <w:sz w:val="20"/>
                <w:szCs w:val="20"/>
              </w:rPr>
            </w:pPr>
          </w:p>
        </w:tc>
        <w:tc>
          <w:tcPr>
            <w:tcW w:w="630" w:type="dxa"/>
          </w:tcPr>
          <w:p w:rsidR="00EE33D9" w:rsidRPr="00982C2B" w:rsidRDefault="00EE33D9" w:rsidP="00EE33D9">
            <w:pPr>
              <w:pStyle w:val="SCCShortJudgment"/>
              <w:ind w:firstLine="0"/>
              <w:rPr>
                <w:rFonts w:cs="Times New Roman"/>
                <w:szCs w:val="20"/>
              </w:rPr>
            </w:pPr>
          </w:p>
        </w:tc>
        <w:tc>
          <w:tcPr>
            <w:tcW w:w="4536" w:type="dxa"/>
          </w:tcPr>
          <w:p w:rsidR="00EE33D9" w:rsidRPr="00982C2B" w:rsidRDefault="00EE33D9" w:rsidP="00EE33D9">
            <w:pPr>
              <w:jc w:val="both"/>
              <w:rPr>
                <w:rFonts w:cs="Times New Roman"/>
                <w:sz w:val="20"/>
                <w:szCs w:val="20"/>
              </w:rPr>
            </w:pPr>
            <w:r w:rsidRPr="00982C2B">
              <w:rPr>
                <w:rFonts w:cs="Times New Roman"/>
                <w:sz w:val="20"/>
                <w:szCs w:val="20"/>
              </w:rPr>
              <w:t>Applicant’s appeal dismissed</w:t>
            </w:r>
          </w:p>
          <w:p w:rsidR="00EE33D9" w:rsidRPr="00982C2B" w:rsidRDefault="00EE33D9" w:rsidP="00EE33D9">
            <w:pPr>
              <w:jc w:val="both"/>
              <w:rPr>
                <w:rFonts w:cs="Times New Roman"/>
                <w:sz w:val="20"/>
                <w:szCs w:val="20"/>
              </w:rPr>
            </w:pPr>
          </w:p>
        </w:tc>
      </w:tr>
      <w:tr w:rsidR="00EE33D9" w:rsidRPr="00982C2B" w:rsidTr="00C643DA">
        <w:trPr>
          <w:cantSplit/>
        </w:trPr>
        <w:tc>
          <w:tcPr>
            <w:tcW w:w="4410" w:type="dxa"/>
            <w:gridSpan w:val="2"/>
          </w:tcPr>
          <w:p w:rsidR="00EE33D9" w:rsidRPr="00982C2B" w:rsidRDefault="00EE33D9" w:rsidP="00EE33D9">
            <w:pPr>
              <w:jc w:val="both"/>
              <w:rPr>
                <w:rFonts w:cs="Times New Roman"/>
                <w:sz w:val="20"/>
                <w:szCs w:val="20"/>
              </w:rPr>
            </w:pPr>
            <w:r w:rsidRPr="00982C2B">
              <w:rPr>
                <w:rFonts w:cs="Times New Roman"/>
                <w:sz w:val="20"/>
                <w:szCs w:val="20"/>
              </w:rPr>
              <w:t>December 11, 2015</w:t>
            </w:r>
          </w:p>
          <w:p w:rsidR="00EE33D9" w:rsidRPr="00982C2B" w:rsidRDefault="00EE33D9" w:rsidP="00EE33D9">
            <w:pPr>
              <w:jc w:val="both"/>
              <w:rPr>
                <w:rFonts w:cs="Times New Roman"/>
                <w:sz w:val="20"/>
                <w:szCs w:val="20"/>
              </w:rPr>
            </w:pPr>
            <w:r w:rsidRPr="00982C2B">
              <w:rPr>
                <w:rFonts w:cs="Times New Roman"/>
                <w:sz w:val="20"/>
                <w:szCs w:val="20"/>
              </w:rPr>
              <w:t>Supreme Court of Canada</w:t>
            </w:r>
          </w:p>
        </w:tc>
        <w:tc>
          <w:tcPr>
            <w:tcW w:w="630" w:type="dxa"/>
          </w:tcPr>
          <w:p w:rsidR="00EE33D9" w:rsidRPr="00982C2B" w:rsidRDefault="00EE33D9" w:rsidP="00EE33D9">
            <w:pPr>
              <w:pStyle w:val="SCCShortJudgment"/>
              <w:ind w:firstLine="0"/>
              <w:rPr>
                <w:rFonts w:cs="Times New Roman"/>
                <w:szCs w:val="20"/>
              </w:rPr>
            </w:pPr>
          </w:p>
        </w:tc>
        <w:tc>
          <w:tcPr>
            <w:tcW w:w="4536" w:type="dxa"/>
          </w:tcPr>
          <w:p w:rsidR="00EE33D9" w:rsidRPr="00982C2B" w:rsidRDefault="00EE33D9" w:rsidP="00EE33D9">
            <w:pPr>
              <w:jc w:val="both"/>
              <w:rPr>
                <w:rFonts w:cs="Times New Roman"/>
                <w:sz w:val="20"/>
                <w:szCs w:val="20"/>
              </w:rPr>
            </w:pPr>
            <w:r w:rsidRPr="00982C2B">
              <w:rPr>
                <w:rFonts w:cs="Times New Roman"/>
                <w:sz w:val="20"/>
                <w:szCs w:val="20"/>
              </w:rPr>
              <w:t>Application for leave to appeal filed</w:t>
            </w:r>
          </w:p>
          <w:p w:rsidR="00EE33D9" w:rsidRPr="00982C2B" w:rsidRDefault="00EE33D9" w:rsidP="00EE33D9">
            <w:pPr>
              <w:jc w:val="both"/>
              <w:rPr>
                <w:rFonts w:cs="Times New Roman"/>
                <w:sz w:val="20"/>
                <w:szCs w:val="20"/>
              </w:rPr>
            </w:pPr>
          </w:p>
        </w:tc>
      </w:tr>
      <w:tr w:rsidR="00EE33D9" w:rsidRPr="00982C2B" w:rsidTr="00C643DA">
        <w:trPr>
          <w:cantSplit/>
        </w:trPr>
        <w:tc>
          <w:tcPr>
            <w:tcW w:w="9576" w:type="dxa"/>
            <w:gridSpan w:val="4"/>
          </w:tcPr>
          <w:p w:rsidR="00EE33D9" w:rsidRPr="00982C2B" w:rsidRDefault="009F3029" w:rsidP="00C643DA">
            <w:pPr>
              <w:pStyle w:val="SCCShortJudgment"/>
              <w:ind w:firstLine="0"/>
              <w:rPr>
                <w:rFonts w:cs="Times New Roman"/>
                <w:szCs w:val="20"/>
                <w:lang w:val="fr-CA"/>
              </w:rPr>
            </w:pPr>
            <w:r>
              <w:rPr>
                <w:rFonts w:cs="Times New Roman"/>
                <w:szCs w:val="20"/>
                <w:lang w:val="fr-CA"/>
              </w:rPr>
              <w:pict>
                <v:rect id="_x0000_i1081" style="width:2in;height:1pt" o:hrpct="0" o:hralign="center" o:hrstd="t" o:hrnoshade="t" o:hr="t" fillcolor="black [3213]" stroked="f"/>
              </w:pict>
            </w:r>
          </w:p>
          <w:p w:rsidR="00EE33D9" w:rsidRPr="00982C2B" w:rsidRDefault="00EE33D9" w:rsidP="00C643DA">
            <w:pPr>
              <w:pStyle w:val="SCCShortJudgment"/>
              <w:ind w:firstLine="0"/>
              <w:rPr>
                <w:rFonts w:cs="Times New Roman"/>
                <w:szCs w:val="20"/>
                <w:lang w:val="fr-CA"/>
              </w:rPr>
            </w:pPr>
          </w:p>
        </w:tc>
      </w:tr>
      <w:tr w:rsidR="00EE33D9" w:rsidRPr="00982C2B" w:rsidTr="00C643DA">
        <w:trPr>
          <w:cantSplit/>
        </w:trPr>
        <w:tc>
          <w:tcPr>
            <w:tcW w:w="9576" w:type="dxa"/>
            <w:gridSpan w:val="4"/>
          </w:tcPr>
          <w:p w:rsidR="00EE33D9" w:rsidRPr="00982C2B" w:rsidRDefault="00EE33D9" w:rsidP="00C643DA">
            <w:pPr>
              <w:pStyle w:val="SCCShortJudgment"/>
              <w:ind w:firstLine="0"/>
              <w:rPr>
                <w:rFonts w:cs="Times New Roman"/>
                <w:szCs w:val="20"/>
                <w:u w:val="single"/>
                <w:lang w:val="fr-CA"/>
              </w:rPr>
            </w:pPr>
            <w:r w:rsidRPr="00982C2B">
              <w:rPr>
                <w:rFonts w:cs="Times New Roman"/>
                <w:szCs w:val="20"/>
              </w:rPr>
              <w:br w:type="page"/>
            </w:r>
            <w:r w:rsidRPr="00982C2B">
              <w:rPr>
                <w:rFonts w:cs="Times New Roman"/>
                <w:szCs w:val="20"/>
                <w:u w:val="single"/>
                <w:lang w:val="fr-CA"/>
              </w:rPr>
              <w:t>RÉSUMÉ DE L’AFFAIRE </w:t>
            </w:r>
          </w:p>
          <w:p w:rsidR="00EE33D9" w:rsidRPr="00982C2B" w:rsidRDefault="00EE33D9" w:rsidP="00C643DA">
            <w:pPr>
              <w:pStyle w:val="SCCShortJudgment"/>
              <w:ind w:firstLine="0"/>
              <w:rPr>
                <w:rFonts w:cs="Times New Roman"/>
                <w:szCs w:val="20"/>
                <w:u w:val="single"/>
                <w:lang w:val="fr-CA"/>
              </w:rPr>
            </w:pPr>
          </w:p>
        </w:tc>
      </w:tr>
      <w:tr w:rsidR="00EE33D9" w:rsidRPr="009F3029" w:rsidTr="00C643DA">
        <w:trPr>
          <w:cantSplit/>
        </w:trPr>
        <w:tc>
          <w:tcPr>
            <w:tcW w:w="9576" w:type="dxa"/>
            <w:gridSpan w:val="4"/>
          </w:tcPr>
          <w:p w:rsidR="00EE33D9" w:rsidRPr="00982C2B" w:rsidRDefault="00EE33D9" w:rsidP="00EE33D9">
            <w:pPr>
              <w:pStyle w:val="SCCShortJudgment"/>
              <w:ind w:firstLine="0"/>
              <w:rPr>
                <w:rFonts w:cs="Times New Roman"/>
                <w:szCs w:val="20"/>
                <w:lang w:val="fr-CA"/>
              </w:rPr>
            </w:pPr>
            <w:r w:rsidRPr="00982C2B">
              <w:rPr>
                <w:rFonts w:cs="Times New Roman"/>
                <w:szCs w:val="20"/>
                <w:lang w:val="fr-CA"/>
              </w:rPr>
              <w:t>Jugements et ordonnances — Jugements sommaires — La déclaration de la demanderesse a été radiée, faute d’assise juridique — La Cour d’appel fédérale a-t-elle eu tort de statuer que la déclaration n’alléguait aucun fondement juridique qui obligerait l’intimée à prendre des mesures au nom de la demanderesse devant la Commission interaméricaine des droits de l’homme, que le Canada n’était pas obligé d’aider la demanderesse en tant que signataire de la</w:t>
            </w:r>
            <w:r w:rsidRPr="00982C2B">
              <w:rPr>
                <w:rFonts w:cs="Times New Roman"/>
                <w:i/>
                <w:szCs w:val="20"/>
                <w:lang w:val="fr-CA"/>
              </w:rPr>
              <w:t xml:space="preserve"> Convention américaine relative aux droits de l’homme</w:t>
            </w:r>
            <w:r w:rsidRPr="00982C2B">
              <w:rPr>
                <w:rFonts w:cs="Times New Roman"/>
                <w:szCs w:val="20"/>
                <w:lang w:val="fr-CA"/>
              </w:rPr>
              <w:t xml:space="preserve"> et que le Canada n’avait aucune obligation fiduciaire envers la demanderesse, vu l’allégation selon laquelle il avait violé la </w:t>
            </w:r>
            <w:r w:rsidRPr="00982C2B">
              <w:rPr>
                <w:rFonts w:cs="Times New Roman"/>
                <w:i/>
                <w:szCs w:val="20"/>
                <w:lang w:val="fr-CA"/>
              </w:rPr>
              <w:t>Convention américaine relative aux droits de l’homme</w:t>
            </w:r>
            <w:r w:rsidRPr="00982C2B">
              <w:rPr>
                <w:rFonts w:cs="Times New Roman"/>
                <w:szCs w:val="20"/>
                <w:lang w:val="fr-CA"/>
              </w:rPr>
              <w:t>?</w:t>
            </w:r>
          </w:p>
          <w:p w:rsidR="00EE33D9" w:rsidRPr="00982C2B" w:rsidRDefault="00EE33D9" w:rsidP="00EE33D9">
            <w:pPr>
              <w:pStyle w:val="SCCShortJudgment"/>
              <w:ind w:firstLine="0"/>
              <w:rPr>
                <w:rFonts w:cs="Times New Roman"/>
                <w:szCs w:val="20"/>
                <w:u w:val="single"/>
                <w:lang w:val="fr-CA"/>
              </w:rPr>
            </w:pPr>
          </w:p>
        </w:tc>
      </w:tr>
      <w:tr w:rsidR="00EE33D9" w:rsidRPr="00982C2B" w:rsidTr="002C243F">
        <w:tc>
          <w:tcPr>
            <w:tcW w:w="9576" w:type="dxa"/>
            <w:gridSpan w:val="4"/>
          </w:tcPr>
          <w:p w:rsidR="00EE33D9" w:rsidRPr="00982C2B" w:rsidRDefault="00EE33D9" w:rsidP="00EE33D9">
            <w:pPr>
              <w:jc w:val="both"/>
              <w:rPr>
                <w:rFonts w:cs="Times New Roman"/>
                <w:sz w:val="20"/>
                <w:szCs w:val="20"/>
                <w:u w:val="single"/>
                <w:lang w:val="fr-CA"/>
              </w:rPr>
            </w:pPr>
            <w:r w:rsidRPr="00982C2B">
              <w:rPr>
                <w:rFonts w:cs="Times New Roman"/>
                <w:sz w:val="20"/>
                <w:szCs w:val="20"/>
                <w:lang w:val="fr-CA"/>
              </w:rPr>
              <w:t xml:space="preserve">La demanderesse croyait que son obstétricien avait causé la mort de son enfant à naître en 1981.  Elle a demandé que des accusations au criminel pour voies de fait causant des lésions corporelles soient portées contre l’obstétricien. Le juge de paix a refusé de délivrer un acte d’accusation sur le fondement de la dénonciation qu’elle avait déposée au tribunal. La demanderesse a également porté plainte au Conseil des coroners de la Province de l’Ontario, alléguant que l’obstétricien avait commis une faute. Le coroner en chef a conclu que sa plainte était mal fondée. Madame Paul a ensuite déposé une requête au secrétaire de la Commission interaméricaine des droits de l’homme (« CIDH ») en 2009, alléguant que ses droits de la personne avaient été violés en raison du refus par le juge de paix de délivrer un acte d’accusation et parce que le Conseil des coroners avait omis de traiter la faute alléguée de l’obstétricien. Vu le peu de suites données à sa pétition, Mme Paul a déposé une déclaration, sollicitant un jugement déclarant que la Commission avait un devoir moral ou autre de faire en sorte que sa requête soit traitée en temps opportun. L’intimée a demandé la radiation de la déclaration. </w:t>
            </w:r>
          </w:p>
        </w:tc>
      </w:tr>
      <w:tr w:rsidR="00EE33D9" w:rsidRPr="00982C2B" w:rsidTr="00C643DA">
        <w:trPr>
          <w:cantSplit/>
        </w:trPr>
        <w:tc>
          <w:tcPr>
            <w:tcW w:w="9576" w:type="dxa"/>
            <w:gridSpan w:val="4"/>
          </w:tcPr>
          <w:p w:rsidR="00EE33D9" w:rsidRPr="00982C2B" w:rsidRDefault="00EE33D9" w:rsidP="00EE33D9">
            <w:pPr>
              <w:pStyle w:val="SCCShortJudgment"/>
              <w:ind w:firstLine="0"/>
              <w:rPr>
                <w:rFonts w:cs="Times New Roman"/>
                <w:szCs w:val="20"/>
                <w:u w:val="single"/>
                <w:lang w:val="fr-CA"/>
              </w:rPr>
            </w:pPr>
          </w:p>
        </w:tc>
      </w:tr>
      <w:tr w:rsidR="00EE33D9" w:rsidRPr="009F3029" w:rsidTr="00C643DA">
        <w:trPr>
          <w:cantSplit/>
        </w:trPr>
        <w:tc>
          <w:tcPr>
            <w:tcW w:w="4410" w:type="dxa"/>
            <w:gridSpan w:val="2"/>
          </w:tcPr>
          <w:p w:rsidR="00EE33D9" w:rsidRPr="00982C2B" w:rsidRDefault="00EE33D9" w:rsidP="00EE33D9">
            <w:pPr>
              <w:jc w:val="both"/>
              <w:rPr>
                <w:rFonts w:cs="Times New Roman"/>
                <w:sz w:val="20"/>
                <w:szCs w:val="20"/>
                <w:lang w:val="fr-CA"/>
              </w:rPr>
            </w:pPr>
            <w:r w:rsidRPr="00982C2B">
              <w:rPr>
                <w:rFonts w:cs="Times New Roman"/>
                <w:sz w:val="20"/>
                <w:szCs w:val="20"/>
                <w:lang w:val="fr-CA"/>
              </w:rPr>
              <w:t>27 novembre 2014</w:t>
            </w:r>
          </w:p>
          <w:p w:rsidR="00EE33D9" w:rsidRPr="00982C2B" w:rsidRDefault="00EE33D9" w:rsidP="00EE33D9">
            <w:pPr>
              <w:jc w:val="both"/>
              <w:rPr>
                <w:rFonts w:cs="Times New Roman"/>
                <w:sz w:val="20"/>
                <w:szCs w:val="20"/>
                <w:lang w:val="fr-CA"/>
              </w:rPr>
            </w:pPr>
            <w:r w:rsidRPr="00982C2B">
              <w:rPr>
                <w:rFonts w:cs="Times New Roman"/>
                <w:sz w:val="20"/>
                <w:szCs w:val="20"/>
                <w:lang w:val="fr-CA"/>
              </w:rPr>
              <w:t xml:space="preserve">Cour fédérale </w:t>
            </w:r>
          </w:p>
          <w:p w:rsidR="00EE33D9" w:rsidRPr="00982C2B" w:rsidRDefault="00EE33D9" w:rsidP="00EE33D9">
            <w:pPr>
              <w:jc w:val="both"/>
              <w:rPr>
                <w:rFonts w:cs="Times New Roman"/>
                <w:sz w:val="20"/>
                <w:szCs w:val="20"/>
                <w:lang w:val="fr-CA"/>
              </w:rPr>
            </w:pPr>
            <w:r w:rsidRPr="00982C2B">
              <w:rPr>
                <w:rFonts w:cs="Times New Roman"/>
                <w:sz w:val="20"/>
                <w:szCs w:val="20"/>
                <w:lang w:val="fr-CA"/>
              </w:rPr>
              <w:t>(Juge Hughes)</w:t>
            </w:r>
          </w:p>
          <w:p w:rsidR="00EE33D9" w:rsidRPr="00982C2B" w:rsidRDefault="00EE33D9" w:rsidP="00EE33D9">
            <w:pPr>
              <w:jc w:val="both"/>
              <w:rPr>
                <w:rFonts w:cs="Times New Roman"/>
                <w:sz w:val="20"/>
                <w:szCs w:val="20"/>
                <w:lang w:val="fr-CA"/>
              </w:rPr>
            </w:pPr>
            <w:r w:rsidRPr="00982C2B">
              <w:rPr>
                <w:rFonts w:cs="Times New Roman"/>
                <w:sz w:val="20"/>
                <w:szCs w:val="20"/>
                <w:lang w:val="fr-CA"/>
              </w:rPr>
              <w:t>Non publié</w:t>
            </w:r>
          </w:p>
          <w:p w:rsidR="00EE33D9" w:rsidRPr="00982C2B" w:rsidRDefault="00EE33D9" w:rsidP="00EE33D9">
            <w:pPr>
              <w:pStyle w:val="SCCShortJudgment"/>
              <w:ind w:firstLine="0"/>
              <w:rPr>
                <w:rFonts w:cs="Times New Roman"/>
                <w:szCs w:val="20"/>
                <w:u w:val="single"/>
                <w:lang w:val="fr-CA"/>
              </w:rPr>
            </w:pPr>
          </w:p>
        </w:tc>
        <w:tc>
          <w:tcPr>
            <w:tcW w:w="630" w:type="dxa"/>
          </w:tcPr>
          <w:p w:rsidR="00EE33D9" w:rsidRPr="00982C2B" w:rsidRDefault="00EE33D9" w:rsidP="00EE33D9">
            <w:pPr>
              <w:pStyle w:val="SCCShortJudgment"/>
              <w:ind w:firstLine="0"/>
              <w:rPr>
                <w:rFonts w:cs="Times New Roman"/>
                <w:szCs w:val="20"/>
                <w:u w:val="single"/>
                <w:lang w:val="fr-CA"/>
              </w:rPr>
            </w:pPr>
          </w:p>
        </w:tc>
        <w:tc>
          <w:tcPr>
            <w:tcW w:w="4536" w:type="dxa"/>
          </w:tcPr>
          <w:p w:rsidR="00EE33D9" w:rsidRPr="00982C2B" w:rsidRDefault="00EE33D9" w:rsidP="00EE33D9">
            <w:pPr>
              <w:jc w:val="both"/>
              <w:rPr>
                <w:rFonts w:cs="Times New Roman"/>
                <w:sz w:val="20"/>
                <w:szCs w:val="20"/>
                <w:lang w:val="fr-CA"/>
              </w:rPr>
            </w:pPr>
            <w:r w:rsidRPr="00982C2B">
              <w:rPr>
                <w:rFonts w:cs="Times New Roman"/>
                <w:sz w:val="20"/>
                <w:szCs w:val="20"/>
                <w:lang w:val="fr-CA"/>
              </w:rPr>
              <w:t xml:space="preserve">Jugement accueillant la requête en radiation de la déclaration de la demanderesse; rejet de l’action </w:t>
            </w:r>
          </w:p>
          <w:p w:rsidR="00EE33D9" w:rsidRPr="00982C2B" w:rsidRDefault="00EE33D9" w:rsidP="00EE33D9">
            <w:pPr>
              <w:pStyle w:val="SCCShortJudgment"/>
              <w:ind w:firstLine="0"/>
              <w:rPr>
                <w:rFonts w:cs="Times New Roman"/>
                <w:szCs w:val="20"/>
                <w:u w:val="single"/>
                <w:lang w:val="fr-CA"/>
              </w:rPr>
            </w:pPr>
          </w:p>
        </w:tc>
      </w:tr>
      <w:tr w:rsidR="00EE33D9" w:rsidRPr="009F3029" w:rsidTr="00C643DA">
        <w:trPr>
          <w:cantSplit/>
        </w:trPr>
        <w:tc>
          <w:tcPr>
            <w:tcW w:w="4410" w:type="dxa"/>
            <w:gridSpan w:val="2"/>
          </w:tcPr>
          <w:p w:rsidR="00EE33D9" w:rsidRPr="00982C2B" w:rsidRDefault="00EE33D9" w:rsidP="00EE33D9">
            <w:pPr>
              <w:jc w:val="both"/>
              <w:rPr>
                <w:rFonts w:cs="Times New Roman"/>
                <w:sz w:val="20"/>
                <w:szCs w:val="20"/>
                <w:lang w:val="fr-CA"/>
              </w:rPr>
            </w:pPr>
            <w:r w:rsidRPr="00982C2B">
              <w:rPr>
                <w:rFonts w:cs="Times New Roman"/>
                <w:sz w:val="20"/>
                <w:szCs w:val="20"/>
                <w:lang w:val="fr-CA"/>
              </w:rPr>
              <w:t>27 octobre 2015</w:t>
            </w:r>
          </w:p>
          <w:p w:rsidR="00EE33D9" w:rsidRPr="00982C2B" w:rsidRDefault="00EE33D9" w:rsidP="00EE33D9">
            <w:pPr>
              <w:jc w:val="both"/>
              <w:rPr>
                <w:rFonts w:cs="Times New Roman"/>
                <w:sz w:val="20"/>
                <w:szCs w:val="20"/>
                <w:lang w:val="fr-CA"/>
              </w:rPr>
            </w:pPr>
            <w:r w:rsidRPr="00982C2B">
              <w:rPr>
                <w:rFonts w:cs="Times New Roman"/>
                <w:sz w:val="20"/>
                <w:szCs w:val="20"/>
                <w:lang w:val="fr-CA"/>
              </w:rPr>
              <w:t xml:space="preserve">Cour d’appel fédérale </w:t>
            </w:r>
          </w:p>
          <w:p w:rsidR="00EE33D9" w:rsidRPr="00982C2B" w:rsidRDefault="00EE33D9" w:rsidP="00EE33D9">
            <w:pPr>
              <w:jc w:val="both"/>
              <w:rPr>
                <w:rFonts w:cs="Times New Roman"/>
                <w:sz w:val="20"/>
                <w:szCs w:val="20"/>
                <w:lang w:val="fr-CA"/>
              </w:rPr>
            </w:pPr>
            <w:r w:rsidRPr="00982C2B">
              <w:rPr>
                <w:rFonts w:cs="Times New Roman"/>
                <w:sz w:val="20"/>
                <w:szCs w:val="20"/>
                <w:lang w:val="fr-CA"/>
              </w:rPr>
              <w:t>(Juges Dawson, Stratas et De Montigny)</w:t>
            </w:r>
          </w:p>
          <w:p w:rsidR="00EE33D9" w:rsidRPr="00982C2B" w:rsidRDefault="009F3029" w:rsidP="00EE33D9">
            <w:pPr>
              <w:jc w:val="both"/>
              <w:rPr>
                <w:rFonts w:cs="Times New Roman"/>
                <w:sz w:val="20"/>
                <w:szCs w:val="20"/>
                <w:lang w:val="fr-CA"/>
              </w:rPr>
            </w:pPr>
            <w:hyperlink r:id="rId101" w:history="1">
              <w:r w:rsidR="00EE33D9" w:rsidRPr="00982C2B">
                <w:rPr>
                  <w:rStyle w:val="Hyperlink"/>
                  <w:rFonts w:cs="Times New Roman"/>
                  <w:sz w:val="20"/>
                  <w:szCs w:val="20"/>
                  <w:lang w:val="fr-CA"/>
                </w:rPr>
                <w:t>2015 FCA 229</w:t>
              </w:r>
            </w:hyperlink>
          </w:p>
          <w:p w:rsidR="00EE33D9" w:rsidRPr="00982C2B" w:rsidRDefault="00EE33D9" w:rsidP="00EE33D9">
            <w:pPr>
              <w:pStyle w:val="SCCShortJudgment"/>
              <w:ind w:firstLine="0"/>
              <w:rPr>
                <w:rFonts w:cs="Times New Roman"/>
                <w:szCs w:val="20"/>
                <w:u w:val="single"/>
                <w:lang w:val="fr-CA"/>
              </w:rPr>
            </w:pPr>
          </w:p>
        </w:tc>
        <w:tc>
          <w:tcPr>
            <w:tcW w:w="630" w:type="dxa"/>
          </w:tcPr>
          <w:p w:rsidR="00EE33D9" w:rsidRPr="00982C2B" w:rsidRDefault="00EE33D9" w:rsidP="00EE33D9">
            <w:pPr>
              <w:pStyle w:val="SCCShortJudgment"/>
              <w:ind w:firstLine="0"/>
              <w:rPr>
                <w:rFonts w:cs="Times New Roman"/>
                <w:szCs w:val="20"/>
                <w:u w:val="single"/>
                <w:lang w:val="fr-CA"/>
              </w:rPr>
            </w:pPr>
          </w:p>
        </w:tc>
        <w:tc>
          <w:tcPr>
            <w:tcW w:w="4536" w:type="dxa"/>
          </w:tcPr>
          <w:p w:rsidR="00EE33D9" w:rsidRPr="00982C2B" w:rsidRDefault="00EE33D9" w:rsidP="00EE33D9">
            <w:pPr>
              <w:jc w:val="both"/>
              <w:rPr>
                <w:rFonts w:cs="Times New Roman"/>
                <w:sz w:val="20"/>
                <w:szCs w:val="20"/>
                <w:lang w:val="fr-CA"/>
              </w:rPr>
            </w:pPr>
            <w:r w:rsidRPr="00982C2B">
              <w:rPr>
                <w:rFonts w:cs="Times New Roman"/>
                <w:sz w:val="20"/>
                <w:szCs w:val="20"/>
                <w:lang w:val="fr-CA"/>
              </w:rPr>
              <w:t>Rejet de l’appel de la demanderesse</w:t>
            </w:r>
          </w:p>
          <w:p w:rsidR="00EE33D9" w:rsidRPr="00982C2B" w:rsidRDefault="00EE33D9" w:rsidP="00EE33D9">
            <w:pPr>
              <w:pStyle w:val="SCCShortJudgment"/>
              <w:ind w:firstLine="0"/>
              <w:rPr>
                <w:rFonts w:cs="Times New Roman"/>
                <w:szCs w:val="20"/>
                <w:u w:val="single"/>
                <w:lang w:val="fr-CA"/>
              </w:rPr>
            </w:pPr>
          </w:p>
        </w:tc>
      </w:tr>
      <w:tr w:rsidR="00EE33D9" w:rsidRPr="009F3029" w:rsidTr="00C643DA">
        <w:trPr>
          <w:cantSplit/>
        </w:trPr>
        <w:tc>
          <w:tcPr>
            <w:tcW w:w="4410" w:type="dxa"/>
            <w:gridSpan w:val="2"/>
          </w:tcPr>
          <w:p w:rsidR="00EE33D9" w:rsidRPr="00982C2B" w:rsidRDefault="00EE33D9" w:rsidP="00EE33D9">
            <w:pPr>
              <w:jc w:val="both"/>
              <w:rPr>
                <w:rFonts w:cs="Times New Roman"/>
                <w:sz w:val="20"/>
                <w:szCs w:val="20"/>
                <w:lang w:val="fr-CA"/>
              </w:rPr>
            </w:pPr>
            <w:r w:rsidRPr="00982C2B">
              <w:rPr>
                <w:rFonts w:cs="Times New Roman"/>
                <w:sz w:val="20"/>
                <w:szCs w:val="20"/>
                <w:lang w:val="fr-CA"/>
              </w:rPr>
              <w:t>11 décembre 2015</w:t>
            </w:r>
          </w:p>
          <w:p w:rsidR="00EE33D9" w:rsidRPr="00982C2B" w:rsidRDefault="00EE33D9" w:rsidP="00EE33D9">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EE33D9" w:rsidRPr="00982C2B" w:rsidRDefault="00EE33D9" w:rsidP="00EE33D9">
            <w:pPr>
              <w:pStyle w:val="SCCShortJudgment"/>
              <w:ind w:firstLine="0"/>
              <w:rPr>
                <w:rFonts w:cs="Times New Roman"/>
                <w:szCs w:val="20"/>
                <w:u w:val="single"/>
                <w:lang w:val="fr-CA"/>
              </w:rPr>
            </w:pPr>
          </w:p>
        </w:tc>
        <w:tc>
          <w:tcPr>
            <w:tcW w:w="4536" w:type="dxa"/>
          </w:tcPr>
          <w:p w:rsidR="00EE33D9" w:rsidRPr="00982C2B" w:rsidRDefault="00EE33D9" w:rsidP="00EE33D9">
            <w:pPr>
              <w:pStyle w:val="SCCShortJudgment"/>
              <w:ind w:firstLine="0"/>
              <w:rPr>
                <w:rFonts w:cs="Times New Roman"/>
                <w:szCs w:val="20"/>
                <w:u w:val="single"/>
                <w:lang w:val="fr-CA"/>
              </w:rPr>
            </w:pPr>
            <w:r w:rsidRPr="00982C2B">
              <w:rPr>
                <w:rFonts w:cs="Times New Roman"/>
                <w:szCs w:val="20"/>
                <w:lang w:val="fr-CA"/>
              </w:rPr>
              <w:t>Dépôt de la demande d’autorisation d’appel</w:t>
            </w:r>
          </w:p>
        </w:tc>
      </w:tr>
    </w:tbl>
    <w:p w:rsidR="00EE33D9" w:rsidRPr="00982C2B" w:rsidRDefault="009F3029" w:rsidP="00EE33D9">
      <w:pPr>
        <w:rPr>
          <w:rFonts w:cs="Times New Roman"/>
          <w:sz w:val="20"/>
          <w:szCs w:val="20"/>
          <w:lang w:val="fr-CA"/>
        </w:rPr>
      </w:pPr>
      <w:r>
        <w:rPr>
          <w:rFonts w:cs="Times New Roman"/>
          <w:sz w:val="20"/>
          <w:szCs w:val="20"/>
          <w:lang w:val="fr-CA"/>
        </w:rPr>
        <w:pict>
          <v:rect id="_x0000_i1082" style="width:2in;height:1pt" o:hrpct="0" o:hralign="center" o:hrstd="t" o:hrnoshade="t" o:hr="t" fillcolor="black [3213]" stroked="f"/>
        </w:pict>
      </w:r>
    </w:p>
    <w:p w:rsidR="00EE33D9" w:rsidRPr="00982C2B" w:rsidRDefault="00EE33D9" w:rsidP="00EE33D9">
      <w:pPr>
        <w:rPr>
          <w:rFonts w:cs="Times New Roman"/>
          <w:sz w:val="20"/>
          <w:szCs w:val="20"/>
        </w:rPr>
      </w:pPr>
    </w:p>
    <w:p w:rsidR="005F31B9" w:rsidRDefault="005F31B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7415D1" w:rsidRPr="00982C2B" w:rsidTr="007415D1">
        <w:tc>
          <w:tcPr>
            <w:tcW w:w="1458" w:type="dxa"/>
          </w:tcPr>
          <w:p w:rsidR="007415D1" w:rsidRPr="00982C2B" w:rsidRDefault="007415D1" w:rsidP="00C643DA">
            <w:pPr>
              <w:jc w:val="both"/>
              <w:rPr>
                <w:rFonts w:cs="Times New Roman"/>
                <w:sz w:val="20"/>
                <w:szCs w:val="20"/>
              </w:rPr>
            </w:pPr>
            <w:r w:rsidRPr="00982C2B">
              <w:rPr>
                <w:rStyle w:val="SCCFileNumberChar"/>
                <w:sz w:val="20"/>
                <w:szCs w:val="20"/>
              </w:rPr>
              <w:t>36781</w:t>
            </w:r>
          </w:p>
          <w:p w:rsidR="007415D1" w:rsidRPr="00982C2B" w:rsidRDefault="007415D1" w:rsidP="00C643DA">
            <w:pPr>
              <w:jc w:val="both"/>
              <w:rPr>
                <w:rFonts w:cs="Times New Roman"/>
                <w:b/>
                <w:sz w:val="20"/>
                <w:szCs w:val="20"/>
              </w:rPr>
            </w:pPr>
          </w:p>
        </w:tc>
        <w:tc>
          <w:tcPr>
            <w:tcW w:w="8118" w:type="dxa"/>
            <w:gridSpan w:val="3"/>
          </w:tcPr>
          <w:p w:rsidR="007415D1" w:rsidRPr="00982C2B" w:rsidRDefault="007415D1" w:rsidP="00C643DA">
            <w:pPr>
              <w:jc w:val="both"/>
              <w:rPr>
                <w:rFonts w:cs="Times New Roman"/>
                <w:sz w:val="20"/>
                <w:szCs w:val="20"/>
              </w:rPr>
            </w:pPr>
            <w:r w:rsidRPr="00982C2B">
              <w:rPr>
                <w:rStyle w:val="SCCLsocChar"/>
                <w:rFonts w:cs="Times New Roman"/>
                <w:sz w:val="20"/>
                <w:szCs w:val="20"/>
                <w:lang w:val="en-CA"/>
              </w:rPr>
              <w:t>Ray Castro v. Her Majesty the Queen</w:t>
            </w:r>
            <w:r w:rsidRPr="00982C2B">
              <w:rPr>
                <w:rStyle w:val="SCCLsocChar"/>
                <w:rFonts w:cs="Times New Roman"/>
                <w:sz w:val="20"/>
                <w:szCs w:val="20"/>
                <w:u w:val="none"/>
                <w:lang w:val="en-CA"/>
              </w:rPr>
              <w:t xml:space="preserve"> </w:t>
            </w:r>
            <w:r w:rsidRPr="00982C2B">
              <w:rPr>
                <w:rFonts w:cs="Times New Roman"/>
                <w:sz w:val="20"/>
                <w:szCs w:val="20"/>
              </w:rPr>
              <w:t>(F.C.) (Civil) (By Leave)</w:t>
            </w:r>
          </w:p>
          <w:p w:rsidR="007415D1" w:rsidRPr="00982C2B" w:rsidRDefault="007415D1" w:rsidP="00C643DA">
            <w:pPr>
              <w:jc w:val="both"/>
              <w:rPr>
                <w:rFonts w:cs="Times New Roman"/>
                <w:sz w:val="20"/>
                <w:szCs w:val="20"/>
              </w:rPr>
            </w:pPr>
          </w:p>
        </w:tc>
      </w:tr>
      <w:tr w:rsidR="007415D1" w:rsidRPr="00982C2B" w:rsidTr="007415D1">
        <w:tc>
          <w:tcPr>
            <w:tcW w:w="1458" w:type="dxa"/>
          </w:tcPr>
          <w:p w:rsidR="007415D1" w:rsidRPr="00982C2B" w:rsidRDefault="007415D1" w:rsidP="00C643DA">
            <w:pPr>
              <w:jc w:val="both"/>
              <w:rPr>
                <w:rFonts w:cs="Times New Roman"/>
                <w:sz w:val="20"/>
                <w:szCs w:val="20"/>
              </w:rPr>
            </w:pPr>
            <w:r w:rsidRPr="00982C2B">
              <w:rPr>
                <w:rFonts w:cs="Times New Roman"/>
                <w:sz w:val="20"/>
                <w:szCs w:val="20"/>
              </w:rPr>
              <w:t>Coram :</w:t>
            </w:r>
          </w:p>
        </w:tc>
        <w:tc>
          <w:tcPr>
            <w:tcW w:w="8118" w:type="dxa"/>
            <w:gridSpan w:val="3"/>
          </w:tcPr>
          <w:p w:rsidR="007415D1" w:rsidRPr="00982C2B" w:rsidRDefault="007415D1" w:rsidP="00C643DA">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7415D1" w:rsidRPr="00982C2B" w:rsidRDefault="007415D1" w:rsidP="00C643DA">
            <w:pPr>
              <w:jc w:val="both"/>
              <w:rPr>
                <w:rFonts w:cs="Times New Roman"/>
                <w:sz w:val="20"/>
                <w:szCs w:val="20"/>
                <w:u w:val="single"/>
              </w:rPr>
            </w:pPr>
          </w:p>
        </w:tc>
      </w:tr>
      <w:tr w:rsidR="007415D1" w:rsidRPr="009F3029" w:rsidTr="007415D1">
        <w:tc>
          <w:tcPr>
            <w:tcW w:w="9576" w:type="dxa"/>
            <w:gridSpan w:val="4"/>
          </w:tcPr>
          <w:p w:rsidR="007415D1" w:rsidRPr="00982C2B" w:rsidRDefault="007415D1" w:rsidP="00C643DA">
            <w:pPr>
              <w:pStyle w:val="SCCShortJudgment"/>
              <w:ind w:firstLine="0"/>
              <w:rPr>
                <w:rFonts w:cs="Times New Roman"/>
                <w:szCs w:val="20"/>
              </w:rPr>
            </w:pPr>
            <w:r w:rsidRPr="00982C2B">
              <w:rPr>
                <w:rFonts w:cs="Times New Roman"/>
                <w:szCs w:val="20"/>
              </w:rPr>
              <w:tab/>
              <w:t>The application for leave to appeal from the judgment of the Federal Court of Appeal, Number A-255-14, 2015 FCA 225, dated October 26, 2015, is dismissed with costs.</w:t>
            </w:r>
          </w:p>
          <w:p w:rsidR="007415D1" w:rsidRPr="00982C2B" w:rsidRDefault="007415D1" w:rsidP="00C643DA">
            <w:pPr>
              <w:pStyle w:val="SCCShortJudgment"/>
              <w:ind w:firstLine="0"/>
              <w:rPr>
                <w:rFonts w:cs="Times New Roman"/>
                <w:szCs w:val="20"/>
              </w:rPr>
            </w:pPr>
          </w:p>
          <w:p w:rsidR="007415D1" w:rsidRPr="00982C2B" w:rsidRDefault="007415D1" w:rsidP="00C643DA">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fédérale</w:t>
            </w:r>
            <w:r w:rsidRPr="00982C2B">
              <w:rPr>
                <w:rFonts w:cs="Times New Roman"/>
                <w:szCs w:val="20"/>
                <w:lang w:val="fr-CA"/>
              </w:rPr>
              <w:t xml:space="preserve">, numéro </w:t>
            </w:r>
            <w:r w:rsidRPr="00982C2B">
              <w:rPr>
                <w:rFonts w:cs="Times New Roman"/>
                <w:szCs w:val="20"/>
                <w:lang w:val="fr-FR"/>
              </w:rPr>
              <w:t>A-255-14, 2015 FCA 225</w:t>
            </w:r>
            <w:r w:rsidRPr="00982C2B">
              <w:rPr>
                <w:rFonts w:cs="Times New Roman"/>
                <w:szCs w:val="20"/>
                <w:lang w:val="fr-CA"/>
              </w:rPr>
              <w:t xml:space="preserve">, daté du </w:t>
            </w:r>
            <w:r w:rsidRPr="00982C2B">
              <w:rPr>
                <w:rFonts w:cs="Times New Roman"/>
                <w:szCs w:val="20"/>
                <w:lang w:val="fr-FR"/>
              </w:rPr>
              <w:t>26 octobre 2015</w:t>
            </w:r>
            <w:r w:rsidRPr="00982C2B">
              <w:rPr>
                <w:rFonts w:cs="Times New Roman"/>
                <w:szCs w:val="20"/>
                <w:lang w:val="fr-CA"/>
              </w:rPr>
              <w:t>, est rejetée avec dépens.</w:t>
            </w:r>
          </w:p>
          <w:p w:rsidR="007415D1" w:rsidRPr="00982C2B" w:rsidRDefault="007415D1" w:rsidP="00C643DA">
            <w:pPr>
              <w:pStyle w:val="SCCShortJudgment"/>
              <w:ind w:firstLine="0"/>
              <w:rPr>
                <w:rFonts w:cs="Times New Roman"/>
                <w:szCs w:val="20"/>
                <w:lang w:val="fr-CA"/>
              </w:rPr>
            </w:pPr>
          </w:p>
        </w:tc>
      </w:tr>
      <w:tr w:rsidR="007415D1" w:rsidRPr="00982C2B" w:rsidTr="007415D1">
        <w:tc>
          <w:tcPr>
            <w:tcW w:w="9576" w:type="dxa"/>
            <w:gridSpan w:val="4"/>
          </w:tcPr>
          <w:p w:rsidR="007415D1" w:rsidRPr="00982C2B" w:rsidRDefault="007415D1" w:rsidP="00C643DA">
            <w:pPr>
              <w:pStyle w:val="SCCShortJudgment"/>
              <w:ind w:firstLine="0"/>
              <w:rPr>
                <w:rFonts w:cs="Times New Roman"/>
                <w:szCs w:val="20"/>
                <w:u w:val="single"/>
                <w:lang w:val="fr-CA"/>
              </w:rPr>
            </w:pPr>
            <w:r w:rsidRPr="00982C2B">
              <w:rPr>
                <w:rFonts w:cs="Times New Roman"/>
                <w:szCs w:val="20"/>
                <w:u w:val="single"/>
                <w:lang w:val="fr-CA"/>
              </w:rPr>
              <w:t>CASE SUMMARY</w:t>
            </w:r>
          </w:p>
          <w:p w:rsidR="007415D1" w:rsidRPr="00982C2B" w:rsidRDefault="007415D1" w:rsidP="00C643DA">
            <w:pPr>
              <w:pStyle w:val="SCCShortJudgment"/>
              <w:ind w:firstLine="0"/>
              <w:rPr>
                <w:rFonts w:cs="Times New Roman"/>
                <w:szCs w:val="20"/>
                <w:u w:val="single"/>
                <w:lang w:val="fr-CA"/>
              </w:rPr>
            </w:pPr>
          </w:p>
        </w:tc>
      </w:tr>
      <w:tr w:rsidR="007415D1" w:rsidRPr="00982C2B" w:rsidTr="007415D1">
        <w:tc>
          <w:tcPr>
            <w:tcW w:w="9576" w:type="dxa"/>
            <w:gridSpan w:val="4"/>
          </w:tcPr>
          <w:p w:rsidR="007415D1" w:rsidRPr="00982C2B" w:rsidRDefault="007415D1" w:rsidP="007415D1">
            <w:pPr>
              <w:pStyle w:val="SCCShortJudgment"/>
              <w:ind w:firstLine="0"/>
              <w:rPr>
                <w:rFonts w:cs="Times New Roman"/>
                <w:szCs w:val="20"/>
                <w:lang w:val="en-US"/>
              </w:rPr>
            </w:pPr>
            <w:r w:rsidRPr="00982C2B">
              <w:rPr>
                <w:rFonts w:cs="Times New Roman"/>
                <w:szCs w:val="20"/>
              </w:rPr>
              <w:t>Taxation — Income Tax — Assessment of charitable tax credits</w:t>
            </w:r>
            <w:r w:rsidRPr="00982C2B">
              <w:rPr>
                <w:rFonts w:cs="Times New Roman"/>
                <w:szCs w:val="20"/>
                <w:lang w:val="en-US"/>
              </w:rPr>
              <w:t xml:space="preserve"> — Whether the Federal Court of Appeal erred in its interpretation of a charitable donation tax credit pursuant to subsection 118.1(2) of the </w:t>
            </w:r>
            <w:r w:rsidRPr="00982C2B">
              <w:rPr>
                <w:rFonts w:cs="Times New Roman"/>
                <w:i/>
                <w:iCs/>
                <w:szCs w:val="20"/>
                <w:lang w:val="en-US"/>
              </w:rPr>
              <w:t>Income Tax Act</w:t>
            </w:r>
            <w:r w:rsidRPr="00982C2B">
              <w:rPr>
                <w:rFonts w:cs="Times New Roman"/>
                <w:iCs/>
                <w:szCs w:val="20"/>
                <w:lang w:val="en-US"/>
              </w:rPr>
              <w:t>,</w:t>
            </w:r>
            <w:r w:rsidRPr="00982C2B">
              <w:rPr>
                <w:rFonts w:cs="Times New Roman"/>
                <w:i/>
                <w:iCs/>
                <w:szCs w:val="20"/>
                <w:lang w:val="en-US"/>
              </w:rPr>
              <w:t xml:space="preserve"> </w:t>
            </w:r>
            <w:r w:rsidRPr="00982C2B">
              <w:rPr>
                <w:rFonts w:cs="Times New Roman"/>
                <w:szCs w:val="20"/>
                <w:lang w:val="en-US"/>
              </w:rPr>
              <w:t>R.S.C., c. 1 (5th Supp.) and subparagraph </w:t>
            </w:r>
            <w:r w:rsidRPr="00982C2B">
              <w:rPr>
                <w:rFonts w:cs="Times New Roman"/>
                <w:iCs/>
                <w:szCs w:val="20"/>
                <w:lang w:val="en-US"/>
              </w:rPr>
              <w:t>3501(1)(h)(i)</w:t>
            </w:r>
            <w:r w:rsidRPr="00982C2B">
              <w:rPr>
                <w:rFonts w:cs="Times New Roman"/>
                <w:i/>
                <w:iCs/>
                <w:szCs w:val="20"/>
                <w:lang w:val="en-US"/>
              </w:rPr>
              <w:t xml:space="preserve"> </w:t>
            </w:r>
            <w:r w:rsidRPr="00982C2B">
              <w:rPr>
                <w:rFonts w:cs="Times New Roman"/>
                <w:szCs w:val="20"/>
                <w:lang w:val="en-US"/>
              </w:rPr>
              <w:t xml:space="preserve">of the </w:t>
            </w:r>
            <w:r w:rsidRPr="00982C2B">
              <w:rPr>
                <w:rFonts w:cs="Times New Roman"/>
                <w:i/>
                <w:iCs/>
                <w:szCs w:val="20"/>
                <w:lang w:val="en-US"/>
              </w:rPr>
              <w:t>Income Tax Regulations</w:t>
            </w:r>
            <w:r w:rsidRPr="00982C2B">
              <w:rPr>
                <w:rFonts w:cs="Times New Roman"/>
                <w:iCs/>
                <w:szCs w:val="20"/>
                <w:lang w:val="en-US"/>
              </w:rPr>
              <w:t>,</w:t>
            </w:r>
            <w:r w:rsidRPr="00982C2B">
              <w:rPr>
                <w:rFonts w:cs="Times New Roman"/>
                <w:i/>
                <w:iCs/>
                <w:szCs w:val="20"/>
                <w:lang w:val="en-US"/>
              </w:rPr>
              <w:t xml:space="preserve"> </w:t>
            </w:r>
            <w:r w:rsidRPr="00982C2B">
              <w:rPr>
                <w:rFonts w:cs="Times New Roman"/>
                <w:szCs w:val="20"/>
                <w:lang w:val="en-US"/>
              </w:rPr>
              <w:t xml:space="preserve">C.R.C., c. 945 – Whether the Federal Court of Appeal’s interpretation is of national significance as it contradicts its previous decisions, thereby creating intolerable uncertainty in the interpretation of the </w:t>
            </w:r>
            <w:r w:rsidRPr="00982C2B">
              <w:rPr>
                <w:rFonts w:cs="Times New Roman"/>
                <w:i/>
                <w:iCs/>
                <w:szCs w:val="20"/>
                <w:lang w:val="en-US"/>
              </w:rPr>
              <w:t>Income Tax Act</w:t>
            </w:r>
            <w:r w:rsidRPr="00982C2B">
              <w:rPr>
                <w:rFonts w:cs="Times New Roman"/>
                <w:iCs/>
                <w:szCs w:val="20"/>
                <w:lang w:val="en-US"/>
              </w:rPr>
              <w:t xml:space="preserve">, an </w:t>
            </w:r>
            <w:r w:rsidRPr="00982C2B">
              <w:rPr>
                <w:rFonts w:cs="Times New Roman"/>
                <w:i/>
                <w:iCs/>
                <w:szCs w:val="20"/>
                <w:lang w:val="en-US"/>
              </w:rPr>
              <w:t xml:space="preserve">Act </w:t>
            </w:r>
            <w:r w:rsidRPr="00982C2B">
              <w:rPr>
                <w:rFonts w:cs="Times New Roman"/>
                <w:iCs/>
                <w:szCs w:val="20"/>
                <w:lang w:val="en-US"/>
              </w:rPr>
              <w:t>which affects all Canadians</w:t>
            </w:r>
            <w:r w:rsidRPr="00982C2B">
              <w:rPr>
                <w:rFonts w:cs="Times New Roman"/>
                <w:szCs w:val="20"/>
                <w:lang w:val="en-US"/>
              </w:rPr>
              <w:t>.</w:t>
            </w:r>
          </w:p>
          <w:p w:rsidR="007415D1" w:rsidRPr="00982C2B" w:rsidRDefault="007415D1" w:rsidP="007415D1">
            <w:pPr>
              <w:pStyle w:val="SCCShortJudgment"/>
              <w:ind w:firstLine="0"/>
              <w:rPr>
                <w:rFonts w:cs="Times New Roman"/>
                <w:szCs w:val="20"/>
              </w:rPr>
            </w:pPr>
          </w:p>
        </w:tc>
      </w:tr>
      <w:tr w:rsidR="007415D1" w:rsidRPr="00982C2B" w:rsidTr="007415D1">
        <w:tc>
          <w:tcPr>
            <w:tcW w:w="9576" w:type="dxa"/>
            <w:gridSpan w:val="4"/>
          </w:tcPr>
          <w:p w:rsidR="007415D1" w:rsidRPr="00982C2B" w:rsidRDefault="007415D1" w:rsidP="007415D1">
            <w:pPr>
              <w:jc w:val="both"/>
              <w:rPr>
                <w:rFonts w:cs="Times New Roman"/>
                <w:sz w:val="20"/>
                <w:szCs w:val="20"/>
              </w:rPr>
            </w:pPr>
            <w:r w:rsidRPr="00982C2B">
              <w:rPr>
                <w:rFonts w:cs="Times New Roman"/>
                <w:sz w:val="20"/>
                <w:szCs w:val="20"/>
                <w:lang w:val="en-US"/>
              </w:rPr>
              <w:t xml:space="preserve">In 2006, the applicant or his spouse were solicited by a tax return preparer to make donations to CanAfrica International. At the time, CanAfrica was registered as a charity under the </w:t>
            </w:r>
            <w:r w:rsidRPr="00982C2B">
              <w:rPr>
                <w:rFonts w:cs="Times New Roman"/>
                <w:i/>
                <w:iCs/>
                <w:sz w:val="20"/>
                <w:szCs w:val="20"/>
                <w:lang w:val="en-US"/>
              </w:rPr>
              <w:t>Act</w:t>
            </w:r>
            <w:r w:rsidRPr="00982C2B">
              <w:rPr>
                <w:rFonts w:cs="Times New Roman"/>
                <w:sz w:val="20"/>
                <w:szCs w:val="20"/>
                <w:lang w:val="en-US"/>
              </w:rPr>
              <w:t xml:space="preserve">, which enabled it to issue valid donation tax receipts. </w:t>
            </w:r>
            <w:r w:rsidRPr="00982C2B">
              <w:rPr>
                <w:rFonts w:cs="Times New Roman"/>
                <w:sz w:val="20"/>
                <w:szCs w:val="20"/>
              </w:rPr>
              <w:t>The applicant and his wife were issued tax receipts in the aggregate amount of $15,000 as there is a limit of $10,000 for a receipt to any individual. The applicant testified that he gave an amount of $2,600 in cash. He could not establish a breakdown between the cash donated and the commission paid to his tax preparer. The Tax Court judge concluded that the applicant donated $1,500 to CanAfrica. The Minister of National Revenue disallowed the tax credits claimed by the applicant for his respective gifts made to CanAfrica. The Tax Court judge allowed the charitable tax credit with respect to 10 percent of the face amount of the tax receipts. The Court of Appeal allowed the appeal and disallowed the tax credit.</w:t>
            </w:r>
          </w:p>
          <w:p w:rsidR="007415D1" w:rsidRPr="00982C2B" w:rsidRDefault="007415D1" w:rsidP="007415D1">
            <w:pPr>
              <w:pStyle w:val="SCCShortJudgment"/>
              <w:ind w:firstLine="0"/>
              <w:rPr>
                <w:rFonts w:cs="Times New Roman"/>
                <w:szCs w:val="20"/>
              </w:rPr>
            </w:pPr>
          </w:p>
        </w:tc>
      </w:tr>
      <w:tr w:rsidR="007415D1" w:rsidRPr="00982C2B" w:rsidTr="007415D1">
        <w:tc>
          <w:tcPr>
            <w:tcW w:w="4410" w:type="dxa"/>
            <w:gridSpan w:val="2"/>
          </w:tcPr>
          <w:p w:rsidR="007415D1" w:rsidRPr="00982C2B" w:rsidRDefault="007415D1" w:rsidP="007415D1">
            <w:pPr>
              <w:jc w:val="both"/>
              <w:rPr>
                <w:rFonts w:cs="Times New Roman"/>
                <w:sz w:val="20"/>
                <w:szCs w:val="20"/>
              </w:rPr>
            </w:pPr>
            <w:r w:rsidRPr="00982C2B">
              <w:rPr>
                <w:rFonts w:cs="Times New Roman"/>
                <w:sz w:val="20"/>
                <w:szCs w:val="20"/>
              </w:rPr>
              <w:t>April 15, 2014</w:t>
            </w:r>
          </w:p>
          <w:p w:rsidR="007415D1" w:rsidRPr="00982C2B" w:rsidRDefault="007415D1" w:rsidP="007415D1">
            <w:pPr>
              <w:jc w:val="both"/>
              <w:rPr>
                <w:rFonts w:cs="Times New Roman"/>
                <w:sz w:val="20"/>
                <w:szCs w:val="20"/>
              </w:rPr>
            </w:pPr>
            <w:r w:rsidRPr="00982C2B">
              <w:rPr>
                <w:rFonts w:cs="Times New Roman"/>
                <w:sz w:val="20"/>
                <w:szCs w:val="20"/>
              </w:rPr>
              <w:t>Tax Court of Canada</w:t>
            </w:r>
          </w:p>
          <w:p w:rsidR="007415D1" w:rsidRPr="00982C2B" w:rsidRDefault="007415D1" w:rsidP="007415D1">
            <w:pPr>
              <w:jc w:val="both"/>
              <w:rPr>
                <w:rFonts w:cs="Times New Roman"/>
                <w:sz w:val="20"/>
                <w:szCs w:val="20"/>
              </w:rPr>
            </w:pPr>
            <w:r w:rsidRPr="00982C2B">
              <w:rPr>
                <w:rFonts w:cs="Times New Roman"/>
                <w:sz w:val="20"/>
                <w:szCs w:val="20"/>
              </w:rPr>
              <w:t>(Woods J.)</w:t>
            </w:r>
          </w:p>
          <w:p w:rsidR="007415D1" w:rsidRPr="00982C2B" w:rsidRDefault="007415D1" w:rsidP="007415D1">
            <w:pPr>
              <w:jc w:val="both"/>
              <w:rPr>
                <w:rFonts w:cs="Times New Roman"/>
                <w:sz w:val="20"/>
                <w:szCs w:val="20"/>
              </w:rPr>
            </w:pPr>
            <w:r w:rsidRPr="00982C2B">
              <w:rPr>
                <w:rFonts w:cs="Times New Roman"/>
                <w:sz w:val="20"/>
                <w:szCs w:val="20"/>
              </w:rPr>
              <w:t>2014 TCC 117</w:t>
            </w:r>
          </w:p>
          <w:p w:rsidR="007415D1" w:rsidRPr="00982C2B" w:rsidRDefault="009F3029" w:rsidP="007415D1">
            <w:pPr>
              <w:jc w:val="both"/>
              <w:rPr>
                <w:rFonts w:cs="Times New Roman"/>
                <w:sz w:val="20"/>
                <w:szCs w:val="20"/>
              </w:rPr>
            </w:pPr>
            <w:hyperlink r:id="rId102" w:history="1">
              <w:r w:rsidR="007415D1" w:rsidRPr="00982C2B">
                <w:rPr>
                  <w:rStyle w:val="Hyperlink"/>
                  <w:rFonts w:eastAsiaTheme="majorEastAsia" w:cs="Times New Roman"/>
                  <w:sz w:val="20"/>
                  <w:szCs w:val="20"/>
                </w:rPr>
                <w:t>http://canlii.ca/t/g6nqp</w:t>
              </w:r>
            </w:hyperlink>
          </w:p>
          <w:p w:rsidR="007415D1" w:rsidRPr="00982C2B" w:rsidRDefault="007415D1" w:rsidP="007415D1">
            <w:pPr>
              <w:jc w:val="both"/>
              <w:rPr>
                <w:rFonts w:cs="Times New Roman"/>
                <w:sz w:val="20"/>
                <w:szCs w:val="20"/>
              </w:rPr>
            </w:pPr>
          </w:p>
        </w:tc>
        <w:tc>
          <w:tcPr>
            <w:tcW w:w="630" w:type="dxa"/>
          </w:tcPr>
          <w:p w:rsidR="007415D1" w:rsidRPr="00982C2B" w:rsidRDefault="007415D1" w:rsidP="007415D1">
            <w:pPr>
              <w:pStyle w:val="SCCShortJudgment"/>
              <w:ind w:firstLine="0"/>
              <w:rPr>
                <w:rFonts w:cs="Times New Roman"/>
                <w:szCs w:val="20"/>
              </w:rPr>
            </w:pPr>
          </w:p>
        </w:tc>
        <w:tc>
          <w:tcPr>
            <w:tcW w:w="4536" w:type="dxa"/>
          </w:tcPr>
          <w:p w:rsidR="007415D1" w:rsidRPr="00982C2B" w:rsidRDefault="007415D1" w:rsidP="007415D1">
            <w:pPr>
              <w:jc w:val="both"/>
              <w:rPr>
                <w:rFonts w:cs="Times New Roman"/>
                <w:sz w:val="20"/>
                <w:szCs w:val="20"/>
              </w:rPr>
            </w:pPr>
            <w:r w:rsidRPr="00982C2B">
              <w:rPr>
                <w:rFonts w:cs="Times New Roman"/>
                <w:sz w:val="20"/>
                <w:szCs w:val="20"/>
              </w:rPr>
              <w:t>Ruling: charitable tax credit with respect to 10 percent of the face amount of the tax receipts allowed</w:t>
            </w:r>
          </w:p>
          <w:p w:rsidR="007415D1" w:rsidRPr="00982C2B" w:rsidRDefault="007415D1" w:rsidP="007415D1">
            <w:pPr>
              <w:jc w:val="both"/>
              <w:rPr>
                <w:rFonts w:cs="Times New Roman"/>
                <w:sz w:val="20"/>
                <w:szCs w:val="20"/>
              </w:rPr>
            </w:pPr>
          </w:p>
        </w:tc>
      </w:tr>
      <w:tr w:rsidR="007415D1" w:rsidRPr="00982C2B" w:rsidTr="007415D1">
        <w:tc>
          <w:tcPr>
            <w:tcW w:w="4410" w:type="dxa"/>
            <w:gridSpan w:val="2"/>
          </w:tcPr>
          <w:p w:rsidR="007415D1" w:rsidRPr="00982C2B" w:rsidRDefault="007415D1" w:rsidP="007415D1">
            <w:pPr>
              <w:jc w:val="both"/>
              <w:rPr>
                <w:rFonts w:cs="Times New Roman"/>
                <w:sz w:val="20"/>
                <w:szCs w:val="20"/>
              </w:rPr>
            </w:pPr>
            <w:r w:rsidRPr="00982C2B">
              <w:rPr>
                <w:rFonts w:cs="Times New Roman"/>
                <w:sz w:val="20"/>
                <w:szCs w:val="20"/>
              </w:rPr>
              <w:t>October 26, 2015</w:t>
            </w:r>
          </w:p>
          <w:p w:rsidR="007415D1" w:rsidRPr="00982C2B" w:rsidRDefault="007415D1" w:rsidP="007415D1">
            <w:pPr>
              <w:jc w:val="both"/>
              <w:rPr>
                <w:rFonts w:cs="Times New Roman"/>
                <w:sz w:val="20"/>
                <w:szCs w:val="20"/>
              </w:rPr>
            </w:pPr>
            <w:r w:rsidRPr="00982C2B">
              <w:rPr>
                <w:rFonts w:cs="Times New Roman"/>
                <w:sz w:val="20"/>
                <w:szCs w:val="20"/>
              </w:rPr>
              <w:t>Federal Court of Appeal</w:t>
            </w:r>
          </w:p>
          <w:p w:rsidR="007415D1" w:rsidRPr="00982C2B" w:rsidRDefault="007415D1" w:rsidP="007415D1">
            <w:pPr>
              <w:jc w:val="both"/>
              <w:rPr>
                <w:rFonts w:cs="Times New Roman"/>
                <w:sz w:val="20"/>
                <w:szCs w:val="20"/>
              </w:rPr>
            </w:pPr>
            <w:r w:rsidRPr="00982C2B">
              <w:rPr>
                <w:rFonts w:cs="Times New Roman"/>
                <w:sz w:val="20"/>
                <w:szCs w:val="20"/>
              </w:rPr>
              <w:t>(Stratas, Scott, Boivin JJ.A.)</w:t>
            </w:r>
          </w:p>
          <w:p w:rsidR="007415D1" w:rsidRPr="00982C2B" w:rsidRDefault="007415D1" w:rsidP="007415D1">
            <w:pPr>
              <w:jc w:val="both"/>
              <w:rPr>
                <w:rFonts w:cs="Times New Roman"/>
                <w:sz w:val="20"/>
                <w:szCs w:val="20"/>
              </w:rPr>
            </w:pPr>
            <w:r w:rsidRPr="00982C2B">
              <w:rPr>
                <w:rFonts w:cs="Times New Roman"/>
                <w:sz w:val="20"/>
                <w:szCs w:val="20"/>
              </w:rPr>
              <w:t>2015 FCA 225, A-255-14</w:t>
            </w:r>
          </w:p>
          <w:p w:rsidR="007415D1" w:rsidRPr="00982C2B" w:rsidRDefault="009F3029" w:rsidP="007415D1">
            <w:pPr>
              <w:jc w:val="both"/>
              <w:rPr>
                <w:rFonts w:cs="Times New Roman"/>
                <w:sz w:val="20"/>
                <w:szCs w:val="20"/>
              </w:rPr>
            </w:pPr>
            <w:hyperlink r:id="rId103" w:history="1">
              <w:r w:rsidR="007415D1" w:rsidRPr="00982C2B">
                <w:rPr>
                  <w:rStyle w:val="Hyperlink"/>
                  <w:rFonts w:eastAsiaTheme="majorEastAsia" w:cs="Times New Roman"/>
                  <w:color w:val="0000FF"/>
                  <w:sz w:val="20"/>
                  <w:szCs w:val="20"/>
                </w:rPr>
                <w:t>http://canlii.ca/t/glszf</w:t>
              </w:r>
            </w:hyperlink>
          </w:p>
          <w:p w:rsidR="007415D1" w:rsidRPr="00982C2B" w:rsidRDefault="007415D1" w:rsidP="007415D1">
            <w:pPr>
              <w:jc w:val="both"/>
              <w:rPr>
                <w:rFonts w:cs="Times New Roman"/>
                <w:sz w:val="20"/>
                <w:szCs w:val="20"/>
              </w:rPr>
            </w:pPr>
          </w:p>
        </w:tc>
        <w:tc>
          <w:tcPr>
            <w:tcW w:w="630" w:type="dxa"/>
          </w:tcPr>
          <w:p w:rsidR="007415D1" w:rsidRPr="00982C2B" w:rsidRDefault="007415D1" w:rsidP="007415D1">
            <w:pPr>
              <w:pStyle w:val="SCCShortJudgment"/>
              <w:ind w:firstLine="0"/>
              <w:rPr>
                <w:rFonts w:cs="Times New Roman"/>
                <w:szCs w:val="20"/>
              </w:rPr>
            </w:pPr>
          </w:p>
        </w:tc>
        <w:tc>
          <w:tcPr>
            <w:tcW w:w="4536" w:type="dxa"/>
          </w:tcPr>
          <w:p w:rsidR="007415D1" w:rsidRPr="00982C2B" w:rsidRDefault="007415D1" w:rsidP="007415D1">
            <w:pPr>
              <w:jc w:val="both"/>
              <w:rPr>
                <w:rFonts w:cs="Times New Roman"/>
                <w:sz w:val="20"/>
                <w:szCs w:val="20"/>
              </w:rPr>
            </w:pPr>
            <w:r w:rsidRPr="00982C2B">
              <w:rPr>
                <w:rFonts w:cs="Times New Roman"/>
                <w:sz w:val="20"/>
                <w:szCs w:val="20"/>
              </w:rPr>
              <w:t>Appeal allowed with costs</w:t>
            </w:r>
          </w:p>
          <w:p w:rsidR="007415D1" w:rsidRPr="00982C2B" w:rsidRDefault="007415D1" w:rsidP="007415D1">
            <w:pPr>
              <w:jc w:val="both"/>
              <w:rPr>
                <w:rFonts w:cs="Times New Roman"/>
                <w:sz w:val="20"/>
                <w:szCs w:val="20"/>
              </w:rPr>
            </w:pPr>
          </w:p>
        </w:tc>
      </w:tr>
      <w:tr w:rsidR="007415D1" w:rsidRPr="00982C2B" w:rsidTr="007415D1">
        <w:tc>
          <w:tcPr>
            <w:tcW w:w="4410" w:type="dxa"/>
            <w:gridSpan w:val="2"/>
          </w:tcPr>
          <w:p w:rsidR="007415D1" w:rsidRPr="00982C2B" w:rsidRDefault="007415D1" w:rsidP="007415D1">
            <w:pPr>
              <w:jc w:val="both"/>
              <w:rPr>
                <w:rFonts w:cs="Times New Roman"/>
                <w:sz w:val="20"/>
                <w:szCs w:val="20"/>
              </w:rPr>
            </w:pPr>
            <w:r w:rsidRPr="00982C2B">
              <w:rPr>
                <w:rFonts w:cs="Times New Roman"/>
                <w:sz w:val="20"/>
                <w:szCs w:val="20"/>
              </w:rPr>
              <w:t>December</w:t>
            </w:r>
            <w:r w:rsidRPr="00982C2B">
              <w:rPr>
                <w:rFonts w:cs="Times New Roman"/>
                <w:sz w:val="20"/>
                <w:szCs w:val="20"/>
                <w:lang w:val="fr-CA"/>
              </w:rPr>
              <w:t> </w:t>
            </w:r>
            <w:r w:rsidRPr="00982C2B">
              <w:rPr>
                <w:rFonts w:cs="Times New Roman"/>
                <w:sz w:val="20"/>
                <w:szCs w:val="20"/>
              </w:rPr>
              <w:t>29, 2015</w:t>
            </w:r>
          </w:p>
          <w:p w:rsidR="007415D1" w:rsidRPr="00982C2B" w:rsidRDefault="007415D1" w:rsidP="007415D1">
            <w:pPr>
              <w:jc w:val="both"/>
              <w:rPr>
                <w:rFonts w:cs="Times New Roman"/>
                <w:sz w:val="20"/>
                <w:szCs w:val="20"/>
              </w:rPr>
            </w:pPr>
            <w:r w:rsidRPr="00982C2B">
              <w:rPr>
                <w:rFonts w:cs="Times New Roman"/>
                <w:sz w:val="20"/>
                <w:szCs w:val="20"/>
              </w:rPr>
              <w:t>Supreme Court of Canada</w:t>
            </w:r>
          </w:p>
          <w:p w:rsidR="007415D1" w:rsidRPr="00982C2B" w:rsidRDefault="007415D1" w:rsidP="007415D1">
            <w:pPr>
              <w:jc w:val="both"/>
              <w:rPr>
                <w:rFonts w:cs="Times New Roman"/>
                <w:sz w:val="20"/>
                <w:szCs w:val="20"/>
              </w:rPr>
            </w:pPr>
          </w:p>
        </w:tc>
        <w:tc>
          <w:tcPr>
            <w:tcW w:w="630" w:type="dxa"/>
          </w:tcPr>
          <w:p w:rsidR="007415D1" w:rsidRPr="00982C2B" w:rsidRDefault="007415D1" w:rsidP="007415D1">
            <w:pPr>
              <w:pStyle w:val="SCCShortJudgment"/>
              <w:ind w:firstLine="0"/>
              <w:rPr>
                <w:rFonts w:cs="Times New Roman"/>
                <w:szCs w:val="20"/>
              </w:rPr>
            </w:pPr>
          </w:p>
        </w:tc>
        <w:tc>
          <w:tcPr>
            <w:tcW w:w="4536" w:type="dxa"/>
          </w:tcPr>
          <w:p w:rsidR="007415D1" w:rsidRPr="00982C2B" w:rsidRDefault="007415D1" w:rsidP="007415D1">
            <w:pPr>
              <w:jc w:val="both"/>
              <w:rPr>
                <w:rFonts w:cs="Times New Roman"/>
                <w:sz w:val="20"/>
                <w:szCs w:val="20"/>
              </w:rPr>
            </w:pPr>
            <w:r w:rsidRPr="00982C2B">
              <w:rPr>
                <w:rFonts w:cs="Times New Roman"/>
                <w:sz w:val="20"/>
                <w:szCs w:val="20"/>
              </w:rPr>
              <w:t>Application for leave to appeal filed</w:t>
            </w:r>
          </w:p>
        </w:tc>
      </w:tr>
      <w:tr w:rsidR="007415D1" w:rsidRPr="00982C2B" w:rsidTr="007415D1">
        <w:tc>
          <w:tcPr>
            <w:tcW w:w="9576" w:type="dxa"/>
            <w:gridSpan w:val="4"/>
          </w:tcPr>
          <w:p w:rsidR="007415D1" w:rsidRPr="00982C2B" w:rsidRDefault="009F3029" w:rsidP="00C643DA">
            <w:pPr>
              <w:pStyle w:val="SCCShortJudgment"/>
              <w:ind w:firstLine="0"/>
              <w:rPr>
                <w:rFonts w:cs="Times New Roman"/>
                <w:szCs w:val="20"/>
                <w:lang w:val="fr-CA"/>
              </w:rPr>
            </w:pPr>
            <w:r>
              <w:rPr>
                <w:rFonts w:cs="Times New Roman"/>
                <w:szCs w:val="20"/>
                <w:lang w:val="fr-CA"/>
              </w:rPr>
              <w:pict>
                <v:rect id="_x0000_i1083" style="width:2in;height:1pt" o:hrpct="0" o:hralign="center" o:hrstd="t" o:hrnoshade="t" o:hr="t" fillcolor="black [3213]" stroked="f"/>
              </w:pict>
            </w:r>
          </w:p>
          <w:p w:rsidR="007415D1" w:rsidRPr="00982C2B" w:rsidRDefault="007415D1" w:rsidP="00C643DA">
            <w:pPr>
              <w:pStyle w:val="SCCShortJudgment"/>
              <w:ind w:firstLine="0"/>
              <w:rPr>
                <w:rFonts w:cs="Times New Roman"/>
                <w:szCs w:val="20"/>
                <w:lang w:val="fr-CA"/>
              </w:rPr>
            </w:pPr>
          </w:p>
        </w:tc>
      </w:tr>
    </w:tbl>
    <w:p w:rsidR="007E3F99" w:rsidRDefault="007E3F9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7415D1" w:rsidRPr="00982C2B" w:rsidTr="007415D1">
        <w:tc>
          <w:tcPr>
            <w:tcW w:w="9576" w:type="dxa"/>
            <w:gridSpan w:val="3"/>
          </w:tcPr>
          <w:p w:rsidR="007415D1" w:rsidRPr="00982C2B" w:rsidRDefault="007415D1"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7415D1" w:rsidRPr="00982C2B" w:rsidRDefault="007415D1" w:rsidP="00C643DA">
            <w:pPr>
              <w:pStyle w:val="SCCShortJudgment"/>
              <w:ind w:firstLine="0"/>
              <w:rPr>
                <w:rFonts w:cs="Times New Roman"/>
                <w:szCs w:val="20"/>
                <w:u w:val="single"/>
                <w:lang w:val="fr-CA"/>
              </w:rPr>
            </w:pPr>
          </w:p>
        </w:tc>
      </w:tr>
      <w:tr w:rsidR="007415D1" w:rsidRPr="009F3029" w:rsidTr="007415D1">
        <w:tc>
          <w:tcPr>
            <w:tcW w:w="9576" w:type="dxa"/>
            <w:gridSpan w:val="3"/>
          </w:tcPr>
          <w:p w:rsidR="007415D1" w:rsidRPr="00982C2B" w:rsidRDefault="007415D1" w:rsidP="00C643DA">
            <w:pPr>
              <w:pStyle w:val="SCCShortJudgment"/>
              <w:ind w:firstLine="0"/>
              <w:rPr>
                <w:rFonts w:cs="Times New Roman"/>
                <w:szCs w:val="20"/>
                <w:lang w:val="fr-CA"/>
              </w:rPr>
            </w:pPr>
            <w:r w:rsidRPr="00982C2B">
              <w:rPr>
                <w:rFonts w:cs="Times New Roman"/>
                <w:szCs w:val="20"/>
                <w:lang w:val="fr-CA"/>
              </w:rPr>
              <w:t xml:space="preserve">Droit fiscal — Impôt sur le revenu — Cotisation à l’égard du crédit d’impôt pour don de bienfaisance — La Cour d’appel fédérale a-t-elle commis une erreur dans son interprétation du crédit d’impôt pour don de bienfaisance en application du par. 118.1(2) de la </w:t>
            </w:r>
            <w:r w:rsidRPr="00982C2B">
              <w:rPr>
                <w:rFonts w:cs="Times New Roman"/>
                <w:i/>
                <w:iCs/>
                <w:szCs w:val="20"/>
                <w:lang w:val="fr-CA"/>
              </w:rPr>
              <w:t>Loi de l’impôt sur le revenu</w:t>
            </w:r>
            <w:r w:rsidRPr="00982C2B">
              <w:rPr>
                <w:rFonts w:cs="Times New Roman"/>
                <w:iCs/>
                <w:szCs w:val="20"/>
                <w:lang w:val="fr-CA"/>
              </w:rPr>
              <w:t>,</w:t>
            </w:r>
            <w:r w:rsidRPr="00982C2B">
              <w:rPr>
                <w:rFonts w:cs="Times New Roman"/>
                <w:i/>
                <w:iCs/>
                <w:szCs w:val="20"/>
                <w:lang w:val="fr-CA"/>
              </w:rPr>
              <w:t xml:space="preserve"> </w:t>
            </w:r>
            <w:r w:rsidRPr="00982C2B">
              <w:rPr>
                <w:rFonts w:cs="Times New Roman"/>
                <w:szCs w:val="20"/>
                <w:lang w:val="fr-CA"/>
              </w:rPr>
              <w:t>L.R.C., ch. 1 (5</w:t>
            </w:r>
            <w:r w:rsidRPr="00982C2B">
              <w:rPr>
                <w:rFonts w:cs="Times New Roman"/>
                <w:szCs w:val="20"/>
                <w:vertAlign w:val="superscript"/>
                <w:lang w:val="fr-CA"/>
              </w:rPr>
              <w:t>e</w:t>
            </w:r>
            <w:r w:rsidRPr="00982C2B">
              <w:rPr>
                <w:rFonts w:cs="Times New Roman"/>
                <w:szCs w:val="20"/>
                <w:lang w:val="fr-CA"/>
              </w:rPr>
              <w:t> suppl.) et du sous-al. </w:t>
            </w:r>
            <w:r w:rsidRPr="00982C2B">
              <w:rPr>
                <w:rFonts w:cs="Times New Roman"/>
                <w:iCs/>
                <w:szCs w:val="20"/>
                <w:lang w:val="fr-CA"/>
              </w:rPr>
              <w:t>3501(1)h)(i)</w:t>
            </w:r>
            <w:r w:rsidRPr="00982C2B">
              <w:rPr>
                <w:rFonts w:cs="Times New Roman"/>
                <w:szCs w:val="20"/>
                <w:lang w:val="fr-CA"/>
              </w:rPr>
              <w:t xml:space="preserve"> du </w:t>
            </w:r>
            <w:r w:rsidRPr="00982C2B">
              <w:rPr>
                <w:rFonts w:cs="Times New Roman"/>
                <w:i/>
                <w:iCs/>
                <w:szCs w:val="20"/>
                <w:lang w:val="fr-CA"/>
              </w:rPr>
              <w:t>Règlement de l’impôt sur le revenu</w:t>
            </w:r>
            <w:r w:rsidRPr="00982C2B">
              <w:rPr>
                <w:rFonts w:cs="Times New Roman"/>
                <w:iCs/>
                <w:szCs w:val="20"/>
                <w:lang w:val="fr-CA"/>
              </w:rPr>
              <w:t>,</w:t>
            </w:r>
            <w:r w:rsidRPr="00982C2B">
              <w:rPr>
                <w:rFonts w:cs="Times New Roman"/>
                <w:i/>
                <w:iCs/>
                <w:szCs w:val="20"/>
                <w:lang w:val="fr-CA"/>
              </w:rPr>
              <w:t xml:space="preserve"> </w:t>
            </w:r>
            <w:r w:rsidRPr="00982C2B">
              <w:rPr>
                <w:rFonts w:cs="Times New Roman"/>
                <w:szCs w:val="20"/>
                <w:lang w:val="fr-CA"/>
              </w:rPr>
              <w:t xml:space="preserve">C.R.C., ch. 945? — L’interprétation donnée par la Cour d’appel fédérale revêt-elle une importance nationale, puisqu’elle contredit sa jurisprudence antérieure, créant ainsi une incertitude intolérable en ce qui a trait à l’interprétation de la </w:t>
            </w:r>
            <w:r w:rsidRPr="00982C2B">
              <w:rPr>
                <w:rFonts w:cs="Times New Roman"/>
                <w:i/>
                <w:iCs/>
                <w:szCs w:val="20"/>
                <w:lang w:val="fr-CA"/>
              </w:rPr>
              <w:t>Loi de l’impôt sur le revenu</w:t>
            </w:r>
            <w:r w:rsidRPr="00982C2B">
              <w:rPr>
                <w:rFonts w:cs="Times New Roman"/>
                <w:iCs/>
                <w:szCs w:val="20"/>
                <w:lang w:val="fr-CA"/>
              </w:rPr>
              <w:t>, une loi</w:t>
            </w:r>
            <w:r w:rsidRPr="00982C2B">
              <w:rPr>
                <w:rFonts w:cs="Times New Roman"/>
                <w:i/>
                <w:iCs/>
                <w:szCs w:val="20"/>
                <w:lang w:val="fr-CA"/>
              </w:rPr>
              <w:t xml:space="preserve"> </w:t>
            </w:r>
            <w:r w:rsidRPr="00982C2B">
              <w:rPr>
                <w:rFonts w:cs="Times New Roman"/>
                <w:iCs/>
                <w:szCs w:val="20"/>
                <w:lang w:val="fr-CA"/>
              </w:rPr>
              <w:t>qui touche tous les Canadiens</w:t>
            </w:r>
            <w:r w:rsidRPr="00982C2B">
              <w:rPr>
                <w:rFonts w:cs="Times New Roman"/>
                <w:szCs w:val="20"/>
                <w:lang w:val="fr-CA"/>
              </w:rPr>
              <w:t>?</w:t>
            </w:r>
          </w:p>
          <w:p w:rsidR="007415D1" w:rsidRPr="00982C2B" w:rsidRDefault="007415D1" w:rsidP="00C643DA">
            <w:pPr>
              <w:pStyle w:val="SCCShortJudgment"/>
              <w:ind w:firstLine="0"/>
              <w:rPr>
                <w:rFonts w:cs="Times New Roman"/>
                <w:szCs w:val="20"/>
                <w:u w:val="single"/>
                <w:lang w:val="fr-CA"/>
              </w:rPr>
            </w:pPr>
          </w:p>
        </w:tc>
      </w:tr>
      <w:tr w:rsidR="007415D1" w:rsidRPr="009F3029" w:rsidTr="007415D1">
        <w:tc>
          <w:tcPr>
            <w:tcW w:w="9576" w:type="dxa"/>
            <w:gridSpan w:val="3"/>
          </w:tcPr>
          <w:p w:rsidR="007415D1" w:rsidRPr="00982C2B" w:rsidRDefault="007415D1" w:rsidP="007415D1">
            <w:pPr>
              <w:jc w:val="both"/>
              <w:rPr>
                <w:rFonts w:cs="Times New Roman"/>
                <w:sz w:val="20"/>
                <w:szCs w:val="20"/>
                <w:lang w:val="fr-CA"/>
              </w:rPr>
            </w:pPr>
            <w:r w:rsidRPr="00982C2B">
              <w:rPr>
                <w:rFonts w:cs="Times New Roman"/>
                <w:sz w:val="20"/>
                <w:szCs w:val="20"/>
                <w:lang w:val="fr-CA"/>
              </w:rPr>
              <w:t>En 2006, le demandeur ou son épouse ont été invités par un préparateur de déclarations de revenus à faire des dons à CanAfrica International. À l’époque, CanAfrica était un organisme de bienfaisance enregistré au sens de la Loi, ce qui lui permettait de délivrer des reçus pour don de bienfaisance. Le demandeur et son épouse se sont vu délivrer des reçus pour don de bienfaisance d’un montant total de 15 000 $, puisqu’il n’était pas possible de délivrer de reçu supérieur à 10 000 $ à un particulier. Dans son témoignage, le demandeur a affirmé qu’il avait versé 2 600 $ en espèces. Il n’a pas été en mesure de produire une ventilation permettant de faire la distinction entre les espèces versées à titre de don et la commission versée à son préparateur de déclarations de revenus. Le juge de la Cour de l’impôt a conclu que le demandeur avait fait un don de 1 500 $ à CanAfrica. Le ministre du Revenu national a refusé les crédits d’impôt qu’avait demandés le demandeur au titre de ses dons respectifs à CanAfrica. Le juge de la Cour de l’impôt a accordé le crédit d’impôt pour dons de bienfaisance équivalant à 10% de la valeur nominale des reçus d’impôt. La Cour d’appel a accueilli l’appel et refusé le crédit d’impôt.</w:t>
            </w:r>
          </w:p>
          <w:p w:rsidR="007415D1" w:rsidRPr="00982C2B" w:rsidRDefault="007415D1" w:rsidP="00C643DA">
            <w:pPr>
              <w:jc w:val="both"/>
              <w:rPr>
                <w:rFonts w:cs="Times New Roman"/>
                <w:sz w:val="20"/>
                <w:szCs w:val="20"/>
                <w:u w:val="single"/>
                <w:lang w:val="fr-CA"/>
              </w:rPr>
            </w:pPr>
          </w:p>
        </w:tc>
      </w:tr>
      <w:tr w:rsidR="007415D1" w:rsidRPr="009F3029" w:rsidTr="007415D1">
        <w:tc>
          <w:tcPr>
            <w:tcW w:w="9576" w:type="dxa"/>
            <w:gridSpan w:val="3"/>
          </w:tcPr>
          <w:p w:rsidR="007415D1" w:rsidRPr="00982C2B" w:rsidRDefault="007415D1" w:rsidP="00C643DA">
            <w:pPr>
              <w:pStyle w:val="SCCShortJudgment"/>
              <w:ind w:firstLine="0"/>
              <w:rPr>
                <w:rFonts w:cs="Times New Roman"/>
                <w:szCs w:val="20"/>
                <w:u w:val="single"/>
                <w:lang w:val="fr-CA"/>
              </w:rPr>
            </w:pPr>
          </w:p>
        </w:tc>
      </w:tr>
      <w:tr w:rsidR="007415D1" w:rsidRPr="009F3029" w:rsidTr="007415D1">
        <w:tc>
          <w:tcPr>
            <w:tcW w:w="4410"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15 avril 2014</w:t>
            </w:r>
          </w:p>
          <w:p w:rsidR="007415D1" w:rsidRPr="00982C2B" w:rsidRDefault="007415D1" w:rsidP="007415D1">
            <w:pPr>
              <w:jc w:val="both"/>
              <w:rPr>
                <w:rFonts w:cs="Times New Roman"/>
                <w:sz w:val="20"/>
                <w:szCs w:val="20"/>
                <w:lang w:val="fr-CA"/>
              </w:rPr>
            </w:pPr>
            <w:r w:rsidRPr="00982C2B">
              <w:rPr>
                <w:rFonts w:cs="Times New Roman"/>
                <w:sz w:val="20"/>
                <w:szCs w:val="20"/>
                <w:lang w:val="fr-CA"/>
              </w:rPr>
              <w:t xml:space="preserve">Cour canadienne de l’impôt </w:t>
            </w:r>
          </w:p>
          <w:p w:rsidR="007415D1" w:rsidRPr="00982C2B" w:rsidRDefault="007415D1" w:rsidP="007415D1">
            <w:pPr>
              <w:jc w:val="both"/>
              <w:rPr>
                <w:rFonts w:cs="Times New Roman"/>
                <w:sz w:val="20"/>
                <w:szCs w:val="20"/>
                <w:lang w:val="fr-CA"/>
              </w:rPr>
            </w:pPr>
            <w:r w:rsidRPr="00982C2B">
              <w:rPr>
                <w:rFonts w:cs="Times New Roman"/>
                <w:sz w:val="20"/>
                <w:szCs w:val="20"/>
                <w:lang w:val="fr-CA"/>
              </w:rPr>
              <w:t>(Juge Woods)</w:t>
            </w:r>
          </w:p>
          <w:p w:rsidR="007415D1" w:rsidRPr="00982C2B" w:rsidRDefault="007415D1" w:rsidP="007415D1">
            <w:pPr>
              <w:jc w:val="both"/>
              <w:rPr>
                <w:rFonts w:cs="Times New Roman"/>
                <w:sz w:val="20"/>
                <w:szCs w:val="20"/>
                <w:lang w:val="en-US"/>
              </w:rPr>
            </w:pPr>
            <w:r w:rsidRPr="00982C2B">
              <w:rPr>
                <w:rFonts w:cs="Times New Roman"/>
                <w:sz w:val="20"/>
                <w:szCs w:val="20"/>
                <w:lang w:val="en-US"/>
              </w:rPr>
              <w:t>2014 TCC 117</w:t>
            </w:r>
          </w:p>
          <w:p w:rsidR="007415D1" w:rsidRPr="00982C2B" w:rsidRDefault="009F3029" w:rsidP="007415D1">
            <w:pPr>
              <w:jc w:val="both"/>
              <w:rPr>
                <w:rFonts w:cs="Times New Roman"/>
                <w:sz w:val="20"/>
                <w:szCs w:val="20"/>
                <w:lang w:val="en-US"/>
              </w:rPr>
            </w:pPr>
            <w:hyperlink r:id="rId104" w:history="1">
              <w:r w:rsidR="007415D1" w:rsidRPr="00982C2B">
                <w:rPr>
                  <w:rStyle w:val="Hyperlink"/>
                  <w:rFonts w:eastAsiaTheme="majorEastAsia" w:cs="Times New Roman"/>
                  <w:sz w:val="20"/>
                  <w:szCs w:val="20"/>
                  <w:lang w:val="en-US"/>
                </w:rPr>
                <w:t>http://canlii.ca/t/g6nqp</w:t>
              </w:r>
            </w:hyperlink>
          </w:p>
          <w:p w:rsidR="007415D1" w:rsidRPr="00982C2B" w:rsidRDefault="007415D1" w:rsidP="007415D1">
            <w:pPr>
              <w:pStyle w:val="SCCShortJudgment"/>
              <w:ind w:firstLine="0"/>
              <w:rPr>
                <w:rFonts w:cs="Times New Roman"/>
                <w:szCs w:val="20"/>
                <w:u w:val="single"/>
                <w:lang w:val="en-US"/>
              </w:rPr>
            </w:pPr>
          </w:p>
        </w:tc>
        <w:tc>
          <w:tcPr>
            <w:tcW w:w="630" w:type="dxa"/>
          </w:tcPr>
          <w:p w:rsidR="007415D1" w:rsidRPr="00982C2B" w:rsidRDefault="007415D1" w:rsidP="007415D1">
            <w:pPr>
              <w:pStyle w:val="SCCShortJudgment"/>
              <w:ind w:firstLine="0"/>
              <w:rPr>
                <w:rFonts w:cs="Times New Roman"/>
                <w:szCs w:val="20"/>
                <w:u w:val="single"/>
              </w:rPr>
            </w:pPr>
          </w:p>
        </w:tc>
        <w:tc>
          <w:tcPr>
            <w:tcW w:w="4536"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Jugement accordant un crédit d’impôt pour don de bienfaisance équivalant à 10% de la valeur nominale des reçus d’impôt</w:t>
            </w:r>
          </w:p>
          <w:p w:rsidR="007415D1" w:rsidRPr="00982C2B" w:rsidRDefault="007415D1" w:rsidP="007415D1">
            <w:pPr>
              <w:pStyle w:val="SCCShortJudgment"/>
              <w:ind w:firstLine="0"/>
              <w:rPr>
                <w:rFonts w:cs="Times New Roman"/>
                <w:szCs w:val="20"/>
                <w:u w:val="single"/>
                <w:lang w:val="fr-CA"/>
              </w:rPr>
            </w:pPr>
          </w:p>
        </w:tc>
      </w:tr>
      <w:tr w:rsidR="007415D1" w:rsidRPr="00982C2B" w:rsidTr="007415D1">
        <w:tc>
          <w:tcPr>
            <w:tcW w:w="4410"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26 octobre 2015</w:t>
            </w:r>
          </w:p>
          <w:p w:rsidR="007415D1" w:rsidRPr="00982C2B" w:rsidRDefault="007415D1" w:rsidP="007415D1">
            <w:pPr>
              <w:jc w:val="both"/>
              <w:rPr>
                <w:rFonts w:cs="Times New Roman"/>
                <w:sz w:val="20"/>
                <w:szCs w:val="20"/>
                <w:lang w:val="fr-CA"/>
              </w:rPr>
            </w:pPr>
            <w:r w:rsidRPr="00982C2B">
              <w:rPr>
                <w:rFonts w:cs="Times New Roman"/>
                <w:sz w:val="20"/>
                <w:szCs w:val="20"/>
                <w:lang w:val="fr-CA"/>
              </w:rPr>
              <w:t xml:space="preserve">Cour d’appel fédérale </w:t>
            </w:r>
          </w:p>
          <w:p w:rsidR="007415D1" w:rsidRPr="00982C2B" w:rsidRDefault="007415D1" w:rsidP="007415D1">
            <w:pPr>
              <w:jc w:val="both"/>
              <w:rPr>
                <w:rFonts w:cs="Times New Roman"/>
                <w:sz w:val="20"/>
                <w:szCs w:val="20"/>
                <w:lang w:val="fr-CA"/>
              </w:rPr>
            </w:pPr>
            <w:r w:rsidRPr="00982C2B">
              <w:rPr>
                <w:rFonts w:cs="Times New Roman"/>
                <w:sz w:val="20"/>
                <w:szCs w:val="20"/>
                <w:lang w:val="fr-CA"/>
              </w:rPr>
              <w:t>(Juges Stratas, Scott et Boivin)</w:t>
            </w:r>
          </w:p>
          <w:p w:rsidR="007415D1" w:rsidRPr="00982C2B" w:rsidRDefault="007415D1" w:rsidP="007415D1">
            <w:pPr>
              <w:jc w:val="both"/>
              <w:rPr>
                <w:rFonts w:cs="Times New Roman"/>
                <w:sz w:val="20"/>
                <w:szCs w:val="20"/>
                <w:lang w:val="en-US"/>
              </w:rPr>
            </w:pPr>
            <w:r w:rsidRPr="00982C2B">
              <w:rPr>
                <w:rFonts w:cs="Times New Roman"/>
                <w:sz w:val="20"/>
                <w:szCs w:val="20"/>
                <w:lang w:val="en-US"/>
              </w:rPr>
              <w:t>2015 FCA 225, A-255-14</w:t>
            </w:r>
          </w:p>
          <w:p w:rsidR="007415D1" w:rsidRPr="00982C2B" w:rsidRDefault="009F3029" w:rsidP="007415D1">
            <w:pPr>
              <w:jc w:val="both"/>
              <w:rPr>
                <w:rFonts w:cs="Times New Roman"/>
                <w:sz w:val="20"/>
                <w:szCs w:val="20"/>
                <w:lang w:val="en-US"/>
              </w:rPr>
            </w:pPr>
            <w:hyperlink r:id="rId105" w:history="1">
              <w:r w:rsidR="007415D1" w:rsidRPr="00982C2B">
                <w:rPr>
                  <w:rStyle w:val="Hyperlink"/>
                  <w:rFonts w:eastAsiaTheme="majorEastAsia" w:cs="Times New Roman"/>
                  <w:color w:val="0000FF"/>
                  <w:sz w:val="20"/>
                  <w:szCs w:val="20"/>
                  <w:lang w:val="en-US"/>
                </w:rPr>
                <w:t>http://canlii.ca/t/glszf</w:t>
              </w:r>
            </w:hyperlink>
          </w:p>
          <w:p w:rsidR="007415D1" w:rsidRPr="00982C2B" w:rsidRDefault="007415D1" w:rsidP="007415D1">
            <w:pPr>
              <w:pStyle w:val="SCCShortJudgment"/>
              <w:ind w:firstLine="0"/>
              <w:rPr>
                <w:rFonts w:cs="Times New Roman"/>
                <w:szCs w:val="20"/>
                <w:u w:val="single"/>
                <w:lang w:val="en-US"/>
              </w:rPr>
            </w:pPr>
          </w:p>
        </w:tc>
        <w:tc>
          <w:tcPr>
            <w:tcW w:w="630" w:type="dxa"/>
          </w:tcPr>
          <w:p w:rsidR="007415D1" w:rsidRPr="00982C2B" w:rsidRDefault="007415D1" w:rsidP="007415D1">
            <w:pPr>
              <w:pStyle w:val="SCCShortJudgment"/>
              <w:ind w:firstLine="0"/>
              <w:rPr>
                <w:rFonts w:cs="Times New Roman"/>
                <w:szCs w:val="20"/>
                <w:u w:val="single"/>
              </w:rPr>
            </w:pPr>
          </w:p>
        </w:tc>
        <w:tc>
          <w:tcPr>
            <w:tcW w:w="4536"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Arrêt accueillant l’appel avec dépens</w:t>
            </w:r>
          </w:p>
          <w:p w:rsidR="007415D1" w:rsidRPr="00982C2B" w:rsidRDefault="007415D1" w:rsidP="007415D1">
            <w:pPr>
              <w:pStyle w:val="SCCShortJudgment"/>
              <w:ind w:firstLine="0"/>
              <w:rPr>
                <w:rFonts w:cs="Times New Roman"/>
                <w:szCs w:val="20"/>
                <w:u w:val="single"/>
              </w:rPr>
            </w:pPr>
          </w:p>
        </w:tc>
      </w:tr>
      <w:tr w:rsidR="007415D1" w:rsidRPr="009F3029" w:rsidTr="007415D1">
        <w:tc>
          <w:tcPr>
            <w:tcW w:w="4410"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29 décembre 2015</w:t>
            </w:r>
          </w:p>
          <w:p w:rsidR="007415D1" w:rsidRPr="00982C2B" w:rsidRDefault="007415D1" w:rsidP="007415D1">
            <w:pPr>
              <w:jc w:val="both"/>
              <w:rPr>
                <w:rFonts w:cs="Times New Roman"/>
                <w:sz w:val="20"/>
                <w:szCs w:val="20"/>
                <w:lang w:val="fr-CA"/>
              </w:rPr>
            </w:pPr>
            <w:r w:rsidRPr="00982C2B">
              <w:rPr>
                <w:rFonts w:cs="Times New Roman"/>
                <w:sz w:val="20"/>
                <w:szCs w:val="20"/>
                <w:lang w:val="fr-CA"/>
              </w:rPr>
              <w:t>Cour suprême du Canada</w:t>
            </w:r>
          </w:p>
          <w:p w:rsidR="007415D1" w:rsidRPr="00982C2B" w:rsidRDefault="007415D1" w:rsidP="007415D1">
            <w:pPr>
              <w:pStyle w:val="SCCShortJudgment"/>
              <w:ind w:firstLine="0"/>
              <w:rPr>
                <w:rFonts w:cs="Times New Roman"/>
                <w:szCs w:val="20"/>
                <w:u w:val="single"/>
              </w:rPr>
            </w:pPr>
          </w:p>
        </w:tc>
        <w:tc>
          <w:tcPr>
            <w:tcW w:w="630" w:type="dxa"/>
          </w:tcPr>
          <w:p w:rsidR="007415D1" w:rsidRPr="00982C2B" w:rsidRDefault="007415D1" w:rsidP="007415D1">
            <w:pPr>
              <w:pStyle w:val="SCCShortJudgment"/>
              <w:ind w:firstLine="0"/>
              <w:rPr>
                <w:rFonts w:cs="Times New Roman"/>
                <w:szCs w:val="20"/>
                <w:u w:val="single"/>
              </w:rPr>
            </w:pPr>
          </w:p>
        </w:tc>
        <w:tc>
          <w:tcPr>
            <w:tcW w:w="4536" w:type="dxa"/>
          </w:tcPr>
          <w:p w:rsidR="007415D1" w:rsidRPr="00982C2B" w:rsidRDefault="007415D1" w:rsidP="007415D1">
            <w:pPr>
              <w:jc w:val="both"/>
              <w:rPr>
                <w:rFonts w:cs="Times New Roman"/>
                <w:sz w:val="20"/>
                <w:szCs w:val="20"/>
                <w:lang w:val="fr-CA"/>
              </w:rPr>
            </w:pPr>
            <w:r w:rsidRPr="00982C2B">
              <w:rPr>
                <w:rFonts w:cs="Times New Roman"/>
                <w:sz w:val="20"/>
                <w:szCs w:val="20"/>
                <w:lang w:val="fr-CA"/>
              </w:rPr>
              <w:t>Dépôt de la demande d’autorisation d’appel</w:t>
            </w:r>
          </w:p>
          <w:p w:rsidR="007415D1" w:rsidRPr="00982C2B" w:rsidRDefault="007415D1" w:rsidP="007415D1">
            <w:pPr>
              <w:pStyle w:val="SCCShortJudgment"/>
              <w:ind w:firstLine="0"/>
              <w:rPr>
                <w:rFonts w:cs="Times New Roman"/>
                <w:szCs w:val="20"/>
                <w:u w:val="single"/>
                <w:lang w:val="fr-CA"/>
              </w:rPr>
            </w:pPr>
          </w:p>
        </w:tc>
      </w:tr>
    </w:tbl>
    <w:p w:rsidR="007415D1" w:rsidRPr="00982C2B" w:rsidRDefault="009F3029" w:rsidP="007415D1">
      <w:pPr>
        <w:rPr>
          <w:rFonts w:cs="Times New Roman"/>
          <w:sz w:val="20"/>
          <w:szCs w:val="20"/>
          <w:lang w:val="fr-CA"/>
        </w:rPr>
      </w:pPr>
      <w:r>
        <w:rPr>
          <w:rFonts w:cs="Times New Roman"/>
          <w:sz w:val="20"/>
          <w:szCs w:val="20"/>
          <w:lang w:val="fr-CA"/>
        </w:rPr>
        <w:pict>
          <v:rect id="_x0000_i1084" style="width:2in;height:1pt" o:hrpct="0" o:hralign="center" o:hrstd="t" o:hrnoshade="t" o:hr="t" fillcolor="black [3213]" stroked="f"/>
        </w:pict>
      </w:r>
    </w:p>
    <w:p w:rsidR="007415D1" w:rsidRPr="00982C2B" w:rsidRDefault="007415D1" w:rsidP="007415D1">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C643DA" w:rsidRPr="00982C2B" w:rsidTr="00C643DA">
        <w:trPr>
          <w:cantSplit/>
        </w:trPr>
        <w:tc>
          <w:tcPr>
            <w:tcW w:w="1458" w:type="dxa"/>
          </w:tcPr>
          <w:p w:rsidR="00C643DA" w:rsidRPr="00982C2B" w:rsidRDefault="00C643DA" w:rsidP="00C643DA">
            <w:pPr>
              <w:jc w:val="both"/>
              <w:rPr>
                <w:rFonts w:cs="Times New Roman"/>
                <w:sz w:val="20"/>
                <w:szCs w:val="20"/>
              </w:rPr>
            </w:pPr>
            <w:r w:rsidRPr="00982C2B">
              <w:rPr>
                <w:rStyle w:val="SCCFileNumberChar"/>
                <w:sz w:val="20"/>
                <w:szCs w:val="20"/>
              </w:rPr>
              <w:t>36783</w:t>
            </w:r>
          </w:p>
          <w:p w:rsidR="00C643DA" w:rsidRPr="00982C2B" w:rsidRDefault="00C643DA" w:rsidP="00C643DA">
            <w:pPr>
              <w:jc w:val="both"/>
              <w:rPr>
                <w:rFonts w:cs="Times New Roman"/>
                <w:b/>
                <w:sz w:val="20"/>
                <w:szCs w:val="20"/>
              </w:rPr>
            </w:pPr>
          </w:p>
        </w:tc>
        <w:tc>
          <w:tcPr>
            <w:tcW w:w="8118" w:type="dxa"/>
          </w:tcPr>
          <w:p w:rsidR="00C643DA" w:rsidRPr="00982C2B" w:rsidRDefault="00C643DA" w:rsidP="00C643DA">
            <w:pPr>
              <w:jc w:val="both"/>
              <w:rPr>
                <w:rFonts w:cs="Times New Roman"/>
                <w:sz w:val="20"/>
                <w:szCs w:val="20"/>
              </w:rPr>
            </w:pPr>
            <w:r w:rsidRPr="00982C2B">
              <w:rPr>
                <w:rStyle w:val="SCCLsocChar"/>
                <w:rFonts w:cs="Times New Roman"/>
                <w:sz w:val="20"/>
                <w:szCs w:val="20"/>
                <w:lang w:val="en-CA"/>
              </w:rPr>
              <w:t>Her Majesty the Queen in Right of Canada  v. Kevin Antic</w:t>
            </w:r>
            <w:r w:rsidRPr="00982C2B">
              <w:rPr>
                <w:rStyle w:val="SCCLsocChar"/>
                <w:rFonts w:cs="Times New Roman"/>
                <w:sz w:val="20"/>
                <w:szCs w:val="20"/>
                <w:u w:val="none"/>
                <w:lang w:val="en-CA"/>
              </w:rPr>
              <w:t xml:space="preserve"> </w:t>
            </w:r>
            <w:r w:rsidRPr="00982C2B">
              <w:rPr>
                <w:rFonts w:cs="Times New Roman"/>
                <w:sz w:val="20"/>
                <w:szCs w:val="20"/>
              </w:rPr>
              <w:t>(Ont.) (</w:t>
            </w:r>
            <w:r w:rsidR="00300B92" w:rsidRPr="00982C2B">
              <w:rPr>
                <w:rFonts w:cs="Times New Roman"/>
                <w:sz w:val="20"/>
                <w:szCs w:val="20"/>
              </w:rPr>
              <w:t>Crim.</w:t>
            </w:r>
            <w:r w:rsidRPr="00982C2B">
              <w:rPr>
                <w:rFonts w:cs="Times New Roman"/>
                <w:sz w:val="20"/>
                <w:szCs w:val="20"/>
              </w:rPr>
              <w:t>) (By Leave)</w:t>
            </w:r>
          </w:p>
          <w:p w:rsidR="00C643DA" w:rsidRPr="00982C2B" w:rsidRDefault="00C643DA" w:rsidP="00C643DA">
            <w:pPr>
              <w:jc w:val="both"/>
              <w:rPr>
                <w:rFonts w:cs="Times New Roman"/>
                <w:sz w:val="20"/>
                <w:szCs w:val="20"/>
              </w:rPr>
            </w:pPr>
          </w:p>
        </w:tc>
      </w:tr>
      <w:tr w:rsidR="00C643DA" w:rsidRPr="00982C2B" w:rsidTr="00C643DA">
        <w:trPr>
          <w:cantSplit/>
        </w:trPr>
        <w:tc>
          <w:tcPr>
            <w:tcW w:w="1458" w:type="dxa"/>
          </w:tcPr>
          <w:p w:rsidR="00C643DA" w:rsidRPr="00982C2B" w:rsidRDefault="00C643DA" w:rsidP="00C643DA">
            <w:pPr>
              <w:jc w:val="both"/>
              <w:rPr>
                <w:rFonts w:cs="Times New Roman"/>
                <w:sz w:val="20"/>
                <w:szCs w:val="20"/>
              </w:rPr>
            </w:pPr>
            <w:r w:rsidRPr="00982C2B">
              <w:rPr>
                <w:rFonts w:cs="Times New Roman"/>
                <w:sz w:val="20"/>
                <w:szCs w:val="20"/>
              </w:rPr>
              <w:t>Coram :</w:t>
            </w:r>
          </w:p>
        </w:tc>
        <w:tc>
          <w:tcPr>
            <w:tcW w:w="8118" w:type="dxa"/>
          </w:tcPr>
          <w:p w:rsidR="00C643DA" w:rsidRPr="00982C2B" w:rsidRDefault="00C643DA" w:rsidP="00C643DA">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C643DA" w:rsidRPr="00982C2B" w:rsidRDefault="00C643DA" w:rsidP="00C643DA">
            <w:pPr>
              <w:jc w:val="both"/>
              <w:rPr>
                <w:rFonts w:cs="Times New Roman"/>
                <w:sz w:val="20"/>
                <w:szCs w:val="20"/>
                <w:u w:val="single"/>
              </w:rPr>
            </w:pPr>
          </w:p>
        </w:tc>
      </w:tr>
      <w:tr w:rsidR="00C643DA" w:rsidRPr="009F3029" w:rsidTr="00C643DA">
        <w:trPr>
          <w:cantSplit/>
        </w:trPr>
        <w:tc>
          <w:tcPr>
            <w:tcW w:w="9576" w:type="dxa"/>
            <w:gridSpan w:val="2"/>
          </w:tcPr>
          <w:p w:rsidR="00C643DA" w:rsidRPr="00982C2B" w:rsidRDefault="00C643DA" w:rsidP="00126689">
            <w:pPr>
              <w:pStyle w:val="SCCShortJudgment"/>
              <w:ind w:firstLine="0"/>
              <w:rPr>
                <w:rFonts w:cs="Times New Roman"/>
                <w:szCs w:val="20"/>
              </w:rPr>
            </w:pPr>
            <w:r w:rsidRPr="00982C2B">
              <w:rPr>
                <w:rFonts w:cs="Times New Roman"/>
                <w:szCs w:val="20"/>
              </w:rPr>
              <w:tab/>
              <w:t>The application for leave to appeal from the judgment of the Ontario Superior Court of Justice, Number CR-15-3465-BR, 2015 ONSC 6593, dated October 23, 2015, is granted.</w:t>
            </w:r>
          </w:p>
          <w:p w:rsidR="00C643DA" w:rsidRPr="00982C2B" w:rsidRDefault="00C643DA" w:rsidP="00126689">
            <w:pPr>
              <w:pStyle w:val="SCCShortJudgment"/>
              <w:ind w:firstLine="0"/>
              <w:rPr>
                <w:rFonts w:cs="Times New Roman"/>
                <w:szCs w:val="20"/>
              </w:rPr>
            </w:pPr>
          </w:p>
          <w:p w:rsidR="00C643DA" w:rsidRPr="00982C2B" w:rsidRDefault="00C643DA" w:rsidP="00126689">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supérieure de justice de l’Ontario</w:t>
            </w:r>
            <w:r w:rsidRPr="00982C2B">
              <w:rPr>
                <w:rFonts w:cs="Times New Roman"/>
                <w:szCs w:val="20"/>
                <w:lang w:val="fr-CA"/>
              </w:rPr>
              <w:t xml:space="preserve">, numéro </w:t>
            </w:r>
            <w:r w:rsidRPr="00982C2B">
              <w:rPr>
                <w:rFonts w:cs="Times New Roman"/>
                <w:szCs w:val="20"/>
                <w:lang w:val="fr-FR"/>
              </w:rPr>
              <w:t>CR-15-3465-BR, 2015 ONSC 6593</w:t>
            </w:r>
            <w:r w:rsidRPr="00982C2B">
              <w:rPr>
                <w:rFonts w:cs="Times New Roman"/>
                <w:szCs w:val="20"/>
                <w:lang w:val="fr-CA"/>
              </w:rPr>
              <w:t xml:space="preserve">, daté du </w:t>
            </w:r>
            <w:r w:rsidRPr="00982C2B">
              <w:rPr>
                <w:rFonts w:cs="Times New Roman"/>
                <w:szCs w:val="20"/>
                <w:lang w:val="fr-FR"/>
              </w:rPr>
              <w:t>23 octobre 2015</w:t>
            </w:r>
            <w:r w:rsidRPr="00982C2B">
              <w:rPr>
                <w:rFonts w:cs="Times New Roman"/>
                <w:szCs w:val="20"/>
                <w:lang w:val="fr-CA"/>
              </w:rPr>
              <w:t>, est accueillie.</w:t>
            </w:r>
          </w:p>
          <w:p w:rsidR="00C643DA" w:rsidRPr="00982C2B" w:rsidRDefault="00C643DA" w:rsidP="00126689">
            <w:pPr>
              <w:pStyle w:val="SCCShortJudgment"/>
              <w:ind w:firstLine="0"/>
              <w:rPr>
                <w:rFonts w:cs="Times New Roman"/>
                <w:szCs w:val="20"/>
                <w:lang w:val="fr-CA"/>
              </w:rPr>
            </w:pPr>
          </w:p>
        </w:tc>
      </w:tr>
    </w:tbl>
    <w:p w:rsidR="007E3F99" w:rsidRPr="000E41A9" w:rsidRDefault="007E3F99">
      <w:pPr>
        <w:rPr>
          <w:lang w:val="fr-CA"/>
        </w:rPr>
      </w:pPr>
      <w:r w:rsidRPr="000E41A9">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C643DA" w:rsidRPr="00982C2B" w:rsidTr="00C643DA">
        <w:trPr>
          <w:cantSplit/>
        </w:trPr>
        <w:tc>
          <w:tcPr>
            <w:tcW w:w="9576" w:type="dxa"/>
            <w:gridSpan w:val="3"/>
          </w:tcPr>
          <w:p w:rsidR="00C643DA" w:rsidRPr="00982C2B" w:rsidRDefault="00C643DA" w:rsidP="00126689">
            <w:pPr>
              <w:pStyle w:val="SCCShortJudgment"/>
              <w:ind w:firstLine="0"/>
              <w:rPr>
                <w:rFonts w:cs="Times New Roman"/>
                <w:szCs w:val="20"/>
                <w:u w:val="single"/>
                <w:lang w:val="fr-CA"/>
              </w:rPr>
            </w:pPr>
            <w:r w:rsidRPr="00982C2B">
              <w:rPr>
                <w:rFonts w:cs="Times New Roman"/>
                <w:szCs w:val="20"/>
                <w:u w:val="single"/>
                <w:lang w:val="fr-CA"/>
              </w:rPr>
              <w:t>CASE SUMMARY</w:t>
            </w:r>
          </w:p>
          <w:p w:rsidR="00C643DA" w:rsidRPr="00982C2B" w:rsidRDefault="00C643DA" w:rsidP="00126689">
            <w:pPr>
              <w:pStyle w:val="SCCShortJudgment"/>
              <w:ind w:firstLine="0"/>
              <w:rPr>
                <w:rFonts w:cs="Times New Roman"/>
                <w:szCs w:val="20"/>
                <w:u w:val="single"/>
                <w:lang w:val="fr-CA"/>
              </w:rPr>
            </w:pPr>
          </w:p>
        </w:tc>
      </w:tr>
      <w:tr w:rsidR="00C643DA" w:rsidRPr="00982C2B" w:rsidTr="00C643DA">
        <w:trPr>
          <w:cantSplit/>
        </w:trPr>
        <w:tc>
          <w:tcPr>
            <w:tcW w:w="9576" w:type="dxa"/>
            <w:gridSpan w:val="3"/>
          </w:tcPr>
          <w:p w:rsidR="00C643DA" w:rsidRPr="00982C2B" w:rsidRDefault="00C643DA" w:rsidP="00126689">
            <w:pPr>
              <w:pStyle w:val="SCCBanSummary"/>
              <w:rPr>
                <w:rFonts w:cs="Times New Roman"/>
                <w:sz w:val="20"/>
                <w:szCs w:val="20"/>
              </w:rPr>
            </w:pPr>
            <w:r w:rsidRPr="00982C2B">
              <w:rPr>
                <w:rFonts w:cs="Times New Roman"/>
                <w:sz w:val="20"/>
                <w:szCs w:val="20"/>
              </w:rPr>
              <w:t>(Publication ban in case)</w:t>
            </w:r>
          </w:p>
          <w:p w:rsidR="00C643DA" w:rsidRPr="00982C2B" w:rsidRDefault="00C643DA" w:rsidP="00126689">
            <w:pPr>
              <w:jc w:val="both"/>
              <w:rPr>
                <w:rFonts w:cs="Times New Roman"/>
                <w:sz w:val="20"/>
                <w:szCs w:val="20"/>
              </w:rPr>
            </w:pPr>
          </w:p>
          <w:p w:rsidR="00C643DA" w:rsidRPr="00982C2B" w:rsidRDefault="00C643DA" w:rsidP="00126689">
            <w:pPr>
              <w:pStyle w:val="SCCShortJudgment"/>
              <w:ind w:firstLine="0"/>
              <w:rPr>
                <w:rFonts w:cs="Times New Roman"/>
                <w:szCs w:val="20"/>
              </w:rPr>
            </w:pPr>
            <w:r w:rsidRPr="00982C2B">
              <w:rPr>
                <w:rFonts w:cs="Times New Roman"/>
                <w:i/>
                <w:szCs w:val="20"/>
              </w:rPr>
              <w:t>Charter of Rights and freedoms</w:t>
            </w:r>
            <w:r w:rsidRPr="00982C2B">
              <w:rPr>
                <w:rFonts w:cs="Times New Roman"/>
                <w:szCs w:val="20"/>
              </w:rPr>
              <w:t xml:space="preserve"> – Right to reasonable bail – Whether s. 515(2)(e) of the </w:t>
            </w:r>
            <w:r w:rsidRPr="00982C2B">
              <w:rPr>
                <w:rFonts w:cs="Times New Roman"/>
                <w:i/>
                <w:szCs w:val="20"/>
              </w:rPr>
              <w:t xml:space="preserve">Criminal </w:t>
            </w:r>
            <w:r w:rsidRPr="00982C2B">
              <w:rPr>
                <w:rFonts w:cs="Times New Roman"/>
                <w:szCs w:val="20"/>
              </w:rPr>
              <w:t>Code, R.S.C. 1985, c. C-46, infringes the right under s. 11(</w:t>
            </w:r>
            <w:r w:rsidRPr="00982C2B">
              <w:rPr>
                <w:rFonts w:cs="Times New Roman"/>
                <w:i/>
                <w:szCs w:val="20"/>
              </w:rPr>
              <w:t>e</w:t>
            </w:r>
            <w:r w:rsidRPr="00982C2B">
              <w:rPr>
                <w:rFonts w:cs="Times New Roman"/>
                <w:szCs w:val="20"/>
              </w:rPr>
              <w:t xml:space="preserve">) of the </w:t>
            </w:r>
            <w:r w:rsidRPr="00982C2B">
              <w:rPr>
                <w:rFonts w:cs="Times New Roman"/>
                <w:i/>
                <w:iCs/>
                <w:szCs w:val="20"/>
              </w:rPr>
              <w:t>Charter</w:t>
            </w:r>
            <w:r w:rsidRPr="00982C2B">
              <w:rPr>
                <w:rFonts w:cs="Times New Roman"/>
                <w:iCs/>
                <w:szCs w:val="20"/>
              </w:rPr>
              <w:t xml:space="preserve"> not to be denied reasonable bail without just cause – If so, whether the infringement is</w:t>
            </w:r>
            <w:r w:rsidRPr="00982C2B">
              <w:rPr>
                <w:rFonts w:cs="Times New Roman"/>
                <w:szCs w:val="20"/>
              </w:rPr>
              <w:t xml:space="preserve"> a </w:t>
            </w:r>
            <w:r w:rsidRPr="00982C2B">
              <w:rPr>
                <w:rFonts w:cs="Times New Roman"/>
                <w:szCs w:val="20"/>
                <w:lang w:val="en"/>
              </w:rPr>
              <w:t>reasonable limit prescribed by law as can be demonstrably justified in a free and democratic society</w:t>
            </w:r>
            <w:r w:rsidRPr="00982C2B">
              <w:rPr>
                <w:rFonts w:cs="Times New Roman"/>
                <w:szCs w:val="20"/>
              </w:rPr>
              <w:t xml:space="preserve"> – If not, whether words should be severed from s. 515(2)(e) and struck down?</w:t>
            </w:r>
          </w:p>
          <w:p w:rsidR="00C643DA" w:rsidRPr="00982C2B" w:rsidRDefault="00C643DA" w:rsidP="00126689">
            <w:pPr>
              <w:pStyle w:val="SCCShortJudgment"/>
              <w:ind w:firstLine="0"/>
              <w:rPr>
                <w:rFonts w:cs="Times New Roman"/>
                <w:szCs w:val="20"/>
              </w:rPr>
            </w:pPr>
          </w:p>
        </w:tc>
      </w:tr>
      <w:tr w:rsidR="00C643DA" w:rsidRPr="00982C2B" w:rsidTr="00C643DA">
        <w:trPr>
          <w:cantSplit/>
        </w:trPr>
        <w:tc>
          <w:tcPr>
            <w:tcW w:w="9576" w:type="dxa"/>
            <w:gridSpan w:val="3"/>
          </w:tcPr>
          <w:p w:rsidR="00C643DA" w:rsidRPr="00982C2B" w:rsidRDefault="00C643DA" w:rsidP="00126689">
            <w:pPr>
              <w:jc w:val="both"/>
              <w:rPr>
                <w:rFonts w:cs="Times New Roman"/>
                <w:sz w:val="20"/>
                <w:szCs w:val="20"/>
              </w:rPr>
            </w:pPr>
            <w:r w:rsidRPr="00982C2B">
              <w:rPr>
                <w:rFonts w:cs="Times New Roman"/>
                <w:sz w:val="20"/>
                <w:szCs w:val="20"/>
              </w:rPr>
              <w:t xml:space="preserve">On an application for judicial interim release, if an accused does not ordinarily reside within two hundred kilometres of the place in which he or she is in custody, then pursuant to s. 515(2)(e) of the </w:t>
            </w:r>
            <w:r w:rsidRPr="00982C2B">
              <w:rPr>
                <w:rFonts w:cs="Times New Roman"/>
                <w:i/>
                <w:sz w:val="20"/>
                <w:szCs w:val="20"/>
              </w:rPr>
              <w:t>Criminal Code</w:t>
            </w:r>
            <w:r w:rsidRPr="00982C2B">
              <w:rPr>
                <w:rFonts w:cs="Times New Roman"/>
                <w:sz w:val="20"/>
                <w:szCs w:val="20"/>
              </w:rPr>
              <w:t>, on the accused entering into a recognizance with or without sureties as the justice directs and depositing with the justice such sum of money or other valuable security as the justice directs, the judge hearing the application shall order judicial interim release unless the prosecutor shows cause why detention of the accused is justified.</w:t>
            </w:r>
          </w:p>
          <w:p w:rsidR="00C643DA" w:rsidRPr="00982C2B" w:rsidRDefault="00C643DA" w:rsidP="00126689">
            <w:pPr>
              <w:pStyle w:val="SCCShortJudgment"/>
              <w:ind w:firstLine="0"/>
              <w:rPr>
                <w:rFonts w:cs="Times New Roman"/>
                <w:szCs w:val="20"/>
              </w:rPr>
            </w:pPr>
          </w:p>
        </w:tc>
      </w:tr>
      <w:tr w:rsidR="00C643DA" w:rsidRPr="00982C2B" w:rsidTr="00C643DA">
        <w:trPr>
          <w:cantSplit/>
        </w:trPr>
        <w:tc>
          <w:tcPr>
            <w:tcW w:w="4410" w:type="dxa"/>
          </w:tcPr>
          <w:p w:rsidR="00C643DA" w:rsidRPr="00982C2B" w:rsidRDefault="00C643DA" w:rsidP="00126689">
            <w:pPr>
              <w:jc w:val="both"/>
              <w:rPr>
                <w:rFonts w:cs="Times New Roman"/>
                <w:sz w:val="20"/>
                <w:szCs w:val="20"/>
              </w:rPr>
            </w:pPr>
            <w:r w:rsidRPr="00982C2B">
              <w:rPr>
                <w:rFonts w:cs="Times New Roman"/>
                <w:sz w:val="20"/>
                <w:szCs w:val="20"/>
              </w:rPr>
              <w:t>October 23, 2015</w:t>
            </w:r>
          </w:p>
          <w:p w:rsidR="00C643DA" w:rsidRPr="00982C2B" w:rsidRDefault="00C643DA" w:rsidP="00126689">
            <w:pPr>
              <w:jc w:val="both"/>
              <w:rPr>
                <w:rFonts w:cs="Times New Roman"/>
                <w:sz w:val="20"/>
                <w:szCs w:val="20"/>
              </w:rPr>
            </w:pPr>
            <w:r w:rsidRPr="00982C2B">
              <w:rPr>
                <w:rFonts w:cs="Times New Roman"/>
                <w:sz w:val="20"/>
                <w:szCs w:val="20"/>
              </w:rPr>
              <w:t>Ontario Superior Court of Justice</w:t>
            </w:r>
          </w:p>
          <w:p w:rsidR="00C643DA" w:rsidRPr="00982C2B" w:rsidRDefault="00C643DA" w:rsidP="00126689">
            <w:pPr>
              <w:jc w:val="both"/>
              <w:rPr>
                <w:rFonts w:cs="Times New Roman"/>
                <w:sz w:val="20"/>
                <w:szCs w:val="20"/>
              </w:rPr>
            </w:pPr>
            <w:r w:rsidRPr="00982C2B">
              <w:rPr>
                <w:rFonts w:cs="Times New Roman"/>
                <w:sz w:val="20"/>
                <w:szCs w:val="20"/>
              </w:rPr>
              <w:t>(Munroe J.)</w:t>
            </w:r>
          </w:p>
          <w:p w:rsidR="00C643DA" w:rsidRPr="00982C2B" w:rsidRDefault="00C643DA" w:rsidP="00126689">
            <w:pPr>
              <w:jc w:val="both"/>
              <w:rPr>
                <w:rFonts w:cs="Times New Roman"/>
                <w:sz w:val="20"/>
                <w:szCs w:val="20"/>
              </w:rPr>
            </w:pPr>
            <w:r w:rsidRPr="00982C2B">
              <w:rPr>
                <w:rFonts w:cs="Times New Roman"/>
                <w:sz w:val="20"/>
                <w:szCs w:val="20"/>
              </w:rPr>
              <w:t>CR-15-3465-BR; 2015 ONSC 6593</w:t>
            </w:r>
          </w:p>
          <w:p w:rsidR="00C643DA" w:rsidRPr="00982C2B" w:rsidRDefault="00C643DA" w:rsidP="00126689">
            <w:pPr>
              <w:jc w:val="both"/>
              <w:rPr>
                <w:rFonts w:cs="Times New Roman"/>
                <w:sz w:val="20"/>
                <w:szCs w:val="20"/>
              </w:rPr>
            </w:pPr>
            <w:r w:rsidRPr="00982C2B">
              <w:rPr>
                <w:rFonts w:cs="Times New Roman"/>
                <w:sz w:val="20"/>
                <w:szCs w:val="20"/>
              </w:rPr>
              <w:t>(unreported)</w:t>
            </w:r>
          </w:p>
          <w:p w:rsidR="00C643DA" w:rsidRPr="00982C2B" w:rsidRDefault="00C643DA" w:rsidP="00126689">
            <w:pPr>
              <w:jc w:val="both"/>
              <w:rPr>
                <w:rFonts w:cs="Times New Roman"/>
                <w:sz w:val="20"/>
                <w:szCs w:val="20"/>
              </w:rPr>
            </w:pPr>
          </w:p>
        </w:tc>
        <w:tc>
          <w:tcPr>
            <w:tcW w:w="630" w:type="dxa"/>
          </w:tcPr>
          <w:p w:rsidR="00C643DA" w:rsidRPr="00982C2B" w:rsidRDefault="00C643DA" w:rsidP="00126689">
            <w:pPr>
              <w:pStyle w:val="SCCShortJudgment"/>
              <w:ind w:firstLine="0"/>
              <w:rPr>
                <w:rFonts w:cs="Times New Roman"/>
                <w:szCs w:val="20"/>
              </w:rPr>
            </w:pPr>
          </w:p>
        </w:tc>
        <w:tc>
          <w:tcPr>
            <w:tcW w:w="4536" w:type="dxa"/>
          </w:tcPr>
          <w:p w:rsidR="00C643DA" w:rsidRPr="00982C2B" w:rsidRDefault="00C643DA" w:rsidP="00126689">
            <w:pPr>
              <w:jc w:val="both"/>
              <w:rPr>
                <w:rFonts w:cs="Times New Roman"/>
                <w:sz w:val="20"/>
                <w:szCs w:val="20"/>
              </w:rPr>
            </w:pPr>
            <w:r w:rsidRPr="00982C2B">
              <w:rPr>
                <w:rFonts w:cs="Times New Roman"/>
                <w:sz w:val="20"/>
                <w:szCs w:val="20"/>
              </w:rPr>
              <w:t>Bail review application allowed and judicial interim release granted</w:t>
            </w:r>
          </w:p>
          <w:p w:rsidR="00C643DA" w:rsidRPr="00982C2B" w:rsidRDefault="00C643DA" w:rsidP="00126689">
            <w:pPr>
              <w:jc w:val="both"/>
              <w:rPr>
                <w:rFonts w:cs="Times New Roman"/>
                <w:sz w:val="20"/>
                <w:szCs w:val="20"/>
              </w:rPr>
            </w:pPr>
          </w:p>
        </w:tc>
      </w:tr>
      <w:tr w:rsidR="00C643DA" w:rsidRPr="00982C2B" w:rsidTr="00C643DA">
        <w:trPr>
          <w:cantSplit/>
        </w:trPr>
        <w:tc>
          <w:tcPr>
            <w:tcW w:w="4410" w:type="dxa"/>
          </w:tcPr>
          <w:p w:rsidR="00C643DA" w:rsidRPr="00982C2B" w:rsidRDefault="00C643DA" w:rsidP="00C643DA">
            <w:pPr>
              <w:rPr>
                <w:rFonts w:cs="Times New Roman"/>
                <w:sz w:val="20"/>
                <w:szCs w:val="20"/>
              </w:rPr>
            </w:pPr>
            <w:r w:rsidRPr="00982C2B">
              <w:rPr>
                <w:rFonts w:cs="Times New Roman"/>
                <w:sz w:val="20"/>
                <w:szCs w:val="20"/>
              </w:rPr>
              <w:t>December 22, 2015</w:t>
            </w:r>
          </w:p>
          <w:p w:rsidR="00C643DA" w:rsidRPr="00982C2B" w:rsidRDefault="00C643DA" w:rsidP="00C643DA">
            <w:pPr>
              <w:rPr>
                <w:rFonts w:cs="Times New Roman"/>
                <w:sz w:val="20"/>
                <w:szCs w:val="20"/>
              </w:rPr>
            </w:pPr>
            <w:r w:rsidRPr="00982C2B">
              <w:rPr>
                <w:rFonts w:cs="Times New Roman"/>
                <w:sz w:val="20"/>
                <w:szCs w:val="20"/>
              </w:rPr>
              <w:t>Supreme Court of Canada</w:t>
            </w:r>
          </w:p>
          <w:p w:rsidR="00C643DA" w:rsidRPr="00982C2B" w:rsidRDefault="00C643DA" w:rsidP="00C643DA">
            <w:pPr>
              <w:jc w:val="both"/>
              <w:rPr>
                <w:rFonts w:cs="Times New Roman"/>
                <w:sz w:val="20"/>
                <w:szCs w:val="20"/>
              </w:rPr>
            </w:pPr>
          </w:p>
        </w:tc>
        <w:tc>
          <w:tcPr>
            <w:tcW w:w="630" w:type="dxa"/>
          </w:tcPr>
          <w:p w:rsidR="00C643DA" w:rsidRPr="00982C2B" w:rsidRDefault="00C643DA" w:rsidP="00C643DA">
            <w:pPr>
              <w:pStyle w:val="SCCShortJudgment"/>
              <w:ind w:firstLine="0"/>
              <w:rPr>
                <w:rFonts w:cs="Times New Roman"/>
                <w:szCs w:val="20"/>
              </w:rPr>
            </w:pPr>
          </w:p>
        </w:tc>
        <w:tc>
          <w:tcPr>
            <w:tcW w:w="4536" w:type="dxa"/>
          </w:tcPr>
          <w:p w:rsidR="00C643DA" w:rsidRPr="00982C2B" w:rsidRDefault="00C643DA" w:rsidP="00C643DA">
            <w:pPr>
              <w:rPr>
                <w:rFonts w:cs="Times New Roman"/>
                <w:sz w:val="20"/>
                <w:szCs w:val="20"/>
              </w:rPr>
            </w:pPr>
            <w:r w:rsidRPr="00982C2B">
              <w:rPr>
                <w:rFonts w:cs="Times New Roman"/>
                <w:sz w:val="20"/>
                <w:szCs w:val="20"/>
              </w:rPr>
              <w:t>Application for leave to appeal filed</w:t>
            </w:r>
          </w:p>
          <w:p w:rsidR="00C643DA" w:rsidRPr="00982C2B" w:rsidRDefault="00C643DA" w:rsidP="00C643DA">
            <w:pPr>
              <w:jc w:val="both"/>
              <w:rPr>
                <w:rFonts w:cs="Times New Roman"/>
                <w:sz w:val="20"/>
                <w:szCs w:val="20"/>
              </w:rPr>
            </w:pPr>
          </w:p>
        </w:tc>
      </w:tr>
      <w:tr w:rsidR="00C643DA" w:rsidRPr="00982C2B" w:rsidTr="00C643DA">
        <w:trPr>
          <w:cantSplit/>
        </w:trPr>
        <w:tc>
          <w:tcPr>
            <w:tcW w:w="9576" w:type="dxa"/>
            <w:gridSpan w:val="3"/>
          </w:tcPr>
          <w:p w:rsidR="00C643DA" w:rsidRPr="00982C2B" w:rsidRDefault="009F3029" w:rsidP="00C643DA">
            <w:pPr>
              <w:pStyle w:val="SCCShortJudgment"/>
              <w:ind w:firstLine="0"/>
              <w:rPr>
                <w:rFonts w:cs="Times New Roman"/>
                <w:szCs w:val="20"/>
                <w:lang w:val="fr-CA"/>
              </w:rPr>
            </w:pPr>
            <w:r>
              <w:rPr>
                <w:rFonts w:cs="Times New Roman"/>
                <w:szCs w:val="20"/>
                <w:lang w:val="fr-CA"/>
              </w:rPr>
              <w:pict>
                <v:rect id="_x0000_i1085" style="width:2in;height:1pt" o:hrpct="0" o:hralign="center" o:hrstd="t" o:hrnoshade="t" o:hr="t" fillcolor="black [3213]" stroked="f"/>
              </w:pict>
            </w:r>
          </w:p>
          <w:p w:rsidR="00C643DA" w:rsidRPr="00982C2B" w:rsidRDefault="00C643DA" w:rsidP="00C643DA">
            <w:pPr>
              <w:pStyle w:val="SCCShortJudgment"/>
              <w:ind w:firstLine="0"/>
              <w:rPr>
                <w:rFonts w:cs="Times New Roman"/>
                <w:szCs w:val="20"/>
                <w:lang w:val="fr-CA"/>
              </w:rPr>
            </w:pPr>
          </w:p>
        </w:tc>
      </w:tr>
      <w:tr w:rsidR="00C643DA" w:rsidRPr="00982C2B" w:rsidTr="00C643DA">
        <w:trPr>
          <w:cantSplit/>
        </w:trPr>
        <w:tc>
          <w:tcPr>
            <w:tcW w:w="9576" w:type="dxa"/>
            <w:gridSpan w:val="3"/>
          </w:tcPr>
          <w:p w:rsidR="00C643DA" w:rsidRPr="00982C2B" w:rsidRDefault="00C643DA" w:rsidP="00C643DA">
            <w:pPr>
              <w:pStyle w:val="SCCShortJudgment"/>
              <w:ind w:firstLine="0"/>
              <w:rPr>
                <w:rFonts w:cs="Times New Roman"/>
                <w:szCs w:val="20"/>
                <w:u w:val="single"/>
                <w:lang w:val="fr-CA"/>
              </w:rPr>
            </w:pPr>
            <w:r w:rsidRPr="00982C2B">
              <w:rPr>
                <w:rFonts w:cs="Times New Roman"/>
                <w:szCs w:val="20"/>
                <w:u w:val="single"/>
                <w:lang w:val="fr-CA"/>
              </w:rPr>
              <w:t>RÉSUMÉ DE L’AFFAIRE </w:t>
            </w:r>
          </w:p>
          <w:p w:rsidR="00C643DA" w:rsidRPr="00982C2B" w:rsidRDefault="00C643DA" w:rsidP="00C643DA">
            <w:pPr>
              <w:pStyle w:val="SCCShortJudgment"/>
              <w:ind w:firstLine="0"/>
              <w:rPr>
                <w:rFonts w:cs="Times New Roman"/>
                <w:szCs w:val="20"/>
                <w:u w:val="single"/>
                <w:lang w:val="fr-CA"/>
              </w:rPr>
            </w:pPr>
          </w:p>
        </w:tc>
      </w:tr>
      <w:tr w:rsidR="00C643DA" w:rsidRPr="009F3029" w:rsidTr="00C643DA">
        <w:trPr>
          <w:cantSplit/>
        </w:trPr>
        <w:tc>
          <w:tcPr>
            <w:tcW w:w="9576" w:type="dxa"/>
            <w:gridSpan w:val="3"/>
          </w:tcPr>
          <w:p w:rsidR="00C643DA" w:rsidRPr="00982C2B" w:rsidRDefault="00C643DA" w:rsidP="00126689">
            <w:pPr>
              <w:pStyle w:val="SCCBanSummary"/>
              <w:rPr>
                <w:rFonts w:cs="Times New Roman"/>
                <w:sz w:val="20"/>
                <w:szCs w:val="20"/>
                <w:lang w:val="fr-CA"/>
              </w:rPr>
            </w:pPr>
            <w:r w:rsidRPr="00982C2B">
              <w:rPr>
                <w:rFonts w:cs="Times New Roman"/>
                <w:sz w:val="20"/>
                <w:szCs w:val="20"/>
                <w:lang w:val="fr-CA"/>
              </w:rPr>
              <w:t>(Ordonnance de non-publication dans le dossier)</w:t>
            </w:r>
          </w:p>
          <w:p w:rsidR="00C643DA" w:rsidRPr="00982C2B" w:rsidRDefault="00C643DA" w:rsidP="00126689">
            <w:pPr>
              <w:jc w:val="both"/>
              <w:rPr>
                <w:rFonts w:cs="Times New Roman"/>
                <w:sz w:val="20"/>
                <w:szCs w:val="20"/>
                <w:lang w:val="fr-CA"/>
              </w:rPr>
            </w:pPr>
          </w:p>
          <w:p w:rsidR="00C643DA" w:rsidRPr="00982C2B" w:rsidRDefault="00C643DA" w:rsidP="00126689">
            <w:pPr>
              <w:pStyle w:val="SCCShortJudgment"/>
              <w:ind w:firstLine="0"/>
              <w:rPr>
                <w:rFonts w:cs="Times New Roman"/>
                <w:szCs w:val="20"/>
                <w:lang w:val="fr-CA"/>
              </w:rPr>
            </w:pPr>
            <w:r w:rsidRPr="00982C2B">
              <w:rPr>
                <w:rFonts w:cs="Times New Roman"/>
                <w:i/>
                <w:szCs w:val="20"/>
                <w:lang w:val="fr-CA"/>
              </w:rPr>
              <w:t>Charte des droits et libertés</w:t>
            </w:r>
            <w:r w:rsidRPr="00982C2B">
              <w:rPr>
                <w:rFonts w:cs="Times New Roman"/>
                <w:szCs w:val="20"/>
                <w:lang w:val="fr-CA"/>
              </w:rPr>
              <w:t xml:space="preserve"> — Droit à une mise en liberté assortie d’un cautionnement raisonnable — L’alinéa 515(2)e) du </w:t>
            </w:r>
            <w:r w:rsidRPr="00982C2B">
              <w:rPr>
                <w:rFonts w:cs="Times New Roman"/>
                <w:i/>
                <w:szCs w:val="20"/>
                <w:lang w:val="fr-CA"/>
              </w:rPr>
              <w:t>Code criminel</w:t>
            </w:r>
            <w:r w:rsidRPr="00982C2B">
              <w:rPr>
                <w:rFonts w:cs="Times New Roman"/>
                <w:szCs w:val="20"/>
                <w:lang w:val="fr-CA"/>
              </w:rPr>
              <w:t xml:space="preserve">, L.R.C. 1985, c. C-46, porte-t-il atteinte au droit, garanti par l’al. 11e) de la </w:t>
            </w:r>
            <w:r w:rsidRPr="00982C2B">
              <w:rPr>
                <w:rFonts w:cs="Times New Roman"/>
                <w:i/>
                <w:szCs w:val="20"/>
                <w:lang w:val="fr-CA"/>
              </w:rPr>
              <w:t>Charte</w:t>
            </w:r>
            <w:r w:rsidRPr="00982C2B">
              <w:rPr>
                <w:rFonts w:cs="Times New Roman"/>
                <w:szCs w:val="20"/>
                <w:lang w:val="fr-CA"/>
              </w:rPr>
              <w:t xml:space="preserve">, de ne pas être privé sans juste cause d’une mise en liberté assortie d’un cautionnement raisonnable? </w:t>
            </w:r>
            <w:r w:rsidRPr="00982C2B">
              <w:rPr>
                <w:rFonts w:cs="Times New Roman"/>
                <w:iCs/>
                <w:szCs w:val="20"/>
                <w:lang w:val="fr-CA"/>
              </w:rPr>
              <w:t xml:space="preserve">— Dans l’affirmative, l’atteinte constitue-t-elle une limite raisonnable prescrite par une règle de droit et dont la justification peut se démontrer dans le cadre d’une société libre et démocratique? </w:t>
            </w:r>
            <w:r w:rsidRPr="00982C2B">
              <w:rPr>
                <w:rFonts w:cs="Times New Roman"/>
                <w:szCs w:val="20"/>
                <w:lang w:val="fr-CA"/>
              </w:rPr>
              <w:t>— Dans la négative, y a-t-il lieu de retrancher et de déclarer inopérants des mots de l’al. 515(2)e)?</w:t>
            </w:r>
          </w:p>
          <w:p w:rsidR="00C643DA" w:rsidRPr="00982C2B" w:rsidRDefault="00C643DA" w:rsidP="00126689">
            <w:pPr>
              <w:pStyle w:val="SCCShortJudgment"/>
              <w:ind w:firstLine="0"/>
              <w:rPr>
                <w:rFonts w:cs="Times New Roman"/>
                <w:szCs w:val="20"/>
                <w:u w:val="single"/>
                <w:lang w:val="fr-CA"/>
              </w:rPr>
            </w:pPr>
          </w:p>
        </w:tc>
      </w:tr>
      <w:tr w:rsidR="00C643DA" w:rsidRPr="009F3029" w:rsidTr="002C243F">
        <w:tc>
          <w:tcPr>
            <w:tcW w:w="9576" w:type="dxa"/>
            <w:gridSpan w:val="3"/>
          </w:tcPr>
          <w:p w:rsidR="00C643DA" w:rsidRPr="00982C2B" w:rsidRDefault="00C643DA" w:rsidP="00126689">
            <w:pPr>
              <w:jc w:val="both"/>
              <w:rPr>
                <w:rFonts w:cs="Times New Roman"/>
                <w:sz w:val="20"/>
                <w:szCs w:val="20"/>
                <w:lang w:val="fr-CA"/>
              </w:rPr>
            </w:pPr>
            <w:r w:rsidRPr="00982C2B">
              <w:rPr>
                <w:rFonts w:cs="Times New Roman"/>
                <w:sz w:val="20"/>
                <w:szCs w:val="20"/>
                <w:lang w:val="fr-CA"/>
              </w:rPr>
              <w:t xml:space="preserve">En présence d’une demande de mise en liberté provisoire déposée par un prévenu qui ne réside pas ordinairement dans un rayon de deux cents kilomètres du lieu où il est sous garde, l’al. 515(2)e) du </w:t>
            </w:r>
            <w:r w:rsidRPr="00982C2B">
              <w:rPr>
                <w:rFonts w:cs="Times New Roman"/>
                <w:i/>
                <w:sz w:val="20"/>
                <w:szCs w:val="20"/>
                <w:lang w:val="fr-CA"/>
              </w:rPr>
              <w:t xml:space="preserve">Code criminel </w:t>
            </w:r>
            <w:r w:rsidRPr="00982C2B">
              <w:rPr>
                <w:rFonts w:cs="Times New Roman"/>
                <w:sz w:val="20"/>
                <w:szCs w:val="20"/>
                <w:lang w:val="fr-CA"/>
              </w:rPr>
              <w:t>prévoit que le prévenu contracte un engagement avec ou sans caution, selon ce que le juge prescrit, et dépose la somme d’argent ou les valeurs que ce dernier prescrit, et que le juge saisi de la demande ordonne la mise en liberté provisoire à moins que le poursuivant ne fasse valoir des motifs justifiant la détention du prévenu.</w:t>
            </w:r>
          </w:p>
        </w:tc>
      </w:tr>
      <w:tr w:rsidR="00C643DA" w:rsidRPr="009F3029" w:rsidTr="00C643DA">
        <w:trPr>
          <w:cantSplit/>
        </w:trPr>
        <w:tc>
          <w:tcPr>
            <w:tcW w:w="9576" w:type="dxa"/>
            <w:gridSpan w:val="3"/>
          </w:tcPr>
          <w:p w:rsidR="00C643DA" w:rsidRPr="00982C2B" w:rsidRDefault="00C643DA" w:rsidP="00126689">
            <w:pPr>
              <w:pStyle w:val="SCCShortJudgment"/>
              <w:ind w:firstLine="0"/>
              <w:rPr>
                <w:rFonts w:cs="Times New Roman"/>
                <w:szCs w:val="20"/>
                <w:u w:val="single"/>
                <w:lang w:val="fr-CA"/>
              </w:rPr>
            </w:pPr>
          </w:p>
        </w:tc>
      </w:tr>
      <w:tr w:rsidR="00C643DA" w:rsidRPr="009F3029" w:rsidTr="00C643DA">
        <w:trPr>
          <w:cantSplit/>
        </w:trPr>
        <w:tc>
          <w:tcPr>
            <w:tcW w:w="4410" w:type="dxa"/>
          </w:tcPr>
          <w:p w:rsidR="00C643DA" w:rsidRPr="00982C2B" w:rsidRDefault="00C643DA" w:rsidP="00126689">
            <w:pPr>
              <w:jc w:val="both"/>
              <w:rPr>
                <w:rFonts w:cs="Times New Roman"/>
                <w:sz w:val="20"/>
                <w:szCs w:val="20"/>
                <w:lang w:val="fr-CA"/>
              </w:rPr>
            </w:pPr>
            <w:r w:rsidRPr="00982C2B">
              <w:rPr>
                <w:rFonts w:cs="Times New Roman"/>
                <w:sz w:val="20"/>
                <w:szCs w:val="20"/>
                <w:lang w:val="fr-CA"/>
              </w:rPr>
              <w:t>23 octobre 2015</w:t>
            </w:r>
          </w:p>
          <w:p w:rsidR="00C643DA" w:rsidRPr="00982C2B" w:rsidRDefault="00C643DA" w:rsidP="00126689">
            <w:pPr>
              <w:jc w:val="both"/>
              <w:rPr>
                <w:rFonts w:cs="Times New Roman"/>
                <w:sz w:val="20"/>
                <w:szCs w:val="20"/>
                <w:lang w:val="fr-CA"/>
              </w:rPr>
            </w:pPr>
            <w:r w:rsidRPr="00982C2B">
              <w:rPr>
                <w:rFonts w:cs="Times New Roman"/>
                <w:sz w:val="20"/>
                <w:szCs w:val="20"/>
                <w:lang w:val="fr-CA"/>
              </w:rPr>
              <w:t>Cour supérieure de justice de l’Ontario</w:t>
            </w:r>
          </w:p>
          <w:p w:rsidR="00C643DA" w:rsidRPr="00982C2B" w:rsidRDefault="00C643DA" w:rsidP="00126689">
            <w:pPr>
              <w:jc w:val="both"/>
              <w:rPr>
                <w:rFonts w:cs="Times New Roman"/>
                <w:sz w:val="20"/>
                <w:szCs w:val="20"/>
                <w:lang w:val="fr-CA"/>
              </w:rPr>
            </w:pPr>
            <w:r w:rsidRPr="00982C2B">
              <w:rPr>
                <w:rFonts w:cs="Times New Roman"/>
                <w:sz w:val="20"/>
                <w:szCs w:val="20"/>
                <w:lang w:val="fr-CA"/>
              </w:rPr>
              <w:t>(Juge Munroe)</w:t>
            </w:r>
          </w:p>
          <w:p w:rsidR="00C643DA" w:rsidRPr="00982C2B" w:rsidRDefault="00C643DA" w:rsidP="00126689">
            <w:pPr>
              <w:jc w:val="both"/>
              <w:rPr>
                <w:rFonts w:cs="Times New Roman"/>
                <w:sz w:val="20"/>
                <w:szCs w:val="20"/>
                <w:lang w:val="fr-CA"/>
              </w:rPr>
            </w:pPr>
            <w:r w:rsidRPr="00982C2B">
              <w:rPr>
                <w:rFonts w:cs="Times New Roman"/>
                <w:sz w:val="20"/>
                <w:szCs w:val="20"/>
                <w:lang w:val="fr-CA"/>
              </w:rPr>
              <w:t>CR-15-3465-BR; 2015 ONSC 6593</w:t>
            </w:r>
          </w:p>
          <w:p w:rsidR="00C643DA" w:rsidRPr="00982C2B" w:rsidRDefault="00C643DA" w:rsidP="00126689">
            <w:pPr>
              <w:jc w:val="both"/>
              <w:rPr>
                <w:rFonts w:cs="Times New Roman"/>
                <w:sz w:val="20"/>
                <w:szCs w:val="20"/>
              </w:rPr>
            </w:pPr>
            <w:r w:rsidRPr="00982C2B">
              <w:rPr>
                <w:rFonts w:cs="Times New Roman"/>
                <w:sz w:val="20"/>
                <w:szCs w:val="20"/>
              </w:rPr>
              <w:t>(non publiée)</w:t>
            </w:r>
          </w:p>
          <w:p w:rsidR="00C643DA" w:rsidRPr="00982C2B" w:rsidRDefault="00C643DA" w:rsidP="00126689">
            <w:pPr>
              <w:pStyle w:val="SCCShortJudgment"/>
              <w:ind w:firstLine="0"/>
              <w:rPr>
                <w:rFonts w:cs="Times New Roman"/>
                <w:szCs w:val="20"/>
                <w:u w:val="single"/>
                <w:lang w:val="fr-CA"/>
              </w:rPr>
            </w:pPr>
          </w:p>
        </w:tc>
        <w:tc>
          <w:tcPr>
            <w:tcW w:w="630" w:type="dxa"/>
          </w:tcPr>
          <w:p w:rsidR="00C643DA" w:rsidRPr="00982C2B" w:rsidRDefault="00C643DA" w:rsidP="00126689">
            <w:pPr>
              <w:pStyle w:val="SCCShortJudgment"/>
              <w:ind w:firstLine="0"/>
              <w:rPr>
                <w:rFonts w:cs="Times New Roman"/>
                <w:szCs w:val="20"/>
                <w:u w:val="single"/>
                <w:lang w:val="fr-CA"/>
              </w:rPr>
            </w:pPr>
          </w:p>
        </w:tc>
        <w:tc>
          <w:tcPr>
            <w:tcW w:w="4536" w:type="dxa"/>
          </w:tcPr>
          <w:p w:rsidR="00C643DA" w:rsidRPr="00982C2B" w:rsidRDefault="00C643DA" w:rsidP="00126689">
            <w:pPr>
              <w:jc w:val="both"/>
              <w:rPr>
                <w:rFonts w:cs="Times New Roman"/>
                <w:sz w:val="20"/>
                <w:szCs w:val="20"/>
                <w:lang w:val="fr-CA"/>
              </w:rPr>
            </w:pPr>
            <w:r w:rsidRPr="00982C2B">
              <w:rPr>
                <w:rFonts w:cs="Times New Roman"/>
                <w:sz w:val="20"/>
                <w:szCs w:val="20"/>
                <w:lang w:val="fr-CA"/>
              </w:rPr>
              <w:t>Demande de révision de la mise en liberté sous caution accueillie et mise en liberté provisoire accordée</w:t>
            </w:r>
          </w:p>
          <w:p w:rsidR="00C643DA" w:rsidRPr="00982C2B" w:rsidRDefault="00C643DA" w:rsidP="00126689">
            <w:pPr>
              <w:pStyle w:val="SCCShortJudgment"/>
              <w:ind w:firstLine="0"/>
              <w:rPr>
                <w:rFonts w:cs="Times New Roman"/>
                <w:szCs w:val="20"/>
                <w:u w:val="single"/>
                <w:lang w:val="fr-CA"/>
              </w:rPr>
            </w:pPr>
          </w:p>
        </w:tc>
      </w:tr>
      <w:tr w:rsidR="00C643DA" w:rsidRPr="009F3029" w:rsidTr="00C643DA">
        <w:trPr>
          <w:cantSplit/>
        </w:trPr>
        <w:tc>
          <w:tcPr>
            <w:tcW w:w="4410" w:type="dxa"/>
          </w:tcPr>
          <w:p w:rsidR="00C643DA" w:rsidRPr="00982C2B" w:rsidRDefault="00C643DA" w:rsidP="00126689">
            <w:pPr>
              <w:jc w:val="both"/>
              <w:rPr>
                <w:rFonts w:cs="Times New Roman"/>
                <w:sz w:val="20"/>
                <w:szCs w:val="20"/>
              </w:rPr>
            </w:pPr>
            <w:r w:rsidRPr="00982C2B">
              <w:rPr>
                <w:rFonts w:cs="Times New Roman"/>
                <w:sz w:val="20"/>
                <w:szCs w:val="20"/>
              </w:rPr>
              <w:t>22 décembre 2015</w:t>
            </w:r>
          </w:p>
          <w:p w:rsidR="00C643DA" w:rsidRPr="00982C2B" w:rsidRDefault="00C643DA" w:rsidP="00126689">
            <w:pPr>
              <w:jc w:val="both"/>
              <w:rPr>
                <w:rFonts w:cs="Times New Roman"/>
                <w:sz w:val="20"/>
                <w:szCs w:val="20"/>
              </w:rPr>
            </w:pPr>
            <w:r w:rsidRPr="00982C2B">
              <w:rPr>
                <w:rFonts w:cs="Times New Roman"/>
                <w:sz w:val="20"/>
                <w:szCs w:val="20"/>
              </w:rPr>
              <w:t>Cour suprême du Canada</w:t>
            </w:r>
          </w:p>
          <w:p w:rsidR="00C643DA" w:rsidRPr="00982C2B" w:rsidRDefault="00C643DA" w:rsidP="00126689">
            <w:pPr>
              <w:pStyle w:val="SCCShortJudgment"/>
              <w:ind w:firstLine="0"/>
              <w:rPr>
                <w:rFonts w:cs="Times New Roman"/>
                <w:szCs w:val="20"/>
                <w:u w:val="single"/>
                <w:lang w:val="fr-CA"/>
              </w:rPr>
            </w:pPr>
          </w:p>
        </w:tc>
        <w:tc>
          <w:tcPr>
            <w:tcW w:w="630" w:type="dxa"/>
          </w:tcPr>
          <w:p w:rsidR="00C643DA" w:rsidRPr="00982C2B" w:rsidRDefault="00C643DA" w:rsidP="00126689">
            <w:pPr>
              <w:pStyle w:val="SCCShortJudgment"/>
              <w:ind w:firstLine="0"/>
              <w:rPr>
                <w:rFonts w:cs="Times New Roman"/>
                <w:szCs w:val="20"/>
                <w:u w:val="single"/>
                <w:lang w:val="fr-CA"/>
              </w:rPr>
            </w:pPr>
          </w:p>
        </w:tc>
        <w:tc>
          <w:tcPr>
            <w:tcW w:w="4536" w:type="dxa"/>
          </w:tcPr>
          <w:p w:rsidR="00C643DA" w:rsidRPr="00982C2B" w:rsidRDefault="00C643DA" w:rsidP="00126689">
            <w:pPr>
              <w:jc w:val="both"/>
              <w:rPr>
                <w:rFonts w:cs="Times New Roman"/>
                <w:sz w:val="20"/>
                <w:szCs w:val="20"/>
                <w:lang w:val="fr-CA"/>
              </w:rPr>
            </w:pPr>
            <w:r w:rsidRPr="00982C2B">
              <w:rPr>
                <w:rFonts w:cs="Times New Roman"/>
                <w:sz w:val="20"/>
                <w:szCs w:val="20"/>
                <w:lang w:val="fr-CA"/>
              </w:rPr>
              <w:t xml:space="preserve">Dépôt de la demande d’autorisation d’appel </w:t>
            </w:r>
          </w:p>
          <w:p w:rsidR="00C643DA" w:rsidRPr="00982C2B" w:rsidRDefault="00C643DA" w:rsidP="00126689">
            <w:pPr>
              <w:pStyle w:val="SCCShortJudgment"/>
              <w:ind w:firstLine="0"/>
              <w:rPr>
                <w:rFonts w:cs="Times New Roman"/>
                <w:szCs w:val="20"/>
                <w:u w:val="single"/>
                <w:lang w:val="fr-CA"/>
              </w:rPr>
            </w:pPr>
          </w:p>
        </w:tc>
      </w:tr>
    </w:tbl>
    <w:p w:rsidR="00C643DA" w:rsidRPr="00982C2B" w:rsidRDefault="009F3029" w:rsidP="00C643DA">
      <w:pPr>
        <w:rPr>
          <w:rFonts w:cs="Times New Roman"/>
          <w:sz w:val="20"/>
          <w:szCs w:val="20"/>
          <w:lang w:val="fr-CA"/>
        </w:rPr>
      </w:pPr>
      <w:r>
        <w:rPr>
          <w:rFonts w:cs="Times New Roman"/>
          <w:sz w:val="20"/>
          <w:szCs w:val="20"/>
          <w:lang w:val="fr-CA"/>
        </w:rPr>
        <w:pict>
          <v:rect id="_x0000_i1086" style="width:2in;height:1pt" o:hrpct="0" o:hralign="center" o:hrstd="t" o:hrnoshade="t" o:hr="t" fillcolor="black [3213]" stroked="f"/>
        </w:pict>
      </w:r>
    </w:p>
    <w:p w:rsidR="00C643DA" w:rsidRPr="00982C2B" w:rsidRDefault="00C643DA" w:rsidP="00C643DA">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60FCF" w:rsidRPr="00982C2B" w:rsidTr="00360FCF">
        <w:tc>
          <w:tcPr>
            <w:tcW w:w="1458" w:type="dxa"/>
          </w:tcPr>
          <w:p w:rsidR="00360FCF" w:rsidRPr="00982C2B" w:rsidRDefault="00360FCF" w:rsidP="0052683C">
            <w:pPr>
              <w:jc w:val="both"/>
              <w:rPr>
                <w:rFonts w:cs="Times New Roman"/>
                <w:sz w:val="20"/>
                <w:szCs w:val="20"/>
              </w:rPr>
            </w:pPr>
            <w:r w:rsidRPr="00982C2B">
              <w:rPr>
                <w:rStyle w:val="SCCFileNumberChar"/>
                <w:sz w:val="20"/>
                <w:szCs w:val="20"/>
              </w:rPr>
              <w:t>36784</w:t>
            </w:r>
          </w:p>
          <w:p w:rsidR="00360FCF" w:rsidRPr="00982C2B" w:rsidRDefault="00360FCF" w:rsidP="0052683C">
            <w:pPr>
              <w:jc w:val="both"/>
              <w:rPr>
                <w:rFonts w:cs="Times New Roman"/>
                <w:b/>
                <w:sz w:val="20"/>
                <w:szCs w:val="20"/>
              </w:rPr>
            </w:pPr>
          </w:p>
        </w:tc>
        <w:tc>
          <w:tcPr>
            <w:tcW w:w="8118" w:type="dxa"/>
            <w:gridSpan w:val="3"/>
          </w:tcPr>
          <w:p w:rsidR="00360FCF" w:rsidRPr="00982C2B" w:rsidRDefault="00360FCF" w:rsidP="0052683C">
            <w:pPr>
              <w:jc w:val="both"/>
              <w:rPr>
                <w:rFonts w:cs="Times New Roman"/>
                <w:sz w:val="20"/>
                <w:szCs w:val="20"/>
              </w:rPr>
            </w:pPr>
            <w:r w:rsidRPr="00982C2B">
              <w:rPr>
                <w:rStyle w:val="SCCLsocChar"/>
                <w:rFonts w:cs="Times New Roman"/>
                <w:sz w:val="20"/>
                <w:szCs w:val="20"/>
                <w:lang w:val="en-CA"/>
              </w:rPr>
              <w:t>Thanh Tam Tran</w:t>
            </w:r>
            <w:r w:rsidR="002C243F">
              <w:rPr>
                <w:rStyle w:val="SCCLsocChar"/>
                <w:rFonts w:cs="Times New Roman"/>
                <w:sz w:val="20"/>
                <w:szCs w:val="20"/>
                <w:lang w:val="en-CA"/>
              </w:rPr>
              <w:t xml:space="preserve"> v.</w:t>
            </w:r>
            <w:r w:rsidRPr="00982C2B">
              <w:rPr>
                <w:rStyle w:val="SCCLsocChar"/>
                <w:rFonts w:cs="Times New Roman"/>
                <w:sz w:val="20"/>
                <w:szCs w:val="20"/>
                <w:lang w:val="en-CA"/>
              </w:rPr>
              <w:t xml:space="preserve"> Minister of Public Safety and Emergency Preparedness</w:t>
            </w:r>
            <w:r w:rsidRPr="00982C2B">
              <w:rPr>
                <w:rStyle w:val="SCCLsocChar"/>
                <w:rFonts w:cs="Times New Roman"/>
                <w:sz w:val="20"/>
                <w:szCs w:val="20"/>
                <w:u w:val="none"/>
                <w:lang w:val="en-CA"/>
              </w:rPr>
              <w:t xml:space="preserve"> </w:t>
            </w:r>
            <w:r w:rsidRPr="00982C2B">
              <w:rPr>
                <w:rFonts w:cs="Times New Roman"/>
                <w:sz w:val="20"/>
                <w:szCs w:val="20"/>
              </w:rPr>
              <w:t>(</w:t>
            </w:r>
            <w:r w:rsidR="00C7566C" w:rsidRPr="00982C2B">
              <w:rPr>
                <w:rFonts w:cs="Times New Roman"/>
                <w:sz w:val="20"/>
                <w:szCs w:val="20"/>
              </w:rPr>
              <w:t>F.C.</w:t>
            </w:r>
            <w:r w:rsidRPr="00982C2B">
              <w:rPr>
                <w:rFonts w:cs="Times New Roman"/>
                <w:sz w:val="20"/>
                <w:szCs w:val="20"/>
              </w:rPr>
              <w:t>) (Civil) (By Leave)</w:t>
            </w:r>
          </w:p>
          <w:p w:rsidR="00360FCF" w:rsidRPr="00982C2B" w:rsidRDefault="00360FCF" w:rsidP="0052683C">
            <w:pPr>
              <w:jc w:val="both"/>
              <w:rPr>
                <w:rFonts w:cs="Times New Roman"/>
                <w:sz w:val="20"/>
                <w:szCs w:val="20"/>
              </w:rPr>
            </w:pPr>
          </w:p>
        </w:tc>
      </w:tr>
      <w:tr w:rsidR="00360FCF" w:rsidRPr="00982C2B" w:rsidTr="00360FCF">
        <w:tc>
          <w:tcPr>
            <w:tcW w:w="1458" w:type="dxa"/>
          </w:tcPr>
          <w:p w:rsidR="00360FCF" w:rsidRPr="00982C2B" w:rsidRDefault="00360FCF" w:rsidP="0052683C">
            <w:pPr>
              <w:jc w:val="both"/>
              <w:rPr>
                <w:rFonts w:cs="Times New Roman"/>
                <w:sz w:val="20"/>
                <w:szCs w:val="20"/>
              </w:rPr>
            </w:pPr>
            <w:r w:rsidRPr="00982C2B">
              <w:rPr>
                <w:rFonts w:cs="Times New Roman"/>
                <w:sz w:val="20"/>
                <w:szCs w:val="20"/>
              </w:rPr>
              <w:t>Coram :</w:t>
            </w:r>
          </w:p>
        </w:tc>
        <w:tc>
          <w:tcPr>
            <w:tcW w:w="8118" w:type="dxa"/>
            <w:gridSpan w:val="3"/>
          </w:tcPr>
          <w:p w:rsidR="00360FCF" w:rsidRPr="00982C2B" w:rsidRDefault="00360FCF" w:rsidP="0052683C">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360FCF" w:rsidRPr="00982C2B" w:rsidRDefault="00360FCF" w:rsidP="0052683C">
            <w:pPr>
              <w:jc w:val="both"/>
              <w:rPr>
                <w:rFonts w:cs="Times New Roman"/>
                <w:sz w:val="20"/>
                <w:szCs w:val="20"/>
                <w:u w:val="single"/>
              </w:rPr>
            </w:pPr>
          </w:p>
        </w:tc>
      </w:tr>
      <w:tr w:rsidR="00360FCF" w:rsidRPr="009F3029" w:rsidTr="00360FCF">
        <w:tc>
          <w:tcPr>
            <w:tcW w:w="9576" w:type="dxa"/>
            <w:gridSpan w:val="4"/>
          </w:tcPr>
          <w:p w:rsidR="00360FCF" w:rsidRPr="00982C2B" w:rsidRDefault="00360FCF" w:rsidP="0052683C">
            <w:pPr>
              <w:pStyle w:val="SCCShortJudgment"/>
              <w:ind w:firstLine="0"/>
              <w:rPr>
                <w:rFonts w:cs="Times New Roman"/>
                <w:szCs w:val="20"/>
              </w:rPr>
            </w:pPr>
            <w:r w:rsidRPr="00982C2B">
              <w:rPr>
                <w:rFonts w:cs="Times New Roman"/>
                <w:szCs w:val="20"/>
              </w:rPr>
              <w:tab/>
              <w:t>The application for leave to appeal from the judgment of the Federal Court of Appeal, Number A-531-14, 2015 FCA 237, dated October 30, 2015, is granted.</w:t>
            </w:r>
          </w:p>
          <w:p w:rsidR="00360FCF" w:rsidRPr="00982C2B" w:rsidRDefault="00360FCF" w:rsidP="0052683C">
            <w:pPr>
              <w:pStyle w:val="SCCShortJudgment"/>
              <w:ind w:firstLine="0"/>
              <w:rPr>
                <w:rFonts w:cs="Times New Roman"/>
                <w:szCs w:val="20"/>
              </w:rPr>
            </w:pPr>
          </w:p>
          <w:p w:rsidR="00360FCF" w:rsidRPr="00982C2B" w:rsidRDefault="00360FCF" w:rsidP="0052683C">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fédérale</w:t>
            </w:r>
            <w:r w:rsidRPr="00982C2B">
              <w:rPr>
                <w:rFonts w:cs="Times New Roman"/>
                <w:szCs w:val="20"/>
                <w:lang w:val="fr-CA"/>
              </w:rPr>
              <w:t xml:space="preserve">, numéro </w:t>
            </w:r>
            <w:r w:rsidRPr="00982C2B">
              <w:rPr>
                <w:rFonts w:cs="Times New Roman"/>
                <w:szCs w:val="20"/>
                <w:lang w:val="fr-FR"/>
              </w:rPr>
              <w:t>A-531-14, 2015 CAF 237</w:t>
            </w:r>
            <w:r w:rsidRPr="00982C2B">
              <w:rPr>
                <w:rFonts w:cs="Times New Roman"/>
                <w:szCs w:val="20"/>
                <w:lang w:val="fr-CA"/>
              </w:rPr>
              <w:t xml:space="preserve">, daté du </w:t>
            </w:r>
            <w:r w:rsidRPr="00982C2B">
              <w:rPr>
                <w:rFonts w:cs="Times New Roman"/>
                <w:szCs w:val="20"/>
                <w:lang w:val="fr-FR"/>
              </w:rPr>
              <w:t>30 octobre 2015</w:t>
            </w:r>
            <w:r w:rsidRPr="00982C2B">
              <w:rPr>
                <w:rFonts w:cs="Times New Roman"/>
                <w:szCs w:val="20"/>
                <w:lang w:val="fr-CA"/>
              </w:rPr>
              <w:t>, est accueillie.</w:t>
            </w:r>
          </w:p>
          <w:p w:rsidR="00360FCF" w:rsidRPr="00982C2B" w:rsidRDefault="00360FCF" w:rsidP="0052683C">
            <w:pPr>
              <w:pStyle w:val="SCCShortJudgment"/>
              <w:ind w:firstLine="0"/>
              <w:rPr>
                <w:rFonts w:cs="Times New Roman"/>
                <w:szCs w:val="20"/>
                <w:lang w:val="fr-CA"/>
              </w:rPr>
            </w:pPr>
          </w:p>
        </w:tc>
      </w:tr>
      <w:tr w:rsidR="00360FCF" w:rsidRPr="00982C2B" w:rsidTr="00360FCF">
        <w:tc>
          <w:tcPr>
            <w:tcW w:w="9576" w:type="dxa"/>
            <w:gridSpan w:val="4"/>
          </w:tcPr>
          <w:p w:rsidR="00360FCF" w:rsidRPr="00982C2B" w:rsidRDefault="00360FCF" w:rsidP="0052683C">
            <w:pPr>
              <w:pStyle w:val="SCCShortJudgment"/>
              <w:ind w:firstLine="0"/>
              <w:rPr>
                <w:rFonts w:cs="Times New Roman"/>
                <w:szCs w:val="20"/>
                <w:u w:val="single"/>
                <w:lang w:val="fr-CA"/>
              </w:rPr>
            </w:pPr>
            <w:r w:rsidRPr="00982C2B">
              <w:rPr>
                <w:rFonts w:cs="Times New Roman"/>
                <w:szCs w:val="20"/>
                <w:u w:val="single"/>
                <w:lang w:val="fr-CA"/>
              </w:rPr>
              <w:t>CASE SUMMARY</w:t>
            </w:r>
          </w:p>
          <w:p w:rsidR="00360FCF" w:rsidRPr="00982C2B" w:rsidRDefault="00360FCF" w:rsidP="0052683C">
            <w:pPr>
              <w:pStyle w:val="SCCShortJudgment"/>
              <w:ind w:firstLine="0"/>
              <w:rPr>
                <w:rFonts w:cs="Times New Roman"/>
                <w:szCs w:val="20"/>
                <w:u w:val="single"/>
                <w:lang w:val="fr-CA"/>
              </w:rPr>
            </w:pPr>
          </w:p>
        </w:tc>
      </w:tr>
      <w:tr w:rsidR="00360FCF" w:rsidRPr="00982C2B" w:rsidTr="00360FCF">
        <w:tc>
          <w:tcPr>
            <w:tcW w:w="9576" w:type="dxa"/>
            <w:gridSpan w:val="4"/>
          </w:tcPr>
          <w:p w:rsidR="00360FCF" w:rsidRPr="00982C2B" w:rsidRDefault="00360FCF" w:rsidP="0052683C">
            <w:pPr>
              <w:pStyle w:val="SCCShortJudgment"/>
              <w:ind w:firstLine="0"/>
              <w:rPr>
                <w:rFonts w:cs="Times New Roman"/>
                <w:szCs w:val="20"/>
              </w:rPr>
            </w:pPr>
            <w:r w:rsidRPr="00982C2B">
              <w:rPr>
                <w:rFonts w:cs="Times New Roman"/>
                <w:szCs w:val="20"/>
              </w:rPr>
              <w:t xml:space="preserve">Immigration — Inadmissibility and removal — Permanent residents — </w:t>
            </w:r>
            <w:r w:rsidRPr="00982C2B">
              <w:rPr>
                <w:rFonts w:cs="Times New Roman"/>
                <w:szCs w:val="20"/>
                <w:lang w:val="en-US"/>
              </w:rPr>
              <w:t xml:space="preserve">Whether a conditional sentence of imprisonment imposed pursuant the </w:t>
            </w:r>
            <w:r w:rsidRPr="00982C2B">
              <w:rPr>
                <w:rFonts w:cs="Times New Roman"/>
                <w:i/>
                <w:szCs w:val="20"/>
              </w:rPr>
              <w:t>Criminal Code</w:t>
            </w:r>
            <w:r w:rsidRPr="00982C2B">
              <w:rPr>
                <w:rFonts w:cs="Times New Roman"/>
                <w:szCs w:val="20"/>
              </w:rPr>
              <w:t xml:space="preserve"> is </w:t>
            </w:r>
            <w:r w:rsidRPr="00982C2B">
              <w:rPr>
                <w:rFonts w:cs="Times New Roman"/>
                <w:szCs w:val="20"/>
                <w:lang w:val="en-US"/>
              </w:rPr>
              <w:t>a “term of imprisonment” under s. 36(1)(a) of the</w:t>
            </w:r>
            <w:r w:rsidRPr="00982C2B">
              <w:rPr>
                <w:rFonts w:cs="Times New Roman"/>
                <w:i/>
                <w:szCs w:val="20"/>
                <w:lang w:val="en-US"/>
              </w:rPr>
              <w:t xml:space="preserve"> </w:t>
            </w:r>
            <w:hyperlink r:id="rId106" w:history="1">
              <w:r w:rsidRPr="00982C2B">
                <w:rPr>
                  <w:rStyle w:val="Hyperlink"/>
                  <w:rFonts w:cs="Times New Roman"/>
                  <w:i/>
                  <w:szCs w:val="20"/>
                </w:rPr>
                <w:t>Immigration and Refugee Protection Act</w:t>
              </w:r>
            </w:hyperlink>
            <w:r w:rsidRPr="00982C2B">
              <w:rPr>
                <w:rFonts w:cs="Times New Roman"/>
                <w:szCs w:val="20"/>
                <w:lang w:val="en-US"/>
              </w:rPr>
              <w:t xml:space="preserve"> </w:t>
            </w:r>
            <w:r w:rsidRPr="00982C2B">
              <w:rPr>
                <w:rFonts w:cs="Times New Roman"/>
                <w:szCs w:val="20"/>
              </w:rPr>
              <w:t xml:space="preserve">— </w:t>
            </w:r>
            <w:r w:rsidRPr="00982C2B">
              <w:rPr>
                <w:rFonts w:cs="Times New Roman"/>
                <w:szCs w:val="20"/>
                <w:lang w:val="en-US"/>
              </w:rPr>
              <w:t xml:space="preserve">Whether </w:t>
            </w:r>
            <w:r w:rsidRPr="00982C2B">
              <w:rPr>
                <w:rFonts w:cs="Times New Roman"/>
                <w:szCs w:val="20"/>
              </w:rPr>
              <w:t xml:space="preserve">the phrase </w:t>
            </w:r>
            <w:r w:rsidRPr="00982C2B">
              <w:rPr>
                <w:rFonts w:cs="Times New Roman"/>
                <w:szCs w:val="20"/>
                <w:lang w:val="en-US"/>
              </w:rPr>
              <w:t xml:space="preserve">“punishable by a maximum term of imprisonment of at least 10 years” in s. 36(1)(a) refers to the maximum term of imprisonment available at the time the person was sentenced or the maximum term of imprisonment under the law at the time admissibility is determined </w:t>
            </w:r>
            <w:r w:rsidRPr="00982C2B">
              <w:rPr>
                <w:rFonts w:cs="Times New Roman"/>
                <w:szCs w:val="20"/>
              </w:rPr>
              <w:t xml:space="preserve">— </w:t>
            </w:r>
            <w:hyperlink r:id="rId107" w:history="1">
              <w:r w:rsidRPr="00982C2B">
                <w:rPr>
                  <w:rStyle w:val="Hyperlink"/>
                  <w:rFonts w:cs="Times New Roman"/>
                  <w:i/>
                  <w:szCs w:val="20"/>
                </w:rPr>
                <w:t>Immigration and Refugee Protection Act</w:t>
              </w:r>
              <w:r w:rsidRPr="00982C2B">
                <w:rPr>
                  <w:rStyle w:val="Hyperlink"/>
                  <w:rFonts w:cs="Times New Roman"/>
                  <w:szCs w:val="20"/>
                </w:rPr>
                <w:t>, S.C. 2001, c. 27</w:t>
              </w:r>
            </w:hyperlink>
            <w:r w:rsidRPr="00982C2B">
              <w:rPr>
                <w:rFonts w:cs="Times New Roman"/>
                <w:szCs w:val="20"/>
              </w:rPr>
              <w:t>, s. 36(1)(a).</w:t>
            </w:r>
          </w:p>
          <w:p w:rsidR="00360FCF" w:rsidRPr="00982C2B" w:rsidRDefault="00360FCF" w:rsidP="0052683C">
            <w:pPr>
              <w:pStyle w:val="SCCShortJudgment"/>
              <w:ind w:firstLine="0"/>
              <w:rPr>
                <w:rFonts w:cs="Times New Roman"/>
                <w:szCs w:val="20"/>
              </w:rPr>
            </w:pPr>
          </w:p>
        </w:tc>
      </w:tr>
      <w:tr w:rsidR="00360FCF" w:rsidRPr="00982C2B" w:rsidTr="00360FCF">
        <w:tc>
          <w:tcPr>
            <w:tcW w:w="9576" w:type="dxa"/>
            <w:gridSpan w:val="4"/>
          </w:tcPr>
          <w:p w:rsidR="00360FCF" w:rsidRPr="00982C2B" w:rsidRDefault="00360FCF" w:rsidP="00360FCF">
            <w:pPr>
              <w:jc w:val="both"/>
              <w:rPr>
                <w:rFonts w:cs="Times New Roman"/>
                <w:sz w:val="20"/>
                <w:szCs w:val="20"/>
              </w:rPr>
            </w:pPr>
            <w:r w:rsidRPr="00982C2B">
              <w:rPr>
                <w:rFonts w:cs="Times New Roman"/>
                <w:sz w:val="20"/>
                <w:szCs w:val="20"/>
              </w:rPr>
              <w:t xml:space="preserve">On January 18, 2013, Mr. Tran, a permanent resident in Canada, was convicted for operating a large marihuana grow operation with others and theft of electricity. Under </w:t>
            </w:r>
            <w:r w:rsidRPr="00982C2B">
              <w:rPr>
                <w:rFonts w:cs="Times New Roman"/>
                <w:sz w:val="20"/>
                <w:szCs w:val="20"/>
                <w:lang w:val="en-US"/>
              </w:rPr>
              <w:t xml:space="preserve">s. 36(1)(a) of the </w:t>
            </w:r>
            <w:hyperlink r:id="rId108" w:history="1">
              <w:r w:rsidRPr="00982C2B">
                <w:rPr>
                  <w:rStyle w:val="Hyperlink"/>
                  <w:rFonts w:cs="Times New Roman"/>
                  <w:i/>
                  <w:sz w:val="20"/>
                  <w:szCs w:val="20"/>
                </w:rPr>
                <w:t>Immigration and Refugee Protection Act</w:t>
              </w:r>
              <w:r w:rsidRPr="00982C2B">
                <w:rPr>
                  <w:rStyle w:val="Hyperlink"/>
                  <w:rFonts w:cs="Times New Roman"/>
                  <w:sz w:val="20"/>
                  <w:szCs w:val="20"/>
                </w:rPr>
                <w:t>,</w:t>
              </w:r>
            </w:hyperlink>
            <w:r w:rsidRPr="00982C2B">
              <w:rPr>
                <w:rFonts w:cs="Times New Roman"/>
                <w:sz w:val="20"/>
                <w:szCs w:val="20"/>
                <w:lang w:val="en-US"/>
              </w:rPr>
              <w:t xml:space="preserve"> permanent</w:t>
            </w:r>
            <w:r w:rsidRPr="00982C2B">
              <w:rPr>
                <w:rFonts w:cs="Times New Roman"/>
                <w:sz w:val="20"/>
                <w:szCs w:val="20"/>
              </w:rPr>
              <w:t xml:space="preserve"> residents are inadmissible to Canada for “serious criminality” if they have been “convicted in Canada of an offence under an Act of Parliament punishable by a maximum term of imprisonment of at least 10 years, or of an offence under an Act of Parliament for which a term of imprisonment of more than six months has been imposed”</w:t>
            </w:r>
            <w:r w:rsidRPr="00982C2B">
              <w:rPr>
                <w:rFonts w:cs="Times New Roman"/>
                <w:sz w:val="20"/>
                <w:szCs w:val="20"/>
                <w:lang w:val="en-US"/>
              </w:rPr>
              <w:t xml:space="preserve">. </w:t>
            </w:r>
            <w:r w:rsidRPr="00982C2B">
              <w:rPr>
                <w:rFonts w:cs="Times New Roman"/>
                <w:sz w:val="20"/>
                <w:szCs w:val="20"/>
              </w:rPr>
              <w:t>The maximum sentence for the marihuana offence was 7</w:t>
            </w:r>
            <w:r w:rsidRPr="00982C2B">
              <w:rPr>
                <w:rFonts w:cs="Times New Roman"/>
                <w:sz w:val="20"/>
                <w:szCs w:val="20"/>
                <w:lang w:val="en-US"/>
              </w:rPr>
              <w:t> </w:t>
            </w:r>
            <w:r w:rsidRPr="00982C2B">
              <w:rPr>
                <w:rFonts w:cs="Times New Roman"/>
                <w:sz w:val="20"/>
                <w:szCs w:val="20"/>
              </w:rPr>
              <w:t>years at the time of the offence but 14 years at the time of Mr.</w:t>
            </w:r>
            <w:r w:rsidRPr="00982C2B">
              <w:rPr>
                <w:rFonts w:cs="Times New Roman"/>
                <w:sz w:val="20"/>
                <w:szCs w:val="20"/>
                <w:lang w:val="en-US"/>
              </w:rPr>
              <w:t> </w:t>
            </w:r>
            <w:r w:rsidRPr="00982C2B">
              <w:rPr>
                <w:rFonts w:cs="Times New Roman"/>
                <w:sz w:val="20"/>
                <w:szCs w:val="20"/>
              </w:rPr>
              <w:t>Tran’s conviction. Mr. Tran was given a 12-month conditional sentence order. On October 10, 2013, a delegate of the Minister of Public Safety Canada referred Mr. Tran to the Immigration Division of the Immigration and Refugee Board for an admissibility hearing to determine whether to order his removal from Canada for serious criminality.</w:t>
            </w:r>
          </w:p>
          <w:p w:rsidR="00360FCF" w:rsidRPr="00982C2B" w:rsidRDefault="00360FCF" w:rsidP="0052683C">
            <w:pPr>
              <w:pStyle w:val="SCCShortJudgment"/>
              <w:ind w:firstLine="0"/>
              <w:rPr>
                <w:rFonts w:cs="Times New Roman"/>
                <w:szCs w:val="20"/>
              </w:rPr>
            </w:pPr>
          </w:p>
        </w:tc>
      </w:tr>
      <w:tr w:rsidR="00360FCF" w:rsidRPr="00982C2B" w:rsidTr="00360FCF">
        <w:tc>
          <w:tcPr>
            <w:tcW w:w="4410" w:type="dxa"/>
            <w:gridSpan w:val="2"/>
          </w:tcPr>
          <w:p w:rsidR="00360FCF" w:rsidRPr="00982C2B" w:rsidRDefault="00360FCF" w:rsidP="00360FCF">
            <w:pPr>
              <w:rPr>
                <w:rFonts w:cs="Times New Roman"/>
                <w:sz w:val="20"/>
                <w:szCs w:val="20"/>
              </w:rPr>
            </w:pPr>
            <w:r w:rsidRPr="00982C2B">
              <w:rPr>
                <w:rFonts w:cs="Times New Roman"/>
                <w:sz w:val="20"/>
                <w:szCs w:val="20"/>
              </w:rPr>
              <w:t>November 27, 2014</w:t>
            </w:r>
          </w:p>
          <w:p w:rsidR="00360FCF" w:rsidRPr="00982C2B" w:rsidRDefault="00360FCF" w:rsidP="00360FCF">
            <w:pPr>
              <w:rPr>
                <w:rFonts w:cs="Times New Roman"/>
                <w:sz w:val="20"/>
                <w:szCs w:val="20"/>
              </w:rPr>
            </w:pPr>
            <w:r w:rsidRPr="00982C2B">
              <w:rPr>
                <w:rFonts w:cs="Times New Roman"/>
                <w:sz w:val="20"/>
                <w:szCs w:val="20"/>
              </w:rPr>
              <w:t>Federal Court</w:t>
            </w:r>
          </w:p>
          <w:p w:rsidR="00360FCF" w:rsidRPr="00982C2B" w:rsidRDefault="00360FCF" w:rsidP="00360FCF">
            <w:pPr>
              <w:rPr>
                <w:rFonts w:cs="Times New Roman"/>
                <w:sz w:val="20"/>
                <w:szCs w:val="20"/>
              </w:rPr>
            </w:pPr>
            <w:r w:rsidRPr="00982C2B">
              <w:rPr>
                <w:rFonts w:cs="Times New Roman"/>
                <w:sz w:val="20"/>
                <w:szCs w:val="20"/>
              </w:rPr>
              <w:t>(O'Reilly J.)</w:t>
            </w:r>
          </w:p>
          <w:p w:rsidR="00360FCF" w:rsidRPr="00982C2B" w:rsidRDefault="009F3029" w:rsidP="00360FCF">
            <w:pPr>
              <w:rPr>
                <w:rStyle w:val="Hyperlink"/>
                <w:rFonts w:cs="Times New Roman"/>
                <w:sz w:val="20"/>
                <w:szCs w:val="20"/>
              </w:rPr>
            </w:pPr>
            <w:hyperlink r:id="rId109" w:history="1">
              <w:r w:rsidR="00360FCF" w:rsidRPr="00982C2B">
                <w:rPr>
                  <w:rStyle w:val="Hyperlink"/>
                  <w:rFonts w:cs="Times New Roman"/>
                  <w:sz w:val="20"/>
                  <w:szCs w:val="20"/>
                </w:rPr>
                <w:t>2014 FC 1040</w:t>
              </w:r>
            </w:hyperlink>
          </w:p>
          <w:p w:rsidR="00360FCF" w:rsidRPr="00982C2B" w:rsidRDefault="00360FCF" w:rsidP="0052683C">
            <w:pPr>
              <w:jc w:val="both"/>
              <w:rPr>
                <w:rFonts w:cs="Times New Roman"/>
                <w:sz w:val="20"/>
                <w:szCs w:val="20"/>
              </w:rPr>
            </w:pPr>
          </w:p>
        </w:tc>
        <w:tc>
          <w:tcPr>
            <w:tcW w:w="630" w:type="dxa"/>
          </w:tcPr>
          <w:p w:rsidR="00360FCF" w:rsidRPr="00982C2B" w:rsidRDefault="00360FCF" w:rsidP="0052683C">
            <w:pPr>
              <w:pStyle w:val="SCCShortJudgment"/>
              <w:ind w:firstLine="0"/>
              <w:rPr>
                <w:rFonts w:cs="Times New Roman"/>
                <w:szCs w:val="20"/>
              </w:rPr>
            </w:pPr>
          </w:p>
        </w:tc>
        <w:tc>
          <w:tcPr>
            <w:tcW w:w="4536" w:type="dxa"/>
          </w:tcPr>
          <w:p w:rsidR="00360FCF" w:rsidRPr="00982C2B" w:rsidRDefault="00360FCF" w:rsidP="0052683C">
            <w:pPr>
              <w:jc w:val="both"/>
              <w:rPr>
                <w:rFonts w:cs="Times New Roman"/>
                <w:sz w:val="20"/>
                <w:szCs w:val="20"/>
              </w:rPr>
            </w:pPr>
            <w:r w:rsidRPr="00982C2B">
              <w:rPr>
                <w:rFonts w:cs="Times New Roman"/>
                <w:sz w:val="20"/>
                <w:szCs w:val="20"/>
              </w:rPr>
              <w:t>Application for judicial review granted</w:t>
            </w:r>
          </w:p>
        </w:tc>
      </w:tr>
      <w:tr w:rsidR="00360FCF" w:rsidRPr="00982C2B" w:rsidTr="00360FCF">
        <w:tc>
          <w:tcPr>
            <w:tcW w:w="4410" w:type="dxa"/>
            <w:gridSpan w:val="2"/>
          </w:tcPr>
          <w:p w:rsidR="00360FCF" w:rsidRPr="00982C2B" w:rsidRDefault="00360FCF" w:rsidP="00360FCF">
            <w:pPr>
              <w:rPr>
                <w:rFonts w:cs="Times New Roman"/>
                <w:sz w:val="20"/>
                <w:szCs w:val="20"/>
              </w:rPr>
            </w:pPr>
            <w:r w:rsidRPr="00982C2B">
              <w:rPr>
                <w:rFonts w:cs="Times New Roman"/>
                <w:sz w:val="20"/>
                <w:szCs w:val="20"/>
              </w:rPr>
              <w:t>October 30, 2015</w:t>
            </w:r>
          </w:p>
          <w:p w:rsidR="00360FCF" w:rsidRPr="00982C2B" w:rsidRDefault="00360FCF" w:rsidP="00360FCF">
            <w:pPr>
              <w:rPr>
                <w:rFonts w:cs="Times New Roman"/>
                <w:sz w:val="20"/>
                <w:szCs w:val="20"/>
              </w:rPr>
            </w:pPr>
            <w:r w:rsidRPr="00982C2B">
              <w:rPr>
                <w:rFonts w:cs="Times New Roman"/>
                <w:sz w:val="20"/>
                <w:szCs w:val="20"/>
              </w:rPr>
              <w:t>Federal Court of Appeal</w:t>
            </w:r>
          </w:p>
          <w:p w:rsidR="00360FCF" w:rsidRPr="00982C2B" w:rsidRDefault="00360FCF" w:rsidP="00360FCF">
            <w:pPr>
              <w:rPr>
                <w:rFonts w:cs="Times New Roman"/>
                <w:sz w:val="20"/>
                <w:szCs w:val="20"/>
              </w:rPr>
            </w:pPr>
            <w:r w:rsidRPr="00982C2B">
              <w:rPr>
                <w:rFonts w:cs="Times New Roman"/>
                <w:sz w:val="20"/>
                <w:szCs w:val="20"/>
              </w:rPr>
              <w:t>(Gauthier, Ryer, Near JJ.A.)</w:t>
            </w:r>
          </w:p>
          <w:p w:rsidR="00360FCF" w:rsidRPr="00982C2B" w:rsidRDefault="00360FCF" w:rsidP="00360FCF">
            <w:pPr>
              <w:rPr>
                <w:rStyle w:val="Hyperlink"/>
                <w:rFonts w:cs="Times New Roman"/>
                <w:sz w:val="20"/>
                <w:szCs w:val="20"/>
              </w:rPr>
            </w:pPr>
            <w:r w:rsidRPr="00982C2B">
              <w:rPr>
                <w:rFonts w:cs="Times New Roman"/>
                <w:sz w:val="20"/>
                <w:szCs w:val="20"/>
              </w:rPr>
              <w:t xml:space="preserve">A-531-14; </w:t>
            </w:r>
            <w:hyperlink r:id="rId110" w:history="1">
              <w:r w:rsidRPr="00982C2B">
                <w:rPr>
                  <w:rStyle w:val="Hyperlink"/>
                  <w:rFonts w:cs="Times New Roman"/>
                  <w:sz w:val="20"/>
                  <w:szCs w:val="20"/>
                </w:rPr>
                <w:t>2015 FCA 237</w:t>
              </w:r>
            </w:hyperlink>
          </w:p>
          <w:p w:rsidR="00360FCF" w:rsidRPr="00982C2B" w:rsidRDefault="00360FCF" w:rsidP="0052683C">
            <w:pPr>
              <w:jc w:val="both"/>
              <w:rPr>
                <w:rFonts w:cs="Times New Roman"/>
                <w:sz w:val="20"/>
                <w:szCs w:val="20"/>
              </w:rPr>
            </w:pPr>
          </w:p>
        </w:tc>
        <w:tc>
          <w:tcPr>
            <w:tcW w:w="630" w:type="dxa"/>
          </w:tcPr>
          <w:p w:rsidR="00360FCF" w:rsidRPr="00982C2B" w:rsidRDefault="00360FCF" w:rsidP="0052683C">
            <w:pPr>
              <w:pStyle w:val="SCCShortJudgment"/>
              <w:ind w:firstLine="0"/>
              <w:rPr>
                <w:rFonts w:cs="Times New Roman"/>
                <w:szCs w:val="20"/>
              </w:rPr>
            </w:pPr>
          </w:p>
        </w:tc>
        <w:tc>
          <w:tcPr>
            <w:tcW w:w="4536" w:type="dxa"/>
          </w:tcPr>
          <w:p w:rsidR="00360FCF" w:rsidRPr="00982C2B" w:rsidRDefault="00360FCF" w:rsidP="00360FCF">
            <w:pPr>
              <w:rPr>
                <w:rFonts w:cs="Times New Roman"/>
                <w:sz w:val="20"/>
                <w:szCs w:val="20"/>
              </w:rPr>
            </w:pPr>
            <w:r w:rsidRPr="00982C2B">
              <w:rPr>
                <w:rFonts w:cs="Times New Roman"/>
                <w:sz w:val="20"/>
                <w:szCs w:val="20"/>
              </w:rPr>
              <w:t>Appeal dismissed</w:t>
            </w:r>
          </w:p>
          <w:p w:rsidR="00360FCF" w:rsidRPr="00982C2B" w:rsidRDefault="00360FCF" w:rsidP="0052683C">
            <w:pPr>
              <w:jc w:val="both"/>
              <w:rPr>
                <w:rFonts w:cs="Times New Roman"/>
                <w:sz w:val="20"/>
                <w:szCs w:val="20"/>
              </w:rPr>
            </w:pPr>
          </w:p>
        </w:tc>
      </w:tr>
      <w:tr w:rsidR="00360FCF" w:rsidRPr="00982C2B" w:rsidTr="00360FCF">
        <w:tc>
          <w:tcPr>
            <w:tcW w:w="4410" w:type="dxa"/>
            <w:gridSpan w:val="2"/>
          </w:tcPr>
          <w:p w:rsidR="00360FCF" w:rsidRPr="00982C2B" w:rsidRDefault="00360FCF" w:rsidP="00360FCF">
            <w:pPr>
              <w:rPr>
                <w:rFonts w:cs="Times New Roman"/>
                <w:sz w:val="20"/>
                <w:szCs w:val="20"/>
              </w:rPr>
            </w:pPr>
            <w:r w:rsidRPr="00982C2B">
              <w:rPr>
                <w:rFonts w:cs="Times New Roman"/>
                <w:sz w:val="20"/>
                <w:szCs w:val="20"/>
              </w:rPr>
              <w:t>December 29, 2015</w:t>
            </w:r>
          </w:p>
          <w:p w:rsidR="00360FCF" w:rsidRPr="00982C2B" w:rsidRDefault="00360FCF" w:rsidP="00360FCF">
            <w:pPr>
              <w:rPr>
                <w:rFonts w:cs="Times New Roman"/>
                <w:sz w:val="20"/>
                <w:szCs w:val="20"/>
              </w:rPr>
            </w:pPr>
            <w:r w:rsidRPr="00982C2B">
              <w:rPr>
                <w:rFonts w:cs="Times New Roman"/>
                <w:sz w:val="20"/>
                <w:szCs w:val="20"/>
              </w:rPr>
              <w:t>Supreme Court of Canada</w:t>
            </w:r>
          </w:p>
          <w:p w:rsidR="00360FCF" w:rsidRPr="00982C2B" w:rsidRDefault="00360FCF" w:rsidP="0052683C">
            <w:pPr>
              <w:jc w:val="both"/>
              <w:rPr>
                <w:rFonts w:cs="Times New Roman"/>
                <w:sz w:val="20"/>
                <w:szCs w:val="20"/>
              </w:rPr>
            </w:pPr>
          </w:p>
        </w:tc>
        <w:tc>
          <w:tcPr>
            <w:tcW w:w="630" w:type="dxa"/>
          </w:tcPr>
          <w:p w:rsidR="00360FCF" w:rsidRPr="00982C2B" w:rsidRDefault="00360FCF" w:rsidP="0052683C">
            <w:pPr>
              <w:pStyle w:val="SCCShortJudgment"/>
              <w:ind w:firstLine="0"/>
              <w:rPr>
                <w:rFonts w:cs="Times New Roman"/>
                <w:szCs w:val="20"/>
              </w:rPr>
            </w:pPr>
          </w:p>
        </w:tc>
        <w:tc>
          <w:tcPr>
            <w:tcW w:w="4536" w:type="dxa"/>
          </w:tcPr>
          <w:p w:rsidR="00360FCF" w:rsidRPr="00982C2B" w:rsidRDefault="00360FCF" w:rsidP="00360FCF">
            <w:pPr>
              <w:rPr>
                <w:rFonts w:cs="Times New Roman"/>
                <w:sz w:val="20"/>
                <w:szCs w:val="20"/>
              </w:rPr>
            </w:pPr>
            <w:r w:rsidRPr="00982C2B">
              <w:rPr>
                <w:rFonts w:cs="Times New Roman"/>
                <w:sz w:val="20"/>
                <w:szCs w:val="20"/>
              </w:rPr>
              <w:t>Application for leave to appeal filed</w:t>
            </w:r>
          </w:p>
          <w:p w:rsidR="00360FCF" w:rsidRPr="00982C2B" w:rsidRDefault="00360FCF" w:rsidP="0052683C">
            <w:pPr>
              <w:jc w:val="both"/>
              <w:rPr>
                <w:rFonts w:cs="Times New Roman"/>
                <w:sz w:val="20"/>
                <w:szCs w:val="20"/>
              </w:rPr>
            </w:pPr>
          </w:p>
        </w:tc>
      </w:tr>
      <w:tr w:rsidR="00360FCF" w:rsidRPr="00982C2B" w:rsidTr="00360FCF">
        <w:tc>
          <w:tcPr>
            <w:tcW w:w="9576" w:type="dxa"/>
            <w:gridSpan w:val="4"/>
          </w:tcPr>
          <w:p w:rsidR="00360FCF" w:rsidRPr="00982C2B" w:rsidRDefault="009F3029" w:rsidP="0052683C">
            <w:pPr>
              <w:pStyle w:val="SCCShortJudgment"/>
              <w:ind w:firstLine="0"/>
              <w:rPr>
                <w:rFonts w:cs="Times New Roman"/>
                <w:szCs w:val="20"/>
                <w:lang w:val="fr-CA"/>
              </w:rPr>
            </w:pPr>
            <w:r>
              <w:rPr>
                <w:rFonts w:cs="Times New Roman"/>
                <w:szCs w:val="20"/>
                <w:lang w:val="fr-CA"/>
              </w:rPr>
              <w:pict>
                <v:rect id="_x0000_i1087" style="width:2in;height:1pt" o:hrpct="0" o:hralign="center" o:hrstd="t" o:hrnoshade="t" o:hr="t" fillcolor="black [3213]" stroked="f"/>
              </w:pict>
            </w:r>
          </w:p>
          <w:p w:rsidR="00360FCF" w:rsidRPr="00982C2B" w:rsidRDefault="00360FCF" w:rsidP="0052683C">
            <w:pPr>
              <w:pStyle w:val="SCCShortJudgment"/>
              <w:ind w:firstLine="0"/>
              <w:rPr>
                <w:rFonts w:cs="Times New Roman"/>
                <w:szCs w:val="20"/>
                <w:lang w:val="fr-CA"/>
              </w:rPr>
            </w:pPr>
          </w:p>
        </w:tc>
      </w:tr>
    </w:tbl>
    <w:p w:rsidR="007E3F99" w:rsidRDefault="007E3F9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360FCF" w:rsidRPr="00982C2B" w:rsidTr="00360FCF">
        <w:tc>
          <w:tcPr>
            <w:tcW w:w="9576" w:type="dxa"/>
            <w:gridSpan w:val="3"/>
          </w:tcPr>
          <w:p w:rsidR="00360FCF" w:rsidRPr="00982C2B" w:rsidRDefault="00360FCF" w:rsidP="0052683C">
            <w:pPr>
              <w:pStyle w:val="SCCShortJudgment"/>
              <w:ind w:firstLine="0"/>
              <w:rPr>
                <w:rFonts w:cs="Times New Roman"/>
                <w:szCs w:val="20"/>
                <w:u w:val="single"/>
                <w:lang w:val="fr-CA"/>
              </w:rPr>
            </w:pPr>
            <w:r w:rsidRPr="00982C2B">
              <w:rPr>
                <w:rFonts w:cs="Times New Roman"/>
                <w:szCs w:val="20"/>
                <w:u w:val="single"/>
                <w:lang w:val="fr-CA"/>
              </w:rPr>
              <w:t>RÉSUMÉ DE L’AFFAIRE </w:t>
            </w:r>
          </w:p>
          <w:p w:rsidR="00360FCF" w:rsidRPr="00982C2B" w:rsidRDefault="00360FCF" w:rsidP="0052683C">
            <w:pPr>
              <w:pStyle w:val="SCCShortJudgment"/>
              <w:ind w:firstLine="0"/>
              <w:rPr>
                <w:rFonts w:cs="Times New Roman"/>
                <w:szCs w:val="20"/>
                <w:u w:val="single"/>
                <w:lang w:val="fr-CA"/>
              </w:rPr>
            </w:pPr>
          </w:p>
        </w:tc>
      </w:tr>
      <w:tr w:rsidR="00360FCF" w:rsidRPr="009F3029" w:rsidTr="00360FCF">
        <w:tc>
          <w:tcPr>
            <w:tcW w:w="9576" w:type="dxa"/>
            <w:gridSpan w:val="3"/>
          </w:tcPr>
          <w:p w:rsidR="00360FCF" w:rsidRPr="00982C2B" w:rsidRDefault="00360FCF" w:rsidP="0052683C">
            <w:pPr>
              <w:pStyle w:val="SCCShortJudgment"/>
              <w:ind w:firstLine="0"/>
              <w:rPr>
                <w:rFonts w:cs="Times New Roman"/>
                <w:szCs w:val="20"/>
                <w:lang w:val="fr-CA"/>
              </w:rPr>
            </w:pPr>
            <w:r w:rsidRPr="00982C2B">
              <w:rPr>
                <w:rFonts w:cs="Times New Roman"/>
                <w:szCs w:val="20"/>
                <w:lang w:val="fr-CA"/>
              </w:rPr>
              <w:t xml:space="preserve">Immigration — Interdiction de territoire et renvoi — Résidents permanents — Une peine d’emprisonnement avec sursis imposée en application du </w:t>
            </w:r>
            <w:r w:rsidRPr="00982C2B">
              <w:rPr>
                <w:rFonts w:cs="Times New Roman"/>
                <w:i/>
                <w:szCs w:val="20"/>
                <w:lang w:val="fr-CA"/>
              </w:rPr>
              <w:t>Code criminel</w:t>
            </w:r>
            <w:r w:rsidRPr="00982C2B">
              <w:rPr>
                <w:rFonts w:cs="Times New Roman"/>
                <w:szCs w:val="20"/>
                <w:lang w:val="fr-CA"/>
              </w:rPr>
              <w:t xml:space="preserve"> est-elle considérée comme un « emprisonnement » au sens de l’al. 36(1)a) de la </w:t>
            </w:r>
            <w:r w:rsidRPr="00982C2B">
              <w:rPr>
                <w:rFonts w:cs="Times New Roman"/>
                <w:i/>
                <w:szCs w:val="20"/>
                <w:lang w:val="fr-CA"/>
              </w:rPr>
              <w:t>Loi sur l’immigration et la protection des réfugiés</w:t>
            </w:r>
            <w:r w:rsidRPr="00982C2B">
              <w:rPr>
                <w:rFonts w:cs="Times New Roman"/>
                <w:szCs w:val="20"/>
                <w:lang w:val="fr-CA"/>
              </w:rPr>
              <w:t xml:space="preserve">? — L’expression « punissable d’un emprisonnement maximal d’au moins dix ans » à l’al. 36(1)a) signifie-t-elle l’emprisonnement maximal possible au moment où la personne a été condamnée ou l’emprisonnement maximal en vertu de la loi en vigueur au moment de l’enquête? — </w:t>
            </w:r>
            <w:hyperlink r:id="rId111" w:history="1">
              <w:r w:rsidRPr="00982C2B">
                <w:rPr>
                  <w:rStyle w:val="Hyperlink"/>
                  <w:rFonts w:cs="Times New Roman"/>
                  <w:i/>
                  <w:szCs w:val="20"/>
                  <w:lang w:val="fr-CA"/>
                </w:rPr>
                <w:t>Loi sur l’immigration et la protection des réfugiés</w:t>
              </w:r>
              <w:r w:rsidRPr="00982C2B">
                <w:rPr>
                  <w:rStyle w:val="Hyperlink"/>
                  <w:rFonts w:cs="Times New Roman"/>
                  <w:szCs w:val="20"/>
                  <w:lang w:val="fr-CA"/>
                </w:rPr>
                <w:t>, L.C. 2001, ch. 27</w:t>
              </w:r>
            </w:hyperlink>
            <w:r w:rsidRPr="00982C2B">
              <w:rPr>
                <w:rFonts w:cs="Times New Roman"/>
                <w:szCs w:val="20"/>
                <w:lang w:val="fr-CA"/>
              </w:rPr>
              <w:t>, s. 36(1)a).</w:t>
            </w:r>
          </w:p>
          <w:p w:rsidR="00360FCF" w:rsidRPr="00982C2B" w:rsidRDefault="00360FCF" w:rsidP="0052683C">
            <w:pPr>
              <w:pStyle w:val="SCCShortJudgment"/>
              <w:ind w:firstLine="0"/>
              <w:rPr>
                <w:rFonts w:cs="Times New Roman"/>
                <w:szCs w:val="20"/>
                <w:u w:val="single"/>
                <w:lang w:val="fr-CA"/>
              </w:rPr>
            </w:pPr>
          </w:p>
        </w:tc>
      </w:tr>
      <w:tr w:rsidR="00360FCF" w:rsidRPr="009F3029" w:rsidTr="00360FCF">
        <w:tc>
          <w:tcPr>
            <w:tcW w:w="9576" w:type="dxa"/>
            <w:gridSpan w:val="3"/>
          </w:tcPr>
          <w:p w:rsidR="00360FCF" w:rsidRPr="00982C2B" w:rsidRDefault="00360FCF" w:rsidP="00360FCF">
            <w:pPr>
              <w:jc w:val="both"/>
              <w:rPr>
                <w:rFonts w:cs="Times New Roman"/>
                <w:sz w:val="20"/>
                <w:szCs w:val="20"/>
                <w:u w:val="single"/>
                <w:lang w:val="fr-CA"/>
              </w:rPr>
            </w:pPr>
            <w:r w:rsidRPr="00982C2B">
              <w:rPr>
                <w:rFonts w:cs="Times New Roman"/>
                <w:sz w:val="20"/>
                <w:szCs w:val="20"/>
                <w:lang w:val="fr-CA"/>
              </w:rPr>
              <w:t xml:space="preserve">Le 18 janvier 2013, M. Tran, un résident permanent du Canada, a été déclaré coupable d’avoir exploité une importante culture de marijuana avec d’autres et de vol d’électricité. En application de l’al. 36(1)a) de la </w:t>
            </w:r>
            <w:hyperlink r:id="rId112" w:history="1">
              <w:r w:rsidRPr="00982C2B">
                <w:rPr>
                  <w:rStyle w:val="Hyperlink"/>
                  <w:rFonts w:cs="Times New Roman"/>
                  <w:i/>
                  <w:sz w:val="20"/>
                  <w:szCs w:val="20"/>
                  <w:lang w:val="fr-CA"/>
                </w:rPr>
                <w:t>Loi sur l’immigration et la protection des réfugiés</w:t>
              </w:r>
              <w:r w:rsidRPr="00982C2B">
                <w:rPr>
                  <w:rStyle w:val="Hyperlink"/>
                  <w:rFonts w:cs="Times New Roman"/>
                  <w:sz w:val="20"/>
                  <w:szCs w:val="20"/>
                  <w:lang w:val="fr-CA"/>
                </w:rPr>
                <w:t>,</w:t>
              </w:r>
            </w:hyperlink>
            <w:r w:rsidRPr="00982C2B">
              <w:rPr>
                <w:rFonts w:cs="Times New Roman"/>
                <w:sz w:val="20"/>
                <w:szCs w:val="20"/>
                <w:lang w:val="fr-CA"/>
              </w:rPr>
              <w:t xml:space="preserve"> les résidents permanents sont interdits de territoire au Canada pour grande criminalité s’ils ont été « déclaré[s] coupable[s] au Canada d’une infraction à une loi fédérale punissable d’un emprisonnement maximal d’au moins dix ans ou d’une infraction à une loi fédérale pour laquelle un emprisonnement de plus de six mois est infligé ». La peine maximale pour l’infraction relative à la marijuana était de 7 ans à l’époque où l’infraction a été commise, mais elle était de 14 ans à l’époque où M. Tran a été déclaré coupable. Monsieur Tran a été condamné à 12 mois d’emprisonnement avec sursis. Le 10 octobre 2013, un délégué a renvoyé M. Tran à la Section de l’immigration de la Commission de l’immigration et du statut de réfugié pour une enquête afin d’établir s’il devait être renvoyé du Canada pour grande criminalité.</w:t>
            </w:r>
          </w:p>
        </w:tc>
      </w:tr>
      <w:tr w:rsidR="00360FCF" w:rsidRPr="009F3029" w:rsidTr="00360FCF">
        <w:tc>
          <w:tcPr>
            <w:tcW w:w="9576" w:type="dxa"/>
            <w:gridSpan w:val="3"/>
          </w:tcPr>
          <w:p w:rsidR="00360FCF" w:rsidRPr="00982C2B" w:rsidRDefault="00360FCF" w:rsidP="0052683C">
            <w:pPr>
              <w:pStyle w:val="SCCShortJudgment"/>
              <w:ind w:firstLine="0"/>
              <w:rPr>
                <w:rFonts w:cs="Times New Roman"/>
                <w:szCs w:val="20"/>
                <w:u w:val="single"/>
                <w:lang w:val="fr-CA"/>
              </w:rPr>
            </w:pPr>
          </w:p>
        </w:tc>
      </w:tr>
      <w:tr w:rsidR="00360FCF" w:rsidRPr="009F3029" w:rsidTr="00360FCF">
        <w:tc>
          <w:tcPr>
            <w:tcW w:w="4410" w:type="dxa"/>
          </w:tcPr>
          <w:p w:rsidR="00360FCF" w:rsidRPr="00982C2B" w:rsidRDefault="00360FCF" w:rsidP="00360FCF">
            <w:pPr>
              <w:rPr>
                <w:rFonts w:cs="Times New Roman"/>
                <w:sz w:val="20"/>
                <w:szCs w:val="20"/>
                <w:lang w:val="fr-CA"/>
              </w:rPr>
            </w:pPr>
            <w:r w:rsidRPr="00982C2B">
              <w:rPr>
                <w:rFonts w:cs="Times New Roman"/>
                <w:sz w:val="20"/>
                <w:szCs w:val="20"/>
                <w:lang w:val="fr-CA"/>
              </w:rPr>
              <w:t>27 novembre 2014</w:t>
            </w:r>
          </w:p>
          <w:p w:rsidR="00360FCF" w:rsidRPr="00982C2B" w:rsidRDefault="00360FCF" w:rsidP="00360FCF">
            <w:pPr>
              <w:rPr>
                <w:rFonts w:cs="Times New Roman"/>
                <w:sz w:val="20"/>
                <w:szCs w:val="20"/>
                <w:lang w:val="fr-CA"/>
              </w:rPr>
            </w:pPr>
            <w:r w:rsidRPr="00982C2B">
              <w:rPr>
                <w:rFonts w:cs="Times New Roman"/>
                <w:sz w:val="20"/>
                <w:szCs w:val="20"/>
                <w:lang w:val="fr-CA"/>
              </w:rPr>
              <w:t xml:space="preserve">Cour fédérale </w:t>
            </w:r>
          </w:p>
          <w:p w:rsidR="00360FCF" w:rsidRPr="00982C2B" w:rsidRDefault="00360FCF" w:rsidP="00360FCF">
            <w:pPr>
              <w:rPr>
                <w:rFonts w:cs="Times New Roman"/>
                <w:sz w:val="20"/>
                <w:szCs w:val="20"/>
                <w:lang w:val="fr-CA"/>
              </w:rPr>
            </w:pPr>
            <w:r w:rsidRPr="00982C2B">
              <w:rPr>
                <w:rFonts w:cs="Times New Roman"/>
                <w:sz w:val="20"/>
                <w:szCs w:val="20"/>
                <w:lang w:val="fr-CA"/>
              </w:rPr>
              <w:t>(Juge O'Reilly)</w:t>
            </w:r>
          </w:p>
          <w:p w:rsidR="00360FCF" w:rsidRPr="00982C2B" w:rsidRDefault="009F3029" w:rsidP="00360FCF">
            <w:pPr>
              <w:rPr>
                <w:rFonts w:cs="Times New Roman"/>
                <w:sz w:val="20"/>
                <w:szCs w:val="20"/>
                <w:u w:val="single"/>
                <w:lang w:val="fr-CA"/>
              </w:rPr>
            </w:pPr>
            <w:hyperlink r:id="rId113" w:history="1">
              <w:r w:rsidR="00360FCF" w:rsidRPr="00982C2B">
                <w:rPr>
                  <w:rStyle w:val="Hyperlink"/>
                  <w:rFonts w:cs="Times New Roman"/>
                  <w:sz w:val="20"/>
                  <w:szCs w:val="20"/>
                  <w:lang w:val="fr-CA"/>
                </w:rPr>
                <w:t>2014 FC 1040</w:t>
              </w:r>
            </w:hyperlink>
          </w:p>
        </w:tc>
        <w:tc>
          <w:tcPr>
            <w:tcW w:w="630" w:type="dxa"/>
          </w:tcPr>
          <w:p w:rsidR="00360FCF" w:rsidRPr="00982C2B" w:rsidRDefault="00360FCF" w:rsidP="0052683C">
            <w:pPr>
              <w:pStyle w:val="SCCShortJudgment"/>
              <w:ind w:firstLine="0"/>
              <w:rPr>
                <w:rFonts w:cs="Times New Roman"/>
                <w:szCs w:val="20"/>
                <w:u w:val="single"/>
                <w:lang w:val="fr-CA"/>
              </w:rPr>
            </w:pPr>
          </w:p>
        </w:tc>
        <w:tc>
          <w:tcPr>
            <w:tcW w:w="4536" w:type="dxa"/>
          </w:tcPr>
          <w:p w:rsidR="00360FCF" w:rsidRPr="00982C2B" w:rsidRDefault="00360FCF" w:rsidP="00360FCF">
            <w:pPr>
              <w:rPr>
                <w:rFonts w:cs="Times New Roman"/>
                <w:sz w:val="20"/>
                <w:szCs w:val="20"/>
                <w:lang w:val="fr-CA"/>
              </w:rPr>
            </w:pPr>
            <w:r w:rsidRPr="00982C2B">
              <w:rPr>
                <w:rFonts w:cs="Times New Roman"/>
                <w:sz w:val="20"/>
                <w:szCs w:val="20"/>
                <w:lang w:val="fr-CA"/>
              </w:rPr>
              <w:t>Jugement accueillant la demande de contrôle judiciaire</w:t>
            </w:r>
          </w:p>
          <w:p w:rsidR="00360FCF" w:rsidRPr="00982C2B" w:rsidRDefault="00360FCF" w:rsidP="0052683C">
            <w:pPr>
              <w:pStyle w:val="SCCShortJudgment"/>
              <w:ind w:firstLine="0"/>
              <w:rPr>
                <w:rFonts w:cs="Times New Roman"/>
                <w:szCs w:val="20"/>
                <w:u w:val="single"/>
                <w:lang w:val="fr-CA"/>
              </w:rPr>
            </w:pPr>
          </w:p>
        </w:tc>
      </w:tr>
      <w:tr w:rsidR="00360FCF" w:rsidRPr="00982C2B" w:rsidTr="00360FCF">
        <w:tc>
          <w:tcPr>
            <w:tcW w:w="4410" w:type="dxa"/>
          </w:tcPr>
          <w:p w:rsidR="00360FCF" w:rsidRPr="00982C2B" w:rsidRDefault="00360FCF" w:rsidP="00360FCF">
            <w:pPr>
              <w:rPr>
                <w:rFonts w:cs="Times New Roman"/>
                <w:sz w:val="20"/>
                <w:szCs w:val="20"/>
                <w:lang w:val="fr-CA"/>
              </w:rPr>
            </w:pPr>
            <w:r w:rsidRPr="00982C2B">
              <w:rPr>
                <w:rFonts w:cs="Times New Roman"/>
                <w:sz w:val="20"/>
                <w:szCs w:val="20"/>
                <w:lang w:val="fr-CA"/>
              </w:rPr>
              <w:t>30 octobre 2015</w:t>
            </w:r>
          </w:p>
          <w:p w:rsidR="00360FCF" w:rsidRPr="00982C2B" w:rsidRDefault="00360FCF" w:rsidP="00360FCF">
            <w:pPr>
              <w:rPr>
                <w:rFonts w:cs="Times New Roman"/>
                <w:sz w:val="20"/>
                <w:szCs w:val="20"/>
                <w:lang w:val="fr-CA"/>
              </w:rPr>
            </w:pPr>
            <w:r w:rsidRPr="00982C2B">
              <w:rPr>
                <w:rFonts w:cs="Times New Roman"/>
                <w:sz w:val="20"/>
                <w:szCs w:val="20"/>
                <w:lang w:val="fr-CA"/>
              </w:rPr>
              <w:t xml:space="preserve">Cour d’appel fédérale </w:t>
            </w:r>
          </w:p>
          <w:p w:rsidR="00360FCF" w:rsidRPr="00982C2B" w:rsidRDefault="00360FCF" w:rsidP="00360FCF">
            <w:pPr>
              <w:rPr>
                <w:rFonts w:cs="Times New Roman"/>
                <w:sz w:val="20"/>
                <w:szCs w:val="20"/>
                <w:lang w:val="fr-CA"/>
              </w:rPr>
            </w:pPr>
            <w:r w:rsidRPr="00982C2B">
              <w:rPr>
                <w:rFonts w:cs="Times New Roman"/>
                <w:sz w:val="20"/>
                <w:szCs w:val="20"/>
                <w:lang w:val="fr-CA"/>
              </w:rPr>
              <w:t>(Juges Gauthier, Ryer et Near)</w:t>
            </w:r>
          </w:p>
          <w:p w:rsidR="00360FCF" w:rsidRPr="00982C2B" w:rsidRDefault="00360FCF" w:rsidP="00360FCF">
            <w:pPr>
              <w:rPr>
                <w:rStyle w:val="Hyperlink"/>
                <w:rFonts w:cs="Times New Roman"/>
                <w:sz w:val="20"/>
                <w:szCs w:val="20"/>
              </w:rPr>
            </w:pPr>
            <w:r w:rsidRPr="00982C2B">
              <w:rPr>
                <w:rFonts w:cs="Times New Roman"/>
                <w:sz w:val="20"/>
                <w:szCs w:val="20"/>
                <w:lang w:val="fr-CA"/>
              </w:rPr>
              <w:t xml:space="preserve">A-531-14; </w:t>
            </w:r>
            <w:hyperlink r:id="rId114" w:history="1">
              <w:r w:rsidRPr="00982C2B">
                <w:rPr>
                  <w:rStyle w:val="Hyperlink"/>
                  <w:rFonts w:cs="Times New Roman"/>
                  <w:sz w:val="20"/>
                  <w:szCs w:val="20"/>
                  <w:lang w:val="fr-CA"/>
                </w:rPr>
                <w:t>2015 FCA 237</w:t>
              </w:r>
            </w:hyperlink>
          </w:p>
          <w:p w:rsidR="00360FCF" w:rsidRPr="00982C2B" w:rsidRDefault="00360FCF" w:rsidP="0052683C">
            <w:pPr>
              <w:pStyle w:val="SCCShortJudgment"/>
              <w:ind w:firstLine="0"/>
              <w:rPr>
                <w:rFonts w:cs="Times New Roman"/>
                <w:szCs w:val="20"/>
                <w:u w:val="single"/>
                <w:lang w:val="fr-CA"/>
              </w:rPr>
            </w:pPr>
          </w:p>
        </w:tc>
        <w:tc>
          <w:tcPr>
            <w:tcW w:w="630" w:type="dxa"/>
          </w:tcPr>
          <w:p w:rsidR="00360FCF" w:rsidRPr="00982C2B" w:rsidRDefault="00360FCF" w:rsidP="0052683C">
            <w:pPr>
              <w:pStyle w:val="SCCShortJudgment"/>
              <w:ind w:firstLine="0"/>
              <w:rPr>
                <w:rFonts w:cs="Times New Roman"/>
                <w:szCs w:val="20"/>
                <w:u w:val="single"/>
                <w:lang w:val="fr-CA"/>
              </w:rPr>
            </w:pPr>
          </w:p>
        </w:tc>
        <w:tc>
          <w:tcPr>
            <w:tcW w:w="4536" w:type="dxa"/>
          </w:tcPr>
          <w:p w:rsidR="00360FCF" w:rsidRPr="00982C2B" w:rsidRDefault="00360FCF" w:rsidP="00360FCF">
            <w:pPr>
              <w:rPr>
                <w:rFonts w:cs="Times New Roman"/>
                <w:sz w:val="20"/>
                <w:szCs w:val="20"/>
                <w:lang w:val="fr-CA"/>
              </w:rPr>
            </w:pPr>
            <w:r w:rsidRPr="00982C2B">
              <w:rPr>
                <w:rFonts w:cs="Times New Roman"/>
                <w:sz w:val="20"/>
                <w:szCs w:val="20"/>
                <w:lang w:val="fr-CA"/>
              </w:rPr>
              <w:t>Rejet de l’appel</w:t>
            </w:r>
          </w:p>
          <w:p w:rsidR="00360FCF" w:rsidRPr="00982C2B" w:rsidRDefault="00360FCF" w:rsidP="0052683C">
            <w:pPr>
              <w:pStyle w:val="SCCShortJudgment"/>
              <w:ind w:firstLine="0"/>
              <w:rPr>
                <w:rFonts w:cs="Times New Roman"/>
                <w:szCs w:val="20"/>
                <w:u w:val="single"/>
                <w:lang w:val="fr-CA"/>
              </w:rPr>
            </w:pPr>
          </w:p>
        </w:tc>
      </w:tr>
      <w:tr w:rsidR="00360FCF" w:rsidRPr="009F3029" w:rsidTr="00360FCF">
        <w:tc>
          <w:tcPr>
            <w:tcW w:w="4410" w:type="dxa"/>
          </w:tcPr>
          <w:p w:rsidR="00360FCF" w:rsidRPr="00982C2B" w:rsidRDefault="00360FCF" w:rsidP="00360FCF">
            <w:pPr>
              <w:rPr>
                <w:rFonts w:cs="Times New Roman"/>
                <w:sz w:val="20"/>
                <w:szCs w:val="20"/>
                <w:lang w:val="fr-CA"/>
              </w:rPr>
            </w:pPr>
            <w:r w:rsidRPr="00982C2B">
              <w:rPr>
                <w:rFonts w:cs="Times New Roman"/>
                <w:sz w:val="20"/>
                <w:szCs w:val="20"/>
                <w:lang w:val="fr-CA"/>
              </w:rPr>
              <w:t>29 décembre 2015</w:t>
            </w:r>
          </w:p>
          <w:p w:rsidR="00360FCF" w:rsidRPr="00982C2B" w:rsidRDefault="00360FCF" w:rsidP="00360FCF">
            <w:pPr>
              <w:rPr>
                <w:rFonts w:cs="Times New Roman"/>
                <w:sz w:val="20"/>
                <w:szCs w:val="20"/>
                <w:lang w:val="fr-CA"/>
              </w:rPr>
            </w:pPr>
            <w:r w:rsidRPr="00982C2B">
              <w:rPr>
                <w:rFonts w:cs="Times New Roman"/>
                <w:sz w:val="20"/>
                <w:szCs w:val="20"/>
                <w:lang w:val="fr-CA"/>
              </w:rPr>
              <w:t>Cour suprême du Canada</w:t>
            </w:r>
          </w:p>
          <w:p w:rsidR="00360FCF" w:rsidRPr="00982C2B" w:rsidRDefault="00360FCF" w:rsidP="0052683C">
            <w:pPr>
              <w:pStyle w:val="SCCShortJudgment"/>
              <w:ind w:firstLine="0"/>
              <w:rPr>
                <w:rFonts w:cs="Times New Roman"/>
                <w:szCs w:val="20"/>
                <w:u w:val="single"/>
                <w:lang w:val="fr-CA"/>
              </w:rPr>
            </w:pPr>
          </w:p>
        </w:tc>
        <w:tc>
          <w:tcPr>
            <w:tcW w:w="630" w:type="dxa"/>
          </w:tcPr>
          <w:p w:rsidR="00360FCF" w:rsidRPr="00982C2B" w:rsidRDefault="00360FCF" w:rsidP="0052683C">
            <w:pPr>
              <w:pStyle w:val="SCCShortJudgment"/>
              <w:ind w:firstLine="0"/>
              <w:rPr>
                <w:rFonts w:cs="Times New Roman"/>
                <w:szCs w:val="20"/>
                <w:u w:val="single"/>
                <w:lang w:val="fr-CA"/>
              </w:rPr>
            </w:pPr>
          </w:p>
        </w:tc>
        <w:tc>
          <w:tcPr>
            <w:tcW w:w="4536" w:type="dxa"/>
          </w:tcPr>
          <w:p w:rsidR="00360FCF" w:rsidRPr="00982C2B" w:rsidRDefault="00360FCF" w:rsidP="00360FCF">
            <w:pPr>
              <w:rPr>
                <w:rFonts w:cs="Times New Roman"/>
                <w:sz w:val="20"/>
                <w:szCs w:val="20"/>
                <w:lang w:val="fr-CA"/>
              </w:rPr>
            </w:pPr>
            <w:r w:rsidRPr="00982C2B">
              <w:rPr>
                <w:rFonts w:cs="Times New Roman"/>
                <w:sz w:val="20"/>
                <w:szCs w:val="20"/>
                <w:lang w:val="fr-CA"/>
              </w:rPr>
              <w:t>Dépôt de la demande d’autorisation d’appel</w:t>
            </w:r>
          </w:p>
          <w:p w:rsidR="00360FCF" w:rsidRPr="00982C2B" w:rsidRDefault="00360FCF" w:rsidP="0052683C">
            <w:pPr>
              <w:pStyle w:val="SCCShortJudgment"/>
              <w:ind w:firstLine="0"/>
              <w:rPr>
                <w:rFonts w:cs="Times New Roman"/>
                <w:szCs w:val="20"/>
                <w:u w:val="single"/>
                <w:lang w:val="fr-CA"/>
              </w:rPr>
            </w:pPr>
          </w:p>
        </w:tc>
      </w:tr>
    </w:tbl>
    <w:p w:rsidR="00360FCF" w:rsidRPr="00982C2B" w:rsidRDefault="009F3029" w:rsidP="00360FCF">
      <w:pPr>
        <w:rPr>
          <w:rFonts w:cs="Times New Roman"/>
          <w:sz w:val="20"/>
          <w:szCs w:val="20"/>
          <w:lang w:val="fr-CA"/>
        </w:rPr>
      </w:pPr>
      <w:r>
        <w:rPr>
          <w:rFonts w:cs="Times New Roman"/>
          <w:sz w:val="20"/>
          <w:szCs w:val="20"/>
          <w:lang w:val="fr-CA"/>
        </w:rPr>
        <w:pict>
          <v:rect id="_x0000_i1088" style="width:2in;height:1pt" o:hrpct="0" o:hralign="center" o:hrstd="t" o:hrnoshade="t" o:hr="t" fillcolor="black [3213]" stroked="f"/>
        </w:pict>
      </w:r>
    </w:p>
    <w:p w:rsidR="00360FCF" w:rsidRPr="00982C2B" w:rsidRDefault="00360FCF" w:rsidP="00360FC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B417EE" w:rsidRPr="00982C2B" w:rsidTr="0052683C">
        <w:trPr>
          <w:cantSplit/>
        </w:trPr>
        <w:tc>
          <w:tcPr>
            <w:tcW w:w="1458" w:type="dxa"/>
          </w:tcPr>
          <w:p w:rsidR="00B417EE" w:rsidRPr="00982C2B" w:rsidRDefault="00B417EE" w:rsidP="0052683C">
            <w:pPr>
              <w:jc w:val="both"/>
              <w:rPr>
                <w:rFonts w:cs="Times New Roman"/>
                <w:sz w:val="20"/>
                <w:szCs w:val="20"/>
              </w:rPr>
            </w:pPr>
            <w:r w:rsidRPr="00982C2B">
              <w:rPr>
                <w:rStyle w:val="SCCFileNumberChar"/>
                <w:sz w:val="20"/>
                <w:szCs w:val="20"/>
              </w:rPr>
              <w:t>36813</w:t>
            </w:r>
          </w:p>
          <w:p w:rsidR="00B417EE" w:rsidRPr="00982C2B" w:rsidRDefault="00B417EE" w:rsidP="0052683C">
            <w:pPr>
              <w:jc w:val="both"/>
              <w:rPr>
                <w:rFonts w:cs="Times New Roman"/>
                <w:b/>
                <w:sz w:val="20"/>
                <w:szCs w:val="20"/>
              </w:rPr>
            </w:pPr>
          </w:p>
        </w:tc>
        <w:tc>
          <w:tcPr>
            <w:tcW w:w="8118" w:type="dxa"/>
          </w:tcPr>
          <w:p w:rsidR="00B417EE" w:rsidRPr="00982C2B" w:rsidRDefault="00B417EE" w:rsidP="0052683C">
            <w:pPr>
              <w:jc w:val="both"/>
              <w:rPr>
                <w:rFonts w:cs="Times New Roman"/>
                <w:sz w:val="20"/>
                <w:szCs w:val="20"/>
              </w:rPr>
            </w:pPr>
            <w:r w:rsidRPr="00982C2B">
              <w:rPr>
                <w:rStyle w:val="SCCLsocChar"/>
                <w:rFonts w:cs="Times New Roman"/>
                <w:sz w:val="20"/>
                <w:szCs w:val="20"/>
                <w:lang w:val="en-CA"/>
              </w:rPr>
              <w:t>Frederick Allen Clark v. Her Majesty the Queen</w:t>
            </w:r>
            <w:r w:rsidRPr="00982C2B">
              <w:rPr>
                <w:rStyle w:val="SCCLsocChar"/>
                <w:rFonts w:cs="Times New Roman"/>
                <w:sz w:val="20"/>
                <w:szCs w:val="20"/>
                <w:u w:val="none"/>
                <w:lang w:val="en-CA"/>
              </w:rPr>
              <w:t xml:space="preserve"> </w:t>
            </w:r>
            <w:r w:rsidRPr="00982C2B">
              <w:rPr>
                <w:rFonts w:cs="Times New Roman"/>
                <w:sz w:val="20"/>
                <w:szCs w:val="20"/>
              </w:rPr>
              <w:t>(B.C.) (Crim</w:t>
            </w:r>
            <w:r w:rsidR="00240C42" w:rsidRPr="00982C2B">
              <w:rPr>
                <w:rFonts w:cs="Times New Roman"/>
                <w:sz w:val="20"/>
                <w:szCs w:val="20"/>
              </w:rPr>
              <w:t>.</w:t>
            </w:r>
            <w:r w:rsidRPr="00982C2B">
              <w:rPr>
                <w:rFonts w:cs="Times New Roman"/>
                <w:sz w:val="20"/>
                <w:szCs w:val="20"/>
              </w:rPr>
              <w:t>) (By Leave)</w:t>
            </w:r>
          </w:p>
          <w:p w:rsidR="00B417EE" w:rsidRPr="00982C2B" w:rsidRDefault="00B417EE" w:rsidP="0052683C">
            <w:pPr>
              <w:jc w:val="both"/>
              <w:rPr>
                <w:rFonts w:cs="Times New Roman"/>
                <w:sz w:val="20"/>
                <w:szCs w:val="20"/>
              </w:rPr>
            </w:pPr>
          </w:p>
        </w:tc>
      </w:tr>
      <w:tr w:rsidR="00B417EE" w:rsidRPr="00982C2B" w:rsidTr="0052683C">
        <w:trPr>
          <w:cantSplit/>
        </w:trPr>
        <w:tc>
          <w:tcPr>
            <w:tcW w:w="1458" w:type="dxa"/>
          </w:tcPr>
          <w:p w:rsidR="00B417EE" w:rsidRPr="00982C2B" w:rsidRDefault="00B417EE" w:rsidP="0052683C">
            <w:pPr>
              <w:jc w:val="both"/>
              <w:rPr>
                <w:rFonts w:cs="Times New Roman"/>
                <w:sz w:val="20"/>
                <w:szCs w:val="20"/>
              </w:rPr>
            </w:pPr>
            <w:r w:rsidRPr="00982C2B">
              <w:rPr>
                <w:rFonts w:cs="Times New Roman"/>
                <w:sz w:val="20"/>
                <w:szCs w:val="20"/>
              </w:rPr>
              <w:t>Coram :</w:t>
            </w:r>
          </w:p>
        </w:tc>
        <w:tc>
          <w:tcPr>
            <w:tcW w:w="8118" w:type="dxa"/>
          </w:tcPr>
          <w:p w:rsidR="00B417EE" w:rsidRPr="00982C2B" w:rsidRDefault="00B417EE" w:rsidP="0052683C">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B417EE" w:rsidRPr="00982C2B" w:rsidRDefault="00B417EE" w:rsidP="0052683C">
            <w:pPr>
              <w:jc w:val="both"/>
              <w:rPr>
                <w:rFonts w:cs="Times New Roman"/>
                <w:sz w:val="20"/>
                <w:szCs w:val="20"/>
                <w:u w:val="single"/>
              </w:rPr>
            </w:pPr>
          </w:p>
        </w:tc>
      </w:tr>
      <w:tr w:rsidR="00B417EE" w:rsidRPr="009F3029" w:rsidTr="0052683C">
        <w:trPr>
          <w:cantSplit/>
        </w:trPr>
        <w:tc>
          <w:tcPr>
            <w:tcW w:w="9576" w:type="dxa"/>
            <w:gridSpan w:val="2"/>
          </w:tcPr>
          <w:p w:rsidR="00B417EE" w:rsidRPr="00982C2B" w:rsidRDefault="00B417EE" w:rsidP="00B417EE">
            <w:pPr>
              <w:pStyle w:val="SCCShortJudgment"/>
              <w:ind w:firstLine="0"/>
              <w:rPr>
                <w:rFonts w:cs="Times New Roman"/>
                <w:szCs w:val="20"/>
              </w:rPr>
            </w:pPr>
            <w:r w:rsidRPr="00982C2B">
              <w:rPr>
                <w:rFonts w:cs="Times New Roman"/>
                <w:szCs w:val="20"/>
              </w:rPr>
              <w:tab/>
              <w:t xml:space="preserve">The application for leave to appeal from the judgment of the Court of Appeal for British Columbia (Vancouver), Number CA42360, 2015 BCCA 488, dated November 26, 2015, is granted.  </w:t>
            </w:r>
            <w:r w:rsidRPr="00982C2B">
              <w:rPr>
                <w:rFonts w:cs="Times New Roman"/>
                <w:szCs w:val="20"/>
                <w:lang w:val="en-US"/>
              </w:rPr>
              <w:t xml:space="preserve">The request for an oral hearing to determine the application for leave to appeal is moot.  </w:t>
            </w:r>
          </w:p>
          <w:p w:rsidR="00B417EE" w:rsidRPr="00982C2B" w:rsidRDefault="00B417EE" w:rsidP="00B417EE">
            <w:pPr>
              <w:pStyle w:val="SCCShortJudgment"/>
              <w:ind w:firstLine="0"/>
              <w:rPr>
                <w:rFonts w:cs="Times New Roman"/>
                <w:szCs w:val="20"/>
              </w:rPr>
            </w:pPr>
          </w:p>
          <w:p w:rsidR="00B417EE" w:rsidRPr="00982C2B" w:rsidRDefault="00B417EE" w:rsidP="00B417EE">
            <w:pPr>
              <w:pStyle w:val="SCCShortJudgment"/>
              <w:ind w:firstLine="0"/>
              <w:rPr>
                <w:rFonts w:cs="Times New Roman"/>
                <w:szCs w:val="20"/>
                <w:lang w:val="fr-CA"/>
              </w:rPr>
            </w:pPr>
            <w:r w:rsidRPr="00982C2B">
              <w:rPr>
                <w:rFonts w:cs="Times New Roman"/>
                <w:szCs w:val="20"/>
              </w:rPr>
              <w:tab/>
            </w:r>
            <w:r w:rsidRPr="00982C2B">
              <w:rPr>
                <w:rFonts w:cs="Times New Roman"/>
                <w:szCs w:val="20"/>
                <w:lang w:val="fr-CA"/>
              </w:rPr>
              <w:t xml:space="preserve">La demande d’autorisation d’appel de l’arrêt de la </w:t>
            </w:r>
            <w:r w:rsidRPr="00982C2B">
              <w:rPr>
                <w:rFonts w:cs="Times New Roman"/>
                <w:szCs w:val="20"/>
                <w:lang w:val="fr-FR"/>
              </w:rPr>
              <w:t>Cour d’appel de la Colombie-Britannique (Vancouver)</w:t>
            </w:r>
            <w:r w:rsidRPr="00982C2B">
              <w:rPr>
                <w:rFonts w:cs="Times New Roman"/>
                <w:szCs w:val="20"/>
                <w:lang w:val="fr-CA"/>
              </w:rPr>
              <w:t xml:space="preserve">, numéro </w:t>
            </w:r>
            <w:r w:rsidRPr="00982C2B">
              <w:rPr>
                <w:rFonts w:cs="Times New Roman"/>
                <w:szCs w:val="20"/>
                <w:lang w:val="fr-FR"/>
              </w:rPr>
              <w:t>CA42360, 2015 BCCA 488</w:t>
            </w:r>
            <w:r w:rsidRPr="00982C2B">
              <w:rPr>
                <w:rFonts w:cs="Times New Roman"/>
                <w:szCs w:val="20"/>
                <w:lang w:val="fr-CA"/>
              </w:rPr>
              <w:t xml:space="preserve">, daté du </w:t>
            </w:r>
            <w:r w:rsidRPr="00982C2B">
              <w:rPr>
                <w:rFonts w:cs="Times New Roman"/>
                <w:szCs w:val="20"/>
                <w:lang w:val="fr-FR"/>
              </w:rPr>
              <w:t>26 novembre 2015</w:t>
            </w:r>
            <w:r w:rsidRPr="00982C2B">
              <w:rPr>
                <w:rFonts w:cs="Times New Roman"/>
                <w:szCs w:val="20"/>
                <w:lang w:val="fr-CA"/>
              </w:rPr>
              <w:t xml:space="preserve">, est accueillie.  La demande sollicitant la tenue d’une audience pour décider de la demande d’autorisation d’appel est sans objet.  </w:t>
            </w:r>
          </w:p>
          <w:p w:rsidR="00B417EE" w:rsidRPr="00982C2B" w:rsidRDefault="00B417EE" w:rsidP="00B417EE">
            <w:pPr>
              <w:pStyle w:val="SCCShortJudgment"/>
              <w:ind w:firstLine="0"/>
              <w:rPr>
                <w:rFonts w:cs="Times New Roman"/>
                <w:szCs w:val="20"/>
                <w:lang w:val="fr-CA"/>
              </w:rPr>
            </w:pPr>
          </w:p>
        </w:tc>
      </w:tr>
    </w:tbl>
    <w:p w:rsidR="007E3F99" w:rsidRPr="000E41A9" w:rsidRDefault="007E3F99">
      <w:pPr>
        <w:rPr>
          <w:lang w:val="fr-CA"/>
        </w:rPr>
      </w:pPr>
      <w:r w:rsidRPr="000E41A9">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417EE" w:rsidRPr="00982C2B" w:rsidTr="0052683C">
        <w:trPr>
          <w:cantSplit/>
        </w:trPr>
        <w:tc>
          <w:tcPr>
            <w:tcW w:w="9576" w:type="dxa"/>
            <w:gridSpan w:val="3"/>
          </w:tcPr>
          <w:p w:rsidR="00B417EE" w:rsidRPr="00982C2B" w:rsidRDefault="00B417EE" w:rsidP="00B417EE">
            <w:pPr>
              <w:pStyle w:val="SCCShortJudgment"/>
              <w:ind w:firstLine="0"/>
              <w:rPr>
                <w:rFonts w:cs="Times New Roman"/>
                <w:szCs w:val="20"/>
                <w:u w:val="single"/>
                <w:lang w:val="fr-CA"/>
              </w:rPr>
            </w:pPr>
            <w:r w:rsidRPr="00982C2B">
              <w:rPr>
                <w:rFonts w:cs="Times New Roman"/>
                <w:szCs w:val="20"/>
                <w:u w:val="single"/>
                <w:lang w:val="fr-CA"/>
              </w:rPr>
              <w:t>CASE SUMMARY</w:t>
            </w:r>
          </w:p>
          <w:p w:rsidR="00B417EE" w:rsidRPr="00982C2B" w:rsidRDefault="00B417EE" w:rsidP="00B417EE">
            <w:pPr>
              <w:pStyle w:val="SCCShortJudgment"/>
              <w:ind w:firstLine="0"/>
              <w:rPr>
                <w:rFonts w:cs="Times New Roman"/>
                <w:szCs w:val="20"/>
                <w:u w:val="single"/>
                <w:lang w:val="fr-CA"/>
              </w:rPr>
            </w:pPr>
          </w:p>
        </w:tc>
      </w:tr>
      <w:tr w:rsidR="00B417EE" w:rsidRPr="00982C2B" w:rsidTr="0052683C">
        <w:trPr>
          <w:cantSplit/>
        </w:trPr>
        <w:tc>
          <w:tcPr>
            <w:tcW w:w="9576" w:type="dxa"/>
            <w:gridSpan w:val="3"/>
          </w:tcPr>
          <w:p w:rsidR="00B417EE" w:rsidRPr="00982C2B" w:rsidRDefault="00B417EE" w:rsidP="00B417EE">
            <w:pPr>
              <w:pStyle w:val="SCCShortJudgment"/>
              <w:ind w:firstLine="0"/>
              <w:rPr>
                <w:rFonts w:cs="Times New Roman"/>
                <w:szCs w:val="20"/>
              </w:rPr>
            </w:pPr>
            <w:r w:rsidRPr="00982C2B">
              <w:rPr>
                <w:rFonts w:cs="Times New Roman"/>
                <w:i/>
                <w:szCs w:val="20"/>
              </w:rPr>
              <w:t>Charter of Rights</w:t>
            </w:r>
            <w:r w:rsidRPr="00982C2B">
              <w:rPr>
                <w:rFonts w:cs="Times New Roman"/>
                <w:szCs w:val="20"/>
              </w:rPr>
              <w:t xml:space="preserve"> — Search and Seizure — Criminal law — Telewarrant — At what point does a Justice “cross the line” into providing inappropriate assistance to a police officer seeking an </w:t>
            </w:r>
            <w:r w:rsidRPr="00982C2B">
              <w:rPr>
                <w:rFonts w:cs="Times New Roman"/>
                <w:i/>
                <w:iCs/>
                <w:szCs w:val="20"/>
              </w:rPr>
              <w:t xml:space="preserve">ex parte </w:t>
            </w:r>
            <w:r w:rsidRPr="00982C2B">
              <w:rPr>
                <w:rFonts w:cs="Times New Roman"/>
                <w:szCs w:val="20"/>
              </w:rPr>
              <w:t xml:space="preserve">authorization — What is the test for determining that there is </w:t>
            </w:r>
            <w:r w:rsidRPr="00982C2B">
              <w:rPr>
                <w:rFonts w:cs="Times New Roman"/>
                <w:iCs/>
                <w:szCs w:val="20"/>
              </w:rPr>
              <w:t>no</w:t>
            </w:r>
            <w:r w:rsidRPr="00982C2B">
              <w:rPr>
                <w:rFonts w:cs="Times New Roman"/>
                <w:i/>
                <w:iCs/>
                <w:szCs w:val="20"/>
              </w:rPr>
              <w:t xml:space="preserve"> </w:t>
            </w:r>
            <w:r w:rsidRPr="00982C2B">
              <w:rPr>
                <w:rFonts w:cs="Times New Roman"/>
                <w:szCs w:val="20"/>
              </w:rPr>
              <w:t xml:space="preserve">evidence supporting an inference — What does “impracticable” mean in the context of s. 487.1(4)(a) of the </w:t>
            </w:r>
            <w:r w:rsidRPr="00982C2B">
              <w:rPr>
                <w:rFonts w:cs="Times New Roman"/>
                <w:i/>
                <w:szCs w:val="20"/>
              </w:rPr>
              <w:t>Criminal Code</w:t>
            </w:r>
            <w:r w:rsidRPr="00982C2B">
              <w:rPr>
                <w:rFonts w:cs="Times New Roman"/>
                <w:szCs w:val="20"/>
              </w:rPr>
              <w:t xml:space="preserve"> — Whether a trial judge’s finding with respect to whether or not an Information to obtain a telewarrant contains sufficient information to meet the impracticability requirement is a finding of fact, or an issue of law alone from which the Crown can appeal an acquittal — ss. 8 and 24(2) of the </w:t>
            </w:r>
            <w:r w:rsidRPr="00982C2B">
              <w:rPr>
                <w:rFonts w:cs="Times New Roman"/>
                <w:i/>
                <w:szCs w:val="20"/>
              </w:rPr>
              <w:t>Charter</w:t>
            </w:r>
            <w:r w:rsidRPr="00982C2B">
              <w:rPr>
                <w:rFonts w:cs="Times New Roman"/>
                <w:szCs w:val="20"/>
              </w:rPr>
              <w:t>.</w:t>
            </w:r>
          </w:p>
          <w:p w:rsidR="00B417EE" w:rsidRPr="00982C2B" w:rsidRDefault="00B417EE" w:rsidP="00B417EE">
            <w:pPr>
              <w:pStyle w:val="SCCShortJudgment"/>
              <w:ind w:firstLine="0"/>
              <w:rPr>
                <w:rFonts w:cs="Times New Roman"/>
                <w:szCs w:val="20"/>
              </w:rPr>
            </w:pPr>
          </w:p>
        </w:tc>
      </w:tr>
      <w:tr w:rsidR="00B417EE" w:rsidRPr="00982C2B" w:rsidTr="00B417EE">
        <w:tc>
          <w:tcPr>
            <w:tcW w:w="9576" w:type="dxa"/>
            <w:gridSpan w:val="3"/>
          </w:tcPr>
          <w:p w:rsidR="00B417EE" w:rsidRPr="00982C2B" w:rsidRDefault="00B417EE" w:rsidP="00B417EE">
            <w:pPr>
              <w:jc w:val="both"/>
              <w:rPr>
                <w:rFonts w:cs="Times New Roman"/>
                <w:iCs/>
                <w:sz w:val="20"/>
                <w:szCs w:val="20"/>
              </w:rPr>
            </w:pPr>
            <w:r w:rsidRPr="00982C2B">
              <w:rPr>
                <w:rFonts w:cs="Times New Roman"/>
                <w:sz w:val="20"/>
                <w:szCs w:val="20"/>
              </w:rPr>
              <w:t xml:space="preserve">During the early morning hours of Friday, December 23, 2011, a Royal Canadian Mounted Police officer obtained a telewarrant to investigate theft of electricity at a residence near Kelowna, British Columbia. During the execution of that warrant the police discovered not only an electrical by-pass, but a large marihuana grow-operation. The applicant, who was inside the residence when the police arrived, was charged with production of marihuana, possession of marihuana for the purpose of trafficking, and theft of electricity. In his ruling, the trial judge found the telewarrant invalid because the judicial justice assisted the officer in preparing his information to obtain. </w:t>
            </w:r>
            <w:r w:rsidRPr="00982C2B">
              <w:rPr>
                <w:rFonts w:cs="Times New Roman"/>
                <w:iCs/>
                <w:sz w:val="20"/>
                <w:szCs w:val="20"/>
              </w:rPr>
              <w:t xml:space="preserve">The judge went </w:t>
            </w:r>
            <w:r w:rsidRPr="00982C2B">
              <w:rPr>
                <w:rFonts w:cs="Times New Roman"/>
                <w:sz w:val="20"/>
                <w:szCs w:val="20"/>
              </w:rPr>
              <w:t xml:space="preserve">on to hold that because the telewarrant was invalid its execution infringed the applicant’s s. 8 </w:t>
            </w:r>
            <w:r w:rsidRPr="00982C2B">
              <w:rPr>
                <w:rFonts w:cs="Times New Roman"/>
                <w:i/>
                <w:sz w:val="20"/>
                <w:szCs w:val="20"/>
              </w:rPr>
              <w:t xml:space="preserve">Charter </w:t>
            </w:r>
            <w:r w:rsidRPr="00982C2B">
              <w:rPr>
                <w:rFonts w:cs="Times New Roman"/>
                <w:sz w:val="20"/>
                <w:szCs w:val="20"/>
              </w:rPr>
              <w:t xml:space="preserve">right to be secure against unreasonable search and seizure and that the admission into evidence of the drugs and other items seized by the police would bring the administration of justice into disrepute. The Court of Appeal held that the telewarrant was properly issued, and the trial judge’s decision to exclude the evidence tendered by the Crown could not stand. </w:t>
            </w:r>
            <w:r w:rsidRPr="00982C2B">
              <w:rPr>
                <w:rFonts w:cs="Times New Roman"/>
                <w:iCs/>
                <w:sz w:val="20"/>
                <w:szCs w:val="20"/>
              </w:rPr>
              <w:t>The Court of Appeal allowed the appeal and ordered a new trial. </w:t>
            </w:r>
          </w:p>
          <w:p w:rsidR="00B417EE" w:rsidRPr="00982C2B" w:rsidRDefault="00B417EE" w:rsidP="00B417EE">
            <w:pPr>
              <w:pStyle w:val="SCCShortJudgment"/>
              <w:ind w:firstLine="0"/>
              <w:rPr>
                <w:rFonts w:cs="Times New Roman"/>
                <w:szCs w:val="20"/>
              </w:rPr>
            </w:pPr>
          </w:p>
        </w:tc>
      </w:tr>
      <w:tr w:rsidR="00B417EE" w:rsidRPr="00982C2B" w:rsidTr="0052683C">
        <w:trPr>
          <w:cantSplit/>
        </w:trPr>
        <w:tc>
          <w:tcPr>
            <w:tcW w:w="4410" w:type="dxa"/>
          </w:tcPr>
          <w:p w:rsidR="00B417EE" w:rsidRPr="00982C2B" w:rsidRDefault="00B417EE" w:rsidP="00B417EE">
            <w:pPr>
              <w:jc w:val="both"/>
              <w:rPr>
                <w:rFonts w:cs="Times New Roman"/>
                <w:sz w:val="20"/>
                <w:szCs w:val="20"/>
              </w:rPr>
            </w:pPr>
            <w:r w:rsidRPr="00982C2B">
              <w:rPr>
                <w:rFonts w:cs="Times New Roman"/>
                <w:sz w:val="20"/>
                <w:szCs w:val="20"/>
              </w:rPr>
              <w:t>October 23, 2014</w:t>
            </w:r>
          </w:p>
          <w:p w:rsidR="00B417EE" w:rsidRPr="00982C2B" w:rsidRDefault="00B417EE" w:rsidP="00B417EE">
            <w:pPr>
              <w:jc w:val="both"/>
              <w:rPr>
                <w:rFonts w:cs="Times New Roman"/>
                <w:sz w:val="20"/>
                <w:szCs w:val="20"/>
              </w:rPr>
            </w:pPr>
            <w:r w:rsidRPr="00982C2B">
              <w:rPr>
                <w:rFonts w:cs="Times New Roman"/>
                <w:sz w:val="20"/>
                <w:szCs w:val="20"/>
              </w:rPr>
              <w:t>Supreme Court of British Columbia</w:t>
            </w:r>
          </w:p>
          <w:p w:rsidR="00B417EE" w:rsidRPr="00982C2B" w:rsidRDefault="00B417EE" w:rsidP="00B417EE">
            <w:pPr>
              <w:jc w:val="both"/>
              <w:rPr>
                <w:rFonts w:cs="Times New Roman"/>
                <w:sz w:val="20"/>
                <w:szCs w:val="20"/>
              </w:rPr>
            </w:pPr>
            <w:r w:rsidRPr="00982C2B">
              <w:rPr>
                <w:rFonts w:cs="Times New Roman"/>
                <w:sz w:val="20"/>
                <w:szCs w:val="20"/>
              </w:rPr>
              <w:t>(Weatherill J.)</w:t>
            </w:r>
          </w:p>
          <w:p w:rsidR="00B417EE" w:rsidRPr="00982C2B" w:rsidRDefault="00B417EE" w:rsidP="00B417EE">
            <w:pPr>
              <w:jc w:val="both"/>
              <w:rPr>
                <w:rFonts w:cs="Times New Roman"/>
                <w:sz w:val="20"/>
                <w:szCs w:val="20"/>
              </w:rPr>
            </w:pPr>
            <w:r w:rsidRPr="00982C2B">
              <w:rPr>
                <w:rFonts w:cs="Times New Roman"/>
                <w:sz w:val="20"/>
                <w:szCs w:val="20"/>
              </w:rPr>
              <w:t>2014 BCSC 1988</w:t>
            </w:r>
          </w:p>
          <w:p w:rsidR="00B417EE" w:rsidRPr="00982C2B" w:rsidRDefault="009F3029" w:rsidP="00B417EE">
            <w:pPr>
              <w:jc w:val="both"/>
              <w:rPr>
                <w:rFonts w:cs="Times New Roman"/>
                <w:sz w:val="20"/>
                <w:szCs w:val="20"/>
              </w:rPr>
            </w:pPr>
            <w:hyperlink r:id="rId115" w:history="1">
              <w:r w:rsidR="00B417EE" w:rsidRPr="00982C2B">
                <w:rPr>
                  <w:rStyle w:val="Hyperlink"/>
                  <w:rFonts w:cs="Times New Roman"/>
                  <w:color w:val="0000FF"/>
                  <w:sz w:val="20"/>
                  <w:szCs w:val="20"/>
                </w:rPr>
                <w:t>http://canlii.ca/t/gf2bg</w:t>
              </w:r>
            </w:hyperlink>
          </w:p>
          <w:p w:rsidR="00B417EE" w:rsidRPr="00982C2B" w:rsidRDefault="00B417EE" w:rsidP="00B417EE">
            <w:pPr>
              <w:jc w:val="both"/>
              <w:rPr>
                <w:rFonts w:cs="Times New Roman"/>
                <w:sz w:val="20"/>
                <w:szCs w:val="20"/>
              </w:rPr>
            </w:pPr>
          </w:p>
        </w:tc>
        <w:tc>
          <w:tcPr>
            <w:tcW w:w="630" w:type="dxa"/>
          </w:tcPr>
          <w:p w:rsidR="00B417EE" w:rsidRPr="00982C2B" w:rsidRDefault="00B417EE" w:rsidP="00B417EE">
            <w:pPr>
              <w:pStyle w:val="SCCShortJudgment"/>
              <w:ind w:firstLine="0"/>
              <w:rPr>
                <w:rFonts w:cs="Times New Roman"/>
                <w:szCs w:val="20"/>
              </w:rPr>
            </w:pPr>
          </w:p>
        </w:tc>
        <w:tc>
          <w:tcPr>
            <w:tcW w:w="4536" w:type="dxa"/>
          </w:tcPr>
          <w:p w:rsidR="00B417EE" w:rsidRPr="00982C2B" w:rsidRDefault="00B417EE" w:rsidP="00B417EE">
            <w:pPr>
              <w:jc w:val="both"/>
              <w:rPr>
                <w:rFonts w:cs="Times New Roman"/>
                <w:sz w:val="20"/>
                <w:szCs w:val="20"/>
              </w:rPr>
            </w:pPr>
            <w:r w:rsidRPr="00982C2B">
              <w:rPr>
                <w:rFonts w:cs="Times New Roman"/>
                <w:i/>
                <w:sz w:val="20"/>
                <w:szCs w:val="20"/>
              </w:rPr>
              <w:t>Voir dire</w:t>
            </w:r>
            <w:r w:rsidRPr="00982C2B">
              <w:rPr>
                <w:rFonts w:cs="Times New Roman"/>
                <w:sz w:val="20"/>
                <w:szCs w:val="20"/>
              </w:rPr>
              <w:t xml:space="preserve">: evidence excluded pursuant to s. 24(2) of the </w:t>
            </w:r>
            <w:r w:rsidRPr="00982C2B">
              <w:rPr>
                <w:rFonts w:cs="Times New Roman"/>
                <w:i/>
                <w:sz w:val="20"/>
                <w:szCs w:val="20"/>
              </w:rPr>
              <w:t>Charter</w:t>
            </w:r>
            <w:r w:rsidRPr="00982C2B">
              <w:rPr>
                <w:rFonts w:cs="Times New Roman"/>
                <w:sz w:val="20"/>
                <w:szCs w:val="20"/>
              </w:rPr>
              <w:t xml:space="preserve"> ; acquittal entered</w:t>
            </w:r>
          </w:p>
        </w:tc>
      </w:tr>
      <w:tr w:rsidR="00B417EE" w:rsidRPr="00982C2B" w:rsidTr="0052683C">
        <w:trPr>
          <w:cantSplit/>
        </w:trPr>
        <w:tc>
          <w:tcPr>
            <w:tcW w:w="4410" w:type="dxa"/>
          </w:tcPr>
          <w:p w:rsidR="00B417EE" w:rsidRPr="00982C2B" w:rsidRDefault="00B417EE" w:rsidP="00B417EE">
            <w:pPr>
              <w:rPr>
                <w:rFonts w:cs="Times New Roman"/>
                <w:sz w:val="20"/>
                <w:szCs w:val="20"/>
              </w:rPr>
            </w:pPr>
            <w:r w:rsidRPr="00982C2B">
              <w:rPr>
                <w:rFonts w:cs="Times New Roman"/>
                <w:sz w:val="20"/>
                <w:szCs w:val="20"/>
              </w:rPr>
              <w:t>November 26, 2015</w:t>
            </w:r>
          </w:p>
          <w:p w:rsidR="00B417EE" w:rsidRPr="00982C2B" w:rsidRDefault="00B417EE" w:rsidP="00B417EE">
            <w:pPr>
              <w:rPr>
                <w:rFonts w:cs="Times New Roman"/>
                <w:sz w:val="20"/>
                <w:szCs w:val="20"/>
              </w:rPr>
            </w:pPr>
            <w:r w:rsidRPr="00982C2B">
              <w:rPr>
                <w:rFonts w:cs="Times New Roman"/>
                <w:sz w:val="20"/>
                <w:szCs w:val="20"/>
              </w:rPr>
              <w:t xml:space="preserve">Court of Appeal for British Columbia </w:t>
            </w:r>
          </w:p>
          <w:p w:rsidR="00B417EE" w:rsidRPr="00982C2B" w:rsidRDefault="00B417EE" w:rsidP="00B417EE">
            <w:pPr>
              <w:rPr>
                <w:rFonts w:cs="Times New Roman"/>
                <w:sz w:val="20"/>
                <w:szCs w:val="20"/>
              </w:rPr>
            </w:pPr>
            <w:r w:rsidRPr="00982C2B">
              <w:rPr>
                <w:rFonts w:cs="Times New Roman"/>
                <w:sz w:val="20"/>
                <w:szCs w:val="20"/>
              </w:rPr>
              <w:t>(Vancouver)</w:t>
            </w:r>
          </w:p>
          <w:p w:rsidR="00B417EE" w:rsidRPr="00982C2B" w:rsidRDefault="00B417EE" w:rsidP="00B417EE">
            <w:pPr>
              <w:rPr>
                <w:rFonts w:cs="Times New Roman"/>
                <w:sz w:val="20"/>
                <w:szCs w:val="20"/>
              </w:rPr>
            </w:pPr>
            <w:r w:rsidRPr="00982C2B">
              <w:rPr>
                <w:rFonts w:cs="Times New Roman"/>
                <w:sz w:val="20"/>
                <w:szCs w:val="20"/>
              </w:rPr>
              <w:t>(Frankel, Tysoe, Willcock JJ.A.)</w:t>
            </w:r>
          </w:p>
          <w:p w:rsidR="00B417EE" w:rsidRPr="00982C2B" w:rsidRDefault="00B417EE" w:rsidP="00B417EE">
            <w:pPr>
              <w:rPr>
                <w:rFonts w:cs="Times New Roman"/>
                <w:sz w:val="20"/>
                <w:szCs w:val="20"/>
              </w:rPr>
            </w:pPr>
            <w:r w:rsidRPr="00982C2B">
              <w:rPr>
                <w:rFonts w:cs="Times New Roman"/>
                <w:sz w:val="20"/>
                <w:szCs w:val="20"/>
              </w:rPr>
              <w:t>2015 BCCA 488; CA42360</w:t>
            </w:r>
          </w:p>
          <w:p w:rsidR="00B417EE" w:rsidRPr="00982C2B" w:rsidRDefault="009F3029" w:rsidP="00B417EE">
            <w:pPr>
              <w:rPr>
                <w:rFonts w:cs="Times New Roman"/>
                <w:sz w:val="20"/>
                <w:szCs w:val="20"/>
              </w:rPr>
            </w:pPr>
            <w:hyperlink r:id="rId116" w:history="1">
              <w:r w:rsidR="00B417EE" w:rsidRPr="00982C2B">
                <w:rPr>
                  <w:rStyle w:val="Hyperlink"/>
                  <w:rFonts w:cs="Times New Roman"/>
                  <w:color w:val="0000FF"/>
                  <w:sz w:val="20"/>
                  <w:szCs w:val="20"/>
                </w:rPr>
                <w:t>http://canlii.ca/t/gm8f9</w:t>
              </w:r>
            </w:hyperlink>
          </w:p>
          <w:p w:rsidR="00B417EE" w:rsidRPr="00982C2B" w:rsidRDefault="00B417EE" w:rsidP="0052683C">
            <w:pPr>
              <w:jc w:val="both"/>
              <w:rPr>
                <w:rFonts w:cs="Times New Roman"/>
                <w:sz w:val="20"/>
                <w:szCs w:val="20"/>
              </w:rPr>
            </w:pPr>
          </w:p>
        </w:tc>
        <w:tc>
          <w:tcPr>
            <w:tcW w:w="630" w:type="dxa"/>
          </w:tcPr>
          <w:p w:rsidR="00B417EE" w:rsidRPr="00982C2B" w:rsidRDefault="00B417EE" w:rsidP="0052683C">
            <w:pPr>
              <w:pStyle w:val="SCCShortJudgment"/>
              <w:ind w:firstLine="0"/>
              <w:rPr>
                <w:rFonts w:cs="Times New Roman"/>
                <w:szCs w:val="20"/>
              </w:rPr>
            </w:pPr>
          </w:p>
        </w:tc>
        <w:tc>
          <w:tcPr>
            <w:tcW w:w="4536" w:type="dxa"/>
          </w:tcPr>
          <w:p w:rsidR="00B417EE" w:rsidRPr="00982C2B" w:rsidRDefault="00B417EE" w:rsidP="0052683C">
            <w:pPr>
              <w:jc w:val="both"/>
              <w:rPr>
                <w:rFonts w:cs="Times New Roman"/>
                <w:sz w:val="20"/>
                <w:szCs w:val="20"/>
              </w:rPr>
            </w:pPr>
            <w:r w:rsidRPr="00982C2B">
              <w:rPr>
                <w:rFonts w:cs="Times New Roman"/>
                <w:sz w:val="20"/>
                <w:szCs w:val="20"/>
              </w:rPr>
              <w:t>Appeal from acquittal allowed: acquittals set aside, new trial ordered</w:t>
            </w:r>
          </w:p>
        </w:tc>
      </w:tr>
      <w:tr w:rsidR="00B417EE" w:rsidRPr="00982C2B" w:rsidTr="0052683C">
        <w:trPr>
          <w:cantSplit/>
        </w:trPr>
        <w:tc>
          <w:tcPr>
            <w:tcW w:w="4410" w:type="dxa"/>
          </w:tcPr>
          <w:p w:rsidR="00B417EE" w:rsidRPr="00982C2B" w:rsidRDefault="00B417EE" w:rsidP="00B417EE">
            <w:pPr>
              <w:rPr>
                <w:rFonts w:cs="Times New Roman"/>
                <w:sz w:val="20"/>
                <w:szCs w:val="20"/>
              </w:rPr>
            </w:pPr>
            <w:r w:rsidRPr="00982C2B">
              <w:rPr>
                <w:rFonts w:cs="Times New Roman"/>
                <w:sz w:val="20"/>
                <w:szCs w:val="20"/>
              </w:rPr>
              <w:t>January 21, 2016</w:t>
            </w:r>
          </w:p>
          <w:p w:rsidR="00B417EE" w:rsidRPr="00982C2B" w:rsidRDefault="00B417EE" w:rsidP="00B417EE">
            <w:pPr>
              <w:rPr>
                <w:rFonts w:cs="Times New Roman"/>
                <w:sz w:val="20"/>
                <w:szCs w:val="20"/>
              </w:rPr>
            </w:pPr>
            <w:r w:rsidRPr="00982C2B">
              <w:rPr>
                <w:rFonts w:cs="Times New Roman"/>
                <w:sz w:val="20"/>
                <w:szCs w:val="20"/>
              </w:rPr>
              <w:t>Supreme Court of Canada</w:t>
            </w:r>
          </w:p>
          <w:p w:rsidR="00B417EE" w:rsidRPr="00982C2B" w:rsidRDefault="00B417EE" w:rsidP="0052683C">
            <w:pPr>
              <w:jc w:val="both"/>
              <w:rPr>
                <w:rFonts w:cs="Times New Roman"/>
                <w:sz w:val="20"/>
                <w:szCs w:val="20"/>
              </w:rPr>
            </w:pPr>
          </w:p>
        </w:tc>
        <w:tc>
          <w:tcPr>
            <w:tcW w:w="630" w:type="dxa"/>
          </w:tcPr>
          <w:p w:rsidR="00B417EE" w:rsidRPr="00982C2B" w:rsidRDefault="00B417EE" w:rsidP="0052683C">
            <w:pPr>
              <w:pStyle w:val="SCCShortJudgment"/>
              <w:ind w:firstLine="0"/>
              <w:rPr>
                <w:rFonts w:cs="Times New Roman"/>
                <w:szCs w:val="20"/>
              </w:rPr>
            </w:pPr>
          </w:p>
        </w:tc>
        <w:tc>
          <w:tcPr>
            <w:tcW w:w="4536" w:type="dxa"/>
          </w:tcPr>
          <w:p w:rsidR="00B417EE" w:rsidRPr="00982C2B" w:rsidRDefault="00B417EE" w:rsidP="00B417EE">
            <w:pPr>
              <w:rPr>
                <w:rFonts w:cs="Times New Roman"/>
                <w:sz w:val="20"/>
                <w:szCs w:val="20"/>
              </w:rPr>
            </w:pPr>
            <w:r w:rsidRPr="00982C2B">
              <w:rPr>
                <w:rFonts w:cs="Times New Roman"/>
                <w:sz w:val="20"/>
                <w:szCs w:val="20"/>
              </w:rPr>
              <w:t>Application for leave to appeal filed</w:t>
            </w:r>
          </w:p>
          <w:p w:rsidR="00B417EE" w:rsidRPr="00982C2B" w:rsidRDefault="00B417EE" w:rsidP="0052683C">
            <w:pPr>
              <w:jc w:val="both"/>
              <w:rPr>
                <w:rFonts w:cs="Times New Roman"/>
                <w:sz w:val="20"/>
                <w:szCs w:val="20"/>
              </w:rPr>
            </w:pPr>
          </w:p>
        </w:tc>
      </w:tr>
      <w:tr w:rsidR="00B417EE" w:rsidRPr="00982C2B" w:rsidTr="0052683C">
        <w:trPr>
          <w:cantSplit/>
        </w:trPr>
        <w:tc>
          <w:tcPr>
            <w:tcW w:w="9576" w:type="dxa"/>
            <w:gridSpan w:val="3"/>
          </w:tcPr>
          <w:p w:rsidR="00B417EE" w:rsidRPr="00982C2B" w:rsidRDefault="009F3029" w:rsidP="0052683C">
            <w:pPr>
              <w:pStyle w:val="SCCShortJudgment"/>
              <w:ind w:firstLine="0"/>
              <w:rPr>
                <w:rFonts w:cs="Times New Roman"/>
                <w:szCs w:val="20"/>
                <w:lang w:val="fr-CA"/>
              </w:rPr>
            </w:pPr>
            <w:r>
              <w:rPr>
                <w:rFonts w:cs="Times New Roman"/>
                <w:szCs w:val="20"/>
                <w:lang w:val="fr-CA"/>
              </w:rPr>
              <w:pict>
                <v:rect id="_x0000_i1089" style="width:2in;height:1pt" o:hrpct="0" o:hralign="center" o:hrstd="t" o:hrnoshade="t" o:hr="t" fillcolor="black [3213]" stroked="f"/>
              </w:pict>
            </w:r>
          </w:p>
          <w:p w:rsidR="00B417EE" w:rsidRPr="00982C2B" w:rsidRDefault="00B417EE" w:rsidP="0052683C">
            <w:pPr>
              <w:pStyle w:val="SCCShortJudgment"/>
              <w:ind w:firstLine="0"/>
              <w:rPr>
                <w:rFonts w:cs="Times New Roman"/>
                <w:szCs w:val="20"/>
                <w:lang w:val="fr-CA"/>
              </w:rPr>
            </w:pPr>
          </w:p>
        </w:tc>
      </w:tr>
      <w:tr w:rsidR="00B417EE" w:rsidRPr="00982C2B" w:rsidTr="0052683C">
        <w:trPr>
          <w:cantSplit/>
        </w:trPr>
        <w:tc>
          <w:tcPr>
            <w:tcW w:w="9576" w:type="dxa"/>
            <w:gridSpan w:val="3"/>
          </w:tcPr>
          <w:p w:rsidR="00B417EE" w:rsidRPr="00982C2B" w:rsidRDefault="00B417EE" w:rsidP="0052683C">
            <w:pPr>
              <w:pStyle w:val="SCCShortJudgment"/>
              <w:ind w:firstLine="0"/>
              <w:rPr>
                <w:rFonts w:cs="Times New Roman"/>
                <w:szCs w:val="20"/>
                <w:u w:val="single"/>
                <w:lang w:val="fr-CA"/>
              </w:rPr>
            </w:pPr>
            <w:r w:rsidRPr="00982C2B">
              <w:rPr>
                <w:rFonts w:cs="Times New Roman"/>
                <w:szCs w:val="20"/>
                <w:u w:val="single"/>
                <w:lang w:val="fr-CA"/>
              </w:rPr>
              <w:t>RÉSUMÉ DE L’AFFAIRE </w:t>
            </w:r>
          </w:p>
          <w:p w:rsidR="00B417EE" w:rsidRPr="00982C2B" w:rsidRDefault="00B417EE" w:rsidP="0052683C">
            <w:pPr>
              <w:pStyle w:val="SCCShortJudgment"/>
              <w:ind w:firstLine="0"/>
              <w:rPr>
                <w:rFonts w:cs="Times New Roman"/>
                <w:szCs w:val="20"/>
                <w:u w:val="single"/>
                <w:lang w:val="fr-CA"/>
              </w:rPr>
            </w:pPr>
          </w:p>
        </w:tc>
      </w:tr>
      <w:tr w:rsidR="00B417EE" w:rsidRPr="009F3029" w:rsidTr="0052683C">
        <w:trPr>
          <w:cantSplit/>
        </w:trPr>
        <w:tc>
          <w:tcPr>
            <w:tcW w:w="9576" w:type="dxa"/>
            <w:gridSpan w:val="3"/>
          </w:tcPr>
          <w:p w:rsidR="00B417EE" w:rsidRPr="00982C2B" w:rsidRDefault="00B417EE" w:rsidP="00B417EE">
            <w:pPr>
              <w:pStyle w:val="SCCShortJudgment"/>
              <w:ind w:firstLine="0"/>
              <w:rPr>
                <w:rFonts w:cs="Times New Roman"/>
                <w:szCs w:val="20"/>
                <w:lang w:val="fr-CA"/>
              </w:rPr>
            </w:pPr>
            <w:r w:rsidRPr="00982C2B">
              <w:rPr>
                <w:rFonts w:cs="Times New Roman"/>
                <w:i/>
                <w:szCs w:val="20"/>
                <w:lang w:val="fr-CA"/>
              </w:rPr>
              <w:t xml:space="preserve">Charte des droits </w:t>
            </w:r>
            <w:r w:rsidRPr="00982C2B">
              <w:rPr>
                <w:rFonts w:cs="Times New Roman"/>
                <w:szCs w:val="20"/>
                <w:lang w:val="fr-CA"/>
              </w:rPr>
              <w:t xml:space="preserve">— Fouilles et perquisitions — Droit criminel — Télémandat — À quel point l’aide qu’un juge fournit à un policier qui demande une autorisation </w:t>
            </w:r>
            <w:r w:rsidRPr="00982C2B">
              <w:rPr>
                <w:rFonts w:cs="Times New Roman"/>
                <w:i/>
                <w:szCs w:val="20"/>
                <w:lang w:val="fr-CA"/>
              </w:rPr>
              <w:t xml:space="preserve">ex parte </w:t>
            </w:r>
            <w:r w:rsidRPr="00982C2B">
              <w:rPr>
                <w:rFonts w:cs="Times New Roman"/>
                <w:szCs w:val="20"/>
                <w:lang w:val="fr-CA"/>
              </w:rPr>
              <w:t>devient-elle inopportune? — Quel est le critère pour conclure à l’absence de preuve au soutien d’une inférence? — Que signifie l’expression « peu commode » dans le contexte de l’al. 487.1(4)a) du</w:t>
            </w:r>
            <w:r w:rsidRPr="00982C2B">
              <w:rPr>
                <w:rFonts w:cs="Times New Roman"/>
                <w:i/>
                <w:szCs w:val="20"/>
                <w:lang w:val="fr-CA"/>
              </w:rPr>
              <w:t xml:space="preserve"> Code criminel</w:t>
            </w:r>
            <w:r w:rsidRPr="00982C2B">
              <w:rPr>
                <w:rFonts w:cs="Times New Roman"/>
                <w:szCs w:val="20"/>
                <w:lang w:val="fr-CA"/>
              </w:rPr>
              <w:t>?</w:t>
            </w:r>
            <w:r w:rsidRPr="00982C2B">
              <w:rPr>
                <w:rFonts w:cs="Times New Roman"/>
                <w:i/>
                <w:szCs w:val="20"/>
                <w:lang w:val="fr-CA"/>
              </w:rPr>
              <w:t xml:space="preserve"> </w:t>
            </w:r>
            <w:r w:rsidRPr="00982C2B">
              <w:rPr>
                <w:rFonts w:cs="Times New Roman"/>
                <w:szCs w:val="20"/>
                <w:lang w:val="fr-CA"/>
              </w:rPr>
              <w:t xml:space="preserve">— La conclusion du juge de première instance sur la question de savoir si une dénonciation pour obtenir un télémandat renferme suffisamment de renseignements pour satisfaire au critère de ce qui est « peu commode » est-elle une conclusion de fait ou une question de droit seulement à partir de laquelle le ministère public peut interjeter appel d’un acquittement? — Art. 8 et 24(2) de la </w:t>
            </w:r>
            <w:r w:rsidRPr="00982C2B">
              <w:rPr>
                <w:rFonts w:cs="Times New Roman"/>
                <w:i/>
                <w:szCs w:val="20"/>
                <w:lang w:val="fr-CA"/>
              </w:rPr>
              <w:t>Charte</w:t>
            </w:r>
            <w:r w:rsidRPr="00982C2B">
              <w:rPr>
                <w:rFonts w:cs="Times New Roman"/>
                <w:szCs w:val="20"/>
                <w:lang w:val="fr-CA"/>
              </w:rPr>
              <w:t>.</w:t>
            </w:r>
          </w:p>
          <w:p w:rsidR="00B417EE" w:rsidRPr="00982C2B" w:rsidRDefault="00B417EE" w:rsidP="00B417EE">
            <w:pPr>
              <w:pStyle w:val="SCCShortJudgment"/>
              <w:ind w:firstLine="0"/>
              <w:rPr>
                <w:rFonts w:cs="Times New Roman"/>
                <w:szCs w:val="20"/>
                <w:u w:val="single"/>
                <w:lang w:val="fr-CA"/>
              </w:rPr>
            </w:pPr>
          </w:p>
        </w:tc>
      </w:tr>
      <w:tr w:rsidR="00B417EE" w:rsidRPr="009F3029" w:rsidTr="0052683C">
        <w:trPr>
          <w:cantSplit/>
        </w:trPr>
        <w:tc>
          <w:tcPr>
            <w:tcW w:w="9576" w:type="dxa"/>
            <w:gridSpan w:val="3"/>
          </w:tcPr>
          <w:p w:rsidR="00B417EE" w:rsidRPr="00982C2B" w:rsidRDefault="00B417EE" w:rsidP="00B417EE">
            <w:pPr>
              <w:jc w:val="both"/>
              <w:rPr>
                <w:rFonts w:cs="Times New Roman"/>
                <w:sz w:val="20"/>
                <w:szCs w:val="20"/>
                <w:u w:val="single"/>
                <w:lang w:val="fr-CA"/>
              </w:rPr>
            </w:pPr>
            <w:r w:rsidRPr="00982C2B">
              <w:rPr>
                <w:rFonts w:cs="Times New Roman"/>
                <w:sz w:val="20"/>
                <w:szCs w:val="20"/>
                <w:lang w:val="fr-CA"/>
              </w:rPr>
              <w:t xml:space="preserve">Au petit matin du vendredi 23 décembre 2011, un agent de la Gendarmerie royale du Canada a obtenu un télémandat pour enquêter sur le vol d’électricité à une maison d’habitation située près de Kelowna (Colombie-Britannique). Au cours de l’exécution de ce mandat, les policiers ont découvert, en plus d’un dispositif de détournement d’électricité, une importante activité de culture de marihuana. Le demandeur, qui se trouvait à l’intérieur de la maison lorsque les policiers sont arrivés, a été accusé de production de marihuana, de possession de marihuana en vue d’en faire le trafic et de vol d’électricité. Dans son jugement, le juge du procès a conclu que le télémandat était invalide parce que le juge de paix avait aidé le policier à préparer sa dénonciation pour l’obtenir. Le juge a également conclu que parce que le télémandat était invalide, son exécution violait le droit que l’art. 8 la </w:t>
            </w:r>
            <w:r w:rsidRPr="00982C2B">
              <w:rPr>
                <w:rFonts w:cs="Times New Roman"/>
                <w:i/>
                <w:sz w:val="20"/>
                <w:szCs w:val="20"/>
                <w:lang w:val="fr-CA"/>
              </w:rPr>
              <w:t>Charte</w:t>
            </w:r>
            <w:r w:rsidRPr="00982C2B">
              <w:rPr>
                <w:rFonts w:cs="Times New Roman"/>
                <w:sz w:val="20"/>
                <w:szCs w:val="20"/>
                <w:lang w:val="fr-CA"/>
              </w:rPr>
              <w:t xml:space="preserve"> garantit au demandeur à la protection contre les fouilles, les perquisitions et les saisies abusives, et que l’admission de la preuve de la drogue et d’autres articles saisis par les policiers était susceptible de déconsidérer l’administration de la justice. La Cour d’appel a statué que le télémandat avait été décerné régulièrement et que la décision du juge du procès d’exclure la preuve présentée par le ministère public ne pouvait pas être maintenue. La Cour d’appel a accueilli l’appel et a ordonné la tenue d’un nouveau procès</w:t>
            </w:r>
            <w:r w:rsidRPr="00982C2B">
              <w:rPr>
                <w:rFonts w:cs="Times New Roman"/>
                <w:iCs/>
                <w:sz w:val="20"/>
                <w:szCs w:val="20"/>
                <w:lang w:val="fr-CA"/>
              </w:rPr>
              <w:t>. </w:t>
            </w:r>
          </w:p>
        </w:tc>
      </w:tr>
      <w:tr w:rsidR="00B417EE" w:rsidRPr="009F3029" w:rsidTr="0052683C">
        <w:trPr>
          <w:cantSplit/>
        </w:trPr>
        <w:tc>
          <w:tcPr>
            <w:tcW w:w="9576" w:type="dxa"/>
            <w:gridSpan w:val="3"/>
          </w:tcPr>
          <w:p w:rsidR="00B417EE" w:rsidRPr="00982C2B" w:rsidRDefault="00B417EE" w:rsidP="00B417EE">
            <w:pPr>
              <w:pStyle w:val="SCCShortJudgment"/>
              <w:ind w:firstLine="0"/>
              <w:rPr>
                <w:rFonts w:cs="Times New Roman"/>
                <w:szCs w:val="20"/>
                <w:u w:val="single"/>
                <w:lang w:val="fr-CA"/>
              </w:rPr>
            </w:pPr>
          </w:p>
        </w:tc>
      </w:tr>
      <w:tr w:rsidR="00B417EE" w:rsidRPr="009F3029" w:rsidTr="0052683C">
        <w:trPr>
          <w:cantSplit/>
        </w:trPr>
        <w:tc>
          <w:tcPr>
            <w:tcW w:w="4410"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23 octobre 2014</w:t>
            </w:r>
          </w:p>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Cour suprême de la Colombie-Britannique </w:t>
            </w:r>
          </w:p>
          <w:p w:rsidR="00B417EE" w:rsidRPr="00982C2B" w:rsidRDefault="00B417EE" w:rsidP="00B417EE">
            <w:pPr>
              <w:jc w:val="both"/>
              <w:rPr>
                <w:rFonts w:cs="Times New Roman"/>
                <w:sz w:val="20"/>
                <w:szCs w:val="20"/>
                <w:lang w:val="en-US"/>
              </w:rPr>
            </w:pPr>
            <w:r w:rsidRPr="00982C2B">
              <w:rPr>
                <w:rFonts w:cs="Times New Roman"/>
                <w:sz w:val="20"/>
                <w:szCs w:val="20"/>
                <w:lang w:val="en-US"/>
              </w:rPr>
              <w:t>(Juge Weatherill)</w:t>
            </w:r>
          </w:p>
          <w:p w:rsidR="00B417EE" w:rsidRPr="00982C2B" w:rsidRDefault="00B417EE" w:rsidP="00B417EE">
            <w:pPr>
              <w:jc w:val="both"/>
              <w:rPr>
                <w:rFonts w:cs="Times New Roman"/>
                <w:sz w:val="20"/>
                <w:szCs w:val="20"/>
                <w:lang w:val="en-US"/>
              </w:rPr>
            </w:pPr>
            <w:r w:rsidRPr="00982C2B">
              <w:rPr>
                <w:rFonts w:cs="Times New Roman"/>
                <w:sz w:val="20"/>
                <w:szCs w:val="20"/>
                <w:lang w:val="en-US"/>
              </w:rPr>
              <w:t>2014 BCSC 1988</w:t>
            </w:r>
          </w:p>
          <w:p w:rsidR="00B417EE" w:rsidRPr="00982C2B" w:rsidRDefault="009F3029" w:rsidP="00B417EE">
            <w:pPr>
              <w:jc w:val="both"/>
              <w:rPr>
                <w:rFonts w:cs="Times New Roman"/>
                <w:sz w:val="20"/>
                <w:szCs w:val="20"/>
                <w:lang w:val="en-US"/>
              </w:rPr>
            </w:pPr>
            <w:hyperlink r:id="rId117" w:history="1">
              <w:r w:rsidR="00B417EE" w:rsidRPr="00982C2B">
                <w:rPr>
                  <w:rStyle w:val="Hyperlink"/>
                  <w:rFonts w:cs="Times New Roman"/>
                  <w:color w:val="0000FF"/>
                  <w:sz w:val="20"/>
                  <w:szCs w:val="20"/>
                  <w:lang w:val="en-US"/>
                </w:rPr>
                <w:t>http://canlii.ca/t/gf2bg</w:t>
              </w:r>
            </w:hyperlink>
          </w:p>
          <w:p w:rsidR="00B417EE" w:rsidRPr="00982C2B" w:rsidRDefault="00B417EE" w:rsidP="00B417EE">
            <w:pPr>
              <w:pStyle w:val="SCCShortJudgment"/>
              <w:rPr>
                <w:rFonts w:cs="Times New Roman"/>
                <w:szCs w:val="20"/>
                <w:u w:val="single"/>
                <w:lang w:val="en-US"/>
              </w:rPr>
            </w:pPr>
          </w:p>
        </w:tc>
        <w:tc>
          <w:tcPr>
            <w:tcW w:w="630" w:type="dxa"/>
          </w:tcPr>
          <w:p w:rsidR="00B417EE" w:rsidRPr="00982C2B" w:rsidRDefault="00B417EE" w:rsidP="00B417EE">
            <w:pPr>
              <w:pStyle w:val="SCCShortJudgment"/>
              <w:ind w:firstLine="0"/>
              <w:rPr>
                <w:rFonts w:cs="Times New Roman"/>
                <w:szCs w:val="20"/>
                <w:u w:val="single"/>
              </w:rPr>
            </w:pPr>
          </w:p>
        </w:tc>
        <w:tc>
          <w:tcPr>
            <w:tcW w:w="4536"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Jugement au terme d’un voir-dire excluant la preuve en application du par. 24(2) de la </w:t>
            </w:r>
            <w:r w:rsidRPr="00982C2B">
              <w:rPr>
                <w:rFonts w:cs="Times New Roman"/>
                <w:i/>
                <w:sz w:val="20"/>
                <w:szCs w:val="20"/>
                <w:lang w:val="fr-CA"/>
              </w:rPr>
              <w:t>Charte</w:t>
            </w:r>
            <w:r w:rsidRPr="00982C2B">
              <w:rPr>
                <w:rFonts w:cs="Times New Roman"/>
                <w:sz w:val="20"/>
                <w:szCs w:val="20"/>
                <w:lang w:val="fr-CA"/>
              </w:rPr>
              <w:t>; verdict d’acquittement</w:t>
            </w:r>
          </w:p>
          <w:p w:rsidR="00B417EE" w:rsidRPr="00982C2B" w:rsidRDefault="00B417EE" w:rsidP="00B417EE">
            <w:pPr>
              <w:pStyle w:val="SCCShortJudgment"/>
              <w:ind w:firstLine="0"/>
              <w:rPr>
                <w:rFonts w:cs="Times New Roman"/>
                <w:szCs w:val="20"/>
                <w:u w:val="single"/>
                <w:lang w:val="fr-CA"/>
              </w:rPr>
            </w:pPr>
          </w:p>
        </w:tc>
      </w:tr>
      <w:tr w:rsidR="00B417EE" w:rsidRPr="009F3029" w:rsidTr="0052683C">
        <w:trPr>
          <w:cantSplit/>
        </w:trPr>
        <w:tc>
          <w:tcPr>
            <w:tcW w:w="4410"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26 novembre 2015</w:t>
            </w:r>
          </w:p>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Cour d’appel de la Colombie-Britannique </w:t>
            </w:r>
          </w:p>
          <w:p w:rsidR="00B417EE" w:rsidRPr="00982C2B" w:rsidRDefault="00B417EE" w:rsidP="00B417EE">
            <w:pPr>
              <w:jc w:val="both"/>
              <w:rPr>
                <w:rFonts w:cs="Times New Roman"/>
                <w:sz w:val="20"/>
                <w:szCs w:val="20"/>
                <w:lang w:val="fr-CA"/>
              </w:rPr>
            </w:pPr>
            <w:r w:rsidRPr="00982C2B">
              <w:rPr>
                <w:rFonts w:cs="Times New Roman"/>
                <w:sz w:val="20"/>
                <w:szCs w:val="20"/>
                <w:lang w:val="fr-CA"/>
              </w:rPr>
              <w:t>(Vancouver)</w:t>
            </w:r>
          </w:p>
          <w:p w:rsidR="00B417EE" w:rsidRPr="00982C2B" w:rsidRDefault="00B417EE" w:rsidP="00B417EE">
            <w:pPr>
              <w:jc w:val="both"/>
              <w:rPr>
                <w:rFonts w:cs="Times New Roman"/>
                <w:sz w:val="20"/>
                <w:szCs w:val="20"/>
                <w:lang w:val="fr-CA"/>
              </w:rPr>
            </w:pPr>
            <w:r w:rsidRPr="00982C2B">
              <w:rPr>
                <w:rFonts w:cs="Times New Roman"/>
                <w:sz w:val="20"/>
                <w:szCs w:val="20"/>
                <w:lang w:val="fr-CA"/>
              </w:rPr>
              <w:t>(Juges Frankel, Tysoe et Willcock)</w:t>
            </w:r>
          </w:p>
          <w:p w:rsidR="00B417EE" w:rsidRPr="00982C2B" w:rsidRDefault="00B417EE" w:rsidP="00B417EE">
            <w:pPr>
              <w:jc w:val="both"/>
              <w:rPr>
                <w:rFonts w:cs="Times New Roman"/>
                <w:sz w:val="20"/>
                <w:szCs w:val="20"/>
                <w:lang w:val="en-US"/>
              </w:rPr>
            </w:pPr>
            <w:r w:rsidRPr="00982C2B">
              <w:rPr>
                <w:rFonts w:cs="Times New Roman"/>
                <w:sz w:val="20"/>
                <w:szCs w:val="20"/>
                <w:lang w:val="en-US"/>
              </w:rPr>
              <w:t>2015 BCCA 488; CA42360</w:t>
            </w:r>
          </w:p>
          <w:p w:rsidR="00B417EE" w:rsidRPr="00982C2B" w:rsidRDefault="009F3029" w:rsidP="00B417EE">
            <w:pPr>
              <w:jc w:val="both"/>
              <w:rPr>
                <w:rFonts w:cs="Times New Roman"/>
                <w:sz w:val="20"/>
                <w:szCs w:val="20"/>
                <w:lang w:val="en-US"/>
              </w:rPr>
            </w:pPr>
            <w:hyperlink r:id="rId118" w:history="1">
              <w:r w:rsidR="00B417EE" w:rsidRPr="00982C2B">
                <w:rPr>
                  <w:rStyle w:val="Hyperlink"/>
                  <w:rFonts w:cs="Times New Roman"/>
                  <w:color w:val="0000FF"/>
                  <w:sz w:val="20"/>
                  <w:szCs w:val="20"/>
                  <w:lang w:val="en-US"/>
                </w:rPr>
                <w:t>http://canlii.ca/t/gm8f9</w:t>
              </w:r>
            </w:hyperlink>
          </w:p>
          <w:p w:rsidR="00B417EE" w:rsidRPr="00982C2B" w:rsidRDefault="00B417EE" w:rsidP="00B417EE">
            <w:pPr>
              <w:pStyle w:val="SCCShortJudgment"/>
              <w:ind w:firstLine="0"/>
              <w:rPr>
                <w:rFonts w:cs="Times New Roman"/>
                <w:szCs w:val="20"/>
                <w:u w:val="single"/>
                <w:lang w:val="en-US"/>
              </w:rPr>
            </w:pPr>
          </w:p>
        </w:tc>
        <w:tc>
          <w:tcPr>
            <w:tcW w:w="630" w:type="dxa"/>
          </w:tcPr>
          <w:p w:rsidR="00B417EE" w:rsidRPr="00982C2B" w:rsidRDefault="00B417EE" w:rsidP="00B417EE">
            <w:pPr>
              <w:pStyle w:val="SCCShortJudgment"/>
              <w:ind w:firstLine="0"/>
              <w:rPr>
                <w:rFonts w:cs="Times New Roman"/>
                <w:szCs w:val="20"/>
                <w:u w:val="single"/>
              </w:rPr>
            </w:pPr>
          </w:p>
        </w:tc>
        <w:tc>
          <w:tcPr>
            <w:tcW w:w="4536" w:type="dxa"/>
          </w:tcPr>
          <w:p w:rsidR="00B417EE" w:rsidRPr="00982C2B" w:rsidRDefault="00B417EE" w:rsidP="00B417EE">
            <w:pPr>
              <w:pStyle w:val="SCCShortJudgment"/>
              <w:ind w:firstLine="0"/>
              <w:rPr>
                <w:rFonts w:cs="Times New Roman"/>
                <w:szCs w:val="20"/>
                <w:u w:val="single"/>
                <w:lang w:val="fr-CA"/>
              </w:rPr>
            </w:pPr>
            <w:r w:rsidRPr="00982C2B">
              <w:rPr>
                <w:rFonts w:cs="Times New Roman"/>
                <w:szCs w:val="20"/>
                <w:lang w:val="fr-CA"/>
              </w:rPr>
              <w:t>Arrêt accueillant l’appel de l’acquittement, annulant les acquittements et ordonnant la tenue d’un nouveau procès</w:t>
            </w:r>
          </w:p>
        </w:tc>
      </w:tr>
      <w:tr w:rsidR="00B417EE" w:rsidRPr="009F3029" w:rsidTr="0052683C">
        <w:trPr>
          <w:cantSplit/>
        </w:trPr>
        <w:tc>
          <w:tcPr>
            <w:tcW w:w="4410"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21 janvier 2016</w:t>
            </w:r>
          </w:p>
          <w:p w:rsidR="00B417EE" w:rsidRPr="00982C2B" w:rsidRDefault="00B417EE" w:rsidP="00B417EE">
            <w:pPr>
              <w:jc w:val="both"/>
              <w:rPr>
                <w:rFonts w:cs="Times New Roman"/>
                <w:sz w:val="20"/>
                <w:szCs w:val="20"/>
                <w:lang w:val="fr-CA"/>
              </w:rPr>
            </w:pPr>
            <w:r w:rsidRPr="00982C2B">
              <w:rPr>
                <w:rFonts w:cs="Times New Roman"/>
                <w:sz w:val="20"/>
                <w:szCs w:val="20"/>
                <w:lang w:val="fr-CA"/>
              </w:rPr>
              <w:t>Cour suprême du Canada</w:t>
            </w:r>
          </w:p>
          <w:p w:rsidR="00B417EE" w:rsidRPr="00982C2B" w:rsidRDefault="00B417EE" w:rsidP="00B417EE">
            <w:pPr>
              <w:pStyle w:val="SCCShortJudgment"/>
              <w:ind w:firstLine="0"/>
              <w:rPr>
                <w:rFonts w:cs="Times New Roman"/>
                <w:szCs w:val="20"/>
                <w:u w:val="single"/>
                <w:lang w:val="fr-CA"/>
              </w:rPr>
            </w:pPr>
          </w:p>
        </w:tc>
        <w:tc>
          <w:tcPr>
            <w:tcW w:w="630" w:type="dxa"/>
          </w:tcPr>
          <w:p w:rsidR="00B417EE" w:rsidRPr="00982C2B" w:rsidRDefault="00B417EE" w:rsidP="00B417EE">
            <w:pPr>
              <w:pStyle w:val="SCCShortJudgment"/>
              <w:ind w:firstLine="0"/>
              <w:rPr>
                <w:rFonts w:cs="Times New Roman"/>
                <w:szCs w:val="20"/>
                <w:u w:val="single"/>
                <w:lang w:val="fr-CA"/>
              </w:rPr>
            </w:pPr>
          </w:p>
        </w:tc>
        <w:tc>
          <w:tcPr>
            <w:tcW w:w="4536"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Dépôt de la demande d’autorisation d’appel</w:t>
            </w:r>
          </w:p>
          <w:p w:rsidR="00B417EE" w:rsidRPr="00982C2B" w:rsidRDefault="00B417EE" w:rsidP="00B417EE">
            <w:pPr>
              <w:pStyle w:val="SCCShortJudgment"/>
              <w:ind w:firstLine="0"/>
              <w:rPr>
                <w:rFonts w:cs="Times New Roman"/>
                <w:szCs w:val="20"/>
                <w:u w:val="single"/>
                <w:lang w:val="fr-CA"/>
              </w:rPr>
            </w:pPr>
          </w:p>
        </w:tc>
      </w:tr>
    </w:tbl>
    <w:p w:rsidR="006A1666" w:rsidRPr="00982C2B" w:rsidRDefault="009F3029" w:rsidP="006A1666">
      <w:pPr>
        <w:jc w:val="both"/>
        <w:rPr>
          <w:rFonts w:cs="Times New Roman"/>
          <w:sz w:val="20"/>
          <w:szCs w:val="20"/>
          <w:lang w:val="fr-CA"/>
        </w:rPr>
      </w:pPr>
      <w:r>
        <w:rPr>
          <w:rFonts w:cs="Times New Roman"/>
          <w:sz w:val="20"/>
          <w:szCs w:val="20"/>
          <w:lang w:val="fr-CA"/>
        </w:rPr>
        <w:pict>
          <v:rect id="_x0000_i1090" style="width:2in;height:1pt" o:hrpct="0" o:hralign="center" o:hrstd="t" o:hrnoshade="t" o:hr="t" fillcolor="black [3213]" stroked="f"/>
        </w:pict>
      </w:r>
    </w:p>
    <w:p w:rsidR="006A1666" w:rsidRPr="00982C2B" w:rsidRDefault="006A1666" w:rsidP="006A1666">
      <w:pPr>
        <w:jc w:val="both"/>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417EE" w:rsidRPr="00982C2B" w:rsidTr="00B417EE">
        <w:trPr>
          <w:cantSplit/>
        </w:trPr>
        <w:tc>
          <w:tcPr>
            <w:tcW w:w="1458" w:type="dxa"/>
          </w:tcPr>
          <w:p w:rsidR="00B417EE" w:rsidRPr="00982C2B" w:rsidRDefault="00B417EE" w:rsidP="0052683C">
            <w:pPr>
              <w:jc w:val="both"/>
              <w:rPr>
                <w:rFonts w:cs="Times New Roman"/>
                <w:sz w:val="20"/>
                <w:szCs w:val="20"/>
              </w:rPr>
            </w:pPr>
            <w:r w:rsidRPr="00982C2B">
              <w:rPr>
                <w:rStyle w:val="SCCFileNumberChar"/>
                <w:sz w:val="20"/>
                <w:szCs w:val="20"/>
              </w:rPr>
              <w:t>36815</w:t>
            </w:r>
          </w:p>
          <w:p w:rsidR="00B417EE" w:rsidRPr="00982C2B" w:rsidRDefault="00B417EE" w:rsidP="0052683C">
            <w:pPr>
              <w:jc w:val="both"/>
              <w:rPr>
                <w:rFonts w:cs="Times New Roman"/>
                <w:b/>
                <w:sz w:val="20"/>
                <w:szCs w:val="20"/>
              </w:rPr>
            </w:pPr>
          </w:p>
        </w:tc>
        <w:tc>
          <w:tcPr>
            <w:tcW w:w="8118" w:type="dxa"/>
            <w:gridSpan w:val="3"/>
          </w:tcPr>
          <w:p w:rsidR="00B417EE" w:rsidRPr="00982C2B" w:rsidRDefault="00B417EE" w:rsidP="00B417EE">
            <w:pPr>
              <w:jc w:val="both"/>
              <w:rPr>
                <w:rFonts w:cs="Times New Roman"/>
                <w:sz w:val="20"/>
                <w:szCs w:val="20"/>
              </w:rPr>
            </w:pPr>
            <w:r w:rsidRPr="00982C2B">
              <w:rPr>
                <w:rStyle w:val="SCCLsocChar"/>
                <w:rFonts w:cs="Times New Roman"/>
                <w:sz w:val="20"/>
                <w:szCs w:val="20"/>
                <w:lang w:val="en-CA"/>
              </w:rPr>
              <w:t>Stefan Mark Gerard Tibbo Lenoski, also known as Mark Tibbo-Lenoski, also known as Mark Tibbo, also known as Mark Gerard Tibbo Lenoski v. Martha Hernandez Solis</w:t>
            </w:r>
            <w:r w:rsidRPr="00982C2B">
              <w:rPr>
                <w:rStyle w:val="SCCLsocChar"/>
                <w:rFonts w:cs="Times New Roman"/>
                <w:sz w:val="20"/>
                <w:szCs w:val="20"/>
                <w:u w:val="none"/>
                <w:lang w:val="en-CA"/>
              </w:rPr>
              <w:t xml:space="preserve"> </w:t>
            </w:r>
            <w:r w:rsidRPr="00982C2B">
              <w:rPr>
                <w:rFonts w:cs="Times New Roman"/>
                <w:sz w:val="20"/>
                <w:szCs w:val="20"/>
              </w:rPr>
              <w:t>(</w:t>
            </w:r>
            <w:r w:rsidR="00EA3E46" w:rsidRPr="00982C2B">
              <w:rPr>
                <w:rFonts w:cs="Times New Roman"/>
                <w:sz w:val="20"/>
                <w:szCs w:val="20"/>
              </w:rPr>
              <w:t>B.C.</w:t>
            </w:r>
            <w:r w:rsidRPr="00982C2B">
              <w:rPr>
                <w:rFonts w:cs="Times New Roman"/>
                <w:sz w:val="20"/>
                <w:szCs w:val="20"/>
              </w:rPr>
              <w:t>) (Civil) (By Leave)</w:t>
            </w:r>
          </w:p>
          <w:p w:rsidR="00B417EE" w:rsidRPr="00982C2B" w:rsidRDefault="00B417EE" w:rsidP="0052683C">
            <w:pPr>
              <w:jc w:val="both"/>
              <w:rPr>
                <w:rFonts w:cs="Times New Roman"/>
                <w:sz w:val="20"/>
                <w:szCs w:val="20"/>
              </w:rPr>
            </w:pPr>
          </w:p>
        </w:tc>
      </w:tr>
      <w:tr w:rsidR="00B417EE" w:rsidRPr="00982C2B" w:rsidTr="00B417EE">
        <w:trPr>
          <w:cantSplit/>
        </w:trPr>
        <w:tc>
          <w:tcPr>
            <w:tcW w:w="1458" w:type="dxa"/>
          </w:tcPr>
          <w:p w:rsidR="00B417EE" w:rsidRPr="00982C2B" w:rsidRDefault="00B417EE" w:rsidP="0052683C">
            <w:pPr>
              <w:jc w:val="both"/>
              <w:rPr>
                <w:rFonts w:cs="Times New Roman"/>
                <w:sz w:val="20"/>
                <w:szCs w:val="20"/>
              </w:rPr>
            </w:pPr>
            <w:r w:rsidRPr="00982C2B">
              <w:rPr>
                <w:rFonts w:cs="Times New Roman"/>
                <w:sz w:val="20"/>
                <w:szCs w:val="20"/>
              </w:rPr>
              <w:t>Coram :</w:t>
            </w:r>
          </w:p>
        </w:tc>
        <w:tc>
          <w:tcPr>
            <w:tcW w:w="8118" w:type="dxa"/>
            <w:gridSpan w:val="3"/>
          </w:tcPr>
          <w:p w:rsidR="00B417EE" w:rsidRPr="00982C2B" w:rsidRDefault="00B417EE" w:rsidP="0052683C">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B417EE" w:rsidRPr="00982C2B" w:rsidRDefault="00B417EE" w:rsidP="0052683C">
            <w:pPr>
              <w:jc w:val="both"/>
              <w:rPr>
                <w:rFonts w:cs="Times New Roman"/>
                <w:sz w:val="20"/>
                <w:szCs w:val="20"/>
                <w:u w:val="single"/>
              </w:rPr>
            </w:pPr>
          </w:p>
        </w:tc>
      </w:tr>
      <w:tr w:rsidR="00B417EE" w:rsidRPr="009F3029" w:rsidTr="006D5029">
        <w:tc>
          <w:tcPr>
            <w:tcW w:w="9576" w:type="dxa"/>
            <w:gridSpan w:val="4"/>
          </w:tcPr>
          <w:p w:rsidR="00B417EE" w:rsidRPr="00982C2B" w:rsidRDefault="00B417EE" w:rsidP="0052683C">
            <w:pPr>
              <w:pStyle w:val="SCCShortJudgment"/>
              <w:ind w:firstLine="0"/>
              <w:rPr>
                <w:rFonts w:cs="Times New Roman"/>
                <w:szCs w:val="20"/>
              </w:rPr>
            </w:pPr>
            <w:r w:rsidRPr="00982C2B">
              <w:rPr>
                <w:rFonts w:cs="Times New Roman"/>
                <w:szCs w:val="20"/>
              </w:rPr>
              <w:tab/>
              <w:t>The respondent’s motion to expedite the application for leave to appeal is granted. The application for leave to appeal from the judgment of the Court of Appeal for British Columbia (Vancouver), Number CA43039, 2015, BCCA 508, dated December 8, 2015, is dismissed with costs.</w:t>
            </w:r>
          </w:p>
          <w:p w:rsidR="00B417EE" w:rsidRPr="00982C2B" w:rsidRDefault="00B417EE" w:rsidP="0052683C">
            <w:pPr>
              <w:pStyle w:val="SCCShortJudgment"/>
              <w:ind w:firstLine="0"/>
              <w:rPr>
                <w:rFonts w:cs="Times New Roman"/>
                <w:szCs w:val="20"/>
              </w:rPr>
            </w:pPr>
          </w:p>
          <w:p w:rsidR="00B417EE" w:rsidRPr="00982C2B" w:rsidRDefault="00B417EE" w:rsidP="00B417EE">
            <w:pPr>
              <w:jc w:val="both"/>
              <w:rPr>
                <w:rFonts w:cs="Times New Roman"/>
                <w:sz w:val="20"/>
                <w:szCs w:val="20"/>
                <w:lang w:val="fr-CA"/>
              </w:rPr>
            </w:pPr>
            <w:r w:rsidRPr="00982C2B">
              <w:rPr>
                <w:rFonts w:cs="Times New Roman"/>
                <w:sz w:val="20"/>
                <w:szCs w:val="20"/>
              </w:rPr>
              <w:tab/>
            </w:r>
            <w:r w:rsidRPr="00982C2B">
              <w:rPr>
                <w:rFonts w:cs="Times New Roman"/>
                <w:sz w:val="20"/>
                <w:szCs w:val="20"/>
                <w:lang w:val="fr-CA"/>
              </w:rPr>
              <w:t xml:space="preserve">La requête de l’intimée visant le traitement accéléré de la demande d’autorisation d’appel est accueillie.  La demande d’autorisation d’appel de l’arrêt de la </w:t>
            </w:r>
            <w:r w:rsidRPr="00982C2B">
              <w:rPr>
                <w:rFonts w:cs="Times New Roman"/>
                <w:sz w:val="20"/>
                <w:szCs w:val="20"/>
                <w:lang w:val="fr-FR"/>
              </w:rPr>
              <w:t>Cour d’appel de la Colombie-Britannique (Vancouver)</w:t>
            </w:r>
            <w:r w:rsidRPr="00982C2B">
              <w:rPr>
                <w:rFonts w:cs="Times New Roman"/>
                <w:sz w:val="20"/>
                <w:szCs w:val="20"/>
                <w:lang w:val="fr-CA"/>
              </w:rPr>
              <w:t xml:space="preserve">, numéro </w:t>
            </w:r>
            <w:r w:rsidRPr="00982C2B">
              <w:rPr>
                <w:rFonts w:cs="Times New Roman"/>
                <w:sz w:val="20"/>
                <w:szCs w:val="20"/>
                <w:lang w:val="fr-FR"/>
              </w:rPr>
              <w:t>CA43039, 2015 BCCA 508</w:t>
            </w:r>
            <w:r w:rsidRPr="00982C2B">
              <w:rPr>
                <w:rFonts w:cs="Times New Roman"/>
                <w:sz w:val="20"/>
                <w:szCs w:val="20"/>
                <w:lang w:val="fr-CA"/>
              </w:rPr>
              <w:t xml:space="preserve">, daté du </w:t>
            </w:r>
            <w:r w:rsidRPr="00982C2B">
              <w:rPr>
                <w:rFonts w:cs="Times New Roman"/>
                <w:sz w:val="20"/>
                <w:szCs w:val="20"/>
                <w:lang w:val="fr-FR"/>
              </w:rPr>
              <w:t>8 décembre 2015</w:t>
            </w:r>
            <w:r w:rsidRPr="00982C2B">
              <w:rPr>
                <w:rFonts w:cs="Times New Roman"/>
                <w:sz w:val="20"/>
                <w:szCs w:val="20"/>
                <w:lang w:val="fr-CA"/>
              </w:rPr>
              <w:t>, est rejetée avec dépens.</w:t>
            </w:r>
          </w:p>
          <w:p w:rsidR="00B417EE" w:rsidRPr="00982C2B" w:rsidRDefault="00B417EE" w:rsidP="0052683C">
            <w:pPr>
              <w:pStyle w:val="SCCShortJudgment"/>
              <w:ind w:firstLine="0"/>
              <w:rPr>
                <w:rFonts w:cs="Times New Roman"/>
                <w:szCs w:val="20"/>
                <w:lang w:val="fr-CA"/>
              </w:rPr>
            </w:pPr>
          </w:p>
        </w:tc>
      </w:tr>
      <w:tr w:rsidR="00B417EE" w:rsidRPr="00982C2B" w:rsidTr="00B417EE">
        <w:trPr>
          <w:cantSplit/>
        </w:trPr>
        <w:tc>
          <w:tcPr>
            <w:tcW w:w="9576" w:type="dxa"/>
            <w:gridSpan w:val="4"/>
          </w:tcPr>
          <w:p w:rsidR="00B417EE" w:rsidRPr="00982C2B" w:rsidRDefault="00B417EE" w:rsidP="0052683C">
            <w:pPr>
              <w:pStyle w:val="SCCShortJudgment"/>
              <w:ind w:firstLine="0"/>
              <w:rPr>
                <w:rFonts w:cs="Times New Roman"/>
                <w:szCs w:val="20"/>
                <w:u w:val="single"/>
                <w:lang w:val="fr-CA"/>
              </w:rPr>
            </w:pPr>
            <w:r w:rsidRPr="00982C2B">
              <w:rPr>
                <w:rFonts w:cs="Times New Roman"/>
                <w:szCs w:val="20"/>
                <w:u w:val="single"/>
                <w:lang w:val="fr-CA"/>
              </w:rPr>
              <w:t>CASE SUMMARY</w:t>
            </w:r>
          </w:p>
          <w:p w:rsidR="00B417EE" w:rsidRPr="00982C2B" w:rsidRDefault="00B417EE" w:rsidP="0052683C">
            <w:pPr>
              <w:pStyle w:val="SCCShortJudgment"/>
              <w:ind w:firstLine="0"/>
              <w:rPr>
                <w:rFonts w:cs="Times New Roman"/>
                <w:szCs w:val="20"/>
                <w:u w:val="single"/>
                <w:lang w:val="fr-CA"/>
              </w:rPr>
            </w:pPr>
          </w:p>
        </w:tc>
      </w:tr>
      <w:tr w:rsidR="00B417EE" w:rsidRPr="00982C2B" w:rsidTr="007E3F99">
        <w:tc>
          <w:tcPr>
            <w:tcW w:w="9576" w:type="dxa"/>
            <w:gridSpan w:val="4"/>
          </w:tcPr>
          <w:p w:rsidR="00B417EE" w:rsidRPr="00982C2B" w:rsidRDefault="00B417EE" w:rsidP="0052683C">
            <w:pPr>
              <w:pStyle w:val="SCCShortJudgment"/>
              <w:ind w:firstLine="0"/>
              <w:rPr>
                <w:rFonts w:cs="Times New Roman"/>
                <w:i/>
                <w:iCs/>
                <w:szCs w:val="20"/>
                <w:lang w:val="en-US"/>
              </w:rPr>
            </w:pPr>
            <w:r w:rsidRPr="00982C2B">
              <w:rPr>
                <w:rFonts w:cs="Times New Roman"/>
                <w:i/>
                <w:szCs w:val="20"/>
                <w:lang w:val="en-US"/>
              </w:rPr>
              <w:t>Charter of rights</w:t>
            </w:r>
            <w:r w:rsidRPr="00982C2B">
              <w:rPr>
                <w:rFonts w:cs="Times New Roman"/>
                <w:szCs w:val="20"/>
                <w:lang w:val="en-US"/>
              </w:rPr>
              <w:t xml:space="preserve"> — Right to security of the person — Reasonable limits prescribed by law — Family law — </w:t>
            </w:r>
            <w:r w:rsidRPr="00982C2B">
              <w:rPr>
                <w:rFonts w:cs="Times New Roman"/>
                <w:iCs/>
                <w:spacing w:val="-3"/>
                <w:szCs w:val="20"/>
                <w:lang w:val="en-GB"/>
              </w:rPr>
              <w:t>International child abduction</w:t>
            </w:r>
            <w:r w:rsidRPr="00982C2B">
              <w:rPr>
                <w:rFonts w:cs="Times New Roman"/>
                <w:i/>
                <w:iCs/>
                <w:spacing w:val="-3"/>
                <w:szCs w:val="20"/>
                <w:lang w:val="en-GB"/>
              </w:rPr>
              <w:t xml:space="preserve"> </w:t>
            </w:r>
            <w:r w:rsidRPr="00982C2B">
              <w:rPr>
                <w:rFonts w:cs="Times New Roman"/>
                <w:szCs w:val="20"/>
                <w:lang w:val="en-US"/>
              </w:rPr>
              <w:t xml:space="preserve">— </w:t>
            </w:r>
            <w:r w:rsidRPr="00982C2B">
              <w:rPr>
                <w:rFonts w:cs="Times New Roman"/>
                <w:i/>
                <w:szCs w:val="20"/>
              </w:rPr>
              <w:t>Hague Convention</w:t>
            </w:r>
            <w:r w:rsidRPr="00982C2B">
              <w:rPr>
                <w:rFonts w:cs="Times New Roman"/>
                <w:i/>
                <w:iCs/>
                <w:spacing w:val="-3"/>
                <w:szCs w:val="20"/>
                <w:lang w:val="en-GB"/>
              </w:rPr>
              <w:t xml:space="preserve"> on the Civil Aspects of International Child Abduction,</w:t>
            </w:r>
            <w:r w:rsidRPr="00982C2B">
              <w:rPr>
                <w:rFonts w:cs="Times New Roman"/>
                <w:spacing w:val="-3"/>
                <w:szCs w:val="20"/>
                <w:lang w:val="en-GB"/>
              </w:rPr>
              <w:t xml:space="preserve"> Can. T.S. 1983 No. 35 (the “</w:t>
            </w:r>
            <w:r w:rsidRPr="00982C2B">
              <w:rPr>
                <w:rFonts w:cs="Times New Roman"/>
                <w:i/>
                <w:szCs w:val="20"/>
                <w:lang w:val="en-US"/>
              </w:rPr>
              <w:t>Hague</w:t>
            </w:r>
            <w:r w:rsidRPr="00982C2B">
              <w:rPr>
                <w:rFonts w:cs="Times New Roman"/>
                <w:spacing w:val="-3"/>
                <w:szCs w:val="20"/>
                <w:lang w:val="en-GB"/>
              </w:rPr>
              <w:t xml:space="preserve"> </w:t>
            </w:r>
            <w:r w:rsidRPr="00982C2B">
              <w:rPr>
                <w:rFonts w:cs="Times New Roman"/>
                <w:i/>
                <w:spacing w:val="-3"/>
                <w:szCs w:val="20"/>
                <w:lang w:val="en-GB"/>
              </w:rPr>
              <w:t>Convention</w:t>
            </w:r>
            <w:r w:rsidRPr="00982C2B">
              <w:rPr>
                <w:rFonts w:cs="Times New Roman"/>
                <w:spacing w:val="-3"/>
                <w:szCs w:val="20"/>
                <w:lang w:val="en-GB"/>
              </w:rPr>
              <w:t xml:space="preserve">”) </w:t>
            </w:r>
            <w:r w:rsidRPr="00982C2B">
              <w:rPr>
                <w:rFonts w:cs="Times New Roman"/>
                <w:szCs w:val="20"/>
                <w:lang w:val="en-US"/>
              </w:rPr>
              <w:t>—</w:t>
            </w:r>
            <w:r w:rsidRPr="00982C2B">
              <w:rPr>
                <w:rFonts w:cs="Times New Roman"/>
                <w:i/>
                <w:iCs/>
                <w:spacing w:val="-3"/>
                <w:szCs w:val="20"/>
                <w:lang w:val="en-GB"/>
              </w:rPr>
              <w:t xml:space="preserve"> </w:t>
            </w:r>
            <w:r w:rsidRPr="00982C2B">
              <w:rPr>
                <w:rFonts w:cs="Times New Roman"/>
                <w:iCs/>
                <w:spacing w:val="-3"/>
                <w:szCs w:val="20"/>
                <w:lang w:val="en-GB"/>
              </w:rPr>
              <w:t xml:space="preserve">Interpretation and application of </w:t>
            </w:r>
            <w:r w:rsidRPr="00982C2B">
              <w:rPr>
                <w:rFonts w:cs="Times New Roman"/>
                <w:i/>
                <w:iCs/>
                <w:spacing w:val="-3"/>
                <w:szCs w:val="20"/>
                <w:lang w:val="en-GB"/>
              </w:rPr>
              <w:t xml:space="preserve">Hague Convention </w:t>
            </w:r>
            <w:r w:rsidRPr="00982C2B">
              <w:rPr>
                <w:rFonts w:cs="Times New Roman"/>
                <w:szCs w:val="20"/>
                <w:lang w:val="en-US"/>
              </w:rPr>
              <w:t xml:space="preserve">— Whether the return of a Canadian child with Autism Spectrum Disorder </w:t>
            </w:r>
            <w:r w:rsidRPr="00982C2B">
              <w:rPr>
                <w:rFonts w:cs="Times New Roman"/>
                <w:i/>
                <w:iCs/>
                <w:szCs w:val="20"/>
                <w:lang w:val="en-US"/>
              </w:rPr>
              <w:t xml:space="preserve">(“ASD”) </w:t>
            </w:r>
            <w:r w:rsidRPr="00982C2B">
              <w:rPr>
                <w:rFonts w:cs="Times New Roman"/>
                <w:szCs w:val="20"/>
                <w:lang w:val="en-US"/>
              </w:rPr>
              <w:t xml:space="preserve">to a foreign jurisdiction where that child will be deprived of critical therapy and treatment for </w:t>
            </w:r>
            <w:r w:rsidRPr="00982C2B">
              <w:rPr>
                <w:rFonts w:cs="Times New Roman"/>
                <w:i/>
                <w:iCs/>
                <w:szCs w:val="20"/>
                <w:lang w:val="en-US"/>
              </w:rPr>
              <w:t xml:space="preserve">ASD </w:t>
            </w:r>
            <w:r w:rsidRPr="00982C2B">
              <w:rPr>
                <w:rFonts w:cs="Times New Roman"/>
                <w:szCs w:val="20"/>
                <w:lang w:val="en-US"/>
              </w:rPr>
              <w:t xml:space="preserve">that is available in Canada constitutes a “grave risk of harm or otherwise intolerable situation” pursuant to Article 13(b) of the </w:t>
            </w:r>
            <w:r w:rsidRPr="00982C2B">
              <w:rPr>
                <w:rFonts w:cs="Times New Roman"/>
                <w:i/>
                <w:iCs/>
                <w:szCs w:val="20"/>
                <w:lang w:val="en-US"/>
              </w:rPr>
              <w:t xml:space="preserve">Hague Convention </w:t>
            </w:r>
            <w:r w:rsidRPr="00982C2B">
              <w:rPr>
                <w:rFonts w:cs="Times New Roman"/>
                <w:szCs w:val="20"/>
                <w:lang w:val="en-US"/>
              </w:rPr>
              <w:t>—</w:t>
            </w:r>
            <w:r w:rsidRPr="00982C2B">
              <w:rPr>
                <w:rFonts w:cs="Times New Roman"/>
                <w:i/>
                <w:iCs/>
                <w:szCs w:val="20"/>
                <w:lang w:val="en-US"/>
              </w:rPr>
              <w:t xml:space="preserve"> </w:t>
            </w:r>
            <w:r w:rsidRPr="00982C2B">
              <w:rPr>
                <w:rFonts w:cs="Times New Roman"/>
                <w:szCs w:val="20"/>
              </w:rPr>
              <w:t>W</w:t>
            </w:r>
            <w:r w:rsidRPr="00982C2B">
              <w:rPr>
                <w:rFonts w:cs="Times New Roman"/>
                <w:szCs w:val="20"/>
                <w:lang w:val="en-US"/>
              </w:rPr>
              <w:t xml:space="preserve">hether it is necessary for the Court to revisit the decision of </w:t>
            </w:r>
            <w:r w:rsidRPr="00982C2B">
              <w:rPr>
                <w:rFonts w:cs="Times New Roman"/>
                <w:i/>
                <w:iCs/>
                <w:szCs w:val="20"/>
                <w:lang w:val="en-US"/>
              </w:rPr>
              <w:t xml:space="preserve">Thomson </w:t>
            </w:r>
            <w:r w:rsidRPr="00982C2B">
              <w:rPr>
                <w:rFonts w:cs="Times New Roman"/>
                <w:szCs w:val="20"/>
                <w:lang w:val="en-US"/>
              </w:rPr>
              <w:t xml:space="preserve">v. </w:t>
            </w:r>
            <w:r w:rsidRPr="00982C2B">
              <w:rPr>
                <w:rFonts w:cs="Times New Roman"/>
                <w:i/>
                <w:iCs/>
                <w:szCs w:val="20"/>
                <w:lang w:val="en-US"/>
              </w:rPr>
              <w:t>Thomson,</w:t>
            </w:r>
            <w:r w:rsidRPr="00982C2B">
              <w:rPr>
                <w:rFonts w:cs="Times New Roman"/>
                <w:szCs w:val="20"/>
                <w:lang w:val="en-US"/>
              </w:rPr>
              <w:t xml:space="preserve"> [1994] 3 S.C.R. 551 on the interpretation and application Article 13(b) of the </w:t>
            </w:r>
            <w:r w:rsidRPr="00982C2B">
              <w:rPr>
                <w:rFonts w:cs="Times New Roman"/>
                <w:i/>
                <w:iCs/>
                <w:szCs w:val="20"/>
                <w:lang w:val="en-US"/>
              </w:rPr>
              <w:t xml:space="preserve">Hague Convention </w:t>
            </w:r>
            <w:r w:rsidRPr="00982C2B">
              <w:rPr>
                <w:rFonts w:cs="Times New Roman"/>
                <w:szCs w:val="20"/>
                <w:lang w:val="en-US"/>
              </w:rPr>
              <w:t>—</w:t>
            </w:r>
            <w:r w:rsidRPr="00982C2B">
              <w:rPr>
                <w:rFonts w:cs="Times New Roman"/>
                <w:i/>
                <w:iCs/>
                <w:szCs w:val="20"/>
                <w:lang w:val="en-US"/>
              </w:rPr>
              <w:t xml:space="preserve"> </w:t>
            </w:r>
            <w:r w:rsidRPr="00982C2B">
              <w:rPr>
                <w:rFonts w:cs="Times New Roman"/>
                <w:szCs w:val="20"/>
                <w:lang w:val="en-US"/>
              </w:rPr>
              <w:t>Whether the return of a Canadian child in these circumstances</w:t>
            </w:r>
            <w:r w:rsidRPr="00982C2B">
              <w:rPr>
                <w:rFonts w:cs="Times New Roman"/>
                <w:i/>
                <w:iCs/>
                <w:szCs w:val="20"/>
                <w:lang w:val="en-US"/>
              </w:rPr>
              <w:t xml:space="preserve"> </w:t>
            </w:r>
            <w:r w:rsidRPr="00982C2B">
              <w:rPr>
                <w:rFonts w:cs="Times New Roman"/>
                <w:szCs w:val="20"/>
                <w:lang w:val="en-US"/>
              </w:rPr>
              <w:t xml:space="preserve">constitutes a violation of that child’s right to security of person under Section 7 of the </w:t>
            </w:r>
            <w:r w:rsidRPr="00982C2B">
              <w:rPr>
                <w:rFonts w:cs="Times New Roman"/>
                <w:i/>
                <w:iCs/>
                <w:szCs w:val="20"/>
                <w:lang w:val="en-US"/>
              </w:rPr>
              <w:t xml:space="preserve">Canadian Charter of Rights and Freedoms </w:t>
            </w:r>
            <w:r w:rsidRPr="00982C2B">
              <w:rPr>
                <w:rFonts w:cs="Times New Roman"/>
                <w:szCs w:val="20"/>
                <w:lang w:val="en-US"/>
              </w:rPr>
              <w:t xml:space="preserve">and if so, whether it is justified under s. 1 of the </w:t>
            </w:r>
            <w:r w:rsidRPr="00982C2B">
              <w:rPr>
                <w:rFonts w:cs="Times New Roman"/>
                <w:i/>
                <w:iCs/>
                <w:szCs w:val="20"/>
                <w:lang w:val="en-US"/>
              </w:rPr>
              <w:t xml:space="preserve">Charter </w:t>
            </w:r>
            <w:r w:rsidRPr="00982C2B">
              <w:rPr>
                <w:rFonts w:cs="Times New Roman"/>
                <w:szCs w:val="20"/>
                <w:lang w:val="en-US"/>
              </w:rPr>
              <w:t>—</w:t>
            </w:r>
            <w:r w:rsidRPr="00982C2B">
              <w:rPr>
                <w:rFonts w:cs="Times New Roman"/>
                <w:i/>
                <w:iCs/>
                <w:szCs w:val="20"/>
                <w:lang w:val="en-US"/>
              </w:rPr>
              <w:t xml:space="preserve"> </w:t>
            </w:r>
            <w:r w:rsidRPr="00982C2B">
              <w:rPr>
                <w:rFonts w:cs="Times New Roman"/>
                <w:iCs/>
                <w:szCs w:val="20"/>
                <w:lang w:val="en-US"/>
              </w:rPr>
              <w:t>W</w:t>
            </w:r>
            <w:r w:rsidRPr="00982C2B">
              <w:rPr>
                <w:rFonts w:cs="Times New Roman"/>
                <w:szCs w:val="20"/>
                <w:lang w:val="en-US"/>
              </w:rPr>
              <w:t xml:space="preserve">hether a return Order under Article 12 of the </w:t>
            </w:r>
            <w:r w:rsidRPr="00982C2B">
              <w:rPr>
                <w:rFonts w:cs="Times New Roman"/>
                <w:i/>
                <w:iCs/>
                <w:szCs w:val="20"/>
                <w:lang w:val="en-US"/>
              </w:rPr>
              <w:t xml:space="preserve">Hague Convention </w:t>
            </w:r>
            <w:r w:rsidRPr="00982C2B">
              <w:rPr>
                <w:rFonts w:cs="Times New Roman"/>
                <w:szCs w:val="20"/>
                <w:lang w:val="en-US"/>
              </w:rPr>
              <w:t xml:space="preserve">of an autistic Canadian child to a country that does not offer accessible and recognized treatment for </w:t>
            </w:r>
            <w:r w:rsidRPr="00982C2B">
              <w:rPr>
                <w:rFonts w:cs="Times New Roman"/>
                <w:i/>
                <w:iCs/>
                <w:szCs w:val="20"/>
                <w:lang w:val="en-US"/>
              </w:rPr>
              <w:t xml:space="preserve">ASD </w:t>
            </w:r>
            <w:r w:rsidRPr="00982C2B">
              <w:rPr>
                <w:rFonts w:cs="Times New Roman"/>
                <w:szCs w:val="20"/>
                <w:lang w:val="en-US"/>
              </w:rPr>
              <w:t xml:space="preserve">violates Canada's commitment to protecting the human rights and fundamental freedoms of persons with disabilities in accordance with Article 23 of the </w:t>
            </w:r>
            <w:r w:rsidRPr="00982C2B">
              <w:rPr>
                <w:rFonts w:cs="Times New Roman"/>
                <w:i/>
                <w:iCs/>
                <w:szCs w:val="20"/>
                <w:lang w:val="en-US"/>
              </w:rPr>
              <w:t xml:space="preserve">UN Convention on the Rights of the Child, </w:t>
            </w:r>
            <w:r w:rsidRPr="00982C2B">
              <w:rPr>
                <w:rFonts w:cs="Times New Roman"/>
                <w:szCs w:val="20"/>
                <w:lang w:val="en-US"/>
              </w:rPr>
              <w:t xml:space="preserve">Can. T.S. 992 No. 3 — Whether a child’s Canadian citizenship obligates the Court to act via the </w:t>
            </w:r>
            <w:r w:rsidRPr="00982C2B">
              <w:rPr>
                <w:rFonts w:cs="Times New Roman"/>
                <w:i/>
                <w:iCs/>
                <w:szCs w:val="20"/>
                <w:lang w:val="en-US"/>
              </w:rPr>
              <w:t xml:space="preserve">parens patriae power </w:t>
            </w:r>
            <w:r w:rsidRPr="00982C2B">
              <w:rPr>
                <w:rFonts w:cs="Times New Roman"/>
                <w:szCs w:val="20"/>
                <w:lang w:val="en-US"/>
              </w:rPr>
              <w:t xml:space="preserve">and in accordance with the responsibilities under Article 23 of the </w:t>
            </w:r>
            <w:r w:rsidRPr="00982C2B">
              <w:rPr>
                <w:rFonts w:cs="Times New Roman"/>
                <w:i/>
                <w:iCs/>
                <w:szCs w:val="20"/>
                <w:lang w:val="en-US"/>
              </w:rPr>
              <w:t xml:space="preserve">UN Convention </w:t>
            </w:r>
            <w:r w:rsidRPr="00982C2B">
              <w:rPr>
                <w:rFonts w:cs="Times New Roman"/>
                <w:szCs w:val="20"/>
                <w:lang w:val="en-US"/>
              </w:rPr>
              <w:t xml:space="preserve">with respect to a Canadian child, even where those considerations may not be consistent with the application of the </w:t>
            </w:r>
            <w:r w:rsidRPr="00982C2B">
              <w:rPr>
                <w:rFonts w:cs="Times New Roman"/>
                <w:i/>
                <w:iCs/>
                <w:szCs w:val="20"/>
                <w:lang w:val="en-US"/>
              </w:rPr>
              <w:t>Hague Convention.</w:t>
            </w:r>
          </w:p>
          <w:p w:rsidR="00B417EE" w:rsidRPr="00982C2B" w:rsidRDefault="00B417EE" w:rsidP="0052683C">
            <w:pPr>
              <w:pStyle w:val="SCCShortJudgment"/>
              <w:ind w:firstLine="0"/>
              <w:rPr>
                <w:rFonts w:cs="Times New Roman"/>
                <w:szCs w:val="20"/>
              </w:rPr>
            </w:pPr>
          </w:p>
        </w:tc>
      </w:tr>
      <w:tr w:rsidR="00B417EE" w:rsidRPr="00982C2B" w:rsidTr="00B417EE">
        <w:trPr>
          <w:cantSplit/>
        </w:trPr>
        <w:tc>
          <w:tcPr>
            <w:tcW w:w="9576" w:type="dxa"/>
            <w:gridSpan w:val="4"/>
          </w:tcPr>
          <w:p w:rsidR="00B417EE" w:rsidRPr="00982C2B" w:rsidRDefault="00B417EE" w:rsidP="0052683C">
            <w:pPr>
              <w:pStyle w:val="SCCShortJudgment"/>
              <w:ind w:firstLine="0"/>
              <w:rPr>
                <w:rFonts w:cs="Times New Roman"/>
                <w:szCs w:val="20"/>
              </w:rPr>
            </w:pPr>
            <w:r w:rsidRPr="00982C2B">
              <w:rPr>
                <w:rFonts w:cs="Times New Roman"/>
                <w:spacing w:val="-3"/>
                <w:szCs w:val="20"/>
              </w:rPr>
              <w:t xml:space="preserve">The parties were married in </w:t>
            </w:r>
            <w:r w:rsidRPr="00982C2B">
              <w:rPr>
                <w:rFonts w:cs="Times New Roman"/>
                <w:szCs w:val="20"/>
              </w:rPr>
              <w:t xml:space="preserve">Colima, Mexico and had two children. After the parents separated, a consent order of the First Family Court of Colima awarded the children’s primary residence to the respondent, and authorized the applicant to take the children to B.C. for access visits in the summer months. Due to a concern that the children were demonstrating developmental delays, the respondent had them assessed in Mexico and the applicant had them assessed during his summer access. D was diagnosed with autism spectrum disorder, and N with significant learning difficulties. The children began therapy during the 2014 access visit, at the end of which the applicant did not return them in accordance with the Mexican custody order. The respondent brought a petition for an order that the applicant return the children to Mexico, pursuant to the </w:t>
            </w:r>
            <w:hyperlink r:id="rId119" w:history="1">
              <w:r w:rsidRPr="00982C2B">
                <w:rPr>
                  <w:rFonts w:cs="Times New Roman"/>
                  <w:i/>
                  <w:szCs w:val="20"/>
                </w:rPr>
                <w:t>Family Law Act</w:t>
              </w:r>
              <w:r w:rsidRPr="00982C2B">
                <w:rPr>
                  <w:rFonts w:cs="Times New Roman"/>
                  <w:szCs w:val="20"/>
                </w:rPr>
                <w:t>, S.B.C. 2011, c. 25</w:t>
              </w:r>
            </w:hyperlink>
            <w:r w:rsidRPr="00982C2B">
              <w:rPr>
                <w:rFonts w:cs="Times New Roman"/>
                <w:szCs w:val="20"/>
              </w:rPr>
              <w:t xml:space="preserve"> (“</w:t>
            </w:r>
            <w:hyperlink r:id="rId120" w:history="1">
              <w:r w:rsidRPr="00982C2B">
                <w:rPr>
                  <w:rFonts w:cs="Times New Roman"/>
                  <w:i/>
                  <w:szCs w:val="20"/>
                </w:rPr>
                <w:t>FLA</w:t>
              </w:r>
            </w:hyperlink>
            <w:r w:rsidRPr="00982C2B">
              <w:rPr>
                <w:rFonts w:cs="Times New Roman"/>
                <w:szCs w:val="20"/>
              </w:rPr>
              <w:t xml:space="preserve">”) and the </w:t>
            </w:r>
            <w:r w:rsidRPr="00982C2B">
              <w:rPr>
                <w:rFonts w:cs="Times New Roman"/>
                <w:i/>
                <w:szCs w:val="20"/>
              </w:rPr>
              <w:t>Hague Convention</w:t>
            </w:r>
            <w:r w:rsidRPr="00982C2B">
              <w:rPr>
                <w:rFonts w:cs="Times New Roman"/>
                <w:i/>
                <w:iCs/>
                <w:spacing w:val="-3"/>
                <w:szCs w:val="20"/>
                <w:lang w:val="en-GB"/>
              </w:rPr>
              <w:t>.</w:t>
            </w:r>
            <w:r w:rsidRPr="00982C2B">
              <w:rPr>
                <w:rFonts w:cs="Times New Roman"/>
                <w:spacing w:val="-3"/>
                <w:szCs w:val="20"/>
                <w:lang w:val="en-GB"/>
              </w:rPr>
              <w:t xml:space="preserve"> The </w:t>
            </w:r>
            <w:r w:rsidRPr="00982C2B">
              <w:rPr>
                <w:rFonts w:cs="Times New Roman"/>
                <w:szCs w:val="20"/>
              </w:rPr>
              <w:t>applicant</w:t>
            </w:r>
            <w:r w:rsidRPr="00982C2B">
              <w:rPr>
                <w:rFonts w:cs="Times New Roman"/>
                <w:spacing w:val="-3"/>
                <w:szCs w:val="20"/>
                <w:lang w:val="en-GB"/>
              </w:rPr>
              <w:t xml:space="preserve"> defended </w:t>
            </w:r>
            <w:r w:rsidRPr="00982C2B">
              <w:rPr>
                <w:rFonts w:cs="Times New Roman"/>
                <w:szCs w:val="20"/>
              </w:rPr>
              <w:t>his retention of the children in B.C. as not wrongful or, alternatively, on the basis that their return to a place that could not provide critical therapy would expose D to a grave risk of psychological harm or place him in an intolerable situation. The Supreme Court of British Columbia granted the respondent’s petition and the appellate court dismissed the appeal.</w:t>
            </w:r>
          </w:p>
        </w:tc>
      </w:tr>
      <w:tr w:rsidR="00B417EE" w:rsidRPr="00982C2B" w:rsidTr="00B417EE">
        <w:trPr>
          <w:cantSplit/>
        </w:trPr>
        <w:tc>
          <w:tcPr>
            <w:tcW w:w="9576" w:type="dxa"/>
            <w:gridSpan w:val="4"/>
          </w:tcPr>
          <w:p w:rsidR="00B417EE" w:rsidRPr="00982C2B" w:rsidRDefault="00B417EE" w:rsidP="0052683C">
            <w:pPr>
              <w:pStyle w:val="SCCShortJudgment"/>
              <w:ind w:firstLine="0"/>
              <w:rPr>
                <w:rFonts w:cs="Times New Roman"/>
                <w:spacing w:val="-3"/>
                <w:szCs w:val="20"/>
              </w:rPr>
            </w:pPr>
          </w:p>
        </w:tc>
      </w:tr>
      <w:tr w:rsidR="00B417EE" w:rsidRPr="00982C2B" w:rsidTr="00B417EE">
        <w:trPr>
          <w:cantSplit/>
        </w:trPr>
        <w:tc>
          <w:tcPr>
            <w:tcW w:w="4410" w:type="dxa"/>
            <w:gridSpan w:val="2"/>
          </w:tcPr>
          <w:p w:rsidR="00B417EE" w:rsidRPr="00982C2B" w:rsidRDefault="00B417EE" w:rsidP="00B417EE">
            <w:pPr>
              <w:rPr>
                <w:rFonts w:cs="Times New Roman"/>
                <w:sz w:val="20"/>
                <w:szCs w:val="20"/>
              </w:rPr>
            </w:pPr>
            <w:r w:rsidRPr="00982C2B">
              <w:rPr>
                <w:rFonts w:cs="Times New Roman"/>
                <w:sz w:val="20"/>
                <w:szCs w:val="20"/>
              </w:rPr>
              <w:t>August 17, 2015</w:t>
            </w:r>
          </w:p>
          <w:p w:rsidR="00B417EE" w:rsidRPr="00982C2B" w:rsidRDefault="00B417EE" w:rsidP="00B417EE">
            <w:pPr>
              <w:rPr>
                <w:rFonts w:cs="Times New Roman"/>
                <w:sz w:val="20"/>
                <w:szCs w:val="20"/>
              </w:rPr>
            </w:pPr>
            <w:r w:rsidRPr="00982C2B">
              <w:rPr>
                <w:rFonts w:cs="Times New Roman"/>
                <w:sz w:val="20"/>
                <w:szCs w:val="20"/>
              </w:rPr>
              <w:t>Supreme Court of British Columbia</w:t>
            </w:r>
          </w:p>
          <w:p w:rsidR="00B417EE" w:rsidRPr="00982C2B" w:rsidRDefault="00B417EE" w:rsidP="00B417EE">
            <w:pPr>
              <w:rPr>
                <w:rFonts w:cs="Times New Roman"/>
                <w:sz w:val="20"/>
                <w:szCs w:val="20"/>
              </w:rPr>
            </w:pPr>
            <w:r w:rsidRPr="00982C2B">
              <w:rPr>
                <w:rFonts w:cs="Times New Roman"/>
                <w:sz w:val="20"/>
                <w:szCs w:val="20"/>
              </w:rPr>
              <w:t>(Butler J.)</w:t>
            </w:r>
          </w:p>
          <w:p w:rsidR="00B417EE" w:rsidRPr="00982C2B" w:rsidRDefault="009F3029" w:rsidP="00B417EE">
            <w:pPr>
              <w:rPr>
                <w:rFonts w:cs="Times New Roman"/>
                <w:color w:val="0000FF" w:themeColor="hyperlink"/>
                <w:sz w:val="20"/>
                <w:szCs w:val="20"/>
                <w:u w:val="single"/>
              </w:rPr>
            </w:pPr>
            <w:hyperlink r:id="rId121" w:history="1">
              <w:r w:rsidR="00B417EE" w:rsidRPr="00982C2B">
                <w:rPr>
                  <w:rStyle w:val="Hyperlink"/>
                  <w:rFonts w:cs="Times New Roman"/>
                  <w:sz w:val="20"/>
                  <w:szCs w:val="20"/>
                </w:rPr>
                <w:t>2015 BCSC 1446</w:t>
              </w:r>
            </w:hyperlink>
          </w:p>
          <w:p w:rsidR="00B417EE" w:rsidRPr="00982C2B" w:rsidRDefault="00B417EE" w:rsidP="0052683C">
            <w:pPr>
              <w:jc w:val="both"/>
              <w:rPr>
                <w:rFonts w:cs="Times New Roman"/>
                <w:sz w:val="20"/>
                <w:szCs w:val="20"/>
              </w:rPr>
            </w:pPr>
          </w:p>
        </w:tc>
        <w:tc>
          <w:tcPr>
            <w:tcW w:w="630" w:type="dxa"/>
          </w:tcPr>
          <w:p w:rsidR="00B417EE" w:rsidRPr="00982C2B" w:rsidRDefault="00B417EE" w:rsidP="0052683C">
            <w:pPr>
              <w:pStyle w:val="SCCShortJudgment"/>
              <w:ind w:firstLine="0"/>
              <w:rPr>
                <w:rFonts w:cs="Times New Roman"/>
                <w:szCs w:val="20"/>
              </w:rPr>
            </w:pPr>
          </w:p>
        </w:tc>
        <w:tc>
          <w:tcPr>
            <w:tcW w:w="4536" w:type="dxa"/>
          </w:tcPr>
          <w:p w:rsidR="00B417EE" w:rsidRPr="00982C2B" w:rsidRDefault="00B417EE" w:rsidP="00B417EE">
            <w:pPr>
              <w:jc w:val="both"/>
              <w:rPr>
                <w:rFonts w:cs="Times New Roman"/>
                <w:sz w:val="20"/>
                <w:szCs w:val="20"/>
              </w:rPr>
            </w:pPr>
            <w:r w:rsidRPr="00982C2B">
              <w:rPr>
                <w:rFonts w:cs="Times New Roman"/>
                <w:sz w:val="20"/>
                <w:szCs w:val="20"/>
              </w:rPr>
              <w:t>Respondent’s petition for an Order that the applicant return the children to Mexico, granted</w:t>
            </w:r>
          </w:p>
          <w:p w:rsidR="00B417EE" w:rsidRPr="00982C2B" w:rsidRDefault="00B417EE" w:rsidP="00B417EE">
            <w:pPr>
              <w:tabs>
                <w:tab w:val="left" w:pos="1102"/>
              </w:tabs>
              <w:jc w:val="both"/>
              <w:rPr>
                <w:rFonts w:cs="Times New Roman"/>
                <w:sz w:val="20"/>
                <w:szCs w:val="20"/>
              </w:rPr>
            </w:pPr>
          </w:p>
        </w:tc>
      </w:tr>
      <w:tr w:rsidR="00B417EE" w:rsidRPr="00982C2B" w:rsidTr="00B417EE">
        <w:trPr>
          <w:cantSplit/>
        </w:trPr>
        <w:tc>
          <w:tcPr>
            <w:tcW w:w="4410" w:type="dxa"/>
            <w:gridSpan w:val="2"/>
          </w:tcPr>
          <w:p w:rsidR="00B417EE" w:rsidRPr="00982C2B" w:rsidRDefault="00B417EE" w:rsidP="00B417EE">
            <w:pPr>
              <w:rPr>
                <w:rFonts w:cs="Times New Roman"/>
                <w:sz w:val="20"/>
                <w:szCs w:val="20"/>
              </w:rPr>
            </w:pPr>
            <w:r w:rsidRPr="00982C2B">
              <w:rPr>
                <w:rFonts w:cs="Times New Roman"/>
                <w:sz w:val="20"/>
                <w:szCs w:val="20"/>
              </w:rPr>
              <w:t>December 8, 2015</w:t>
            </w:r>
          </w:p>
          <w:p w:rsidR="00B417EE" w:rsidRPr="00982C2B" w:rsidRDefault="00B417EE" w:rsidP="00B417EE">
            <w:pPr>
              <w:rPr>
                <w:rFonts w:cs="Times New Roman"/>
                <w:sz w:val="20"/>
                <w:szCs w:val="20"/>
              </w:rPr>
            </w:pPr>
            <w:r w:rsidRPr="00982C2B">
              <w:rPr>
                <w:rFonts w:cs="Times New Roman"/>
                <w:sz w:val="20"/>
                <w:szCs w:val="20"/>
              </w:rPr>
              <w:t xml:space="preserve">Court of Appeal for British Columbia </w:t>
            </w:r>
          </w:p>
          <w:p w:rsidR="00B417EE" w:rsidRPr="00982C2B" w:rsidRDefault="00B417EE" w:rsidP="00B417EE">
            <w:pPr>
              <w:rPr>
                <w:rFonts w:cs="Times New Roman"/>
                <w:sz w:val="20"/>
                <w:szCs w:val="20"/>
              </w:rPr>
            </w:pPr>
            <w:r w:rsidRPr="00982C2B">
              <w:rPr>
                <w:rFonts w:cs="Times New Roman"/>
                <w:sz w:val="20"/>
                <w:szCs w:val="20"/>
              </w:rPr>
              <w:t>(Vancouver)</w:t>
            </w:r>
          </w:p>
          <w:p w:rsidR="00B417EE" w:rsidRPr="00982C2B" w:rsidRDefault="00B417EE" w:rsidP="00B417EE">
            <w:pPr>
              <w:rPr>
                <w:rFonts w:cs="Times New Roman"/>
                <w:sz w:val="20"/>
                <w:szCs w:val="20"/>
                <w:lang w:val="en-US"/>
              </w:rPr>
            </w:pPr>
            <w:r w:rsidRPr="00982C2B">
              <w:rPr>
                <w:rFonts w:cs="Times New Roman"/>
                <w:sz w:val="20"/>
                <w:szCs w:val="20"/>
                <w:lang w:val="en-US"/>
              </w:rPr>
              <w:t>(Kirkpatrick, Garson and Goepel JJ.A.)</w:t>
            </w:r>
          </w:p>
          <w:p w:rsidR="00B417EE" w:rsidRDefault="009F3029" w:rsidP="00B417EE">
            <w:pPr>
              <w:jc w:val="both"/>
              <w:rPr>
                <w:rFonts w:cs="Times New Roman"/>
                <w:sz w:val="20"/>
                <w:szCs w:val="20"/>
              </w:rPr>
            </w:pPr>
            <w:hyperlink r:id="rId122" w:history="1">
              <w:r w:rsidR="00B417EE" w:rsidRPr="00982C2B">
                <w:rPr>
                  <w:rStyle w:val="Hyperlink"/>
                  <w:rFonts w:cs="Times New Roman"/>
                  <w:sz w:val="20"/>
                  <w:szCs w:val="20"/>
                </w:rPr>
                <w:t>2015 BCCA 508</w:t>
              </w:r>
            </w:hyperlink>
            <w:r w:rsidR="00B417EE" w:rsidRPr="00982C2B">
              <w:rPr>
                <w:rFonts w:cs="Times New Roman"/>
                <w:sz w:val="20"/>
                <w:szCs w:val="20"/>
              </w:rPr>
              <w:t>; CA43039</w:t>
            </w:r>
          </w:p>
          <w:p w:rsidR="006D5029" w:rsidRPr="00982C2B" w:rsidRDefault="006D5029" w:rsidP="00B417EE">
            <w:pPr>
              <w:jc w:val="both"/>
              <w:rPr>
                <w:rFonts w:cs="Times New Roman"/>
                <w:sz w:val="20"/>
                <w:szCs w:val="20"/>
              </w:rPr>
            </w:pPr>
          </w:p>
        </w:tc>
        <w:tc>
          <w:tcPr>
            <w:tcW w:w="630" w:type="dxa"/>
          </w:tcPr>
          <w:p w:rsidR="00B417EE" w:rsidRPr="00982C2B" w:rsidRDefault="00B417EE" w:rsidP="0052683C">
            <w:pPr>
              <w:pStyle w:val="SCCShortJudgment"/>
              <w:ind w:firstLine="0"/>
              <w:rPr>
                <w:rFonts w:cs="Times New Roman"/>
                <w:szCs w:val="20"/>
              </w:rPr>
            </w:pPr>
          </w:p>
        </w:tc>
        <w:tc>
          <w:tcPr>
            <w:tcW w:w="4536" w:type="dxa"/>
          </w:tcPr>
          <w:p w:rsidR="00B417EE" w:rsidRPr="00982C2B" w:rsidRDefault="00B417EE" w:rsidP="00B417EE">
            <w:pPr>
              <w:jc w:val="both"/>
              <w:rPr>
                <w:rFonts w:cs="Times New Roman"/>
                <w:sz w:val="20"/>
                <w:szCs w:val="20"/>
              </w:rPr>
            </w:pPr>
            <w:r w:rsidRPr="00982C2B">
              <w:rPr>
                <w:rFonts w:cs="Times New Roman"/>
                <w:sz w:val="20"/>
                <w:szCs w:val="20"/>
              </w:rPr>
              <w:t>Appeal dismissed</w:t>
            </w:r>
          </w:p>
          <w:p w:rsidR="00B417EE" w:rsidRPr="00982C2B" w:rsidRDefault="00B417EE" w:rsidP="00B417EE">
            <w:pPr>
              <w:jc w:val="both"/>
              <w:rPr>
                <w:rFonts w:cs="Times New Roman"/>
                <w:sz w:val="20"/>
                <w:szCs w:val="20"/>
              </w:rPr>
            </w:pPr>
          </w:p>
        </w:tc>
      </w:tr>
      <w:tr w:rsidR="00B417EE" w:rsidRPr="00982C2B" w:rsidTr="00B417EE">
        <w:trPr>
          <w:cantSplit/>
        </w:trPr>
        <w:tc>
          <w:tcPr>
            <w:tcW w:w="4410" w:type="dxa"/>
            <w:gridSpan w:val="2"/>
          </w:tcPr>
          <w:p w:rsidR="00B417EE" w:rsidRPr="00982C2B" w:rsidRDefault="00B417EE" w:rsidP="00B417EE">
            <w:pPr>
              <w:rPr>
                <w:rFonts w:cs="Times New Roman"/>
                <w:sz w:val="20"/>
                <w:szCs w:val="20"/>
              </w:rPr>
            </w:pPr>
            <w:r w:rsidRPr="00982C2B">
              <w:rPr>
                <w:rFonts w:cs="Times New Roman"/>
                <w:sz w:val="20"/>
                <w:szCs w:val="20"/>
              </w:rPr>
              <w:t>December 17, 2015</w:t>
            </w:r>
          </w:p>
          <w:p w:rsidR="00B417EE" w:rsidRPr="00982C2B" w:rsidRDefault="00B417EE" w:rsidP="00B417EE">
            <w:pPr>
              <w:rPr>
                <w:rFonts w:cs="Times New Roman"/>
                <w:sz w:val="20"/>
                <w:szCs w:val="20"/>
              </w:rPr>
            </w:pPr>
            <w:r w:rsidRPr="00982C2B">
              <w:rPr>
                <w:rFonts w:cs="Times New Roman"/>
                <w:sz w:val="20"/>
                <w:szCs w:val="20"/>
              </w:rPr>
              <w:t xml:space="preserve">Court of Appeal for British Columbia </w:t>
            </w:r>
          </w:p>
          <w:p w:rsidR="00B417EE" w:rsidRPr="00982C2B" w:rsidRDefault="00B417EE" w:rsidP="00B417EE">
            <w:pPr>
              <w:rPr>
                <w:rFonts w:cs="Times New Roman"/>
                <w:sz w:val="20"/>
                <w:szCs w:val="20"/>
              </w:rPr>
            </w:pPr>
            <w:r w:rsidRPr="00982C2B">
              <w:rPr>
                <w:rFonts w:cs="Times New Roman"/>
                <w:sz w:val="20"/>
                <w:szCs w:val="20"/>
              </w:rPr>
              <w:t>(Vancouver)</w:t>
            </w:r>
          </w:p>
          <w:p w:rsidR="00B417EE" w:rsidRPr="00982C2B" w:rsidRDefault="00B417EE" w:rsidP="00B417EE">
            <w:pPr>
              <w:rPr>
                <w:rFonts w:cs="Times New Roman"/>
                <w:sz w:val="20"/>
                <w:szCs w:val="20"/>
              </w:rPr>
            </w:pPr>
            <w:r w:rsidRPr="00982C2B">
              <w:rPr>
                <w:rFonts w:cs="Times New Roman"/>
                <w:sz w:val="20"/>
                <w:szCs w:val="20"/>
              </w:rPr>
              <w:t>(Harris J.A.)</w:t>
            </w:r>
          </w:p>
          <w:p w:rsidR="00B417EE" w:rsidRPr="00982C2B" w:rsidRDefault="009F3029" w:rsidP="00B417EE">
            <w:pPr>
              <w:rPr>
                <w:rFonts w:cs="Times New Roman"/>
                <w:sz w:val="20"/>
                <w:szCs w:val="20"/>
              </w:rPr>
            </w:pPr>
            <w:hyperlink r:id="rId123" w:history="1">
              <w:r w:rsidR="00B417EE" w:rsidRPr="00982C2B">
                <w:rPr>
                  <w:rStyle w:val="Hyperlink"/>
                  <w:rFonts w:cs="Times New Roman"/>
                  <w:sz w:val="20"/>
                  <w:szCs w:val="20"/>
                </w:rPr>
                <w:t>2015 BCCA 531</w:t>
              </w:r>
            </w:hyperlink>
          </w:p>
          <w:p w:rsidR="00B417EE" w:rsidRPr="00982C2B" w:rsidRDefault="00B417EE" w:rsidP="00B417EE">
            <w:pPr>
              <w:jc w:val="both"/>
              <w:rPr>
                <w:rFonts w:cs="Times New Roman"/>
                <w:sz w:val="20"/>
                <w:szCs w:val="20"/>
              </w:rPr>
            </w:pPr>
          </w:p>
        </w:tc>
        <w:tc>
          <w:tcPr>
            <w:tcW w:w="630" w:type="dxa"/>
          </w:tcPr>
          <w:p w:rsidR="00B417EE" w:rsidRPr="00982C2B" w:rsidRDefault="00B417EE" w:rsidP="0052683C">
            <w:pPr>
              <w:pStyle w:val="SCCShortJudgment"/>
              <w:ind w:firstLine="0"/>
              <w:rPr>
                <w:rFonts w:cs="Times New Roman"/>
                <w:szCs w:val="20"/>
              </w:rPr>
            </w:pPr>
          </w:p>
        </w:tc>
        <w:tc>
          <w:tcPr>
            <w:tcW w:w="4536" w:type="dxa"/>
          </w:tcPr>
          <w:p w:rsidR="00B417EE" w:rsidRPr="00982C2B" w:rsidRDefault="00B417EE" w:rsidP="00B417EE">
            <w:pPr>
              <w:jc w:val="both"/>
              <w:rPr>
                <w:rFonts w:cs="Times New Roman"/>
                <w:sz w:val="20"/>
                <w:szCs w:val="20"/>
              </w:rPr>
            </w:pPr>
            <w:r w:rsidRPr="00982C2B">
              <w:rPr>
                <w:rFonts w:cs="Times New Roman"/>
                <w:sz w:val="20"/>
                <w:szCs w:val="20"/>
              </w:rPr>
              <w:t>Order granting a stay of execution of Order from 2015 BCCA 508 for 45 days, to be extended until the decision on any application for leave to appeal to SCC filed within that period</w:t>
            </w:r>
          </w:p>
          <w:p w:rsidR="00B417EE" w:rsidRPr="00982C2B" w:rsidRDefault="00B417EE" w:rsidP="00B417EE">
            <w:pPr>
              <w:jc w:val="both"/>
              <w:rPr>
                <w:rFonts w:cs="Times New Roman"/>
                <w:sz w:val="20"/>
                <w:szCs w:val="20"/>
              </w:rPr>
            </w:pPr>
          </w:p>
        </w:tc>
      </w:tr>
      <w:tr w:rsidR="00B417EE" w:rsidRPr="00982C2B" w:rsidTr="00B417EE">
        <w:trPr>
          <w:cantSplit/>
        </w:trPr>
        <w:tc>
          <w:tcPr>
            <w:tcW w:w="4410" w:type="dxa"/>
            <w:gridSpan w:val="2"/>
          </w:tcPr>
          <w:p w:rsidR="00B417EE" w:rsidRPr="00982C2B" w:rsidRDefault="00B417EE" w:rsidP="00B417EE">
            <w:pPr>
              <w:rPr>
                <w:rFonts w:cs="Times New Roman"/>
                <w:sz w:val="20"/>
                <w:szCs w:val="20"/>
              </w:rPr>
            </w:pPr>
            <w:r w:rsidRPr="00982C2B">
              <w:rPr>
                <w:rFonts w:cs="Times New Roman"/>
                <w:sz w:val="20"/>
                <w:szCs w:val="20"/>
              </w:rPr>
              <w:t>January 20, 2016</w:t>
            </w:r>
          </w:p>
          <w:p w:rsidR="00B417EE" w:rsidRPr="00982C2B" w:rsidRDefault="00B417EE" w:rsidP="00B417EE">
            <w:pPr>
              <w:jc w:val="both"/>
              <w:rPr>
                <w:rFonts w:cs="Times New Roman"/>
                <w:sz w:val="20"/>
                <w:szCs w:val="20"/>
              </w:rPr>
            </w:pPr>
            <w:r w:rsidRPr="00982C2B">
              <w:rPr>
                <w:rFonts w:cs="Times New Roman"/>
                <w:sz w:val="20"/>
                <w:szCs w:val="20"/>
              </w:rPr>
              <w:t>Supreme Court of Canada</w:t>
            </w:r>
          </w:p>
        </w:tc>
        <w:tc>
          <w:tcPr>
            <w:tcW w:w="630" w:type="dxa"/>
          </w:tcPr>
          <w:p w:rsidR="00B417EE" w:rsidRPr="00982C2B" w:rsidRDefault="00B417EE" w:rsidP="0052683C">
            <w:pPr>
              <w:jc w:val="both"/>
              <w:rPr>
                <w:rFonts w:cs="Times New Roman"/>
                <w:sz w:val="20"/>
                <w:szCs w:val="20"/>
              </w:rPr>
            </w:pPr>
          </w:p>
        </w:tc>
        <w:tc>
          <w:tcPr>
            <w:tcW w:w="4536" w:type="dxa"/>
          </w:tcPr>
          <w:p w:rsidR="00B417EE" w:rsidRPr="00982C2B" w:rsidRDefault="00B417EE" w:rsidP="00B417EE">
            <w:pPr>
              <w:rPr>
                <w:rFonts w:cs="Times New Roman"/>
                <w:sz w:val="20"/>
                <w:szCs w:val="20"/>
              </w:rPr>
            </w:pPr>
            <w:r w:rsidRPr="00982C2B">
              <w:rPr>
                <w:rFonts w:cs="Times New Roman"/>
                <w:sz w:val="20"/>
                <w:szCs w:val="20"/>
              </w:rPr>
              <w:t>Application for leave to appeal filed</w:t>
            </w:r>
          </w:p>
          <w:p w:rsidR="00B417EE" w:rsidRPr="00982C2B" w:rsidRDefault="00B417EE" w:rsidP="0052683C">
            <w:pPr>
              <w:jc w:val="both"/>
              <w:rPr>
                <w:rFonts w:cs="Times New Roman"/>
                <w:sz w:val="20"/>
                <w:szCs w:val="20"/>
              </w:rPr>
            </w:pPr>
          </w:p>
        </w:tc>
      </w:tr>
      <w:tr w:rsidR="00B417EE" w:rsidRPr="00982C2B" w:rsidTr="00B417EE">
        <w:trPr>
          <w:cantSplit/>
        </w:trPr>
        <w:tc>
          <w:tcPr>
            <w:tcW w:w="9576" w:type="dxa"/>
            <w:gridSpan w:val="4"/>
          </w:tcPr>
          <w:p w:rsidR="00B417EE" w:rsidRPr="00982C2B" w:rsidRDefault="009F3029" w:rsidP="0052683C">
            <w:pPr>
              <w:pStyle w:val="SCCShortJudgment"/>
              <w:ind w:firstLine="0"/>
              <w:rPr>
                <w:rFonts w:cs="Times New Roman"/>
                <w:szCs w:val="20"/>
                <w:lang w:val="fr-CA"/>
              </w:rPr>
            </w:pPr>
            <w:r>
              <w:rPr>
                <w:rFonts w:cs="Times New Roman"/>
                <w:szCs w:val="20"/>
                <w:lang w:val="fr-CA"/>
              </w:rPr>
              <w:pict>
                <v:rect id="_x0000_i1091" style="width:2in;height:1pt" o:hrpct="0" o:hralign="center" o:hrstd="t" o:hrnoshade="t" o:hr="t" fillcolor="black [3213]" stroked="f"/>
              </w:pict>
            </w:r>
          </w:p>
          <w:p w:rsidR="00B417EE" w:rsidRPr="00982C2B" w:rsidRDefault="00B417EE" w:rsidP="0052683C">
            <w:pPr>
              <w:pStyle w:val="SCCShortJudgment"/>
              <w:ind w:firstLine="0"/>
              <w:rPr>
                <w:rFonts w:cs="Times New Roman"/>
                <w:szCs w:val="20"/>
                <w:lang w:val="fr-CA"/>
              </w:rPr>
            </w:pPr>
          </w:p>
        </w:tc>
      </w:tr>
      <w:tr w:rsidR="00B417EE" w:rsidRPr="00982C2B" w:rsidTr="00B417EE">
        <w:trPr>
          <w:cantSplit/>
        </w:trPr>
        <w:tc>
          <w:tcPr>
            <w:tcW w:w="9576" w:type="dxa"/>
            <w:gridSpan w:val="4"/>
          </w:tcPr>
          <w:p w:rsidR="00B417EE" w:rsidRPr="00982C2B" w:rsidRDefault="00B417EE" w:rsidP="0052683C">
            <w:pPr>
              <w:pStyle w:val="SCCShortJudgment"/>
              <w:ind w:firstLine="0"/>
              <w:rPr>
                <w:rFonts w:cs="Times New Roman"/>
                <w:szCs w:val="20"/>
                <w:u w:val="single"/>
                <w:lang w:val="fr-CA"/>
              </w:rPr>
            </w:pPr>
            <w:r w:rsidRPr="00982C2B">
              <w:rPr>
                <w:rFonts w:cs="Times New Roman"/>
                <w:szCs w:val="20"/>
                <w:u w:val="single"/>
                <w:lang w:val="fr-CA"/>
              </w:rPr>
              <w:t>RÉSUMÉ DE L’AFFAIRE </w:t>
            </w:r>
          </w:p>
          <w:p w:rsidR="00B417EE" w:rsidRPr="00982C2B" w:rsidRDefault="00B417EE" w:rsidP="0052683C">
            <w:pPr>
              <w:pStyle w:val="SCCShortJudgment"/>
              <w:ind w:firstLine="0"/>
              <w:rPr>
                <w:rFonts w:cs="Times New Roman"/>
                <w:szCs w:val="20"/>
                <w:u w:val="single"/>
                <w:lang w:val="fr-CA"/>
              </w:rPr>
            </w:pPr>
          </w:p>
        </w:tc>
      </w:tr>
      <w:tr w:rsidR="00B417EE" w:rsidRPr="009F3029" w:rsidTr="005F31B9">
        <w:tc>
          <w:tcPr>
            <w:tcW w:w="9576" w:type="dxa"/>
            <w:gridSpan w:val="4"/>
          </w:tcPr>
          <w:p w:rsidR="00B417EE" w:rsidRPr="00982C2B" w:rsidRDefault="00B417EE" w:rsidP="0052683C">
            <w:pPr>
              <w:pStyle w:val="SCCShortJudgment"/>
              <w:ind w:firstLine="0"/>
              <w:rPr>
                <w:rFonts w:cs="Times New Roman"/>
                <w:szCs w:val="20"/>
                <w:lang w:val="fr-CA"/>
              </w:rPr>
            </w:pPr>
            <w:r w:rsidRPr="00982C2B">
              <w:rPr>
                <w:rFonts w:cs="Times New Roman"/>
                <w:i/>
                <w:szCs w:val="20"/>
                <w:lang w:val="fr-CA"/>
              </w:rPr>
              <w:t>Charte des droits</w:t>
            </w:r>
            <w:r w:rsidRPr="00982C2B">
              <w:rPr>
                <w:rFonts w:cs="Times New Roman"/>
                <w:szCs w:val="20"/>
                <w:lang w:val="fr-CA"/>
              </w:rPr>
              <w:t xml:space="preserve"> — Droit à la sécurité de la personne — Limites raisonnables imposées par une règle de droit — Droit de la famille — Enlèvement international d’enfants — </w:t>
            </w:r>
            <w:r w:rsidRPr="00982C2B">
              <w:rPr>
                <w:rFonts w:cs="Times New Roman"/>
                <w:i/>
                <w:szCs w:val="20"/>
                <w:lang w:val="fr-CA"/>
              </w:rPr>
              <w:t>Convention de La Haye sur les aspects civils de l’enlèvement international d’enfants</w:t>
            </w:r>
            <w:r w:rsidRPr="00982C2B">
              <w:rPr>
                <w:rFonts w:cs="Times New Roman"/>
                <w:iCs/>
                <w:spacing w:val="-3"/>
                <w:szCs w:val="20"/>
                <w:lang w:val="fr-CA"/>
              </w:rPr>
              <w:t>,</w:t>
            </w:r>
            <w:r w:rsidRPr="00982C2B">
              <w:rPr>
                <w:rFonts w:cs="Times New Roman"/>
                <w:spacing w:val="-3"/>
                <w:szCs w:val="20"/>
                <w:lang w:val="fr-CA"/>
              </w:rPr>
              <w:t xml:space="preserve"> R.T. Can. 1983 n</w:t>
            </w:r>
            <w:r w:rsidRPr="00982C2B">
              <w:rPr>
                <w:rFonts w:cs="Times New Roman"/>
                <w:spacing w:val="-3"/>
                <w:szCs w:val="20"/>
                <w:vertAlign w:val="superscript"/>
                <w:lang w:val="fr-CA"/>
              </w:rPr>
              <w:t>o</w:t>
            </w:r>
            <w:r w:rsidRPr="00982C2B">
              <w:rPr>
                <w:rFonts w:cs="Times New Roman"/>
                <w:spacing w:val="-3"/>
                <w:szCs w:val="20"/>
                <w:lang w:val="fr-CA"/>
              </w:rPr>
              <w:t> 35 (la « </w:t>
            </w:r>
            <w:r w:rsidRPr="00982C2B">
              <w:rPr>
                <w:rFonts w:cs="Times New Roman"/>
                <w:i/>
                <w:spacing w:val="-3"/>
                <w:szCs w:val="20"/>
                <w:lang w:val="fr-CA"/>
              </w:rPr>
              <w:t>Convention de La Haye</w:t>
            </w:r>
            <w:r w:rsidRPr="00982C2B">
              <w:rPr>
                <w:rFonts w:cs="Times New Roman"/>
                <w:spacing w:val="-3"/>
                <w:szCs w:val="20"/>
                <w:lang w:val="fr-CA"/>
              </w:rPr>
              <w:t xml:space="preserve"> ») </w:t>
            </w:r>
            <w:r w:rsidRPr="00982C2B">
              <w:rPr>
                <w:rFonts w:cs="Times New Roman"/>
                <w:szCs w:val="20"/>
                <w:lang w:val="fr-CA"/>
              </w:rPr>
              <w:t>—</w:t>
            </w:r>
            <w:r w:rsidRPr="00982C2B">
              <w:rPr>
                <w:rFonts w:cs="Times New Roman"/>
                <w:i/>
                <w:iCs/>
                <w:spacing w:val="-3"/>
                <w:szCs w:val="20"/>
                <w:lang w:val="fr-CA"/>
              </w:rPr>
              <w:t xml:space="preserve"> </w:t>
            </w:r>
            <w:r w:rsidRPr="00982C2B">
              <w:rPr>
                <w:rFonts w:cs="Times New Roman"/>
                <w:iCs/>
                <w:spacing w:val="-3"/>
                <w:szCs w:val="20"/>
                <w:lang w:val="fr-CA"/>
              </w:rPr>
              <w:t xml:space="preserve">Interprétation et application de la </w:t>
            </w:r>
            <w:r w:rsidRPr="00982C2B">
              <w:rPr>
                <w:rFonts w:cs="Times New Roman"/>
                <w:i/>
                <w:iCs/>
                <w:spacing w:val="-3"/>
                <w:szCs w:val="20"/>
                <w:lang w:val="fr-CA"/>
              </w:rPr>
              <w:t xml:space="preserve">Convention de La Haye </w:t>
            </w:r>
            <w:r w:rsidRPr="00982C2B">
              <w:rPr>
                <w:rFonts w:cs="Times New Roman"/>
                <w:szCs w:val="20"/>
                <w:lang w:val="fr-CA"/>
              </w:rPr>
              <w:t xml:space="preserve">— Le retour d’un enfant canadien souffrant d’un trouble du spectre autistique à un autre pays qui n’offre pas la thérapie et le traitement nécessaires qui est offert au Canada l’expose-t-il « à un </w:t>
            </w:r>
            <w:r w:rsidRPr="00982C2B">
              <w:rPr>
                <w:rFonts w:cs="Times New Roman"/>
                <w:spacing w:val="-3"/>
                <w:szCs w:val="20"/>
                <w:lang w:val="fr-CA"/>
              </w:rPr>
              <w:t xml:space="preserve">danger » « ou de toute autre manière [. . .] le place dans une situation intolérable », au sens où il faut l’entendre pour l’application de l’al. 13b) de la </w:t>
            </w:r>
            <w:r w:rsidRPr="00982C2B">
              <w:rPr>
                <w:rFonts w:cs="Times New Roman"/>
                <w:i/>
                <w:spacing w:val="-3"/>
                <w:szCs w:val="20"/>
                <w:lang w:val="fr-CA"/>
              </w:rPr>
              <w:t>Convention de La Haye</w:t>
            </w:r>
            <w:r w:rsidRPr="00982C2B">
              <w:rPr>
                <w:rFonts w:cs="Times New Roman"/>
                <w:spacing w:val="-3"/>
                <w:szCs w:val="20"/>
                <w:lang w:val="fr-CA"/>
              </w:rPr>
              <w:t xml:space="preserve">? </w:t>
            </w:r>
            <w:r w:rsidRPr="00982C2B">
              <w:rPr>
                <w:rFonts w:cs="Times New Roman"/>
                <w:szCs w:val="20"/>
                <w:lang w:val="fr-CA"/>
              </w:rPr>
              <w:t xml:space="preserve">— </w:t>
            </w:r>
            <w:r w:rsidRPr="00982C2B">
              <w:rPr>
                <w:rFonts w:cs="Times New Roman"/>
                <w:iCs/>
                <w:szCs w:val="20"/>
                <w:lang w:val="fr-CA"/>
              </w:rPr>
              <w:t xml:space="preserve">Y a-t-il lieu pour la Cour de revenir sur l’arrêt </w:t>
            </w:r>
            <w:r w:rsidRPr="00982C2B">
              <w:rPr>
                <w:rFonts w:cs="Times New Roman"/>
                <w:i/>
                <w:iCs/>
                <w:szCs w:val="20"/>
                <w:lang w:val="fr-CA"/>
              </w:rPr>
              <w:t>Thomson c</w:t>
            </w:r>
            <w:r w:rsidRPr="00982C2B">
              <w:rPr>
                <w:rFonts w:cs="Times New Roman"/>
                <w:szCs w:val="20"/>
                <w:lang w:val="fr-CA"/>
              </w:rPr>
              <w:t xml:space="preserve">. </w:t>
            </w:r>
            <w:r w:rsidRPr="00982C2B">
              <w:rPr>
                <w:rFonts w:cs="Times New Roman"/>
                <w:i/>
                <w:iCs/>
                <w:szCs w:val="20"/>
                <w:lang w:val="fr-CA"/>
              </w:rPr>
              <w:t>Thomson</w:t>
            </w:r>
            <w:r w:rsidRPr="00982C2B">
              <w:rPr>
                <w:rFonts w:cs="Times New Roman"/>
                <w:iCs/>
                <w:szCs w:val="20"/>
                <w:lang w:val="fr-CA"/>
              </w:rPr>
              <w:t>,</w:t>
            </w:r>
            <w:r w:rsidRPr="00982C2B">
              <w:rPr>
                <w:rFonts w:cs="Times New Roman"/>
                <w:szCs w:val="20"/>
                <w:lang w:val="fr-CA"/>
              </w:rPr>
              <w:t xml:space="preserve"> [1994] 3 R.C.S. 551 sur l’interprétation et l’application de l’al. 13b) de la </w:t>
            </w:r>
            <w:r w:rsidRPr="00982C2B">
              <w:rPr>
                <w:rFonts w:cs="Times New Roman"/>
                <w:i/>
                <w:szCs w:val="20"/>
                <w:lang w:val="fr-CA"/>
              </w:rPr>
              <w:t>Convention de La Haye</w:t>
            </w:r>
            <w:r w:rsidRPr="00982C2B">
              <w:rPr>
                <w:rFonts w:cs="Times New Roman"/>
                <w:szCs w:val="20"/>
                <w:lang w:val="fr-CA"/>
              </w:rPr>
              <w:t>? —</w:t>
            </w:r>
            <w:r w:rsidRPr="00982C2B">
              <w:rPr>
                <w:rFonts w:cs="Times New Roman"/>
                <w:i/>
                <w:iCs/>
                <w:szCs w:val="20"/>
                <w:lang w:val="fr-CA"/>
              </w:rPr>
              <w:t xml:space="preserve"> </w:t>
            </w:r>
            <w:r w:rsidRPr="00982C2B">
              <w:rPr>
                <w:rFonts w:cs="Times New Roman"/>
                <w:iCs/>
                <w:szCs w:val="20"/>
                <w:lang w:val="fr-CA"/>
              </w:rPr>
              <w:t xml:space="preserve">Le retour d’un enfant canadien dans ces circonstances enfreint-il le droit de l’enfant à la sécurité de sa personne, garanti par l’art. 7 de la </w:t>
            </w:r>
            <w:r w:rsidRPr="00982C2B">
              <w:rPr>
                <w:rFonts w:cs="Times New Roman"/>
                <w:i/>
                <w:iCs/>
                <w:szCs w:val="20"/>
                <w:lang w:val="fr-CA"/>
              </w:rPr>
              <w:t>Charte canadienne des droits et libertés</w:t>
            </w:r>
            <w:r w:rsidRPr="00982C2B">
              <w:rPr>
                <w:rFonts w:cs="Times New Roman"/>
                <w:iCs/>
                <w:szCs w:val="20"/>
                <w:lang w:val="fr-CA"/>
              </w:rPr>
              <w:t xml:space="preserve">? Dans l’affirmative, cette restriction est-elle justifiée au regard de l’article premier de la </w:t>
            </w:r>
            <w:r w:rsidRPr="00982C2B">
              <w:rPr>
                <w:rFonts w:cs="Times New Roman"/>
                <w:i/>
                <w:iCs/>
                <w:szCs w:val="20"/>
                <w:lang w:val="fr-CA"/>
              </w:rPr>
              <w:t>Charte</w:t>
            </w:r>
            <w:r w:rsidRPr="00982C2B">
              <w:rPr>
                <w:rFonts w:cs="Times New Roman"/>
                <w:iCs/>
                <w:szCs w:val="20"/>
                <w:lang w:val="fr-CA"/>
              </w:rPr>
              <w:t xml:space="preserve">? </w:t>
            </w:r>
            <w:r w:rsidRPr="00982C2B">
              <w:rPr>
                <w:rFonts w:cs="Times New Roman"/>
                <w:szCs w:val="20"/>
                <w:lang w:val="fr-CA"/>
              </w:rPr>
              <w:t>—</w:t>
            </w:r>
            <w:r w:rsidRPr="00982C2B">
              <w:rPr>
                <w:rFonts w:cs="Times New Roman"/>
                <w:i/>
                <w:iCs/>
                <w:szCs w:val="20"/>
                <w:lang w:val="fr-CA"/>
              </w:rPr>
              <w:t xml:space="preserve"> </w:t>
            </w:r>
            <w:r w:rsidRPr="00982C2B">
              <w:rPr>
                <w:rFonts w:cs="Times New Roman"/>
                <w:iCs/>
                <w:szCs w:val="20"/>
                <w:lang w:val="fr-CA"/>
              </w:rPr>
              <w:t xml:space="preserve">L’ordonnance rendue en vertu de l’art. 12 de la </w:t>
            </w:r>
            <w:r w:rsidRPr="00982C2B">
              <w:rPr>
                <w:rFonts w:cs="Times New Roman"/>
                <w:i/>
                <w:iCs/>
                <w:szCs w:val="20"/>
                <w:lang w:val="fr-CA"/>
              </w:rPr>
              <w:t xml:space="preserve">Convention de La Haye </w:t>
            </w:r>
            <w:r w:rsidRPr="00982C2B">
              <w:rPr>
                <w:rFonts w:cs="Times New Roman"/>
                <w:iCs/>
                <w:szCs w:val="20"/>
                <w:lang w:val="fr-CA"/>
              </w:rPr>
              <w:t xml:space="preserve">en vue du retour d’un enfant canadien autiste à un pays qui n’offre pas de traitement accessible et reconnu pour le trouble du spectre autistique enfreint-il l’engagement du Canada à protéger les droits de la personne et les libertés fondamentales des enfants handicapés pris à l’art. 23 de la </w:t>
            </w:r>
            <w:r w:rsidRPr="00982C2B">
              <w:rPr>
                <w:rFonts w:cs="Times New Roman"/>
                <w:i/>
                <w:iCs/>
                <w:szCs w:val="20"/>
                <w:lang w:val="fr-CA"/>
              </w:rPr>
              <w:t>Convention des Nations Unies relative aux droits de l’enfant</w:t>
            </w:r>
            <w:r w:rsidRPr="00982C2B">
              <w:rPr>
                <w:rFonts w:cs="Times New Roman"/>
                <w:iCs/>
                <w:szCs w:val="20"/>
                <w:lang w:val="fr-CA"/>
              </w:rPr>
              <w:t>, R.T. Can. 992 n</w:t>
            </w:r>
            <w:r w:rsidRPr="00982C2B">
              <w:rPr>
                <w:rFonts w:cs="Times New Roman"/>
                <w:iCs/>
                <w:szCs w:val="20"/>
                <w:vertAlign w:val="superscript"/>
                <w:lang w:val="fr-CA"/>
              </w:rPr>
              <w:t>o</w:t>
            </w:r>
            <w:r w:rsidRPr="00982C2B">
              <w:rPr>
                <w:rFonts w:cs="Times New Roman"/>
                <w:iCs/>
                <w:szCs w:val="20"/>
                <w:lang w:val="fr-CA"/>
              </w:rPr>
              <w:t xml:space="preserve"> 3? </w:t>
            </w:r>
            <w:r w:rsidRPr="00982C2B">
              <w:rPr>
                <w:rFonts w:cs="Times New Roman"/>
                <w:szCs w:val="20"/>
                <w:lang w:val="fr-CA"/>
              </w:rPr>
              <w:t xml:space="preserve">— La citoyenneté canadienne de l’enfant oblige-t-elle le tribunal à trancher, en exerçant sa compétence </w:t>
            </w:r>
            <w:r w:rsidRPr="00982C2B">
              <w:rPr>
                <w:rFonts w:cs="Times New Roman"/>
                <w:i/>
                <w:szCs w:val="20"/>
                <w:lang w:val="fr-CA"/>
              </w:rPr>
              <w:t>parens patriae</w:t>
            </w:r>
            <w:r w:rsidRPr="00982C2B">
              <w:rPr>
                <w:rFonts w:cs="Times New Roman"/>
                <w:szCs w:val="20"/>
                <w:lang w:val="fr-CA"/>
              </w:rPr>
              <w:t xml:space="preserve">, sur le fondement de l’art. 23 de la </w:t>
            </w:r>
            <w:r w:rsidRPr="00982C2B">
              <w:rPr>
                <w:rFonts w:cs="Times New Roman"/>
                <w:i/>
                <w:szCs w:val="20"/>
                <w:lang w:val="fr-CA"/>
              </w:rPr>
              <w:t>Convention des Nations Unies</w:t>
            </w:r>
            <w:r w:rsidRPr="00982C2B">
              <w:rPr>
                <w:rFonts w:cs="Times New Roman"/>
                <w:szCs w:val="20"/>
                <w:lang w:val="fr-CA"/>
              </w:rPr>
              <w:t xml:space="preserve">, même si les considérations dans ce cas peuvent ne pas être compatibles avec l’application de la </w:t>
            </w:r>
            <w:r w:rsidRPr="00982C2B">
              <w:rPr>
                <w:rFonts w:cs="Times New Roman"/>
                <w:i/>
                <w:szCs w:val="20"/>
                <w:lang w:val="fr-CA"/>
              </w:rPr>
              <w:t>Convention de La Haye</w:t>
            </w:r>
            <w:r w:rsidRPr="00982C2B">
              <w:rPr>
                <w:rFonts w:cs="Times New Roman"/>
                <w:szCs w:val="20"/>
                <w:lang w:val="fr-CA"/>
              </w:rPr>
              <w:t>?</w:t>
            </w:r>
          </w:p>
          <w:p w:rsidR="00B417EE" w:rsidRPr="00982C2B" w:rsidRDefault="00B417EE" w:rsidP="0052683C">
            <w:pPr>
              <w:pStyle w:val="SCCShortJudgment"/>
              <w:ind w:firstLine="0"/>
              <w:rPr>
                <w:rFonts w:cs="Times New Roman"/>
                <w:szCs w:val="20"/>
                <w:u w:val="single"/>
                <w:lang w:val="fr-CA"/>
              </w:rPr>
            </w:pPr>
          </w:p>
        </w:tc>
      </w:tr>
      <w:tr w:rsidR="00B417EE" w:rsidRPr="009F3029" w:rsidTr="00B417EE">
        <w:tc>
          <w:tcPr>
            <w:tcW w:w="9576" w:type="dxa"/>
            <w:gridSpan w:val="4"/>
          </w:tcPr>
          <w:p w:rsidR="00B417EE" w:rsidRPr="00982C2B" w:rsidRDefault="00B417EE" w:rsidP="00B417EE">
            <w:pPr>
              <w:jc w:val="both"/>
              <w:rPr>
                <w:rFonts w:cs="Times New Roman"/>
                <w:sz w:val="20"/>
                <w:szCs w:val="20"/>
                <w:u w:val="single"/>
                <w:lang w:val="fr-CA"/>
              </w:rPr>
            </w:pPr>
            <w:r w:rsidRPr="00982C2B">
              <w:rPr>
                <w:rFonts w:cs="Times New Roman"/>
                <w:spacing w:val="-3"/>
                <w:sz w:val="20"/>
                <w:szCs w:val="20"/>
                <w:lang w:val="fr-CA"/>
              </w:rPr>
              <w:t>Les parties se sont mariées à Colima, au Mexique, et ont deux enfants.</w:t>
            </w:r>
            <w:r w:rsidRPr="00982C2B">
              <w:rPr>
                <w:rFonts w:cs="Times New Roman"/>
                <w:sz w:val="20"/>
                <w:szCs w:val="20"/>
                <w:lang w:val="fr-CA"/>
              </w:rPr>
              <w:t xml:space="preserve"> Après la séparation des parents, le premier tribunal de la famille de Colima a rendu une ordonnance sur consentement accordant à l’intimée la garde principale des enfants et autorisant le demandeur à les emmener en Colombie-Britannique pendant l’été pour exercer ses droits d’accès. Inquiets à propos de retards dans le développement des enfants, l’intimée les a fait évaluer au Mexique, et le demandeur, pendant l’été. Selon le diagnostic, D souffre d’autisme, et N, de difficultés graves d’apprentissage. Les enfants ont commencé une thérapie pendant un séjour en 2014 prévu pour l’exercice des droits d’accès. À la fin du séjour, le demandeur n’a pas renvoyé les enfants au Mexique, conformément à l’ordonnance de garde mexicaine. L’intimée a présenté une requête en vue de faire enjoindre au demandeur de renvoyer les enfants au Mexique, en vertu de la </w:t>
            </w:r>
            <w:r w:rsidRPr="00982C2B">
              <w:rPr>
                <w:rFonts w:cs="Times New Roman"/>
                <w:i/>
                <w:sz w:val="20"/>
                <w:szCs w:val="20"/>
                <w:lang w:val="fr-CA"/>
              </w:rPr>
              <w:t>Family Law Act</w:t>
            </w:r>
            <w:r w:rsidRPr="00982C2B">
              <w:rPr>
                <w:rFonts w:cs="Times New Roman"/>
                <w:sz w:val="20"/>
                <w:szCs w:val="20"/>
                <w:lang w:val="fr-CA"/>
              </w:rPr>
              <w:t xml:space="preserve">, S.B.C. 2011, c. 25 (la « FLA ») et de la </w:t>
            </w:r>
            <w:r w:rsidRPr="00982C2B">
              <w:rPr>
                <w:rFonts w:cs="Times New Roman"/>
                <w:i/>
                <w:sz w:val="20"/>
                <w:szCs w:val="20"/>
                <w:lang w:val="fr-CA"/>
              </w:rPr>
              <w:t>Convention de La Haye</w:t>
            </w:r>
            <w:r w:rsidRPr="00982C2B">
              <w:rPr>
                <w:rFonts w:cs="Times New Roman"/>
                <w:sz w:val="20"/>
                <w:szCs w:val="20"/>
                <w:lang w:val="fr-CA"/>
              </w:rPr>
              <w:t>. Le demandeur a plaidé qu’en gardant les enfants en Colombie-Britannique, il n’avait pas mal agi et, subsidiairement, il a fait valoir que leur retour à un endroit n’offrant pas la thérapie nécessaire exposerait D à des préjudices psychologiques graves ou le placerait dans une situation intolérable. La Cour suprême de la Colombie-Britannique a accueilli la requête de l’intimée, et la cour d’appel a rejeté l’appel.</w:t>
            </w:r>
          </w:p>
        </w:tc>
      </w:tr>
      <w:tr w:rsidR="00B417EE" w:rsidRPr="009F3029" w:rsidTr="00B417EE">
        <w:trPr>
          <w:cantSplit/>
        </w:trPr>
        <w:tc>
          <w:tcPr>
            <w:tcW w:w="9576" w:type="dxa"/>
            <w:gridSpan w:val="4"/>
          </w:tcPr>
          <w:p w:rsidR="00B417EE" w:rsidRPr="00982C2B" w:rsidRDefault="00B417EE" w:rsidP="00B417EE">
            <w:pPr>
              <w:pStyle w:val="SCCShortJudgment"/>
              <w:ind w:firstLine="0"/>
              <w:rPr>
                <w:rFonts w:cs="Times New Roman"/>
                <w:szCs w:val="20"/>
                <w:u w:val="single"/>
                <w:lang w:val="fr-CA"/>
              </w:rPr>
            </w:pPr>
          </w:p>
        </w:tc>
      </w:tr>
      <w:tr w:rsidR="00B417EE" w:rsidRPr="009F3029" w:rsidTr="00B417EE">
        <w:trPr>
          <w:cantSplit/>
        </w:trPr>
        <w:tc>
          <w:tcPr>
            <w:tcW w:w="4410" w:type="dxa"/>
            <w:gridSpan w:val="2"/>
          </w:tcPr>
          <w:p w:rsidR="00B417EE" w:rsidRPr="00982C2B" w:rsidRDefault="00B417EE" w:rsidP="00B417EE">
            <w:pPr>
              <w:jc w:val="both"/>
              <w:rPr>
                <w:rFonts w:cs="Times New Roman"/>
                <w:sz w:val="20"/>
                <w:szCs w:val="20"/>
                <w:lang w:val="fr-CA"/>
              </w:rPr>
            </w:pPr>
            <w:r w:rsidRPr="00982C2B">
              <w:rPr>
                <w:rFonts w:cs="Times New Roman"/>
                <w:sz w:val="20"/>
                <w:szCs w:val="20"/>
                <w:lang w:val="fr-CA"/>
              </w:rPr>
              <w:t>Le 17 août 2015</w:t>
            </w:r>
          </w:p>
          <w:p w:rsidR="00B417EE" w:rsidRPr="00982C2B" w:rsidRDefault="00B417EE" w:rsidP="00B417EE">
            <w:pPr>
              <w:jc w:val="both"/>
              <w:rPr>
                <w:rFonts w:cs="Times New Roman"/>
                <w:sz w:val="20"/>
                <w:szCs w:val="20"/>
                <w:lang w:val="fr-CA"/>
              </w:rPr>
            </w:pPr>
            <w:r w:rsidRPr="00982C2B">
              <w:rPr>
                <w:rFonts w:cs="Times New Roman"/>
                <w:sz w:val="20"/>
                <w:szCs w:val="20"/>
                <w:lang w:val="fr-CA"/>
              </w:rPr>
              <w:t>Cour suprême de la Colombie-Britannique</w:t>
            </w:r>
          </w:p>
          <w:p w:rsidR="00B417EE" w:rsidRPr="00982C2B" w:rsidRDefault="00B417EE" w:rsidP="00B417EE">
            <w:pPr>
              <w:jc w:val="both"/>
              <w:rPr>
                <w:rFonts w:cs="Times New Roman"/>
                <w:sz w:val="20"/>
                <w:szCs w:val="20"/>
                <w:lang w:val="fr-CA"/>
              </w:rPr>
            </w:pPr>
            <w:r w:rsidRPr="00982C2B">
              <w:rPr>
                <w:rFonts w:cs="Times New Roman"/>
                <w:sz w:val="20"/>
                <w:szCs w:val="20"/>
                <w:lang w:val="fr-CA"/>
              </w:rPr>
              <w:t>(Juge Butler)</w:t>
            </w:r>
          </w:p>
          <w:p w:rsidR="00B417EE" w:rsidRPr="00982C2B" w:rsidRDefault="009F3029" w:rsidP="00B417EE">
            <w:pPr>
              <w:jc w:val="both"/>
              <w:rPr>
                <w:rFonts w:cs="Times New Roman"/>
                <w:color w:val="0000FF" w:themeColor="hyperlink"/>
                <w:sz w:val="20"/>
                <w:szCs w:val="20"/>
                <w:u w:val="single"/>
                <w:lang w:val="fr-CA"/>
              </w:rPr>
            </w:pPr>
            <w:hyperlink r:id="rId124" w:history="1">
              <w:r w:rsidR="00B417EE" w:rsidRPr="00982C2B">
                <w:rPr>
                  <w:rStyle w:val="Hyperlink"/>
                  <w:rFonts w:cs="Times New Roman"/>
                  <w:sz w:val="20"/>
                  <w:szCs w:val="20"/>
                  <w:lang w:val="fr-CA"/>
                </w:rPr>
                <w:t>2015 BCSC 1446</w:t>
              </w:r>
            </w:hyperlink>
          </w:p>
          <w:p w:rsidR="00B417EE" w:rsidRPr="00982C2B" w:rsidRDefault="00B417EE" w:rsidP="00B417EE">
            <w:pPr>
              <w:pStyle w:val="SCCShortJudgment"/>
              <w:ind w:firstLine="0"/>
              <w:rPr>
                <w:rFonts w:cs="Times New Roman"/>
                <w:szCs w:val="20"/>
                <w:u w:val="single"/>
                <w:lang w:val="fr-CA"/>
              </w:rPr>
            </w:pPr>
          </w:p>
        </w:tc>
        <w:tc>
          <w:tcPr>
            <w:tcW w:w="630" w:type="dxa"/>
          </w:tcPr>
          <w:p w:rsidR="00B417EE" w:rsidRPr="00982C2B" w:rsidRDefault="00B417EE" w:rsidP="00B417EE">
            <w:pPr>
              <w:pStyle w:val="SCCShortJudgment"/>
              <w:ind w:firstLine="0"/>
              <w:rPr>
                <w:rFonts w:cs="Times New Roman"/>
                <w:szCs w:val="20"/>
                <w:u w:val="single"/>
                <w:lang w:val="fr-CA"/>
              </w:rPr>
            </w:pPr>
          </w:p>
        </w:tc>
        <w:tc>
          <w:tcPr>
            <w:tcW w:w="4536" w:type="dxa"/>
          </w:tcPr>
          <w:p w:rsidR="00B417EE" w:rsidRPr="00982C2B" w:rsidRDefault="00B417EE" w:rsidP="00240C42">
            <w:pPr>
              <w:pStyle w:val="SCCShortJudgment"/>
              <w:ind w:firstLine="0"/>
              <w:rPr>
                <w:rFonts w:cs="Times New Roman"/>
                <w:szCs w:val="20"/>
                <w:u w:val="single"/>
                <w:lang w:val="fr-CA"/>
              </w:rPr>
            </w:pPr>
            <w:r w:rsidRPr="00982C2B">
              <w:rPr>
                <w:rFonts w:cs="Times New Roman"/>
                <w:szCs w:val="20"/>
                <w:lang w:val="fr-CA"/>
              </w:rPr>
              <w:t>Octroi de la requête présentée par l’intimée pour obliger le demandeur à retourner les enfants au Mexique.</w:t>
            </w:r>
          </w:p>
        </w:tc>
      </w:tr>
      <w:tr w:rsidR="00B417EE" w:rsidRPr="00982C2B" w:rsidTr="00B417EE">
        <w:trPr>
          <w:cantSplit/>
        </w:trPr>
        <w:tc>
          <w:tcPr>
            <w:tcW w:w="4410" w:type="dxa"/>
            <w:gridSpan w:val="2"/>
          </w:tcPr>
          <w:p w:rsidR="00B417EE" w:rsidRPr="00982C2B" w:rsidRDefault="00B417EE" w:rsidP="00B417EE">
            <w:pPr>
              <w:jc w:val="both"/>
              <w:rPr>
                <w:rFonts w:cs="Times New Roman"/>
                <w:sz w:val="20"/>
                <w:szCs w:val="20"/>
                <w:lang w:val="fr-CA"/>
              </w:rPr>
            </w:pPr>
            <w:r w:rsidRPr="00982C2B">
              <w:rPr>
                <w:rFonts w:cs="Times New Roman"/>
                <w:sz w:val="20"/>
                <w:szCs w:val="20"/>
                <w:lang w:val="fr-CA"/>
              </w:rPr>
              <w:t>Le 8 décembre 2015</w:t>
            </w:r>
          </w:p>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Cour d’appel de la Colombie-Britannique </w:t>
            </w:r>
          </w:p>
          <w:p w:rsidR="00B417EE" w:rsidRPr="00982C2B" w:rsidRDefault="00B417EE" w:rsidP="00B417EE">
            <w:pPr>
              <w:jc w:val="both"/>
              <w:rPr>
                <w:rFonts w:cs="Times New Roman"/>
                <w:sz w:val="20"/>
                <w:szCs w:val="20"/>
                <w:lang w:val="fr-CA"/>
              </w:rPr>
            </w:pPr>
            <w:r w:rsidRPr="00982C2B">
              <w:rPr>
                <w:rFonts w:cs="Times New Roman"/>
                <w:sz w:val="20"/>
                <w:szCs w:val="20"/>
                <w:lang w:val="fr-CA"/>
              </w:rPr>
              <w:t>(Vancouver)</w:t>
            </w:r>
          </w:p>
          <w:p w:rsidR="00B417EE" w:rsidRPr="00982C2B" w:rsidRDefault="00B417EE" w:rsidP="00B417EE">
            <w:pPr>
              <w:jc w:val="both"/>
              <w:rPr>
                <w:rFonts w:cs="Times New Roman"/>
                <w:sz w:val="20"/>
                <w:szCs w:val="20"/>
                <w:lang w:val="fr-CA"/>
              </w:rPr>
            </w:pPr>
            <w:r w:rsidRPr="00982C2B">
              <w:rPr>
                <w:rFonts w:cs="Times New Roman"/>
                <w:sz w:val="20"/>
                <w:szCs w:val="20"/>
                <w:lang w:val="fr-CA"/>
              </w:rPr>
              <w:t>(Juges Kirkpatrick, Garson et Goepel)</w:t>
            </w:r>
          </w:p>
          <w:p w:rsidR="00B417EE" w:rsidRPr="00982C2B" w:rsidRDefault="009F3029" w:rsidP="00B417EE">
            <w:pPr>
              <w:pStyle w:val="SCCShortJudgment"/>
              <w:tabs>
                <w:tab w:val="left" w:pos="1102"/>
              </w:tabs>
              <w:ind w:firstLine="0"/>
              <w:rPr>
                <w:rFonts w:cs="Times New Roman"/>
                <w:szCs w:val="20"/>
                <w:lang w:val="fr-CA"/>
              </w:rPr>
            </w:pPr>
            <w:hyperlink r:id="rId125" w:history="1">
              <w:r w:rsidR="00B417EE" w:rsidRPr="00982C2B">
                <w:rPr>
                  <w:rStyle w:val="Hyperlink"/>
                  <w:rFonts w:cs="Times New Roman"/>
                  <w:szCs w:val="20"/>
                  <w:lang w:val="fr-CA"/>
                </w:rPr>
                <w:t>2015 BCCA 508</w:t>
              </w:r>
            </w:hyperlink>
            <w:r w:rsidR="00B417EE" w:rsidRPr="00982C2B">
              <w:rPr>
                <w:rFonts w:cs="Times New Roman"/>
                <w:szCs w:val="20"/>
                <w:lang w:val="fr-CA"/>
              </w:rPr>
              <w:t>; CA43039</w:t>
            </w:r>
          </w:p>
          <w:p w:rsidR="00B417EE" w:rsidRPr="00982C2B" w:rsidRDefault="00B417EE" w:rsidP="00B417EE">
            <w:pPr>
              <w:pStyle w:val="SCCShortJudgment"/>
              <w:tabs>
                <w:tab w:val="left" w:pos="1102"/>
              </w:tabs>
              <w:ind w:firstLine="0"/>
              <w:rPr>
                <w:rFonts w:cs="Times New Roman"/>
                <w:szCs w:val="20"/>
                <w:u w:val="single"/>
                <w:lang w:val="fr-CA"/>
              </w:rPr>
            </w:pPr>
          </w:p>
        </w:tc>
        <w:tc>
          <w:tcPr>
            <w:tcW w:w="630" w:type="dxa"/>
          </w:tcPr>
          <w:p w:rsidR="00B417EE" w:rsidRPr="00982C2B" w:rsidRDefault="00B417EE" w:rsidP="00B417EE">
            <w:pPr>
              <w:pStyle w:val="SCCShortJudgment"/>
              <w:ind w:firstLine="0"/>
              <w:rPr>
                <w:rFonts w:cs="Times New Roman"/>
                <w:szCs w:val="20"/>
                <w:u w:val="single"/>
                <w:lang w:val="fr-CA"/>
              </w:rPr>
            </w:pPr>
          </w:p>
        </w:tc>
        <w:tc>
          <w:tcPr>
            <w:tcW w:w="4536" w:type="dxa"/>
          </w:tcPr>
          <w:p w:rsidR="00B417EE" w:rsidRPr="00982C2B" w:rsidRDefault="00B417EE" w:rsidP="00B417EE">
            <w:pPr>
              <w:pStyle w:val="SCCShortJudgment"/>
              <w:ind w:firstLine="0"/>
              <w:rPr>
                <w:rFonts w:cs="Times New Roman"/>
                <w:szCs w:val="20"/>
                <w:lang w:val="fr-CA"/>
              </w:rPr>
            </w:pPr>
            <w:r w:rsidRPr="00982C2B">
              <w:rPr>
                <w:rFonts w:cs="Times New Roman"/>
                <w:szCs w:val="20"/>
                <w:lang w:val="fr-CA"/>
              </w:rPr>
              <w:t>Rejet de l’appel</w:t>
            </w:r>
          </w:p>
        </w:tc>
      </w:tr>
      <w:tr w:rsidR="00B417EE" w:rsidRPr="009F3029" w:rsidTr="00B417EE">
        <w:trPr>
          <w:cantSplit/>
        </w:trPr>
        <w:tc>
          <w:tcPr>
            <w:tcW w:w="4410" w:type="dxa"/>
            <w:gridSpan w:val="2"/>
          </w:tcPr>
          <w:p w:rsidR="00B417EE" w:rsidRPr="00982C2B" w:rsidRDefault="00B417EE" w:rsidP="00B417EE">
            <w:pPr>
              <w:jc w:val="both"/>
              <w:rPr>
                <w:rFonts w:cs="Times New Roman"/>
                <w:sz w:val="20"/>
                <w:szCs w:val="20"/>
                <w:lang w:val="fr-CA"/>
              </w:rPr>
            </w:pPr>
            <w:r w:rsidRPr="00982C2B">
              <w:rPr>
                <w:rFonts w:cs="Times New Roman"/>
                <w:sz w:val="20"/>
                <w:szCs w:val="20"/>
                <w:lang w:val="fr-CA"/>
              </w:rPr>
              <w:t>Le 17 décembre 2015</w:t>
            </w:r>
          </w:p>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Cour d’appel de la Colombie-Britannique </w:t>
            </w:r>
          </w:p>
          <w:p w:rsidR="00B417EE" w:rsidRPr="00982C2B" w:rsidRDefault="00B417EE" w:rsidP="00B417EE">
            <w:pPr>
              <w:jc w:val="both"/>
              <w:rPr>
                <w:rFonts w:cs="Times New Roman"/>
                <w:sz w:val="20"/>
                <w:szCs w:val="20"/>
                <w:lang w:val="fr-CA"/>
              </w:rPr>
            </w:pPr>
            <w:r w:rsidRPr="00982C2B">
              <w:rPr>
                <w:rFonts w:cs="Times New Roman"/>
                <w:sz w:val="20"/>
                <w:szCs w:val="20"/>
                <w:lang w:val="fr-CA"/>
              </w:rPr>
              <w:t>(Vancouver)</w:t>
            </w:r>
          </w:p>
          <w:p w:rsidR="00B417EE" w:rsidRPr="00982C2B" w:rsidRDefault="00B417EE" w:rsidP="00B417EE">
            <w:pPr>
              <w:jc w:val="both"/>
              <w:rPr>
                <w:rFonts w:cs="Times New Roman"/>
                <w:sz w:val="20"/>
                <w:szCs w:val="20"/>
                <w:lang w:val="fr-CA"/>
              </w:rPr>
            </w:pPr>
            <w:r w:rsidRPr="00982C2B">
              <w:rPr>
                <w:rFonts w:cs="Times New Roman"/>
                <w:sz w:val="20"/>
                <w:szCs w:val="20"/>
                <w:lang w:val="fr-CA"/>
              </w:rPr>
              <w:t>(Juge Harris)</w:t>
            </w:r>
          </w:p>
          <w:p w:rsidR="00B417EE" w:rsidRPr="00982C2B" w:rsidRDefault="009F3029" w:rsidP="00B417EE">
            <w:pPr>
              <w:jc w:val="both"/>
              <w:rPr>
                <w:rFonts w:cs="Times New Roman"/>
                <w:sz w:val="20"/>
                <w:szCs w:val="20"/>
                <w:lang w:val="fr-CA"/>
              </w:rPr>
            </w:pPr>
            <w:hyperlink r:id="rId126" w:history="1">
              <w:r w:rsidR="00B417EE" w:rsidRPr="00982C2B">
                <w:rPr>
                  <w:rStyle w:val="Hyperlink"/>
                  <w:rFonts w:cs="Times New Roman"/>
                  <w:sz w:val="20"/>
                  <w:szCs w:val="20"/>
                  <w:lang w:val="fr-CA"/>
                </w:rPr>
                <w:t>2015 BCCA 531</w:t>
              </w:r>
            </w:hyperlink>
          </w:p>
          <w:p w:rsidR="00B417EE" w:rsidRPr="00982C2B" w:rsidRDefault="00B417EE" w:rsidP="00B417EE">
            <w:pPr>
              <w:pStyle w:val="SCCShortJudgment"/>
              <w:ind w:firstLine="0"/>
              <w:rPr>
                <w:rFonts w:cs="Times New Roman"/>
                <w:szCs w:val="20"/>
                <w:u w:val="single"/>
                <w:lang w:val="fr-CA"/>
              </w:rPr>
            </w:pPr>
          </w:p>
        </w:tc>
        <w:tc>
          <w:tcPr>
            <w:tcW w:w="630" w:type="dxa"/>
          </w:tcPr>
          <w:p w:rsidR="00B417EE" w:rsidRPr="00982C2B" w:rsidRDefault="00B417EE" w:rsidP="00B417EE">
            <w:pPr>
              <w:pStyle w:val="SCCShortJudgment"/>
              <w:ind w:firstLine="0"/>
              <w:rPr>
                <w:rFonts w:cs="Times New Roman"/>
                <w:szCs w:val="20"/>
                <w:u w:val="single"/>
                <w:lang w:val="fr-CA"/>
              </w:rPr>
            </w:pPr>
          </w:p>
        </w:tc>
        <w:tc>
          <w:tcPr>
            <w:tcW w:w="4536"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 xml:space="preserve">Ordonnance de sursis à l’exécution de l’ordonnance issue de 2015 BCCA 508 pour une période de 45 jours ou jusqu’à la décision sur la demande d’autorisation d’appel déposée pendant cette période. </w:t>
            </w:r>
          </w:p>
          <w:p w:rsidR="00B417EE" w:rsidRPr="00982C2B" w:rsidRDefault="00B417EE" w:rsidP="00B417EE">
            <w:pPr>
              <w:pStyle w:val="SCCShortJudgment"/>
              <w:ind w:firstLine="0"/>
              <w:rPr>
                <w:rFonts w:cs="Times New Roman"/>
                <w:szCs w:val="20"/>
                <w:u w:val="single"/>
                <w:lang w:val="fr-CA"/>
              </w:rPr>
            </w:pPr>
          </w:p>
        </w:tc>
      </w:tr>
      <w:tr w:rsidR="00B417EE" w:rsidRPr="009F3029" w:rsidTr="00B417EE">
        <w:trPr>
          <w:cantSplit/>
        </w:trPr>
        <w:tc>
          <w:tcPr>
            <w:tcW w:w="4410" w:type="dxa"/>
            <w:gridSpan w:val="2"/>
          </w:tcPr>
          <w:p w:rsidR="00B417EE" w:rsidRPr="00982C2B" w:rsidRDefault="00B417EE" w:rsidP="00B417EE">
            <w:pPr>
              <w:jc w:val="both"/>
              <w:rPr>
                <w:rFonts w:cs="Times New Roman"/>
                <w:sz w:val="20"/>
                <w:szCs w:val="20"/>
                <w:lang w:val="fr-CA"/>
              </w:rPr>
            </w:pPr>
            <w:r w:rsidRPr="00982C2B">
              <w:rPr>
                <w:rFonts w:cs="Times New Roman"/>
                <w:sz w:val="20"/>
                <w:szCs w:val="20"/>
                <w:lang w:val="fr-CA"/>
              </w:rPr>
              <w:t>Le 20 janvier 2016</w:t>
            </w:r>
          </w:p>
          <w:p w:rsidR="00B417EE" w:rsidRPr="00982C2B" w:rsidRDefault="00B417EE" w:rsidP="00B417EE">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B417EE" w:rsidRPr="00982C2B" w:rsidRDefault="00B417EE" w:rsidP="00B417EE">
            <w:pPr>
              <w:pStyle w:val="SCCShortJudgment"/>
              <w:ind w:firstLine="0"/>
              <w:rPr>
                <w:rFonts w:cs="Times New Roman"/>
                <w:szCs w:val="20"/>
                <w:u w:val="single"/>
                <w:lang w:val="fr-CA"/>
              </w:rPr>
            </w:pPr>
          </w:p>
        </w:tc>
        <w:tc>
          <w:tcPr>
            <w:tcW w:w="4536" w:type="dxa"/>
          </w:tcPr>
          <w:p w:rsidR="00B417EE" w:rsidRPr="00982C2B" w:rsidRDefault="00B417EE" w:rsidP="00B417EE">
            <w:pPr>
              <w:jc w:val="both"/>
              <w:rPr>
                <w:rFonts w:cs="Times New Roman"/>
                <w:sz w:val="20"/>
                <w:szCs w:val="20"/>
                <w:lang w:val="fr-CA"/>
              </w:rPr>
            </w:pPr>
            <w:r w:rsidRPr="00982C2B">
              <w:rPr>
                <w:rFonts w:cs="Times New Roman"/>
                <w:sz w:val="20"/>
                <w:szCs w:val="20"/>
                <w:lang w:val="fr-CA"/>
              </w:rPr>
              <w:t>Dépôt de la demande d’autorisation d’appel</w:t>
            </w:r>
          </w:p>
          <w:p w:rsidR="00B417EE" w:rsidRPr="00982C2B" w:rsidRDefault="00B417EE" w:rsidP="00B417EE">
            <w:pPr>
              <w:pStyle w:val="SCCShortJudgment"/>
              <w:ind w:firstLine="0"/>
              <w:rPr>
                <w:rFonts w:cs="Times New Roman"/>
                <w:szCs w:val="20"/>
                <w:u w:val="single"/>
                <w:lang w:val="fr-CA"/>
              </w:rPr>
            </w:pPr>
          </w:p>
        </w:tc>
      </w:tr>
    </w:tbl>
    <w:p w:rsidR="00B417EE" w:rsidRPr="00982C2B" w:rsidRDefault="009F3029" w:rsidP="00B417EE">
      <w:pPr>
        <w:rPr>
          <w:rFonts w:cs="Times New Roman"/>
          <w:sz w:val="20"/>
          <w:szCs w:val="20"/>
          <w:lang w:val="fr-CA"/>
        </w:rPr>
      </w:pPr>
      <w:r>
        <w:rPr>
          <w:rFonts w:cs="Times New Roman"/>
          <w:sz w:val="20"/>
          <w:szCs w:val="20"/>
          <w:lang w:val="fr-CA"/>
        </w:rPr>
        <w:pict>
          <v:rect id="_x0000_i1092" style="width:2in;height:1pt" o:hrpct="0" o:hralign="center" o:hrstd="t" o:hrnoshade="t" o:hr="t" fillcolor="black [3213]" stroked="f"/>
        </w:pict>
      </w:r>
    </w:p>
    <w:p w:rsidR="00B417EE" w:rsidRPr="00982C2B" w:rsidRDefault="00B417EE" w:rsidP="00B417EE">
      <w:pPr>
        <w:rPr>
          <w:rFonts w:cs="Times New Roman"/>
          <w:sz w:val="20"/>
          <w:szCs w:val="20"/>
        </w:rPr>
      </w:pPr>
    </w:p>
    <w:p w:rsidR="007E3F99" w:rsidRDefault="007E3F9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683C" w:rsidRPr="00982C2B" w:rsidTr="0052683C">
        <w:trPr>
          <w:cantSplit/>
        </w:trPr>
        <w:tc>
          <w:tcPr>
            <w:tcW w:w="1458" w:type="dxa"/>
          </w:tcPr>
          <w:p w:rsidR="0052683C" w:rsidRPr="00982C2B" w:rsidRDefault="0052683C" w:rsidP="0052683C">
            <w:pPr>
              <w:jc w:val="both"/>
              <w:rPr>
                <w:rFonts w:cs="Times New Roman"/>
                <w:sz w:val="20"/>
                <w:szCs w:val="20"/>
              </w:rPr>
            </w:pPr>
            <w:r w:rsidRPr="00982C2B">
              <w:rPr>
                <w:rStyle w:val="SCCFileNumberChar"/>
                <w:sz w:val="20"/>
                <w:szCs w:val="20"/>
              </w:rPr>
              <w:t>36823</w:t>
            </w:r>
          </w:p>
          <w:p w:rsidR="0052683C" w:rsidRPr="00982C2B" w:rsidRDefault="0052683C" w:rsidP="0052683C">
            <w:pPr>
              <w:jc w:val="both"/>
              <w:rPr>
                <w:rFonts w:cs="Times New Roman"/>
                <w:b/>
                <w:sz w:val="20"/>
                <w:szCs w:val="20"/>
              </w:rPr>
            </w:pPr>
          </w:p>
        </w:tc>
        <w:tc>
          <w:tcPr>
            <w:tcW w:w="8118" w:type="dxa"/>
            <w:gridSpan w:val="3"/>
          </w:tcPr>
          <w:p w:rsidR="0052683C" w:rsidRPr="00982C2B" w:rsidRDefault="0052683C" w:rsidP="0052683C">
            <w:pPr>
              <w:jc w:val="both"/>
              <w:rPr>
                <w:rFonts w:cs="Times New Roman"/>
                <w:sz w:val="20"/>
                <w:szCs w:val="20"/>
              </w:rPr>
            </w:pPr>
            <w:r w:rsidRPr="00982C2B">
              <w:rPr>
                <w:rStyle w:val="SCCLsocChar"/>
                <w:rFonts w:cs="Times New Roman"/>
                <w:sz w:val="20"/>
                <w:szCs w:val="20"/>
                <w:lang w:val="en-CA"/>
              </w:rPr>
              <w:t>Elisabeth Eveline Mitchinson and Timothy G. Mitchinson v. David Baker and Lawyers’ Professional Indemnity Company</w:t>
            </w:r>
            <w:r w:rsidRPr="00982C2B">
              <w:rPr>
                <w:rStyle w:val="SCCLsocChar"/>
                <w:rFonts w:cs="Times New Roman"/>
                <w:sz w:val="20"/>
                <w:szCs w:val="20"/>
                <w:u w:val="none"/>
                <w:lang w:val="en-CA"/>
              </w:rPr>
              <w:t xml:space="preserve"> </w:t>
            </w:r>
            <w:r w:rsidRPr="00982C2B">
              <w:rPr>
                <w:rFonts w:cs="Times New Roman"/>
                <w:sz w:val="20"/>
                <w:szCs w:val="20"/>
              </w:rPr>
              <w:t>(Ont.) (Civil) (By Leave)</w:t>
            </w:r>
          </w:p>
          <w:p w:rsidR="0052683C" w:rsidRPr="00982C2B" w:rsidRDefault="0052683C" w:rsidP="0052683C">
            <w:pPr>
              <w:jc w:val="both"/>
              <w:rPr>
                <w:rFonts w:cs="Times New Roman"/>
                <w:sz w:val="20"/>
                <w:szCs w:val="20"/>
              </w:rPr>
            </w:pPr>
          </w:p>
        </w:tc>
      </w:tr>
      <w:tr w:rsidR="0052683C" w:rsidRPr="00982C2B" w:rsidTr="0052683C">
        <w:trPr>
          <w:cantSplit/>
        </w:trPr>
        <w:tc>
          <w:tcPr>
            <w:tcW w:w="1458" w:type="dxa"/>
          </w:tcPr>
          <w:p w:rsidR="0052683C" w:rsidRPr="00982C2B" w:rsidRDefault="0052683C" w:rsidP="0052683C">
            <w:pPr>
              <w:jc w:val="both"/>
              <w:rPr>
                <w:rFonts w:cs="Times New Roman"/>
                <w:sz w:val="20"/>
                <w:szCs w:val="20"/>
              </w:rPr>
            </w:pPr>
            <w:r w:rsidRPr="00982C2B">
              <w:rPr>
                <w:rFonts w:cs="Times New Roman"/>
                <w:sz w:val="20"/>
                <w:szCs w:val="20"/>
              </w:rPr>
              <w:t>Coram :</w:t>
            </w:r>
          </w:p>
        </w:tc>
        <w:tc>
          <w:tcPr>
            <w:tcW w:w="8118" w:type="dxa"/>
            <w:gridSpan w:val="3"/>
          </w:tcPr>
          <w:p w:rsidR="0052683C" w:rsidRPr="00982C2B" w:rsidRDefault="0052683C" w:rsidP="0052683C">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52683C" w:rsidRPr="00982C2B" w:rsidRDefault="0052683C" w:rsidP="0052683C">
            <w:pPr>
              <w:jc w:val="both"/>
              <w:rPr>
                <w:rFonts w:cs="Times New Roman"/>
                <w:sz w:val="20"/>
                <w:szCs w:val="20"/>
                <w:u w:val="single"/>
              </w:rPr>
            </w:pPr>
          </w:p>
        </w:tc>
      </w:tr>
      <w:tr w:rsidR="0052683C" w:rsidRPr="009F3029" w:rsidTr="0052683C">
        <w:trPr>
          <w:cantSplit/>
        </w:trPr>
        <w:tc>
          <w:tcPr>
            <w:tcW w:w="9576" w:type="dxa"/>
            <w:gridSpan w:val="4"/>
          </w:tcPr>
          <w:p w:rsidR="0052683C" w:rsidRPr="00982C2B" w:rsidRDefault="0052683C" w:rsidP="0052683C">
            <w:pPr>
              <w:pStyle w:val="SCCShortJudgment"/>
              <w:ind w:firstLine="0"/>
              <w:rPr>
                <w:rFonts w:cs="Times New Roman"/>
                <w:szCs w:val="20"/>
              </w:rPr>
            </w:pPr>
            <w:r w:rsidRPr="00982C2B">
              <w:rPr>
                <w:rFonts w:cs="Times New Roman"/>
                <w:szCs w:val="20"/>
              </w:rPr>
              <w:tab/>
            </w:r>
            <w:r w:rsidR="009F76E0" w:rsidRPr="00982C2B">
              <w:rPr>
                <w:rFonts w:cs="Times New Roman"/>
                <w:szCs w:val="20"/>
              </w:rPr>
              <w:t>The motions for an extension of time to serve and file the application for leave to appeal are granted. The application for leave to appeal from the judgment of the Court of Appeal for Ontario, Number C59535, 2015 ONCA 623, dated September 17, 2015, is dismissed with costs.</w:t>
            </w:r>
          </w:p>
          <w:p w:rsidR="0052683C" w:rsidRPr="00982C2B" w:rsidRDefault="0052683C" w:rsidP="0052683C">
            <w:pPr>
              <w:pStyle w:val="SCCShortJudgment"/>
              <w:ind w:firstLine="0"/>
              <w:rPr>
                <w:rFonts w:cs="Times New Roman"/>
                <w:szCs w:val="20"/>
              </w:rPr>
            </w:pPr>
          </w:p>
          <w:p w:rsidR="0052683C" w:rsidRPr="00982C2B" w:rsidRDefault="0052683C" w:rsidP="0052683C">
            <w:pPr>
              <w:pStyle w:val="SCCShortJudgment"/>
              <w:ind w:firstLine="0"/>
              <w:rPr>
                <w:rFonts w:cs="Times New Roman"/>
                <w:szCs w:val="20"/>
                <w:lang w:val="fr-CA"/>
              </w:rPr>
            </w:pPr>
            <w:r w:rsidRPr="00982C2B">
              <w:rPr>
                <w:rFonts w:cs="Times New Roman"/>
                <w:szCs w:val="20"/>
              </w:rPr>
              <w:tab/>
            </w:r>
            <w:r w:rsidR="009F76E0" w:rsidRPr="00982C2B">
              <w:rPr>
                <w:rFonts w:cs="Times New Roman"/>
                <w:szCs w:val="20"/>
                <w:lang w:val="fr-CA"/>
              </w:rPr>
              <w:t xml:space="preserve">Les requêtes en prorogation du délai de signification et de dépôt de la demande d’autorisation d’appel sont accueillies. La demande d’autorisation d’appel de l’arrêt de la </w:t>
            </w:r>
            <w:r w:rsidR="009F76E0" w:rsidRPr="00982C2B">
              <w:rPr>
                <w:rFonts w:cs="Times New Roman"/>
                <w:szCs w:val="20"/>
                <w:lang w:val="fr-FR"/>
              </w:rPr>
              <w:t>Cour d’appel de l’Ontario</w:t>
            </w:r>
            <w:r w:rsidR="009F76E0" w:rsidRPr="00982C2B">
              <w:rPr>
                <w:rFonts w:cs="Times New Roman"/>
                <w:szCs w:val="20"/>
                <w:lang w:val="fr-CA"/>
              </w:rPr>
              <w:t xml:space="preserve">, numéro </w:t>
            </w:r>
            <w:r w:rsidR="009F76E0" w:rsidRPr="00982C2B">
              <w:rPr>
                <w:rFonts w:cs="Times New Roman"/>
                <w:szCs w:val="20"/>
                <w:lang w:val="fr-FR"/>
              </w:rPr>
              <w:t>C59535</w:t>
            </w:r>
            <w:r w:rsidR="009F76E0" w:rsidRPr="00982C2B">
              <w:rPr>
                <w:rFonts w:cs="Times New Roman"/>
                <w:szCs w:val="20"/>
                <w:lang w:val="fr-CA"/>
              </w:rPr>
              <w:t xml:space="preserve">, 2015 ONCA 623, daté du </w:t>
            </w:r>
            <w:r w:rsidR="009F76E0" w:rsidRPr="00982C2B">
              <w:rPr>
                <w:rFonts w:cs="Times New Roman"/>
                <w:szCs w:val="20"/>
                <w:lang w:val="fr-FR"/>
              </w:rPr>
              <w:t>17 septembre 2015</w:t>
            </w:r>
            <w:r w:rsidR="009F76E0" w:rsidRPr="00982C2B">
              <w:rPr>
                <w:rFonts w:cs="Times New Roman"/>
                <w:szCs w:val="20"/>
                <w:lang w:val="fr-CA"/>
              </w:rPr>
              <w:t>, est rejetée avec dépens.</w:t>
            </w:r>
          </w:p>
          <w:p w:rsidR="0052683C" w:rsidRPr="00982C2B" w:rsidRDefault="0052683C" w:rsidP="0052683C">
            <w:pPr>
              <w:pStyle w:val="SCCShortJudgment"/>
              <w:ind w:firstLine="0"/>
              <w:rPr>
                <w:rFonts w:cs="Times New Roman"/>
                <w:szCs w:val="20"/>
                <w:lang w:val="fr-CA"/>
              </w:rPr>
            </w:pPr>
          </w:p>
        </w:tc>
      </w:tr>
      <w:tr w:rsidR="0052683C" w:rsidRPr="00982C2B" w:rsidTr="0052683C">
        <w:trPr>
          <w:cantSplit/>
        </w:trPr>
        <w:tc>
          <w:tcPr>
            <w:tcW w:w="9576" w:type="dxa"/>
            <w:gridSpan w:val="4"/>
          </w:tcPr>
          <w:p w:rsidR="0052683C" w:rsidRPr="00982C2B" w:rsidRDefault="0052683C" w:rsidP="0052683C">
            <w:pPr>
              <w:pStyle w:val="SCCShortJudgment"/>
              <w:ind w:firstLine="0"/>
              <w:rPr>
                <w:rFonts w:cs="Times New Roman"/>
                <w:szCs w:val="20"/>
                <w:u w:val="single"/>
                <w:lang w:val="fr-CA"/>
              </w:rPr>
            </w:pPr>
            <w:r w:rsidRPr="00982C2B">
              <w:rPr>
                <w:rFonts w:cs="Times New Roman"/>
                <w:szCs w:val="20"/>
                <w:u w:val="single"/>
                <w:lang w:val="fr-CA"/>
              </w:rPr>
              <w:t>CASE SUMMARY</w:t>
            </w:r>
          </w:p>
          <w:p w:rsidR="0052683C" w:rsidRPr="00982C2B" w:rsidRDefault="0052683C" w:rsidP="0052683C">
            <w:pPr>
              <w:pStyle w:val="SCCShortJudgment"/>
              <w:ind w:firstLine="0"/>
              <w:rPr>
                <w:rFonts w:cs="Times New Roman"/>
                <w:szCs w:val="20"/>
                <w:u w:val="single"/>
                <w:lang w:val="fr-CA"/>
              </w:rPr>
            </w:pPr>
          </w:p>
        </w:tc>
      </w:tr>
      <w:tr w:rsidR="0052683C" w:rsidRPr="00982C2B" w:rsidTr="009F76E0">
        <w:trPr>
          <w:trHeight w:val="880"/>
        </w:trPr>
        <w:tc>
          <w:tcPr>
            <w:tcW w:w="9576" w:type="dxa"/>
            <w:gridSpan w:val="4"/>
          </w:tcPr>
          <w:p w:rsidR="0052683C" w:rsidRPr="00982C2B" w:rsidRDefault="009F76E0" w:rsidP="009F76E0">
            <w:pPr>
              <w:spacing w:after="200"/>
              <w:jc w:val="both"/>
              <w:rPr>
                <w:rFonts w:eastAsia="Times New Roman" w:cs="Times New Roman"/>
                <w:sz w:val="20"/>
                <w:szCs w:val="20"/>
                <w:lang w:eastAsia="en-CA"/>
              </w:rPr>
            </w:pPr>
            <w:r w:rsidRPr="00982C2B">
              <w:rPr>
                <w:rFonts w:eastAsia="Times New Roman" w:cs="Times New Roman"/>
                <w:i/>
                <w:sz w:val="20"/>
                <w:szCs w:val="20"/>
                <w:lang w:eastAsia="en-CA"/>
              </w:rPr>
              <w:t xml:space="preserve">Canadian Charter of Rights and Freedoms </w:t>
            </w:r>
            <w:r w:rsidRPr="00982C2B">
              <w:rPr>
                <w:rFonts w:cs="Times New Roman"/>
                <w:sz w:val="20"/>
                <w:szCs w:val="20"/>
              </w:rPr>
              <w:t>—</w:t>
            </w:r>
            <w:r w:rsidRPr="00982C2B">
              <w:rPr>
                <w:rFonts w:eastAsia="Times New Roman" w:cs="Times New Roman"/>
                <w:sz w:val="20"/>
                <w:szCs w:val="20"/>
                <w:lang w:eastAsia="en-CA"/>
              </w:rPr>
              <w:t xml:space="preserve"> Constitutional law </w:t>
            </w:r>
            <w:r w:rsidRPr="00982C2B">
              <w:rPr>
                <w:rFonts w:cs="Times New Roman"/>
                <w:sz w:val="20"/>
                <w:szCs w:val="20"/>
              </w:rPr>
              <w:t xml:space="preserve">— </w:t>
            </w:r>
            <w:r w:rsidRPr="00982C2B">
              <w:rPr>
                <w:rFonts w:eastAsia="Times New Roman" w:cs="Times New Roman"/>
                <w:sz w:val="20"/>
                <w:szCs w:val="20"/>
                <w:lang w:eastAsia="en-CA"/>
              </w:rPr>
              <w:t xml:space="preserve">Fundamental justice </w:t>
            </w:r>
            <w:r w:rsidRPr="00982C2B">
              <w:rPr>
                <w:rFonts w:cs="Times New Roman"/>
                <w:sz w:val="20"/>
                <w:szCs w:val="20"/>
              </w:rPr>
              <w:t>—</w:t>
            </w:r>
            <w:r w:rsidRPr="00982C2B">
              <w:rPr>
                <w:rFonts w:eastAsia="Times New Roman" w:cs="Times New Roman"/>
                <w:sz w:val="20"/>
                <w:szCs w:val="20"/>
                <w:lang w:eastAsia="en-CA"/>
              </w:rPr>
              <w:t xml:space="preserve"> Right to life, liberty and security of person </w:t>
            </w:r>
            <w:r w:rsidRPr="00982C2B">
              <w:rPr>
                <w:rFonts w:cs="Times New Roman"/>
                <w:sz w:val="20"/>
                <w:szCs w:val="20"/>
              </w:rPr>
              <w:t>—</w:t>
            </w:r>
            <w:r w:rsidRPr="00982C2B">
              <w:rPr>
                <w:rFonts w:eastAsia="Times New Roman" w:cs="Times New Roman"/>
                <w:sz w:val="20"/>
                <w:szCs w:val="20"/>
                <w:lang w:eastAsia="en-CA"/>
              </w:rPr>
              <w:t xml:space="preserve"> Right to equality </w:t>
            </w:r>
            <w:r w:rsidRPr="00982C2B">
              <w:rPr>
                <w:rFonts w:cs="Times New Roman"/>
                <w:sz w:val="20"/>
                <w:szCs w:val="20"/>
              </w:rPr>
              <w:t>—</w:t>
            </w:r>
            <w:r w:rsidRPr="00982C2B">
              <w:rPr>
                <w:rFonts w:eastAsia="Times New Roman" w:cs="Times New Roman"/>
                <w:sz w:val="20"/>
                <w:szCs w:val="20"/>
                <w:lang w:eastAsia="en-CA"/>
              </w:rPr>
              <w:t xml:space="preserve"> Remedy </w:t>
            </w:r>
            <w:r w:rsidRPr="00982C2B">
              <w:rPr>
                <w:rFonts w:cs="Times New Roman"/>
                <w:sz w:val="20"/>
                <w:szCs w:val="20"/>
              </w:rPr>
              <w:t>—</w:t>
            </w:r>
            <w:r w:rsidRPr="00982C2B">
              <w:rPr>
                <w:rFonts w:eastAsia="Times New Roman" w:cs="Times New Roman"/>
                <w:sz w:val="20"/>
                <w:szCs w:val="20"/>
                <w:lang w:eastAsia="en-CA"/>
              </w:rPr>
              <w:t xml:space="preserve"> Appeals </w:t>
            </w:r>
            <w:r w:rsidRPr="00982C2B">
              <w:rPr>
                <w:rFonts w:cs="Times New Roman"/>
                <w:sz w:val="20"/>
                <w:szCs w:val="20"/>
              </w:rPr>
              <w:t>—</w:t>
            </w:r>
            <w:r w:rsidRPr="00982C2B">
              <w:rPr>
                <w:rFonts w:eastAsia="Times New Roman" w:cs="Times New Roman"/>
                <w:sz w:val="20"/>
                <w:szCs w:val="20"/>
                <w:lang w:eastAsia="en-CA"/>
              </w:rPr>
              <w:t xml:space="preserve"> Respondent representing applicant, Ms. Mitchinson in human rights complaint brought relating termination of her employment </w:t>
            </w:r>
            <w:r w:rsidRPr="00982C2B">
              <w:rPr>
                <w:rFonts w:cs="Times New Roman"/>
                <w:sz w:val="20"/>
                <w:szCs w:val="20"/>
              </w:rPr>
              <w:t>—</w:t>
            </w:r>
            <w:r w:rsidRPr="00982C2B">
              <w:rPr>
                <w:rFonts w:eastAsia="Times New Roman" w:cs="Times New Roman"/>
                <w:sz w:val="20"/>
                <w:szCs w:val="20"/>
                <w:lang w:eastAsia="en-CA"/>
              </w:rPr>
              <w:t xml:space="preserve"> Respondent settled complaint on terms favourable to applicant </w:t>
            </w:r>
            <w:r w:rsidRPr="00982C2B">
              <w:rPr>
                <w:rFonts w:cs="Times New Roman"/>
                <w:sz w:val="20"/>
                <w:szCs w:val="20"/>
              </w:rPr>
              <w:t>—</w:t>
            </w:r>
            <w:r w:rsidRPr="00982C2B">
              <w:rPr>
                <w:rFonts w:eastAsia="Times New Roman" w:cs="Times New Roman"/>
                <w:sz w:val="20"/>
                <w:szCs w:val="20"/>
                <w:lang w:eastAsia="en-CA"/>
              </w:rPr>
              <w:t xml:space="preserve"> Applicant unhappy with legal fee which she alleged were more than estimate given to her </w:t>
            </w:r>
            <w:r w:rsidRPr="00982C2B">
              <w:rPr>
                <w:rFonts w:cs="Times New Roman"/>
                <w:sz w:val="20"/>
                <w:szCs w:val="20"/>
              </w:rPr>
              <w:t>—</w:t>
            </w:r>
            <w:r w:rsidRPr="00982C2B">
              <w:rPr>
                <w:rFonts w:eastAsia="Times New Roman" w:cs="Times New Roman"/>
                <w:sz w:val="20"/>
                <w:szCs w:val="20"/>
                <w:lang w:eastAsia="en-CA"/>
              </w:rPr>
              <w:t xml:space="preserve"> Applicant firing respondent before settlement finalized and steps taken to have his account assessed </w:t>
            </w:r>
            <w:r w:rsidRPr="00982C2B">
              <w:rPr>
                <w:rFonts w:cs="Times New Roman"/>
                <w:sz w:val="20"/>
                <w:szCs w:val="20"/>
              </w:rPr>
              <w:t>—</w:t>
            </w:r>
            <w:r w:rsidRPr="00982C2B">
              <w:rPr>
                <w:rFonts w:eastAsia="Times New Roman" w:cs="Times New Roman"/>
                <w:sz w:val="20"/>
                <w:szCs w:val="20"/>
                <w:lang w:eastAsia="en-CA"/>
              </w:rPr>
              <w:t xml:space="preserve"> Applicants commencing proceedings against respondent lawyer and respondent company </w:t>
            </w:r>
            <w:r w:rsidRPr="00982C2B">
              <w:rPr>
                <w:rFonts w:cs="Times New Roman"/>
                <w:sz w:val="20"/>
                <w:szCs w:val="20"/>
              </w:rPr>
              <w:t>— L</w:t>
            </w:r>
            <w:r w:rsidRPr="00982C2B">
              <w:rPr>
                <w:rFonts w:eastAsia="Times New Roman" w:cs="Times New Roman"/>
                <w:sz w:val="20"/>
                <w:szCs w:val="20"/>
                <w:lang w:eastAsia="en-CA"/>
              </w:rPr>
              <w:t xml:space="preserve">awyer’s motion to dismiss action as frivolous, vexatious and abuse of process allowed </w:t>
            </w:r>
            <w:r w:rsidRPr="00982C2B">
              <w:rPr>
                <w:rFonts w:cs="Times New Roman"/>
                <w:sz w:val="20"/>
                <w:szCs w:val="20"/>
              </w:rPr>
              <w:t>— C</w:t>
            </w:r>
            <w:r w:rsidRPr="00982C2B">
              <w:rPr>
                <w:rFonts w:eastAsia="Times New Roman" w:cs="Times New Roman"/>
                <w:sz w:val="20"/>
                <w:szCs w:val="20"/>
                <w:lang w:eastAsia="en-CA"/>
              </w:rPr>
              <w:t xml:space="preserve">ompany’s motion to strike claim on ground no reasonable cause of action disclosed allowed </w:t>
            </w:r>
            <w:r w:rsidRPr="00982C2B">
              <w:rPr>
                <w:rFonts w:cs="Times New Roman"/>
                <w:sz w:val="20"/>
                <w:szCs w:val="20"/>
              </w:rPr>
              <w:t>—</w:t>
            </w:r>
            <w:r w:rsidRPr="00982C2B">
              <w:rPr>
                <w:rFonts w:eastAsia="Times New Roman" w:cs="Times New Roman"/>
                <w:sz w:val="20"/>
                <w:szCs w:val="20"/>
                <w:lang w:eastAsia="en-CA"/>
              </w:rPr>
              <w:t xml:space="preserve"> Appeal to Court of Appeal dismissed </w:t>
            </w:r>
            <w:r w:rsidRPr="00982C2B">
              <w:rPr>
                <w:rFonts w:cs="Times New Roman"/>
                <w:sz w:val="20"/>
                <w:szCs w:val="20"/>
              </w:rPr>
              <w:t>—</w:t>
            </w:r>
            <w:r w:rsidRPr="00982C2B">
              <w:rPr>
                <w:rFonts w:eastAsia="Times New Roman" w:cs="Times New Roman"/>
                <w:sz w:val="20"/>
                <w:szCs w:val="20"/>
                <w:lang w:eastAsia="en-CA"/>
              </w:rPr>
              <w:t xml:space="preserve"> Whether Court of Appeal raises constitutional issues under ss. 7, 15 and 24(1) of the </w:t>
            </w:r>
            <w:r w:rsidRPr="00982C2B">
              <w:rPr>
                <w:rFonts w:eastAsia="Times New Roman" w:cs="Times New Roman"/>
                <w:i/>
                <w:sz w:val="20"/>
                <w:szCs w:val="20"/>
                <w:lang w:eastAsia="en-CA"/>
              </w:rPr>
              <w:t xml:space="preserve">Charter </w:t>
            </w:r>
            <w:r w:rsidRPr="00982C2B">
              <w:rPr>
                <w:rFonts w:cs="Times New Roman"/>
                <w:sz w:val="20"/>
                <w:szCs w:val="20"/>
              </w:rPr>
              <w:t>—</w:t>
            </w:r>
            <w:r w:rsidRPr="00982C2B">
              <w:rPr>
                <w:rFonts w:eastAsia="Times New Roman" w:cs="Times New Roman"/>
                <w:sz w:val="20"/>
                <w:szCs w:val="20"/>
                <w:lang w:eastAsia="en-CA"/>
              </w:rPr>
              <w:t xml:space="preserve"> Whether Court of Appeal decision puts law in Ontario in conflict with appellate law in British Columbia and Supreme Court of Canada </w:t>
            </w:r>
            <w:r w:rsidRPr="00982C2B">
              <w:rPr>
                <w:rFonts w:cs="Times New Roman"/>
                <w:sz w:val="20"/>
                <w:szCs w:val="20"/>
              </w:rPr>
              <w:t>—</w:t>
            </w:r>
            <w:r w:rsidRPr="00982C2B">
              <w:rPr>
                <w:rFonts w:eastAsia="Times New Roman" w:cs="Times New Roman"/>
                <w:sz w:val="20"/>
                <w:szCs w:val="20"/>
                <w:lang w:eastAsia="en-CA"/>
              </w:rPr>
              <w:t xml:space="preserve"> Whether Court of Appeal decision includes palpable and overriding errors of law.</w:t>
            </w:r>
          </w:p>
        </w:tc>
      </w:tr>
      <w:tr w:rsidR="0052683C" w:rsidRPr="00982C2B" w:rsidTr="009F76E0">
        <w:tc>
          <w:tcPr>
            <w:tcW w:w="9576" w:type="dxa"/>
            <w:gridSpan w:val="4"/>
          </w:tcPr>
          <w:p w:rsidR="0052683C" w:rsidRPr="00982C2B" w:rsidRDefault="009F76E0" w:rsidP="009F76E0">
            <w:pPr>
              <w:pStyle w:val="SCCShortJudgment"/>
              <w:ind w:firstLine="0"/>
              <w:rPr>
                <w:rFonts w:cs="Times New Roman"/>
                <w:szCs w:val="20"/>
              </w:rPr>
            </w:pPr>
            <w:r w:rsidRPr="00982C2B">
              <w:rPr>
                <w:rFonts w:eastAsia="Times New Roman" w:cs="Times New Roman"/>
                <w:szCs w:val="20"/>
                <w:lang w:eastAsia="en-CA"/>
              </w:rPr>
              <w:t>The</w:t>
            </w:r>
            <w:r w:rsidRPr="00982C2B">
              <w:rPr>
                <w:rFonts w:cs="Times New Roman"/>
                <w:szCs w:val="20"/>
              </w:rPr>
              <w:t xml:space="preserve"> respondent, David Baker represented the applicant, Elisabeth Mitchinson in a human rights </w:t>
            </w:r>
            <w:r w:rsidRPr="00982C2B">
              <w:rPr>
                <w:rFonts w:eastAsia="Times New Roman" w:cs="Times New Roman"/>
                <w:szCs w:val="20"/>
                <w:lang w:eastAsia="en-CA"/>
              </w:rPr>
              <w:t>complaint</w:t>
            </w:r>
            <w:r w:rsidRPr="00982C2B">
              <w:rPr>
                <w:rFonts w:cs="Times New Roman"/>
                <w:szCs w:val="20"/>
              </w:rPr>
              <w:t xml:space="preserve"> that she brought relating to the termination of her employment. He settled the complaint on terms that were favourable to Ms. Mitchinson. Ms. Mitchinson was unhappy with Mr. Baker’s fee, which was more than the estimate that he had given to her. As a result, she fired him before the settlement was finalized and then took steps to have his account assessed. Ms. Mitchinson and her husband, the applicant Mr. Timothy Mitchinson commenced proceedings against Mr. Baker and the respondent, Lawyers’ Professional Indemnity Company (“LPIC”), alleging LPIC was an “accessory after the fact” to Mr. Baker’s alleged fraudulent misrepresentation.</w:t>
            </w:r>
          </w:p>
          <w:p w:rsidR="009F76E0" w:rsidRPr="00982C2B" w:rsidRDefault="009F76E0" w:rsidP="009F76E0">
            <w:pPr>
              <w:pStyle w:val="SCCShortJudgment"/>
              <w:ind w:firstLine="0"/>
              <w:rPr>
                <w:rFonts w:cs="Times New Roman"/>
                <w:szCs w:val="20"/>
              </w:rPr>
            </w:pPr>
          </w:p>
        </w:tc>
      </w:tr>
      <w:tr w:rsidR="009F76E0" w:rsidRPr="00982C2B" w:rsidTr="0052683C">
        <w:trPr>
          <w:cantSplit/>
        </w:trPr>
        <w:tc>
          <w:tcPr>
            <w:tcW w:w="9576" w:type="dxa"/>
            <w:gridSpan w:val="4"/>
          </w:tcPr>
          <w:p w:rsidR="009F76E0" w:rsidRPr="00982C2B" w:rsidRDefault="009F76E0" w:rsidP="0052683C">
            <w:pPr>
              <w:pStyle w:val="SCCShortJudgment"/>
              <w:ind w:firstLine="0"/>
              <w:rPr>
                <w:rFonts w:cs="Times New Roman"/>
                <w:szCs w:val="20"/>
              </w:rPr>
            </w:pPr>
            <w:r w:rsidRPr="00982C2B">
              <w:rPr>
                <w:rFonts w:eastAsia="Times New Roman" w:cs="Times New Roman"/>
                <w:szCs w:val="20"/>
                <w:lang w:eastAsia="en-CA"/>
              </w:rPr>
              <w:t>LPIC</w:t>
            </w:r>
            <w:r w:rsidRPr="00982C2B">
              <w:rPr>
                <w:rFonts w:cs="Times New Roman"/>
                <w:szCs w:val="20"/>
              </w:rPr>
              <w:t xml:space="preserve"> brought a motion to strike the statement of claim against it on the basis that it disclosed no reasonable cause of action and Mr. Baker moved to have the action dismissed as against him on the basis that it was frivolous, vexatious, and an abuse of process of the court.  The motions judge granted both motions.  The Court of Appeal dismissed the appeal.</w:t>
            </w:r>
          </w:p>
          <w:p w:rsidR="009F76E0" w:rsidRPr="00982C2B" w:rsidRDefault="009F76E0" w:rsidP="0052683C">
            <w:pPr>
              <w:pStyle w:val="SCCShortJudgment"/>
              <w:ind w:firstLine="0"/>
              <w:rPr>
                <w:rFonts w:cs="Times New Roman"/>
                <w:szCs w:val="20"/>
              </w:rPr>
            </w:pPr>
          </w:p>
        </w:tc>
      </w:tr>
      <w:tr w:rsidR="0052683C" w:rsidRPr="00982C2B" w:rsidTr="0052683C">
        <w:trPr>
          <w:cantSplit/>
        </w:trPr>
        <w:tc>
          <w:tcPr>
            <w:tcW w:w="4410" w:type="dxa"/>
            <w:gridSpan w:val="2"/>
          </w:tcPr>
          <w:p w:rsidR="009F76E0" w:rsidRPr="00982C2B" w:rsidRDefault="009F76E0" w:rsidP="009F76E0">
            <w:pPr>
              <w:rPr>
                <w:rFonts w:cs="Times New Roman"/>
                <w:sz w:val="20"/>
                <w:szCs w:val="20"/>
              </w:rPr>
            </w:pPr>
            <w:r w:rsidRPr="00982C2B">
              <w:rPr>
                <w:rFonts w:cs="Times New Roman"/>
                <w:sz w:val="20"/>
                <w:szCs w:val="20"/>
              </w:rPr>
              <w:t>September 23, 2014</w:t>
            </w:r>
          </w:p>
          <w:p w:rsidR="009F76E0" w:rsidRPr="00982C2B" w:rsidRDefault="009F76E0" w:rsidP="009F76E0">
            <w:pPr>
              <w:rPr>
                <w:rFonts w:cs="Times New Roman"/>
                <w:sz w:val="20"/>
                <w:szCs w:val="20"/>
              </w:rPr>
            </w:pPr>
            <w:r w:rsidRPr="00982C2B">
              <w:rPr>
                <w:rFonts w:cs="Times New Roman"/>
                <w:sz w:val="20"/>
                <w:szCs w:val="20"/>
              </w:rPr>
              <w:t>Ontario Superior Court of Justice</w:t>
            </w:r>
          </w:p>
          <w:p w:rsidR="0052683C" w:rsidRPr="00982C2B" w:rsidRDefault="009F76E0" w:rsidP="009F76E0">
            <w:pPr>
              <w:rPr>
                <w:rFonts w:cs="Times New Roman"/>
                <w:sz w:val="20"/>
                <w:szCs w:val="20"/>
              </w:rPr>
            </w:pPr>
            <w:r w:rsidRPr="00982C2B">
              <w:rPr>
                <w:rFonts w:cs="Times New Roman"/>
                <w:sz w:val="20"/>
                <w:szCs w:val="20"/>
              </w:rPr>
              <w:t>(Ramsay J.)</w:t>
            </w:r>
          </w:p>
        </w:tc>
        <w:tc>
          <w:tcPr>
            <w:tcW w:w="630" w:type="dxa"/>
          </w:tcPr>
          <w:p w:rsidR="0052683C" w:rsidRPr="00982C2B" w:rsidRDefault="0052683C" w:rsidP="0052683C">
            <w:pPr>
              <w:pStyle w:val="SCCShortJudgment"/>
              <w:ind w:firstLine="0"/>
              <w:rPr>
                <w:rFonts w:cs="Times New Roman"/>
                <w:szCs w:val="20"/>
              </w:rPr>
            </w:pPr>
          </w:p>
        </w:tc>
        <w:tc>
          <w:tcPr>
            <w:tcW w:w="4536" w:type="dxa"/>
          </w:tcPr>
          <w:p w:rsidR="009F76E0" w:rsidRPr="00982C2B" w:rsidRDefault="009F76E0" w:rsidP="00240C42">
            <w:pPr>
              <w:jc w:val="both"/>
              <w:rPr>
                <w:rFonts w:cs="Times New Roman"/>
                <w:sz w:val="20"/>
                <w:szCs w:val="20"/>
              </w:rPr>
            </w:pPr>
            <w:r w:rsidRPr="00982C2B">
              <w:rPr>
                <w:rFonts w:cs="Times New Roman"/>
                <w:sz w:val="20"/>
                <w:szCs w:val="20"/>
              </w:rPr>
              <w:t>Motion to dismiss action as frivolous, vexatious and an abuse of process and motion to strike claim on ground it discloses no reasonable cause of action, allowed.</w:t>
            </w:r>
          </w:p>
          <w:p w:rsidR="0052683C" w:rsidRPr="00982C2B" w:rsidRDefault="0052683C" w:rsidP="0052683C">
            <w:pPr>
              <w:jc w:val="both"/>
              <w:rPr>
                <w:rFonts w:cs="Times New Roman"/>
                <w:sz w:val="20"/>
                <w:szCs w:val="20"/>
              </w:rPr>
            </w:pPr>
          </w:p>
        </w:tc>
      </w:tr>
      <w:tr w:rsidR="0052683C" w:rsidRPr="00982C2B" w:rsidTr="0052683C">
        <w:trPr>
          <w:cantSplit/>
        </w:trPr>
        <w:tc>
          <w:tcPr>
            <w:tcW w:w="4410" w:type="dxa"/>
            <w:gridSpan w:val="2"/>
          </w:tcPr>
          <w:p w:rsidR="009F76E0" w:rsidRPr="00982C2B" w:rsidRDefault="009F76E0" w:rsidP="009F76E0">
            <w:pPr>
              <w:rPr>
                <w:rFonts w:cs="Times New Roman"/>
                <w:sz w:val="20"/>
                <w:szCs w:val="20"/>
              </w:rPr>
            </w:pPr>
            <w:r w:rsidRPr="00982C2B">
              <w:rPr>
                <w:rFonts w:cs="Times New Roman"/>
                <w:sz w:val="20"/>
                <w:szCs w:val="20"/>
              </w:rPr>
              <w:t>September 17, 2015</w:t>
            </w:r>
          </w:p>
          <w:p w:rsidR="009F76E0" w:rsidRPr="00982C2B" w:rsidRDefault="009F76E0" w:rsidP="009F76E0">
            <w:pPr>
              <w:rPr>
                <w:rFonts w:cs="Times New Roman"/>
                <w:sz w:val="20"/>
                <w:szCs w:val="20"/>
              </w:rPr>
            </w:pPr>
            <w:r w:rsidRPr="00982C2B">
              <w:rPr>
                <w:rFonts w:cs="Times New Roman"/>
                <w:sz w:val="20"/>
                <w:szCs w:val="20"/>
              </w:rPr>
              <w:t>Court of Appeal for Ontario</w:t>
            </w:r>
          </w:p>
          <w:p w:rsidR="009F76E0" w:rsidRPr="00982C2B" w:rsidRDefault="009F76E0" w:rsidP="009F76E0">
            <w:pPr>
              <w:rPr>
                <w:rFonts w:cs="Times New Roman"/>
                <w:sz w:val="20"/>
                <w:szCs w:val="20"/>
              </w:rPr>
            </w:pPr>
            <w:r w:rsidRPr="00982C2B">
              <w:rPr>
                <w:rFonts w:cs="Times New Roman"/>
                <w:sz w:val="20"/>
                <w:szCs w:val="20"/>
              </w:rPr>
              <w:t>(Gillese, Pepall and Benotto JJ.A.)</w:t>
            </w:r>
          </w:p>
          <w:p w:rsidR="009F76E0" w:rsidRPr="00982C2B" w:rsidRDefault="009F3029" w:rsidP="009F76E0">
            <w:pPr>
              <w:rPr>
                <w:rFonts w:cs="Times New Roman"/>
                <w:sz w:val="20"/>
                <w:szCs w:val="20"/>
              </w:rPr>
            </w:pPr>
            <w:hyperlink r:id="rId127" w:history="1">
              <w:r w:rsidR="009F76E0" w:rsidRPr="00982C2B">
                <w:rPr>
                  <w:rStyle w:val="Hyperlink"/>
                  <w:rFonts w:cs="Times New Roman"/>
                  <w:sz w:val="20"/>
                  <w:szCs w:val="20"/>
                </w:rPr>
                <w:t>2015 ONCA 623</w:t>
              </w:r>
            </w:hyperlink>
          </w:p>
          <w:p w:rsidR="009F76E0" w:rsidRPr="00982C2B" w:rsidRDefault="009F76E0" w:rsidP="009F76E0">
            <w:pPr>
              <w:rPr>
                <w:rFonts w:cs="Times New Roman"/>
                <w:sz w:val="20"/>
                <w:szCs w:val="20"/>
              </w:rPr>
            </w:pPr>
            <w:r w:rsidRPr="00982C2B">
              <w:rPr>
                <w:rFonts w:cs="Times New Roman"/>
                <w:sz w:val="20"/>
                <w:szCs w:val="20"/>
              </w:rPr>
              <w:t>File No.: C59535</w:t>
            </w:r>
          </w:p>
          <w:p w:rsidR="0052683C" w:rsidRPr="00982C2B" w:rsidRDefault="0052683C" w:rsidP="0052683C">
            <w:pPr>
              <w:jc w:val="both"/>
              <w:rPr>
                <w:rFonts w:cs="Times New Roman"/>
                <w:sz w:val="20"/>
                <w:szCs w:val="20"/>
              </w:rPr>
            </w:pPr>
          </w:p>
        </w:tc>
        <w:tc>
          <w:tcPr>
            <w:tcW w:w="630" w:type="dxa"/>
          </w:tcPr>
          <w:p w:rsidR="0052683C" w:rsidRPr="00982C2B" w:rsidRDefault="0052683C" w:rsidP="0052683C">
            <w:pPr>
              <w:pStyle w:val="SCCShortJudgment"/>
              <w:ind w:firstLine="0"/>
              <w:rPr>
                <w:rFonts w:cs="Times New Roman"/>
                <w:szCs w:val="20"/>
              </w:rPr>
            </w:pPr>
          </w:p>
        </w:tc>
        <w:tc>
          <w:tcPr>
            <w:tcW w:w="4536" w:type="dxa"/>
          </w:tcPr>
          <w:p w:rsidR="009F76E0" w:rsidRPr="00982C2B" w:rsidRDefault="009F76E0" w:rsidP="009F76E0">
            <w:pPr>
              <w:rPr>
                <w:rFonts w:cs="Times New Roman"/>
                <w:sz w:val="20"/>
                <w:szCs w:val="20"/>
              </w:rPr>
            </w:pPr>
            <w:r w:rsidRPr="00982C2B">
              <w:rPr>
                <w:rFonts w:cs="Times New Roman"/>
                <w:sz w:val="20"/>
                <w:szCs w:val="20"/>
              </w:rPr>
              <w:t>Appeal dismissed.</w:t>
            </w:r>
          </w:p>
          <w:p w:rsidR="0052683C" w:rsidRPr="00982C2B" w:rsidRDefault="0052683C" w:rsidP="0052683C">
            <w:pPr>
              <w:jc w:val="both"/>
              <w:rPr>
                <w:rFonts w:cs="Times New Roman"/>
                <w:sz w:val="20"/>
                <w:szCs w:val="20"/>
              </w:rPr>
            </w:pPr>
          </w:p>
        </w:tc>
      </w:tr>
      <w:tr w:rsidR="0052683C" w:rsidRPr="00982C2B" w:rsidTr="0052683C">
        <w:trPr>
          <w:cantSplit/>
        </w:trPr>
        <w:tc>
          <w:tcPr>
            <w:tcW w:w="4410" w:type="dxa"/>
            <w:gridSpan w:val="2"/>
          </w:tcPr>
          <w:p w:rsidR="009F76E0" w:rsidRPr="00982C2B" w:rsidRDefault="009F76E0" w:rsidP="009F76E0">
            <w:pPr>
              <w:rPr>
                <w:rFonts w:cs="Times New Roman"/>
                <w:sz w:val="20"/>
                <w:szCs w:val="20"/>
              </w:rPr>
            </w:pPr>
            <w:r w:rsidRPr="00982C2B">
              <w:rPr>
                <w:rFonts w:cs="Times New Roman"/>
                <w:sz w:val="20"/>
                <w:szCs w:val="20"/>
              </w:rPr>
              <w:t>December 24, 2015</w:t>
            </w:r>
          </w:p>
          <w:p w:rsidR="0052683C" w:rsidRPr="00982C2B" w:rsidRDefault="009F76E0" w:rsidP="009F76E0">
            <w:pPr>
              <w:jc w:val="both"/>
              <w:rPr>
                <w:rFonts w:cs="Times New Roman"/>
                <w:sz w:val="20"/>
                <w:szCs w:val="20"/>
              </w:rPr>
            </w:pPr>
            <w:r w:rsidRPr="00982C2B">
              <w:rPr>
                <w:rFonts w:cs="Times New Roman"/>
                <w:sz w:val="20"/>
                <w:szCs w:val="20"/>
              </w:rPr>
              <w:t>Supreme Court of Canada</w:t>
            </w:r>
          </w:p>
        </w:tc>
        <w:tc>
          <w:tcPr>
            <w:tcW w:w="630" w:type="dxa"/>
          </w:tcPr>
          <w:p w:rsidR="0052683C" w:rsidRPr="00982C2B" w:rsidRDefault="0052683C" w:rsidP="0052683C">
            <w:pPr>
              <w:pStyle w:val="SCCShortJudgment"/>
              <w:ind w:firstLine="0"/>
              <w:rPr>
                <w:rFonts w:cs="Times New Roman"/>
                <w:szCs w:val="20"/>
              </w:rPr>
            </w:pPr>
          </w:p>
        </w:tc>
        <w:tc>
          <w:tcPr>
            <w:tcW w:w="4536" w:type="dxa"/>
          </w:tcPr>
          <w:p w:rsidR="0052683C" w:rsidRPr="00982C2B" w:rsidRDefault="009F76E0" w:rsidP="0052683C">
            <w:pPr>
              <w:jc w:val="both"/>
              <w:rPr>
                <w:rFonts w:cs="Times New Roman"/>
                <w:sz w:val="20"/>
                <w:szCs w:val="20"/>
              </w:rPr>
            </w:pPr>
            <w:r w:rsidRPr="00982C2B">
              <w:rPr>
                <w:rFonts w:cs="Times New Roman"/>
                <w:sz w:val="20"/>
                <w:szCs w:val="20"/>
              </w:rPr>
              <w:t>Application for leave to appeal and motions for extension of time to serve and/or file leave application filed.</w:t>
            </w:r>
          </w:p>
        </w:tc>
      </w:tr>
      <w:tr w:rsidR="0052683C" w:rsidRPr="00982C2B" w:rsidTr="0052683C">
        <w:trPr>
          <w:cantSplit/>
        </w:trPr>
        <w:tc>
          <w:tcPr>
            <w:tcW w:w="9576" w:type="dxa"/>
            <w:gridSpan w:val="4"/>
          </w:tcPr>
          <w:p w:rsidR="0052683C" w:rsidRPr="00982C2B" w:rsidRDefault="009F3029" w:rsidP="0052683C">
            <w:pPr>
              <w:pStyle w:val="SCCShortJudgment"/>
              <w:ind w:firstLine="0"/>
              <w:rPr>
                <w:rFonts w:cs="Times New Roman"/>
                <w:szCs w:val="20"/>
                <w:lang w:val="fr-CA"/>
              </w:rPr>
            </w:pPr>
            <w:r>
              <w:rPr>
                <w:rFonts w:cs="Times New Roman"/>
                <w:szCs w:val="20"/>
                <w:lang w:val="fr-CA"/>
              </w:rPr>
              <w:pict>
                <v:rect id="_x0000_i1093" style="width:2in;height:1pt" o:hrpct="0" o:hralign="center" o:hrstd="t" o:hrnoshade="t" o:hr="t" fillcolor="black [3213]" stroked="f"/>
              </w:pict>
            </w:r>
          </w:p>
          <w:p w:rsidR="0052683C" w:rsidRPr="00982C2B" w:rsidRDefault="0052683C" w:rsidP="0052683C">
            <w:pPr>
              <w:pStyle w:val="SCCShortJudgment"/>
              <w:ind w:firstLine="0"/>
              <w:rPr>
                <w:rFonts w:cs="Times New Roman"/>
                <w:szCs w:val="20"/>
                <w:lang w:val="fr-CA"/>
              </w:rPr>
            </w:pPr>
          </w:p>
        </w:tc>
      </w:tr>
      <w:tr w:rsidR="0052683C" w:rsidRPr="00982C2B" w:rsidTr="0052683C">
        <w:trPr>
          <w:cantSplit/>
        </w:trPr>
        <w:tc>
          <w:tcPr>
            <w:tcW w:w="9576" w:type="dxa"/>
            <w:gridSpan w:val="4"/>
          </w:tcPr>
          <w:p w:rsidR="0052683C" w:rsidRPr="00982C2B" w:rsidRDefault="0052683C" w:rsidP="0052683C">
            <w:pPr>
              <w:pStyle w:val="SCCShortJudgment"/>
              <w:ind w:firstLine="0"/>
              <w:rPr>
                <w:rFonts w:cs="Times New Roman"/>
                <w:szCs w:val="20"/>
                <w:u w:val="single"/>
                <w:lang w:val="fr-CA"/>
              </w:rPr>
            </w:pPr>
            <w:r w:rsidRPr="00982C2B">
              <w:rPr>
                <w:rFonts w:cs="Times New Roman"/>
                <w:szCs w:val="20"/>
                <w:u w:val="single"/>
                <w:lang w:val="fr-CA"/>
              </w:rPr>
              <w:t>RÉSUMÉ DE L’AFFAIRE </w:t>
            </w:r>
          </w:p>
          <w:p w:rsidR="0052683C" w:rsidRPr="00982C2B" w:rsidRDefault="0052683C" w:rsidP="0052683C">
            <w:pPr>
              <w:pStyle w:val="SCCShortJudgment"/>
              <w:ind w:firstLine="0"/>
              <w:rPr>
                <w:rFonts w:cs="Times New Roman"/>
                <w:szCs w:val="20"/>
                <w:u w:val="single"/>
                <w:lang w:val="fr-CA"/>
              </w:rPr>
            </w:pPr>
          </w:p>
        </w:tc>
      </w:tr>
      <w:tr w:rsidR="0052683C" w:rsidRPr="009F3029" w:rsidTr="009F76E0">
        <w:tc>
          <w:tcPr>
            <w:tcW w:w="9576" w:type="dxa"/>
            <w:gridSpan w:val="4"/>
          </w:tcPr>
          <w:p w:rsidR="0052683C" w:rsidRPr="00982C2B" w:rsidRDefault="009F76E0" w:rsidP="0052683C">
            <w:pPr>
              <w:pStyle w:val="SCCShortJudgment"/>
              <w:ind w:firstLine="0"/>
              <w:rPr>
                <w:rFonts w:eastAsia="Times New Roman" w:cs="Times New Roman"/>
                <w:szCs w:val="20"/>
                <w:lang w:val="fr-CA" w:eastAsia="en-CA"/>
              </w:rPr>
            </w:pPr>
            <w:r w:rsidRPr="00982C2B">
              <w:rPr>
                <w:rFonts w:eastAsia="Times New Roman" w:cs="Times New Roman"/>
                <w:i/>
                <w:szCs w:val="20"/>
                <w:lang w:val="fr-CA" w:eastAsia="en-CA"/>
              </w:rPr>
              <w:t xml:space="preserve">Charte canadienne des droits et libertés </w:t>
            </w:r>
            <w:r w:rsidRPr="00982C2B">
              <w:rPr>
                <w:rFonts w:cs="Times New Roman"/>
                <w:szCs w:val="20"/>
                <w:lang w:val="fr-CA"/>
              </w:rPr>
              <w:t>—</w:t>
            </w:r>
            <w:r w:rsidRPr="00982C2B">
              <w:rPr>
                <w:rFonts w:eastAsia="Times New Roman" w:cs="Times New Roman"/>
                <w:szCs w:val="20"/>
                <w:lang w:val="fr-CA" w:eastAsia="en-CA"/>
              </w:rPr>
              <w:t xml:space="preserve"> Droit constitutionnel </w:t>
            </w:r>
            <w:r w:rsidRPr="00982C2B">
              <w:rPr>
                <w:rFonts w:cs="Times New Roman"/>
                <w:szCs w:val="20"/>
                <w:lang w:val="fr-CA"/>
              </w:rPr>
              <w:t>—</w:t>
            </w:r>
            <w:r w:rsidRPr="00982C2B">
              <w:rPr>
                <w:rFonts w:eastAsia="Times New Roman" w:cs="Times New Roman"/>
                <w:szCs w:val="20"/>
                <w:lang w:val="fr-CA" w:eastAsia="en-CA"/>
              </w:rPr>
              <w:t xml:space="preserve"> Justice fondamentale </w:t>
            </w:r>
            <w:r w:rsidRPr="00982C2B">
              <w:rPr>
                <w:rFonts w:cs="Times New Roman"/>
                <w:szCs w:val="20"/>
                <w:lang w:val="fr-CA"/>
              </w:rPr>
              <w:t>—</w:t>
            </w:r>
            <w:r w:rsidRPr="00982C2B">
              <w:rPr>
                <w:rFonts w:eastAsia="Times New Roman" w:cs="Times New Roman"/>
                <w:szCs w:val="20"/>
                <w:lang w:val="fr-CA" w:eastAsia="en-CA"/>
              </w:rPr>
              <w:t xml:space="preserve"> Droit à la vie, à la liberté et à la sécurité de la personne </w:t>
            </w:r>
            <w:r w:rsidRPr="00982C2B">
              <w:rPr>
                <w:rFonts w:cs="Times New Roman"/>
                <w:szCs w:val="20"/>
                <w:lang w:val="fr-CA"/>
              </w:rPr>
              <w:t>—</w:t>
            </w:r>
            <w:r w:rsidRPr="00982C2B">
              <w:rPr>
                <w:rFonts w:eastAsia="Times New Roman" w:cs="Times New Roman"/>
                <w:szCs w:val="20"/>
                <w:lang w:val="fr-CA" w:eastAsia="en-CA"/>
              </w:rPr>
              <w:t xml:space="preserve"> Droit à l’égalité </w:t>
            </w:r>
            <w:r w:rsidRPr="00982C2B">
              <w:rPr>
                <w:rFonts w:cs="Times New Roman"/>
                <w:szCs w:val="20"/>
                <w:lang w:val="fr-CA"/>
              </w:rPr>
              <w:t>—</w:t>
            </w:r>
            <w:r w:rsidRPr="00982C2B">
              <w:rPr>
                <w:rFonts w:eastAsia="Times New Roman" w:cs="Times New Roman"/>
                <w:szCs w:val="20"/>
                <w:lang w:val="fr-CA" w:eastAsia="en-CA"/>
              </w:rPr>
              <w:t xml:space="preserve"> Réparation </w:t>
            </w:r>
            <w:r w:rsidRPr="00982C2B">
              <w:rPr>
                <w:rFonts w:cs="Times New Roman"/>
                <w:szCs w:val="20"/>
                <w:lang w:val="fr-CA"/>
              </w:rPr>
              <w:t>—</w:t>
            </w:r>
            <w:r w:rsidRPr="00982C2B">
              <w:rPr>
                <w:rFonts w:eastAsia="Times New Roman" w:cs="Times New Roman"/>
                <w:szCs w:val="20"/>
                <w:lang w:val="fr-CA" w:eastAsia="en-CA"/>
              </w:rPr>
              <w:t xml:space="preserve"> Appels </w:t>
            </w:r>
            <w:r w:rsidRPr="00982C2B">
              <w:rPr>
                <w:rFonts w:cs="Times New Roman"/>
                <w:szCs w:val="20"/>
                <w:lang w:val="fr-CA"/>
              </w:rPr>
              <w:t>—</w:t>
            </w:r>
            <w:r w:rsidRPr="00982C2B">
              <w:rPr>
                <w:rFonts w:eastAsia="Times New Roman" w:cs="Times New Roman"/>
                <w:szCs w:val="20"/>
                <w:lang w:val="fr-CA" w:eastAsia="en-CA"/>
              </w:rPr>
              <w:t xml:space="preserve"> L’avocat intimé représentait la demanderesse, Mme Mitchinson, dans une plainte concernant les droits de la personne déposée relativement à son congédiement </w:t>
            </w:r>
            <w:r w:rsidRPr="00982C2B">
              <w:rPr>
                <w:rFonts w:cs="Times New Roman"/>
                <w:szCs w:val="20"/>
                <w:lang w:val="fr-CA"/>
              </w:rPr>
              <w:t>—</w:t>
            </w:r>
            <w:r w:rsidRPr="00982C2B">
              <w:rPr>
                <w:rFonts w:eastAsia="Times New Roman" w:cs="Times New Roman"/>
                <w:szCs w:val="20"/>
                <w:lang w:val="fr-CA" w:eastAsia="en-CA"/>
              </w:rPr>
              <w:t xml:space="preserve"> L’intimé a réglé la plainte à l’amiable à des conditions favorables à la demanderesse </w:t>
            </w:r>
            <w:r w:rsidRPr="00982C2B">
              <w:rPr>
                <w:rFonts w:cs="Times New Roman"/>
                <w:szCs w:val="20"/>
                <w:lang w:val="fr-CA"/>
              </w:rPr>
              <w:t>—</w:t>
            </w:r>
            <w:r w:rsidRPr="00982C2B">
              <w:rPr>
                <w:rFonts w:eastAsia="Times New Roman" w:cs="Times New Roman"/>
                <w:szCs w:val="20"/>
                <w:lang w:val="fr-CA" w:eastAsia="en-CA"/>
              </w:rPr>
              <w:t xml:space="preserve"> La demanderesse est mécontente des honoraires de l’avocat qui, selon elle, étaient supérieurs à l’estimation qui lui avait été donnée </w:t>
            </w:r>
            <w:r w:rsidRPr="00982C2B">
              <w:rPr>
                <w:rFonts w:cs="Times New Roman"/>
                <w:szCs w:val="20"/>
                <w:lang w:val="fr-CA"/>
              </w:rPr>
              <w:t>—</w:t>
            </w:r>
            <w:r w:rsidRPr="00982C2B">
              <w:rPr>
                <w:rFonts w:eastAsia="Times New Roman" w:cs="Times New Roman"/>
                <w:szCs w:val="20"/>
                <w:lang w:val="fr-CA" w:eastAsia="en-CA"/>
              </w:rPr>
              <w:t xml:space="preserve"> La demanderesse a mis fin au mandat de l’intimé avant la finalisation du règlement et elle a pris des mesures pour faire évaluer le compte de l’avocat </w:t>
            </w:r>
            <w:r w:rsidRPr="00982C2B">
              <w:rPr>
                <w:rFonts w:cs="Times New Roman"/>
                <w:szCs w:val="20"/>
                <w:lang w:val="fr-CA"/>
              </w:rPr>
              <w:t>—</w:t>
            </w:r>
            <w:r w:rsidRPr="00982C2B">
              <w:rPr>
                <w:rFonts w:eastAsia="Times New Roman" w:cs="Times New Roman"/>
                <w:szCs w:val="20"/>
                <w:lang w:val="fr-CA" w:eastAsia="en-CA"/>
              </w:rPr>
              <w:t xml:space="preserve"> Les demandeurs ont intenté une action contre l’avocat et la personne morale intimés </w:t>
            </w:r>
            <w:r w:rsidRPr="00982C2B">
              <w:rPr>
                <w:rFonts w:cs="Times New Roman"/>
                <w:szCs w:val="20"/>
                <w:lang w:val="fr-CA"/>
              </w:rPr>
              <w:t>—</w:t>
            </w:r>
            <w:r w:rsidRPr="00982C2B">
              <w:rPr>
                <w:rFonts w:eastAsia="Times New Roman" w:cs="Times New Roman"/>
                <w:szCs w:val="20"/>
                <w:lang w:val="fr-CA" w:eastAsia="en-CA"/>
              </w:rPr>
              <w:t xml:space="preserve"> La motion de l’avocat de la demanderesse en rejet de l’action parce que frivole, vexatoire ou constituant un recours abusif a été accueillie </w:t>
            </w:r>
            <w:r w:rsidRPr="00982C2B">
              <w:rPr>
                <w:rFonts w:cs="Times New Roman"/>
                <w:szCs w:val="20"/>
                <w:lang w:val="fr-CA"/>
              </w:rPr>
              <w:t>—</w:t>
            </w:r>
            <w:r w:rsidRPr="00982C2B">
              <w:rPr>
                <w:rFonts w:eastAsia="Times New Roman" w:cs="Times New Roman"/>
                <w:szCs w:val="20"/>
                <w:lang w:val="fr-CA" w:eastAsia="en-CA"/>
              </w:rPr>
              <w:t xml:space="preserve"> La motion de la personne morale intimée en radiation de la demande parce qu’elle ne révélait aucune cause d’action fondée a été accueillie </w:t>
            </w:r>
            <w:r w:rsidRPr="00982C2B">
              <w:rPr>
                <w:rFonts w:cs="Times New Roman"/>
                <w:szCs w:val="20"/>
                <w:lang w:val="fr-CA"/>
              </w:rPr>
              <w:t>—</w:t>
            </w:r>
            <w:r w:rsidRPr="00982C2B">
              <w:rPr>
                <w:rFonts w:eastAsia="Times New Roman" w:cs="Times New Roman"/>
                <w:szCs w:val="20"/>
                <w:lang w:val="fr-CA" w:eastAsia="en-CA"/>
              </w:rPr>
              <w:t xml:space="preserve"> L’appel à la Cour d’appel a été rejeté </w:t>
            </w:r>
            <w:r w:rsidRPr="00982C2B">
              <w:rPr>
                <w:rFonts w:cs="Times New Roman"/>
                <w:szCs w:val="20"/>
                <w:lang w:val="fr-CA"/>
              </w:rPr>
              <w:t>—</w:t>
            </w:r>
            <w:r w:rsidRPr="00982C2B">
              <w:rPr>
                <w:rFonts w:eastAsia="Times New Roman" w:cs="Times New Roman"/>
                <w:szCs w:val="20"/>
                <w:lang w:val="fr-CA" w:eastAsia="en-CA"/>
              </w:rPr>
              <w:t xml:space="preserve"> La Cour d’appel soulève-t-elle des questions constitutionnelles qui relèvent des art. 7, 15 et 24(1) de la </w:t>
            </w:r>
            <w:r w:rsidRPr="00982C2B">
              <w:rPr>
                <w:rFonts w:eastAsia="Times New Roman" w:cs="Times New Roman"/>
                <w:i/>
                <w:szCs w:val="20"/>
                <w:lang w:val="fr-CA" w:eastAsia="en-CA"/>
              </w:rPr>
              <w:t>Charte</w:t>
            </w:r>
            <w:r w:rsidRPr="00982C2B">
              <w:rPr>
                <w:rFonts w:eastAsia="Times New Roman" w:cs="Times New Roman"/>
                <w:szCs w:val="20"/>
                <w:lang w:val="fr-CA" w:eastAsia="en-CA"/>
              </w:rPr>
              <w:t>?</w:t>
            </w:r>
            <w:r w:rsidRPr="00982C2B">
              <w:rPr>
                <w:rFonts w:eastAsia="Times New Roman" w:cs="Times New Roman"/>
                <w:i/>
                <w:szCs w:val="20"/>
                <w:lang w:val="fr-CA" w:eastAsia="en-CA"/>
              </w:rPr>
              <w:t xml:space="preserve"> </w:t>
            </w:r>
            <w:r w:rsidRPr="00982C2B">
              <w:rPr>
                <w:rFonts w:cs="Times New Roman"/>
                <w:szCs w:val="20"/>
                <w:lang w:val="fr-CA"/>
              </w:rPr>
              <w:t>—</w:t>
            </w:r>
            <w:r w:rsidRPr="00982C2B">
              <w:rPr>
                <w:rFonts w:eastAsia="Times New Roman" w:cs="Times New Roman"/>
                <w:szCs w:val="20"/>
                <w:lang w:val="fr-CA" w:eastAsia="en-CA"/>
              </w:rPr>
              <w:t xml:space="preserve"> L’arrêt de la Cour d’appel a-t-il pour effet de mettre le droit ontarien en conflit avec la jurisprudence de la Cour d’appel de la Colombie-Britannique et de la Cour suprême du Canada? </w:t>
            </w:r>
            <w:r w:rsidRPr="00982C2B">
              <w:rPr>
                <w:rFonts w:cs="Times New Roman"/>
                <w:szCs w:val="20"/>
                <w:lang w:val="fr-CA"/>
              </w:rPr>
              <w:t>—</w:t>
            </w:r>
            <w:r w:rsidRPr="00982C2B">
              <w:rPr>
                <w:rFonts w:eastAsia="Times New Roman" w:cs="Times New Roman"/>
                <w:szCs w:val="20"/>
                <w:lang w:val="fr-CA" w:eastAsia="en-CA"/>
              </w:rPr>
              <w:t xml:space="preserve"> L’arrêt de la Cour d’appel est-il entaché d’une erreur de droit manifeste et dominante?</w:t>
            </w:r>
          </w:p>
          <w:p w:rsidR="009F76E0" w:rsidRPr="00982C2B" w:rsidRDefault="009F76E0" w:rsidP="0052683C">
            <w:pPr>
              <w:pStyle w:val="SCCShortJudgment"/>
              <w:ind w:firstLine="0"/>
              <w:rPr>
                <w:rFonts w:cs="Times New Roman"/>
                <w:szCs w:val="20"/>
                <w:u w:val="single"/>
                <w:lang w:val="fr-CA"/>
              </w:rPr>
            </w:pPr>
          </w:p>
        </w:tc>
      </w:tr>
      <w:tr w:rsidR="0052683C" w:rsidRPr="009F3029" w:rsidTr="009F76E0">
        <w:tc>
          <w:tcPr>
            <w:tcW w:w="9576" w:type="dxa"/>
            <w:gridSpan w:val="4"/>
          </w:tcPr>
          <w:p w:rsidR="0052683C" w:rsidRPr="00982C2B" w:rsidRDefault="009F76E0" w:rsidP="009F76E0">
            <w:pPr>
              <w:jc w:val="both"/>
              <w:rPr>
                <w:rFonts w:cs="Times New Roman"/>
                <w:sz w:val="20"/>
                <w:szCs w:val="20"/>
                <w:lang w:val="fr-CA"/>
              </w:rPr>
            </w:pPr>
            <w:r w:rsidRPr="00982C2B">
              <w:rPr>
                <w:rFonts w:eastAsia="Times New Roman" w:cs="Times New Roman"/>
                <w:sz w:val="20"/>
                <w:szCs w:val="20"/>
                <w:lang w:val="fr-CA" w:eastAsia="en-CA"/>
              </w:rPr>
              <w:t>L’intimé</w:t>
            </w:r>
            <w:r w:rsidRPr="00982C2B">
              <w:rPr>
                <w:rFonts w:cs="Times New Roman"/>
                <w:sz w:val="20"/>
                <w:szCs w:val="20"/>
                <w:lang w:val="fr-CA"/>
              </w:rPr>
              <w:t>, David Baker, représentait la demanderesse, Elisabeth Mitchinson, dans une plainte concernant les droits de la personne que cette dernière avait déposée relativement à son congédiement. Maître Baker a réglé la plainte à des conditions qui étaient favorables à Mme Mitchinson. Madame Mitchinson était mécontente des honoraires de M</w:t>
            </w:r>
            <w:r w:rsidRPr="00982C2B">
              <w:rPr>
                <w:rFonts w:cs="Times New Roman"/>
                <w:sz w:val="20"/>
                <w:szCs w:val="20"/>
                <w:vertAlign w:val="superscript"/>
                <w:lang w:val="fr-CA"/>
              </w:rPr>
              <w:t>e</w:t>
            </w:r>
            <w:r w:rsidRPr="00982C2B">
              <w:rPr>
                <w:rFonts w:cs="Times New Roman"/>
                <w:sz w:val="20"/>
                <w:szCs w:val="20"/>
                <w:lang w:val="fr-CA"/>
              </w:rPr>
              <w:t xml:space="preserve"> Baker, qui étaient supérieurs à l’estimation que celui-ci lui avait donnée. En conséquence, elle a mis fin à son mandat avant la finalisation du règlement et elle a pris des mesures pour faire évaluer son compte. Madame Mitchinson et son mari, le demandeur Timothy Mitchinson, ont intenté une action contre M</w:t>
            </w:r>
            <w:r w:rsidRPr="00982C2B">
              <w:rPr>
                <w:rFonts w:cs="Times New Roman"/>
                <w:sz w:val="20"/>
                <w:szCs w:val="20"/>
                <w:vertAlign w:val="superscript"/>
                <w:lang w:val="fr-CA"/>
              </w:rPr>
              <w:t>e</w:t>
            </w:r>
            <w:r w:rsidRPr="00982C2B">
              <w:rPr>
                <w:rFonts w:cs="Times New Roman"/>
                <w:sz w:val="20"/>
                <w:szCs w:val="20"/>
                <w:lang w:val="fr-CA"/>
              </w:rPr>
              <w:t> Baker et l’intimée, Lawyers’ Professional Indemnity Company (« LPIC »), alléguant que LPIC avait été [</w:t>
            </w:r>
            <w:r w:rsidRPr="00982C2B">
              <w:rPr>
                <w:rFonts w:cs="Times New Roman"/>
                <w:smallCaps/>
                <w:sz w:val="20"/>
                <w:szCs w:val="20"/>
                <w:lang w:val="fr-CA"/>
              </w:rPr>
              <w:t>traduction</w:t>
            </w:r>
            <w:r w:rsidRPr="00982C2B">
              <w:rPr>
                <w:rFonts w:cs="Times New Roman"/>
                <w:sz w:val="20"/>
                <w:szCs w:val="20"/>
                <w:lang w:val="fr-CA"/>
              </w:rPr>
              <w:t>] « complice après le fait » des déclarations mensongères qu’elle imputait à M</w:t>
            </w:r>
            <w:r w:rsidRPr="00982C2B">
              <w:rPr>
                <w:rFonts w:cs="Times New Roman"/>
                <w:sz w:val="20"/>
                <w:szCs w:val="20"/>
                <w:vertAlign w:val="superscript"/>
                <w:lang w:val="fr-CA"/>
              </w:rPr>
              <w:t>e</w:t>
            </w:r>
            <w:r w:rsidRPr="00982C2B">
              <w:rPr>
                <w:rFonts w:cs="Times New Roman"/>
                <w:sz w:val="20"/>
                <w:szCs w:val="20"/>
                <w:lang w:val="fr-CA"/>
              </w:rPr>
              <w:t> Baker.</w:t>
            </w:r>
          </w:p>
          <w:p w:rsidR="009F76E0" w:rsidRPr="00982C2B" w:rsidRDefault="009F76E0" w:rsidP="009F76E0">
            <w:pPr>
              <w:jc w:val="both"/>
              <w:rPr>
                <w:rFonts w:cs="Times New Roman"/>
                <w:sz w:val="20"/>
                <w:szCs w:val="20"/>
                <w:u w:val="single"/>
                <w:lang w:val="fr-CA"/>
              </w:rPr>
            </w:pPr>
          </w:p>
        </w:tc>
      </w:tr>
      <w:tr w:rsidR="0052683C" w:rsidRPr="00982C2B" w:rsidTr="0052683C">
        <w:trPr>
          <w:cantSplit/>
        </w:trPr>
        <w:tc>
          <w:tcPr>
            <w:tcW w:w="9576" w:type="dxa"/>
            <w:gridSpan w:val="4"/>
          </w:tcPr>
          <w:p w:rsidR="0052683C" w:rsidRPr="00982C2B" w:rsidRDefault="009F76E0" w:rsidP="009F76E0">
            <w:pPr>
              <w:pStyle w:val="SCCShortJudgment"/>
              <w:ind w:firstLine="0"/>
              <w:rPr>
                <w:rFonts w:cs="Times New Roman"/>
                <w:szCs w:val="20"/>
                <w:lang w:val="fr-CA"/>
              </w:rPr>
            </w:pPr>
            <w:r w:rsidRPr="00982C2B">
              <w:rPr>
                <w:rFonts w:cs="Times New Roman"/>
                <w:szCs w:val="20"/>
                <w:lang w:val="fr-CA"/>
              </w:rPr>
              <w:t>LPIC a présenté une motion en radiation de la déclaration contre elle au motif qu’elle ne révélait aucune cause d’action fondée et M</w:t>
            </w:r>
            <w:r w:rsidRPr="00982C2B">
              <w:rPr>
                <w:rFonts w:cs="Times New Roman"/>
                <w:szCs w:val="20"/>
                <w:vertAlign w:val="superscript"/>
                <w:lang w:val="fr-CA"/>
              </w:rPr>
              <w:t>e</w:t>
            </w:r>
            <w:r w:rsidRPr="00982C2B">
              <w:rPr>
                <w:rFonts w:cs="Times New Roman"/>
                <w:szCs w:val="20"/>
                <w:lang w:val="fr-CA"/>
              </w:rPr>
              <w:t xml:space="preserve"> Baker a présenté une motion en rejet de l’action contre lui au motif qu’elle était frivole, vexatoire et constituait un recours abusif au tribunal. Le juge de première instance a accueilli les deux motions. La Cour d’appel a accueilli l’appel.</w:t>
            </w:r>
          </w:p>
          <w:p w:rsidR="009F76E0" w:rsidRPr="00982C2B" w:rsidRDefault="009F76E0" w:rsidP="009F76E0">
            <w:pPr>
              <w:pStyle w:val="SCCShortJudgment"/>
              <w:ind w:firstLine="0"/>
              <w:rPr>
                <w:rFonts w:cs="Times New Roman"/>
                <w:szCs w:val="20"/>
                <w:u w:val="single"/>
                <w:lang w:val="fr-CA"/>
              </w:rPr>
            </w:pPr>
          </w:p>
        </w:tc>
      </w:tr>
      <w:tr w:rsidR="0052683C" w:rsidRPr="009F3029" w:rsidTr="0052683C">
        <w:trPr>
          <w:cantSplit/>
        </w:trPr>
        <w:tc>
          <w:tcPr>
            <w:tcW w:w="4410" w:type="dxa"/>
            <w:gridSpan w:val="2"/>
          </w:tcPr>
          <w:p w:rsidR="009F76E0" w:rsidRPr="00982C2B" w:rsidRDefault="009F76E0" w:rsidP="009F76E0">
            <w:pPr>
              <w:jc w:val="both"/>
              <w:rPr>
                <w:rFonts w:cs="Times New Roman"/>
                <w:sz w:val="20"/>
                <w:szCs w:val="20"/>
                <w:lang w:val="fr-CA"/>
              </w:rPr>
            </w:pPr>
            <w:r w:rsidRPr="00982C2B">
              <w:rPr>
                <w:rFonts w:cs="Times New Roman"/>
                <w:sz w:val="20"/>
                <w:szCs w:val="20"/>
                <w:lang w:val="fr-CA"/>
              </w:rPr>
              <w:t>23 septembre 2014</w:t>
            </w:r>
          </w:p>
          <w:p w:rsidR="009F76E0" w:rsidRPr="00982C2B" w:rsidRDefault="009F76E0" w:rsidP="009F76E0">
            <w:pPr>
              <w:jc w:val="both"/>
              <w:rPr>
                <w:rFonts w:cs="Times New Roman"/>
                <w:sz w:val="20"/>
                <w:szCs w:val="20"/>
                <w:lang w:val="fr-CA"/>
              </w:rPr>
            </w:pPr>
            <w:r w:rsidRPr="00982C2B">
              <w:rPr>
                <w:rFonts w:cs="Times New Roman"/>
                <w:sz w:val="20"/>
                <w:szCs w:val="20"/>
                <w:lang w:val="fr-CA"/>
              </w:rPr>
              <w:t xml:space="preserve">Cour supérieure de justice de l’Ontario </w:t>
            </w:r>
          </w:p>
          <w:p w:rsidR="009F76E0" w:rsidRPr="00982C2B" w:rsidRDefault="009F76E0" w:rsidP="009F76E0">
            <w:pPr>
              <w:jc w:val="both"/>
              <w:rPr>
                <w:rFonts w:cs="Times New Roman"/>
                <w:sz w:val="20"/>
                <w:szCs w:val="20"/>
                <w:lang w:val="fr-CA"/>
              </w:rPr>
            </w:pPr>
            <w:r w:rsidRPr="00982C2B">
              <w:rPr>
                <w:rFonts w:cs="Times New Roman"/>
                <w:sz w:val="20"/>
                <w:szCs w:val="20"/>
                <w:lang w:val="fr-CA"/>
              </w:rPr>
              <w:t>(Juge Ramsay)</w:t>
            </w:r>
          </w:p>
          <w:p w:rsidR="0052683C" w:rsidRPr="00982C2B" w:rsidRDefault="0052683C" w:rsidP="009F76E0">
            <w:pPr>
              <w:pStyle w:val="SCCShortJudgment"/>
              <w:ind w:firstLine="0"/>
              <w:rPr>
                <w:rFonts w:cs="Times New Roman"/>
                <w:szCs w:val="20"/>
                <w:u w:val="single"/>
                <w:lang w:val="fr-CA"/>
              </w:rPr>
            </w:pPr>
          </w:p>
        </w:tc>
        <w:tc>
          <w:tcPr>
            <w:tcW w:w="630" w:type="dxa"/>
          </w:tcPr>
          <w:p w:rsidR="0052683C" w:rsidRPr="00982C2B" w:rsidRDefault="0052683C" w:rsidP="009F76E0">
            <w:pPr>
              <w:pStyle w:val="SCCShortJudgment"/>
              <w:ind w:firstLine="0"/>
              <w:rPr>
                <w:rFonts w:cs="Times New Roman"/>
                <w:szCs w:val="20"/>
                <w:u w:val="single"/>
                <w:lang w:val="fr-CA"/>
              </w:rPr>
            </w:pPr>
          </w:p>
        </w:tc>
        <w:tc>
          <w:tcPr>
            <w:tcW w:w="4536" w:type="dxa"/>
          </w:tcPr>
          <w:p w:rsidR="009F76E0" w:rsidRPr="00982C2B" w:rsidRDefault="009F76E0" w:rsidP="009F76E0">
            <w:pPr>
              <w:jc w:val="both"/>
              <w:rPr>
                <w:rFonts w:cs="Times New Roman"/>
                <w:sz w:val="20"/>
                <w:szCs w:val="20"/>
                <w:lang w:val="fr-CA"/>
              </w:rPr>
            </w:pPr>
            <w:r w:rsidRPr="00982C2B">
              <w:rPr>
                <w:rFonts w:cs="Times New Roman"/>
                <w:sz w:val="20"/>
                <w:szCs w:val="20"/>
                <w:lang w:val="fr-CA"/>
              </w:rPr>
              <w:t>Jugement accueillant la motion en rejet de l’action, parce que frivole, vexatoire et constituant un recours abusif et la motion en radiation de la demande au motif qu’elle ne révèle aucune cause d’action fondée.</w:t>
            </w:r>
          </w:p>
          <w:p w:rsidR="0052683C" w:rsidRPr="00982C2B" w:rsidRDefault="0052683C" w:rsidP="009F76E0">
            <w:pPr>
              <w:pStyle w:val="SCCShortJudgment"/>
              <w:ind w:firstLine="0"/>
              <w:rPr>
                <w:rFonts w:cs="Times New Roman"/>
                <w:szCs w:val="20"/>
                <w:u w:val="single"/>
                <w:lang w:val="fr-CA"/>
              </w:rPr>
            </w:pPr>
          </w:p>
        </w:tc>
      </w:tr>
      <w:tr w:rsidR="0052683C" w:rsidRPr="00982C2B" w:rsidTr="0052683C">
        <w:trPr>
          <w:cantSplit/>
        </w:trPr>
        <w:tc>
          <w:tcPr>
            <w:tcW w:w="4410" w:type="dxa"/>
            <w:gridSpan w:val="2"/>
          </w:tcPr>
          <w:p w:rsidR="009F76E0" w:rsidRPr="00982C2B" w:rsidRDefault="009F76E0" w:rsidP="009F76E0">
            <w:pPr>
              <w:jc w:val="both"/>
              <w:rPr>
                <w:rFonts w:cs="Times New Roman"/>
                <w:sz w:val="20"/>
                <w:szCs w:val="20"/>
                <w:lang w:val="fr-CA"/>
              </w:rPr>
            </w:pPr>
            <w:r w:rsidRPr="00982C2B">
              <w:rPr>
                <w:rFonts w:cs="Times New Roman"/>
                <w:sz w:val="20"/>
                <w:szCs w:val="20"/>
                <w:lang w:val="fr-CA"/>
              </w:rPr>
              <w:t>17 septembre 2015</w:t>
            </w:r>
          </w:p>
          <w:p w:rsidR="009F76E0" w:rsidRPr="00982C2B" w:rsidRDefault="009F76E0" w:rsidP="009F76E0">
            <w:pPr>
              <w:jc w:val="both"/>
              <w:rPr>
                <w:rFonts w:cs="Times New Roman"/>
                <w:sz w:val="20"/>
                <w:szCs w:val="20"/>
                <w:lang w:val="fr-CA"/>
              </w:rPr>
            </w:pPr>
            <w:r w:rsidRPr="00982C2B">
              <w:rPr>
                <w:rFonts w:cs="Times New Roman"/>
                <w:sz w:val="20"/>
                <w:szCs w:val="20"/>
                <w:lang w:val="fr-CA"/>
              </w:rPr>
              <w:t xml:space="preserve">Cour d’appel de l’Ontario </w:t>
            </w:r>
          </w:p>
          <w:p w:rsidR="009F76E0" w:rsidRPr="00982C2B" w:rsidRDefault="009F76E0" w:rsidP="009F76E0">
            <w:pPr>
              <w:jc w:val="both"/>
              <w:rPr>
                <w:rFonts w:cs="Times New Roman"/>
                <w:sz w:val="20"/>
                <w:szCs w:val="20"/>
                <w:lang w:val="fr-CA"/>
              </w:rPr>
            </w:pPr>
            <w:r w:rsidRPr="00982C2B">
              <w:rPr>
                <w:rFonts w:cs="Times New Roman"/>
                <w:sz w:val="20"/>
                <w:szCs w:val="20"/>
                <w:lang w:val="fr-CA"/>
              </w:rPr>
              <w:t>(Juges Gillese, Pepall et Benotto)</w:t>
            </w:r>
          </w:p>
          <w:p w:rsidR="009F76E0" w:rsidRPr="00982C2B" w:rsidRDefault="009F3029" w:rsidP="009F76E0">
            <w:pPr>
              <w:jc w:val="both"/>
              <w:rPr>
                <w:rFonts w:cs="Times New Roman"/>
                <w:sz w:val="20"/>
                <w:szCs w:val="20"/>
                <w:lang w:val="fr-CA"/>
              </w:rPr>
            </w:pPr>
            <w:hyperlink r:id="rId128" w:history="1">
              <w:r w:rsidR="009F76E0" w:rsidRPr="00982C2B">
                <w:rPr>
                  <w:rStyle w:val="Hyperlink"/>
                  <w:rFonts w:cs="Times New Roman"/>
                  <w:sz w:val="20"/>
                  <w:szCs w:val="20"/>
                  <w:lang w:val="fr-CA"/>
                </w:rPr>
                <w:t>2015 ONCA 623</w:t>
              </w:r>
            </w:hyperlink>
          </w:p>
          <w:p w:rsidR="009F76E0" w:rsidRPr="00982C2B" w:rsidRDefault="009F76E0" w:rsidP="009F76E0">
            <w:pPr>
              <w:jc w:val="both"/>
              <w:rPr>
                <w:rFonts w:cs="Times New Roman"/>
                <w:sz w:val="20"/>
                <w:szCs w:val="20"/>
                <w:lang w:val="fr-CA"/>
              </w:rPr>
            </w:pPr>
            <w:r w:rsidRPr="00982C2B">
              <w:rPr>
                <w:rFonts w:cs="Times New Roman"/>
                <w:sz w:val="20"/>
                <w:szCs w:val="20"/>
                <w:lang w:val="fr-CA"/>
              </w:rPr>
              <w:t>N</w:t>
            </w:r>
            <w:r w:rsidRPr="00982C2B">
              <w:rPr>
                <w:rFonts w:cs="Times New Roman"/>
                <w:sz w:val="20"/>
                <w:szCs w:val="20"/>
                <w:vertAlign w:val="superscript"/>
                <w:lang w:val="fr-CA"/>
              </w:rPr>
              <w:t>o</w:t>
            </w:r>
            <w:r w:rsidRPr="00982C2B">
              <w:rPr>
                <w:rFonts w:cs="Times New Roman"/>
                <w:sz w:val="20"/>
                <w:szCs w:val="20"/>
                <w:lang w:val="fr-CA"/>
              </w:rPr>
              <w:t xml:space="preserve"> du greffe C59535</w:t>
            </w:r>
          </w:p>
          <w:p w:rsidR="0052683C" w:rsidRPr="00982C2B" w:rsidRDefault="0052683C" w:rsidP="009F76E0">
            <w:pPr>
              <w:pStyle w:val="SCCShortJudgment"/>
              <w:ind w:firstLine="0"/>
              <w:rPr>
                <w:rFonts w:cs="Times New Roman"/>
                <w:szCs w:val="20"/>
                <w:u w:val="single"/>
                <w:lang w:val="fr-CA"/>
              </w:rPr>
            </w:pPr>
          </w:p>
        </w:tc>
        <w:tc>
          <w:tcPr>
            <w:tcW w:w="630" w:type="dxa"/>
          </w:tcPr>
          <w:p w:rsidR="0052683C" w:rsidRPr="00982C2B" w:rsidRDefault="0052683C" w:rsidP="009F76E0">
            <w:pPr>
              <w:pStyle w:val="SCCShortJudgment"/>
              <w:ind w:firstLine="0"/>
              <w:rPr>
                <w:rFonts w:cs="Times New Roman"/>
                <w:szCs w:val="20"/>
                <w:u w:val="single"/>
                <w:lang w:val="fr-CA"/>
              </w:rPr>
            </w:pPr>
          </w:p>
        </w:tc>
        <w:tc>
          <w:tcPr>
            <w:tcW w:w="4536" w:type="dxa"/>
          </w:tcPr>
          <w:p w:rsidR="0052683C" w:rsidRPr="00982C2B" w:rsidRDefault="009F76E0" w:rsidP="009F76E0">
            <w:pPr>
              <w:pStyle w:val="SCCShortJudgment"/>
              <w:ind w:firstLine="0"/>
              <w:rPr>
                <w:rFonts w:cs="Times New Roman"/>
                <w:szCs w:val="20"/>
                <w:u w:val="single"/>
                <w:lang w:val="fr-CA"/>
              </w:rPr>
            </w:pPr>
            <w:r w:rsidRPr="00982C2B">
              <w:rPr>
                <w:rFonts w:cs="Times New Roman"/>
                <w:szCs w:val="20"/>
                <w:lang w:val="fr-CA"/>
              </w:rPr>
              <w:t>Rejet de l’appel.</w:t>
            </w:r>
          </w:p>
        </w:tc>
      </w:tr>
      <w:tr w:rsidR="0052683C" w:rsidRPr="009F3029" w:rsidTr="0052683C">
        <w:trPr>
          <w:cantSplit/>
        </w:trPr>
        <w:tc>
          <w:tcPr>
            <w:tcW w:w="4410" w:type="dxa"/>
            <w:gridSpan w:val="2"/>
          </w:tcPr>
          <w:p w:rsidR="009F76E0" w:rsidRPr="00982C2B" w:rsidRDefault="009F76E0" w:rsidP="009F76E0">
            <w:pPr>
              <w:jc w:val="both"/>
              <w:rPr>
                <w:rFonts w:cs="Times New Roman"/>
                <w:sz w:val="20"/>
                <w:szCs w:val="20"/>
                <w:lang w:val="fr-CA"/>
              </w:rPr>
            </w:pPr>
            <w:r w:rsidRPr="00982C2B">
              <w:rPr>
                <w:rFonts w:cs="Times New Roman"/>
                <w:sz w:val="20"/>
                <w:szCs w:val="20"/>
                <w:lang w:val="fr-CA"/>
              </w:rPr>
              <w:t>24 décembre 2015</w:t>
            </w:r>
          </w:p>
          <w:p w:rsidR="0052683C" w:rsidRPr="00982C2B" w:rsidRDefault="009F76E0" w:rsidP="009F76E0">
            <w:pPr>
              <w:pStyle w:val="SCCShortJudgment"/>
              <w:ind w:firstLine="0"/>
              <w:rPr>
                <w:rFonts w:cs="Times New Roman"/>
                <w:szCs w:val="20"/>
                <w:u w:val="single"/>
                <w:lang w:val="fr-CA"/>
              </w:rPr>
            </w:pPr>
            <w:r w:rsidRPr="00982C2B">
              <w:rPr>
                <w:rFonts w:cs="Times New Roman"/>
                <w:szCs w:val="20"/>
                <w:lang w:val="fr-CA"/>
              </w:rPr>
              <w:t>Cour suprême du Canada</w:t>
            </w:r>
          </w:p>
        </w:tc>
        <w:tc>
          <w:tcPr>
            <w:tcW w:w="630" w:type="dxa"/>
          </w:tcPr>
          <w:p w:rsidR="0052683C" w:rsidRPr="00982C2B" w:rsidRDefault="0052683C" w:rsidP="009F76E0">
            <w:pPr>
              <w:pStyle w:val="SCCShortJudgment"/>
              <w:ind w:firstLine="0"/>
              <w:rPr>
                <w:rFonts w:cs="Times New Roman"/>
                <w:szCs w:val="20"/>
                <w:u w:val="single"/>
                <w:lang w:val="fr-CA"/>
              </w:rPr>
            </w:pPr>
          </w:p>
        </w:tc>
        <w:tc>
          <w:tcPr>
            <w:tcW w:w="4536" w:type="dxa"/>
          </w:tcPr>
          <w:p w:rsidR="0052683C" w:rsidRPr="00982C2B" w:rsidRDefault="009F76E0" w:rsidP="009F76E0">
            <w:pPr>
              <w:pStyle w:val="SCCShortJudgment"/>
              <w:ind w:firstLine="0"/>
              <w:rPr>
                <w:rFonts w:cs="Times New Roman"/>
                <w:szCs w:val="20"/>
                <w:u w:val="single"/>
                <w:lang w:val="fr-CA"/>
              </w:rPr>
            </w:pPr>
            <w:r w:rsidRPr="00982C2B">
              <w:rPr>
                <w:rFonts w:cs="Times New Roman"/>
                <w:szCs w:val="20"/>
                <w:lang w:val="fr-CA"/>
              </w:rPr>
              <w:t>Dépôt de la demande d’autorisation d’appel et de la requête en prorogation du délai de signification et de dépôt de la demande.</w:t>
            </w:r>
          </w:p>
        </w:tc>
      </w:tr>
    </w:tbl>
    <w:p w:rsidR="0052683C" w:rsidRPr="00982C2B" w:rsidRDefault="009F3029" w:rsidP="0052683C">
      <w:pPr>
        <w:rPr>
          <w:rFonts w:cs="Times New Roman"/>
          <w:sz w:val="20"/>
          <w:szCs w:val="20"/>
          <w:lang w:val="fr-CA"/>
        </w:rPr>
      </w:pPr>
      <w:r>
        <w:rPr>
          <w:rFonts w:cs="Times New Roman"/>
          <w:sz w:val="20"/>
          <w:szCs w:val="20"/>
          <w:lang w:val="fr-CA"/>
        </w:rPr>
        <w:pict>
          <v:rect id="_x0000_i1094" style="width:2in;height:1pt" o:hrpct="0" o:hralign="center" o:hrstd="t" o:hrnoshade="t" o:hr="t" fillcolor="black [3213]" stroked="f"/>
        </w:pict>
      </w:r>
    </w:p>
    <w:p w:rsidR="0052683C" w:rsidRPr="00982C2B" w:rsidRDefault="0052683C" w:rsidP="0052683C">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F52C8" w:rsidRPr="00982C2B" w:rsidTr="00100085">
        <w:trPr>
          <w:cantSplit/>
        </w:trPr>
        <w:tc>
          <w:tcPr>
            <w:tcW w:w="1458" w:type="dxa"/>
          </w:tcPr>
          <w:p w:rsidR="00DF52C8" w:rsidRPr="00982C2B" w:rsidRDefault="00DF52C8" w:rsidP="00100085">
            <w:pPr>
              <w:jc w:val="both"/>
              <w:rPr>
                <w:rFonts w:cs="Times New Roman"/>
                <w:sz w:val="20"/>
                <w:szCs w:val="20"/>
              </w:rPr>
            </w:pPr>
            <w:r w:rsidRPr="00982C2B">
              <w:rPr>
                <w:rStyle w:val="SCCFileNumberChar"/>
                <w:sz w:val="20"/>
                <w:szCs w:val="20"/>
              </w:rPr>
              <w:t>36833</w:t>
            </w:r>
          </w:p>
          <w:p w:rsidR="00DF52C8" w:rsidRPr="00982C2B" w:rsidRDefault="00DF52C8" w:rsidP="00100085">
            <w:pPr>
              <w:jc w:val="both"/>
              <w:rPr>
                <w:rFonts w:cs="Times New Roman"/>
                <w:b/>
                <w:sz w:val="20"/>
                <w:szCs w:val="20"/>
              </w:rPr>
            </w:pPr>
          </w:p>
        </w:tc>
        <w:tc>
          <w:tcPr>
            <w:tcW w:w="8118" w:type="dxa"/>
            <w:gridSpan w:val="3"/>
          </w:tcPr>
          <w:p w:rsidR="00DF52C8" w:rsidRPr="00982C2B" w:rsidRDefault="00DF52C8" w:rsidP="00100085">
            <w:pPr>
              <w:jc w:val="both"/>
              <w:rPr>
                <w:rFonts w:cs="Times New Roman"/>
                <w:sz w:val="20"/>
                <w:szCs w:val="20"/>
              </w:rPr>
            </w:pPr>
            <w:r w:rsidRPr="00982C2B">
              <w:rPr>
                <w:rStyle w:val="SCCLsocChar"/>
                <w:rFonts w:cs="Times New Roman"/>
                <w:sz w:val="20"/>
                <w:szCs w:val="20"/>
                <w:lang w:val="en-CA"/>
              </w:rPr>
              <w:t>Raymond Abouabdallah v. Professional Conduct Committee of the College of Dental Surgeons of Saskatchewan</w:t>
            </w:r>
            <w:r w:rsidRPr="00982C2B">
              <w:rPr>
                <w:rStyle w:val="SCCLsocChar"/>
                <w:rFonts w:cs="Times New Roman"/>
                <w:sz w:val="20"/>
                <w:szCs w:val="20"/>
                <w:u w:val="none"/>
                <w:lang w:val="en-CA"/>
              </w:rPr>
              <w:t xml:space="preserve"> </w:t>
            </w:r>
            <w:r w:rsidRPr="00982C2B">
              <w:rPr>
                <w:rFonts w:cs="Times New Roman"/>
                <w:sz w:val="20"/>
                <w:szCs w:val="20"/>
              </w:rPr>
              <w:t>(Sask.) (Civil) (By Leave)</w:t>
            </w:r>
          </w:p>
          <w:p w:rsidR="00DF52C8" w:rsidRPr="00982C2B" w:rsidRDefault="00DF52C8" w:rsidP="00100085">
            <w:pPr>
              <w:jc w:val="both"/>
              <w:rPr>
                <w:rFonts w:cs="Times New Roman"/>
                <w:sz w:val="20"/>
                <w:szCs w:val="20"/>
              </w:rPr>
            </w:pPr>
          </w:p>
        </w:tc>
      </w:tr>
      <w:tr w:rsidR="00DF52C8" w:rsidRPr="00982C2B" w:rsidTr="00100085">
        <w:trPr>
          <w:cantSplit/>
        </w:trPr>
        <w:tc>
          <w:tcPr>
            <w:tcW w:w="1458" w:type="dxa"/>
          </w:tcPr>
          <w:p w:rsidR="00DF52C8" w:rsidRPr="00982C2B" w:rsidRDefault="00DF52C8" w:rsidP="00100085">
            <w:pPr>
              <w:jc w:val="both"/>
              <w:rPr>
                <w:rFonts w:cs="Times New Roman"/>
                <w:sz w:val="20"/>
                <w:szCs w:val="20"/>
              </w:rPr>
            </w:pPr>
            <w:r w:rsidRPr="00982C2B">
              <w:rPr>
                <w:rFonts w:cs="Times New Roman"/>
                <w:sz w:val="20"/>
                <w:szCs w:val="20"/>
              </w:rPr>
              <w:t>Coram :</w:t>
            </w:r>
          </w:p>
        </w:tc>
        <w:tc>
          <w:tcPr>
            <w:tcW w:w="8118" w:type="dxa"/>
            <w:gridSpan w:val="3"/>
          </w:tcPr>
          <w:p w:rsidR="00DF52C8" w:rsidRPr="00982C2B" w:rsidRDefault="00DF52C8" w:rsidP="00100085">
            <w:pPr>
              <w:jc w:val="both"/>
              <w:rPr>
                <w:rStyle w:val="SCCCoramChar"/>
                <w:rFonts w:cs="Times New Roman"/>
                <w:sz w:val="20"/>
                <w:szCs w:val="20"/>
                <w:lang w:val="en-CA"/>
              </w:rPr>
            </w:pPr>
            <w:r w:rsidRPr="00982C2B">
              <w:rPr>
                <w:rStyle w:val="SCCCoramChar"/>
                <w:rFonts w:cs="Times New Roman"/>
                <w:sz w:val="20"/>
                <w:szCs w:val="20"/>
                <w:lang w:val="en-CA"/>
              </w:rPr>
              <w:t>McLachlin C.J. and Moldaver and Gascon JJ.</w:t>
            </w:r>
          </w:p>
          <w:p w:rsidR="00DF52C8" w:rsidRPr="00982C2B" w:rsidRDefault="00DF52C8" w:rsidP="00100085">
            <w:pPr>
              <w:jc w:val="both"/>
              <w:rPr>
                <w:rFonts w:cs="Times New Roman"/>
                <w:sz w:val="20"/>
                <w:szCs w:val="20"/>
                <w:u w:val="single"/>
              </w:rPr>
            </w:pPr>
          </w:p>
        </w:tc>
      </w:tr>
      <w:tr w:rsidR="00DF52C8" w:rsidRPr="009F3029" w:rsidTr="00100085">
        <w:trPr>
          <w:cantSplit/>
        </w:trPr>
        <w:tc>
          <w:tcPr>
            <w:tcW w:w="9576" w:type="dxa"/>
            <w:gridSpan w:val="4"/>
          </w:tcPr>
          <w:p w:rsidR="00DF52C8" w:rsidRPr="00982C2B" w:rsidRDefault="00DF52C8" w:rsidP="00100085">
            <w:pPr>
              <w:pStyle w:val="SCCShortJudgment"/>
              <w:ind w:firstLine="0"/>
              <w:rPr>
                <w:rFonts w:cs="Times New Roman"/>
                <w:szCs w:val="20"/>
              </w:rPr>
            </w:pPr>
            <w:r w:rsidRPr="00982C2B">
              <w:rPr>
                <w:rFonts w:cs="Times New Roman"/>
                <w:szCs w:val="20"/>
              </w:rPr>
              <w:tab/>
              <w:t>The application for leave to appeal from the judgment of the Court of Appeal for Saskatchewan, Number CACV2575, dated November 24, 2015, is dismissed with costs.</w:t>
            </w:r>
          </w:p>
          <w:p w:rsidR="00DF52C8" w:rsidRPr="00982C2B" w:rsidRDefault="00DF52C8" w:rsidP="00100085">
            <w:pPr>
              <w:pStyle w:val="SCCShortJudgment"/>
              <w:ind w:firstLine="0"/>
              <w:rPr>
                <w:rFonts w:cs="Times New Roman"/>
                <w:szCs w:val="20"/>
              </w:rPr>
            </w:pPr>
          </w:p>
          <w:p w:rsidR="00DF52C8" w:rsidRPr="00982C2B" w:rsidRDefault="00DF52C8" w:rsidP="00100085">
            <w:pPr>
              <w:pStyle w:val="SCCShortJudgment"/>
              <w:ind w:firstLine="0"/>
              <w:rPr>
                <w:rFonts w:cs="Times New Roman"/>
                <w:szCs w:val="20"/>
                <w:lang w:val="fr-FR"/>
              </w:rPr>
            </w:pPr>
            <w:r w:rsidRPr="00982C2B">
              <w:rPr>
                <w:rFonts w:cs="Times New Roman"/>
                <w:szCs w:val="20"/>
              </w:rPr>
              <w:tab/>
            </w:r>
            <w:r w:rsidRPr="00982C2B">
              <w:rPr>
                <w:rFonts w:cs="Times New Roman"/>
                <w:szCs w:val="20"/>
                <w:lang w:val="fr-FR"/>
              </w:rPr>
              <w:t>La demande d’autorisation d’appel de l’arrêt de la Cour d’appel de la Saskatchewan, numéro CACV2575, daté du 24 novembre 2015, est rejetée avec dépens.</w:t>
            </w:r>
          </w:p>
          <w:p w:rsidR="00DF52C8" w:rsidRPr="00982C2B" w:rsidRDefault="00DF52C8" w:rsidP="00100085">
            <w:pPr>
              <w:pStyle w:val="SCCShortJudgment"/>
              <w:ind w:firstLine="0"/>
              <w:rPr>
                <w:rFonts w:cs="Times New Roman"/>
                <w:szCs w:val="20"/>
                <w:lang w:val="fr-CA"/>
              </w:rPr>
            </w:pPr>
          </w:p>
        </w:tc>
      </w:tr>
      <w:tr w:rsidR="00DF52C8" w:rsidRPr="00982C2B" w:rsidTr="00100085">
        <w:trPr>
          <w:cantSplit/>
        </w:trPr>
        <w:tc>
          <w:tcPr>
            <w:tcW w:w="9576" w:type="dxa"/>
            <w:gridSpan w:val="4"/>
          </w:tcPr>
          <w:p w:rsidR="00DF52C8" w:rsidRPr="00982C2B" w:rsidRDefault="00DF52C8" w:rsidP="00100085">
            <w:pPr>
              <w:pStyle w:val="SCCShortJudgment"/>
              <w:ind w:firstLine="0"/>
              <w:rPr>
                <w:rFonts w:cs="Times New Roman"/>
                <w:szCs w:val="20"/>
                <w:u w:val="single"/>
                <w:lang w:val="fr-CA"/>
              </w:rPr>
            </w:pPr>
            <w:r w:rsidRPr="00982C2B">
              <w:rPr>
                <w:rFonts w:cs="Times New Roman"/>
                <w:szCs w:val="20"/>
                <w:u w:val="single"/>
                <w:lang w:val="fr-CA"/>
              </w:rPr>
              <w:t>CASE SUMMARY</w:t>
            </w:r>
          </w:p>
          <w:p w:rsidR="00DF52C8" w:rsidRPr="00982C2B" w:rsidRDefault="00DF52C8" w:rsidP="00100085">
            <w:pPr>
              <w:pStyle w:val="SCCShortJudgment"/>
              <w:ind w:firstLine="0"/>
              <w:rPr>
                <w:rFonts w:cs="Times New Roman"/>
                <w:szCs w:val="20"/>
                <w:u w:val="single"/>
                <w:lang w:val="fr-CA"/>
              </w:rPr>
            </w:pPr>
          </w:p>
        </w:tc>
      </w:tr>
      <w:tr w:rsidR="00DF52C8" w:rsidRPr="00982C2B" w:rsidTr="00DF52C8">
        <w:tc>
          <w:tcPr>
            <w:tcW w:w="9576" w:type="dxa"/>
            <w:gridSpan w:val="4"/>
          </w:tcPr>
          <w:p w:rsidR="00DF52C8" w:rsidRPr="00982C2B" w:rsidRDefault="00DF52C8" w:rsidP="00240C42">
            <w:pPr>
              <w:jc w:val="both"/>
              <w:rPr>
                <w:rFonts w:cs="Times New Roman"/>
                <w:sz w:val="20"/>
                <w:szCs w:val="20"/>
              </w:rPr>
            </w:pPr>
            <w:r w:rsidRPr="00982C2B">
              <w:rPr>
                <w:rFonts w:cs="Times New Roman"/>
                <w:sz w:val="20"/>
                <w:szCs w:val="20"/>
              </w:rPr>
              <w:t>Civil procedure — Appeals — Security for costs — Applicant noted in default of order to post security for costs and his appeal struck — Court of Appeal allowing appeal to proceed at show cause hearing — Appeal subsequently dismissed for deficiency of materials filed — Whether Court of Appeal erred in refusing to accept material and to allow appeal to proceed, without regard to applicant’s fundamental rights and principles of natural justice for sole reason that applicant did not have financial means to post security for costs — Whether litigant facing disciplinary proceedings can be denied access to justice because he has no means to post security for costs, when his fundamental rights and principles of natural justice have not been respected in disciplinary context.</w:t>
            </w:r>
          </w:p>
          <w:p w:rsidR="00DF52C8" w:rsidRPr="00982C2B" w:rsidRDefault="00DF52C8" w:rsidP="00DF52C8">
            <w:pPr>
              <w:pStyle w:val="SCCBanSummary"/>
              <w:rPr>
                <w:rFonts w:cs="Times New Roman"/>
                <w:sz w:val="20"/>
                <w:szCs w:val="20"/>
              </w:rPr>
            </w:pPr>
          </w:p>
          <w:p w:rsidR="00DF52C8" w:rsidRDefault="00DF52C8" w:rsidP="00DF52C8">
            <w:pPr>
              <w:pStyle w:val="SCCShortJudgment"/>
              <w:ind w:firstLine="0"/>
              <w:rPr>
                <w:rFonts w:cs="Times New Roman"/>
                <w:szCs w:val="20"/>
                <w:lang w:val="en-US"/>
              </w:rPr>
            </w:pPr>
            <w:r w:rsidRPr="00982C2B">
              <w:rPr>
                <w:rFonts w:cs="Times New Roman"/>
                <w:szCs w:val="20"/>
                <w:lang w:val="en-US"/>
              </w:rPr>
              <w:t>The College of Dental Surgeons of Saskatchewan (“College”) found Mr. Abouabdallah guilty of professional misconduct and incompetence. Mr. Abouabdallah challenged the decision by way of appeal in the Court of Queen’s Bench of Saskatchewan. Before the appeal was heard, the College obtained an order requiring Mr. Abouabdallah to post security for costs in the amount of $25,000. Mr. Abouabdallah’s leave to appeal the order to the Court of Appeal for Saskatchewan failed, as did his application for leave to this Court. Mr. Abouabdallah did not post security and was in default of the order for security for costs. The College brought an application to strike out his notice of appeal in the Court of Queen’s Bench.</w:t>
            </w:r>
          </w:p>
          <w:p w:rsidR="006D5029" w:rsidRPr="00982C2B" w:rsidRDefault="006D5029" w:rsidP="00DF52C8">
            <w:pPr>
              <w:pStyle w:val="SCCShortJudgment"/>
              <w:ind w:firstLine="0"/>
              <w:rPr>
                <w:rFonts w:cs="Times New Roman"/>
                <w:szCs w:val="20"/>
                <w:lang w:val="en-US"/>
              </w:rPr>
            </w:pPr>
          </w:p>
        </w:tc>
      </w:tr>
      <w:tr w:rsidR="00DF52C8" w:rsidRPr="00982C2B" w:rsidTr="00100085">
        <w:trPr>
          <w:cantSplit/>
        </w:trPr>
        <w:tc>
          <w:tcPr>
            <w:tcW w:w="4410" w:type="dxa"/>
            <w:gridSpan w:val="2"/>
          </w:tcPr>
          <w:p w:rsidR="00DF52C8" w:rsidRPr="00982C2B" w:rsidRDefault="00DF52C8" w:rsidP="00DF52C8">
            <w:pPr>
              <w:rPr>
                <w:rFonts w:cs="Times New Roman"/>
                <w:sz w:val="20"/>
                <w:szCs w:val="20"/>
              </w:rPr>
            </w:pPr>
            <w:r w:rsidRPr="00982C2B">
              <w:rPr>
                <w:rFonts w:cs="Times New Roman"/>
                <w:sz w:val="20"/>
                <w:szCs w:val="20"/>
              </w:rPr>
              <w:t>July 7, 2014</w:t>
            </w:r>
          </w:p>
          <w:p w:rsidR="00DF52C8" w:rsidRPr="00982C2B" w:rsidRDefault="00DF52C8" w:rsidP="00DF52C8">
            <w:pPr>
              <w:rPr>
                <w:rFonts w:cs="Times New Roman"/>
                <w:sz w:val="20"/>
                <w:szCs w:val="20"/>
              </w:rPr>
            </w:pPr>
            <w:r w:rsidRPr="00982C2B">
              <w:rPr>
                <w:rFonts w:cs="Times New Roman"/>
                <w:sz w:val="20"/>
                <w:szCs w:val="20"/>
              </w:rPr>
              <w:t>Court of Queen’s Bench of Saskatchewan</w:t>
            </w:r>
          </w:p>
          <w:p w:rsidR="00DF52C8" w:rsidRPr="00982C2B" w:rsidRDefault="00DF52C8" w:rsidP="00DF52C8">
            <w:pPr>
              <w:rPr>
                <w:rFonts w:cs="Times New Roman"/>
                <w:sz w:val="20"/>
                <w:szCs w:val="20"/>
              </w:rPr>
            </w:pPr>
            <w:r w:rsidRPr="00982C2B">
              <w:rPr>
                <w:rFonts w:cs="Times New Roman"/>
                <w:sz w:val="20"/>
                <w:szCs w:val="20"/>
              </w:rPr>
              <w:t>(Keene J.)</w:t>
            </w:r>
          </w:p>
          <w:p w:rsidR="00DF52C8" w:rsidRPr="00982C2B" w:rsidRDefault="00DF52C8" w:rsidP="00DF52C8">
            <w:pPr>
              <w:rPr>
                <w:rFonts w:cs="Times New Roman"/>
                <w:sz w:val="20"/>
                <w:szCs w:val="20"/>
              </w:rPr>
            </w:pPr>
            <w:r w:rsidRPr="00982C2B">
              <w:rPr>
                <w:rFonts w:cs="Times New Roman"/>
                <w:sz w:val="20"/>
                <w:szCs w:val="20"/>
              </w:rPr>
              <w:t xml:space="preserve">Q.B.G. 1317/2012 (unreported) </w:t>
            </w:r>
          </w:p>
          <w:p w:rsidR="00DF52C8" w:rsidRPr="00982C2B" w:rsidRDefault="00DF52C8" w:rsidP="00100085">
            <w:pPr>
              <w:jc w:val="both"/>
              <w:rPr>
                <w:rFonts w:cs="Times New Roman"/>
                <w:sz w:val="20"/>
                <w:szCs w:val="20"/>
              </w:rPr>
            </w:pPr>
          </w:p>
        </w:tc>
        <w:tc>
          <w:tcPr>
            <w:tcW w:w="630" w:type="dxa"/>
          </w:tcPr>
          <w:p w:rsidR="00DF52C8" w:rsidRPr="00982C2B" w:rsidRDefault="00DF52C8" w:rsidP="00100085">
            <w:pPr>
              <w:pStyle w:val="SCCShortJudgment"/>
              <w:ind w:firstLine="0"/>
              <w:rPr>
                <w:rFonts w:cs="Times New Roman"/>
                <w:szCs w:val="20"/>
              </w:rPr>
            </w:pPr>
          </w:p>
        </w:tc>
        <w:tc>
          <w:tcPr>
            <w:tcW w:w="4536" w:type="dxa"/>
          </w:tcPr>
          <w:p w:rsidR="00DF52C8" w:rsidRPr="00982C2B" w:rsidRDefault="00DF52C8" w:rsidP="00100085">
            <w:pPr>
              <w:jc w:val="both"/>
              <w:rPr>
                <w:rFonts w:cs="Times New Roman"/>
                <w:sz w:val="20"/>
                <w:szCs w:val="20"/>
              </w:rPr>
            </w:pPr>
            <w:r w:rsidRPr="00982C2B">
              <w:rPr>
                <w:rFonts w:cs="Times New Roman"/>
                <w:sz w:val="20"/>
                <w:szCs w:val="20"/>
              </w:rPr>
              <w:t>Applicant’s notice of appeal struck</w:t>
            </w:r>
          </w:p>
        </w:tc>
      </w:tr>
      <w:tr w:rsidR="00DF52C8" w:rsidRPr="00982C2B" w:rsidTr="00100085">
        <w:trPr>
          <w:cantSplit/>
        </w:trPr>
        <w:tc>
          <w:tcPr>
            <w:tcW w:w="4410" w:type="dxa"/>
            <w:gridSpan w:val="2"/>
          </w:tcPr>
          <w:p w:rsidR="00DF52C8" w:rsidRPr="00982C2B" w:rsidRDefault="00DF52C8" w:rsidP="00DF52C8">
            <w:pPr>
              <w:rPr>
                <w:rFonts w:cs="Times New Roman"/>
                <w:sz w:val="20"/>
                <w:szCs w:val="20"/>
              </w:rPr>
            </w:pPr>
            <w:r w:rsidRPr="00982C2B">
              <w:rPr>
                <w:rFonts w:cs="Times New Roman"/>
                <w:sz w:val="20"/>
                <w:szCs w:val="20"/>
              </w:rPr>
              <w:t>November 19, 2015</w:t>
            </w:r>
          </w:p>
          <w:p w:rsidR="00DF52C8" w:rsidRPr="00982C2B" w:rsidRDefault="00DF52C8" w:rsidP="00DF52C8">
            <w:pPr>
              <w:rPr>
                <w:rFonts w:cs="Times New Roman"/>
                <w:sz w:val="20"/>
                <w:szCs w:val="20"/>
              </w:rPr>
            </w:pPr>
            <w:r w:rsidRPr="00982C2B">
              <w:rPr>
                <w:rFonts w:cs="Times New Roman"/>
                <w:sz w:val="20"/>
                <w:szCs w:val="20"/>
              </w:rPr>
              <w:t>Court of Appeal for Saskatchewan</w:t>
            </w:r>
          </w:p>
          <w:p w:rsidR="00DF52C8" w:rsidRPr="00982C2B" w:rsidRDefault="00DF52C8" w:rsidP="00DF52C8">
            <w:pPr>
              <w:rPr>
                <w:rFonts w:cs="Times New Roman"/>
                <w:sz w:val="20"/>
                <w:szCs w:val="20"/>
              </w:rPr>
            </w:pPr>
            <w:r w:rsidRPr="00982C2B">
              <w:rPr>
                <w:rFonts w:cs="Times New Roman"/>
                <w:sz w:val="20"/>
                <w:szCs w:val="20"/>
              </w:rPr>
              <w:t>(Ottenbreit, Caldwell and Herauf JJ.A.)</w:t>
            </w:r>
          </w:p>
          <w:p w:rsidR="00DF52C8" w:rsidRPr="00982C2B" w:rsidRDefault="00DF52C8" w:rsidP="00DF52C8">
            <w:pPr>
              <w:rPr>
                <w:rFonts w:cs="Times New Roman"/>
                <w:sz w:val="20"/>
                <w:szCs w:val="20"/>
              </w:rPr>
            </w:pPr>
            <w:r w:rsidRPr="00982C2B">
              <w:rPr>
                <w:rFonts w:cs="Times New Roman"/>
                <w:sz w:val="20"/>
                <w:szCs w:val="20"/>
              </w:rPr>
              <w:t xml:space="preserve">CACV2575 (unreported) </w:t>
            </w:r>
          </w:p>
          <w:p w:rsidR="00DF52C8" w:rsidRPr="00982C2B" w:rsidRDefault="00DF52C8" w:rsidP="00100085">
            <w:pPr>
              <w:jc w:val="both"/>
              <w:rPr>
                <w:rFonts w:cs="Times New Roman"/>
                <w:sz w:val="20"/>
                <w:szCs w:val="20"/>
              </w:rPr>
            </w:pPr>
          </w:p>
        </w:tc>
        <w:tc>
          <w:tcPr>
            <w:tcW w:w="630" w:type="dxa"/>
          </w:tcPr>
          <w:p w:rsidR="00DF52C8" w:rsidRPr="00982C2B" w:rsidRDefault="00DF52C8" w:rsidP="00100085">
            <w:pPr>
              <w:pStyle w:val="SCCShortJudgment"/>
              <w:ind w:firstLine="0"/>
              <w:rPr>
                <w:rFonts w:cs="Times New Roman"/>
                <w:szCs w:val="20"/>
              </w:rPr>
            </w:pPr>
          </w:p>
        </w:tc>
        <w:tc>
          <w:tcPr>
            <w:tcW w:w="4536" w:type="dxa"/>
          </w:tcPr>
          <w:p w:rsidR="00DF52C8" w:rsidRPr="00982C2B" w:rsidRDefault="00DF52C8" w:rsidP="00100085">
            <w:pPr>
              <w:jc w:val="both"/>
              <w:rPr>
                <w:rFonts w:cs="Times New Roman"/>
                <w:sz w:val="20"/>
                <w:szCs w:val="20"/>
              </w:rPr>
            </w:pPr>
            <w:r w:rsidRPr="00982C2B">
              <w:rPr>
                <w:rFonts w:cs="Times New Roman"/>
                <w:sz w:val="20"/>
                <w:szCs w:val="20"/>
              </w:rPr>
              <w:t>Appeal allowed to proceed at show cause hearing</w:t>
            </w:r>
          </w:p>
        </w:tc>
      </w:tr>
      <w:tr w:rsidR="00DF52C8" w:rsidRPr="00982C2B" w:rsidTr="00100085">
        <w:trPr>
          <w:cantSplit/>
        </w:trPr>
        <w:tc>
          <w:tcPr>
            <w:tcW w:w="4410" w:type="dxa"/>
            <w:gridSpan w:val="2"/>
          </w:tcPr>
          <w:p w:rsidR="00DF52C8" w:rsidRPr="00982C2B" w:rsidRDefault="00DF52C8" w:rsidP="00DF52C8">
            <w:pPr>
              <w:rPr>
                <w:rFonts w:cs="Times New Roman"/>
                <w:sz w:val="20"/>
                <w:szCs w:val="20"/>
              </w:rPr>
            </w:pPr>
            <w:r w:rsidRPr="00982C2B">
              <w:rPr>
                <w:rFonts w:cs="Times New Roman"/>
                <w:sz w:val="20"/>
                <w:szCs w:val="20"/>
              </w:rPr>
              <w:t>November 24, 2015</w:t>
            </w:r>
          </w:p>
          <w:p w:rsidR="00DF52C8" w:rsidRPr="00982C2B" w:rsidRDefault="00DF52C8" w:rsidP="00DF52C8">
            <w:pPr>
              <w:rPr>
                <w:rFonts w:cs="Times New Roman"/>
                <w:sz w:val="20"/>
                <w:szCs w:val="20"/>
              </w:rPr>
            </w:pPr>
            <w:r w:rsidRPr="00982C2B">
              <w:rPr>
                <w:rFonts w:cs="Times New Roman"/>
                <w:sz w:val="20"/>
                <w:szCs w:val="20"/>
              </w:rPr>
              <w:t xml:space="preserve">Court of Appeal for Saskatchewan (D. Haniak, Deputy Registrar) </w:t>
            </w:r>
          </w:p>
          <w:p w:rsidR="00DF52C8" w:rsidRPr="00982C2B" w:rsidRDefault="00DF52C8" w:rsidP="00DF52C8">
            <w:pPr>
              <w:rPr>
                <w:rFonts w:cs="Times New Roman"/>
                <w:sz w:val="20"/>
                <w:szCs w:val="20"/>
              </w:rPr>
            </w:pPr>
            <w:r w:rsidRPr="00982C2B">
              <w:rPr>
                <w:rFonts w:cs="Times New Roman"/>
                <w:sz w:val="20"/>
                <w:szCs w:val="20"/>
              </w:rPr>
              <w:t xml:space="preserve">CACV2575 (unreported) </w:t>
            </w:r>
          </w:p>
          <w:p w:rsidR="00DF52C8" w:rsidRPr="00982C2B" w:rsidRDefault="00DF52C8" w:rsidP="00100085">
            <w:pPr>
              <w:jc w:val="both"/>
              <w:rPr>
                <w:rFonts w:cs="Times New Roman"/>
                <w:sz w:val="20"/>
                <w:szCs w:val="20"/>
              </w:rPr>
            </w:pPr>
          </w:p>
        </w:tc>
        <w:tc>
          <w:tcPr>
            <w:tcW w:w="630" w:type="dxa"/>
          </w:tcPr>
          <w:p w:rsidR="00DF52C8" w:rsidRPr="00982C2B" w:rsidRDefault="00DF52C8" w:rsidP="00100085">
            <w:pPr>
              <w:pStyle w:val="SCCShortJudgment"/>
              <w:ind w:firstLine="0"/>
              <w:rPr>
                <w:rFonts w:cs="Times New Roman"/>
                <w:szCs w:val="20"/>
              </w:rPr>
            </w:pPr>
          </w:p>
        </w:tc>
        <w:tc>
          <w:tcPr>
            <w:tcW w:w="4536" w:type="dxa"/>
          </w:tcPr>
          <w:p w:rsidR="00DF52C8" w:rsidRPr="00982C2B" w:rsidRDefault="00DF52C8" w:rsidP="00100085">
            <w:pPr>
              <w:jc w:val="both"/>
              <w:rPr>
                <w:rFonts w:cs="Times New Roman"/>
                <w:sz w:val="20"/>
                <w:szCs w:val="20"/>
              </w:rPr>
            </w:pPr>
            <w:r w:rsidRPr="00982C2B">
              <w:rPr>
                <w:rFonts w:cs="Times New Roman"/>
                <w:sz w:val="20"/>
                <w:szCs w:val="20"/>
              </w:rPr>
              <w:t>Appeal dismissed for deficiency of appeal material filed</w:t>
            </w:r>
          </w:p>
        </w:tc>
      </w:tr>
      <w:tr w:rsidR="00DF52C8" w:rsidRPr="00982C2B" w:rsidTr="00100085">
        <w:trPr>
          <w:cantSplit/>
        </w:trPr>
        <w:tc>
          <w:tcPr>
            <w:tcW w:w="4410" w:type="dxa"/>
            <w:gridSpan w:val="2"/>
          </w:tcPr>
          <w:p w:rsidR="00DF52C8" w:rsidRPr="00982C2B" w:rsidRDefault="00DF52C8" w:rsidP="00DF52C8">
            <w:pPr>
              <w:rPr>
                <w:rFonts w:cs="Times New Roman"/>
                <w:sz w:val="20"/>
                <w:szCs w:val="20"/>
              </w:rPr>
            </w:pPr>
            <w:r w:rsidRPr="00982C2B">
              <w:rPr>
                <w:rFonts w:cs="Times New Roman"/>
                <w:sz w:val="20"/>
                <w:szCs w:val="20"/>
              </w:rPr>
              <w:t>January 22, 2016</w:t>
            </w:r>
          </w:p>
          <w:p w:rsidR="00DF52C8" w:rsidRPr="00982C2B" w:rsidRDefault="00DF52C8" w:rsidP="00DF52C8">
            <w:pPr>
              <w:jc w:val="both"/>
              <w:rPr>
                <w:rFonts w:cs="Times New Roman"/>
                <w:sz w:val="20"/>
                <w:szCs w:val="20"/>
              </w:rPr>
            </w:pPr>
            <w:r w:rsidRPr="00982C2B">
              <w:rPr>
                <w:rFonts w:cs="Times New Roman"/>
                <w:sz w:val="20"/>
                <w:szCs w:val="20"/>
              </w:rPr>
              <w:t>Supreme Court of Canada</w:t>
            </w:r>
          </w:p>
        </w:tc>
        <w:tc>
          <w:tcPr>
            <w:tcW w:w="630" w:type="dxa"/>
          </w:tcPr>
          <w:p w:rsidR="00DF52C8" w:rsidRPr="00982C2B" w:rsidRDefault="00DF52C8" w:rsidP="00100085">
            <w:pPr>
              <w:jc w:val="both"/>
              <w:rPr>
                <w:rFonts w:cs="Times New Roman"/>
                <w:sz w:val="20"/>
                <w:szCs w:val="20"/>
              </w:rPr>
            </w:pPr>
          </w:p>
        </w:tc>
        <w:tc>
          <w:tcPr>
            <w:tcW w:w="4536" w:type="dxa"/>
          </w:tcPr>
          <w:p w:rsidR="00DF52C8" w:rsidRPr="00982C2B" w:rsidRDefault="00DF52C8" w:rsidP="00DF52C8">
            <w:pPr>
              <w:rPr>
                <w:rFonts w:cs="Times New Roman"/>
                <w:sz w:val="20"/>
                <w:szCs w:val="20"/>
              </w:rPr>
            </w:pPr>
            <w:r w:rsidRPr="00982C2B">
              <w:rPr>
                <w:rFonts w:cs="Times New Roman"/>
                <w:sz w:val="20"/>
                <w:szCs w:val="20"/>
              </w:rPr>
              <w:t>Application for leave to appeal filed</w:t>
            </w:r>
          </w:p>
          <w:p w:rsidR="00DF52C8" w:rsidRPr="00982C2B" w:rsidRDefault="00DF52C8" w:rsidP="00100085">
            <w:pPr>
              <w:jc w:val="both"/>
              <w:rPr>
                <w:rFonts w:cs="Times New Roman"/>
                <w:sz w:val="20"/>
                <w:szCs w:val="20"/>
              </w:rPr>
            </w:pPr>
          </w:p>
        </w:tc>
      </w:tr>
      <w:tr w:rsidR="00DF52C8" w:rsidRPr="00982C2B" w:rsidTr="00100085">
        <w:trPr>
          <w:cantSplit/>
        </w:trPr>
        <w:tc>
          <w:tcPr>
            <w:tcW w:w="9576" w:type="dxa"/>
            <w:gridSpan w:val="4"/>
          </w:tcPr>
          <w:p w:rsidR="00DF52C8" w:rsidRPr="00982C2B" w:rsidRDefault="009F3029" w:rsidP="00100085">
            <w:pPr>
              <w:pStyle w:val="SCCShortJudgment"/>
              <w:ind w:firstLine="0"/>
              <w:rPr>
                <w:rFonts w:cs="Times New Roman"/>
                <w:szCs w:val="20"/>
                <w:lang w:val="fr-CA"/>
              </w:rPr>
            </w:pPr>
            <w:r>
              <w:rPr>
                <w:rFonts w:cs="Times New Roman"/>
                <w:szCs w:val="20"/>
                <w:lang w:val="fr-CA"/>
              </w:rPr>
              <w:pict>
                <v:rect id="_x0000_i1095" style="width:2in;height:1pt" o:hrpct="0" o:hralign="center" o:hrstd="t" o:hrnoshade="t" o:hr="t" fillcolor="black [3213]" stroked="f"/>
              </w:pict>
            </w:r>
          </w:p>
          <w:p w:rsidR="00DF52C8" w:rsidRPr="00982C2B" w:rsidRDefault="00DF52C8" w:rsidP="00100085">
            <w:pPr>
              <w:pStyle w:val="SCCShortJudgment"/>
              <w:ind w:firstLine="0"/>
              <w:rPr>
                <w:rFonts w:cs="Times New Roman"/>
                <w:szCs w:val="20"/>
                <w:lang w:val="fr-CA"/>
              </w:rPr>
            </w:pPr>
          </w:p>
        </w:tc>
      </w:tr>
    </w:tbl>
    <w:p w:rsidR="007E3F99" w:rsidRDefault="007E3F9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F52C8" w:rsidRPr="00982C2B" w:rsidTr="00100085">
        <w:trPr>
          <w:cantSplit/>
        </w:trPr>
        <w:tc>
          <w:tcPr>
            <w:tcW w:w="9576" w:type="dxa"/>
            <w:gridSpan w:val="3"/>
          </w:tcPr>
          <w:p w:rsidR="00DF52C8" w:rsidRPr="00982C2B" w:rsidRDefault="00DF52C8" w:rsidP="00100085">
            <w:pPr>
              <w:pStyle w:val="SCCShortJudgment"/>
              <w:ind w:firstLine="0"/>
              <w:rPr>
                <w:rFonts w:cs="Times New Roman"/>
                <w:szCs w:val="20"/>
                <w:u w:val="single"/>
                <w:lang w:val="fr-CA"/>
              </w:rPr>
            </w:pPr>
            <w:r w:rsidRPr="00982C2B">
              <w:rPr>
                <w:rFonts w:cs="Times New Roman"/>
                <w:szCs w:val="20"/>
                <w:u w:val="single"/>
                <w:lang w:val="fr-CA"/>
              </w:rPr>
              <w:t>RÉSUMÉ DE L’AFFAIRE </w:t>
            </w:r>
          </w:p>
          <w:p w:rsidR="00DF52C8" w:rsidRPr="00982C2B" w:rsidRDefault="00DF52C8" w:rsidP="00100085">
            <w:pPr>
              <w:pStyle w:val="SCCShortJudgment"/>
              <w:ind w:firstLine="0"/>
              <w:rPr>
                <w:rFonts w:cs="Times New Roman"/>
                <w:szCs w:val="20"/>
                <w:u w:val="single"/>
                <w:lang w:val="fr-CA"/>
              </w:rPr>
            </w:pPr>
          </w:p>
        </w:tc>
      </w:tr>
      <w:tr w:rsidR="00DF52C8" w:rsidRPr="009F3029" w:rsidTr="005F31B9">
        <w:tc>
          <w:tcPr>
            <w:tcW w:w="9576" w:type="dxa"/>
            <w:gridSpan w:val="3"/>
          </w:tcPr>
          <w:p w:rsidR="00917CC4" w:rsidRPr="00982C2B" w:rsidRDefault="00917CC4" w:rsidP="00240C42">
            <w:pPr>
              <w:jc w:val="both"/>
              <w:rPr>
                <w:rFonts w:cs="Times New Roman"/>
                <w:sz w:val="20"/>
                <w:szCs w:val="20"/>
                <w:lang w:val="fr-CA"/>
              </w:rPr>
            </w:pPr>
            <w:r w:rsidRPr="00982C2B">
              <w:rPr>
                <w:rFonts w:cs="Times New Roman"/>
                <w:sz w:val="20"/>
                <w:szCs w:val="20"/>
                <w:lang w:val="fr-CA"/>
              </w:rPr>
              <w:t>Procédure civile — Appels — Cautionnement pour dépens — Le demandeur a été constaté en défaut à l’égard d’une ordonnance de verser un cautionnement pour dépens et son appel a été radié — La Cour d’appel a autorisé que l’appel soit instruit à une audience de justification — L’appel a subséquemment été rejeté pour cause d’insuffisance des documents déposés — La Cour d’appel a-t-elle commis une erreur en refusant d’accepter des documents et de permettre à l’appel d’aller de l’avant sans égard aux droits fondamentaux du demandeur et aux principes de justice naturelle, uniquement parce que le demandeur n’avait pas les moyens financiers de déposer un cautionnement pour dépens? — Un plaideur qui fait l’objet de procédures disciplinaires peut-il se voir refuser l’accès à la justice parce qu’il n’a pas les moyens de déposer un cautionnement pour dépens alors que ses droits fondamentaux et les principes de justice naturelle n’ont pas été respectés dans le contexte disciplinaire?</w:t>
            </w:r>
          </w:p>
          <w:p w:rsidR="00917CC4" w:rsidRPr="00982C2B" w:rsidRDefault="00917CC4" w:rsidP="00917CC4">
            <w:pPr>
              <w:pStyle w:val="SCCBanSummary"/>
              <w:rPr>
                <w:rFonts w:cs="Times New Roman"/>
                <w:sz w:val="20"/>
                <w:szCs w:val="20"/>
                <w:lang w:val="fr-CA"/>
              </w:rPr>
            </w:pPr>
          </w:p>
          <w:p w:rsidR="00DF52C8" w:rsidRPr="00982C2B" w:rsidRDefault="00917CC4" w:rsidP="00917CC4">
            <w:pPr>
              <w:pStyle w:val="SCCShortJudgment"/>
              <w:ind w:firstLine="0"/>
              <w:rPr>
                <w:rFonts w:cs="Times New Roman"/>
                <w:szCs w:val="20"/>
                <w:u w:val="single"/>
                <w:lang w:val="fr-CA"/>
              </w:rPr>
            </w:pPr>
            <w:r w:rsidRPr="00982C2B">
              <w:rPr>
                <w:rFonts w:cs="Times New Roman"/>
                <w:szCs w:val="20"/>
                <w:lang w:val="fr-CA"/>
              </w:rPr>
              <w:t>L’ordre des chirurgiens-dentistes de la Saskatchewan (l’« Ordre ») a déclaré M. Abouabdallah coupable d’inconduite professionnelle et d’incompétence. Monsieur Abouabdallah a contesté la décision par voie d’appel à la Cour du Banc de la Reine de la Saskatchewan. Avant l’audition de l’appel, l’Ordre a obtenu une ordonnance enjoignant à M. Abouabdallah de déposer un cautionnement pour dépens de 25 000 $. Monsieur Abouabdallah s’est vu refuser l’autorisation d’en appeler à la Cour d’appel de la Saskatchewan, mais il a été débouté, et sa demande d’autorisation à cette Cour a également été rejetée. Monsieur Abouabdallah n’a pas déposé de cautionnement pour dépens et il a été constaté en défaut à l’égard de l’ordonnance qui l’enjoignait à le faire. L’Ordre a présenté une demande de radiation de son avis d’appel en Cour du Banc de la Reine.</w:t>
            </w:r>
          </w:p>
        </w:tc>
      </w:tr>
      <w:tr w:rsidR="00DF52C8" w:rsidRPr="009F3029" w:rsidTr="00100085">
        <w:trPr>
          <w:cantSplit/>
        </w:trPr>
        <w:tc>
          <w:tcPr>
            <w:tcW w:w="9576" w:type="dxa"/>
            <w:gridSpan w:val="3"/>
          </w:tcPr>
          <w:p w:rsidR="00DF52C8" w:rsidRPr="00982C2B" w:rsidRDefault="00DF52C8" w:rsidP="00100085">
            <w:pPr>
              <w:pStyle w:val="SCCShortJudgment"/>
              <w:ind w:firstLine="0"/>
              <w:rPr>
                <w:rFonts w:cs="Times New Roman"/>
                <w:szCs w:val="20"/>
                <w:u w:val="single"/>
                <w:lang w:val="fr-CA"/>
              </w:rPr>
            </w:pPr>
          </w:p>
        </w:tc>
      </w:tr>
      <w:tr w:rsidR="00DF52C8" w:rsidRPr="009F3029" w:rsidTr="00100085">
        <w:trPr>
          <w:cantSplit/>
        </w:trPr>
        <w:tc>
          <w:tcPr>
            <w:tcW w:w="4410" w:type="dxa"/>
          </w:tcPr>
          <w:p w:rsidR="00917CC4" w:rsidRPr="00982C2B" w:rsidRDefault="00917CC4" w:rsidP="00917CC4">
            <w:pPr>
              <w:rPr>
                <w:rFonts w:cs="Times New Roman"/>
                <w:sz w:val="20"/>
                <w:szCs w:val="20"/>
                <w:lang w:val="fr-CA"/>
              </w:rPr>
            </w:pPr>
            <w:r w:rsidRPr="00982C2B">
              <w:rPr>
                <w:rFonts w:cs="Times New Roman"/>
                <w:sz w:val="20"/>
                <w:szCs w:val="20"/>
                <w:lang w:val="fr-CA"/>
              </w:rPr>
              <w:t>7 juillet 2014</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Cour du Banc de la Reine de la Saskatchewan </w:t>
            </w:r>
          </w:p>
          <w:p w:rsidR="00917CC4" w:rsidRPr="00982C2B" w:rsidRDefault="00917CC4" w:rsidP="00917CC4">
            <w:pPr>
              <w:rPr>
                <w:rFonts w:cs="Times New Roman"/>
                <w:sz w:val="20"/>
                <w:szCs w:val="20"/>
                <w:lang w:val="fr-CA"/>
              </w:rPr>
            </w:pPr>
            <w:r w:rsidRPr="00982C2B">
              <w:rPr>
                <w:rFonts w:cs="Times New Roman"/>
                <w:sz w:val="20"/>
                <w:szCs w:val="20"/>
                <w:lang w:val="fr-CA"/>
              </w:rPr>
              <w:t>(Juge Keene)</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Q.B.G. 1317/2012 (non publié) </w:t>
            </w:r>
          </w:p>
          <w:p w:rsidR="00DF52C8" w:rsidRPr="00982C2B" w:rsidRDefault="00DF52C8" w:rsidP="00100085">
            <w:pPr>
              <w:pStyle w:val="SCCShortJudgment"/>
              <w:ind w:firstLine="0"/>
              <w:rPr>
                <w:rFonts w:cs="Times New Roman"/>
                <w:szCs w:val="20"/>
                <w:u w:val="single"/>
                <w:lang w:val="fr-CA"/>
              </w:rPr>
            </w:pPr>
          </w:p>
        </w:tc>
        <w:tc>
          <w:tcPr>
            <w:tcW w:w="630" w:type="dxa"/>
          </w:tcPr>
          <w:p w:rsidR="00DF52C8" w:rsidRPr="00982C2B" w:rsidRDefault="00DF52C8" w:rsidP="00100085">
            <w:pPr>
              <w:pStyle w:val="SCCShortJudgment"/>
              <w:ind w:firstLine="0"/>
              <w:rPr>
                <w:rFonts w:cs="Times New Roman"/>
                <w:szCs w:val="20"/>
                <w:u w:val="single"/>
                <w:lang w:val="fr-CA"/>
              </w:rPr>
            </w:pPr>
          </w:p>
        </w:tc>
        <w:tc>
          <w:tcPr>
            <w:tcW w:w="4536" w:type="dxa"/>
          </w:tcPr>
          <w:p w:rsidR="00917CC4" w:rsidRPr="00982C2B" w:rsidRDefault="00917CC4" w:rsidP="00917CC4">
            <w:pPr>
              <w:spacing w:line="276" w:lineRule="auto"/>
              <w:jc w:val="both"/>
              <w:rPr>
                <w:rFonts w:cs="Times New Roman"/>
                <w:sz w:val="20"/>
                <w:szCs w:val="20"/>
                <w:lang w:val="fr-CA"/>
              </w:rPr>
            </w:pPr>
            <w:r w:rsidRPr="00982C2B">
              <w:rPr>
                <w:rFonts w:cs="Times New Roman"/>
                <w:sz w:val="20"/>
                <w:szCs w:val="20"/>
                <w:lang w:val="fr-CA"/>
              </w:rPr>
              <w:t>Radiation de l’avis d’appel du demandeur</w:t>
            </w:r>
          </w:p>
          <w:p w:rsidR="00DF52C8" w:rsidRPr="00982C2B" w:rsidRDefault="00DF52C8" w:rsidP="00100085">
            <w:pPr>
              <w:pStyle w:val="SCCShortJudgment"/>
              <w:ind w:firstLine="0"/>
              <w:rPr>
                <w:rFonts w:cs="Times New Roman"/>
                <w:szCs w:val="20"/>
                <w:u w:val="single"/>
                <w:lang w:val="fr-CA"/>
              </w:rPr>
            </w:pPr>
          </w:p>
        </w:tc>
      </w:tr>
      <w:tr w:rsidR="00DF52C8" w:rsidRPr="009F3029" w:rsidTr="00100085">
        <w:trPr>
          <w:cantSplit/>
        </w:trPr>
        <w:tc>
          <w:tcPr>
            <w:tcW w:w="4410" w:type="dxa"/>
          </w:tcPr>
          <w:p w:rsidR="00917CC4" w:rsidRPr="00982C2B" w:rsidRDefault="00917CC4" w:rsidP="00917CC4">
            <w:pPr>
              <w:rPr>
                <w:rFonts w:cs="Times New Roman"/>
                <w:sz w:val="20"/>
                <w:szCs w:val="20"/>
                <w:lang w:val="fr-CA"/>
              </w:rPr>
            </w:pPr>
            <w:r w:rsidRPr="00982C2B">
              <w:rPr>
                <w:rFonts w:cs="Times New Roman"/>
                <w:sz w:val="20"/>
                <w:szCs w:val="20"/>
                <w:lang w:val="fr-CA"/>
              </w:rPr>
              <w:t>19 novembre 2015</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Cour d’appel de la Saskatchewan </w:t>
            </w:r>
          </w:p>
          <w:p w:rsidR="00917CC4" w:rsidRPr="00982C2B" w:rsidRDefault="00917CC4" w:rsidP="00917CC4">
            <w:pPr>
              <w:rPr>
                <w:rFonts w:cs="Times New Roman"/>
                <w:sz w:val="20"/>
                <w:szCs w:val="20"/>
                <w:lang w:val="fr-CA"/>
              </w:rPr>
            </w:pPr>
            <w:r w:rsidRPr="00982C2B">
              <w:rPr>
                <w:rFonts w:cs="Times New Roman"/>
                <w:sz w:val="20"/>
                <w:szCs w:val="20"/>
                <w:lang w:val="fr-CA"/>
              </w:rPr>
              <w:t>(Juges Ottenbreit, Caldwell et Herauf)</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CACV2575 (non publié) </w:t>
            </w:r>
          </w:p>
          <w:p w:rsidR="00DF52C8" w:rsidRPr="00982C2B" w:rsidRDefault="00DF52C8" w:rsidP="00100085">
            <w:pPr>
              <w:pStyle w:val="SCCShortJudgment"/>
              <w:ind w:firstLine="0"/>
              <w:rPr>
                <w:rFonts w:cs="Times New Roman"/>
                <w:szCs w:val="20"/>
                <w:u w:val="single"/>
                <w:lang w:val="fr-CA"/>
              </w:rPr>
            </w:pPr>
          </w:p>
        </w:tc>
        <w:tc>
          <w:tcPr>
            <w:tcW w:w="630" w:type="dxa"/>
          </w:tcPr>
          <w:p w:rsidR="00DF52C8" w:rsidRPr="00982C2B" w:rsidRDefault="00DF52C8" w:rsidP="00100085">
            <w:pPr>
              <w:pStyle w:val="SCCShortJudgment"/>
              <w:ind w:firstLine="0"/>
              <w:rPr>
                <w:rFonts w:cs="Times New Roman"/>
                <w:szCs w:val="20"/>
                <w:u w:val="single"/>
                <w:lang w:val="fr-CA"/>
              </w:rPr>
            </w:pPr>
          </w:p>
        </w:tc>
        <w:tc>
          <w:tcPr>
            <w:tcW w:w="4536" w:type="dxa"/>
          </w:tcPr>
          <w:p w:rsidR="00917CC4" w:rsidRPr="00982C2B" w:rsidRDefault="00917CC4" w:rsidP="00917CC4">
            <w:pPr>
              <w:spacing w:line="276" w:lineRule="auto"/>
              <w:jc w:val="both"/>
              <w:rPr>
                <w:rFonts w:cs="Times New Roman"/>
                <w:sz w:val="20"/>
                <w:szCs w:val="20"/>
                <w:lang w:val="fr-CA"/>
              </w:rPr>
            </w:pPr>
            <w:r w:rsidRPr="00982C2B">
              <w:rPr>
                <w:rFonts w:cs="Times New Roman"/>
                <w:sz w:val="20"/>
                <w:szCs w:val="20"/>
                <w:lang w:val="fr-CA"/>
              </w:rPr>
              <w:t>Autorisation d’instruire l’appel à l’audience de justification</w:t>
            </w:r>
          </w:p>
          <w:p w:rsidR="00DF52C8" w:rsidRPr="00982C2B" w:rsidRDefault="00DF52C8" w:rsidP="00100085">
            <w:pPr>
              <w:pStyle w:val="SCCShortJudgment"/>
              <w:ind w:firstLine="0"/>
              <w:rPr>
                <w:rFonts w:cs="Times New Roman"/>
                <w:szCs w:val="20"/>
                <w:u w:val="single"/>
                <w:lang w:val="fr-CA"/>
              </w:rPr>
            </w:pPr>
          </w:p>
        </w:tc>
      </w:tr>
      <w:tr w:rsidR="00DF52C8" w:rsidRPr="009F3029" w:rsidTr="00100085">
        <w:trPr>
          <w:cantSplit/>
        </w:trPr>
        <w:tc>
          <w:tcPr>
            <w:tcW w:w="4410" w:type="dxa"/>
          </w:tcPr>
          <w:p w:rsidR="00917CC4" w:rsidRPr="00982C2B" w:rsidRDefault="00917CC4" w:rsidP="00917CC4">
            <w:pPr>
              <w:rPr>
                <w:rFonts w:cs="Times New Roman"/>
                <w:sz w:val="20"/>
                <w:szCs w:val="20"/>
                <w:lang w:val="fr-CA"/>
              </w:rPr>
            </w:pPr>
            <w:r w:rsidRPr="00982C2B">
              <w:rPr>
                <w:rFonts w:cs="Times New Roman"/>
                <w:sz w:val="20"/>
                <w:szCs w:val="20"/>
                <w:lang w:val="fr-CA"/>
              </w:rPr>
              <w:t>24 novembre 2015</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Cour d’appel de la Saskatchewan </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(Greffier adjoint D. Haniak) </w:t>
            </w:r>
          </w:p>
          <w:p w:rsidR="00917CC4" w:rsidRPr="00982C2B" w:rsidRDefault="00917CC4" w:rsidP="00917CC4">
            <w:pPr>
              <w:rPr>
                <w:rFonts w:cs="Times New Roman"/>
                <w:sz w:val="20"/>
                <w:szCs w:val="20"/>
                <w:lang w:val="fr-CA"/>
              </w:rPr>
            </w:pPr>
            <w:r w:rsidRPr="00982C2B">
              <w:rPr>
                <w:rFonts w:cs="Times New Roman"/>
                <w:sz w:val="20"/>
                <w:szCs w:val="20"/>
                <w:lang w:val="fr-CA"/>
              </w:rPr>
              <w:t xml:space="preserve">CACV2575 (non publié) </w:t>
            </w:r>
          </w:p>
          <w:p w:rsidR="00DF52C8" w:rsidRPr="00982C2B" w:rsidRDefault="00DF52C8" w:rsidP="00100085">
            <w:pPr>
              <w:pStyle w:val="SCCShortJudgment"/>
              <w:ind w:firstLine="0"/>
              <w:rPr>
                <w:rFonts w:cs="Times New Roman"/>
                <w:szCs w:val="20"/>
                <w:u w:val="single"/>
                <w:lang w:val="fr-CA"/>
              </w:rPr>
            </w:pPr>
          </w:p>
        </w:tc>
        <w:tc>
          <w:tcPr>
            <w:tcW w:w="630" w:type="dxa"/>
          </w:tcPr>
          <w:p w:rsidR="00DF52C8" w:rsidRPr="00982C2B" w:rsidRDefault="00DF52C8" w:rsidP="00100085">
            <w:pPr>
              <w:pStyle w:val="SCCShortJudgment"/>
              <w:ind w:firstLine="0"/>
              <w:rPr>
                <w:rFonts w:cs="Times New Roman"/>
                <w:szCs w:val="20"/>
                <w:u w:val="single"/>
                <w:lang w:val="fr-CA"/>
              </w:rPr>
            </w:pPr>
          </w:p>
        </w:tc>
        <w:tc>
          <w:tcPr>
            <w:tcW w:w="4536" w:type="dxa"/>
          </w:tcPr>
          <w:p w:rsidR="00917CC4" w:rsidRPr="00982C2B" w:rsidRDefault="00917CC4" w:rsidP="00917CC4">
            <w:pPr>
              <w:spacing w:line="276" w:lineRule="auto"/>
              <w:jc w:val="both"/>
              <w:rPr>
                <w:rFonts w:cs="Times New Roman"/>
                <w:sz w:val="20"/>
                <w:szCs w:val="20"/>
                <w:lang w:val="fr-CA"/>
              </w:rPr>
            </w:pPr>
            <w:r w:rsidRPr="00982C2B">
              <w:rPr>
                <w:rFonts w:cs="Times New Roman"/>
                <w:sz w:val="20"/>
                <w:szCs w:val="20"/>
                <w:lang w:val="fr-CA"/>
              </w:rPr>
              <w:t>Rejet de l’appel pour cause d’insuffisance des documents déposés</w:t>
            </w:r>
          </w:p>
          <w:p w:rsidR="00DF52C8" w:rsidRPr="00982C2B" w:rsidRDefault="00DF52C8" w:rsidP="00100085">
            <w:pPr>
              <w:pStyle w:val="SCCShortJudgment"/>
              <w:ind w:firstLine="0"/>
              <w:rPr>
                <w:rFonts w:cs="Times New Roman"/>
                <w:szCs w:val="20"/>
                <w:u w:val="single"/>
                <w:lang w:val="fr-CA"/>
              </w:rPr>
            </w:pPr>
          </w:p>
        </w:tc>
      </w:tr>
      <w:tr w:rsidR="00917CC4" w:rsidRPr="009F3029" w:rsidTr="00100085">
        <w:trPr>
          <w:cantSplit/>
        </w:trPr>
        <w:tc>
          <w:tcPr>
            <w:tcW w:w="4410" w:type="dxa"/>
          </w:tcPr>
          <w:p w:rsidR="00917CC4" w:rsidRPr="00982C2B" w:rsidRDefault="00917CC4" w:rsidP="00917CC4">
            <w:pPr>
              <w:rPr>
                <w:rFonts w:cs="Times New Roman"/>
                <w:sz w:val="20"/>
                <w:szCs w:val="20"/>
                <w:lang w:val="fr-CA"/>
              </w:rPr>
            </w:pPr>
            <w:r w:rsidRPr="00982C2B">
              <w:rPr>
                <w:rFonts w:cs="Times New Roman"/>
                <w:sz w:val="20"/>
                <w:szCs w:val="20"/>
                <w:lang w:val="fr-CA"/>
              </w:rPr>
              <w:t>22 janvier 2016</w:t>
            </w:r>
          </w:p>
          <w:p w:rsidR="00917CC4" w:rsidRPr="00982C2B" w:rsidRDefault="00917CC4" w:rsidP="00917CC4">
            <w:pPr>
              <w:rPr>
                <w:rFonts w:cs="Times New Roman"/>
                <w:sz w:val="20"/>
                <w:szCs w:val="20"/>
                <w:lang w:val="fr-CA"/>
              </w:rPr>
            </w:pPr>
            <w:r w:rsidRPr="00982C2B">
              <w:rPr>
                <w:rFonts w:cs="Times New Roman"/>
                <w:sz w:val="20"/>
                <w:szCs w:val="20"/>
                <w:lang w:val="fr-CA"/>
              </w:rPr>
              <w:t>Cour suprême du Canada</w:t>
            </w:r>
          </w:p>
        </w:tc>
        <w:tc>
          <w:tcPr>
            <w:tcW w:w="630" w:type="dxa"/>
          </w:tcPr>
          <w:p w:rsidR="00917CC4" w:rsidRPr="00982C2B" w:rsidRDefault="00917CC4" w:rsidP="00100085">
            <w:pPr>
              <w:pStyle w:val="SCCShortJudgment"/>
              <w:ind w:firstLine="0"/>
              <w:rPr>
                <w:rFonts w:cs="Times New Roman"/>
                <w:szCs w:val="20"/>
                <w:u w:val="single"/>
                <w:lang w:val="fr-CA"/>
              </w:rPr>
            </w:pPr>
          </w:p>
        </w:tc>
        <w:tc>
          <w:tcPr>
            <w:tcW w:w="4536" w:type="dxa"/>
          </w:tcPr>
          <w:p w:rsidR="00917CC4" w:rsidRPr="00982C2B" w:rsidRDefault="00917CC4" w:rsidP="00917CC4">
            <w:pPr>
              <w:rPr>
                <w:rFonts w:cs="Times New Roman"/>
                <w:sz w:val="20"/>
                <w:szCs w:val="20"/>
                <w:lang w:val="fr-CA"/>
              </w:rPr>
            </w:pPr>
            <w:r w:rsidRPr="00982C2B">
              <w:rPr>
                <w:rFonts w:cs="Times New Roman"/>
                <w:sz w:val="20"/>
                <w:szCs w:val="20"/>
                <w:lang w:val="fr-CA"/>
              </w:rPr>
              <w:t>Dépôt de la demande d’autorisation d’appel</w:t>
            </w:r>
          </w:p>
          <w:p w:rsidR="00917CC4" w:rsidRPr="00982C2B" w:rsidRDefault="00917CC4" w:rsidP="00100085">
            <w:pPr>
              <w:pStyle w:val="SCCShortJudgment"/>
              <w:ind w:firstLine="0"/>
              <w:rPr>
                <w:rFonts w:cs="Times New Roman"/>
                <w:szCs w:val="20"/>
                <w:u w:val="single"/>
                <w:lang w:val="fr-CA"/>
              </w:rPr>
            </w:pPr>
          </w:p>
        </w:tc>
      </w:tr>
    </w:tbl>
    <w:p w:rsidR="00DF52C8" w:rsidRPr="00982C2B" w:rsidRDefault="009F3029" w:rsidP="00DF52C8">
      <w:pPr>
        <w:rPr>
          <w:rFonts w:cs="Times New Roman"/>
          <w:sz w:val="20"/>
          <w:szCs w:val="20"/>
          <w:lang w:val="fr-CA"/>
        </w:rPr>
      </w:pPr>
      <w:r>
        <w:rPr>
          <w:rFonts w:cs="Times New Roman"/>
          <w:sz w:val="20"/>
          <w:szCs w:val="20"/>
          <w:lang w:val="fr-CA"/>
        </w:rPr>
        <w:pict>
          <v:rect id="_x0000_i1096" style="width:2in;height:1pt" o:hrpct="0" o:hralign="center" o:hrstd="t" o:hrnoshade="t" o:hr="t" fillcolor="black [3213]" stroked="f"/>
        </w:pict>
      </w:r>
    </w:p>
    <w:p w:rsidR="006A1666" w:rsidRPr="00982C2B" w:rsidRDefault="006A1666" w:rsidP="006A1666">
      <w:pPr>
        <w:jc w:val="both"/>
        <w:rPr>
          <w:rFonts w:cs="Times New Roman"/>
          <w:sz w:val="20"/>
          <w:szCs w:val="20"/>
          <w:lang w:val="fr-CA"/>
        </w:rPr>
      </w:pPr>
    </w:p>
    <w:p w:rsidR="005236C8" w:rsidRPr="00B417EE" w:rsidRDefault="005236C8" w:rsidP="006A1666">
      <w:pPr>
        <w:jc w:val="both"/>
        <w:rPr>
          <w:sz w:val="20"/>
          <w:szCs w:val="20"/>
          <w:lang w:val="fr-CA"/>
        </w:rPr>
      </w:pPr>
    </w:p>
    <w:p w:rsidR="00890FEB" w:rsidRPr="00B417EE" w:rsidRDefault="00890FEB" w:rsidP="008D292F">
      <w:pPr>
        <w:rPr>
          <w:b/>
          <w:sz w:val="20"/>
          <w:szCs w:val="20"/>
          <w:lang w:val="fr-CA"/>
        </w:rPr>
        <w:sectPr w:rsidR="00890FEB" w:rsidRPr="00B417EE" w:rsidSect="008A719E">
          <w:headerReference w:type="even" r:id="rId129"/>
          <w:headerReference w:type="default" r:id="rId130"/>
          <w:footerReference w:type="even" r:id="rId131"/>
          <w:footerReference w:type="default" r:id="rId132"/>
          <w:headerReference w:type="first" r:id="rId133"/>
          <w:footerReference w:type="first" r:id="rId1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51AC4" w:rsidRPr="00151AC4" w:rsidRDefault="00151AC4" w:rsidP="00151AC4">
      <w:pPr>
        <w:tabs>
          <w:tab w:val="left" w:pos="-1440"/>
          <w:tab w:val="left" w:pos="-720"/>
        </w:tabs>
        <w:jc w:val="both"/>
        <w:rPr>
          <w:rFonts w:eastAsia="Times New Roman" w:cs="Times New Roman"/>
          <w:sz w:val="20"/>
          <w:szCs w:val="20"/>
          <w:lang w:val="fr-CA" w:eastAsia="en-CA"/>
        </w:rPr>
      </w:pPr>
      <w:r w:rsidRPr="00151AC4">
        <w:rPr>
          <w:rFonts w:eastAsia="Times New Roman" w:cs="Times New Roman"/>
          <w:sz w:val="20"/>
          <w:szCs w:val="20"/>
          <w:lang w:val="fr-CA" w:eastAsia="en-CA"/>
        </w:rPr>
        <w:t>01.04.2016</w:t>
      </w:r>
    </w:p>
    <w:p w:rsidR="00151AC4" w:rsidRPr="00151AC4" w:rsidRDefault="00151AC4" w:rsidP="00151AC4">
      <w:pPr>
        <w:tabs>
          <w:tab w:val="left" w:pos="-1440"/>
          <w:tab w:val="left" w:pos="-720"/>
        </w:tabs>
        <w:jc w:val="both"/>
        <w:rPr>
          <w:rFonts w:eastAsia="Times New Roman" w:cs="Times New Roman"/>
          <w:sz w:val="20"/>
          <w:szCs w:val="20"/>
          <w:lang w:val="fr-CA" w:eastAsia="en-CA"/>
        </w:rPr>
      </w:pPr>
    </w:p>
    <w:p w:rsidR="00151AC4" w:rsidRPr="00151AC4" w:rsidRDefault="00151AC4" w:rsidP="00151AC4">
      <w:pPr>
        <w:tabs>
          <w:tab w:val="left" w:pos="-1440"/>
          <w:tab w:val="left" w:pos="-720"/>
        </w:tabs>
        <w:jc w:val="both"/>
        <w:rPr>
          <w:rFonts w:eastAsia="Times New Roman" w:cs="Times New Roman"/>
          <w:sz w:val="20"/>
          <w:szCs w:val="20"/>
          <w:lang w:val="fr-CA" w:eastAsia="en-CA"/>
        </w:rPr>
      </w:pPr>
      <w:r w:rsidRPr="00151AC4">
        <w:rPr>
          <w:rFonts w:eastAsia="Times New Roman" w:cs="Times New Roman"/>
          <w:sz w:val="20"/>
          <w:szCs w:val="20"/>
          <w:lang w:val="fr-CA" w:eastAsia="en-CA"/>
        </w:rPr>
        <w:t>Before / Devant:   WAGNER J. / LE JUGE WAGNER</w:t>
      </w:r>
    </w:p>
    <w:p w:rsidR="00151AC4" w:rsidRPr="00151AC4" w:rsidRDefault="00151AC4" w:rsidP="00151AC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884"/>
        <w:gridCol w:w="4235"/>
      </w:tblGrid>
      <w:tr w:rsidR="00151AC4" w:rsidRPr="009F3029" w:rsidTr="002D3CDA">
        <w:tc>
          <w:tcPr>
            <w:tcW w:w="4500" w:type="dxa"/>
          </w:tcPr>
          <w:p w:rsidR="00151AC4" w:rsidRPr="00151AC4" w:rsidRDefault="00151AC4" w:rsidP="00151AC4">
            <w:pPr>
              <w:tabs>
                <w:tab w:val="left" w:pos="-1440"/>
                <w:tab w:val="left" w:pos="-720"/>
              </w:tabs>
              <w:jc w:val="both"/>
            </w:pPr>
            <w:r w:rsidRPr="00151AC4">
              <w:rPr>
                <w:lang w:val="en-US"/>
              </w:rPr>
              <w:fldChar w:fldCharType="begin"/>
            </w:r>
            <w:r w:rsidRPr="00151AC4">
              <w:instrText xml:space="preserve"> SEQ CHAPTER \h \r 1</w:instrText>
            </w:r>
            <w:r w:rsidRPr="00151AC4">
              <w:rPr>
                <w:lang w:val="en-US"/>
              </w:rPr>
              <w:fldChar w:fldCharType="end"/>
            </w:r>
            <w:r w:rsidRPr="00151AC4">
              <w:rPr>
                <w:b/>
                <w:bCs/>
              </w:rPr>
              <w:t xml:space="preserve">Motion to extend time </w:t>
            </w:r>
            <w:r w:rsidRPr="00151AC4">
              <w:rPr>
                <w:lang w:val="en-US"/>
              </w:rPr>
              <w:fldChar w:fldCharType="begin"/>
            </w:r>
            <w:r w:rsidRPr="00151AC4">
              <w:instrText xml:space="preserve"> SEQ CHAPTER \h \r 1</w:instrText>
            </w:r>
            <w:r w:rsidRPr="00151AC4">
              <w:rPr>
                <w:lang w:val="en-US"/>
              </w:rPr>
              <w:fldChar w:fldCharType="end"/>
            </w:r>
          </w:p>
        </w:tc>
        <w:tc>
          <w:tcPr>
            <w:tcW w:w="884" w:type="dxa"/>
          </w:tcPr>
          <w:p w:rsidR="00151AC4" w:rsidRPr="00151AC4" w:rsidRDefault="00151AC4" w:rsidP="00151AC4"/>
          <w:p w:rsidR="00151AC4" w:rsidRPr="00151AC4" w:rsidRDefault="00151AC4" w:rsidP="00151AC4"/>
        </w:tc>
        <w:tc>
          <w:tcPr>
            <w:tcW w:w="4235" w:type="dxa"/>
          </w:tcPr>
          <w:p w:rsidR="00151AC4" w:rsidRPr="00151AC4" w:rsidRDefault="00151AC4" w:rsidP="00151AC4">
            <w:pPr>
              <w:jc w:val="both"/>
              <w:rPr>
                <w:b/>
                <w:lang w:val="fr-CA"/>
              </w:rPr>
            </w:pPr>
            <w:r w:rsidRPr="00151AC4">
              <w:rPr>
                <w:lang w:val="en-US"/>
              </w:rPr>
              <w:fldChar w:fldCharType="begin"/>
            </w:r>
            <w:r w:rsidRPr="00151AC4">
              <w:rPr>
                <w:lang w:val="fr-CA"/>
              </w:rPr>
              <w:instrText xml:space="preserve"> SEQ CHAPTER \h \r 1</w:instrText>
            </w:r>
            <w:r w:rsidRPr="00151AC4">
              <w:rPr>
                <w:lang w:val="en-US"/>
              </w:rPr>
              <w:fldChar w:fldCharType="end"/>
            </w:r>
            <w:r w:rsidRPr="00151AC4">
              <w:rPr>
                <w:b/>
                <w:bCs/>
                <w:lang w:val="fr-CA"/>
              </w:rPr>
              <w:t xml:space="preserve"> </w:t>
            </w:r>
            <w:r w:rsidRPr="00151AC4">
              <w:rPr>
                <w:b/>
                <w:bCs/>
                <w:color w:val="000000"/>
                <w:lang w:val="fr-CA"/>
              </w:rPr>
              <w:t>Requête en prorogation de délai</w:t>
            </w:r>
          </w:p>
        </w:tc>
      </w:tr>
      <w:tr w:rsidR="00151AC4" w:rsidRPr="00151AC4" w:rsidTr="002D3CDA">
        <w:tc>
          <w:tcPr>
            <w:tcW w:w="4500" w:type="dxa"/>
          </w:tcPr>
          <w:p w:rsidR="00151AC4" w:rsidRPr="00151AC4" w:rsidRDefault="00151AC4" w:rsidP="00151AC4">
            <w:pPr>
              <w:rPr>
                <w:lang w:val="fr-CA"/>
              </w:rPr>
            </w:pPr>
            <w:r w:rsidRPr="00151AC4">
              <w:rPr>
                <w:lang w:val="fr-CA"/>
              </w:rPr>
              <w:t>Christy Turner, et al.</w:t>
            </w:r>
          </w:p>
          <w:p w:rsidR="00151AC4" w:rsidRPr="00151AC4" w:rsidRDefault="00151AC4" w:rsidP="00151AC4">
            <w:pPr>
              <w:rPr>
                <w:lang w:val="fr-CA"/>
              </w:rPr>
            </w:pPr>
          </w:p>
          <w:p w:rsidR="00151AC4" w:rsidRPr="00151AC4" w:rsidRDefault="00151AC4" w:rsidP="00151AC4">
            <w:pPr>
              <w:rPr>
                <w:lang w:val="fr-CA"/>
              </w:rPr>
            </w:pPr>
            <w:r w:rsidRPr="00151AC4">
              <w:rPr>
                <w:lang w:val="fr-CA"/>
              </w:rPr>
              <w:tab/>
              <w:t>v. (36899)</w:t>
            </w:r>
          </w:p>
          <w:p w:rsidR="00151AC4" w:rsidRPr="00151AC4" w:rsidRDefault="00151AC4" w:rsidP="00151AC4">
            <w:pPr>
              <w:rPr>
                <w:lang w:val="fr-CA"/>
              </w:rPr>
            </w:pPr>
          </w:p>
          <w:p w:rsidR="00151AC4" w:rsidRPr="00151AC4" w:rsidRDefault="00151AC4" w:rsidP="00151AC4">
            <w:r w:rsidRPr="00151AC4">
              <w:t>Bell Mobility Inc., et al. (Alta.)</w:t>
            </w:r>
          </w:p>
          <w:p w:rsidR="00151AC4" w:rsidRPr="00151AC4" w:rsidRDefault="00151AC4" w:rsidP="00151AC4">
            <w:pPr>
              <w:rPr>
                <w:lang w:val="en-US"/>
              </w:rPr>
            </w:pPr>
          </w:p>
        </w:tc>
        <w:tc>
          <w:tcPr>
            <w:tcW w:w="884" w:type="dxa"/>
          </w:tcPr>
          <w:p w:rsidR="00151AC4" w:rsidRPr="00151AC4" w:rsidRDefault="00151AC4" w:rsidP="00151AC4"/>
        </w:tc>
        <w:tc>
          <w:tcPr>
            <w:tcW w:w="4235" w:type="dxa"/>
          </w:tcPr>
          <w:p w:rsidR="00151AC4" w:rsidRPr="00151AC4" w:rsidRDefault="00151AC4" w:rsidP="00151AC4"/>
        </w:tc>
      </w:tr>
    </w:tbl>
    <w:p w:rsidR="00151AC4" w:rsidRPr="00151AC4" w:rsidRDefault="00151AC4" w:rsidP="00151AC4">
      <w:pPr>
        <w:tabs>
          <w:tab w:val="left" w:pos="-1440"/>
          <w:tab w:val="left" w:pos="-720"/>
        </w:tabs>
        <w:jc w:val="both"/>
        <w:rPr>
          <w:rFonts w:eastAsia="Times New Roman" w:cs="Times New Roman"/>
          <w:sz w:val="20"/>
          <w:szCs w:val="20"/>
          <w:lang w:eastAsia="en-CA"/>
        </w:rPr>
      </w:pPr>
    </w:p>
    <w:p w:rsidR="00151AC4" w:rsidRPr="00151AC4" w:rsidRDefault="00151AC4" w:rsidP="00151AC4">
      <w:pPr>
        <w:tabs>
          <w:tab w:val="left" w:pos="-1440"/>
          <w:tab w:val="left" w:pos="-720"/>
        </w:tabs>
        <w:jc w:val="both"/>
        <w:rPr>
          <w:rFonts w:eastAsia="Times New Roman" w:cs="Times New Roman"/>
          <w:sz w:val="20"/>
          <w:szCs w:val="20"/>
          <w:lang w:val="fr-CA" w:eastAsia="en-CA"/>
        </w:rPr>
      </w:pPr>
      <w:r w:rsidRPr="00151AC4">
        <w:rPr>
          <w:rFonts w:eastAsia="Times New Roman" w:cs="Times New Roman"/>
          <w:b/>
          <w:sz w:val="20"/>
          <w:szCs w:val="20"/>
          <w:lang w:val="fr-CA" w:eastAsia="en-CA"/>
        </w:rPr>
        <w:t>GRANTED IN PART / ACCORDÉE EN PARTIE</w:t>
      </w:r>
    </w:p>
    <w:p w:rsidR="00151AC4" w:rsidRPr="00151AC4" w:rsidRDefault="00151AC4" w:rsidP="00151AC4">
      <w:pPr>
        <w:spacing w:line="233" w:lineRule="auto"/>
        <w:jc w:val="both"/>
        <w:rPr>
          <w:rFonts w:eastAsia="Times New Roman" w:cs="Times New Roman"/>
          <w:b/>
          <w:sz w:val="20"/>
          <w:szCs w:val="20"/>
          <w:lang w:val="fr-CA" w:eastAsia="en-CA"/>
        </w:rPr>
      </w:pPr>
    </w:p>
    <w:p w:rsidR="00151AC4" w:rsidRPr="00151AC4" w:rsidRDefault="00151AC4" w:rsidP="00151AC4">
      <w:pPr>
        <w:spacing w:line="233" w:lineRule="auto"/>
        <w:jc w:val="both"/>
        <w:rPr>
          <w:rFonts w:eastAsia="Times New Roman" w:cs="Times New Roman"/>
          <w:sz w:val="20"/>
          <w:szCs w:val="20"/>
          <w:lang w:eastAsia="fr-FR"/>
        </w:rPr>
      </w:pPr>
      <w:r w:rsidRPr="00151AC4">
        <w:rPr>
          <w:rFonts w:eastAsia="Times New Roman" w:cs="Times New Roman"/>
          <w:b/>
          <w:sz w:val="20"/>
          <w:szCs w:val="20"/>
          <w:lang w:val="en-US" w:eastAsia="en-CA"/>
        </w:rPr>
        <w:t xml:space="preserve">UPON APPLICATION </w:t>
      </w:r>
      <w:r w:rsidRPr="00151AC4">
        <w:rPr>
          <w:rFonts w:eastAsia="Times New Roman" w:cs="Times New Roman"/>
          <w:sz w:val="20"/>
          <w:szCs w:val="20"/>
          <w:lang w:val="en-US" w:eastAsia="en-CA"/>
        </w:rPr>
        <w:t>by the applicant for an extension of time</w:t>
      </w:r>
      <w:r w:rsidRPr="00151AC4">
        <w:rPr>
          <w:rFonts w:eastAsia="Times New Roman" w:cs="Times New Roman"/>
          <w:b/>
          <w:sz w:val="20"/>
          <w:szCs w:val="20"/>
          <w:lang w:val="en-US" w:eastAsia="en-CA"/>
        </w:rPr>
        <w:t xml:space="preserve"> </w:t>
      </w:r>
      <w:r w:rsidRPr="00151AC4">
        <w:rPr>
          <w:rFonts w:eastAsia="Times New Roman" w:cs="Times New Roman"/>
          <w:sz w:val="20"/>
          <w:szCs w:val="20"/>
          <w:lang w:val="en-US" w:eastAsia="en-CA"/>
        </w:rPr>
        <w:t xml:space="preserve">to serve and file the memorandum and supporting material with respect to an application for leave to appeal to 90 days following the </w:t>
      </w:r>
      <w:r w:rsidRPr="00151AC4">
        <w:rPr>
          <w:rFonts w:eastAsia="Times New Roman" w:cs="Times New Roman"/>
          <w:sz w:val="20"/>
          <w:szCs w:val="20"/>
          <w:lang w:eastAsia="fr-FR"/>
        </w:rPr>
        <w:t xml:space="preserve">decision of the Court of Appeal of Manitoba in respect of </w:t>
      </w:r>
      <w:r w:rsidRPr="00151AC4">
        <w:rPr>
          <w:rFonts w:eastAsia="Times New Roman" w:cs="Times New Roman"/>
          <w:i/>
          <w:iCs/>
          <w:sz w:val="20"/>
          <w:szCs w:val="20"/>
          <w:lang w:eastAsia="fr-FR"/>
        </w:rPr>
        <w:t>Hafichuk-Walkin, et al. v. BCE Inc., et al.</w:t>
      </w:r>
      <w:r w:rsidRPr="00151AC4">
        <w:rPr>
          <w:rFonts w:eastAsia="Times New Roman" w:cs="Times New Roman"/>
          <w:sz w:val="20"/>
          <w:szCs w:val="20"/>
          <w:lang w:eastAsia="fr-FR"/>
        </w:rPr>
        <w:t xml:space="preserve">, File No. AI14-30-08244, rendered on March 14, 2016; </w:t>
      </w:r>
    </w:p>
    <w:p w:rsidR="00151AC4" w:rsidRPr="00151AC4" w:rsidRDefault="00151AC4" w:rsidP="00151AC4">
      <w:pPr>
        <w:spacing w:line="233" w:lineRule="auto"/>
        <w:jc w:val="both"/>
        <w:rPr>
          <w:rFonts w:eastAsia="Times New Roman" w:cs="Times New Roman"/>
          <w:sz w:val="20"/>
          <w:szCs w:val="20"/>
          <w:lang w:val="en-US" w:eastAsia="en-CA"/>
        </w:rPr>
      </w:pPr>
    </w:p>
    <w:p w:rsidR="00151AC4" w:rsidRPr="00151AC4" w:rsidRDefault="00151AC4" w:rsidP="00151AC4">
      <w:pPr>
        <w:spacing w:line="233" w:lineRule="auto"/>
        <w:jc w:val="both"/>
        <w:rPr>
          <w:rFonts w:eastAsia="Times New Roman" w:cs="Times New Roman"/>
          <w:sz w:val="20"/>
          <w:szCs w:val="20"/>
          <w:lang w:val="en-US" w:eastAsia="en-CA"/>
        </w:rPr>
      </w:pPr>
      <w:r w:rsidRPr="00151AC4">
        <w:rPr>
          <w:rFonts w:eastAsia="Times New Roman" w:cs="Times New Roman"/>
          <w:b/>
          <w:bCs/>
          <w:sz w:val="20"/>
          <w:szCs w:val="20"/>
          <w:lang w:val="en-US" w:eastAsia="en-CA"/>
        </w:rPr>
        <w:t>AND THE MATERIAL FILED</w:t>
      </w:r>
      <w:r w:rsidRPr="00151AC4">
        <w:rPr>
          <w:rFonts w:eastAsia="Times New Roman" w:cs="Times New Roman"/>
          <w:sz w:val="20"/>
          <w:szCs w:val="20"/>
          <w:lang w:val="en-US" w:eastAsia="en-CA"/>
        </w:rPr>
        <w:t xml:space="preserve"> having been read;</w:t>
      </w:r>
    </w:p>
    <w:p w:rsidR="00151AC4" w:rsidRPr="00151AC4" w:rsidRDefault="00151AC4" w:rsidP="00151AC4">
      <w:pPr>
        <w:spacing w:line="233" w:lineRule="auto"/>
        <w:jc w:val="both"/>
        <w:rPr>
          <w:rFonts w:eastAsia="Times New Roman" w:cs="Times New Roman"/>
          <w:sz w:val="20"/>
          <w:szCs w:val="20"/>
          <w:lang w:val="en-US" w:eastAsia="en-CA"/>
        </w:rPr>
      </w:pPr>
    </w:p>
    <w:p w:rsidR="00151AC4" w:rsidRPr="00151AC4" w:rsidRDefault="00151AC4" w:rsidP="00151AC4">
      <w:pPr>
        <w:spacing w:line="233" w:lineRule="auto"/>
        <w:jc w:val="both"/>
        <w:rPr>
          <w:rFonts w:eastAsia="Times New Roman" w:cs="Times New Roman"/>
          <w:b/>
          <w:bCs/>
          <w:sz w:val="20"/>
          <w:szCs w:val="20"/>
          <w:lang w:val="en-US" w:eastAsia="en-CA"/>
        </w:rPr>
      </w:pPr>
      <w:r w:rsidRPr="00151AC4">
        <w:rPr>
          <w:rFonts w:eastAsia="Times New Roman" w:cs="Times New Roman"/>
          <w:b/>
          <w:bCs/>
          <w:sz w:val="20"/>
          <w:szCs w:val="20"/>
          <w:lang w:val="en-US" w:eastAsia="en-CA"/>
        </w:rPr>
        <w:t>IT IS HEREBY ORDERED THAT:</w:t>
      </w:r>
    </w:p>
    <w:p w:rsidR="00151AC4" w:rsidRPr="00151AC4" w:rsidRDefault="00151AC4" w:rsidP="00151AC4">
      <w:pPr>
        <w:jc w:val="both"/>
        <w:rPr>
          <w:rFonts w:eastAsia="Times New Roman" w:cs="Times New Roman"/>
          <w:b/>
          <w:bCs/>
          <w:sz w:val="20"/>
          <w:szCs w:val="20"/>
          <w:lang w:val="en-US" w:eastAsia="en-CA"/>
        </w:rPr>
      </w:pPr>
    </w:p>
    <w:p w:rsidR="00151AC4" w:rsidRPr="00151AC4" w:rsidRDefault="00151AC4" w:rsidP="00151AC4">
      <w:pPr>
        <w:jc w:val="both"/>
        <w:rPr>
          <w:rFonts w:eastAsia="Times New Roman" w:cs="Times New Roman"/>
          <w:sz w:val="20"/>
          <w:szCs w:val="20"/>
          <w:lang w:val="en-US" w:eastAsia="en-CA"/>
        </w:rPr>
      </w:pPr>
      <w:r w:rsidRPr="00151AC4">
        <w:rPr>
          <w:rFonts w:eastAsia="Times New Roman" w:cs="Times New Roman"/>
          <w:sz w:val="20"/>
          <w:szCs w:val="20"/>
          <w:lang w:val="en-US" w:eastAsia="en-CA"/>
        </w:rPr>
        <w:t xml:space="preserve">The motion is granted in part. The applicant shall serve and file the memorandum and supporting material with respect to the application for leave to appeal within 60 days of </w:t>
      </w:r>
      <w:r w:rsidRPr="00151AC4">
        <w:rPr>
          <w:rFonts w:eastAsia="Times New Roman" w:cs="Times New Roman"/>
          <w:sz w:val="20"/>
          <w:szCs w:val="20"/>
          <w:lang w:eastAsia="fr-FR"/>
        </w:rPr>
        <w:t xml:space="preserve">March 14, 2016, </w:t>
      </w:r>
      <w:r w:rsidRPr="00151AC4">
        <w:rPr>
          <w:rFonts w:eastAsia="Times New Roman" w:cs="Times New Roman"/>
          <w:sz w:val="20"/>
          <w:szCs w:val="20"/>
          <w:lang w:val="en-US" w:eastAsia="en-CA"/>
        </w:rPr>
        <w:t xml:space="preserve">the date of the Court of Appeal of Manitoba’s decision in </w:t>
      </w:r>
      <w:r w:rsidRPr="00151AC4">
        <w:rPr>
          <w:rFonts w:eastAsia="Times New Roman" w:cs="Times New Roman"/>
          <w:i/>
          <w:iCs/>
          <w:sz w:val="20"/>
          <w:szCs w:val="20"/>
          <w:lang w:eastAsia="fr-FR"/>
        </w:rPr>
        <w:t>Hafichuk-Walkin, et al. v. BCE Inc., et al</w:t>
      </w:r>
      <w:r w:rsidRPr="00151AC4">
        <w:rPr>
          <w:rFonts w:eastAsia="Times New Roman" w:cs="Times New Roman"/>
          <w:sz w:val="20"/>
          <w:szCs w:val="20"/>
          <w:lang w:val="en-US" w:eastAsia="en-CA"/>
        </w:rPr>
        <w:t>.</w:t>
      </w:r>
    </w:p>
    <w:p w:rsidR="00151AC4" w:rsidRPr="00151AC4" w:rsidRDefault="00151AC4" w:rsidP="00151AC4">
      <w:pPr>
        <w:jc w:val="both"/>
        <w:rPr>
          <w:rFonts w:eastAsia="Times New Roman" w:cs="Times New Roman"/>
          <w:sz w:val="20"/>
          <w:szCs w:val="20"/>
          <w:lang w:val="en-US" w:eastAsia="en-CA"/>
        </w:rPr>
      </w:pPr>
    </w:p>
    <w:p w:rsidR="00151AC4" w:rsidRPr="00151AC4" w:rsidRDefault="00151AC4" w:rsidP="00151AC4">
      <w:pPr>
        <w:jc w:val="both"/>
        <w:rPr>
          <w:rFonts w:eastAsia="Times New Roman" w:cs="Times New Roman"/>
          <w:sz w:val="20"/>
          <w:szCs w:val="20"/>
          <w:lang w:val="en-US" w:eastAsia="en-CA"/>
        </w:rPr>
      </w:pPr>
    </w:p>
    <w:p w:rsidR="00151AC4" w:rsidRPr="00151AC4" w:rsidRDefault="00151AC4" w:rsidP="00151AC4">
      <w:pPr>
        <w:jc w:val="both"/>
        <w:rPr>
          <w:rFonts w:eastAsia="Times New Roman" w:cs="Times New Roman"/>
          <w:sz w:val="20"/>
          <w:szCs w:val="20"/>
          <w:lang w:val="en-US" w:eastAsia="en-CA"/>
        </w:rPr>
      </w:pPr>
    </w:p>
    <w:p w:rsidR="00151AC4" w:rsidRPr="00151AC4" w:rsidRDefault="00151AC4" w:rsidP="00151AC4">
      <w:pPr>
        <w:spacing w:line="230" w:lineRule="auto"/>
        <w:jc w:val="both"/>
        <w:rPr>
          <w:rFonts w:eastAsia="Times New Roman" w:cs="Times New Roman"/>
          <w:sz w:val="20"/>
          <w:szCs w:val="20"/>
          <w:lang w:val="fr-CA" w:eastAsia="en-CA"/>
        </w:rPr>
      </w:pPr>
      <w:r w:rsidRPr="00151AC4">
        <w:rPr>
          <w:rFonts w:eastAsia="Times New Roman" w:cs="Times New Roman"/>
          <w:b/>
          <w:sz w:val="20"/>
          <w:szCs w:val="20"/>
          <w:lang w:val="fr-CA" w:eastAsia="en-CA"/>
        </w:rPr>
        <w:t>À LA SUITE DE LA DEMANDE</w:t>
      </w:r>
      <w:r w:rsidRPr="00151AC4">
        <w:rPr>
          <w:rFonts w:eastAsia="Times New Roman" w:cs="Times New Roman"/>
          <w:sz w:val="20"/>
          <w:szCs w:val="20"/>
          <w:lang w:val="fr-CA" w:eastAsia="en-CA"/>
        </w:rPr>
        <w:t xml:space="preserve"> présentée par la demanderesse en prorogation du délai applicable pour signifier et déposer son mémoire et les documents à l’appui relativement à une demande d’autorisation d’appel à 90 jours après la décision de la Cour d’appel du Manitoba dans </w:t>
      </w:r>
      <w:r w:rsidRPr="00151AC4">
        <w:rPr>
          <w:rFonts w:eastAsia="Times New Roman" w:cs="Times New Roman"/>
          <w:i/>
          <w:sz w:val="20"/>
          <w:szCs w:val="20"/>
          <w:lang w:val="fr-CA" w:eastAsia="en-CA"/>
        </w:rPr>
        <w:t>Hafichuk-Walkin, et al. c. BCE Inc., et al.</w:t>
      </w:r>
      <w:r w:rsidRPr="00151AC4">
        <w:rPr>
          <w:rFonts w:eastAsia="Times New Roman" w:cs="Times New Roman"/>
          <w:sz w:val="20"/>
          <w:szCs w:val="20"/>
          <w:lang w:val="fr-CA" w:eastAsia="en-CA"/>
        </w:rPr>
        <w:t>, n</w:t>
      </w:r>
      <w:r w:rsidRPr="00151AC4">
        <w:rPr>
          <w:rFonts w:eastAsia="Times New Roman" w:cs="Times New Roman"/>
          <w:sz w:val="20"/>
          <w:szCs w:val="20"/>
          <w:vertAlign w:val="superscript"/>
          <w:lang w:val="fr-CA" w:eastAsia="en-CA"/>
        </w:rPr>
        <w:t>o</w:t>
      </w:r>
      <w:r w:rsidRPr="00151AC4">
        <w:rPr>
          <w:rFonts w:eastAsia="Times New Roman" w:cs="Times New Roman"/>
          <w:sz w:val="20"/>
          <w:szCs w:val="20"/>
          <w:lang w:val="fr-CA" w:eastAsia="en-CA"/>
        </w:rPr>
        <w:t xml:space="preserve"> de dossier AI14-30-08244, rendue le 14 mars 2016;</w:t>
      </w:r>
    </w:p>
    <w:p w:rsidR="00151AC4" w:rsidRPr="00151AC4" w:rsidRDefault="00151AC4" w:rsidP="00151AC4">
      <w:pPr>
        <w:spacing w:line="230" w:lineRule="auto"/>
        <w:jc w:val="both"/>
        <w:rPr>
          <w:rFonts w:eastAsia="Times New Roman" w:cs="Times New Roman"/>
          <w:sz w:val="20"/>
          <w:szCs w:val="20"/>
          <w:lang w:val="fr-CA" w:eastAsia="en-CA"/>
        </w:rPr>
      </w:pPr>
    </w:p>
    <w:p w:rsidR="00151AC4" w:rsidRPr="00151AC4" w:rsidRDefault="00151AC4" w:rsidP="00151AC4">
      <w:pPr>
        <w:spacing w:line="230" w:lineRule="auto"/>
        <w:jc w:val="both"/>
        <w:rPr>
          <w:rFonts w:eastAsia="Times New Roman" w:cs="Times New Roman"/>
          <w:sz w:val="20"/>
          <w:szCs w:val="20"/>
          <w:lang w:val="fr-CA" w:eastAsia="en-CA"/>
        </w:rPr>
      </w:pPr>
      <w:r w:rsidRPr="00151AC4">
        <w:rPr>
          <w:rFonts w:eastAsia="Times New Roman" w:cs="Times New Roman"/>
          <w:b/>
          <w:sz w:val="20"/>
          <w:szCs w:val="20"/>
          <w:lang w:val="fr-CA" w:eastAsia="en-CA"/>
        </w:rPr>
        <w:t>ET APRÈS EXAMEN</w:t>
      </w:r>
      <w:r w:rsidRPr="00151AC4">
        <w:rPr>
          <w:rFonts w:eastAsia="Times New Roman" w:cs="Times New Roman"/>
          <w:sz w:val="20"/>
          <w:szCs w:val="20"/>
          <w:lang w:val="fr-CA" w:eastAsia="en-CA"/>
        </w:rPr>
        <w:t xml:space="preserve"> des documents déposés; </w:t>
      </w:r>
    </w:p>
    <w:p w:rsidR="00151AC4" w:rsidRPr="00151AC4" w:rsidRDefault="00151AC4" w:rsidP="00151AC4">
      <w:pPr>
        <w:spacing w:line="230" w:lineRule="auto"/>
        <w:jc w:val="both"/>
        <w:rPr>
          <w:rFonts w:eastAsia="Times New Roman" w:cs="Times New Roman"/>
          <w:sz w:val="20"/>
          <w:szCs w:val="20"/>
          <w:lang w:val="fr-CA" w:eastAsia="en-CA"/>
        </w:rPr>
      </w:pPr>
    </w:p>
    <w:p w:rsidR="00151AC4" w:rsidRPr="00151AC4" w:rsidRDefault="00151AC4" w:rsidP="00151AC4">
      <w:pPr>
        <w:spacing w:line="230" w:lineRule="auto"/>
        <w:jc w:val="both"/>
        <w:rPr>
          <w:rFonts w:eastAsia="Times New Roman" w:cs="Times New Roman"/>
          <w:b/>
          <w:sz w:val="20"/>
          <w:szCs w:val="20"/>
          <w:lang w:val="fr-CA" w:eastAsia="en-CA"/>
        </w:rPr>
      </w:pPr>
      <w:r w:rsidRPr="00151AC4">
        <w:rPr>
          <w:rFonts w:eastAsia="Times New Roman" w:cs="Times New Roman"/>
          <w:b/>
          <w:sz w:val="20"/>
          <w:szCs w:val="20"/>
          <w:lang w:val="fr-CA" w:eastAsia="en-CA"/>
        </w:rPr>
        <w:t xml:space="preserve">IL EST ORDONNÉ CE QUI SUIT : </w:t>
      </w:r>
    </w:p>
    <w:p w:rsidR="00151AC4" w:rsidRPr="00151AC4" w:rsidRDefault="00151AC4" w:rsidP="00151AC4">
      <w:pPr>
        <w:spacing w:line="230" w:lineRule="auto"/>
        <w:jc w:val="both"/>
        <w:rPr>
          <w:rFonts w:eastAsia="Times New Roman" w:cs="Times New Roman"/>
          <w:sz w:val="20"/>
          <w:szCs w:val="20"/>
          <w:lang w:val="fr-CA" w:eastAsia="en-CA"/>
        </w:rPr>
      </w:pPr>
    </w:p>
    <w:p w:rsidR="00151AC4" w:rsidRPr="00151AC4" w:rsidRDefault="00151AC4" w:rsidP="00151AC4">
      <w:pPr>
        <w:spacing w:line="230" w:lineRule="auto"/>
        <w:jc w:val="both"/>
        <w:rPr>
          <w:rFonts w:eastAsia="Times New Roman" w:cs="Times New Roman"/>
          <w:sz w:val="20"/>
          <w:szCs w:val="20"/>
          <w:lang w:val="fr-CA" w:eastAsia="en-CA"/>
        </w:rPr>
      </w:pPr>
      <w:r w:rsidRPr="00151AC4">
        <w:rPr>
          <w:rFonts w:eastAsia="Times New Roman" w:cs="Times New Roman"/>
          <w:sz w:val="20"/>
          <w:szCs w:val="20"/>
          <w:lang w:val="fr-CA" w:eastAsia="en-CA"/>
        </w:rPr>
        <w:t xml:space="preserve">La requête est accueillie en partie. La demanderesse signifiera et déposera son mémoire et les documents à l’appui relativement à la demande d’autorisation d’appel dans les 60 jours du 14 mars 2016, date de la décision de la Cour d’appel du Manitoba dans </w:t>
      </w:r>
      <w:r w:rsidRPr="00151AC4">
        <w:rPr>
          <w:rFonts w:eastAsia="Times New Roman" w:cs="Times New Roman"/>
          <w:i/>
          <w:sz w:val="20"/>
          <w:szCs w:val="20"/>
          <w:lang w:val="fr-CA" w:eastAsia="en-CA"/>
        </w:rPr>
        <w:t>Hafichuk-Walkin, et al. c. BCE Inc., et al.</w:t>
      </w:r>
      <w:r w:rsidRPr="00151AC4">
        <w:rPr>
          <w:rFonts w:eastAsia="Times New Roman" w:cs="Times New Roman"/>
          <w:sz w:val="20"/>
          <w:szCs w:val="20"/>
          <w:lang w:val="fr-CA" w:eastAsia="en-CA"/>
        </w:rPr>
        <w:t xml:space="preserve"> </w:t>
      </w:r>
    </w:p>
    <w:p w:rsidR="00151AC4" w:rsidRPr="00151AC4" w:rsidRDefault="00151AC4" w:rsidP="00151AC4">
      <w:pPr>
        <w:spacing w:line="230" w:lineRule="auto"/>
        <w:jc w:val="both"/>
        <w:rPr>
          <w:rFonts w:eastAsia="Times New Roman" w:cs="Times New Roman"/>
          <w:sz w:val="20"/>
          <w:szCs w:val="20"/>
          <w:lang w:val="fr-CA" w:eastAsia="en-CA"/>
        </w:rPr>
      </w:pPr>
    </w:p>
    <w:p w:rsidR="00151AC4" w:rsidRPr="00151AC4" w:rsidRDefault="009F3029" w:rsidP="00151AC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9" style="width:2in;height:1pt" o:hrpct="0" o:hralign="center" o:hrstd="t" o:hrnoshade="t" o:hr="t" fillcolor="black [3213]" stroked="f"/>
        </w:pict>
      </w:r>
    </w:p>
    <w:p w:rsidR="00151AC4" w:rsidRPr="00151AC4" w:rsidRDefault="00151AC4" w:rsidP="00151AC4">
      <w:pPr>
        <w:tabs>
          <w:tab w:val="left" w:pos="6461"/>
        </w:tabs>
        <w:rPr>
          <w:rFonts w:eastAsia="Times New Roman" w:cs="Times New Roman"/>
          <w:sz w:val="20"/>
          <w:szCs w:val="20"/>
          <w:lang w:val="fr-CA" w:eastAsia="en-CA"/>
        </w:rPr>
      </w:pPr>
      <w:r w:rsidRPr="00151AC4">
        <w:rPr>
          <w:rFonts w:eastAsia="Times New Roman" w:cs="Times New Roman"/>
          <w:sz w:val="20"/>
          <w:szCs w:val="20"/>
          <w:lang w:val="fr-CA" w:eastAsia="en-CA"/>
        </w:rPr>
        <w:tab/>
      </w:r>
    </w:p>
    <w:p w:rsidR="00151AC4" w:rsidRPr="00151AC4" w:rsidRDefault="00151AC4" w:rsidP="00151AC4">
      <w:pPr>
        <w:tabs>
          <w:tab w:val="left" w:pos="6461"/>
        </w:tabs>
        <w:rPr>
          <w:rFonts w:eastAsia="Times New Roman" w:cs="Times New Roman"/>
          <w:sz w:val="20"/>
          <w:szCs w:val="20"/>
          <w:lang w:val="fr-CA" w:eastAsia="en-CA"/>
        </w:rPr>
      </w:pPr>
    </w:p>
    <w:p w:rsidR="00151AC4" w:rsidRPr="00151AC4" w:rsidRDefault="00151AC4" w:rsidP="00151AC4">
      <w:pPr>
        <w:rPr>
          <w:rFonts w:eastAsia="Times New Roman" w:cs="Times New Roman"/>
          <w:sz w:val="20"/>
          <w:szCs w:val="20"/>
          <w:lang w:val="fr-CA" w:eastAsia="en-CA"/>
        </w:rPr>
      </w:pPr>
      <w:r w:rsidRPr="00151AC4">
        <w:rPr>
          <w:rFonts w:eastAsia="Times New Roman" w:cs="Times New Roman"/>
          <w:sz w:val="20"/>
          <w:szCs w:val="20"/>
          <w:lang w:val="fr-CA" w:eastAsia="en-CA"/>
        </w:rPr>
        <w:br w:type="page"/>
      </w:r>
    </w:p>
    <w:p w:rsidR="00151AC4" w:rsidRPr="00151AC4" w:rsidRDefault="00151AC4" w:rsidP="00151AC4">
      <w:pPr>
        <w:tabs>
          <w:tab w:val="left" w:pos="-1440"/>
          <w:tab w:val="left" w:pos="-720"/>
        </w:tabs>
        <w:jc w:val="both"/>
        <w:rPr>
          <w:rFonts w:eastAsia="Times New Roman" w:cs="Times New Roman"/>
          <w:sz w:val="20"/>
          <w:szCs w:val="20"/>
          <w:lang w:val="fr-CA" w:eastAsia="en-CA"/>
        </w:rPr>
      </w:pPr>
      <w:r w:rsidRPr="00151AC4">
        <w:rPr>
          <w:rFonts w:eastAsia="Times New Roman" w:cs="Times New Roman"/>
          <w:sz w:val="20"/>
          <w:szCs w:val="20"/>
          <w:lang w:val="fr-CA" w:eastAsia="en-CA"/>
        </w:rPr>
        <w:t>08.04.2016</w:t>
      </w:r>
    </w:p>
    <w:p w:rsidR="00151AC4" w:rsidRPr="00151AC4" w:rsidRDefault="00151AC4" w:rsidP="00151AC4">
      <w:pPr>
        <w:tabs>
          <w:tab w:val="left" w:pos="-1440"/>
          <w:tab w:val="left" w:pos="-720"/>
        </w:tabs>
        <w:jc w:val="both"/>
        <w:rPr>
          <w:rFonts w:eastAsia="Times New Roman" w:cs="Times New Roman"/>
          <w:sz w:val="20"/>
          <w:szCs w:val="20"/>
          <w:lang w:val="fr-CA" w:eastAsia="en-CA"/>
        </w:rPr>
      </w:pPr>
    </w:p>
    <w:p w:rsidR="00151AC4" w:rsidRPr="00151AC4" w:rsidRDefault="00151AC4" w:rsidP="00151AC4">
      <w:pPr>
        <w:tabs>
          <w:tab w:val="left" w:pos="-1440"/>
          <w:tab w:val="left" w:pos="-720"/>
        </w:tabs>
        <w:jc w:val="both"/>
        <w:rPr>
          <w:rFonts w:eastAsia="Times New Roman" w:cs="Times New Roman"/>
          <w:sz w:val="20"/>
          <w:szCs w:val="20"/>
          <w:lang w:val="fr-CA" w:eastAsia="en-CA"/>
        </w:rPr>
      </w:pPr>
      <w:r w:rsidRPr="00151AC4">
        <w:rPr>
          <w:rFonts w:eastAsia="Times New Roman" w:cs="Times New Roman"/>
          <w:sz w:val="20"/>
          <w:szCs w:val="20"/>
          <w:lang w:val="fr-CA" w:eastAsia="en-CA"/>
        </w:rPr>
        <w:t>Before / Devant :   CROMWELL J. / LE JUGE CROMWELL</w:t>
      </w:r>
    </w:p>
    <w:p w:rsidR="00151AC4" w:rsidRPr="00151AC4" w:rsidRDefault="00151AC4" w:rsidP="00151AC4">
      <w:pPr>
        <w:jc w:val="both"/>
        <w:rPr>
          <w:rFonts w:eastAsia="Times New Roman" w:cs="Times New Roman"/>
          <w:sz w:val="20"/>
          <w:szCs w:val="20"/>
          <w:lang w:val="fr-CA" w:eastAsia="en-CA"/>
        </w:rPr>
      </w:pPr>
    </w:p>
    <w:tbl>
      <w:tblPr>
        <w:tblStyle w:val="TableGrid2"/>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60"/>
        <w:gridCol w:w="950"/>
        <w:gridCol w:w="4169"/>
      </w:tblGrid>
      <w:tr w:rsidR="00151AC4" w:rsidRPr="009F3029" w:rsidTr="002D3CDA">
        <w:tc>
          <w:tcPr>
            <w:tcW w:w="4302" w:type="dxa"/>
            <w:gridSpan w:val="2"/>
          </w:tcPr>
          <w:p w:rsidR="00151AC4" w:rsidRPr="00151AC4" w:rsidRDefault="00151AC4" w:rsidP="00151AC4">
            <w:pPr>
              <w:jc w:val="both"/>
              <w:rPr>
                <w:b/>
              </w:rPr>
            </w:pPr>
            <w:r w:rsidRPr="00151AC4">
              <w:rPr>
                <w:b/>
                <w:lang w:val="en-US"/>
              </w:rPr>
              <w:t xml:space="preserve">Order on interventions with respect to oral argument </w:t>
            </w:r>
            <w:r w:rsidRPr="00151AC4">
              <w:rPr>
                <w:b/>
                <w:lang w:val="en-US"/>
              </w:rPr>
              <w:fldChar w:fldCharType="begin"/>
            </w:r>
            <w:r w:rsidRPr="00151AC4">
              <w:rPr>
                <w:b/>
              </w:rPr>
              <w:instrText xml:space="preserve"> SEQ CHAPTER \h \r 1</w:instrText>
            </w:r>
            <w:r w:rsidRPr="00151AC4">
              <w:rPr>
                <w:b/>
                <w:lang w:val="en-US"/>
              </w:rPr>
              <w:fldChar w:fldCharType="end"/>
            </w:r>
          </w:p>
        </w:tc>
        <w:tc>
          <w:tcPr>
            <w:tcW w:w="950" w:type="dxa"/>
          </w:tcPr>
          <w:p w:rsidR="00151AC4" w:rsidRPr="00151AC4" w:rsidRDefault="00151AC4" w:rsidP="00151AC4"/>
          <w:p w:rsidR="00151AC4" w:rsidRPr="00151AC4" w:rsidRDefault="00151AC4" w:rsidP="00151AC4"/>
          <w:p w:rsidR="00151AC4" w:rsidRPr="00151AC4" w:rsidRDefault="00151AC4" w:rsidP="00151AC4"/>
        </w:tc>
        <w:tc>
          <w:tcPr>
            <w:tcW w:w="4169" w:type="dxa"/>
          </w:tcPr>
          <w:p w:rsidR="00151AC4" w:rsidRPr="00151AC4" w:rsidRDefault="00151AC4" w:rsidP="00151AC4">
            <w:pPr>
              <w:jc w:val="both"/>
              <w:rPr>
                <w:b/>
                <w:lang w:val="fr-CA"/>
              </w:rPr>
            </w:pPr>
            <w:r w:rsidRPr="00151AC4">
              <w:rPr>
                <w:b/>
                <w:lang w:val="fr-CA"/>
              </w:rPr>
              <w:t>Ordonnance relative à la présentation d’une plaidoirie orale par les intervenants</w:t>
            </w:r>
            <w:r w:rsidRPr="00151AC4">
              <w:rPr>
                <w:b/>
                <w:lang w:val="en-US"/>
              </w:rPr>
              <w:fldChar w:fldCharType="begin"/>
            </w:r>
            <w:r w:rsidRPr="00151AC4">
              <w:rPr>
                <w:b/>
                <w:lang w:val="fr-CA"/>
              </w:rPr>
              <w:instrText xml:space="preserve"> SEQ CHAPTER \h \r 1</w:instrText>
            </w:r>
            <w:r w:rsidRPr="00151AC4">
              <w:rPr>
                <w:b/>
                <w:lang w:val="en-US"/>
              </w:rPr>
              <w:fldChar w:fldCharType="end"/>
            </w:r>
          </w:p>
        </w:tc>
      </w:tr>
      <w:tr w:rsidR="00151AC4" w:rsidRPr="00151AC4" w:rsidTr="002D3CDA">
        <w:trPr>
          <w:trHeight w:hRule="exact" w:val="360"/>
        </w:trPr>
        <w:tc>
          <w:tcPr>
            <w:tcW w:w="1242" w:type="dxa"/>
          </w:tcPr>
          <w:p w:rsidR="00151AC4" w:rsidRPr="00151AC4" w:rsidRDefault="00151AC4" w:rsidP="00151AC4">
            <w:r w:rsidRPr="00151AC4">
              <w:t>RE:</w:t>
            </w:r>
          </w:p>
        </w:tc>
        <w:tc>
          <w:tcPr>
            <w:tcW w:w="3060" w:type="dxa"/>
          </w:tcPr>
          <w:p w:rsidR="00151AC4" w:rsidRPr="00151AC4" w:rsidRDefault="00151AC4" w:rsidP="00151AC4">
            <w:r w:rsidRPr="00151AC4">
              <w:t>Attorney General of Canada</w:t>
            </w:r>
          </w:p>
        </w:tc>
        <w:tc>
          <w:tcPr>
            <w:tcW w:w="950" w:type="dxa"/>
          </w:tcPr>
          <w:p w:rsidR="00151AC4" w:rsidRPr="00151AC4" w:rsidRDefault="00151AC4" w:rsidP="00151AC4"/>
        </w:tc>
        <w:tc>
          <w:tcPr>
            <w:tcW w:w="4169" w:type="dxa"/>
          </w:tcPr>
          <w:p w:rsidR="00151AC4" w:rsidRPr="00151AC4" w:rsidRDefault="00151AC4" w:rsidP="00151AC4"/>
        </w:tc>
      </w:tr>
      <w:tr w:rsidR="00151AC4" w:rsidRPr="00151AC4" w:rsidTr="002D3CDA">
        <w:trPr>
          <w:trHeight w:hRule="exact" w:val="747"/>
        </w:trPr>
        <w:tc>
          <w:tcPr>
            <w:tcW w:w="1242" w:type="dxa"/>
          </w:tcPr>
          <w:p w:rsidR="00151AC4" w:rsidRPr="00151AC4" w:rsidRDefault="00151AC4" w:rsidP="00151AC4"/>
        </w:tc>
        <w:tc>
          <w:tcPr>
            <w:tcW w:w="3060" w:type="dxa"/>
          </w:tcPr>
          <w:p w:rsidR="00151AC4" w:rsidRPr="00151AC4" w:rsidRDefault="00151AC4" w:rsidP="00151AC4">
            <w:r w:rsidRPr="00151AC4">
              <w:t>Federation of Canadian Municipalities</w:t>
            </w:r>
          </w:p>
        </w:tc>
        <w:tc>
          <w:tcPr>
            <w:tcW w:w="950" w:type="dxa"/>
          </w:tcPr>
          <w:p w:rsidR="00151AC4" w:rsidRPr="00151AC4" w:rsidRDefault="00151AC4" w:rsidP="00151AC4"/>
        </w:tc>
        <w:tc>
          <w:tcPr>
            <w:tcW w:w="4169" w:type="dxa"/>
          </w:tcPr>
          <w:p w:rsidR="00151AC4" w:rsidRPr="00151AC4" w:rsidRDefault="00151AC4" w:rsidP="00151AC4"/>
        </w:tc>
      </w:tr>
      <w:tr w:rsidR="00151AC4" w:rsidRPr="00151AC4" w:rsidTr="002D3CDA">
        <w:tc>
          <w:tcPr>
            <w:tcW w:w="1242" w:type="dxa"/>
          </w:tcPr>
          <w:p w:rsidR="00151AC4" w:rsidRPr="00151AC4" w:rsidRDefault="00151AC4" w:rsidP="00151AC4">
            <w:r w:rsidRPr="00151AC4">
              <w:t>IN / DANS :</w:t>
            </w:r>
          </w:p>
        </w:tc>
        <w:tc>
          <w:tcPr>
            <w:tcW w:w="3060" w:type="dxa"/>
          </w:tcPr>
          <w:p w:rsidR="00151AC4" w:rsidRPr="00151AC4" w:rsidRDefault="00151AC4" w:rsidP="00151AC4">
            <w:r w:rsidRPr="00151AC4">
              <w:t>Corporation of the City of Windsor</w:t>
            </w:r>
          </w:p>
          <w:p w:rsidR="00151AC4" w:rsidRPr="00151AC4" w:rsidRDefault="00151AC4" w:rsidP="00151AC4"/>
          <w:p w:rsidR="00151AC4" w:rsidRPr="00151AC4" w:rsidRDefault="00151AC4" w:rsidP="00151AC4">
            <w:r w:rsidRPr="00151AC4">
              <w:tab/>
              <w:t>v. (36465)</w:t>
            </w:r>
          </w:p>
          <w:p w:rsidR="00151AC4" w:rsidRPr="00151AC4" w:rsidRDefault="00151AC4" w:rsidP="00151AC4"/>
          <w:p w:rsidR="00151AC4" w:rsidRPr="00151AC4" w:rsidRDefault="00151AC4" w:rsidP="00151AC4">
            <w:r w:rsidRPr="00151AC4">
              <w:t>Canadian Transit Company (F.C.)</w:t>
            </w:r>
          </w:p>
          <w:p w:rsidR="00151AC4" w:rsidRPr="00151AC4" w:rsidRDefault="00151AC4" w:rsidP="00151AC4"/>
        </w:tc>
        <w:tc>
          <w:tcPr>
            <w:tcW w:w="950" w:type="dxa"/>
          </w:tcPr>
          <w:p w:rsidR="00151AC4" w:rsidRPr="00151AC4" w:rsidRDefault="00151AC4" w:rsidP="00151AC4"/>
        </w:tc>
        <w:tc>
          <w:tcPr>
            <w:tcW w:w="4169" w:type="dxa"/>
          </w:tcPr>
          <w:p w:rsidR="00151AC4" w:rsidRPr="00151AC4" w:rsidRDefault="00151AC4" w:rsidP="00151AC4"/>
        </w:tc>
      </w:tr>
    </w:tbl>
    <w:p w:rsidR="00151AC4" w:rsidRPr="00151AC4" w:rsidRDefault="00151AC4" w:rsidP="00151AC4">
      <w:pPr>
        <w:tabs>
          <w:tab w:val="left" w:pos="-1440"/>
          <w:tab w:val="left" w:pos="-720"/>
        </w:tabs>
        <w:jc w:val="both"/>
        <w:rPr>
          <w:rFonts w:eastAsia="Times New Roman" w:cs="Times New Roman"/>
          <w:sz w:val="20"/>
          <w:szCs w:val="20"/>
          <w:lang w:eastAsia="en-CA"/>
        </w:rPr>
      </w:pPr>
    </w:p>
    <w:p w:rsidR="00151AC4" w:rsidRPr="00151AC4" w:rsidRDefault="00151AC4" w:rsidP="00151AC4">
      <w:pPr>
        <w:widowControl w:val="0"/>
        <w:autoSpaceDE w:val="0"/>
        <w:autoSpaceDN w:val="0"/>
        <w:adjustRightInd w:val="0"/>
        <w:spacing w:line="230" w:lineRule="auto"/>
        <w:jc w:val="both"/>
        <w:rPr>
          <w:rFonts w:eastAsiaTheme="minorEastAsia" w:cs="Times New Roman"/>
          <w:sz w:val="20"/>
          <w:szCs w:val="20"/>
          <w:lang w:val="en-US"/>
        </w:rPr>
      </w:pPr>
      <w:r w:rsidRPr="00151AC4">
        <w:rPr>
          <w:rFonts w:eastAsiaTheme="minorEastAsia" w:cs="Times New Roman"/>
          <w:b/>
          <w:bCs/>
          <w:sz w:val="20"/>
          <w:szCs w:val="20"/>
          <w:lang w:val="en-US"/>
        </w:rPr>
        <w:t xml:space="preserve">FURTHER TO THE ORDER </w:t>
      </w:r>
      <w:r w:rsidRPr="00151AC4">
        <w:rPr>
          <w:rFonts w:eastAsiaTheme="minorEastAsia" w:cs="Times New Roman"/>
          <w:bCs/>
          <w:sz w:val="20"/>
          <w:szCs w:val="20"/>
          <w:lang w:val="en-US"/>
        </w:rPr>
        <w:t>dated February 24, 2016</w:t>
      </w:r>
      <w:r w:rsidRPr="00151AC4">
        <w:rPr>
          <w:rFonts w:eastAsiaTheme="minorEastAsia" w:cs="Times New Roman"/>
          <w:sz w:val="20"/>
          <w:szCs w:val="20"/>
        </w:rPr>
        <w:t>, granting leave to intervene to the Attorney General of Canada and the Federation of Canadian Municipalities;</w:t>
      </w:r>
    </w:p>
    <w:p w:rsidR="00151AC4" w:rsidRPr="00151AC4" w:rsidRDefault="00151AC4" w:rsidP="00151A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151AC4" w:rsidRPr="00151AC4" w:rsidRDefault="00151AC4" w:rsidP="00151A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151AC4">
        <w:rPr>
          <w:rFonts w:eastAsiaTheme="minorEastAsia" w:cs="Times New Roman"/>
          <w:b/>
          <w:bCs/>
          <w:sz w:val="20"/>
          <w:szCs w:val="20"/>
          <w:lang w:val="en-US"/>
        </w:rPr>
        <w:t xml:space="preserve">IT IS HEREBY FURTHER ORDERED THAT: </w:t>
      </w:r>
    </w:p>
    <w:p w:rsidR="00151AC4" w:rsidRPr="00151AC4" w:rsidRDefault="00151AC4" w:rsidP="00151A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151AC4" w:rsidRPr="00151AC4" w:rsidRDefault="00151AC4" w:rsidP="00151AC4">
      <w:pPr>
        <w:widowControl w:val="0"/>
        <w:autoSpaceDE w:val="0"/>
        <w:autoSpaceDN w:val="0"/>
        <w:adjustRightInd w:val="0"/>
        <w:spacing w:line="232" w:lineRule="auto"/>
        <w:rPr>
          <w:rFonts w:eastAsiaTheme="minorEastAsia" w:cs="Times New Roman"/>
          <w:sz w:val="20"/>
          <w:szCs w:val="20"/>
        </w:rPr>
      </w:pPr>
      <w:r w:rsidRPr="00151AC4">
        <w:rPr>
          <w:rFonts w:eastAsiaTheme="minorEastAsia" w:cs="Times New Roman"/>
          <w:bCs/>
          <w:sz w:val="20"/>
          <w:szCs w:val="20"/>
          <w:lang w:val="en-US"/>
        </w:rPr>
        <w:t>The said interveners</w:t>
      </w:r>
      <w:r w:rsidRPr="00151AC4">
        <w:rPr>
          <w:rFonts w:eastAsiaTheme="minorEastAsia" w:cs="Times New Roman"/>
          <w:sz w:val="20"/>
          <w:szCs w:val="20"/>
          <w:lang w:val="en-US"/>
        </w:rPr>
        <w:t xml:space="preserve"> </w:t>
      </w:r>
      <w:r w:rsidRPr="00151AC4">
        <w:rPr>
          <w:rFonts w:eastAsiaTheme="minorEastAsia" w:cs="Times New Roman"/>
          <w:sz w:val="20"/>
          <w:szCs w:val="20"/>
        </w:rPr>
        <w:t xml:space="preserve">are each granted permission to present oral argument not exceeding ten (10) minutes at the hearing of the appeal. </w:t>
      </w:r>
    </w:p>
    <w:p w:rsidR="00151AC4" w:rsidRPr="00151AC4" w:rsidRDefault="00151AC4" w:rsidP="00151AC4">
      <w:pPr>
        <w:tabs>
          <w:tab w:val="left" w:pos="-1440"/>
          <w:tab w:val="left" w:pos="-720"/>
        </w:tabs>
        <w:jc w:val="both"/>
        <w:rPr>
          <w:rFonts w:eastAsia="Times New Roman" w:cs="Times New Roman"/>
          <w:b/>
          <w:bCs/>
          <w:sz w:val="20"/>
          <w:szCs w:val="20"/>
          <w:lang w:eastAsia="en-CA"/>
        </w:rPr>
      </w:pPr>
    </w:p>
    <w:p w:rsidR="00151AC4" w:rsidRPr="00151AC4" w:rsidRDefault="00151AC4" w:rsidP="00151AC4">
      <w:pPr>
        <w:tabs>
          <w:tab w:val="left" w:pos="-1440"/>
          <w:tab w:val="left" w:pos="-720"/>
        </w:tabs>
        <w:jc w:val="both"/>
        <w:rPr>
          <w:rFonts w:eastAsia="Times New Roman" w:cs="Times New Roman"/>
          <w:b/>
          <w:bCs/>
          <w:sz w:val="20"/>
          <w:szCs w:val="20"/>
          <w:lang w:eastAsia="en-CA"/>
        </w:rPr>
      </w:pPr>
    </w:p>
    <w:p w:rsidR="00151AC4" w:rsidRPr="00151AC4" w:rsidRDefault="00151AC4" w:rsidP="00151AC4">
      <w:pPr>
        <w:tabs>
          <w:tab w:val="left" w:pos="-1440"/>
          <w:tab w:val="left" w:pos="-720"/>
        </w:tabs>
        <w:jc w:val="both"/>
        <w:rPr>
          <w:rFonts w:eastAsia="Times New Roman" w:cs="Times New Roman"/>
          <w:b/>
          <w:bCs/>
          <w:sz w:val="20"/>
          <w:szCs w:val="20"/>
          <w:lang w:eastAsia="en-CA"/>
        </w:rPr>
      </w:pPr>
    </w:p>
    <w:p w:rsidR="00151AC4" w:rsidRPr="00151AC4" w:rsidRDefault="00151AC4" w:rsidP="00151AC4">
      <w:pPr>
        <w:spacing w:line="232" w:lineRule="auto"/>
        <w:jc w:val="both"/>
        <w:rPr>
          <w:rFonts w:eastAsia="Times New Roman" w:cs="Times New Roman"/>
          <w:sz w:val="20"/>
          <w:szCs w:val="20"/>
          <w:lang w:val="fr-CA" w:eastAsia="en-CA"/>
        </w:rPr>
      </w:pPr>
      <w:r w:rsidRPr="00151AC4">
        <w:rPr>
          <w:rFonts w:eastAsia="Times New Roman" w:cs="Times New Roman"/>
          <w:b/>
          <w:sz w:val="20"/>
          <w:szCs w:val="20"/>
          <w:lang w:val="fr-CA" w:eastAsia="en-CA"/>
        </w:rPr>
        <w:t>À LA SUITE DE L'ORDONNANCE</w:t>
      </w:r>
      <w:r w:rsidRPr="00151AC4">
        <w:rPr>
          <w:rFonts w:eastAsia="Times New Roman" w:cs="Times New Roman"/>
          <w:sz w:val="20"/>
          <w:szCs w:val="20"/>
          <w:lang w:val="fr-CA" w:eastAsia="en-CA"/>
        </w:rPr>
        <w:t xml:space="preserve"> datée du24 février 2016, accordant l'autorisation d'intervenir au procureur général du Canada et à la Fédération canadienne des municipalités; </w:t>
      </w:r>
    </w:p>
    <w:p w:rsidR="00151AC4" w:rsidRPr="00151AC4" w:rsidRDefault="00151AC4" w:rsidP="00151AC4">
      <w:pPr>
        <w:spacing w:line="232" w:lineRule="auto"/>
        <w:jc w:val="both"/>
        <w:rPr>
          <w:rFonts w:eastAsia="Times New Roman" w:cs="Times New Roman"/>
          <w:sz w:val="20"/>
          <w:szCs w:val="20"/>
          <w:lang w:val="fr-CA" w:eastAsia="en-CA"/>
        </w:rPr>
      </w:pPr>
    </w:p>
    <w:p w:rsidR="00151AC4" w:rsidRPr="00151AC4" w:rsidRDefault="00151AC4" w:rsidP="00151AC4">
      <w:pPr>
        <w:spacing w:line="232" w:lineRule="auto"/>
        <w:jc w:val="both"/>
        <w:rPr>
          <w:rFonts w:eastAsia="Times New Roman" w:cs="Times New Roman"/>
          <w:sz w:val="20"/>
          <w:szCs w:val="20"/>
          <w:lang w:val="fr-CA" w:eastAsia="en-CA"/>
        </w:rPr>
      </w:pPr>
      <w:r w:rsidRPr="00151AC4">
        <w:rPr>
          <w:rFonts w:eastAsia="Times New Roman" w:cs="Times New Roman"/>
          <w:b/>
          <w:sz w:val="20"/>
          <w:szCs w:val="20"/>
          <w:lang w:val="fr-CA" w:eastAsia="en-CA"/>
        </w:rPr>
        <w:t>IL EST EN OUTRE ORDONNÉ QUE</w:t>
      </w:r>
      <w:r w:rsidRPr="00151AC4">
        <w:rPr>
          <w:rFonts w:eastAsia="Times New Roman" w:cs="Times New Roman"/>
          <w:sz w:val="20"/>
          <w:szCs w:val="20"/>
          <w:lang w:val="fr-CA" w:eastAsia="en-CA"/>
        </w:rPr>
        <w:t> </w:t>
      </w:r>
      <w:r w:rsidRPr="00151AC4">
        <w:rPr>
          <w:rFonts w:eastAsia="Times New Roman" w:cs="Times New Roman"/>
          <w:b/>
          <w:sz w:val="20"/>
          <w:szCs w:val="20"/>
          <w:lang w:val="fr-CA" w:eastAsia="en-CA"/>
        </w:rPr>
        <w:t>:</w:t>
      </w:r>
    </w:p>
    <w:p w:rsidR="00151AC4" w:rsidRPr="00151AC4" w:rsidRDefault="00151AC4" w:rsidP="00151AC4">
      <w:pPr>
        <w:spacing w:line="232" w:lineRule="auto"/>
        <w:jc w:val="both"/>
        <w:rPr>
          <w:rFonts w:eastAsia="Times New Roman" w:cs="Times New Roman"/>
          <w:sz w:val="20"/>
          <w:szCs w:val="20"/>
          <w:lang w:val="fr-CA" w:eastAsia="en-CA"/>
        </w:rPr>
      </w:pPr>
    </w:p>
    <w:p w:rsidR="00151AC4" w:rsidRPr="00151AC4" w:rsidRDefault="00151AC4" w:rsidP="00151AC4">
      <w:pPr>
        <w:spacing w:line="232" w:lineRule="auto"/>
        <w:jc w:val="both"/>
        <w:rPr>
          <w:rFonts w:eastAsia="Times New Roman" w:cs="Times New Roman"/>
          <w:sz w:val="20"/>
          <w:szCs w:val="20"/>
          <w:lang w:val="fr-CA" w:eastAsia="en-CA"/>
        </w:rPr>
      </w:pPr>
      <w:r w:rsidRPr="00151AC4">
        <w:rPr>
          <w:rFonts w:eastAsia="Times New Roman" w:cs="Times New Roman"/>
          <w:sz w:val="20"/>
          <w:szCs w:val="20"/>
          <w:lang w:val="fr-CA" w:eastAsia="en-CA"/>
        </w:rPr>
        <w:t>Ces intervenants pourront présenter chacun une plaidoirie orale d'au plus dix (10) minutes lors de l'audition de l'appel.</w:t>
      </w:r>
    </w:p>
    <w:p w:rsidR="00151AC4" w:rsidRPr="00151AC4" w:rsidRDefault="00151AC4" w:rsidP="00151AC4">
      <w:pPr>
        <w:tabs>
          <w:tab w:val="left" w:pos="-1440"/>
          <w:tab w:val="left" w:pos="-720"/>
        </w:tabs>
        <w:jc w:val="both"/>
        <w:rPr>
          <w:rFonts w:eastAsia="Times New Roman" w:cs="Times New Roman"/>
          <w:b/>
          <w:bCs/>
          <w:sz w:val="20"/>
          <w:szCs w:val="20"/>
          <w:lang w:val="fr-CA" w:eastAsia="en-CA"/>
        </w:rPr>
      </w:pPr>
    </w:p>
    <w:p w:rsidR="00183454" w:rsidRPr="00012FDB" w:rsidRDefault="009F3029" w:rsidP="00151AC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A719E">
          <w:headerReference w:type="even" r:id="rId135"/>
          <w:headerReference w:type="default" r:id="rId136"/>
          <w:footerReference w:type="even" r:id="rId137"/>
          <w:footerReference w:type="default" r:id="rId138"/>
          <w:headerReference w:type="first" r:id="rId139"/>
          <w:footerReference w:type="first" r:id="rId14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F302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D86DBF" w:rsidP="005F1ED8">
            <w:pPr>
              <w:rPr>
                <w:sz w:val="20"/>
                <w:szCs w:val="20"/>
              </w:rPr>
            </w:pPr>
            <w:r>
              <w:rPr>
                <w:sz w:val="20"/>
                <w:szCs w:val="20"/>
              </w:rPr>
              <w:t>06.04.2016</w:t>
            </w:r>
          </w:p>
          <w:p w:rsidR="0086340B" w:rsidRPr="003B3977" w:rsidRDefault="0086340B" w:rsidP="005F1ED8">
            <w:pPr>
              <w:rPr>
                <w:sz w:val="20"/>
                <w:szCs w:val="20"/>
              </w:rPr>
            </w:pPr>
          </w:p>
          <w:p w:rsidR="0086340B" w:rsidRPr="003B3977" w:rsidRDefault="00D86DBF" w:rsidP="005F1ED8">
            <w:pPr>
              <w:rPr>
                <w:b/>
                <w:sz w:val="20"/>
                <w:szCs w:val="20"/>
              </w:rPr>
            </w:pPr>
            <w:r>
              <w:rPr>
                <w:b/>
                <w:sz w:val="20"/>
                <w:szCs w:val="20"/>
              </w:rPr>
              <w:t>Hamlet of Clyde River et 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w:t>
            </w:r>
            <w:r w:rsidR="00D86DBF">
              <w:rPr>
                <w:b/>
                <w:sz w:val="20"/>
                <w:szCs w:val="20"/>
              </w:rPr>
              <w:t>36692</w:t>
            </w:r>
            <w:r w:rsidRPr="003B3977">
              <w:rPr>
                <w:b/>
                <w:sz w:val="20"/>
                <w:szCs w:val="20"/>
              </w:rPr>
              <w:t>)</w:t>
            </w:r>
          </w:p>
          <w:p w:rsidR="0086340B" w:rsidRPr="003B3977" w:rsidRDefault="0086340B" w:rsidP="005F1ED8">
            <w:pPr>
              <w:rPr>
                <w:b/>
                <w:sz w:val="20"/>
                <w:szCs w:val="20"/>
              </w:rPr>
            </w:pPr>
          </w:p>
          <w:p w:rsidR="0086340B" w:rsidRPr="003B3977" w:rsidRDefault="00D86DBF" w:rsidP="005F1ED8">
            <w:pPr>
              <w:rPr>
                <w:b/>
                <w:sz w:val="20"/>
                <w:szCs w:val="20"/>
              </w:rPr>
            </w:pPr>
            <w:r>
              <w:rPr>
                <w:b/>
                <w:sz w:val="20"/>
                <w:szCs w:val="20"/>
              </w:rPr>
              <w:t>Petroleum Geo-Services Inc. (PGS) et al.</w:t>
            </w:r>
            <w:r w:rsidR="0086340B" w:rsidRPr="003B3977">
              <w:rPr>
                <w:b/>
                <w:sz w:val="20"/>
                <w:szCs w:val="20"/>
              </w:rPr>
              <w:t xml:space="preserve"> (</w:t>
            </w:r>
            <w:r>
              <w:rPr>
                <w:b/>
                <w:sz w:val="20"/>
                <w:szCs w:val="20"/>
              </w:rPr>
              <w:t>F.C</w:t>
            </w:r>
            <w:r w:rsidR="0086340B" w:rsidRPr="003B3977">
              <w:rPr>
                <w:b/>
                <w:sz w:val="20"/>
                <w:szCs w:val="20"/>
              </w:rPr>
              <w:t>.)</w:t>
            </w:r>
          </w:p>
          <w:p w:rsidR="0086340B" w:rsidRPr="003B3977" w:rsidRDefault="0086340B" w:rsidP="005F1ED8">
            <w:pPr>
              <w:rPr>
                <w:sz w:val="20"/>
                <w:szCs w:val="20"/>
              </w:rPr>
            </w:pPr>
          </w:p>
          <w:p w:rsidR="0086340B" w:rsidRDefault="0086340B" w:rsidP="005F1ED8">
            <w:pPr>
              <w:rPr>
                <w:sz w:val="20"/>
                <w:szCs w:val="20"/>
              </w:rPr>
            </w:pPr>
            <w:r w:rsidRPr="003B3977">
              <w:rPr>
                <w:sz w:val="20"/>
                <w:szCs w:val="20"/>
              </w:rPr>
              <w:t>(</w:t>
            </w:r>
            <w:r>
              <w:rPr>
                <w:sz w:val="20"/>
                <w:szCs w:val="20"/>
              </w:rPr>
              <w:t>By Leave</w:t>
            </w:r>
            <w:r w:rsidR="00E71E2A">
              <w:rPr>
                <w:sz w:val="20"/>
                <w:szCs w:val="20"/>
              </w:rPr>
              <w:t>)</w:t>
            </w:r>
          </w:p>
          <w:p w:rsidR="00E71E2A" w:rsidRPr="003B3977" w:rsidRDefault="00E71E2A" w:rsidP="005F1ED8">
            <w:pPr>
              <w:rPr>
                <w:sz w:val="20"/>
                <w:szCs w:val="20"/>
              </w:rPr>
            </w:pPr>
          </w:p>
          <w:p w:rsidR="0086340B" w:rsidRPr="00D86DBF" w:rsidRDefault="009F3029" w:rsidP="005F1ED8">
            <w:pPr>
              <w:rPr>
                <w:sz w:val="20"/>
                <w:szCs w:val="20"/>
              </w:rPr>
            </w:pPr>
            <w:r>
              <w:rPr>
                <w:sz w:val="20"/>
                <w:szCs w:val="20"/>
                <w:lang w:val="fr-CA"/>
              </w:rPr>
              <w:pict>
                <v:rect id="_x0000_i110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Default="00D86DBF" w:rsidP="005F1ED8">
            <w:pPr>
              <w:rPr>
                <w:sz w:val="20"/>
                <w:szCs w:val="20"/>
              </w:rPr>
            </w:pPr>
            <w:r>
              <w:rPr>
                <w:sz w:val="20"/>
                <w:szCs w:val="20"/>
              </w:rPr>
              <w:t>07.04.2016</w:t>
            </w:r>
          </w:p>
          <w:p w:rsidR="00D86DBF" w:rsidRDefault="00D86DBF" w:rsidP="005F1ED8">
            <w:pPr>
              <w:rPr>
                <w:sz w:val="20"/>
                <w:szCs w:val="20"/>
              </w:rPr>
            </w:pPr>
          </w:p>
          <w:p w:rsidR="00D86DBF" w:rsidRDefault="00D86DBF" w:rsidP="005F1ED8">
            <w:pPr>
              <w:rPr>
                <w:b/>
                <w:sz w:val="20"/>
                <w:szCs w:val="20"/>
              </w:rPr>
            </w:pPr>
            <w:r>
              <w:rPr>
                <w:b/>
                <w:sz w:val="20"/>
                <w:szCs w:val="20"/>
              </w:rPr>
              <w:t>Cheppewas of the Thames First Nation</w:t>
            </w:r>
          </w:p>
          <w:p w:rsidR="00D86DBF" w:rsidRDefault="00D86DBF" w:rsidP="005F1ED8">
            <w:pPr>
              <w:rPr>
                <w:b/>
                <w:sz w:val="20"/>
                <w:szCs w:val="20"/>
              </w:rPr>
            </w:pPr>
          </w:p>
          <w:p w:rsidR="00D86DBF" w:rsidRPr="00165F6D" w:rsidRDefault="00D86DBF" w:rsidP="005F1ED8">
            <w:pPr>
              <w:rPr>
                <w:b/>
                <w:sz w:val="20"/>
                <w:szCs w:val="20"/>
                <w:lang w:val="fr-CA"/>
              </w:rPr>
            </w:pPr>
            <w:r>
              <w:rPr>
                <w:b/>
                <w:sz w:val="20"/>
                <w:szCs w:val="20"/>
              </w:rPr>
              <w:tab/>
            </w:r>
            <w:r w:rsidRPr="00165F6D">
              <w:rPr>
                <w:b/>
                <w:sz w:val="20"/>
                <w:szCs w:val="20"/>
                <w:lang w:val="fr-CA"/>
              </w:rPr>
              <w:t>v. (36776)</w:t>
            </w:r>
          </w:p>
          <w:p w:rsidR="00D86DBF" w:rsidRPr="00165F6D" w:rsidRDefault="00D86DBF" w:rsidP="005F1ED8">
            <w:pPr>
              <w:rPr>
                <w:b/>
                <w:sz w:val="20"/>
                <w:szCs w:val="20"/>
                <w:lang w:val="fr-CA"/>
              </w:rPr>
            </w:pPr>
          </w:p>
          <w:p w:rsidR="00D86DBF" w:rsidRDefault="00D86DBF" w:rsidP="005F1ED8">
            <w:pPr>
              <w:rPr>
                <w:b/>
                <w:sz w:val="20"/>
                <w:szCs w:val="20"/>
                <w:lang w:val="fr-CA"/>
              </w:rPr>
            </w:pPr>
            <w:r w:rsidRPr="00D86DBF">
              <w:rPr>
                <w:b/>
                <w:sz w:val="20"/>
                <w:szCs w:val="20"/>
                <w:lang w:val="fr-CA"/>
              </w:rPr>
              <w:t xml:space="preserve">Enbridge Pipelines Inc. et al. </w:t>
            </w:r>
            <w:r>
              <w:rPr>
                <w:b/>
                <w:sz w:val="20"/>
                <w:szCs w:val="20"/>
                <w:lang w:val="fr-CA"/>
              </w:rPr>
              <w:t>(F.C.)</w:t>
            </w:r>
          </w:p>
          <w:p w:rsidR="00D86DBF" w:rsidRDefault="00D86DBF" w:rsidP="005F1ED8">
            <w:pPr>
              <w:rPr>
                <w:b/>
                <w:sz w:val="20"/>
                <w:szCs w:val="20"/>
                <w:lang w:val="fr-CA"/>
              </w:rPr>
            </w:pPr>
          </w:p>
          <w:p w:rsidR="00D86DBF" w:rsidRDefault="00D86DBF" w:rsidP="005F1ED8">
            <w:pPr>
              <w:rPr>
                <w:sz w:val="20"/>
                <w:szCs w:val="20"/>
                <w:lang w:val="fr-CA"/>
              </w:rPr>
            </w:pPr>
            <w:r>
              <w:rPr>
                <w:sz w:val="20"/>
                <w:szCs w:val="20"/>
                <w:lang w:val="fr-CA"/>
              </w:rPr>
              <w:t>(By Leave)</w:t>
            </w:r>
          </w:p>
          <w:p w:rsidR="00E71E2A" w:rsidRPr="00D86DBF" w:rsidRDefault="00E71E2A" w:rsidP="005F1ED8">
            <w:pPr>
              <w:rPr>
                <w:sz w:val="20"/>
                <w:szCs w:val="20"/>
                <w:lang w:val="fr-CA"/>
              </w:rPr>
            </w:pPr>
          </w:p>
          <w:p w:rsidR="0086340B" w:rsidRPr="003B3977" w:rsidRDefault="009F3029" w:rsidP="005F1ED8">
            <w:pPr>
              <w:rPr>
                <w:sz w:val="20"/>
                <w:szCs w:val="20"/>
              </w:rPr>
            </w:pPr>
            <w:r>
              <w:rPr>
                <w:sz w:val="20"/>
                <w:szCs w:val="20"/>
                <w:lang w:val="fr-CA"/>
              </w:rPr>
              <w:pict>
                <v:rect id="_x0000_i1104" style="width:106.1pt;height:1pt" o:hrpct="500" o:hralign="center" o:hrstd="t" o:hrnoshade="t" o:hr="t" fillcolor="black [3213]" stroked="f"/>
              </w:pict>
            </w:r>
          </w:p>
        </w:tc>
      </w:tr>
      <w:tr w:rsidR="0086340B" w:rsidRPr="002D3CDA" w:rsidTr="005F1ED8">
        <w:trPr>
          <w:cantSplit/>
        </w:trPr>
        <w:tc>
          <w:tcPr>
            <w:tcW w:w="2206" w:type="pct"/>
            <w:tcMar>
              <w:left w:w="0" w:type="dxa"/>
              <w:right w:w="0" w:type="dxa"/>
            </w:tcMar>
          </w:tcPr>
          <w:p w:rsidR="0086340B" w:rsidRPr="00165F6D" w:rsidRDefault="002D3CDA" w:rsidP="005F1ED8">
            <w:pPr>
              <w:rPr>
                <w:sz w:val="20"/>
                <w:szCs w:val="20"/>
                <w:lang w:val="fr-CA"/>
              </w:rPr>
            </w:pPr>
            <w:r w:rsidRPr="00165F6D">
              <w:rPr>
                <w:sz w:val="20"/>
                <w:szCs w:val="20"/>
                <w:lang w:val="fr-CA"/>
              </w:rPr>
              <w:t>08.04.2016</w:t>
            </w:r>
          </w:p>
          <w:p w:rsidR="002D3CDA" w:rsidRPr="00165F6D" w:rsidRDefault="002D3CDA" w:rsidP="005F1ED8">
            <w:pPr>
              <w:rPr>
                <w:sz w:val="20"/>
                <w:szCs w:val="20"/>
                <w:lang w:val="fr-CA"/>
              </w:rPr>
            </w:pPr>
          </w:p>
          <w:p w:rsidR="002D3CDA" w:rsidRPr="002D3CDA" w:rsidRDefault="002D3CDA" w:rsidP="005F1ED8">
            <w:pPr>
              <w:rPr>
                <w:b/>
                <w:sz w:val="20"/>
                <w:szCs w:val="20"/>
                <w:lang w:val="fr-CA"/>
              </w:rPr>
            </w:pPr>
            <w:r w:rsidRPr="002D3CDA">
              <w:rPr>
                <w:b/>
                <w:sz w:val="20"/>
                <w:szCs w:val="20"/>
                <w:lang w:val="fr-CA"/>
              </w:rPr>
              <w:t>Astrazeneca Canada Inc. et al.</w:t>
            </w:r>
          </w:p>
          <w:p w:rsidR="002D3CDA" w:rsidRDefault="002D3CDA" w:rsidP="005F1ED8">
            <w:pPr>
              <w:rPr>
                <w:b/>
                <w:sz w:val="20"/>
                <w:szCs w:val="20"/>
                <w:lang w:val="fr-CA"/>
              </w:rPr>
            </w:pPr>
          </w:p>
          <w:p w:rsidR="002D3CDA" w:rsidRDefault="002D3CDA" w:rsidP="005F1ED8">
            <w:pPr>
              <w:rPr>
                <w:b/>
                <w:sz w:val="20"/>
                <w:szCs w:val="20"/>
                <w:lang w:val="fr-CA"/>
              </w:rPr>
            </w:pPr>
            <w:r>
              <w:rPr>
                <w:b/>
                <w:sz w:val="20"/>
                <w:szCs w:val="20"/>
                <w:lang w:val="fr-CA"/>
              </w:rPr>
              <w:tab/>
              <w:t>v. (36654)</w:t>
            </w:r>
          </w:p>
          <w:p w:rsidR="00E71E2A" w:rsidRDefault="00E71E2A" w:rsidP="005F1ED8">
            <w:pPr>
              <w:rPr>
                <w:b/>
                <w:sz w:val="20"/>
                <w:szCs w:val="20"/>
                <w:lang w:val="fr-CA"/>
              </w:rPr>
            </w:pPr>
          </w:p>
          <w:p w:rsidR="00E71E2A" w:rsidRDefault="00E71E2A" w:rsidP="005F1ED8">
            <w:pPr>
              <w:rPr>
                <w:b/>
                <w:sz w:val="20"/>
                <w:szCs w:val="20"/>
                <w:lang w:val="fr-CA"/>
              </w:rPr>
            </w:pPr>
            <w:r>
              <w:rPr>
                <w:b/>
                <w:sz w:val="20"/>
                <w:szCs w:val="20"/>
                <w:lang w:val="fr-CA"/>
              </w:rPr>
              <w:t>Apotex Inc. et al. (F.C.)</w:t>
            </w:r>
          </w:p>
          <w:p w:rsidR="00E71E2A" w:rsidRDefault="00E71E2A" w:rsidP="005F1ED8">
            <w:pPr>
              <w:rPr>
                <w:b/>
                <w:sz w:val="20"/>
                <w:szCs w:val="20"/>
                <w:lang w:val="fr-CA"/>
              </w:rPr>
            </w:pPr>
          </w:p>
          <w:p w:rsidR="00E71E2A" w:rsidRDefault="00E71E2A" w:rsidP="005F1ED8">
            <w:pPr>
              <w:rPr>
                <w:sz w:val="20"/>
                <w:szCs w:val="20"/>
                <w:lang w:val="fr-CA"/>
              </w:rPr>
            </w:pPr>
            <w:r>
              <w:rPr>
                <w:sz w:val="20"/>
                <w:szCs w:val="20"/>
                <w:lang w:val="fr-CA"/>
              </w:rPr>
              <w:t>(By leave)</w:t>
            </w:r>
          </w:p>
          <w:p w:rsidR="00E71E2A" w:rsidRDefault="00E71E2A" w:rsidP="005F1ED8">
            <w:pPr>
              <w:rPr>
                <w:sz w:val="20"/>
                <w:szCs w:val="20"/>
                <w:lang w:val="fr-CA"/>
              </w:rPr>
            </w:pPr>
          </w:p>
          <w:p w:rsidR="00E71E2A" w:rsidRPr="00E71E2A" w:rsidRDefault="009F3029" w:rsidP="005F1ED8">
            <w:pPr>
              <w:rPr>
                <w:sz w:val="20"/>
                <w:szCs w:val="20"/>
                <w:lang w:val="fr-CA"/>
              </w:rPr>
            </w:pPr>
            <w:r>
              <w:rPr>
                <w:sz w:val="20"/>
                <w:szCs w:val="20"/>
                <w:lang w:val="fr-CA"/>
              </w:rPr>
              <w:pict>
                <v:rect id="_x0000_i1105" style="width:106.1pt;height:1pt" o:hrpct="500" o:hralign="center" o:hrstd="t" o:hrnoshade="t" o:hr="t" fillcolor="black [3213]" stroked="f"/>
              </w:pict>
            </w:r>
          </w:p>
          <w:p w:rsidR="0086340B" w:rsidRPr="002D3CDA" w:rsidRDefault="0086340B" w:rsidP="005F1ED8">
            <w:pPr>
              <w:rPr>
                <w:sz w:val="20"/>
                <w:szCs w:val="20"/>
                <w:lang w:val="fr-CA"/>
              </w:rPr>
            </w:pPr>
          </w:p>
        </w:tc>
        <w:tc>
          <w:tcPr>
            <w:tcW w:w="588" w:type="pct"/>
          </w:tcPr>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p w:rsidR="0086340B" w:rsidRPr="002D3CDA" w:rsidRDefault="0086340B" w:rsidP="005F1ED8">
            <w:pPr>
              <w:jc w:val="center"/>
              <w:rPr>
                <w:sz w:val="20"/>
                <w:szCs w:val="20"/>
                <w:lang w:val="fr-CA"/>
              </w:rPr>
            </w:pPr>
          </w:p>
        </w:tc>
        <w:tc>
          <w:tcPr>
            <w:tcW w:w="2206" w:type="pct"/>
          </w:tcPr>
          <w:p w:rsidR="0086340B" w:rsidRPr="002D3CDA" w:rsidRDefault="0086340B" w:rsidP="005F1ED8">
            <w:pPr>
              <w:rPr>
                <w:sz w:val="20"/>
                <w:szCs w:val="20"/>
                <w:lang w:val="fr-CA"/>
              </w:rPr>
            </w:pPr>
          </w:p>
          <w:p w:rsidR="0086340B" w:rsidRPr="002D3CDA" w:rsidRDefault="0086340B" w:rsidP="005F1ED8">
            <w:pPr>
              <w:rPr>
                <w:sz w:val="20"/>
                <w:szCs w:val="20"/>
                <w:lang w:val="fr-CA"/>
              </w:rPr>
            </w:pPr>
          </w:p>
        </w:tc>
      </w:tr>
    </w:tbl>
    <w:p w:rsidR="00F40249" w:rsidRPr="002D3CDA" w:rsidRDefault="00F40249" w:rsidP="00F40249">
      <w:pPr>
        <w:rPr>
          <w:sz w:val="20"/>
          <w:szCs w:val="20"/>
          <w:lang w:val="fr-CA"/>
        </w:rPr>
      </w:pPr>
    </w:p>
    <w:p w:rsidR="0010587F" w:rsidRPr="002D3CDA" w:rsidRDefault="0010587F" w:rsidP="00F40249">
      <w:pPr>
        <w:rPr>
          <w:sz w:val="20"/>
          <w:szCs w:val="20"/>
          <w:lang w:val="fr-CA"/>
        </w:rPr>
      </w:pPr>
    </w:p>
    <w:p w:rsidR="00EB2B90" w:rsidRPr="002D3CDA" w:rsidRDefault="00EB2B90" w:rsidP="00F40249">
      <w:pPr>
        <w:rPr>
          <w:sz w:val="20"/>
          <w:szCs w:val="20"/>
          <w:lang w:val="fr-CA"/>
        </w:rPr>
        <w:sectPr w:rsidR="00EB2B90" w:rsidRPr="002D3CDA" w:rsidSect="008A719E">
          <w:headerReference w:type="even" r:id="rId141"/>
          <w:headerReference w:type="default" r:id="rId142"/>
          <w:footerReference w:type="even" r:id="rId143"/>
          <w:footerReference w:type="default" r:id="rId144"/>
          <w:headerReference w:type="first" r:id="rId145"/>
          <w:footerReference w:type="first" r:id="rId14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9F3029"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C50A5C" w:rsidTr="00C1697B">
        <w:trPr>
          <w:cantSplit/>
        </w:trPr>
        <w:tc>
          <w:tcPr>
            <w:tcW w:w="4338" w:type="dxa"/>
            <w:shd w:val="clear" w:color="auto" w:fill="auto"/>
          </w:tcPr>
          <w:p w:rsidR="00C1697B" w:rsidRPr="00C50A5C" w:rsidRDefault="00974501" w:rsidP="00C1697B">
            <w:pPr>
              <w:rPr>
                <w:sz w:val="20"/>
                <w:szCs w:val="20"/>
              </w:rPr>
            </w:pPr>
            <w:r>
              <w:rPr>
                <w:sz w:val="20"/>
                <w:szCs w:val="20"/>
              </w:rPr>
              <w:t>06.04.2016</w:t>
            </w:r>
          </w:p>
          <w:p w:rsidR="00C1697B" w:rsidRPr="00C50A5C" w:rsidRDefault="00C1697B" w:rsidP="00C1697B">
            <w:pPr>
              <w:rPr>
                <w:sz w:val="20"/>
                <w:szCs w:val="20"/>
              </w:rPr>
            </w:pPr>
          </w:p>
          <w:p w:rsidR="00C1697B" w:rsidRPr="00C1697B" w:rsidRDefault="00974501" w:rsidP="00C1697B">
            <w:pPr>
              <w:rPr>
                <w:b/>
                <w:sz w:val="20"/>
                <w:szCs w:val="20"/>
              </w:rPr>
            </w:pPr>
            <w:r>
              <w:rPr>
                <w:b/>
                <w:sz w:val="20"/>
                <w:szCs w:val="20"/>
              </w:rPr>
              <w:t>Cheimene Davy</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w:t>
            </w:r>
            <w:r w:rsidR="00974501">
              <w:rPr>
                <w:b/>
                <w:sz w:val="20"/>
                <w:szCs w:val="20"/>
              </w:rPr>
              <w:t>36359</w:t>
            </w:r>
            <w:r w:rsidRPr="00C1697B">
              <w:rPr>
                <w:b/>
                <w:sz w:val="20"/>
                <w:szCs w:val="20"/>
              </w:rPr>
              <w:t>)</w:t>
            </w:r>
          </w:p>
          <w:p w:rsidR="00C1697B" w:rsidRPr="00C1697B" w:rsidRDefault="00C1697B" w:rsidP="00C1697B">
            <w:pPr>
              <w:rPr>
                <w:b/>
                <w:sz w:val="20"/>
                <w:szCs w:val="20"/>
              </w:rPr>
            </w:pPr>
          </w:p>
          <w:p w:rsidR="00C1697B" w:rsidRPr="00C1697B" w:rsidRDefault="00974501" w:rsidP="00C1697B">
            <w:pPr>
              <w:rPr>
                <w:b/>
                <w:sz w:val="20"/>
                <w:szCs w:val="20"/>
              </w:rPr>
            </w:pPr>
            <w:r>
              <w:rPr>
                <w:b/>
                <w:sz w:val="20"/>
                <w:szCs w:val="20"/>
              </w:rPr>
              <w:t>Her Majesty the Queen</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9F3029" w:rsidP="00697C62">
            <w:pPr>
              <w:rPr>
                <w:sz w:val="20"/>
                <w:szCs w:val="20"/>
                <w:lang w:val="fr-CA"/>
              </w:rPr>
            </w:pPr>
            <w:r>
              <w:rPr>
                <w:sz w:val="20"/>
                <w:szCs w:val="20"/>
                <w:lang w:val="fr-CA"/>
              </w:rPr>
              <w:pict>
                <v:rect id="_x0000_i1108"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rPr>
            </w:pPr>
          </w:p>
          <w:p w:rsidR="00802863" w:rsidRPr="00C50A5C" w:rsidRDefault="00802863" w:rsidP="00802863">
            <w:pPr>
              <w:rPr>
                <w:sz w:val="20"/>
                <w:szCs w:val="20"/>
                <w:lang w:val="fr-CA"/>
              </w:rPr>
            </w:pPr>
          </w:p>
        </w:tc>
      </w:tr>
      <w:tr w:rsidR="00802863" w:rsidRPr="00C50A5C" w:rsidTr="00C1697B">
        <w:trPr>
          <w:cantSplit/>
        </w:trPr>
        <w:tc>
          <w:tcPr>
            <w:tcW w:w="4338" w:type="dxa"/>
            <w:shd w:val="clear" w:color="auto" w:fill="auto"/>
          </w:tcPr>
          <w:p w:rsidR="00802863" w:rsidRPr="00C50A5C" w:rsidRDefault="00802863" w:rsidP="00974501">
            <w:pPr>
              <w:rPr>
                <w:sz w:val="20"/>
                <w:szCs w:val="20"/>
              </w:rPr>
            </w:pPr>
          </w:p>
        </w:tc>
        <w:tc>
          <w:tcPr>
            <w:tcW w:w="1080" w:type="dxa"/>
            <w:shd w:val="clear" w:color="auto" w:fill="auto"/>
          </w:tcPr>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rPr>
            </w:pPr>
          </w:p>
          <w:p w:rsidR="00802863" w:rsidRPr="00C50A5C" w:rsidRDefault="00802863" w:rsidP="00802863">
            <w:pPr>
              <w:rPr>
                <w:sz w:val="20"/>
                <w:szCs w:val="20"/>
              </w:rPr>
            </w:pPr>
          </w:p>
        </w:tc>
      </w:tr>
      <w:tr w:rsidR="00802863" w:rsidRPr="00C50A5C" w:rsidTr="00C1697B">
        <w:trPr>
          <w:cantSplit/>
        </w:trPr>
        <w:tc>
          <w:tcPr>
            <w:tcW w:w="4338" w:type="dxa"/>
            <w:shd w:val="clear" w:color="auto" w:fill="auto"/>
          </w:tcPr>
          <w:p w:rsidR="00802863" w:rsidRPr="00C50A5C" w:rsidRDefault="00802863" w:rsidP="00974501">
            <w:pPr>
              <w:rPr>
                <w:sz w:val="20"/>
                <w:szCs w:val="20"/>
              </w:rPr>
            </w:pPr>
          </w:p>
        </w:tc>
        <w:tc>
          <w:tcPr>
            <w:tcW w:w="1080" w:type="dxa"/>
            <w:shd w:val="clear" w:color="auto" w:fill="auto"/>
          </w:tcPr>
          <w:p w:rsidR="003B3977" w:rsidRDefault="003B3977" w:rsidP="00974501">
            <w:pP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974501">
            <w:pPr>
              <w:rPr>
                <w:sz w:val="20"/>
                <w:szCs w:val="20"/>
              </w:rPr>
            </w:pPr>
          </w:p>
        </w:tc>
      </w:tr>
      <w:tr w:rsidR="006C5F7A" w:rsidRPr="00C50A5C" w:rsidTr="00C1697B">
        <w:trPr>
          <w:cantSplit/>
        </w:trPr>
        <w:tc>
          <w:tcPr>
            <w:tcW w:w="4338" w:type="dxa"/>
            <w:shd w:val="clear" w:color="auto" w:fill="auto"/>
          </w:tcPr>
          <w:p w:rsidR="006C5F7A" w:rsidRPr="00C50A5C" w:rsidRDefault="006C5F7A" w:rsidP="00974501">
            <w:pPr>
              <w:rPr>
                <w:sz w:val="20"/>
                <w:szCs w:val="20"/>
              </w:rPr>
            </w:pPr>
          </w:p>
        </w:tc>
        <w:tc>
          <w:tcPr>
            <w:tcW w:w="1080" w:type="dxa"/>
            <w:shd w:val="clear" w:color="auto" w:fill="auto"/>
          </w:tcPr>
          <w:p w:rsidR="006C5F7A" w:rsidRPr="00C50A5C" w:rsidRDefault="006C5F7A" w:rsidP="00802863">
            <w:pPr>
              <w:jc w:val="center"/>
              <w:rPr>
                <w:sz w:val="20"/>
                <w:szCs w:val="20"/>
                <w:lang w:val="fr-CA"/>
              </w:rPr>
            </w:pPr>
          </w:p>
        </w:tc>
        <w:tc>
          <w:tcPr>
            <w:tcW w:w="4417" w:type="dxa"/>
            <w:shd w:val="clear" w:color="auto" w:fill="auto"/>
          </w:tcPr>
          <w:p w:rsidR="006C5F7A" w:rsidRPr="00C50A5C" w:rsidRDefault="006C5F7A" w:rsidP="00802863">
            <w:pPr>
              <w:rPr>
                <w:sz w:val="20"/>
                <w:szCs w:val="20"/>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A719E">
          <w:headerReference w:type="even" r:id="rId147"/>
          <w:headerReference w:type="default" r:id="rId148"/>
          <w:footerReference w:type="even" r:id="rId149"/>
          <w:footerReference w:type="default" r:id="rId150"/>
          <w:headerReference w:type="first" r:id="rId151"/>
          <w:footerReference w:type="first" r:id="rId15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F302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165F6D" w:rsidRDefault="004A57A7" w:rsidP="0052229C">
      <w:pPr>
        <w:rPr>
          <w:b/>
          <w:sz w:val="20"/>
          <w:szCs w:val="20"/>
        </w:rPr>
      </w:pPr>
      <w:r w:rsidRPr="00165F6D">
        <w:rPr>
          <w:b/>
          <w:sz w:val="20"/>
          <w:szCs w:val="20"/>
        </w:rPr>
        <w:t>APRIL 14</w:t>
      </w:r>
      <w:r w:rsidR="0052229C" w:rsidRPr="00165F6D">
        <w:rPr>
          <w:b/>
          <w:sz w:val="20"/>
          <w:szCs w:val="20"/>
        </w:rPr>
        <w:t>, 201</w:t>
      </w:r>
      <w:r w:rsidRPr="00165F6D">
        <w:rPr>
          <w:b/>
          <w:sz w:val="20"/>
          <w:szCs w:val="20"/>
        </w:rPr>
        <w:t>6</w:t>
      </w:r>
      <w:r w:rsidR="0052229C" w:rsidRPr="00165F6D">
        <w:rPr>
          <w:b/>
          <w:sz w:val="20"/>
          <w:szCs w:val="20"/>
        </w:rPr>
        <w:t xml:space="preserve"> / LE </w:t>
      </w:r>
      <w:r w:rsidRPr="00165F6D">
        <w:rPr>
          <w:b/>
          <w:sz w:val="20"/>
          <w:szCs w:val="20"/>
        </w:rPr>
        <w:t>14 AVRIL</w:t>
      </w:r>
      <w:r w:rsidR="0052229C" w:rsidRPr="00165F6D">
        <w:rPr>
          <w:b/>
          <w:sz w:val="20"/>
          <w:szCs w:val="20"/>
        </w:rPr>
        <w:t xml:space="preserve"> 201</w:t>
      </w:r>
      <w:r w:rsidRPr="00165F6D">
        <w:rPr>
          <w:b/>
          <w:sz w:val="20"/>
          <w:szCs w:val="20"/>
        </w:rPr>
        <w:t>6</w:t>
      </w:r>
    </w:p>
    <w:p w:rsidR="0052229C" w:rsidRPr="00165F6D" w:rsidRDefault="0052229C" w:rsidP="0052229C">
      <w:pPr>
        <w:rPr>
          <w:sz w:val="20"/>
          <w:szCs w:val="20"/>
        </w:rPr>
      </w:pPr>
    </w:p>
    <w:p w:rsidR="00EF4038" w:rsidRDefault="000E27A5" w:rsidP="00EF4038">
      <w:pPr>
        <w:ind w:left="1440" w:hanging="1440"/>
        <w:jc w:val="both"/>
        <w:rPr>
          <w:iCs/>
          <w:sz w:val="20"/>
        </w:rPr>
      </w:pPr>
      <w:r w:rsidRPr="00202C5F">
        <w:rPr>
          <w:b/>
          <w:sz w:val="20"/>
        </w:rPr>
        <w:fldChar w:fldCharType="begin"/>
      </w:r>
      <w:r w:rsidR="0052229C" w:rsidRPr="004A57A7">
        <w:rPr>
          <w:b/>
          <w:sz w:val="20"/>
        </w:rPr>
        <w:instrText xml:space="preserve"> SEQ CHAPTER \h \r 1</w:instrText>
      </w:r>
      <w:r w:rsidRPr="00202C5F">
        <w:rPr>
          <w:b/>
          <w:sz w:val="20"/>
        </w:rPr>
        <w:fldChar w:fldCharType="end"/>
      </w:r>
      <w:r w:rsidR="004A57A7" w:rsidRPr="004A57A7">
        <w:rPr>
          <w:b/>
          <w:sz w:val="20"/>
        </w:rPr>
        <w:t>35945</w:t>
      </w:r>
      <w:r w:rsidR="0052229C" w:rsidRPr="004A57A7">
        <w:rPr>
          <w:sz w:val="20"/>
        </w:rPr>
        <w:tab/>
      </w:r>
      <w:r w:rsidR="004A57A7" w:rsidRPr="004A57A7">
        <w:rPr>
          <w:b/>
          <w:sz w:val="20"/>
          <w:u w:val="single"/>
        </w:rPr>
        <w:t xml:space="preserve">Harry Daniels, Gabriel Daniels, Leah Gardner, Terry Joudrey and Congress of Aboriginal Peoples v. Her Majesty the Queen as represented by the Minister of Indian Affairs and Northern Development and Attorney General of Canada - and - Attorney General for Saskatchewan, Attorney General of Alberta, Native Council of Nova Scotia, New Brunswick Aboriginal Peoples Council, Native Council of Prince Edward Island, Metis Settlements General Council, Te’mexw Treaty Association, Métis Federation of Canada, Aseniwuche Winewak Nation of Canada, Chiefs of Ontario, Gift Lake Métis Settlement, Native Alliance of Quebec, Assembly of First Nations and Métis National Council </w:t>
      </w:r>
      <w:r w:rsidR="0052229C" w:rsidRPr="004A57A7">
        <w:rPr>
          <w:iCs/>
          <w:sz w:val="20"/>
        </w:rPr>
        <w:t>(</w:t>
      </w:r>
      <w:r w:rsidR="004A57A7">
        <w:rPr>
          <w:iCs/>
          <w:sz w:val="20"/>
        </w:rPr>
        <w:t>F.C.</w:t>
      </w:r>
      <w:r w:rsidR="0052229C" w:rsidRPr="004A57A7">
        <w:rPr>
          <w:iCs/>
          <w:sz w:val="20"/>
        </w:rPr>
        <w:t>)</w:t>
      </w:r>
      <w:r w:rsidR="004A57A7">
        <w:rPr>
          <w:iCs/>
          <w:sz w:val="20"/>
        </w:rPr>
        <w:t xml:space="preserve"> </w:t>
      </w:r>
    </w:p>
    <w:p w:rsidR="0052229C" w:rsidRPr="004A57A7" w:rsidRDefault="0052229C" w:rsidP="00EF4038">
      <w:pPr>
        <w:ind w:left="1440"/>
        <w:jc w:val="both"/>
        <w:rPr>
          <w:sz w:val="20"/>
        </w:rPr>
      </w:pPr>
      <w:r w:rsidRPr="004A57A7">
        <w:rPr>
          <w:b/>
          <w:sz w:val="20"/>
        </w:rPr>
        <w:t>201</w:t>
      </w:r>
      <w:r w:rsidR="004A57A7">
        <w:rPr>
          <w:b/>
          <w:sz w:val="20"/>
        </w:rPr>
        <w:t>6</w:t>
      </w:r>
      <w:r w:rsidRPr="004A57A7">
        <w:rPr>
          <w:b/>
          <w:sz w:val="20"/>
        </w:rPr>
        <w:t xml:space="preserve"> SCC 1</w:t>
      </w:r>
      <w:r w:rsidR="00EF4038">
        <w:rPr>
          <w:b/>
          <w:sz w:val="20"/>
        </w:rPr>
        <w:t>2</w:t>
      </w:r>
      <w:r w:rsidRPr="004A57A7">
        <w:rPr>
          <w:b/>
          <w:sz w:val="20"/>
        </w:rPr>
        <w:t xml:space="preserve"> / 201</w:t>
      </w:r>
      <w:r w:rsidR="004A57A7">
        <w:rPr>
          <w:b/>
          <w:sz w:val="20"/>
        </w:rPr>
        <w:t>6</w:t>
      </w:r>
      <w:r w:rsidRPr="004A57A7">
        <w:rPr>
          <w:b/>
          <w:sz w:val="20"/>
        </w:rPr>
        <w:t xml:space="preserve"> CSC 1</w:t>
      </w:r>
      <w:r w:rsidR="00EF4038">
        <w:rPr>
          <w:b/>
          <w:sz w:val="20"/>
        </w:rPr>
        <w:t>2</w:t>
      </w:r>
    </w:p>
    <w:p w:rsidR="0052229C" w:rsidRPr="004A57A7" w:rsidRDefault="0052229C" w:rsidP="00EF403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EF4038" w:rsidRPr="00EF4038" w:rsidRDefault="0052229C" w:rsidP="0052229C">
      <w:pPr>
        <w:ind w:left="1440" w:hanging="1440"/>
        <w:rPr>
          <w:sz w:val="20"/>
          <w:u w:val="single"/>
        </w:rPr>
      </w:pPr>
      <w:r w:rsidRPr="00EF4038">
        <w:rPr>
          <w:sz w:val="20"/>
        </w:rPr>
        <w:t>Coram:</w:t>
      </w:r>
      <w:r w:rsidRPr="00EF4038">
        <w:rPr>
          <w:sz w:val="20"/>
        </w:rPr>
        <w:tab/>
      </w:r>
      <w:r w:rsidR="00EF4038" w:rsidRPr="00EF4038">
        <w:rPr>
          <w:sz w:val="20"/>
          <w:u w:val="single"/>
        </w:rPr>
        <w:t>Coram:  McLachlin C.J. and Abella, Cromwell, Moldaver, Karakatsanis, Wagner, Gascon, Côté and Brown JJ.</w:t>
      </w:r>
    </w:p>
    <w:p w:rsidR="0052229C" w:rsidRPr="00EF4038" w:rsidRDefault="0052229C" w:rsidP="0052229C">
      <w:pPr>
        <w:ind w:left="1440" w:hanging="1440"/>
        <w:rPr>
          <w:sz w:val="20"/>
          <w:szCs w:val="20"/>
          <w:u w:val="single"/>
        </w:rPr>
      </w:pPr>
      <w:r w:rsidRPr="00EF4038">
        <w:rPr>
          <w:sz w:val="20"/>
          <w:u w:val="single"/>
        </w:rPr>
        <w:t xml:space="preserve"> </w:t>
      </w:r>
    </w:p>
    <w:p w:rsidR="00EF4038" w:rsidRPr="00EF4038" w:rsidRDefault="00EF4038" w:rsidP="00EF4038">
      <w:pPr>
        <w:jc w:val="both"/>
        <w:rPr>
          <w:sz w:val="20"/>
          <w:szCs w:val="20"/>
        </w:rPr>
      </w:pPr>
      <w:r w:rsidRPr="00EF4038">
        <w:rPr>
          <w:sz w:val="20"/>
          <w:szCs w:val="20"/>
        </w:rPr>
        <w:t xml:space="preserve">The appeal from the judgment of the Federal Court of Appeal, Number A-49-13, 2014 FCA 101, dated April 17, 2014, heard on October 8, 2015, is allowed in part and the cross-appeal is dismissed, with costs to the appellants. Non-status Indians and Métis are “Indians” under s. 91(24) of the </w:t>
      </w:r>
      <w:r w:rsidRPr="00EF4038">
        <w:rPr>
          <w:i/>
          <w:sz w:val="20"/>
          <w:szCs w:val="20"/>
        </w:rPr>
        <w:t>Constitution Act, 1867</w:t>
      </w:r>
      <w:r w:rsidRPr="00EF4038">
        <w:rPr>
          <w:sz w:val="20"/>
          <w:szCs w:val="20"/>
        </w:rPr>
        <w:t xml:space="preserve">. The Federal Court of Appeal’s conclusion that the first declaration should exclude non-status Indians or apply only to those Métis who meet the criteria set out in </w:t>
      </w:r>
      <w:r w:rsidRPr="00EF4038">
        <w:rPr>
          <w:i/>
          <w:sz w:val="20"/>
          <w:szCs w:val="20"/>
        </w:rPr>
        <w:t>R. v. Powley</w:t>
      </w:r>
      <w:r w:rsidRPr="00EF4038">
        <w:rPr>
          <w:sz w:val="20"/>
          <w:szCs w:val="20"/>
        </w:rPr>
        <w:t xml:space="preserve">, [2003] 2 S.C.R. 207, is set aside and the trial judge’s decision is restored. </w:t>
      </w:r>
    </w:p>
    <w:p w:rsidR="00EF4038" w:rsidRPr="00EF4038" w:rsidRDefault="00EF4038" w:rsidP="00EF4038">
      <w:pPr>
        <w:jc w:val="both"/>
        <w:rPr>
          <w:sz w:val="20"/>
          <w:szCs w:val="20"/>
        </w:rPr>
      </w:pPr>
    </w:p>
    <w:p w:rsidR="00EF4038" w:rsidRPr="00EF4038" w:rsidRDefault="00EF4038" w:rsidP="00EF4038">
      <w:pPr>
        <w:jc w:val="both"/>
        <w:rPr>
          <w:sz w:val="20"/>
          <w:szCs w:val="20"/>
          <w:lang w:val="fr-CA"/>
        </w:rPr>
      </w:pPr>
      <w:r w:rsidRPr="00EF4038">
        <w:rPr>
          <w:sz w:val="20"/>
          <w:szCs w:val="20"/>
          <w:lang w:val="fr-CA"/>
        </w:rPr>
        <w:t xml:space="preserve">L’appel interjeté contre l’arrêt de la </w:t>
      </w:r>
      <w:r w:rsidRPr="00EF4038">
        <w:rPr>
          <w:sz w:val="20"/>
          <w:szCs w:val="20"/>
          <w:lang w:val="fr-FR"/>
        </w:rPr>
        <w:t>Cour d’appel fédérale</w:t>
      </w:r>
      <w:r w:rsidRPr="00EF4038">
        <w:rPr>
          <w:sz w:val="20"/>
          <w:szCs w:val="20"/>
          <w:lang w:val="fr-CA"/>
        </w:rPr>
        <w:t xml:space="preserve">, numéro </w:t>
      </w:r>
      <w:r w:rsidRPr="00EF4038">
        <w:rPr>
          <w:sz w:val="20"/>
          <w:szCs w:val="20"/>
          <w:lang w:val="fr-FR"/>
        </w:rPr>
        <w:t>A-49-13, 2014 CAF 101</w:t>
      </w:r>
      <w:r w:rsidRPr="00EF4038">
        <w:rPr>
          <w:sz w:val="20"/>
          <w:szCs w:val="20"/>
          <w:lang w:val="fr-CA"/>
        </w:rPr>
        <w:t xml:space="preserve">, en date du </w:t>
      </w:r>
      <w:r w:rsidRPr="00EF4038">
        <w:rPr>
          <w:sz w:val="20"/>
          <w:szCs w:val="20"/>
          <w:lang w:val="fr-FR"/>
        </w:rPr>
        <w:t>17 avril 2014</w:t>
      </w:r>
      <w:r w:rsidRPr="00EF4038">
        <w:rPr>
          <w:sz w:val="20"/>
          <w:szCs w:val="20"/>
          <w:lang w:val="fr-CA"/>
        </w:rPr>
        <w:t xml:space="preserve">, entendu le </w:t>
      </w:r>
      <w:r w:rsidRPr="00EF4038">
        <w:rPr>
          <w:sz w:val="20"/>
          <w:szCs w:val="20"/>
          <w:lang w:val="fr-FR"/>
        </w:rPr>
        <w:t>8 octobre 2015</w:t>
      </w:r>
      <w:r w:rsidRPr="00EF4038">
        <w:rPr>
          <w:sz w:val="20"/>
          <w:szCs w:val="20"/>
          <w:lang w:val="fr-CA"/>
        </w:rPr>
        <w:t xml:space="preserve"> est accueilli en partie et l’appel </w:t>
      </w:r>
      <w:r w:rsidRPr="00EF4038">
        <w:rPr>
          <w:noProof/>
          <w:sz w:val="20"/>
          <w:szCs w:val="20"/>
          <w:lang w:val="fr-CA"/>
        </w:rPr>
        <w:t>incident est rejeté,</w:t>
      </w:r>
      <w:r w:rsidRPr="00EF4038">
        <w:rPr>
          <w:sz w:val="20"/>
          <w:szCs w:val="20"/>
          <w:lang w:val="fr-CA"/>
        </w:rPr>
        <w:t xml:space="preserve"> avec dépens en faveur des appelants. Les Indiens non inscrits et les Métis sont des « Indiens » visés au par. 91(24) de la </w:t>
      </w:r>
      <w:r w:rsidRPr="00EF4038">
        <w:rPr>
          <w:i/>
          <w:sz w:val="20"/>
          <w:szCs w:val="20"/>
          <w:lang w:val="fr-CA"/>
        </w:rPr>
        <w:t>Loi constitutionnelle de 1867</w:t>
      </w:r>
      <w:r w:rsidRPr="00EF4038">
        <w:rPr>
          <w:sz w:val="20"/>
          <w:szCs w:val="20"/>
          <w:lang w:val="fr-CA"/>
        </w:rPr>
        <w:t>. L</w:t>
      </w:r>
      <w:r w:rsidRPr="00EF4038">
        <w:rPr>
          <w:noProof/>
          <w:sz w:val="20"/>
          <w:szCs w:val="20"/>
          <w:lang w:val="fr-CA"/>
        </w:rPr>
        <w:t xml:space="preserve">a conclusion de la Cour d’appel fédérale selon laquelle le premier jugement déclaratoire devrait exclure les Indiens non inscrits ou ne s’appliquer qu’aux Métis qui satisfont aux critères énoncés dans l’arrêt </w:t>
      </w:r>
      <w:r w:rsidRPr="00EF4038">
        <w:rPr>
          <w:i/>
          <w:noProof/>
          <w:sz w:val="20"/>
          <w:szCs w:val="20"/>
          <w:lang w:val="fr-CA"/>
        </w:rPr>
        <w:t>R. c. Powley</w:t>
      </w:r>
      <w:r w:rsidRPr="00EF4038">
        <w:rPr>
          <w:noProof/>
          <w:sz w:val="20"/>
          <w:szCs w:val="20"/>
          <w:lang w:val="fr-CA"/>
        </w:rPr>
        <w:t>, [2003] 2 R.C.S. 207, est annulée et la décision du juge de première instance est rétablie.</w:t>
      </w:r>
    </w:p>
    <w:p w:rsidR="0052229C" w:rsidRPr="00EF4038" w:rsidRDefault="0052229C" w:rsidP="0052229C">
      <w:pPr>
        <w:rPr>
          <w:sz w:val="20"/>
          <w:szCs w:val="20"/>
          <w:lang w:val="fr-CA"/>
        </w:rPr>
      </w:pPr>
    </w:p>
    <w:p w:rsidR="0052229C" w:rsidRPr="00EF4038" w:rsidRDefault="009F3029" w:rsidP="0052229C">
      <w:pPr>
        <w:spacing w:line="0" w:lineRule="atLeast"/>
        <w:rPr>
          <w:sz w:val="20"/>
          <w:szCs w:val="20"/>
        </w:rPr>
      </w:pPr>
      <w:r>
        <w:rPr>
          <w:b/>
          <w:sz w:val="20"/>
          <w:szCs w:val="20"/>
        </w:rPr>
        <w:pict>
          <v:rect id="_x0000_i1111" style="width:144.3pt;height:1pt" o:hrpct="300" o:hralign="center" o:hrstd="t" o:hrnoshade="t" o:hr="t" fillcolor="black [3213]" stroked="f"/>
        </w:pict>
      </w:r>
    </w:p>
    <w:p w:rsidR="0052229C" w:rsidRPr="00EF4038" w:rsidRDefault="0052229C" w:rsidP="0052229C">
      <w:pPr>
        <w:spacing w:line="0" w:lineRule="atLeast"/>
        <w:rPr>
          <w:sz w:val="20"/>
          <w:szCs w:val="20"/>
        </w:rPr>
      </w:pPr>
    </w:p>
    <w:p w:rsidR="0052229C" w:rsidRPr="00A84883" w:rsidRDefault="00EF4038" w:rsidP="0052229C">
      <w:pPr>
        <w:rPr>
          <w:b/>
          <w:sz w:val="20"/>
          <w:szCs w:val="20"/>
        </w:rPr>
      </w:pPr>
      <w:r>
        <w:rPr>
          <w:b/>
          <w:sz w:val="20"/>
          <w:szCs w:val="20"/>
        </w:rPr>
        <w:t>APRIL 15</w:t>
      </w:r>
      <w:r w:rsidR="0052229C" w:rsidRPr="00A84883">
        <w:rPr>
          <w:b/>
          <w:sz w:val="20"/>
          <w:szCs w:val="20"/>
        </w:rPr>
        <w:t>, 201</w:t>
      </w:r>
      <w:r>
        <w:rPr>
          <w:b/>
          <w:sz w:val="20"/>
          <w:szCs w:val="20"/>
        </w:rPr>
        <w:t>6</w:t>
      </w:r>
      <w:r w:rsidR="0052229C" w:rsidRPr="00A84883">
        <w:rPr>
          <w:b/>
          <w:sz w:val="20"/>
          <w:szCs w:val="20"/>
        </w:rPr>
        <w:t xml:space="preserve"> / LE 1</w:t>
      </w:r>
      <w:r>
        <w:rPr>
          <w:b/>
          <w:sz w:val="20"/>
          <w:szCs w:val="20"/>
        </w:rPr>
        <w:t>5</w:t>
      </w:r>
      <w:r w:rsidR="0052229C" w:rsidRPr="00A84883">
        <w:rPr>
          <w:b/>
          <w:sz w:val="20"/>
          <w:szCs w:val="20"/>
        </w:rPr>
        <w:t xml:space="preserve"> </w:t>
      </w:r>
      <w:r>
        <w:rPr>
          <w:b/>
          <w:sz w:val="20"/>
          <w:szCs w:val="20"/>
        </w:rPr>
        <w:t>AVRIL</w:t>
      </w:r>
      <w:r w:rsidR="0052229C" w:rsidRPr="00A84883">
        <w:rPr>
          <w:b/>
          <w:sz w:val="20"/>
          <w:szCs w:val="20"/>
        </w:rPr>
        <w:t xml:space="preserve"> 201</w:t>
      </w:r>
      <w:r>
        <w:rPr>
          <w:b/>
          <w:sz w:val="20"/>
          <w:szCs w:val="20"/>
        </w:rPr>
        <w:t>6</w:t>
      </w:r>
    </w:p>
    <w:p w:rsidR="0052229C" w:rsidRPr="00A84883" w:rsidRDefault="0052229C" w:rsidP="0052229C">
      <w:pPr>
        <w:spacing w:line="0" w:lineRule="atLeast"/>
        <w:rPr>
          <w:rFonts w:cs="Times New Roman"/>
          <w:sz w:val="20"/>
          <w:szCs w:val="20"/>
        </w:rPr>
      </w:pPr>
    </w:p>
    <w:p w:rsidR="00EF4038" w:rsidRDefault="006903C3" w:rsidP="006903C3">
      <w:pPr>
        <w:ind w:left="1440" w:hanging="1440"/>
        <w:jc w:val="both"/>
        <w:rPr>
          <w:rFonts w:cs="Times New Roman"/>
          <w:sz w:val="20"/>
          <w:szCs w:val="20"/>
        </w:rPr>
      </w:pPr>
      <w:r w:rsidRPr="006903C3">
        <w:rPr>
          <w:rFonts w:cs="Times New Roman"/>
          <w:b/>
          <w:sz w:val="20"/>
          <w:szCs w:val="20"/>
        </w:rPr>
        <w:t>35982</w:t>
      </w:r>
      <w:r>
        <w:rPr>
          <w:sz w:val="20"/>
        </w:rPr>
        <w:tab/>
      </w:r>
      <w:r w:rsidRPr="006903C3">
        <w:rPr>
          <w:rFonts w:cs="Times New Roman"/>
          <w:b/>
          <w:sz w:val="20"/>
          <w:szCs w:val="20"/>
          <w:u w:val="single"/>
        </w:rPr>
        <w:t>Joseph Ryan Lloyd v. Her Majesty The Queen - and - Canadian Bar Association, African Canadian Legal Clinic, Pivot Legal Society, Union of British Columbia Indian Chiefs, HIV &amp; AIDS Legal Clinic Ontario, Canadian HIV/AIDS Legal Network, British Columbia Centre for Excellence in HIV/AIDS, Prisoners with HIV/AIDS Support Action Network, Canadian Association of People Who Use Drugs, British Columbia Civil Liberties Association, Criminal Lawyers’ Association (Ontario) and West Coast Women’s Legal Education and Action Fund</w:t>
      </w:r>
      <w:r w:rsidRPr="006903C3">
        <w:rPr>
          <w:rFonts w:cs="Times New Roman"/>
          <w:sz w:val="20"/>
          <w:szCs w:val="20"/>
        </w:rPr>
        <w:t xml:space="preserve"> (B.C.) </w:t>
      </w:r>
    </w:p>
    <w:p w:rsidR="00AB0ABC" w:rsidRPr="004A57A7" w:rsidRDefault="00AB0ABC" w:rsidP="00AB0ABC">
      <w:pPr>
        <w:ind w:left="1440"/>
        <w:jc w:val="both"/>
        <w:rPr>
          <w:sz w:val="20"/>
        </w:rPr>
      </w:pPr>
      <w:r w:rsidRPr="004A57A7">
        <w:rPr>
          <w:b/>
          <w:sz w:val="20"/>
        </w:rPr>
        <w:t>201</w:t>
      </w:r>
      <w:r>
        <w:rPr>
          <w:b/>
          <w:sz w:val="20"/>
        </w:rPr>
        <w:t>6</w:t>
      </w:r>
      <w:r w:rsidRPr="004A57A7">
        <w:rPr>
          <w:b/>
          <w:sz w:val="20"/>
        </w:rPr>
        <w:t xml:space="preserve"> SCC 1</w:t>
      </w:r>
      <w:r>
        <w:rPr>
          <w:b/>
          <w:sz w:val="20"/>
        </w:rPr>
        <w:t>3</w:t>
      </w:r>
      <w:r w:rsidRPr="004A57A7">
        <w:rPr>
          <w:b/>
          <w:sz w:val="20"/>
        </w:rPr>
        <w:t xml:space="preserve"> / 201</w:t>
      </w:r>
      <w:r>
        <w:rPr>
          <w:b/>
          <w:sz w:val="20"/>
        </w:rPr>
        <w:t>6</w:t>
      </w:r>
      <w:r w:rsidRPr="004A57A7">
        <w:rPr>
          <w:b/>
          <w:sz w:val="20"/>
        </w:rPr>
        <w:t xml:space="preserve"> CSC 1</w:t>
      </w:r>
      <w:r>
        <w:rPr>
          <w:b/>
          <w:sz w:val="20"/>
        </w:rPr>
        <w:t>3</w:t>
      </w:r>
    </w:p>
    <w:p w:rsidR="00AB0ABC" w:rsidRPr="006903C3" w:rsidRDefault="00AB0ABC" w:rsidP="006903C3">
      <w:pPr>
        <w:ind w:left="1440" w:hanging="1440"/>
        <w:jc w:val="both"/>
        <w:rPr>
          <w:rFonts w:cs="Times New Roman"/>
          <w:sz w:val="20"/>
          <w:szCs w:val="20"/>
        </w:rPr>
      </w:pPr>
    </w:p>
    <w:p w:rsidR="006903C3" w:rsidRPr="006903C3" w:rsidRDefault="006903C3" w:rsidP="006903C3">
      <w:pPr>
        <w:ind w:left="1440" w:hanging="1440"/>
        <w:jc w:val="both"/>
        <w:rPr>
          <w:rFonts w:cs="Times New Roman"/>
          <w:sz w:val="20"/>
          <w:szCs w:val="20"/>
        </w:rPr>
      </w:pPr>
    </w:p>
    <w:p w:rsidR="006903C3" w:rsidRPr="006903C3" w:rsidRDefault="006903C3" w:rsidP="006903C3">
      <w:pPr>
        <w:ind w:left="1440" w:hanging="1440"/>
        <w:jc w:val="both"/>
        <w:rPr>
          <w:rFonts w:cs="Times New Roman"/>
          <w:sz w:val="20"/>
          <w:szCs w:val="20"/>
        </w:rPr>
      </w:pPr>
      <w:r w:rsidRPr="006903C3">
        <w:rPr>
          <w:rFonts w:cs="Times New Roman"/>
          <w:sz w:val="20"/>
          <w:szCs w:val="20"/>
        </w:rPr>
        <w:t>Coram:</w:t>
      </w:r>
      <w:r w:rsidRPr="006903C3">
        <w:rPr>
          <w:rFonts w:cs="Times New Roman"/>
          <w:sz w:val="20"/>
          <w:szCs w:val="20"/>
        </w:rPr>
        <w:tab/>
      </w:r>
      <w:r w:rsidRPr="006903C3">
        <w:rPr>
          <w:rFonts w:cs="Times New Roman"/>
          <w:sz w:val="20"/>
          <w:szCs w:val="20"/>
          <w:u w:val="single"/>
        </w:rPr>
        <w:t>Coram:  McLachlin C.J. and Abella, Cromwell, Moldaver, Karakatsanis, Wagner, Gascon, Côté and Brown JJ.</w:t>
      </w:r>
    </w:p>
    <w:p w:rsidR="00EF4038" w:rsidRPr="006903C3" w:rsidRDefault="00EF4038" w:rsidP="00D004FC">
      <w:pPr>
        <w:jc w:val="both"/>
        <w:rPr>
          <w:rFonts w:cs="Times New Roman"/>
          <w:b/>
          <w:sz w:val="20"/>
          <w:szCs w:val="20"/>
        </w:rPr>
      </w:pPr>
    </w:p>
    <w:p w:rsidR="006903C3" w:rsidRPr="00165F6D" w:rsidRDefault="006903C3" w:rsidP="006903C3">
      <w:pPr>
        <w:jc w:val="both"/>
        <w:rPr>
          <w:sz w:val="20"/>
          <w:szCs w:val="20"/>
          <w:lang w:val="fr-CA"/>
        </w:rPr>
      </w:pPr>
      <w:r w:rsidRPr="006903C3">
        <w:rPr>
          <w:sz w:val="20"/>
          <w:szCs w:val="20"/>
        </w:rPr>
        <w:t xml:space="preserve">The appeal from the judgment of the Court of Appeal for British Columbia (Vancouver), Number CA041594, 2014 BCCA 224, dated June 6, 2014, heard on January 13, 2016, is allowed. Section 5(3)(a)(i)(D) of the </w:t>
      </w:r>
      <w:r w:rsidRPr="006903C3">
        <w:rPr>
          <w:i/>
          <w:sz w:val="20"/>
          <w:szCs w:val="20"/>
        </w:rPr>
        <w:t>Controlled Drugs and Substances Act</w:t>
      </w:r>
      <w:r w:rsidRPr="006903C3">
        <w:rPr>
          <w:sz w:val="20"/>
          <w:szCs w:val="20"/>
        </w:rPr>
        <w:t xml:space="preserve">, S.C. 1996, c. 19, is unconstitutional and is therefore of no force or effect under s. 52(1) of the </w:t>
      </w:r>
      <w:r w:rsidRPr="006903C3">
        <w:rPr>
          <w:i/>
          <w:sz w:val="20"/>
          <w:szCs w:val="20"/>
        </w:rPr>
        <w:t>Constitution Act, 1982</w:t>
      </w:r>
      <w:r w:rsidRPr="006903C3">
        <w:rPr>
          <w:sz w:val="20"/>
          <w:szCs w:val="20"/>
        </w:rPr>
        <w:t xml:space="preserve">. The sentence of the Court of Appeal is set aside and the sentence of one year of imprisonment imposed by the provincial court judge is restored. </w:t>
      </w:r>
      <w:r w:rsidRPr="00165F6D">
        <w:rPr>
          <w:sz w:val="20"/>
          <w:szCs w:val="20"/>
          <w:lang w:val="fr-CA"/>
        </w:rPr>
        <w:t>Wagner, Gascon and Brown JJ. are dissenting in part.</w:t>
      </w:r>
    </w:p>
    <w:p w:rsidR="00EF4038" w:rsidRPr="00165F6D" w:rsidRDefault="00EF4038" w:rsidP="00D004FC">
      <w:pPr>
        <w:jc w:val="both"/>
        <w:rPr>
          <w:rFonts w:cs="Times New Roman"/>
          <w:b/>
          <w:sz w:val="20"/>
          <w:szCs w:val="20"/>
          <w:lang w:val="fr-CA"/>
        </w:rPr>
      </w:pPr>
    </w:p>
    <w:p w:rsidR="006903C3" w:rsidRPr="006903C3" w:rsidRDefault="006903C3" w:rsidP="006903C3">
      <w:pPr>
        <w:jc w:val="both"/>
        <w:rPr>
          <w:sz w:val="20"/>
          <w:szCs w:val="20"/>
          <w:lang w:val="fr-CA"/>
        </w:rPr>
      </w:pPr>
      <w:r w:rsidRPr="006903C3">
        <w:rPr>
          <w:sz w:val="20"/>
          <w:szCs w:val="20"/>
          <w:lang w:val="fr-CA"/>
        </w:rPr>
        <w:t xml:space="preserve">L’appel interjeté contre l’arrêt de la </w:t>
      </w:r>
      <w:r w:rsidRPr="006903C3">
        <w:rPr>
          <w:sz w:val="20"/>
          <w:szCs w:val="20"/>
          <w:lang w:val="fr-FR"/>
        </w:rPr>
        <w:t>Cour d’appel de la Colombie-Britannique (Vancouver)</w:t>
      </w:r>
      <w:r w:rsidRPr="006903C3">
        <w:rPr>
          <w:sz w:val="20"/>
          <w:szCs w:val="20"/>
          <w:lang w:val="fr-CA"/>
        </w:rPr>
        <w:t xml:space="preserve">, numéro </w:t>
      </w:r>
      <w:r w:rsidRPr="006903C3">
        <w:rPr>
          <w:sz w:val="20"/>
          <w:szCs w:val="20"/>
          <w:lang w:val="fr-FR"/>
        </w:rPr>
        <w:t>CA041594, 2014 BCCA 224</w:t>
      </w:r>
      <w:r w:rsidRPr="006903C3">
        <w:rPr>
          <w:sz w:val="20"/>
          <w:szCs w:val="20"/>
          <w:lang w:val="fr-CA"/>
        </w:rPr>
        <w:t xml:space="preserve">, en date du </w:t>
      </w:r>
      <w:r w:rsidRPr="006903C3">
        <w:rPr>
          <w:sz w:val="20"/>
          <w:szCs w:val="20"/>
          <w:lang w:val="fr-FR"/>
        </w:rPr>
        <w:t>6 juin 2014</w:t>
      </w:r>
      <w:r w:rsidRPr="006903C3">
        <w:rPr>
          <w:sz w:val="20"/>
          <w:szCs w:val="20"/>
          <w:lang w:val="fr-CA"/>
        </w:rPr>
        <w:t xml:space="preserve">, entendu le </w:t>
      </w:r>
      <w:r w:rsidRPr="006903C3">
        <w:rPr>
          <w:sz w:val="20"/>
          <w:szCs w:val="20"/>
          <w:lang w:val="fr-FR"/>
        </w:rPr>
        <w:t>13 janvier 2016,</w:t>
      </w:r>
      <w:r w:rsidRPr="006903C3">
        <w:rPr>
          <w:sz w:val="20"/>
          <w:szCs w:val="20"/>
          <w:lang w:val="fr-CA"/>
        </w:rPr>
        <w:t xml:space="preserve"> est accueilli. La division 5(3)a)(i)(D) </w:t>
      </w:r>
      <w:r w:rsidRPr="006903C3">
        <w:rPr>
          <w:rFonts w:cs="Times New Roman"/>
          <w:sz w:val="20"/>
          <w:szCs w:val="20"/>
          <w:lang w:val="fr-CA"/>
        </w:rPr>
        <w:t xml:space="preserve">de la </w:t>
      </w:r>
      <w:r w:rsidRPr="006903C3">
        <w:rPr>
          <w:rFonts w:cs="Times New Roman"/>
          <w:i/>
          <w:sz w:val="20"/>
          <w:szCs w:val="20"/>
          <w:lang w:val="fr-CA"/>
        </w:rPr>
        <w:t>Loi réglementant certaines drogues et autres substances</w:t>
      </w:r>
      <w:r w:rsidRPr="006903C3">
        <w:rPr>
          <w:rFonts w:cs="Times New Roman"/>
          <w:sz w:val="20"/>
          <w:szCs w:val="20"/>
          <w:lang w:val="fr-CA"/>
        </w:rPr>
        <w:t xml:space="preserve">, L.C. 1996, c. 19, </w:t>
      </w:r>
      <w:r w:rsidRPr="006903C3">
        <w:rPr>
          <w:sz w:val="20"/>
          <w:szCs w:val="20"/>
          <w:lang w:val="fr-CA"/>
        </w:rPr>
        <w:t xml:space="preserve">est inconstitutionnelle et est donc déclarée inopérante suivant le par. 52(1) de la </w:t>
      </w:r>
      <w:r w:rsidRPr="006903C3">
        <w:rPr>
          <w:i/>
          <w:sz w:val="20"/>
          <w:szCs w:val="20"/>
          <w:lang w:val="fr-CA"/>
        </w:rPr>
        <w:t>Loi constitutionnelle de 1982</w:t>
      </w:r>
      <w:r w:rsidRPr="006903C3">
        <w:rPr>
          <w:sz w:val="20"/>
          <w:szCs w:val="20"/>
          <w:lang w:val="fr-CA"/>
        </w:rPr>
        <w:t>. La peine infligée par la Cour d’appel est annulée, et celle d’un an d’emprisonnement prononcée par le juge de la cour provinciale est rétablie. Les juges Wagner, Gascon et Brown sont dissidents en partie.</w:t>
      </w:r>
    </w:p>
    <w:p w:rsidR="006903C3" w:rsidRPr="006903C3" w:rsidRDefault="006903C3" w:rsidP="00D004FC">
      <w:pPr>
        <w:jc w:val="both"/>
        <w:rPr>
          <w:rFonts w:cs="Times New Roman"/>
          <w:b/>
          <w:sz w:val="20"/>
          <w:szCs w:val="20"/>
          <w:lang w:val="fr-CA"/>
        </w:rPr>
      </w:pPr>
    </w:p>
    <w:p w:rsidR="00D004FC" w:rsidRPr="006903C3" w:rsidRDefault="009F3029" w:rsidP="00D004FC">
      <w:pPr>
        <w:jc w:val="both"/>
        <w:rPr>
          <w:rFonts w:cs="Times New Roman"/>
          <w:b/>
          <w:sz w:val="20"/>
          <w:szCs w:val="20"/>
          <w:lang w:val="fr-CA"/>
        </w:rPr>
      </w:pPr>
      <w:r>
        <w:rPr>
          <w:rFonts w:cs="Times New Roman"/>
          <w:b/>
          <w:sz w:val="20"/>
          <w:szCs w:val="20"/>
        </w:rPr>
        <w:pict>
          <v:rect id="_x0000_i1112" style="width:144.3pt;height:1pt" o:hrpct="300" o:hralign="center" o:hrstd="t" o:hrnoshade="t" o:hr="t" fillcolor="black [3213]" stroked="f"/>
        </w:pict>
      </w:r>
    </w:p>
    <w:p w:rsidR="00D004FC" w:rsidRPr="006903C3" w:rsidRDefault="00D004FC" w:rsidP="00D004FC">
      <w:pPr>
        <w:jc w:val="both"/>
        <w:rPr>
          <w:rFonts w:cs="Times New Roman"/>
          <w:sz w:val="20"/>
          <w:szCs w:val="20"/>
          <w:lang w:val="fr-CA"/>
        </w:rPr>
      </w:pPr>
    </w:p>
    <w:p w:rsidR="00D004FC" w:rsidRDefault="00AB0ABC" w:rsidP="00AB0AB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AB0ABC">
        <w:rPr>
          <w:rFonts w:cs="Times New Roman"/>
          <w:b/>
          <w:sz w:val="20"/>
          <w:szCs w:val="20"/>
        </w:rPr>
        <w:t>36162</w:t>
      </w:r>
      <w:r w:rsidRPr="00AB0ABC">
        <w:rPr>
          <w:rFonts w:cs="Times New Roman"/>
          <w:b/>
          <w:sz w:val="20"/>
          <w:szCs w:val="20"/>
        </w:rPr>
        <w:tab/>
      </w:r>
      <w:r w:rsidRPr="00AB0ABC">
        <w:rPr>
          <w:rFonts w:cs="Times New Roman"/>
          <w:b/>
          <w:sz w:val="20"/>
          <w:szCs w:val="20"/>
        </w:rPr>
        <w:tab/>
      </w:r>
      <w:r w:rsidRPr="00AB0ABC">
        <w:rPr>
          <w:b/>
          <w:sz w:val="20"/>
          <w:szCs w:val="20"/>
          <w:u w:val="single"/>
        </w:rPr>
        <w:t xml:space="preserve">Her Majesty the Queen v. Hamidreza Safarzadeh-Markhali </w:t>
      </w:r>
      <w:r w:rsidR="00763EAC">
        <w:rPr>
          <w:b/>
          <w:sz w:val="20"/>
          <w:szCs w:val="20"/>
          <w:u w:val="single"/>
        </w:rPr>
        <w:t xml:space="preserve">– and - </w:t>
      </w:r>
      <w:r w:rsidRPr="00AB0ABC">
        <w:rPr>
          <w:b/>
          <w:sz w:val="20"/>
          <w:szCs w:val="20"/>
          <w:u w:val="single"/>
        </w:rPr>
        <w:t>Attorney General of Canada, British Columbia Civil Liberties Association, Criminal Lawyers’ Association (Ontario), John Howard Society of Canada, West Coast Prison Justice Society and Aboriginal Legal Services of Toronto Inc.</w:t>
      </w:r>
      <w:r>
        <w:rPr>
          <w:sz w:val="20"/>
          <w:szCs w:val="20"/>
        </w:rPr>
        <w:t xml:space="preserve"> (Ont.)</w:t>
      </w:r>
    </w:p>
    <w:p w:rsidR="00AB0ABC" w:rsidRPr="004A57A7" w:rsidRDefault="00AB0ABC" w:rsidP="00AB0ABC">
      <w:pPr>
        <w:ind w:left="1440"/>
        <w:jc w:val="both"/>
        <w:rPr>
          <w:sz w:val="20"/>
        </w:rPr>
      </w:pPr>
      <w:r w:rsidRPr="004A57A7">
        <w:rPr>
          <w:b/>
          <w:sz w:val="20"/>
        </w:rPr>
        <w:t>201</w:t>
      </w:r>
      <w:r>
        <w:rPr>
          <w:b/>
          <w:sz w:val="20"/>
        </w:rPr>
        <w:t>6</w:t>
      </w:r>
      <w:r w:rsidRPr="004A57A7">
        <w:rPr>
          <w:b/>
          <w:sz w:val="20"/>
        </w:rPr>
        <w:t xml:space="preserve"> SCC 1</w:t>
      </w:r>
      <w:r>
        <w:rPr>
          <w:b/>
          <w:sz w:val="20"/>
        </w:rPr>
        <w:t>4</w:t>
      </w:r>
      <w:r w:rsidRPr="004A57A7">
        <w:rPr>
          <w:b/>
          <w:sz w:val="20"/>
        </w:rPr>
        <w:t xml:space="preserve"> / 201</w:t>
      </w:r>
      <w:r>
        <w:rPr>
          <w:b/>
          <w:sz w:val="20"/>
        </w:rPr>
        <w:t>6</w:t>
      </w:r>
      <w:r w:rsidRPr="004A57A7">
        <w:rPr>
          <w:b/>
          <w:sz w:val="20"/>
        </w:rPr>
        <w:t xml:space="preserve"> CSC 1</w:t>
      </w:r>
      <w:r>
        <w:rPr>
          <w:b/>
          <w:sz w:val="20"/>
        </w:rPr>
        <w:t>4</w:t>
      </w:r>
    </w:p>
    <w:p w:rsidR="00AB0ABC" w:rsidRPr="00AB0ABC" w:rsidRDefault="00AB0ABC" w:rsidP="00AB0AB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6903C3" w:rsidRPr="00AB0ABC" w:rsidRDefault="00AB0ABC" w:rsidP="00AB0AB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u w:val="single"/>
        </w:rPr>
      </w:pPr>
      <w:r>
        <w:rPr>
          <w:rFonts w:cs="Times New Roman"/>
          <w:sz w:val="20"/>
          <w:szCs w:val="20"/>
        </w:rPr>
        <w:t xml:space="preserve">Coram: </w:t>
      </w:r>
      <w:r>
        <w:rPr>
          <w:rFonts w:cs="Times New Roman"/>
          <w:sz w:val="20"/>
          <w:szCs w:val="20"/>
        </w:rPr>
        <w:tab/>
      </w:r>
      <w:r w:rsidRPr="00AB0ABC">
        <w:rPr>
          <w:rFonts w:cs="Times New Roman"/>
          <w:sz w:val="20"/>
          <w:szCs w:val="20"/>
        </w:rPr>
        <w:tab/>
      </w:r>
      <w:r w:rsidRPr="00AB0ABC">
        <w:rPr>
          <w:sz w:val="20"/>
          <w:szCs w:val="20"/>
          <w:u w:val="single"/>
        </w:rPr>
        <w:t>Coram:  McLachlin C.J. and Abella, Cromwell, Moldaver, Karakatsanis, Wagner, Gascon, Côté and Brown JJ.</w:t>
      </w:r>
    </w:p>
    <w:p w:rsidR="006903C3" w:rsidRPr="00AB0ABC" w:rsidRDefault="006903C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AB0ABC" w:rsidRDefault="00AB0ABC" w:rsidP="00AB0ABC">
      <w:pPr>
        <w:jc w:val="both"/>
        <w:rPr>
          <w:color w:val="000000" w:themeColor="text1"/>
          <w:sz w:val="20"/>
          <w:szCs w:val="20"/>
        </w:rPr>
      </w:pPr>
      <w:r w:rsidRPr="00AB0ABC">
        <w:rPr>
          <w:rFonts w:cs="Times New Roman"/>
          <w:sz w:val="20"/>
          <w:szCs w:val="20"/>
        </w:rPr>
        <w:tab/>
      </w:r>
      <w:r w:rsidRPr="00AB0ABC">
        <w:rPr>
          <w:color w:val="000000" w:themeColor="text1"/>
          <w:sz w:val="20"/>
          <w:szCs w:val="20"/>
        </w:rPr>
        <w:t xml:space="preserve">The appeal from the judgment of the Court of Appeal for Ontario, Number C55910, 2014 ONCA 627, dated September 10, 2014, heard on November 4, 2015, is dismissed. The challenged portion of s. 719(3.1) of the </w:t>
      </w:r>
      <w:r w:rsidRPr="00AB0ABC">
        <w:rPr>
          <w:i/>
          <w:color w:val="000000" w:themeColor="text1"/>
          <w:sz w:val="20"/>
          <w:szCs w:val="20"/>
        </w:rPr>
        <w:t>Criminal Code</w:t>
      </w:r>
      <w:r w:rsidRPr="00AB0ABC">
        <w:rPr>
          <w:color w:val="000000" w:themeColor="text1"/>
          <w:sz w:val="20"/>
          <w:szCs w:val="20"/>
        </w:rPr>
        <w:t xml:space="preserve">, R.S.C. 1985, c. C-46, is unconstitutional and is therefore of no force and effect under s. 52 of the </w:t>
      </w:r>
      <w:r w:rsidRPr="00AB0ABC">
        <w:rPr>
          <w:i/>
          <w:color w:val="000000" w:themeColor="text1"/>
          <w:sz w:val="20"/>
          <w:szCs w:val="20"/>
        </w:rPr>
        <w:t>Constitution Act, 1982</w:t>
      </w:r>
      <w:r w:rsidRPr="00AB0ABC">
        <w:rPr>
          <w:color w:val="000000" w:themeColor="text1"/>
          <w:sz w:val="20"/>
          <w:szCs w:val="20"/>
        </w:rPr>
        <w:t>.</w:t>
      </w:r>
    </w:p>
    <w:p w:rsidR="00AB0ABC" w:rsidRPr="00AB0ABC" w:rsidRDefault="00AB0ABC" w:rsidP="00AB0ABC">
      <w:pPr>
        <w:jc w:val="both"/>
        <w:rPr>
          <w:color w:val="000000" w:themeColor="text1"/>
          <w:sz w:val="20"/>
          <w:szCs w:val="20"/>
        </w:rPr>
      </w:pPr>
    </w:p>
    <w:p w:rsidR="00AB0ABC" w:rsidRPr="00AB0ABC" w:rsidRDefault="00AB0ABC" w:rsidP="00AB0ABC">
      <w:pPr>
        <w:jc w:val="both"/>
        <w:rPr>
          <w:color w:val="000000" w:themeColor="text1"/>
          <w:sz w:val="20"/>
          <w:szCs w:val="20"/>
          <w:lang w:val="fr-CA"/>
        </w:rPr>
      </w:pPr>
      <w:r w:rsidRPr="00AB0ABC">
        <w:rPr>
          <w:color w:val="000000" w:themeColor="text1"/>
          <w:sz w:val="20"/>
          <w:szCs w:val="20"/>
        </w:rPr>
        <w:tab/>
      </w:r>
      <w:r w:rsidRPr="00AB0ABC">
        <w:rPr>
          <w:color w:val="000000" w:themeColor="text1"/>
          <w:sz w:val="20"/>
          <w:szCs w:val="20"/>
          <w:lang w:val="fr-CA"/>
        </w:rPr>
        <w:t xml:space="preserve">L’appel interjeté contre l’arrêt de la </w:t>
      </w:r>
      <w:r w:rsidRPr="00AB0ABC">
        <w:rPr>
          <w:color w:val="000000" w:themeColor="text1"/>
          <w:sz w:val="20"/>
          <w:szCs w:val="20"/>
          <w:lang w:val="fr-FR"/>
        </w:rPr>
        <w:t>Cour d’appel de l’Ontario</w:t>
      </w:r>
      <w:r w:rsidRPr="00AB0ABC">
        <w:rPr>
          <w:color w:val="000000" w:themeColor="text1"/>
          <w:sz w:val="20"/>
          <w:szCs w:val="20"/>
          <w:lang w:val="fr-CA"/>
        </w:rPr>
        <w:t xml:space="preserve">, numéro </w:t>
      </w:r>
      <w:r w:rsidRPr="00AB0ABC">
        <w:rPr>
          <w:color w:val="000000" w:themeColor="text1"/>
          <w:sz w:val="20"/>
          <w:szCs w:val="20"/>
          <w:lang w:val="fr-FR"/>
        </w:rPr>
        <w:t>C55910, 2014 ONCA 627</w:t>
      </w:r>
      <w:r w:rsidRPr="00AB0ABC">
        <w:rPr>
          <w:color w:val="000000" w:themeColor="text1"/>
          <w:sz w:val="20"/>
          <w:szCs w:val="20"/>
          <w:lang w:val="fr-CA"/>
        </w:rPr>
        <w:t xml:space="preserve">, en date du </w:t>
      </w:r>
      <w:r w:rsidRPr="00AB0ABC">
        <w:rPr>
          <w:color w:val="000000" w:themeColor="text1"/>
          <w:sz w:val="20"/>
          <w:szCs w:val="20"/>
          <w:lang w:val="fr-FR"/>
        </w:rPr>
        <w:t>10 septembre 2014</w:t>
      </w:r>
      <w:r w:rsidRPr="00AB0ABC">
        <w:rPr>
          <w:color w:val="000000" w:themeColor="text1"/>
          <w:sz w:val="20"/>
          <w:szCs w:val="20"/>
          <w:lang w:val="fr-CA"/>
        </w:rPr>
        <w:t xml:space="preserve">, entendu le </w:t>
      </w:r>
      <w:r w:rsidRPr="00AB0ABC">
        <w:rPr>
          <w:color w:val="000000" w:themeColor="text1"/>
          <w:sz w:val="20"/>
          <w:szCs w:val="20"/>
          <w:lang w:val="fr-FR"/>
        </w:rPr>
        <w:t>4 novembre 2015,</w:t>
      </w:r>
      <w:r w:rsidRPr="00AB0ABC">
        <w:rPr>
          <w:color w:val="000000" w:themeColor="text1"/>
          <w:sz w:val="20"/>
          <w:szCs w:val="20"/>
          <w:lang w:val="fr-CA"/>
        </w:rPr>
        <w:t xml:space="preserve"> est rejeté. La partie contestée du par. 719(3.1) du </w:t>
      </w:r>
      <w:r w:rsidRPr="00AB0ABC">
        <w:rPr>
          <w:i/>
          <w:color w:val="000000" w:themeColor="text1"/>
          <w:sz w:val="20"/>
          <w:szCs w:val="20"/>
          <w:lang w:val="fr-CA"/>
        </w:rPr>
        <w:t>Code criminel</w:t>
      </w:r>
      <w:r w:rsidRPr="00AB0ABC">
        <w:rPr>
          <w:color w:val="000000" w:themeColor="text1"/>
          <w:sz w:val="20"/>
          <w:szCs w:val="20"/>
          <w:lang w:val="fr-CA"/>
        </w:rPr>
        <w:t xml:space="preserve">, L.R.C. 1985, c. C-46, est inconstitutionnelle et est donc déclarée inopérante suivant l’art. 52 de la </w:t>
      </w:r>
      <w:r w:rsidRPr="00AB0ABC">
        <w:rPr>
          <w:i/>
          <w:color w:val="000000" w:themeColor="text1"/>
          <w:sz w:val="20"/>
          <w:szCs w:val="20"/>
          <w:lang w:val="fr-CA"/>
        </w:rPr>
        <w:t>Loi constitutionnelle de 1982</w:t>
      </w:r>
      <w:r w:rsidRPr="00AB0ABC">
        <w:rPr>
          <w:color w:val="000000" w:themeColor="text1"/>
          <w:sz w:val="20"/>
          <w:szCs w:val="20"/>
          <w:lang w:val="fr-CA"/>
        </w:rPr>
        <w:t>.</w:t>
      </w:r>
    </w:p>
    <w:p w:rsidR="00AB0ABC" w:rsidRPr="00AB0ABC" w:rsidRDefault="00AB0ABC" w:rsidP="00AB0ABC">
      <w:pPr>
        <w:jc w:val="both"/>
        <w:rPr>
          <w:color w:val="000000" w:themeColor="text1"/>
          <w:sz w:val="20"/>
          <w:szCs w:val="20"/>
          <w:lang w:val="fr-CA"/>
        </w:rPr>
      </w:pPr>
    </w:p>
    <w:p w:rsidR="006903C3" w:rsidRPr="00AB0ABC" w:rsidRDefault="009F302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rFonts w:cs="Times New Roman"/>
          <w:b/>
          <w:sz w:val="20"/>
          <w:szCs w:val="20"/>
        </w:rPr>
        <w:pict>
          <v:rect id="_x0000_i1113" style="width:144.3pt;height:1pt" o:hrpct="300" o:hralign="center" o:hrstd="t" o:hrnoshade="t" o:hr="t" fillcolor="black [3213]" stroked="f"/>
        </w:pict>
      </w:r>
    </w:p>
    <w:p w:rsidR="00732DB7" w:rsidRPr="00AB0ABC" w:rsidRDefault="00732DB7" w:rsidP="00732DB7">
      <w:pPr>
        <w:widowControl w:val="0"/>
        <w:rPr>
          <w:sz w:val="20"/>
          <w:szCs w:val="20"/>
          <w:lang w:val="fr-CA"/>
        </w:rPr>
      </w:pPr>
    </w:p>
    <w:p w:rsidR="00697C62" w:rsidRPr="00AB0ABC" w:rsidRDefault="00697C62" w:rsidP="00732DB7">
      <w:pPr>
        <w:widowControl w:val="0"/>
        <w:rPr>
          <w:sz w:val="20"/>
          <w:szCs w:val="20"/>
          <w:lang w:val="fr-CA"/>
        </w:rPr>
        <w:sectPr w:rsidR="00697C62" w:rsidRPr="00AB0ABC" w:rsidSect="008A719E">
          <w:headerReference w:type="even" r:id="rId153"/>
          <w:headerReference w:type="default" r:id="rId154"/>
          <w:footerReference w:type="even" r:id="rId155"/>
          <w:footerReference w:type="default" r:id="rId156"/>
          <w:headerReference w:type="first" r:id="rId157"/>
          <w:footerReference w:type="first" r:id="rId1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6903C3" w:rsidTr="0085476B">
        <w:tc>
          <w:tcPr>
            <w:tcW w:w="4200" w:type="dxa"/>
            <w:tcMar>
              <w:left w:w="0" w:type="dxa"/>
              <w:right w:w="0" w:type="dxa"/>
            </w:tcMar>
          </w:tcPr>
          <w:p w:rsidR="00782AE4" w:rsidRPr="006903C3" w:rsidRDefault="00782AE4" w:rsidP="00782AE4">
            <w:pPr>
              <w:keepNext/>
              <w:keepLines/>
              <w:jc w:val="both"/>
              <w:rPr>
                <w:b/>
                <w:szCs w:val="24"/>
                <w:lang w:val="fr-CA"/>
              </w:rPr>
            </w:pPr>
            <w:r w:rsidRPr="006903C3">
              <w:rPr>
                <w:b/>
                <w:szCs w:val="24"/>
                <w:lang w:val="fr-CA"/>
              </w:rPr>
              <w:t>HEADNOTES OF RECENT</w:t>
            </w:r>
          </w:p>
          <w:p w:rsidR="00782AE4" w:rsidRPr="006903C3" w:rsidRDefault="00782AE4" w:rsidP="00782AE4">
            <w:pPr>
              <w:keepNext/>
              <w:keepLines/>
              <w:jc w:val="both"/>
              <w:rPr>
                <w:b/>
                <w:szCs w:val="24"/>
                <w:lang w:val="fr-CA"/>
              </w:rPr>
            </w:pPr>
            <w:r w:rsidRPr="006903C3">
              <w:rPr>
                <w:b/>
                <w:szCs w:val="24"/>
                <w:lang w:val="fr-CA"/>
              </w:rPr>
              <w:t>JUDGMENTS</w:t>
            </w:r>
          </w:p>
        </w:tc>
        <w:tc>
          <w:tcPr>
            <w:tcW w:w="1200" w:type="dxa"/>
            <w:tcMar>
              <w:left w:w="0" w:type="dxa"/>
              <w:right w:w="0" w:type="dxa"/>
            </w:tcMar>
          </w:tcPr>
          <w:p w:rsidR="00782AE4" w:rsidRPr="006903C3" w:rsidRDefault="00782AE4" w:rsidP="00102926">
            <w:pPr>
              <w:keepNext/>
              <w:keepLines/>
              <w:jc w:val="center"/>
              <w:rPr>
                <w:b/>
                <w:szCs w:val="24"/>
                <w:lang w:val="fr-CA"/>
              </w:rPr>
            </w:pPr>
          </w:p>
          <w:p w:rsidR="00782AE4" w:rsidRPr="006903C3" w:rsidRDefault="00782AE4" w:rsidP="00102926">
            <w:pPr>
              <w:keepNext/>
              <w:keepLines/>
              <w:jc w:val="center"/>
              <w:rPr>
                <w:b/>
                <w:szCs w:val="24"/>
                <w:lang w:val="fr-CA"/>
              </w:rPr>
            </w:pPr>
          </w:p>
          <w:p w:rsidR="00782AE4" w:rsidRPr="006903C3" w:rsidRDefault="00782AE4" w:rsidP="00102926">
            <w:pPr>
              <w:keepNext/>
              <w:keepLines/>
              <w:jc w:val="center"/>
              <w:rPr>
                <w:b/>
                <w:szCs w:val="24"/>
                <w:lang w:val="fr-CA"/>
              </w:rPr>
            </w:pPr>
          </w:p>
        </w:tc>
        <w:tc>
          <w:tcPr>
            <w:tcW w:w="4080" w:type="dxa"/>
            <w:tcMar>
              <w:left w:w="0" w:type="dxa"/>
              <w:right w:w="0" w:type="dxa"/>
            </w:tcMar>
          </w:tcPr>
          <w:p w:rsidR="00782AE4" w:rsidRPr="006903C3" w:rsidRDefault="00782AE4" w:rsidP="00782AE4">
            <w:pPr>
              <w:keepNext/>
              <w:keepLines/>
              <w:rPr>
                <w:b/>
                <w:szCs w:val="24"/>
                <w:lang w:val="fr-CA"/>
              </w:rPr>
            </w:pPr>
            <w:r w:rsidRPr="006903C3">
              <w:rPr>
                <w:b/>
                <w:szCs w:val="24"/>
                <w:lang w:val="fr-CA"/>
              </w:rPr>
              <w:t>SOMMAIRES DE JUGEMENTS RÉCENTS</w:t>
            </w:r>
          </w:p>
        </w:tc>
      </w:tr>
    </w:tbl>
    <w:p w:rsidR="003B3977" w:rsidRPr="006903C3" w:rsidRDefault="003B3977" w:rsidP="005C6840">
      <w:pPr>
        <w:rPr>
          <w:rFonts w:cs="Times New Roman"/>
          <w:i/>
          <w:sz w:val="20"/>
          <w:szCs w:val="20"/>
          <w:lang w:val="fr-CA"/>
        </w:rPr>
      </w:pPr>
    </w:p>
    <w:p w:rsidR="0052229C" w:rsidRDefault="00995AAD" w:rsidP="00995AAD">
      <w:pPr>
        <w:jc w:val="both"/>
        <w:rPr>
          <w:sz w:val="20"/>
          <w:szCs w:val="20"/>
        </w:rPr>
      </w:pPr>
      <w:r>
        <w:rPr>
          <w:rFonts w:eastAsia="Calibri"/>
          <w:i/>
          <w:sz w:val="20"/>
          <w:szCs w:val="20"/>
        </w:rPr>
        <w:t xml:space="preserve">Harry </w:t>
      </w:r>
      <w:r w:rsidR="00353801">
        <w:rPr>
          <w:rFonts w:eastAsia="Calibri"/>
          <w:i/>
          <w:sz w:val="20"/>
          <w:szCs w:val="20"/>
        </w:rPr>
        <w:t>Daniels</w:t>
      </w:r>
      <w:r>
        <w:rPr>
          <w:rFonts w:eastAsia="Calibri"/>
          <w:i/>
          <w:sz w:val="20"/>
          <w:szCs w:val="20"/>
        </w:rPr>
        <w:t xml:space="preserve"> et al.</w:t>
      </w:r>
      <w:r w:rsidR="00353801">
        <w:rPr>
          <w:rFonts w:eastAsia="Calibri"/>
          <w:i/>
          <w:sz w:val="20"/>
          <w:szCs w:val="20"/>
        </w:rPr>
        <w:t xml:space="preserve"> v. </w:t>
      </w:r>
      <w:r>
        <w:rPr>
          <w:rFonts w:eastAsia="Calibri"/>
          <w:i/>
          <w:sz w:val="20"/>
          <w:szCs w:val="20"/>
        </w:rPr>
        <w:t>Her Majesty the Queen as represented by The Minister of Indian Affairs and Northern Development</w:t>
      </w:r>
      <w:r w:rsidR="00353801" w:rsidRPr="00353801">
        <w:rPr>
          <w:rFonts w:eastAsia="Calibri"/>
          <w:i/>
          <w:sz w:val="20"/>
          <w:szCs w:val="20"/>
        </w:rPr>
        <w:t xml:space="preserve"> </w:t>
      </w:r>
      <w:r w:rsidR="0052229C" w:rsidRPr="00353801">
        <w:rPr>
          <w:sz w:val="20"/>
          <w:szCs w:val="20"/>
        </w:rPr>
        <w:t>(</w:t>
      </w:r>
      <w:r w:rsidR="00353801">
        <w:rPr>
          <w:sz w:val="20"/>
          <w:szCs w:val="20"/>
        </w:rPr>
        <w:t>F.C.</w:t>
      </w:r>
      <w:r w:rsidR="0052229C" w:rsidRPr="00353801">
        <w:rPr>
          <w:sz w:val="20"/>
          <w:szCs w:val="20"/>
        </w:rPr>
        <w:t>) (</w:t>
      </w:r>
      <w:hyperlink r:id="rId159" w:history="1">
        <w:r w:rsidR="0052229C" w:rsidRPr="00353801">
          <w:rPr>
            <w:rStyle w:val="Hyperlink"/>
            <w:sz w:val="20"/>
            <w:szCs w:val="20"/>
          </w:rPr>
          <w:t>3</w:t>
        </w:r>
        <w:r w:rsidR="00353801">
          <w:rPr>
            <w:rStyle w:val="Hyperlink"/>
            <w:sz w:val="20"/>
            <w:szCs w:val="20"/>
          </w:rPr>
          <w:t>5945</w:t>
        </w:r>
      </w:hyperlink>
      <w:r w:rsidR="0052229C" w:rsidRPr="00353801">
        <w:rPr>
          <w:sz w:val="20"/>
          <w:szCs w:val="20"/>
        </w:rPr>
        <w:t>)</w:t>
      </w:r>
    </w:p>
    <w:p w:rsidR="0022720D" w:rsidRDefault="0022720D" w:rsidP="0052229C">
      <w:pPr>
        <w:jc w:val="both"/>
        <w:rPr>
          <w:rStyle w:val="SCCRespondentForIndexChar"/>
          <w:rFonts w:eastAsiaTheme="minorHAnsi"/>
          <w:sz w:val="20"/>
        </w:rPr>
      </w:pPr>
      <w:r w:rsidRPr="0022720D">
        <w:rPr>
          <w:b/>
          <w:sz w:val="20"/>
          <w:szCs w:val="20"/>
        </w:rPr>
        <w:t>Indexed as: Daniels v. Canada (Indian Affairs and Northern Development)</w:t>
      </w:r>
      <w:r w:rsidR="0052229C" w:rsidRPr="0022720D">
        <w:rPr>
          <w:rStyle w:val="SCCRespondentForIndexChar"/>
          <w:rFonts w:eastAsiaTheme="minorHAnsi"/>
          <w:sz w:val="20"/>
        </w:rPr>
        <w:t xml:space="preserve">/ </w:t>
      </w:r>
    </w:p>
    <w:p w:rsidR="0022720D" w:rsidRDefault="0022720D" w:rsidP="0052229C">
      <w:pPr>
        <w:pStyle w:val="SCCSystemYear"/>
        <w:jc w:val="both"/>
        <w:rPr>
          <w:rFonts w:eastAsiaTheme="minorHAnsi" w:cstheme="minorBidi"/>
          <w:sz w:val="20"/>
          <w:lang w:eastAsia="en-US"/>
        </w:rPr>
      </w:pPr>
      <w:r w:rsidRPr="000E41A9">
        <w:rPr>
          <w:rFonts w:eastAsiaTheme="minorHAnsi" w:cstheme="minorBidi"/>
          <w:sz w:val="20"/>
          <w:lang w:eastAsia="en-US"/>
        </w:rPr>
        <w:t>Répertorié : Daniels c. Canada (Affaires indien</w:t>
      </w:r>
      <w:r w:rsidRPr="0022720D">
        <w:rPr>
          <w:rFonts w:eastAsiaTheme="minorHAnsi" w:cstheme="minorBidi"/>
          <w:sz w:val="20"/>
          <w:lang w:eastAsia="en-US"/>
        </w:rPr>
        <w:t>nes et du Nord canadien)</w:t>
      </w:r>
    </w:p>
    <w:p w:rsidR="0052229C" w:rsidRPr="0022720D" w:rsidRDefault="0052229C" w:rsidP="0052229C">
      <w:pPr>
        <w:pStyle w:val="SCCSystemYear"/>
        <w:jc w:val="both"/>
        <w:rPr>
          <w:sz w:val="20"/>
        </w:rPr>
      </w:pPr>
      <w:r w:rsidRPr="0022720D">
        <w:rPr>
          <w:sz w:val="20"/>
        </w:rPr>
        <w:t xml:space="preserve">Neutral citation:  </w:t>
      </w:r>
      <w:r w:rsidR="0030050B" w:rsidRPr="0022720D">
        <w:rPr>
          <w:sz w:val="20"/>
        </w:rPr>
        <w:t>2016</w:t>
      </w:r>
      <w:r w:rsidRPr="0022720D">
        <w:rPr>
          <w:sz w:val="20"/>
        </w:rPr>
        <w:t xml:space="preserve"> SCC 1</w:t>
      </w:r>
      <w:r w:rsidR="0022720D" w:rsidRPr="0022720D">
        <w:rPr>
          <w:sz w:val="20"/>
        </w:rPr>
        <w:t>2</w:t>
      </w:r>
      <w:r w:rsidRPr="0022720D">
        <w:rPr>
          <w:sz w:val="20"/>
        </w:rPr>
        <w:t xml:space="preserve"> / Référence neutre : </w:t>
      </w:r>
      <w:r w:rsidR="0030050B" w:rsidRPr="0022720D">
        <w:rPr>
          <w:sz w:val="20"/>
        </w:rPr>
        <w:t>2016</w:t>
      </w:r>
      <w:r w:rsidRPr="0022720D">
        <w:rPr>
          <w:sz w:val="20"/>
        </w:rPr>
        <w:t xml:space="preserve"> CSC 1</w:t>
      </w:r>
      <w:r w:rsidR="0022720D" w:rsidRPr="0022720D">
        <w:rPr>
          <w:sz w:val="20"/>
        </w:rPr>
        <w:t>2</w:t>
      </w:r>
    </w:p>
    <w:p w:rsidR="0052229C" w:rsidRPr="0022720D" w:rsidRDefault="0052229C" w:rsidP="0052229C">
      <w:pPr>
        <w:rPr>
          <w:rFonts w:cs="Times New Roman"/>
          <w:sz w:val="20"/>
          <w:szCs w:val="20"/>
          <w:lang w:val="fr-CA"/>
        </w:rPr>
      </w:pPr>
      <w:r w:rsidRPr="0022720D">
        <w:rPr>
          <w:rFonts w:cs="Times New Roman"/>
          <w:sz w:val="20"/>
          <w:szCs w:val="20"/>
          <w:lang w:val="fr-CA"/>
        </w:rPr>
        <w:t xml:space="preserve">Hearing:  </w:t>
      </w:r>
      <w:r w:rsidR="0022720D" w:rsidRPr="0022720D">
        <w:rPr>
          <w:rFonts w:cs="Times New Roman"/>
          <w:sz w:val="20"/>
          <w:szCs w:val="20"/>
          <w:lang w:val="fr-CA"/>
        </w:rPr>
        <w:t>October 8, 2015</w:t>
      </w:r>
      <w:r w:rsidRPr="0022720D">
        <w:rPr>
          <w:rFonts w:cs="Times New Roman"/>
          <w:sz w:val="20"/>
          <w:szCs w:val="20"/>
          <w:lang w:val="fr-CA"/>
        </w:rPr>
        <w:t xml:space="preserve"> / Judgment:  </w:t>
      </w:r>
      <w:r w:rsidR="0022720D" w:rsidRPr="0022720D">
        <w:rPr>
          <w:rFonts w:cs="Times New Roman"/>
          <w:sz w:val="20"/>
          <w:szCs w:val="20"/>
          <w:lang w:val="fr-CA"/>
        </w:rPr>
        <w:t>April 14</w:t>
      </w:r>
      <w:r w:rsidRPr="0022720D">
        <w:rPr>
          <w:rFonts w:cs="Times New Roman"/>
          <w:sz w:val="20"/>
          <w:szCs w:val="20"/>
          <w:lang w:val="fr-CA"/>
        </w:rPr>
        <w:t xml:space="preserve">, </w:t>
      </w:r>
      <w:r w:rsidR="0030050B" w:rsidRPr="0022720D">
        <w:rPr>
          <w:rFonts w:cs="Times New Roman"/>
          <w:sz w:val="20"/>
          <w:szCs w:val="20"/>
          <w:lang w:val="fr-CA"/>
        </w:rPr>
        <w:t>2016</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22720D">
        <w:rPr>
          <w:rFonts w:cs="Times New Roman"/>
          <w:sz w:val="20"/>
          <w:szCs w:val="20"/>
          <w:lang w:val="fr-CA"/>
        </w:rPr>
        <w:t>8</w:t>
      </w:r>
      <w:r w:rsidRPr="003B3977">
        <w:rPr>
          <w:rFonts w:cs="Times New Roman"/>
          <w:sz w:val="20"/>
          <w:szCs w:val="20"/>
          <w:lang w:val="fr-CA"/>
        </w:rPr>
        <w:t xml:space="preserve"> </w:t>
      </w:r>
      <w:r w:rsidR="0022720D">
        <w:rPr>
          <w:rFonts w:cs="Times New Roman"/>
          <w:sz w:val="20"/>
          <w:szCs w:val="20"/>
          <w:lang w:val="fr-CA"/>
        </w:rPr>
        <w:t>octobre</w:t>
      </w:r>
      <w:r w:rsidRPr="003B3977">
        <w:rPr>
          <w:rFonts w:cs="Times New Roman"/>
          <w:sz w:val="20"/>
          <w:szCs w:val="20"/>
          <w:lang w:val="fr-CA"/>
        </w:rPr>
        <w:t xml:space="preserve"> 201</w:t>
      </w:r>
      <w:r w:rsidR="0022720D">
        <w:rPr>
          <w:rFonts w:cs="Times New Roman"/>
          <w:sz w:val="20"/>
          <w:szCs w:val="20"/>
          <w:lang w:val="fr-CA"/>
        </w:rPr>
        <w:t>5</w:t>
      </w:r>
      <w:r w:rsidRPr="003B3977">
        <w:rPr>
          <w:rFonts w:cs="Times New Roman"/>
          <w:sz w:val="20"/>
          <w:szCs w:val="20"/>
          <w:lang w:val="fr-CA"/>
        </w:rPr>
        <w:t xml:space="preserve"> / Jugement : Le </w:t>
      </w:r>
      <w:r w:rsidR="0022720D">
        <w:rPr>
          <w:rFonts w:cs="Times New Roman"/>
          <w:sz w:val="20"/>
          <w:szCs w:val="20"/>
          <w:lang w:val="fr-CA"/>
        </w:rPr>
        <w:t>14 avril</w:t>
      </w:r>
      <w:r w:rsidRPr="003B3977">
        <w:rPr>
          <w:rFonts w:cs="Times New Roman"/>
          <w:sz w:val="20"/>
          <w:szCs w:val="20"/>
          <w:lang w:val="fr-CA"/>
        </w:rPr>
        <w:t xml:space="preserve"> </w:t>
      </w:r>
      <w:r w:rsidR="0030050B">
        <w:rPr>
          <w:rFonts w:cs="Times New Roman"/>
          <w:sz w:val="20"/>
          <w:szCs w:val="20"/>
          <w:lang w:val="fr-CA"/>
        </w:rPr>
        <w:t>2016</w:t>
      </w:r>
    </w:p>
    <w:p w:rsidR="005C6840" w:rsidRPr="003B3977" w:rsidRDefault="009F3029" w:rsidP="005C6840">
      <w:pPr>
        <w:rPr>
          <w:rFonts w:cs="Times New Roman"/>
          <w:sz w:val="20"/>
          <w:szCs w:val="20"/>
          <w:lang w:val="fr-CA"/>
        </w:rPr>
      </w:pPr>
      <w:r>
        <w:rPr>
          <w:rFonts w:cs="Times New Roman"/>
          <w:i/>
          <w:sz w:val="20"/>
          <w:szCs w:val="20"/>
        </w:rPr>
        <w:pict>
          <v:rect id="_x0000_i1116" style="width:480.95pt;height:1pt" o:hralign="center" o:hrstd="t" o:hrnoshade="t" o:hr="t" fillcolor="black [3213]" stroked="f"/>
        </w:pict>
      </w:r>
    </w:p>
    <w:p w:rsidR="005C6840" w:rsidRPr="0022720D" w:rsidRDefault="005C6840" w:rsidP="0022720D">
      <w:pPr>
        <w:rPr>
          <w:rFonts w:cs="Times New Roman"/>
          <w:sz w:val="20"/>
          <w:szCs w:val="20"/>
          <w:lang w:val="fr-CA"/>
        </w:rPr>
      </w:pPr>
    </w:p>
    <w:p w:rsidR="0022720D" w:rsidRDefault="0022720D" w:rsidP="0022720D">
      <w:pPr>
        <w:jc w:val="both"/>
        <w:rPr>
          <w:sz w:val="20"/>
          <w:szCs w:val="20"/>
        </w:rPr>
      </w:pPr>
      <w:r w:rsidRPr="0022720D">
        <w:rPr>
          <w:sz w:val="20"/>
          <w:szCs w:val="20"/>
        </w:rPr>
        <w:t>Present: McLachlin C.J. and Abella, Cromwell, Moldaver, Karakatsanis, Wagner, Gascon, Côté and Brown JJ.</w:t>
      </w:r>
    </w:p>
    <w:p w:rsidR="0022720D" w:rsidRDefault="0022720D" w:rsidP="0022720D">
      <w:pPr>
        <w:jc w:val="both"/>
        <w:rPr>
          <w:sz w:val="20"/>
          <w:szCs w:val="20"/>
        </w:rPr>
      </w:pPr>
    </w:p>
    <w:p w:rsidR="0022720D" w:rsidRDefault="0022720D" w:rsidP="0022720D">
      <w:pPr>
        <w:jc w:val="both"/>
        <w:rPr>
          <w:i/>
          <w:sz w:val="20"/>
          <w:szCs w:val="20"/>
        </w:rPr>
      </w:pPr>
      <w:r w:rsidRPr="0022720D">
        <w:rPr>
          <w:sz w:val="20"/>
          <w:szCs w:val="20"/>
        </w:rPr>
        <w:tab/>
      </w:r>
      <w:r w:rsidRPr="0022720D">
        <w:rPr>
          <w:i/>
          <w:sz w:val="20"/>
          <w:szCs w:val="20"/>
        </w:rPr>
        <w:t>Constitutional law — Aboriginal law — Métis — Non</w:t>
      </w:r>
      <w:r w:rsidRPr="0022720D">
        <w:rPr>
          <w:i/>
          <w:sz w:val="20"/>
          <w:szCs w:val="20"/>
        </w:rPr>
        <w:noBreakHyphen/>
        <w:t>status Indians — Whether declaration should be issued that Métis and non</w:t>
      </w:r>
      <w:r w:rsidRPr="0022720D">
        <w:rPr>
          <w:i/>
          <w:sz w:val="20"/>
          <w:szCs w:val="20"/>
        </w:rPr>
        <w:noBreakHyphen/>
        <w:t>status Indians are “Indians” under s. 91(24) of Constitution Act, 1867 — Whether declaration would have practical utility — Whether, for purposes of s. 91(24), Métis should be restricted to definitional criteria set out in R. v. Powley, [2003] 2 S.C.R. 207 — Constitution Act, 1867, s. 91(24) — Constitution Act, 1982, s. 35.</w:t>
      </w:r>
    </w:p>
    <w:p w:rsidR="0022720D" w:rsidRDefault="0022720D" w:rsidP="0022720D">
      <w:pPr>
        <w:jc w:val="both"/>
        <w:rPr>
          <w:i/>
          <w:sz w:val="20"/>
          <w:szCs w:val="20"/>
        </w:rPr>
      </w:pPr>
    </w:p>
    <w:p w:rsidR="0022720D" w:rsidRDefault="0022720D" w:rsidP="0022720D">
      <w:pPr>
        <w:jc w:val="both"/>
        <w:rPr>
          <w:sz w:val="20"/>
          <w:szCs w:val="20"/>
        </w:rPr>
      </w:pPr>
      <w:r w:rsidRPr="0022720D">
        <w:rPr>
          <w:sz w:val="20"/>
          <w:szCs w:val="20"/>
        </w:rPr>
        <w:tab/>
        <w:t>Three declarations are sought in this case: (1) that Métis and non</w:t>
      </w:r>
      <w:r w:rsidRPr="0022720D">
        <w:rPr>
          <w:sz w:val="20"/>
          <w:szCs w:val="20"/>
        </w:rPr>
        <w:noBreakHyphen/>
        <w:t xml:space="preserve">status Indians are “Indians” under s. 91(24) of the </w:t>
      </w:r>
      <w:r w:rsidRPr="0022720D">
        <w:rPr>
          <w:i/>
          <w:sz w:val="20"/>
          <w:szCs w:val="20"/>
        </w:rPr>
        <w:t>Constitution Act, 1867</w:t>
      </w:r>
      <w:r w:rsidRPr="0022720D">
        <w:rPr>
          <w:sz w:val="20"/>
          <w:szCs w:val="20"/>
        </w:rPr>
        <w:t>; (2) that the federal Crown owes a fiduciary duty to Métis and non</w:t>
      </w:r>
      <w:r w:rsidRPr="0022720D">
        <w:rPr>
          <w:sz w:val="20"/>
          <w:szCs w:val="20"/>
        </w:rPr>
        <w:noBreakHyphen/>
        <w:t>status Indians; and (3) that Métis and non</w:t>
      </w:r>
      <w:r w:rsidRPr="0022720D">
        <w:rPr>
          <w:sz w:val="20"/>
          <w:szCs w:val="20"/>
        </w:rPr>
        <w:noBreakHyphen/>
        <w:t>status Indians have the right to be consulted and negotiated with.</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The trial judge’s conclusion was that “Indians” under s. 91(24) is a broad term referring to all Indigenous peoples in Canada. He declined, however, to grant the second and third declarations. The Federal Court of Appeal accepted that “Indians” in s. 91(24) included all Indigenous peoples generally. It upheld the first declaration, but narrowed its scope to exclude non</w:t>
      </w:r>
      <w:r w:rsidRPr="0022720D">
        <w:rPr>
          <w:sz w:val="20"/>
          <w:szCs w:val="20"/>
        </w:rPr>
        <w:noBreakHyphen/>
        <w:t xml:space="preserve">status Indians and include only those Métis who satisfied the three criteria from </w:t>
      </w:r>
      <w:r w:rsidRPr="0022720D">
        <w:rPr>
          <w:i/>
          <w:sz w:val="20"/>
          <w:szCs w:val="20"/>
        </w:rPr>
        <w:t>R. v. Powley</w:t>
      </w:r>
      <w:r w:rsidRPr="0022720D">
        <w:rPr>
          <w:sz w:val="20"/>
          <w:szCs w:val="20"/>
        </w:rPr>
        <w:t>, [2003] 2 S.C.R. 207. It also declined to grant the second and third declarations. The appellants sought to restore the first declaration as granted by the trial judge, and asked that the second and third declarations be granted. The Crown cross</w:t>
      </w:r>
      <w:r w:rsidRPr="0022720D">
        <w:rPr>
          <w:sz w:val="20"/>
          <w:szCs w:val="20"/>
        </w:rPr>
        <w:noBreakHyphen/>
        <w:t>appealed, arguing that none of the declarations should be granted. It conceded that non</w:t>
      </w:r>
      <w:r w:rsidRPr="0022720D">
        <w:rPr>
          <w:sz w:val="20"/>
          <w:szCs w:val="20"/>
        </w:rPr>
        <w:noBreakHyphen/>
        <w:t>status Indians are “Indians” under s. 91(24).</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r>
      <w:r w:rsidRPr="0022720D">
        <w:rPr>
          <w:rStyle w:val="QuoteChar"/>
          <w:rFonts w:eastAsiaTheme="minorHAnsi"/>
          <w:sz w:val="20"/>
        </w:rPr>
        <w:t>Held:</w:t>
      </w:r>
      <w:r w:rsidRPr="0022720D">
        <w:rPr>
          <w:sz w:val="20"/>
          <w:szCs w:val="20"/>
        </w:rPr>
        <w:t xml:space="preserve"> The first declaration should be granted: Métis and non</w:t>
      </w:r>
      <w:r w:rsidRPr="0022720D">
        <w:rPr>
          <w:sz w:val="20"/>
          <w:szCs w:val="20"/>
        </w:rPr>
        <w:noBreakHyphen/>
        <w:t>status Indians are “Indians” under s. 91(24). The appeal should therefore be allowed in part. The Federal Court of Appeal’s conclusion that the first declaration should exclude non</w:t>
      </w:r>
      <w:r w:rsidRPr="0022720D">
        <w:rPr>
          <w:sz w:val="20"/>
          <w:szCs w:val="20"/>
        </w:rPr>
        <w:noBreakHyphen/>
        <w:t xml:space="preserve">status Indians or apply only to those Métis who meet the </w:t>
      </w:r>
      <w:r w:rsidRPr="0022720D">
        <w:rPr>
          <w:i/>
          <w:sz w:val="20"/>
          <w:szCs w:val="20"/>
        </w:rPr>
        <w:t>Powley</w:t>
      </w:r>
      <w:r w:rsidRPr="0022720D">
        <w:rPr>
          <w:sz w:val="20"/>
          <w:szCs w:val="20"/>
        </w:rPr>
        <w:t xml:space="preserve"> criteria, should be set aside, and the trial judge’s decision restored. The trial judge’s and Federal Court of Appeal’s decision not to grant the second and third declarations should be upheld. The cross</w:t>
      </w:r>
      <w:r w:rsidRPr="0022720D">
        <w:rPr>
          <w:sz w:val="20"/>
          <w:szCs w:val="20"/>
        </w:rPr>
        <w:noBreakHyphen/>
        <w:t>appeal should be dismissed.</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A declaration can only be granted if it will have practical utility, that is, if it will settle “a live controversy” between the parties. The first declaration, whether non</w:t>
      </w:r>
      <w:r w:rsidRPr="0022720D">
        <w:rPr>
          <w:sz w:val="20"/>
          <w:szCs w:val="20"/>
        </w:rPr>
        <w:noBreakHyphen/>
        <w:t>status Indians and Métis are “Indians” under s. 91(24), would have enormous practical utility for these two groups who have found themselves having to rely more on noblesse oblige than on what is obliged by the Constitution. A declaration would guarantee both certainty and accountability. Both federal and provincial governments have, alternately, denied having legislative authority over non</w:t>
      </w:r>
      <w:r w:rsidRPr="0022720D">
        <w:rPr>
          <w:sz w:val="20"/>
          <w:szCs w:val="20"/>
        </w:rPr>
        <w:noBreakHyphen/>
        <w:t>status Indians and Métis. This results in these Indigenous communities being in a jurisdictional wasteland with significant and obvious disadvantaging consequences. While finding Métis and non</w:t>
      </w:r>
      <w:r w:rsidRPr="0022720D">
        <w:rPr>
          <w:sz w:val="20"/>
          <w:szCs w:val="20"/>
        </w:rPr>
        <w:noBreakHyphen/>
        <w:t>status Indians to be “Indians” under s. 91(24) does not create a duty to legislate, it has the undeniably salutary benefit of ending a jurisdictional tug</w:t>
      </w:r>
      <w:r w:rsidRPr="0022720D">
        <w:rPr>
          <w:sz w:val="20"/>
          <w:szCs w:val="20"/>
        </w:rPr>
        <w:noBreakHyphen/>
        <w:t>of</w:t>
      </w:r>
      <w:r w:rsidRPr="0022720D">
        <w:rPr>
          <w:sz w:val="20"/>
          <w:szCs w:val="20"/>
        </w:rPr>
        <w:noBreakHyphen/>
        <w:t xml:space="preserve">war. </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There is no need to delineate which mixed</w:t>
      </w:r>
      <w:r w:rsidRPr="0022720D">
        <w:rPr>
          <w:sz w:val="20"/>
          <w:szCs w:val="20"/>
        </w:rPr>
        <w:noBreakHyphen/>
        <w:t>ancestry communities are Métis and which are non</w:t>
      </w:r>
      <w:r w:rsidRPr="0022720D">
        <w:rPr>
          <w:sz w:val="20"/>
          <w:szCs w:val="20"/>
        </w:rPr>
        <w:noBreakHyphen/>
        <w:t>status Indians. They are all “Indians” under s. 91(24) by virtue of the fact that they are all Aboriginal peoples. “Indians” has long been used as a general term referring to all Indigenous peoples, including mixed</w:t>
      </w:r>
      <w:r w:rsidRPr="0022720D">
        <w:rPr>
          <w:sz w:val="20"/>
          <w:szCs w:val="20"/>
        </w:rPr>
        <w:noBreakHyphen/>
        <w:t xml:space="preserve">ancestry communities like the Métis. Before and after Confederation, the government frequently classified Aboriginal peoples with mixed European and Aboriginal heritage as Indians. Historically, the purpose of s. 91(24) in relation to the broader goals of Confederation also indicates that since 1867, “Indians” meant all Aboriginal peoples, including Métis. </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 xml:space="preserve">As well, the federal government has at times assumed that it could legislate over Métis as “Indians”, and included them in other exercises of federal authority over “Indians”, such as sending many Métis to Indian Residential Schools — a historical wrong for which the federal government has since apologized. Moreover, while it does not define the scope of s. 91(24), s. 35 of the </w:t>
      </w:r>
      <w:r w:rsidRPr="0022720D">
        <w:rPr>
          <w:i/>
          <w:sz w:val="20"/>
          <w:szCs w:val="20"/>
        </w:rPr>
        <w:t>Constitution Act, 1982</w:t>
      </w:r>
      <w:r w:rsidRPr="0022720D">
        <w:rPr>
          <w:sz w:val="20"/>
          <w:szCs w:val="20"/>
        </w:rPr>
        <w:t xml:space="preserve"> states that Indian, Inuit, and Métis peoples are Aboriginal peoples for the purposes of the Constitution. This Court has noted that ss. 35 and 91(24) should be read together. “Indians” in the constitutional context, therefore, has two meanings: a broad meaning, as used in s. 91(24), that includes both Métis and Inuit and can be equated with the term “aboriginal peoples of Canada” used in s. 35, and a narrower meaning that distinguishes Indian bands from other Aboriginal peoples. It would be constitutionally anomalous for the Métis to be the only Aboriginal people to be recognized and included in s. 35 yet excluded from the constitutional scope of s. 91(24).</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The jurisprudence also supports the conclusion that Métis are “Indians” under s. 91(24). It demonstrates that intermarriage and mixed</w:t>
      </w:r>
      <w:r w:rsidRPr="0022720D">
        <w:rPr>
          <w:sz w:val="20"/>
          <w:szCs w:val="20"/>
        </w:rPr>
        <w:noBreakHyphen/>
        <w:t>ancestry do not preclude groups from inclusion under s. 91(24). The fact that a group is a distinct people with a unique identity and history whose members self</w:t>
      </w:r>
      <w:r w:rsidRPr="0022720D">
        <w:rPr>
          <w:sz w:val="20"/>
          <w:szCs w:val="20"/>
        </w:rPr>
        <w:noBreakHyphen/>
        <w:t>identify as separate from Indians, is not a bar to inclusion within s. 91(24). Determining whether particular individuals or communities are non</w:t>
      </w:r>
      <w:r w:rsidRPr="0022720D">
        <w:rPr>
          <w:sz w:val="20"/>
          <w:szCs w:val="20"/>
        </w:rPr>
        <w:noBreakHyphen/>
        <w:t>status Indians or Métis and therefore “Indians” under s. 91(24), is a fact</w:t>
      </w:r>
      <w:r w:rsidRPr="0022720D">
        <w:rPr>
          <w:sz w:val="20"/>
          <w:szCs w:val="20"/>
        </w:rPr>
        <w:noBreakHyphen/>
        <w:t>driven question to be decided on a case</w:t>
      </w:r>
      <w:r w:rsidRPr="0022720D">
        <w:rPr>
          <w:sz w:val="20"/>
          <w:szCs w:val="20"/>
        </w:rPr>
        <w:noBreakHyphen/>
        <w:t>by</w:t>
      </w:r>
      <w:r w:rsidRPr="0022720D">
        <w:rPr>
          <w:sz w:val="20"/>
          <w:szCs w:val="20"/>
        </w:rPr>
        <w:noBreakHyphen/>
        <w:t xml:space="preserve">case basis in the future. </w:t>
      </w:r>
    </w:p>
    <w:p w:rsidR="0022720D" w:rsidRDefault="0022720D" w:rsidP="0022720D">
      <w:pPr>
        <w:jc w:val="both"/>
        <w:rPr>
          <w:sz w:val="20"/>
          <w:szCs w:val="20"/>
        </w:rPr>
      </w:pPr>
    </w:p>
    <w:p w:rsidR="00E16C5A" w:rsidRDefault="0022720D" w:rsidP="0022720D">
      <w:pPr>
        <w:jc w:val="both"/>
        <w:rPr>
          <w:sz w:val="20"/>
          <w:szCs w:val="20"/>
        </w:rPr>
      </w:pPr>
      <w:r w:rsidRPr="0022720D">
        <w:rPr>
          <w:sz w:val="20"/>
          <w:szCs w:val="20"/>
        </w:rPr>
        <w:tab/>
        <w:t xml:space="preserve">As to whether, for purposes of s. 91(24), Métis should be restricted to the three definitional criteria set out in </w:t>
      </w:r>
      <w:r w:rsidRPr="0022720D">
        <w:rPr>
          <w:i/>
          <w:sz w:val="20"/>
          <w:szCs w:val="20"/>
        </w:rPr>
        <w:t>Powley</w:t>
      </w:r>
      <w:r w:rsidRPr="0022720D">
        <w:rPr>
          <w:sz w:val="20"/>
          <w:szCs w:val="20"/>
        </w:rPr>
        <w:t xml:space="preserve"> in accordance with the decision of the Federal Court of Appeal, or whether the membership base should be broader, there is no principled reason for presumptively and arbitrarily excluding certain Métis from Parliament’s protective authority on the basis of the third criterion, a “community acceptance” test. The criteria in </w:t>
      </w:r>
      <w:r w:rsidRPr="0022720D">
        <w:rPr>
          <w:i/>
          <w:sz w:val="20"/>
          <w:szCs w:val="20"/>
        </w:rPr>
        <w:t>Powley</w:t>
      </w:r>
      <w:r w:rsidRPr="0022720D">
        <w:rPr>
          <w:sz w:val="20"/>
          <w:szCs w:val="20"/>
        </w:rPr>
        <w:t xml:space="preserve"> were developed specifically for purposes of applying s. 35, which is about protecting historic community</w:t>
      </w:r>
      <w:r w:rsidRPr="0022720D">
        <w:rPr>
          <w:sz w:val="20"/>
          <w:szCs w:val="20"/>
        </w:rPr>
        <w:noBreakHyphen/>
        <w:t>held rights. Section 91(24) serves a very different constitutional purpose.</w:t>
      </w:r>
    </w:p>
    <w:p w:rsidR="00E16C5A" w:rsidRDefault="00E16C5A" w:rsidP="0022720D">
      <w:pPr>
        <w:jc w:val="both"/>
        <w:rPr>
          <w:sz w:val="20"/>
          <w:szCs w:val="20"/>
        </w:rPr>
      </w:pPr>
    </w:p>
    <w:p w:rsidR="0022720D" w:rsidRDefault="0022720D" w:rsidP="0022720D">
      <w:pPr>
        <w:jc w:val="both"/>
        <w:rPr>
          <w:sz w:val="20"/>
          <w:szCs w:val="20"/>
        </w:rPr>
      </w:pPr>
      <w:r w:rsidRPr="0022720D">
        <w:rPr>
          <w:sz w:val="20"/>
          <w:szCs w:val="20"/>
        </w:rPr>
        <w:tab/>
        <w:t>The constitutional changes, the apologies for historic wrongs, a growing appreciation that Aboriginal and non</w:t>
      </w:r>
      <w:r w:rsidRPr="0022720D">
        <w:rPr>
          <w:sz w:val="20"/>
          <w:szCs w:val="20"/>
        </w:rPr>
        <w:noBreakHyphen/>
        <w:t xml:space="preserve">Aboriginal people are partners in Confederation, as well as the </w:t>
      </w:r>
      <w:r w:rsidRPr="0022720D">
        <w:rPr>
          <w:i/>
          <w:sz w:val="20"/>
          <w:szCs w:val="20"/>
        </w:rPr>
        <w:t>Report of the Royal Commission on Aboriginal Peoples</w:t>
      </w:r>
      <w:r w:rsidRPr="0022720D">
        <w:rPr>
          <w:sz w:val="20"/>
          <w:szCs w:val="20"/>
        </w:rPr>
        <w:t xml:space="preserve"> and the </w:t>
      </w:r>
      <w:r w:rsidRPr="0022720D">
        <w:rPr>
          <w:i/>
          <w:sz w:val="20"/>
          <w:szCs w:val="20"/>
        </w:rPr>
        <w:t>Final Report of the Truth and Reconciliation Commission of Canada</w:t>
      </w:r>
      <w:r w:rsidRPr="0022720D">
        <w:rPr>
          <w:sz w:val="20"/>
          <w:szCs w:val="20"/>
        </w:rPr>
        <w:t xml:space="preserve">, all indicate that reconciliation with </w:t>
      </w:r>
      <w:r w:rsidRPr="0022720D">
        <w:rPr>
          <w:i/>
          <w:sz w:val="20"/>
          <w:szCs w:val="20"/>
        </w:rPr>
        <w:t>all</w:t>
      </w:r>
      <w:r w:rsidRPr="0022720D">
        <w:rPr>
          <w:sz w:val="20"/>
          <w:szCs w:val="20"/>
        </w:rPr>
        <w:t xml:space="preserve"> of Canada’s Aboriginal peoples is Parliament’s goal.</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 xml:space="preserve">The historical, philosophical, and linguistic contexts establish that “Indians” in s. 91(24) includes </w:t>
      </w:r>
      <w:r w:rsidRPr="0022720D">
        <w:rPr>
          <w:i/>
          <w:sz w:val="20"/>
          <w:szCs w:val="20"/>
        </w:rPr>
        <w:t>all</w:t>
      </w:r>
      <w:r w:rsidRPr="0022720D">
        <w:rPr>
          <w:sz w:val="20"/>
          <w:szCs w:val="20"/>
        </w:rPr>
        <w:t xml:space="preserve"> Aboriginal peoples, including non</w:t>
      </w:r>
      <w:r w:rsidRPr="0022720D">
        <w:rPr>
          <w:sz w:val="20"/>
          <w:szCs w:val="20"/>
        </w:rPr>
        <w:noBreakHyphen/>
        <w:t>status Indians and Métis. The first declaration should accordingly be granted.</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Federal jurisdiction over Métis and non</w:t>
      </w:r>
      <w:r w:rsidRPr="0022720D">
        <w:rPr>
          <w:sz w:val="20"/>
          <w:szCs w:val="20"/>
        </w:rPr>
        <w:noBreakHyphen/>
        <w:t>status Indians does not mean that all provincial legislation pertaining to Métis and non</w:t>
      </w:r>
      <w:r w:rsidRPr="0022720D">
        <w:rPr>
          <w:sz w:val="20"/>
          <w:szCs w:val="20"/>
        </w:rPr>
        <w:noBreakHyphen/>
        <w:t xml:space="preserve">status Indians is inherently </w:t>
      </w:r>
      <w:r w:rsidRPr="0022720D">
        <w:rPr>
          <w:i/>
          <w:sz w:val="20"/>
          <w:szCs w:val="20"/>
        </w:rPr>
        <w:t>ultra vires</w:t>
      </w:r>
      <w:r w:rsidRPr="0022720D">
        <w:rPr>
          <w:sz w:val="20"/>
          <w:szCs w:val="20"/>
        </w:rPr>
        <w:t>. As this Court has recognized, courts should favour, where possible, the operation of statutes enacted by both levels of government.</w:t>
      </w:r>
    </w:p>
    <w:p w:rsidR="0022720D" w:rsidRDefault="0022720D" w:rsidP="0022720D">
      <w:pPr>
        <w:jc w:val="both"/>
        <w:rPr>
          <w:sz w:val="20"/>
          <w:szCs w:val="20"/>
        </w:rPr>
      </w:pPr>
    </w:p>
    <w:p w:rsidR="0022720D" w:rsidRDefault="0022720D" w:rsidP="0022720D">
      <w:pPr>
        <w:jc w:val="both"/>
        <w:rPr>
          <w:sz w:val="20"/>
          <w:szCs w:val="20"/>
        </w:rPr>
      </w:pPr>
      <w:r w:rsidRPr="0022720D">
        <w:rPr>
          <w:sz w:val="20"/>
          <w:szCs w:val="20"/>
        </w:rPr>
        <w:tab/>
        <w:t>APPEAL and CROSS</w:t>
      </w:r>
      <w:r w:rsidRPr="0022720D">
        <w:rPr>
          <w:sz w:val="20"/>
          <w:szCs w:val="20"/>
        </w:rPr>
        <w:noBreakHyphen/>
        <w:t>APPEAL from a judgment of the Federal Court of Appeal (Noël, Dawson and Trudel JJ.A.), 2014 FCA 101, [2014] 4 F.C.R. 97, 371 D.L.R. (4th) 725, 457 N.R. 347, [2014] 3 C.N.L.R. 139, 309 C.R.R. (2d) 200, [2014] F.C.J. No. 383 (QL), 2014 CarswellNat 1076 (WL Can.), setting aside in part a decision of Phelan J., 2013 FC 6, [2013] 2 F.C.R. 268, 357 D.L.R. (4th) 47, 426 F.T.R. 1, [2013] 2 C.N.L.R. 61, [2013] F.C.J. No. 4 (QL), 2013 CarswellNat 8 (WL Can.). Appeal allowed in part and cross</w:t>
      </w:r>
      <w:r w:rsidRPr="0022720D">
        <w:rPr>
          <w:sz w:val="20"/>
          <w:szCs w:val="20"/>
        </w:rPr>
        <w:noBreakHyphen/>
        <w:t>appeal dismissed.</w:t>
      </w:r>
    </w:p>
    <w:p w:rsidR="0022720D" w:rsidRDefault="0022720D" w:rsidP="0022720D">
      <w:pPr>
        <w:jc w:val="both"/>
        <w:rPr>
          <w:sz w:val="20"/>
          <w:szCs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Joseph Eliot Magnet</w:t>
      </w:r>
      <w:r w:rsidRPr="0022720D">
        <w:rPr>
          <w:rStyle w:val="SCCCounselSeparatorChar"/>
          <w:rFonts w:eastAsiaTheme="minorHAnsi"/>
          <w:sz w:val="20"/>
          <w:lang w:val="en-CA"/>
        </w:rPr>
        <w:t xml:space="preserve">, </w:t>
      </w:r>
      <w:r w:rsidRPr="0022720D">
        <w:rPr>
          <w:rStyle w:val="SCCCounselNameChar"/>
          <w:rFonts w:eastAsiaTheme="minorHAnsi"/>
          <w:sz w:val="20"/>
        </w:rPr>
        <w:t>Andrew K. Lokan</w:t>
      </w:r>
      <w:r w:rsidRPr="0022720D">
        <w:rPr>
          <w:rStyle w:val="SCCCounselSeparatorChar"/>
          <w:rFonts w:eastAsiaTheme="minorHAnsi"/>
          <w:sz w:val="20"/>
          <w:lang w:val="en-CA"/>
        </w:rPr>
        <w:t xml:space="preserve"> and </w:t>
      </w:r>
      <w:r w:rsidRPr="0022720D">
        <w:rPr>
          <w:rStyle w:val="SCCCounselNameChar"/>
          <w:rFonts w:eastAsiaTheme="minorHAnsi"/>
          <w:sz w:val="20"/>
        </w:rPr>
        <w:t>Lindsay Scott</w:t>
      </w:r>
      <w:r w:rsidRPr="0022720D">
        <w:rPr>
          <w:rStyle w:val="SCCCounselPartyRoleChar"/>
          <w:rFonts w:eastAsiaTheme="minorHAnsi"/>
          <w:sz w:val="20"/>
        </w:rPr>
        <w:t>, for the appellants/respondents on cross</w:t>
      </w:r>
      <w:r w:rsidRPr="0022720D">
        <w:rPr>
          <w:rStyle w:val="SCCCounselPartyRoleChar"/>
          <w:rFonts w:eastAsiaTheme="minorHAnsi"/>
          <w:sz w:val="20"/>
        </w:rPr>
        <w:noBreakHyphen/>
        <w:t>appeal.</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Mark R. Kindrachuk, Q.C.</w:t>
      </w:r>
      <w:r w:rsidRPr="0022720D">
        <w:rPr>
          <w:rStyle w:val="SCCCounselPartyRoleChar"/>
          <w:rFonts w:eastAsiaTheme="minorHAnsi"/>
          <w:sz w:val="20"/>
        </w:rPr>
        <w:t xml:space="preserve">, </w:t>
      </w:r>
      <w:r w:rsidRPr="0022720D">
        <w:rPr>
          <w:rStyle w:val="SCCCounselNameChar"/>
          <w:rFonts w:eastAsiaTheme="minorHAnsi"/>
          <w:sz w:val="20"/>
        </w:rPr>
        <w:t>Christopher M. Rupar</w:t>
      </w:r>
      <w:r w:rsidRPr="0022720D">
        <w:rPr>
          <w:rStyle w:val="SCCCounselSeparatorChar"/>
          <w:rFonts w:eastAsiaTheme="minorHAnsi"/>
          <w:sz w:val="20"/>
          <w:lang w:val="en-CA"/>
        </w:rPr>
        <w:t xml:space="preserve"> and </w:t>
      </w:r>
      <w:r w:rsidRPr="0022720D">
        <w:rPr>
          <w:rStyle w:val="SCCCounselNameChar"/>
          <w:rFonts w:eastAsiaTheme="minorHAnsi"/>
          <w:sz w:val="20"/>
        </w:rPr>
        <w:t>Shauna K. Bedingfield</w:t>
      </w:r>
      <w:r w:rsidRPr="0022720D">
        <w:rPr>
          <w:rStyle w:val="SCCCounselSeparatorChar"/>
          <w:rFonts w:eastAsiaTheme="minorHAnsi"/>
          <w:sz w:val="20"/>
          <w:lang w:val="en-CA"/>
        </w:rPr>
        <w:t xml:space="preserve">, </w:t>
      </w:r>
      <w:r w:rsidRPr="0022720D">
        <w:rPr>
          <w:rStyle w:val="SCCCounselPartyRoleChar"/>
          <w:rFonts w:eastAsiaTheme="minorHAnsi"/>
          <w:sz w:val="20"/>
        </w:rPr>
        <w:t>for the respondents/appellants on cross</w:t>
      </w:r>
      <w:r w:rsidRPr="0022720D">
        <w:rPr>
          <w:rStyle w:val="SCCCounselPartyRoleChar"/>
          <w:rFonts w:eastAsiaTheme="minorHAnsi"/>
          <w:sz w:val="20"/>
        </w:rPr>
        <w:noBreakHyphen/>
        <w:t>appeal.</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P. Mitch McAdam, Q.C.</w:t>
      </w:r>
      <w:r w:rsidRPr="0022720D">
        <w:rPr>
          <w:rStyle w:val="SCCCounselPartyRoleChar"/>
          <w:rFonts w:eastAsiaTheme="minorHAnsi"/>
          <w:sz w:val="20"/>
        </w:rPr>
        <w:t>, for the intervener the Attorney General for Saskatchewan.</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Angela Edgington</w:t>
      </w:r>
      <w:r w:rsidRPr="0022720D">
        <w:rPr>
          <w:rStyle w:val="SCCCounselSeparatorChar"/>
          <w:rFonts w:eastAsiaTheme="minorHAnsi"/>
          <w:sz w:val="20"/>
          <w:lang w:val="en-CA"/>
        </w:rPr>
        <w:t xml:space="preserve"> and </w:t>
      </w:r>
      <w:r w:rsidRPr="0022720D">
        <w:rPr>
          <w:rStyle w:val="SCCCounselNameChar"/>
          <w:rFonts w:eastAsiaTheme="minorHAnsi"/>
          <w:sz w:val="20"/>
        </w:rPr>
        <w:t>Neil Dobson</w:t>
      </w:r>
      <w:r w:rsidRPr="0022720D">
        <w:rPr>
          <w:rStyle w:val="SCCCounselPartyRoleChar"/>
          <w:rFonts w:eastAsiaTheme="minorHAnsi"/>
          <w:sz w:val="20"/>
        </w:rPr>
        <w:t>, for the intervener the Attorney General of Alberta.</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r>
      <w:r w:rsidRPr="00E16C5A">
        <w:rPr>
          <w:rStyle w:val="SCCCounselNameChar"/>
          <w:rFonts w:eastAsiaTheme="minorHAnsi"/>
          <w:i w:val="0"/>
          <w:sz w:val="20"/>
        </w:rPr>
        <w:t>Written submissions only by</w:t>
      </w:r>
      <w:r w:rsidRPr="0022720D">
        <w:rPr>
          <w:rStyle w:val="SCCCounselNameChar"/>
          <w:rFonts w:eastAsiaTheme="minorHAnsi"/>
          <w:sz w:val="20"/>
        </w:rPr>
        <w:t xml:space="preserve"> D. Bruce Clarke</w:t>
      </w:r>
      <w:r w:rsidRPr="0022720D">
        <w:rPr>
          <w:rStyle w:val="SCCCounselPartyRoleChar"/>
          <w:rFonts w:eastAsiaTheme="minorHAnsi"/>
          <w:sz w:val="20"/>
        </w:rPr>
        <w:t xml:space="preserve">, </w:t>
      </w:r>
      <w:r w:rsidRPr="0022720D">
        <w:rPr>
          <w:rStyle w:val="SCCCounselPartyRoleChar"/>
          <w:rFonts w:eastAsiaTheme="minorHAnsi"/>
          <w:i/>
          <w:sz w:val="20"/>
        </w:rPr>
        <w:t>Q.C.</w:t>
      </w:r>
      <w:r w:rsidRPr="0022720D">
        <w:rPr>
          <w:rStyle w:val="SCCCounselPartyRoleChar"/>
          <w:rFonts w:eastAsiaTheme="minorHAnsi"/>
          <w:sz w:val="20"/>
        </w:rPr>
        <w:t>, for the interveners the Native Council of Nova Scotia, the New Brunswick Aboriginal Peoples Council and the Native Council of Prince Edward Island.</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Garry Appelt</w:t>
      </w:r>
      <w:r w:rsidRPr="0022720D">
        <w:rPr>
          <w:rStyle w:val="SCCCounselSeparatorChar"/>
          <w:rFonts w:eastAsiaTheme="minorHAnsi"/>
          <w:sz w:val="20"/>
          <w:lang w:val="en-CA"/>
        </w:rPr>
        <w:t xml:space="preserve"> and </w:t>
      </w:r>
      <w:r w:rsidRPr="0022720D">
        <w:rPr>
          <w:rStyle w:val="SCCCounselNameChar"/>
          <w:rFonts w:eastAsiaTheme="minorHAnsi"/>
          <w:sz w:val="20"/>
        </w:rPr>
        <w:t>Keltie Lambert</w:t>
      </w:r>
      <w:r w:rsidRPr="0022720D">
        <w:rPr>
          <w:rStyle w:val="SCCCounselPartyRoleChar"/>
          <w:rFonts w:eastAsiaTheme="minorHAnsi"/>
          <w:sz w:val="20"/>
        </w:rPr>
        <w:t>, for the intervener the Metis Settlements General Council.</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r>
      <w:r w:rsidRPr="00E16C5A">
        <w:rPr>
          <w:rStyle w:val="SCCCounselNameChar"/>
          <w:rFonts w:eastAsiaTheme="minorHAnsi"/>
          <w:i w:val="0"/>
          <w:sz w:val="20"/>
        </w:rPr>
        <w:t>Written submissions only by</w:t>
      </w:r>
      <w:r w:rsidRPr="0022720D">
        <w:rPr>
          <w:rStyle w:val="SCCCounselNameChar"/>
          <w:rFonts w:eastAsiaTheme="minorHAnsi"/>
          <w:sz w:val="20"/>
        </w:rPr>
        <w:t xml:space="preserve"> Robert J. M. Janes</w:t>
      </w:r>
      <w:r w:rsidRPr="0022720D">
        <w:rPr>
          <w:rStyle w:val="SCCCounselSeparatorChar"/>
          <w:rFonts w:eastAsiaTheme="minorHAnsi"/>
          <w:sz w:val="20"/>
          <w:lang w:val="en-CA"/>
        </w:rPr>
        <w:t xml:space="preserve"> and </w:t>
      </w:r>
      <w:r w:rsidRPr="0022720D">
        <w:rPr>
          <w:rStyle w:val="SCCCounselNameChar"/>
          <w:rFonts w:eastAsiaTheme="minorHAnsi"/>
          <w:sz w:val="20"/>
        </w:rPr>
        <w:t>Elin R. S. Sigurdson</w:t>
      </w:r>
      <w:r w:rsidRPr="0022720D">
        <w:rPr>
          <w:rStyle w:val="SCCCounselPartyRoleChar"/>
          <w:rFonts w:eastAsiaTheme="minorHAnsi"/>
          <w:sz w:val="20"/>
        </w:rPr>
        <w:t>, for the intervener the Te’mexw Treaty Association.</w:t>
      </w:r>
    </w:p>
    <w:p w:rsidR="0022720D" w:rsidRDefault="0022720D" w:rsidP="0022720D">
      <w:pPr>
        <w:jc w:val="both"/>
        <w:rPr>
          <w:rStyle w:val="SCCCounselPartyRoleChar"/>
          <w:rFonts w:eastAsiaTheme="minorHAnsi"/>
          <w:sz w:val="20"/>
        </w:rPr>
      </w:pPr>
    </w:p>
    <w:p w:rsidR="0022720D" w:rsidRDefault="0022720D" w:rsidP="0022720D">
      <w:pPr>
        <w:jc w:val="both"/>
        <w:rPr>
          <w:rStyle w:val="SCCCounselPartyRoleChar"/>
          <w:rFonts w:eastAsiaTheme="minorHAnsi"/>
          <w:sz w:val="20"/>
        </w:rPr>
      </w:pPr>
      <w:r w:rsidRPr="0022720D">
        <w:rPr>
          <w:rStyle w:val="SCCCounselNameChar"/>
          <w:rFonts w:eastAsiaTheme="minorHAnsi"/>
          <w:sz w:val="20"/>
        </w:rPr>
        <w:tab/>
        <w:t>Christopher G. Devlin</w:t>
      </w:r>
      <w:r w:rsidRPr="0022720D">
        <w:rPr>
          <w:rStyle w:val="SCCCounselSeparatorChar"/>
          <w:rFonts w:eastAsiaTheme="minorHAnsi"/>
          <w:sz w:val="20"/>
          <w:lang w:val="en-CA"/>
        </w:rPr>
        <w:t xml:space="preserve">, </w:t>
      </w:r>
      <w:r w:rsidRPr="0022720D">
        <w:rPr>
          <w:rStyle w:val="SCCCounselNameChar"/>
          <w:rFonts w:eastAsiaTheme="minorHAnsi"/>
          <w:sz w:val="20"/>
        </w:rPr>
        <w:t>John Gailus</w:t>
      </w:r>
      <w:r w:rsidRPr="0022720D">
        <w:rPr>
          <w:rStyle w:val="SCCCounselSeparatorChar"/>
          <w:rFonts w:eastAsiaTheme="minorHAnsi"/>
          <w:sz w:val="20"/>
          <w:lang w:val="en-CA"/>
        </w:rPr>
        <w:t xml:space="preserve"> and </w:t>
      </w:r>
      <w:r w:rsidRPr="0022720D">
        <w:rPr>
          <w:rStyle w:val="SCCCounselNameChar"/>
          <w:rFonts w:eastAsiaTheme="minorHAnsi"/>
          <w:sz w:val="20"/>
        </w:rPr>
        <w:t>Cynthia Westaway</w:t>
      </w:r>
      <w:r w:rsidRPr="0022720D">
        <w:rPr>
          <w:rStyle w:val="SCCCounselPartyRoleChar"/>
          <w:rFonts w:eastAsiaTheme="minorHAnsi"/>
          <w:sz w:val="20"/>
        </w:rPr>
        <w:t>, for the intervener the Métis Federation of Canada.</w:t>
      </w:r>
    </w:p>
    <w:p w:rsidR="0022720D" w:rsidRPr="0022720D" w:rsidRDefault="0022720D" w:rsidP="0022720D">
      <w:pPr>
        <w:jc w:val="both"/>
        <w:rPr>
          <w:sz w:val="20"/>
          <w:szCs w:val="20"/>
        </w:rPr>
      </w:pPr>
    </w:p>
    <w:p w:rsidR="0022720D" w:rsidRDefault="0022720D" w:rsidP="0022720D">
      <w:pPr>
        <w:pStyle w:val="SCCNormalDoubleSpacing"/>
        <w:spacing w:line="240" w:lineRule="auto"/>
        <w:rPr>
          <w:rStyle w:val="SCCCounselPartyRoleChar"/>
          <w:sz w:val="20"/>
        </w:rPr>
      </w:pPr>
      <w:r w:rsidRPr="0022720D">
        <w:rPr>
          <w:rStyle w:val="SCCCounselNameChar"/>
          <w:sz w:val="20"/>
        </w:rPr>
        <w:tab/>
        <w:t>Karey M. Brooks</w:t>
      </w:r>
      <w:r w:rsidRPr="0022720D">
        <w:rPr>
          <w:rStyle w:val="SCCCounselSeparatorChar"/>
          <w:sz w:val="20"/>
          <w:lang w:val="en-CA"/>
        </w:rPr>
        <w:t xml:space="preserve"> and </w:t>
      </w:r>
      <w:r w:rsidRPr="0022720D">
        <w:rPr>
          <w:rStyle w:val="SCCCounselNameChar"/>
          <w:sz w:val="20"/>
        </w:rPr>
        <w:t>Claire Truesdale</w:t>
      </w:r>
      <w:r w:rsidRPr="0022720D">
        <w:rPr>
          <w:rStyle w:val="SCCCounselPartyRoleChar"/>
          <w:sz w:val="20"/>
        </w:rPr>
        <w:t>, for the intervener the Aseniwuche Winewak Nation of Canada.</w:t>
      </w:r>
    </w:p>
    <w:p w:rsidR="0022720D" w:rsidRDefault="0022720D" w:rsidP="00AC05E3">
      <w:pPr>
        <w:pStyle w:val="SCCNormalDoubleSpacing"/>
        <w:spacing w:line="240" w:lineRule="auto"/>
        <w:jc w:val="left"/>
        <w:rPr>
          <w:rStyle w:val="SCCCounselPartyRoleChar"/>
          <w:sz w:val="20"/>
        </w:rPr>
      </w:pPr>
      <w:r w:rsidRPr="0022720D">
        <w:rPr>
          <w:rStyle w:val="SCCCounselNameChar"/>
          <w:sz w:val="20"/>
        </w:rPr>
        <w:tab/>
        <w:t>Scott Robertson</w:t>
      </w:r>
      <w:r w:rsidRPr="0022720D">
        <w:rPr>
          <w:rStyle w:val="SCCCounselPartyRoleChar"/>
          <w:sz w:val="20"/>
        </w:rPr>
        <w:t>, for the intervener the Chiefs of Ontario.</w:t>
      </w:r>
    </w:p>
    <w:p w:rsidR="00AC05E3" w:rsidRDefault="00AC05E3" w:rsidP="00AC05E3">
      <w:pPr>
        <w:pStyle w:val="SCCNormalDoubleSpacing"/>
        <w:spacing w:line="240" w:lineRule="auto"/>
        <w:jc w:val="left"/>
        <w:rPr>
          <w:rStyle w:val="SCCCounselPartyRoleChar"/>
          <w:sz w:val="20"/>
        </w:rPr>
      </w:pPr>
    </w:p>
    <w:p w:rsidR="0022720D" w:rsidRDefault="0022720D" w:rsidP="00AC05E3">
      <w:pPr>
        <w:pStyle w:val="SCCNormalDoubleSpacing"/>
        <w:spacing w:line="240" w:lineRule="auto"/>
        <w:jc w:val="left"/>
        <w:rPr>
          <w:rStyle w:val="SCCCounselPartyRoleChar"/>
          <w:sz w:val="20"/>
        </w:rPr>
      </w:pPr>
      <w:r w:rsidRPr="0022720D">
        <w:rPr>
          <w:rStyle w:val="SCCCounselNameChar"/>
          <w:sz w:val="20"/>
        </w:rPr>
        <w:tab/>
        <w:t xml:space="preserve">Paul Seaman </w:t>
      </w:r>
      <w:r w:rsidRPr="0022720D">
        <w:rPr>
          <w:rStyle w:val="SCCCounselSeparatorChar"/>
          <w:sz w:val="20"/>
          <w:lang w:val="en-CA"/>
        </w:rPr>
        <w:t>and</w:t>
      </w:r>
      <w:r w:rsidRPr="0022720D">
        <w:rPr>
          <w:rStyle w:val="SCCCounselNameChar"/>
          <w:sz w:val="20"/>
        </w:rPr>
        <w:t xml:space="preserve"> Maxime Faille</w:t>
      </w:r>
      <w:r w:rsidRPr="0022720D">
        <w:rPr>
          <w:rStyle w:val="SCCCounselPartyRoleChar"/>
          <w:sz w:val="20"/>
        </w:rPr>
        <w:t>, for the intervener the Gift Lake Métis Settlement.</w:t>
      </w:r>
    </w:p>
    <w:p w:rsidR="00AC05E3" w:rsidRPr="0022720D" w:rsidRDefault="00AC05E3" w:rsidP="00AC05E3">
      <w:pPr>
        <w:pStyle w:val="SCCNormalDoubleSpacing"/>
        <w:spacing w:line="240" w:lineRule="auto"/>
        <w:jc w:val="left"/>
        <w:rPr>
          <w:sz w:val="20"/>
        </w:rPr>
      </w:pPr>
    </w:p>
    <w:p w:rsidR="0022720D" w:rsidRDefault="0022720D" w:rsidP="00AC05E3">
      <w:pPr>
        <w:pStyle w:val="SCCNormalDoubleSpacing"/>
        <w:spacing w:line="240" w:lineRule="auto"/>
        <w:jc w:val="left"/>
        <w:rPr>
          <w:rStyle w:val="SCCCounselPartyRoleChar"/>
          <w:sz w:val="20"/>
        </w:rPr>
      </w:pPr>
      <w:r w:rsidRPr="0022720D">
        <w:rPr>
          <w:rStyle w:val="SCCCounselNameChar"/>
          <w:sz w:val="20"/>
        </w:rPr>
        <w:tab/>
        <w:t>Marc Watters</w:t>
      </w:r>
      <w:r w:rsidRPr="0022720D">
        <w:rPr>
          <w:rStyle w:val="SCCCounselSeparatorChar"/>
          <w:sz w:val="20"/>
          <w:lang w:val="en-CA"/>
        </w:rPr>
        <w:t xml:space="preserve"> and </w:t>
      </w:r>
      <w:r w:rsidRPr="0022720D">
        <w:rPr>
          <w:rStyle w:val="SCCCounselNameChar"/>
          <w:sz w:val="20"/>
        </w:rPr>
        <w:t>Lina Beaulieu</w:t>
      </w:r>
      <w:r w:rsidRPr="0022720D">
        <w:rPr>
          <w:rStyle w:val="SCCCounselPartyRoleChar"/>
          <w:sz w:val="20"/>
        </w:rPr>
        <w:t>, for the intervener the Native Alliance of Quebec.</w:t>
      </w:r>
    </w:p>
    <w:p w:rsidR="00AC05E3" w:rsidRPr="0022720D" w:rsidRDefault="00AC05E3" w:rsidP="00AC05E3">
      <w:pPr>
        <w:pStyle w:val="SCCNormalDoubleSpacing"/>
        <w:spacing w:line="240" w:lineRule="auto"/>
        <w:jc w:val="left"/>
        <w:rPr>
          <w:sz w:val="20"/>
        </w:rPr>
      </w:pPr>
    </w:p>
    <w:p w:rsidR="0022720D" w:rsidRDefault="0022720D" w:rsidP="00AC05E3">
      <w:pPr>
        <w:pStyle w:val="SCCNormalDoubleSpacing"/>
        <w:spacing w:line="240" w:lineRule="auto"/>
        <w:jc w:val="left"/>
        <w:rPr>
          <w:rStyle w:val="SCCCounselPartyRoleChar"/>
          <w:sz w:val="20"/>
        </w:rPr>
      </w:pPr>
      <w:r w:rsidRPr="0022720D">
        <w:rPr>
          <w:rStyle w:val="SCCCounselNameChar"/>
          <w:sz w:val="20"/>
        </w:rPr>
        <w:tab/>
        <w:t>Guy Régimbald</w:t>
      </w:r>
      <w:r w:rsidRPr="0022720D">
        <w:rPr>
          <w:rStyle w:val="SCCCounselSeparatorChar"/>
          <w:sz w:val="20"/>
          <w:lang w:val="en-CA"/>
        </w:rPr>
        <w:t xml:space="preserve"> and </w:t>
      </w:r>
      <w:r w:rsidRPr="0022720D">
        <w:rPr>
          <w:rStyle w:val="SCCCounselNameChar"/>
          <w:sz w:val="20"/>
        </w:rPr>
        <w:t>Jaimie Lickers</w:t>
      </w:r>
      <w:r w:rsidRPr="0022720D">
        <w:rPr>
          <w:rStyle w:val="SCCCounselPartyRoleChar"/>
          <w:sz w:val="20"/>
        </w:rPr>
        <w:t>, for the intervener the Assembly of First Nations.</w:t>
      </w:r>
    </w:p>
    <w:p w:rsidR="00AC05E3" w:rsidRPr="0022720D" w:rsidRDefault="00AC05E3" w:rsidP="00AC05E3">
      <w:pPr>
        <w:pStyle w:val="SCCNormalDoubleSpacing"/>
        <w:spacing w:line="240" w:lineRule="auto"/>
        <w:jc w:val="left"/>
        <w:rPr>
          <w:sz w:val="20"/>
        </w:rPr>
      </w:pPr>
    </w:p>
    <w:p w:rsidR="0022720D" w:rsidRDefault="0022720D" w:rsidP="00AC05E3">
      <w:pPr>
        <w:pStyle w:val="SCCNormalDoubleSpacing"/>
        <w:spacing w:line="240" w:lineRule="auto"/>
        <w:jc w:val="left"/>
        <w:rPr>
          <w:rStyle w:val="SCCCounselPartyRoleChar"/>
          <w:sz w:val="20"/>
        </w:rPr>
      </w:pPr>
      <w:r w:rsidRPr="0022720D">
        <w:rPr>
          <w:rStyle w:val="SCCCounselNameChar"/>
          <w:sz w:val="20"/>
        </w:rPr>
        <w:tab/>
        <w:t>Jason T. Madden</w:t>
      </w:r>
      <w:r w:rsidRPr="0022720D">
        <w:rPr>
          <w:rStyle w:val="SCCCounselSeparatorChar"/>
          <w:sz w:val="20"/>
          <w:lang w:val="en-CA"/>
        </w:rPr>
        <w:t xml:space="preserve">, </w:t>
      </w:r>
      <w:r w:rsidRPr="0022720D">
        <w:rPr>
          <w:rStyle w:val="SCCCounselNameChar"/>
          <w:sz w:val="20"/>
        </w:rPr>
        <w:t>Clément Chartier, Q.C.</w:t>
      </w:r>
      <w:r w:rsidRPr="0022720D">
        <w:rPr>
          <w:rStyle w:val="SCCCounselPartyRoleChar"/>
          <w:sz w:val="20"/>
        </w:rPr>
        <w:t xml:space="preserve">, </w:t>
      </w:r>
      <w:r w:rsidRPr="0022720D">
        <w:rPr>
          <w:rStyle w:val="SCCCounselNameChar"/>
          <w:sz w:val="20"/>
        </w:rPr>
        <w:t>Kathy Hodgson</w:t>
      </w:r>
      <w:r w:rsidRPr="0022720D">
        <w:rPr>
          <w:rStyle w:val="SCCCounselNameChar"/>
          <w:sz w:val="20"/>
        </w:rPr>
        <w:noBreakHyphen/>
        <w:t>Smith</w:t>
      </w:r>
      <w:r w:rsidRPr="0022720D">
        <w:rPr>
          <w:rStyle w:val="SCCCounselSeparatorChar"/>
          <w:sz w:val="20"/>
          <w:lang w:val="en-CA"/>
        </w:rPr>
        <w:t xml:space="preserve"> and </w:t>
      </w:r>
      <w:r w:rsidRPr="0022720D">
        <w:rPr>
          <w:rStyle w:val="SCCCounselNameChar"/>
          <w:sz w:val="20"/>
        </w:rPr>
        <w:t xml:space="preserve">Marc Leclair, </w:t>
      </w:r>
      <w:r w:rsidRPr="0022720D">
        <w:rPr>
          <w:rStyle w:val="SCCCounselPartyRoleChar"/>
          <w:sz w:val="20"/>
        </w:rPr>
        <w:t>for the intervener the Métis National Council.</w:t>
      </w:r>
    </w:p>
    <w:p w:rsidR="00AC05E3" w:rsidRPr="0022720D" w:rsidRDefault="00AC05E3" w:rsidP="00AC05E3">
      <w:pPr>
        <w:pStyle w:val="SCCNormalDoubleSpacing"/>
        <w:spacing w:line="240" w:lineRule="auto"/>
        <w:jc w:val="left"/>
        <w:rPr>
          <w:sz w:val="20"/>
        </w:rPr>
      </w:pPr>
    </w:p>
    <w:p w:rsidR="00AC05E3" w:rsidRDefault="0022720D" w:rsidP="00AC05E3">
      <w:pPr>
        <w:pStyle w:val="SCCLawFirm"/>
        <w:spacing w:line="240" w:lineRule="auto"/>
        <w:jc w:val="left"/>
        <w:rPr>
          <w:sz w:val="20"/>
        </w:rPr>
      </w:pPr>
      <w:r w:rsidRPr="0022720D">
        <w:rPr>
          <w:sz w:val="20"/>
        </w:rPr>
        <w:tab/>
        <w:t>Solicitors for the appellants/respondents on cross</w:t>
      </w:r>
      <w:r w:rsidRPr="0022720D">
        <w:rPr>
          <w:sz w:val="20"/>
        </w:rPr>
        <w:noBreakHyphen/>
        <w:t>appeal: University of Ottawa, Ottawa; Paliare Roland Rosenberg Rothstein, Toronto.</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 for the respondents/appellants on cross</w:t>
      </w:r>
      <w:r w:rsidRPr="00353801">
        <w:rPr>
          <w:sz w:val="20"/>
        </w:rPr>
        <w:noBreakHyphen/>
        <w:t>appeal: Attorney General of Canada, Saskatoon, Ottawa and Edmonton.</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 for the intervener the Attorney General for Saskatchewan: Attorney General for Saskatchewan, Regina.</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 for the intervener the Attorney General of Alberta: Attorney General of Alberta, Edmonton.</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interveners the Native Council of Nova Scotia, the New Brunswick Aboriginal Peoples Council and the Native Council of Prince Edward Island: Burchells, Halifax.</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Metis Settlements General Council: Witten, Edmonton.</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Te’mexw Treaty Association: JFK Law Corporation, Vancouver.</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Métis Federation of Canada: Devlin Gailus Westaway, Victoria.</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Aseniwuche Winewak Nation of Canada: JFK Law Corporation, Vancouver and Victoria.</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Chiefs of Ontario: Nahwegahbow, Corbiere Genoodmagejig, Rama, Ontario.</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Gift Lake Métis Settlement: Gowling WLG (Canada) Inc., Ottawa.</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Native Alliance of Quebec: Gagné Letarte, Québec.</w:t>
      </w:r>
    </w:p>
    <w:p w:rsidR="00AC05E3" w:rsidRPr="00353801" w:rsidRDefault="00AC05E3" w:rsidP="00AC05E3">
      <w:pPr>
        <w:pStyle w:val="SCCLawFirm"/>
        <w:spacing w:line="240" w:lineRule="auto"/>
        <w:jc w:val="left"/>
        <w:rPr>
          <w:sz w:val="20"/>
        </w:rPr>
      </w:pPr>
    </w:p>
    <w:p w:rsidR="00AC05E3" w:rsidRPr="00353801" w:rsidRDefault="0022720D" w:rsidP="00AC05E3">
      <w:pPr>
        <w:pStyle w:val="SCCLawFirm"/>
        <w:spacing w:line="240" w:lineRule="auto"/>
        <w:jc w:val="left"/>
        <w:rPr>
          <w:sz w:val="20"/>
        </w:rPr>
      </w:pPr>
      <w:r w:rsidRPr="00353801">
        <w:rPr>
          <w:sz w:val="20"/>
        </w:rPr>
        <w:tab/>
        <w:t>Solicitors for the intervener the Assembly of First Nations: Gowling WLG (Canada) Inc., Ottawa.</w:t>
      </w:r>
    </w:p>
    <w:p w:rsidR="00AC05E3" w:rsidRPr="00353801" w:rsidRDefault="00AC05E3" w:rsidP="00AC05E3">
      <w:pPr>
        <w:pStyle w:val="SCCLawFirm"/>
        <w:spacing w:line="240" w:lineRule="auto"/>
        <w:jc w:val="left"/>
        <w:rPr>
          <w:sz w:val="20"/>
        </w:rPr>
      </w:pPr>
    </w:p>
    <w:p w:rsidR="0022720D" w:rsidRPr="00353801" w:rsidRDefault="0022720D" w:rsidP="00AC05E3">
      <w:pPr>
        <w:pStyle w:val="SCCLawFirm"/>
        <w:spacing w:line="240" w:lineRule="auto"/>
        <w:jc w:val="left"/>
        <w:rPr>
          <w:sz w:val="20"/>
        </w:rPr>
      </w:pPr>
      <w:r w:rsidRPr="00353801">
        <w:rPr>
          <w:sz w:val="20"/>
        </w:rPr>
        <w:tab/>
        <w:t>Solicitor for the intervener the Métis National Council: Métis National Council, Ottawa.</w:t>
      </w:r>
    </w:p>
    <w:p w:rsidR="0052229C" w:rsidRPr="00165F6D" w:rsidRDefault="0052229C" w:rsidP="00AC05E3">
      <w:pPr>
        <w:rPr>
          <w:rFonts w:cs="Times New Roman"/>
          <w:sz w:val="20"/>
          <w:szCs w:val="20"/>
          <w:lang w:val="fr-CA"/>
        </w:rPr>
      </w:pPr>
      <w:r w:rsidRPr="00165F6D">
        <w:rPr>
          <w:rFonts w:cs="Times New Roman"/>
          <w:sz w:val="20"/>
          <w:szCs w:val="20"/>
          <w:lang w:val="fr-CA"/>
        </w:rPr>
        <w:t>________________________</w:t>
      </w:r>
    </w:p>
    <w:p w:rsidR="0052229C" w:rsidRPr="00165F6D" w:rsidRDefault="0052229C" w:rsidP="0022720D">
      <w:pPr>
        <w:rPr>
          <w:rFonts w:cs="Times New Roman"/>
          <w:sz w:val="20"/>
          <w:szCs w:val="20"/>
          <w:lang w:val="fr-CA"/>
        </w:rPr>
      </w:pPr>
    </w:p>
    <w:p w:rsidR="00EF3777" w:rsidRDefault="00EF3777">
      <w:pPr>
        <w:rPr>
          <w:rFonts w:eastAsia="Times New Roman" w:cs="Times New Roman"/>
          <w:sz w:val="20"/>
          <w:szCs w:val="20"/>
          <w:lang w:val="fr-CA" w:eastAsia="en-CA"/>
        </w:rPr>
      </w:pPr>
      <w:r>
        <w:rPr>
          <w:rFonts w:eastAsia="Times New Roman" w:cs="Times New Roman"/>
          <w:sz w:val="20"/>
          <w:szCs w:val="20"/>
          <w:lang w:val="fr-CA" w:eastAsia="en-CA"/>
        </w:rPr>
        <w:br w:type="page"/>
      </w:r>
    </w:p>
    <w:p w:rsidR="00353801" w:rsidRDefault="00353801" w:rsidP="00353801">
      <w:pPr>
        <w:jc w:val="both"/>
        <w:rPr>
          <w:rFonts w:eastAsia="Times New Roman" w:cs="Times New Roman"/>
          <w:sz w:val="20"/>
          <w:szCs w:val="20"/>
          <w:lang w:val="fr-CA" w:eastAsia="en-CA"/>
        </w:rPr>
      </w:pPr>
      <w:r w:rsidRPr="00353801">
        <w:rPr>
          <w:rFonts w:eastAsia="Times New Roman" w:cs="Times New Roman"/>
          <w:sz w:val="20"/>
          <w:szCs w:val="20"/>
          <w:lang w:val="fr-CA" w:eastAsia="en-CA"/>
        </w:rPr>
        <w:t>Présents : La juge en chef McLachlin et les juges Abella, Cromwell, Moldaver, Karakatsanis, Wagner, Gascon, Côté et Brown.</w:t>
      </w:r>
    </w:p>
    <w:p w:rsidR="00EF3777" w:rsidRPr="00353801" w:rsidRDefault="00EF3777" w:rsidP="00353801">
      <w:pPr>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Droit constitutionnel — Droit des autochtones — Métis — Indiens non inscrits — Y a</w:t>
      </w:r>
      <w:r w:rsidRPr="00353801">
        <w:rPr>
          <w:rFonts w:eastAsia="Times New Roman" w:cs="Times New Roman"/>
          <w:i/>
          <w:sz w:val="20"/>
          <w:szCs w:val="20"/>
          <w:lang w:val="fr-CA" w:eastAsia="en-CA"/>
        </w:rPr>
        <w:noBreakHyphen/>
        <w:t>t</w:t>
      </w:r>
      <w:r w:rsidRPr="00353801">
        <w:rPr>
          <w:rFonts w:eastAsia="Times New Roman" w:cs="Times New Roman"/>
          <w:i/>
          <w:sz w:val="20"/>
          <w:szCs w:val="20"/>
          <w:lang w:val="fr-CA" w:eastAsia="en-CA"/>
        </w:rPr>
        <w:noBreakHyphen/>
        <w:t>il lieu de rendre un jugement déclaratoire selon lequel les Métis et les Indiens non inscrits sont des « Indiens » visés au par. 91(24) de la Loi constitutionnelle de 1867? — Un jugement déclaratoire aurait</w:t>
      </w:r>
      <w:r w:rsidRPr="00353801">
        <w:rPr>
          <w:rFonts w:eastAsia="Times New Roman" w:cs="Times New Roman"/>
          <w:i/>
          <w:sz w:val="20"/>
          <w:szCs w:val="20"/>
          <w:lang w:val="fr-CA" w:eastAsia="en-CA"/>
        </w:rPr>
        <w:noBreakHyphen/>
        <w:t>il une utilité pratique? — Y a</w:t>
      </w:r>
      <w:r w:rsidRPr="00353801">
        <w:rPr>
          <w:rFonts w:eastAsia="Times New Roman" w:cs="Times New Roman"/>
          <w:i/>
          <w:sz w:val="20"/>
          <w:szCs w:val="20"/>
          <w:lang w:val="fr-CA" w:eastAsia="en-CA"/>
        </w:rPr>
        <w:noBreakHyphen/>
        <w:t>t</w:t>
      </w:r>
      <w:r w:rsidRPr="00353801">
        <w:rPr>
          <w:rFonts w:eastAsia="Times New Roman" w:cs="Times New Roman"/>
          <w:i/>
          <w:sz w:val="20"/>
          <w:szCs w:val="20"/>
          <w:lang w:val="fr-CA" w:eastAsia="en-CA"/>
        </w:rPr>
        <w:noBreakHyphen/>
        <w:t>il lieu, pour l’application du par. 91(24), de restreindre la portée du terme « Métis » aux critères définitoires énoncés dans l’arrêt R. c. Powley, [2003] 2 R.C.S. 207? — Loi constitutionnelle de 1867, par. 91(24) — Loi constitutionnelle de 1982, art. 35.</w:t>
      </w:r>
    </w:p>
    <w:p w:rsidR="00EF3777" w:rsidRDefault="00EF3777"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 xml:space="preserve">Trois jugements déclaratoires sont demandés en l’espèce, lesquels portent respectivement : (1) que les Métis et les Indiens non inscrits sont des « Indiens » visés au par. 91(24) de la </w:t>
      </w:r>
      <w:r w:rsidRPr="00353801">
        <w:rPr>
          <w:rFonts w:eastAsia="Times New Roman" w:cs="Times New Roman"/>
          <w:i/>
          <w:sz w:val="20"/>
          <w:szCs w:val="20"/>
          <w:lang w:val="fr-CA" w:eastAsia="en-CA"/>
        </w:rPr>
        <w:t>Loi constitutionnelle de 1867</w:t>
      </w:r>
      <w:r w:rsidRPr="00353801">
        <w:rPr>
          <w:rFonts w:eastAsia="Times New Roman" w:cs="Times New Roman"/>
          <w:sz w:val="20"/>
          <w:szCs w:val="20"/>
          <w:lang w:val="fr-CA" w:eastAsia="en-CA"/>
        </w:rPr>
        <w:t xml:space="preserve">; (2) que la Couronne fédérale a une obligation de fiduciaire envers les Métis et les Indiens non inscrits; (3) que les Métis et les Indiens non inscrits ont droit à la tenue de consultations et de négociations. </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70"/>
        </w:tabs>
        <w:jc w:val="both"/>
        <w:rPr>
          <w:rFonts w:eastAsiaTheme="minorEastAsia" w:cs="Times New Roman"/>
          <w:sz w:val="20"/>
          <w:szCs w:val="20"/>
          <w:lang w:val="fr-CA"/>
        </w:rPr>
      </w:pPr>
      <w:r w:rsidRPr="00353801">
        <w:rPr>
          <w:rFonts w:eastAsiaTheme="minorEastAsia" w:cs="Times New Roman"/>
          <w:sz w:val="20"/>
          <w:szCs w:val="20"/>
          <w:lang w:val="fr-CA"/>
        </w:rPr>
        <w:tab/>
        <w:t xml:space="preserve">Le juge de première instance a estimé que le mot « Indiens » au par. 91(24) est un terme général faisant référence à tous les peuples autochtones canadiens. Il a toutefois refusé de rendre les deuxième et troisième jugements déclaratoires demandés. La Cour d’appel fédérale a reconnu que le terme « Indiens » au par. 91(24) visait tous les peuples autochtones en général. Elle a confirmé le premier jugement déclaratoire, mais elle a restreint sa portée afin d’exclure les Indiens non inscrits et d’inclure seulement les Métis qui répondent aux trois critères énoncés dans l’arrêt </w:t>
      </w:r>
      <w:r w:rsidRPr="00353801">
        <w:rPr>
          <w:rFonts w:eastAsiaTheme="minorEastAsia" w:cs="Times New Roman"/>
          <w:i/>
          <w:sz w:val="20"/>
          <w:szCs w:val="20"/>
          <w:lang w:val="fr-CA"/>
        </w:rPr>
        <w:t>R. c. Powley</w:t>
      </w:r>
      <w:r w:rsidRPr="00353801">
        <w:rPr>
          <w:rFonts w:eastAsiaTheme="minorEastAsia" w:cs="Times New Roman"/>
          <w:sz w:val="20"/>
          <w:szCs w:val="20"/>
          <w:lang w:val="fr-CA"/>
        </w:rPr>
        <w:t>, [2003] 2 R.C.S. 207. Elle a également refusé de prononcer les deuxième et troisième jugements déclaratoires demandés. Devant la Cour, les appelants ont sollicité le rétablissement du premier jugement déclaratoire tel qu’il a été rendu par le juge de première instance, et ont demandé que soient prononcés les deuxième et troisième jugements déclaratoires. La Couronne a interjeté un pourvoi incident, dans lequel elle fait valoir qu’aucun des jugements déclaratoires ne devrait être accordé. Elle a concédé que les Indiens non inscrits sont des « Indiens » visés au par. 91(24).</w:t>
      </w:r>
    </w:p>
    <w:p w:rsidR="00353801" w:rsidRPr="00353801" w:rsidRDefault="00353801" w:rsidP="00353801">
      <w:pPr>
        <w:tabs>
          <w:tab w:val="left" w:pos="1170"/>
        </w:tabs>
        <w:jc w:val="both"/>
        <w:rPr>
          <w:rFonts w:eastAsiaTheme="minorEastAsia" w:cs="Times New Roman"/>
          <w:sz w:val="20"/>
          <w:szCs w:val="20"/>
          <w:lang w:val="fr-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iCs/>
          <w:sz w:val="20"/>
          <w:szCs w:val="20"/>
          <w:lang w:val="fr-CA" w:eastAsia="en-CA"/>
        </w:rPr>
        <w:t>Arrêt</w:t>
      </w:r>
      <w:r w:rsidRPr="00353801">
        <w:rPr>
          <w:rFonts w:eastAsia="Times New Roman" w:cs="Times New Roman"/>
          <w:iCs/>
          <w:sz w:val="20"/>
          <w:szCs w:val="20"/>
          <w:lang w:val="fr-CA" w:eastAsia="en-CA"/>
        </w:rPr>
        <w:t> :</w:t>
      </w:r>
      <w:r w:rsidRPr="00353801">
        <w:rPr>
          <w:rFonts w:eastAsia="Times New Roman" w:cs="Times New Roman"/>
          <w:sz w:val="20"/>
          <w:szCs w:val="20"/>
          <w:lang w:val="fr-CA" w:eastAsia="en-CA"/>
        </w:rPr>
        <w:t xml:space="preserve"> </w:t>
      </w:r>
      <w:r w:rsidRPr="00353801">
        <w:rPr>
          <w:rFonts w:eastAsia="Times New Roman" w:cs="Times New Roman"/>
          <w:noProof/>
          <w:sz w:val="20"/>
          <w:szCs w:val="20"/>
          <w:lang w:val="fr-CA" w:eastAsia="en-CA"/>
        </w:rPr>
        <w:t xml:space="preserve">Le premier jugement déclaratoire est accordé : les Métis et les Indiens non inscrits sont des « Indiens » visés au par. 91(24). Le pourvoi est donc accueilli en partie. </w:t>
      </w:r>
      <w:r w:rsidRPr="00353801">
        <w:rPr>
          <w:rFonts w:eastAsia="Times New Roman" w:cs="Times New Roman"/>
          <w:sz w:val="20"/>
          <w:szCs w:val="20"/>
          <w:lang w:val="fr-CA" w:eastAsia="en-CA"/>
        </w:rPr>
        <w:t xml:space="preserve">La conclusion de la Cour d’appel fédérale selon laquelle </w:t>
      </w:r>
      <w:r w:rsidRPr="00353801">
        <w:rPr>
          <w:rFonts w:eastAsia="Times New Roman" w:cs="Times New Roman"/>
          <w:noProof/>
          <w:sz w:val="20"/>
          <w:szCs w:val="20"/>
          <w:lang w:val="fr-CA" w:eastAsia="en-CA"/>
        </w:rPr>
        <w:t xml:space="preserve">le premier jugement déclaratoire devrait exclure les Indiens non inscrits ou ne s’appliquer qu’aux Métis qui satisfont aux critères énoncés dans l’arrêt </w:t>
      </w:r>
      <w:r w:rsidRPr="00353801">
        <w:rPr>
          <w:rFonts w:eastAsia="Times New Roman" w:cs="Times New Roman"/>
          <w:i/>
          <w:noProof/>
          <w:sz w:val="20"/>
          <w:szCs w:val="20"/>
          <w:lang w:val="fr-CA" w:eastAsia="en-CA"/>
        </w:rPr>
        <w:t>Powley</w:t>
      </w:r>
      <w:r w:rsidRPr="00353801">
        <w:rPr>
          <w:rFonts w:eastAsia="Times New Roman" w:cs="Times New Roman"/>
          <w:noProof/>
          <w:sz w:val="20"/>
          <w:szCs w:val="20"/>
          <w:lang w:val="fr-CA" w:eastAsia="en-CA"/>
        </w:rPr>
        <w:t xml:space="preserve"> est annulée, et la décision du juge de première instance est rétablie.</w:t>
      </w:r>
      <w:r w:rsidRPr="00353801">
        <w:rPr>
          <w:rFonts w:eastAsia="Times New Roman" w:cs="Times New Roman"/>
          <w:sz w:val="20"/>
          <w:szCs w:val="20"/>
          <w:lang w:val="fr-CA" w:eastAsia="en-CA"/>
        </w:rPr>
        <w:t xml:space="preserve"> La décision du juge de première instance et de la Cour d’appel fédérale de ne pas rendre les deuxième et troisième jugements déclaratoires demandés est confirmée. Le pourvoi incident est rejeté. </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Un jugement déclaratoire ne peut être rendu que s’il a une utilité pratique, c’est</w:t>
      </w:r>
      <w:r w:rsidRPr="00353801">
        <w:rPr>
          <w:rFonts w:eastAsia="Times New Roman" w:cs="Times New Roman"/>
          <w:sz w:val="20"/>
          <w:szCs w:val="20"/>
          <w:lang w:val="fr-CA" w:eastAsia="en-CA"/>
        </w:rPr>
        <w:noBreakHyphen/>
        <w:t>à</w:t>
      </w:r>
      <w:r w:rsidRPr="00353801">
        <w:rPr>
          <w:rFonts w:eastAsia="Times New Roman" w:cs="Times New Roman"/>
          <w:sz w:val="20"/>
          <w:szCs w:val="20"/>
          <w:lang w:val="fr-CA" w:eastAsia="en-CA"/>
        </w:rPr>
        <w:noBreakHyphen/>
        <w:t>dire s’il règle un « litige actuel » entre les parties. Le premier jugement déclaratoire demandé, à savoir que les Indiens non inscrits et les Métis sont des « Indiens » visés au par. 91(24), aurait une utilité pratique considérable pour ces deux groupes, lesquels ont dû compter davantage sur une forme de « Noblesse oblige » que sur le respect des obligations imposées par la Constitution. Un jugement déclaratoire garantirait à la fois certitude et responsabilité. Le gouvernement fédéral et les gouvernements provinciaux ont tour à tour nié avoir le pouvoir de légiférer à l’égard des Indiens non inscrits et des Métis. Ces collectivités autochtones se retrouvent donc dans une sorte de désert juridique sur le plan de la compétence législative, situation qui a des conséquences défavorables importantes et évidentes. Bien que le fait de conclure que les Métis et les Indiens non inscrits sont des « Indiens » visés au par. 91(24) ne crée aucune obligation de légiférer, une telle conclusion a indéniablement l’effet bénéfique de mettre fin au bras de fer sur la questio</w:t>
      </w:r>
      <w:r>
        <w:rPr>
          <w:rFonts w:eastAsia="Times New Roman" w:cs="Times New Roman"/>
          <w:sz w:val="20"/>
          <w:szCs w:val="20"/>
          <w:lang w:val="fr-CA" w:eastAsia="en-CA"/>
        </w:rPr>
        <w:t>n de la compétence législative.</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noProof/>
          <w:sz w:val="20"/>
          <w:szCs w:val="20"/>
          <w:lang w:val="fr-CA" w:eastAsia="en-CA"/>
        </w:rPr>
        <w:t xml:space="preserve">Il n’est pas nécessaire d’identifier les collectivités d’ascendance mixte formées de Métis et celles formées d’Indiens non inscrits. Tous ces groupes sont des « Indiens » visés au par. 91(24), puisqu’ils sont tous des peuples autochtones. </w:t>
      </w:r>
      <w:r w:rsidRPr="00353801">
        <w:rPr>
          <w:rFonts w:eastAsia="Times New Roman" w:cs="Times New Roman"/>
          <w:sz w:val="20"/>
          <w:szCs w:val="20"/>
          <w:lang w:val="fr-CA" w:eastAsia="en-CA"/>
        </w:rPr>
        <w:t xml:space="preserve">Le mot « Indiens » a longtemps été utilisé comme terme générique désignant tous les peuples autochtones, y compris les collectivités d’ascendance mixte comme les Métis. Avant et après la Confédération, le gouvernement a fréquemment qualifié d’Indiens les peuples autochtones ayant des origines mixtes européennes et autochtones. Historiquement, considéré dans la perspective des objectifs plus généraux de la Confédération, l’objet du par. 91(24) indique également que, depuis 1867, le mot « Indiens » s’entend de tous les peuples autochtones, y compris les Métis. </w:t>
      </w:r>
    </w:p>
    <w:p w:rsidR="00353801" w:rsidRPr="00353801" w:rsidRDefault="00353801" w:rsidP="00353801">
      <w:pPr>
        <w:tabs>
          <w:tab w:val="left" w:pos="1168"/>
        </w:tabs>
        <w:jc w:val="both"/>
        <w:rPr>
          <w:rFonts w:eastAsia="Times New Roman" w:cs="Times New Roman"/>
          <w:noProof/>
          <w:sz w:val="20"/>
          <w:szCs w:val="20"/>
          <w:lang w:val="fr-CA" w:eastAsia="en-CA"/>
        </w:rPr>
      </w:pPr>
    </w:p>
    <w:p w:rsidR="00353801" w:rsidRDefault="00353801" w:rsidP="00353801">
      <w:pPr>
        <w:tabs>
          <w:tab w:val="left" w:pos="1170"/>
        </w:tabs>
        <w:jc w:val="both"/>
        <w:rPr>
          <w:rFonts w:eastAsiaTheme="minorEastAsia" w:cs="Times New Roman"/>
          <w:sz w:val="20"/>
          <w:szCs w:val="20"/>
          <w:lang w:val="fr-CA"/>
        </w:rPr>
      </w:pPr>
      <w:r w:rsidRPr="00353801">
        <w:rPr>
          <w:rFonts w:eastAsiaTheme="minorEastAsia" w:cs="Times New Roman"/>
          <w:sz w:val="20"/>
          <w:szCs w:val="20"/>
          <w:lang w:val="fr-CA"/>
        </w:rPr>
        <w:tab/>
        <w:t xml:space="preserve">D’ailleurs, le gouvernement fédéral a parfois considéré qu’il pouvait légiférer sur les Métis en tant qu’« Indiens », et les a inclus dans l’exercice de sa compétence sur les « Indiens », par exemple en envoyant de nombreux Métis dans des pensionnats indiens, un tort du passé pour lequel il a depuis présenté ses excuses. De plus, bien qu’il ne définisse pas la portée du par. 91(24), l’art. 35 de la </w:t>
      </w:r>
      <w:r w:rsidRPr="00353801">
        <w:rPr>
          <w:rFonts w:eastAsiaTheme="minorEastAsia" w:cs="Times New Roman"/>
          <w:i/>
          <w:sz w:val="20"/>
          <w:szCs w:val="20"/>
          <w:lang w:val="fr-CA"/>
        </w:rPr>
        <w:t>Loi constitutionnelle de 1982</w:t>
      </w:r>
      <w:r w:rsidRPr="00353801">
        <w:rPr>
          <w:rFonts w:eastAsiaTheme="minorEastAsia" w:cs="Times New Roman"/>
          <w:sz w:val="20"/>
          <w:szCs w:val="20"/>
          <w:lang w:val="fr-CA"/>
        </w:rPr>
        <w:t xml:space="preserve"> énonce que les Indiens, les Inuit et les Métis sont des peuples autochtones pour l’application de la Constitution. La Cour a souligné que l’art. 35 et le par. 91(24) doivent être interprétés conjointement. Le terme « Indiens » a donc deux sens en contexte constitutionnel : un sens large, au par. 91(24), qui inclut tant les Métis que les Inuit et que l’on peut assimiler à celui de l’expression « peuples autochtones du Canada » employée à l’art. 35; et un sens plus restreint, qui distingue les bandes indiennes des autres peuples autochtones. Il serait anormal d’un point de vue constitutionnel que les Métis constituent le seul peuple autochtone à être reconnu et inclus à l’art. 35, tout en étant par ailleurs exclu du champ d’application du par. 91(24).</w:t>
      </w:r>
    </w:p>
    <w:p w:rsidR="00EF3777" w:rsidRDefault="00EF3777" w:rsidP="00353801">
      <w:pPr>
        <w:tabs>
          <w:tab w:val="left" w:pos="1170"/>
        </w:tabs>
        <w:jc w:val="both"/>
        <w:rPr>
          <w:rFonts w:eastAsiaTheme="minorEastAsia" w:cs="Times New Roman"/>
          <w:sz w:val="20"/>
          <w:szCs w:val="20"/>
          <w:lang w:val="fr-CA"/>
        </w:rPr>
      </w:pPr>
    </w:p>
    <w:p w:rsidR="00353801" w:rsidRDefault="00353801" w:rsidP="00353801">
      <w:pPr>
        <w:tabs>
          <w:tab w:val="left" w:pos="1170"/>
        </w:tabs>
        <w:jc w:val="both"/>
        <w:rPr>
          <w:rFonts w:eastAsiaTheme="minorEastAsia" w:cs="Times New Roman"/>
          <w:sz w:val="20"/>
          <w:szCs w:val="20"/>
          <w:lang w:val="fr-CA"/>
        </w:rPr>
      </w:pPr>
      <w:r w:rsidRPr="00353801">
        <w:rPr>
          <w:rFonts w:eastAsiaTheme="minorEastAsia" w:cs="Times New Roman"/>
          <w:sz w:val="20"/>
          <w:szCs w:val="20"/>
          <w:lang w:val="fr-CA"/>
        </w:rPr>
        <w:tab/>
      </w:r>
      <w:r w:rsidRPr="00353801">
        <w:rPr>
          <w:rFonts w:eastAsiaTheme="minorEastAsia" w:cs="Times New Roman"/>
          <w:noProof/>
          <w:sz w:val="20"/>
          <w:szCs w:val="20"/>
          <w:lang w:val="fr-CA"/>
        </w:rPr>
        <w:t>La jurisprudence permet également de conclure que les Métis sont des « Indiens » visés au par. 91(24).</w:t>
      </w:r>
      <w:r w:rsidRPr="00353801">
        <w:rPr>
          <w:rFonts w:eastAsiaTheme="minorEastAsia" w:cs="Times New Roman"/>
          <w:sz w:val="20"/>
          <w:szCs w:val="20"/>
          <w:lang w:val="fr-CA"/>
        </w:rPr>
        <w:t xml:space="preserve"> Elle montre que </w:t>
      </w:r>
      <w:r w:rsidRPr="00353801">
        <w:rPr>
          <w:rFonts w:eastAsiaTheme="minorEastAsia" w:cs="Times New Roman"/>
          <w:noProof/>
          <w:sz w:val="20"/>
          <w:szCs w:val="20"/>
          <w:lang w:val="fr-CA"/>
        </w:rPr>
        <w:t>les mariages entre Indiens et non</w:t>
      </w:r>
      <w:r w:rsidRPr="00353801">
        <w:rPr>
          <w:rFonts w:eastAsiaTheme="minorEastAsia" w:cs="Times New Roman"/>
          <w:noProof/>
          <w:sz w:val="20"/>
          <w:szCs w:val="20"/>
          <w:lang w:val="fr-CA"/>
        </w:rPr>
        <w:noBreakHyphen/>
        <w:t>Indiens et l’ascendance mixte n’empêchent pas l’inclusion d’un groupe dans le champ d’application du par. 91(24). Le caractère distinct d’un groupe qui forme un peuple ayant une identité et une histoire uniques et dont les membres s’identifient comme un groupe distinct des Indiens ne fait pas obstacle à l’inclusion dans le champ d’application du par. 91(24). La question de savoir si des personnes données sont des Indiens non inscrits ou des Métis, et donc des « Indiens » visés au par. 91(24), — ou encore si une collectivité en particulier est formée de telles personnes — est une question de fait qui devra être décidée au cas par cas dans le futur</w:t>
      </w:r>
      <w:r w:rsidRPr="00353801">
        <w:rPr>
          <w:rFonts w:eastAsiaTheme="minorEastAsia" w:cs="Times New Roman"/>
          <w:sz w:val="20"/>
          <w:szCs w:val="20"/>
          <w:lang w:val="fr-CA"/>
        </w:rPr>
        <w:t xml:space="preserve">. </w:t>
      </w:r>
    </w:p>
    <w:p w:rsidR="00353801" w:rsidRPr="00353801" w:rsidRDefault="00353801" w:rsidP="00353801">
      <w:pPr>
        <w:tabs>
          <w:tab w:val="left" w:pos="1170"/>
        </w:tabs>
        <w:jc w:val="both"/>
        <w:rPr>
          <w:rFonts w:eastAsiaTheme="minorEastAsia" w:cs="Times New Roman"/>
          <w:sz w:val="20"/>
          <w:szCs w:val="20"/>
          <w:lang w:val="fr-CA"/>
        </w:rPr>
      </w:pPr>
    </w:p>
    <w:p w:rsidR="00353801" w:rsidRDefault="00353801" w:rsidP="00353801">
      <w:pPr>
        <w:tabs>
          <w:tab w:val="left" w:pos="1170"/>
        </w:tabs>
        <w:jc w:val="both"/>
        <w:rPr>
          <w:rFonts w:eastAsiaTheme="minorEastAsia" w:cs="Times New Roman"/>
          <w:noProof/>
          <w:sz w:val="20"/>
          <w:szCs w:val="20"/>
          <w:lang w:val="fr-CA"/>
        </w:rPr>
      </w:pPr>
      <w:r w:rsidRPr="00353801">
        <w:rPr>
          <w:rFonts w:eastAsiaTheme="minorEastAsia" w:cs="Times New Roman"/>
          <w:sz w:val="20"/>
          <w:szCs w:val="20"/>
          <w:lang w:val="fr-CA"/>
        </w:rPr>
        <w:tab/>
        <w:t xml:space="preserve">Relativement à la question de savoir </w:t>
      </w:r>
      <w:r w:rsidRPr="00353801">
        <w:rPr>
          <w:rFonts w:eastAsiaTheme="minorEastAsia" w:cs="Times New Roman"/>
          <w:noProof/>
          <w:sz w:val="20"/>
          <w:szCs w:val="20"/>
          <w:lang w:val="fr-CA"/>
        </w:rPr>
        <w:t xml:space="preserve">s’il y a lieu, pour l’application du par. 91(24), de restreindre la portée du terme « Métis » aux trois critères définitoires énoncés dans l’arrêt </w:t>
      </w:r>
      <w:r w:rsidRPr="00353801">
        <w:rPr>
          <w:rFonts w:eastAsiaTheme="minorEastAsia" w:cs="Times New Roman"/>
          <w:i/>
          <w:noProof/>
          <w:sz w:val="20"/>
          <w:szCs w:val="20"/>
          <w:lang w:val="fr-CA"/>
        </w:rPr>
        <w:t>Powley</w:t>
      </w:r>
      <w:r w:rsidRPr="00353801">
        <w:rPr>
          <w:rFonts w:eastAsiaTheme="minorEastAsia" w:cs="Times New Roman"/>
          <w:noProof/>
          <w:sz w:val="20"/>
          <w:szCs w:val="20"/>
          <w:lang w:val="fr-CA"/>
        </w:rPr>
        <w:t>, conformément à la décision de la Cour d’appel fédérale, ou s’il faut plutôt élargir les critères d’appartenance</w:t>
      </w:r>
      <w:r w:rsidRPr="00353801">
        <w:rPr>
          <w:rFonts w:eastAsiaTheme="minorEastAsia" w:cs="Times New Roman"/>
          <w:sz w:val="20"/>
          <w:szCs w:val="20"/>
          <w:lang w:val="fr-CA"/>
        </w:rPr>
        <w:t>, il</w:t>
      </w:r>
      <w:r w:rsidRPr="00353801">
        <w:rPr>
          <w:rFonts w:eastAsiaTheme="minorEastAsia" w:cs="Times New Roman"/>
          <w:noProof/>
          <w:sz w:val="20"/>
          <w:szCs w:val="20"/>
          <w:lang w:val="fr-CA"/>
        </w:rPr>
        <w:t xml:space="preserve"> n’existe aucune raison logique justifiant de priver présomptivement et arbitrairement certains Métis de la protection qu’offre le pouvoir de légiférer du Parlement sur la base du troisième critère, soit celui requérant leur « acceptation par la collectivité ». </w:t>
      </w:r>
      <w:r w:rsidRPr="00353801">
        <w:rPr>
          <w:rFonts w:eastAsiaTheme="minorEastAsia" w:cs="Times New Roman"/>
          <w:sz w:val="20"/>
          <w:szCs w:val="20"/>
          <w:lang w:val="fr-CA"/>
        </w:rPr>
        <w:t xml:space="preserve">Les critères de l’arrêt </w:t>
      </w:r>
      <w:r w:rsidRPr="00353801">
        <w:rPr>
          <w:rFonts w:eastAsiaTheme="minorEastAsia" w:cs="Times New Roman"/>
          <w:i/>
          <w:sz w:val="20"/>
          <w:szCs w:val="20"/>
          <w:lang w:val="fr-CA"/>
        </w:rPr>
        <w:t>Powley</w:t>
      </w:r>
      <w:r w:rsidRPr="00353801">
        <w:rPr>
          <w:rFonts w:eastAsiaTheme="minorEastAsia" w:cs="Times New Roman"/>
          <w:sz w:val="20"/>
          <w:szCs w:val="20"/>
          <w:lang w:val="fr-CA"/>
        </w:rPr>
        <w:t xml:space="preserve"> ont été établis spécialement pour l’application de l’art. 35, lequel a pour objet de </w:t>
      </w:r>
      <w:r w:rsidRPr="00353801">
        <w:rPr>
          <w:rFonts w:eastAsiaTheme="minorEastAsia" w:cs="Times New Roman"/>
          <w:noProof/>
          <w:sz w:val="20"/>
          <w:szCs w:val="20"/>
          <w:lang w:val="fr-CA"/>
        </w:rPr>
        <w:t>protéger des droits collectifs historiques</w:t>
      </w:r>
      <w:r w:rsidRPr="00353801">
        <w:rPr>
          <w:rFonts w:eastAsiaTheme="minorEastAsia" w:cs="Times New Roman"/>
          <w:sz w:val="20"/>
          <w:szCs w:val="20"/>
          <w:lang w:val="fr-CA"/>
        </w:rPr>
        <w:t xml:space="preserve">. </w:t>
      </w:r>
      <w:r w:rsidRPr="00353801">
        <w:rPr>
          <w:rFonts w:eastAsiaTheme="minorEastAsia" w:cs="Times New Roman"/>
          <w:noProof/>
          <w:sz w:val="20"/>
          <w:szCs w:val="20"/>
          <w:lang w:val="fr-CA"/>
        </w:rPr>
        <w:t>Le paragraphe 91(24) vise pour sa part un objectif constitutionnel très différent.</w:t>
      </w:r>
    </w:p>
    <w:p w:rsidR="00353801" w:rsidRPr="00353801" w:rsidRDefault="00353801" w:rsidP="00353801">
      <w:pPr>
        <w:tabs>
          <w:tab w:val="left" w:pos="1170"/>
        </w:tabs>
        <w:jc w:val="both"/>
        <w:rPr>
          <w:rFonts w:eastAsiaTheme="minorEastAsia" w:cs="Times New Roman"/>
          <w:noProof/>
          <w:sz w:val="20"/>
          <w:szCs w:val="20"/>
          <w:lang w:val="fr-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 xml:space="preserve">Les modifications constitutionnelles, les excuses pour les torts du passé, la reconnaissance grandissante du fait que les peuples autochtones et non autochtones sont des partenaires dans la Confédération, de même que le </w:t>
      </w:r>
      <w:r w:rsidRPr="00353801">
        <w:rPr>
          <w:rFonts w:eastAsia="Times New Roman" w:cs="Times New Roman"/>
          <w:i/>
          <w:sz w:val="20"/>
          <w:szCs w:val="20"/>
          <w:lang w:val="fr-CA" w:eastAsia="en-CA"/>
        </w:rPr>
        <w:t xml:space="preserve">Rapport de la Commission royale sur les peuples autochtones </w:t>
      </w:r>
      <w:r w:rsidRPr="00353801">
        <w:rPr>
          <w:rFonts w:eastAsia="Times New Roman" w:cs="Times New Roman"/>
          <w:sz w:val="20"/>
          <w:szCs w:val="20"/>
          <w:lang w:val="fr-CA" w:eastAsia="en-CA"/>
        </w:rPr>
        <w:t xml:space="preserve">et le </w:t>
      </w:r>
      <w:r w:rsidRPr="00353801">
        <w:rPr>
          <w:rFonts w:eastAsia="Times New Roman" w:cs="Times New Roman"/>
          <w:i/>
          <w:sz w:val="20"/>
          <w:szCs w:val="20"/>
          <w:lang w:val="fr-CA" w:eastAsia="en-CA"/>
        </w:rPr>
        <w:t>Rapport final de la Commission de vérité et réconciliation du Canada</w:t>
      </w:r>
      <w:r w:rsidRPr="00353801">
        <w:rPr>
          <w:rFonts w:eastAsia="Times New Roman" w:cs="Times New Roman"/>
          <w:sz w:val="20"/>
          <w:szCs w:val="20"/>
          <w:lang w:val="fr-CA" w:eastAsia="en-CA"/>
        </w:rPr>
        <w:t xml:space="preserve">, indiquent tous qu’une réconciliation avec </w:t>
      </w:r>
      <w:r w:rsidRPr="00353801">
        <w:rPr>
          <w:rFonts w:eastAsia="Times New Roman" w:cs="Times New Roman"/>
          <w:i/>
          <w:sz w:val="20"/>
          <w:szCs w:val="20"/>
          <w:lang w:val="fr-CA" w:eastAsia="en-CA"/>
        </w:rPr>
        <w:t>l’ensemble</w:t>
      </w:r>
      <w:r w:rsidRPr="00353801">
        <w:rPr>
          <w:rFonts w:eastAsia="Times New Roman" w:cs="Times New Roman"/>
          <w:sz w:val="20"/>
          <w:szCs w:val="20"/>
          <w:lang w:val="fr-CA" w:eastAsia="en-CA"/>
        </w:rPr>
        <w:t xml:space="preserve"> des peuples autochtones du Canada est l’objectif du Parlement.</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noProof/>
          <w:sz w:val="20"/>
          <w:szCs w:val="20"/>
          <w:lang w:val="fr-CA" w:eastAsia="en-CA"/>
        </w:rPr>
      </w:pPr>
      <w:r w:rsidRPr="00353801">
        <w:rPr>
          <w:rFonts w:eastAsia="Times New Roman" w:cs="Times New Roman"/>
          <w:sz w:val="20"/>
          <w:szCs w:val="20"/>
          <w:lang w:val="fr-CA" w:eastAsia="en-CA"/>
        </w:rPr>
        <w:tab/>
        <w:t xml:space="preserve">Les contextes historique, philosophique et linguistique établissent que les « Indiens » visés au par. 91(24) englobent </w:t>
      </w:r>
      <w:r w:rsidRPr="00353801">
        <w:rPr>
          <w:rFonts w:eastAsia="Times New Roman" w:cs="Times New Roman"/>
          <w:i/>
          <w:sz w:val="20"/>
          <w:szCs w:val="20"/>
          <w:lang w:val="fr-CA" w:eastAsia="en-CA"/>
        </w:rPr>
        <w:t xml:space="preserve">tous </w:t>
      </w:r>
      <w:r w:rsidRPr="00353801">
        <w:rPr>
          <w:rFonts w:eastAsia="Times New Roman" w:cs="Times New Roman"/>
          <w:sz w:val="20"/>
          <w:szCs w:val="20"/>
          <w:lang w:val="fr-CA" w:eastAsia="en-CA"/>
        </w:rPr>
        <w:t xml:space="preserve">les peuples autochtones, y compris les Indiens non inscrits et les Métis. </w:t>
      </w:r>
      <w:r w:rsidRPr="00353801">
        <w:rPr>
          <w:rFonts w:eastAsia="Times New Roman" w:cs="Times New Roman"/>
          <w:noProof/>
          <w:sz w:val="20"/>
          <w:szCs w:val="20"/>
          <w:lang w:val="fr-CA" w:eastAsia="en-CA"/>
        </w:rPr>
        <w:t>Il y a donc lieu d’accorder le premier jugement déclaratoire demandé.</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noProof/>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noProof/>
          <w:sz w:val="20"/>
          <w:szCs w:val="20"/>
          <w:lang w:val="fr-CA" w:eastAsia="en-CA"/>
        </w:rPr>
        <w:t xml:space="preserve">Le fait que le gouvernement fédéral ait compétence à l’égard des Métis et des Indiens non inscrits ne signifie pas que toute mesure législative provinciale les concernant est intrinsèquement </w:t>
      </w:r>
      <w:r w:rsidRPr="00353801">
        <w:rPr>
          <w:rFonts w:eastAsia="Times New Roman" w:cs="Times New Roman"/>
          <w:i/>
          <w:noProof/>
          <w:sz w:val="20"/>
          <w:szCs w:val="20"/>
          <w:lang w:val="fr-CA" w:eastAsia="en-CA"/>
        </w:rPr>
        <w:t>ultra vires</w:t>
      </w:r>
      <w:r w:rsidRPr="00353801">
        <w:rPr>
          <w:rFonts w:eastAsia="Times New Roman" w:cs="Times New Roman"/>
          <w:noProof/>
          <w:sz w:val="20"/>
          <w:szCs w:val="20"/>
          <w:lang w:val="fr-CA" w:eastAsia="en-CA"/>
        </w:rPr>
        <w:t>. Comme l’a reconnu notre Cour, il importe que les tribunaux privilégient, dans la mesure du possible, l’application des lois édictées par les deux ordres de gouvernement.</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POURVOI et POURVOI INCIDENT contre un arrêt de la Cour d’appel fédérale (les juges Noël, Dawson et Trudel), 2014 CAF 101, [2014] 4 R.C.F. 97, 371 D.L.R. (4th) 725, 457 N.R. 347, [2014] 3 C.N.L.R. 139, 309 C.R.R. (2d) 200, [2014] A.C.F. n</w:t>
      </w:r>
      <w:r w:rsidRPr="00353801">
        <w:rPr>
          <w:rFonts w:eastAsia="Times New Roman" w:cs="Times New Roman"/>
          <w:sz w:val="20"/>
          <w:szCs w:val="20"/>
          <w:vertAlign w:val="superscript"/>
          <w:lang w:val="fr-CA" w:eastAsia="en-CA"/>
        </w:rPr>
        <w:t>o</w:t>
      </w:r>
      <w:r w:rsidRPr="00353801">
        <w:rPr>
          <w:rFonts w:eastAsia="Times New Roman" w:cs="Times New Roman"/>
          <w:sz w:val="20"/>
          <w:szCs w:val="20"/>
          <w:lang w:val="fr-CA" w:eastAsia="en-CA"/>
        </w:rPr>
        <w:t> 383 (QL), 2014 CarswellNat 1077 (WL Can.), qui a infirmé en partie une décision du juge Phelan, 2013 CF 6, [2013] 2 R.C.F. 268, 357 D.L.R. (4th) 47, 426 F.T.R. 1, [2013] 2 C.N.L.R. 61, [2013] A.C.F. n</w:t>
      </w:r>
      <w:r w:rsidRPr="00353801">
        <w:rPr>
          <w:rFonts w:eastAsia="Times New Roman" w:cs="Times New Roman"/>
          <w:sz w:val="20"/>
          <w:szCs w:val="20"/>
          <w:vertAlign w:val="superscript"/>
          <w:lang w:val="fr-CA" w:eastAsia="en-CA"/>
        </w:rPr>
        <w:t>o</w:t>
      </w:r>
      <w:r w:rsidRPr="00353801">
        <w:rPr>
          <w:rFonts w:eastAsia="Times New Roman" w:cs="Times New Roman"/>
          <w:sz w:val="20"/>
          <w:szCs w:val="20"/>
          <w:lang w:val="fr-CA" w:eastAsia="en-CA"/>
        </w:rPr>
        <w:t xml:space="preserve"> 4 (QL), 2013 CarswellNat 9 (WL Can.). Pourvoi accueilli en partie et pourvoi incident rejeté.</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Joseph Eliot Magnet</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Andrew K. Lokan</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Lindsay Scott</w:t>
      </w:r>
      <w:r w:rsidRPr="00353801">
        <w:rPr>
          <w:rFonts w:eastAsia="Times New Roman" w:cs="Times New Roman"/>
          <w:sz w:val="20"/>
          <w:szCs w:val="20"/>
          <w:lang w:val="fr-CA" w:eastAsia="en-CA"/>
        </w:rPr>
        <w:t>, pour les appelants/intimés au pourvoi incident.</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Mark R. Kindrachuk</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c.r.</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Christopher M. Rupar</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Shauna K. Bedingfield</w:t>
      </w:r>
      <w:r w:rsidRPr="00353801">
        <w:rPr>
          <w:rFonts w:eastAsia="Times New Roman" w:cs="Times New Roman"/>
          <w:sz w:val="20"/>
          <w:szCs w:val="20"/>
          <w:lang w:val="fr-CA" w:eastAsia="en-CA"/>
        </w:rPr>
        <w:t>, pour les intimés/appelants au pourvoi incident.</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P. Mitch McAdam</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c.r.</w:t>
      </w:r>
      <w:r w:rsidRPr="00353801">
        <w:rPr>
          <w:rFonts w:eastAsia="Times New Roman" w:cs="Times New Roman"/>
          <w:sz w:val="20"/>
          <w:szCs w:val="20"/>
          <w:lang w:val="fr-CA" w:eastAsia="en-CA"/>
        </w:rPr>
        <w:t>, pour l’intervenant le procureur général de la Saskatchewan.</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Angela Edgington</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Neil Dobson</w:t>
      </w:r>
      <w:r w:rsidRPr="00353801">
        <w:rPr>
          <w:rFonts w:eastAsia="Times New Roman" w:cs="Times New Roman"/>
          <w:sz w:val="20"/>
          <w:szCs w:val="20"/>
          <w:lang w:val="fr-CA" w:eastAsia="en-CA"/>
        </w:rPr>
        <w:t>, pour l’intervenant le procureur général de l’Alberta.</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 xml:space="preserve">Argumentation écrite seulement par </w:t>
      </w:r>
      <w:r w:rsidRPr="00353801">
        <w:rPr>
          <w:rFonts w:eastAsia="Times New Roman" w:cs="Times New Roman"/>
          <w:i/>
          <w:sz w:val="20"/>
          <w:szCs w:val="20"/>
          <w:lang w:val="fr-CA" w:eastAsia="en-CA"/>
        </w:rPr>
        <w:t>D. Bruce Clarke</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c.r.</w:t>
      </w:r>
      <w:r w:rsidRPr="00353801">
        <w:rPr>
          <w:rFonts w:eastAsia="Times New Roman" w:cs="Times New Roman"/>
          <w:sz w:val="20"/>
          <w:szCs w:val="20"/>
          <w:lang w:val="fr-CA" w:eastAsia="en-CA"/>
        </w:rPr>
        <w:t>, pour les intervenants Native Council of Nova Scotia, New Brunswick Aboriginal Peoples Council et Native Council of Prince Edward Island.</w:t>
      </w: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Garry Appelt</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Keltie Lambert</w:t>
      </w:r>
      <w:r w:rsidRPr="00353801">
        <w:rPr>
          <w:rFonts w:eastAsia="Times New Roman" w:cs="Times New Roman"/>
          <w:sz w:val="20"/>
          <w:szCs w:val="20"/>
          <w:lang w:val="fr-CA" w:eastAsia="en-CA"/>
        </w:rPr>
        <w:t>, pour l’intervenant Metis Settlements General Council.</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t xml:space="preserve">Argumentation écrite seulement par </w:t>
      </w:r>
      <w:r w:rsidRPr="00353801">
        <w:rPr>
          <w:rFonts w:eastAsia="Times New Roman" w:cs="Times New Roman"/>
          <w:i/>
          <w:sz w:val="20"/>
          <w:szCs w:val="20"/>
          <w:lang w:val="fr-CA" w:eastAsia="en-CA"/>
        </w:rPr>
        <w:t>Robert J. M. Janes</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Elin R. S. Sigurdson</w:t>
      </w:r>
      <w:r w:rsidRPr="00353801">
        <w:rPr>
          <w:rFonts w:eastAsia="Times New Roman" w:cs="Times New Roman"/>
          <w:sz w:val="20"/>
          <w:szCs w:val="20"/>
          <w:lang w:val="fr-CA" w:eastAsia="en-CA"/>
        </w:rPr>
        <w:t>, pour l’intervenante Te’mexw Treaty Association.</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Christopher G. Devlin</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John Gailus</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Cynthia Westaway</w:t>
      </w:r>
      <w:r w:rsidRPr="00353801">
        <w:rPr>
          <w:rFonts w:eastAsia="Times New Roman" w:cs="Times New Roman"/>
          <w:sz w:val="20"/>
          <w:szCs w:val="20"/>
          <w:lang w:val="fr-CA" w:eastAsia="en-CA"/>
        </w:rPr>
        <w:t>, pour l’intervenante la Fédération Métisse du Canada.</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Karey M. Brooks</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Claire Truesdale</w:t>
      </w:r>
      <w:r w:rsidRPr="00353801">
        <w:rPr>
          <w:rFonts w:eastAsia="Times New Roman" w:cs="Times New Roman"/>
          <w:sz w:val="20"/>
          <w:szCs w:val="20"/>
          <w:lang w:val="fr-CA" w:eastAsia="en-CA"/>
        </w:rPr>
        <w:t>, pour l’intervenante Aseniwuche Winewak Nation of Canada.</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Scott Robertson</w:t>
      </w:r>
      <w:r w:rsidRPr="00353801">
        <w:rPr>
          <w:rFonts w:eastAsia="Times New Roman" w:cs="Times New Roman"/>
          <w:sz w:val="20"/>
          <w:szCs w:val="20"/>
          <w:lang w:val="fr-CA" w:eastAsia="en-CA"/>
        </w:rPr>
        <w:t>, pour l’intervenant Chiefs of Ontario.</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Paul Seaman</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Maxime Faille</w:t>
      </w:r>
      <w:r w:rsidRPr="00353801">
        <w:rPr>
          <w:rFonts w:eastAsia="Times New Roman" w:cs="Times New Roman"/>
          <w:sz w:val="20"/>
          <w:szCs w:val="20"/>
          <w:lang w:val="fr-CA" w:eastAsia="en-CA"/>
        </w:rPr>
        <w:t>, pour l’intervenant Gift Lake Métis Settlement.</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Marc Watters</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Lina Beaulieu</w:t>
      </w:r>
      <w:r w:rsidRPr="00353801">
        <w:rPr>
          <w:rFonts w:eastAsia="Times New Roman" w:cs="Times New Roman"/>
          <w:sz w:val="20"/>
          <w:szCs w:val="20"/>
          <w:lang w:val="fr-CA" w:eastAsia="en-CA"/>
        </w:rPr>
        <w:t>, pour l’intervenante l’Alliance autochtone du Québec.</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Guy Régimbald</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Jaimie Lickers</w:t>
      </w:r>
      <w:r w:rsidRPr="00353801">
        <w:rPr>
          <w:rFonts w:eastAsia="Times New Roman" w:cs="Times New Roman"/>
          <w:sz w:val="20"/>
          <w:szCs w:val="20"/>
          <w:lang w:val="fr-CA" w:eastAsia="en-CA"/>
        </w:rPr>
        <w:t>, pour l’intervenante l’Assemblée des Premières Nations.</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sz w:val="20"/>
          <w:szCs w:val="20"/>
          <w:lang w:val="fr-CA" w:eastAsia="en-CA"/>
        </w:rPr>
      </w:pPr>
      <w:r w:rsidRPr="00353801">
        <w:rPr>
          <w:rFonts w:eastAsia="Times New Roman" w:cs="Times New Roman"/>
          <w:sz w:val="20"/>
          <w:szCs w:val="20"/>
          <w:lang w:val="fr-CA" w:eastAsia="en-CA"/>
        </w:rPr>
        <w:tab/>
      </w:r>
      <w:r w:rsidRPr="00353801">
        <w:rPr>
          <w:rFonts w:eastAsia="Times New Roman" w:cs="Times New Roman"/>
          <w:i/>
          <w:sz w:val="20"/>
          <w:szCs w:val="20"/>
          <w:lang w:val="fr-CA" w:eastAsia="en-CA"/>
        </w:rPr>
        <w:t>Jason T. Madden</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Clément Chartier</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c.r.</w:t>
      </w:r>
      <w:r w:rsidRPr="00353801">
        <w:rPr>
          <w:rFonts w:eastAsia="Times New Roman" w:cs="Times New Roman"/>
          <w:sz w:val="20"/>
          <w:szCs w:val="20"/>
          <w:lang w:val="fr-CA" w:eastAsia="en-CA"/>
        </w:rPr>
        <w:t xml:space="preserve">, </w:t>
      </w:r>
      <w:r w:rsidRPr="00353801">
        <w:rPr>
          <w:rFonts w:eastAsia="Times New Roman" w:cs="Times New Roman"/>
          <w:i/>
          <w:sz w:val="20"/>
          <w:szCs w:val="20"/>
          <w:lang w:val="fr-CA" w:eastAsia="en-CA"/>
        </w:rPr>
        <w:t>Kathy Hodgson</w:t>
      </w:r>
      <w:r w:rsidRPr="00353801">
        <w:rPr>
          <w:rFonts w:eastAsia="Times New Roman" w:cs="Times New Roman"/>
          <w:i/>
          <w:sz w:val="20"/>
          <w:szCs w:val="20"/>
          <w:lang w:val="fr-CA" w:eastAsia="en-CA"/>
        </w:rPr>
        <w:noBreakHyphen/>
        <w:t>Smith</w:t>
      </w:r>
      <w:r w:rsidRPr="00353801">
        <w:rPr>
          <w:rFonts w:eastAsia="Times New Roman" w:cs="Times New Roman"/>
          <w:sz w:val="20"/>
          <w:szCs w:val="20"/>
          <w:lang w:val="fr-CA" w:eastAsia="en-CA"/>
        </w:rPr>
        <w:t xml:space="preserve"> et </w:t>
      </w:r>
      <w:r w:rsidRPr="00353801">
        <w:rPr>
          <w:rFonts w:eastAsia="Times New Roman" w:cs="Times New Roman"/>
          <w:i/>
          <w:sz w:val="20"/>
          <w:szCs w:val="20"/>
          <w:lang w:val="fr-CA" w:eastAsia="en-CA"/>
        </w:rPr>
        <w:t>Marc Leclair</w:t>
      </w:r>
      <w:r w:rsidRPr="00353801">
        <w:rPr>
          <w:rFonts w:eastAsia="Times New Roman" w:cs="Times New Roman"/>
          <w:sz w:val="20"/>
          <w:szCs w:val="20"/>
          <w:lang w:val="fr-CA" w:eastAsia="en-CA"/>
        </w:rPr>
        <w:t>, pour l’intervenant le Ralliement national des Métis.</w:t>
      </w:r>
    </w:p>
    <w:p w:rsidR="00353801" w:rsidRPr="00353801" w:rsidRDefault="00353801" w:rsidP="00353801">
      <w:pPr>
        <w:tabs>
          <w:tab w:val="left" w:pos="1168"/>
        </w:tabs>
        <w:jc w:val="both"/>
        <w:rPr>
          <w:rFonts w:eastAsia="Times New Roman" w:cs="Times New Roman"/>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des appelants/intimés au pourvoi incident : Université d’Ottawa, Ottawa; Paliare Roland Rosenberg Rothstein, Toronto.</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 des intimés/appelants au pourvoi incident : Procureur général du Canada, Saskatoon, Ottawa et Edmonton.</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 de l’intervenant le procureur général de la Saskatchewan : Procureur général de la Saskatchewan, Regina.</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 de l’intervenant le procureur général de l’Alberta : Procureur général de l’Alberta, Edmonton.</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eastAsia="en-CA"/>
        </w:rPr>
      </w:pPr>
      <w:r w:rsidRPr="00353801">
        <w:rPr>
          <w:rFonts w:eastAsia="Times New Roman" w:cs="Times New Roman"/>
          <w:i/>
          <w:sz w:val="20"/>
          <w:szCs w:val="20"/>
          <w:lang w:val="fr-CA" w:eastAsia="en-CA"/>
        </w:rPr>
        <w:tab/>
      </w:r>
      <w:r w:rsidRPr="00353801">
        <w:rPr>
          <w:rFonts w:eastAsia="Times New Roman" w:cs="Times New Roman"/>
          <w:i/>
          <w:sz w:val="20"/>
          <w:szCs w:val="20"/>
          <w:lang w:eastAsia="en-CA"/>
        </w:rPr>
        <w:t>Procureurs des intervenants Native Council of Nova Scotia, New Brunswick Aboriginal Peoples Council et Native Council of Prince Edward Island : Burchells, Halifax.</w:t>
      </w:r>
    </w:p>
    <w:p w:rsidR="00353801" w:rsidRPr="00353801" w:rsidRDefault="00353801" w:rsidP="00353801">
      <w:pPr>
        <w:tabs>
          <w:tab w:val="left" w:pos="1168"/>
        </w:tabs>
        <w:jc w:val="both"/>
        <w:rPr>
          <w:rFonts w:eastAsia="Times New Roman" w:cs="Times New Roman"/>
          <w:i/>
          <w:sz w:val="20"/>
          <w:szCs w:val="20"/>
          <w:lang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eastAsia="en-CA"/>
        </w:rPr>
        <w:tab/>
      </w:r>
      <w:r w:rsidRPr="00353801">
        <w:rPr>
          <w:rFonts w:eastAsia="Times New Roman" w:cs="Times New Roman"/>
          <w:i/>
          <w:sz w:val="20"/>
          <w:szCs w:val="20"/>
          <w:lang w:val="fr-CA" w:eastAsia="en-CA"/>
        </w:rPr>
        <w:t>Procureurs de l’intervenant Metis Settlements General Council : Witten, Edmonton.</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l’intervenante Te’mexw Treaty Association : JFK Law Corporation, Vancouver.</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l’intervenante la Fédération Métisse du Canada : Devlin Gailus Westaway, Victoria.</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l’intervenante Aseniwuche Winewak Nation of Canada : JFK Law Corporation, Vancouver et Victoria.</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 Chiefs of Ontario : Nahwegahbow, Corbiere Genoodmagejig, Rama, Ontario.</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 Gift Lake Métis Settlement : Gowling WLG (Canada) Inc., Ottawa.</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l’intervenante l’Alliance autochtone du Québec : Gagné Letarte, Québec.</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Procureurs de l’intervenante l’Assemblée des Premières Nations : Gowling WLG (Canada) Inc., Ottawa.</w:t>
      </w:r>
    </w:p>
    <w:p w:rsidR="00353801" w:rsidRPr="00353801" w:rsidRDefault="00353801" w:rsidP="00353801">
      <w:pPr>
        <w:tabs>
          <w:tab w:val="left" w:pos="1168"/>
        </w:tabs>
        <w:jc w:val="both"/>
        <w:rPr>
          <w:rFonts w:eastAsia="Times New Roman" w:cs="Times New Roman"/>
          <w:i/>
          <w:sz w:val="20"/>
          <w:szCs w:val="20"/>
          <w:lang w:val="fr-CA" w:eastAsia="en-CA"/>
        </w:rPr>
      </w:pPr>
    </w:p>
    <w:p w:rsidR="00353801" w:rsidRPr="00353801" w:rsidRDefault="00353801" w:rsidP="00353801">
      <w:pPr>
        <w:tabs>
          <w:tab w:val="left" w:pos="1168"/>
        </w:tabs>
        <w:jc w:val="both"/>
        <w:rPr>
          <w:rFonts w:eastAsia="Times New Roman" w:cs="Times New Roman"/>
          <w:i/>
          <w:sz w:val="20"/>
          <w:szCs w:val="20"/>
          <w:lang w:val="fr-CA" w:eastAsia="en-CA"/>
        </w:rPr>
      </w:pPr>
      <w:r w:rsidRPr="00353801">
        <w:rPr>
          <w:rFonts w:eastAsia="Times New Roman" w:cs="Times New Roman"/>
          <w:i/>
          <w:sz w:val="20"/>
          <w:szCs w:val="20"/>
          <w:lang w:val="fr-CA" w:eastAsia="en-CA"/>
        </w:rPr>
        <w:tab/>
        <w:t>Procureur de l’intervenant le Ralliement national des Métis : Ralliement national des Métis, Ottawa.</w:t>
      </w:r>
    </w:p>
    <w:p w:rsidR="00AC05E3" w:rsidRDefault="00AC05E3" w:rsidP="0022720D">
      <w:pPr>
        <w:rPr>
          <w:rFonts w:cs="Times New Roman"/>
          <w:sz w:val="20"/>
          <w:szCs w:val="20"/>
          <w:lang w:val="fr-CA"/>
        </w:rPr>
      </w:pPr>
    </w:p>
    <w:p w:rsidR="00353801" w:rsidRPr="00353801" w:rsidRDefault="009F3029" w:rsidP="0022720D">
      <w:pPr>
        <w:rPr>
          <w:rFonts w:cs="Times New Roman"/>
          <w:sz w:val="20"/>
          <w:szCs w:val="20"/>
          <w:lang w:val="fr-CA"/>
        </w:rPr>
      </w:pPr>
      <w:r>
        <w:rPr>
          <w:rFonts w:cs="Times New Roman"/>
          <w:sz w:val="20"/>
          <w:szCs w:val="20"/>
          <w:lang w:val="fr-CA"/>
        </w:rPr>
        <w:pict>
          <v:rect id="_x0000_i1117" style="width:144.3pt;height:1pt" o:hrpct="300" o:hralign="center" o:hrstd="t" o:hrnoshade="t" o:hr="t" fillcolor="black [3213]" stroked="f"/>
        </w:pict>
      </w:r>
    </w:p>
    <w:p w:rsidR="0052229C" w:rsidRPr="00D36B56" w:rsidRDefault="008304C7" w:rsidP="0022720D">
      <w:pPr>
        <w:ind w:left="720" w:hanging="720"/>
        <w:rPr>
          <w:rFonts w:eastAsia="Calibri"/>
          <w:b/>
          <w:sz w:val="20"/>
          <w:szCs w:val="20"/>
        </w:rPr>
      </w:pPr>
      <w:r>
        <w:rPr>
          <w:i/>
          <w:sz w:val="20"/>
          <w:szCs w:val="20"/>
        </w:rPr>
        <w:t>Her Majesty the Queen</w:t>
      </w:r>
      <w:r w:rsidR="00D36B56" w:rsidRPr="00D36B56">
        <w:rPr>
          <w:i/>
          <w:sz w:val="20"/>
          <w:szCs w:val="20"/>
        </w:rPr>
        <w:t xml:space="preserve"> v. </w:t>
      </w:r>
      <w:r>
        <w:rPr>
          <w:i/>
          <w:sz w:val="20"/>
          <w:szCs w:val="20"/>
        </w:rPr>
        <w:t xml:space="preserve">Joseph Ryan </w:t>
      </w:r>
      <w:r w:rsidR="00D36B56" w:rsidRPr="00D36B56">
        <w:rPr>
          <w:i/>
          <w:sz w:val="20"/>
          <w:szCs w:val="20"/>
        </w:rPr>
        <w:t>Lloyd</w:t>
      </w:r>
      <w:r>
        <w:rPr>
          <w:i/>
          <w:sz w:val="20"/>
          <w:szCs w:val="20"/>
        </w:rPr>
        <w:t xml:space="preserve"> et al.</w:t>
      </w:r>
      <w:r w:rsidR="0052229C" w:rsidRPr="00D36B56">
        <w:rPr>
          <w:sz w:val="20"/>
          <w:szCs w:val="20"/>
        </w:rPr>
        <w:t xml:space="preserve"> (</w:t>
      </w:r>
      <w:r w:rsidR="00D36B56" w:rsidRPr="00D36B56">
        <w:rPr>
          <w:sz w:val="20"/>
          <w:szCs w:val="20"/>
        </w:rPr>
        <w:t>B.C</w:t>
      </w:r>
      <w:r w:rsidR="0052229C" w:rsidRPr="00D36B56">
        <w:rPr>
          <w:sz w:val="20"/>
          <w:szCs w:val="20"/>
        </w:rPr>
        <w:t>.) (</w:t>
      </w:r>
      <w:hyperlink r:id="rId160" w:history="1">
        <w:r w:rsidR="0052229C" w:rsidRPr="00D36B56">
          <w:rPr>
            <w:rStyle w:val="Hyperlink"/>
            <w:sz w:val="20"/>
            <w:szCs w:val="20"/>
          </w:rPr>
          <w:t>3</w:t>
        </w:r>
        <w:r w:rsidR="00D36B56" w:rsidRPr="00D36B56">
          <w:rPr>
            <w:rStyle w:val="Hyperlink"/>
            <w:sz w:val="20"/>
            <w:szCs w:val="20"/>
          </w:rPr>
          <w:t>5982</w:t>
        </w:r>
      </w:hyperlink>
      <w:r w:rsidR="0052229C" w:rsidRPr="00D36B56">
        <w:rPr>
          <w:sz w:val="20"/>
          <w:szCs w:val="20"/>
        </w:rPr>
        <w:t>)</w:t>
      </w:r>
    </w:p>
    <w:p w:rsidR="0052229C" w:rsidRPr="00D36B56" w:rsidRDefault="0052229C" w:rsidP="0022720D">
      <w:pPr>
        <w:jc w:val="both"/>
        <w:rPr>
          <w:b/>
          <w:sz w:val="20"/>
          <w:szCs w:val="20"/>
        </w:rPr>
      </w:pPr>
      <w:r w:rsidRPr="00D36B56">
        <w:rPr>
          <w:b/>
          <w:sz w:val="20"/>
          <w:szCs w:val="20"/>
        </w:rPr>
        <w:t xml:space="preserve">Indexed as:  R. </w:t>
      </w:r>
      <w:r w:rsidRPr="00D36B56">
        <w:rPr>
          <w:b/>
          <w:i/>
          <w:sz w:val="20"/>
          <w:szCs w:val="20"/>
        </w:rPr>
        <w:t xml:space="preserve">v. </w:t>
      </w:r>
      <w:r w:rsidR="00D36B56" w:rsidRPr="00D36B56">
        <w:rPr>
          <w:rStyle w:val="SCCAppellantForIndexChar"/>
          <w:rFonts w:eastAsiaTheme="minorHAnsi"/>
          <w:sz w:val="20"/>
          <w:lang w:val="en-CA"/>
        </w:rPr>
        <w:t>Lloyd</w:t>
      </w:r>
      <w:r w:rsidRPr="00D36B56">
        <w:rPr>
          <w:rStyle w:val="SCCAppellantForIndexChar"/>
          <w:rFonts w:eastAsiaTheme="minorHAnsi"/>
          <w:sz w:val="20"/>
          <w:lang w:val="en-CA"/>
        </w:rPr>
        <w:t xml:space="preserve"> / </w:t>
      </w:r>
      <w:r w:rsidRPr="00D36B56">
        <w:rPr>
          <w:b/>
          <w:sz w:val="20"/>
          <w:szCs w:val="20"/>
        </w:rPr>
        <w:t xml:space="preserve">Répertorié : R. </w:t>
      </w:r>
      <w:r w:rsidRPr="00D36B56">
        <w:rPr>
          <w:b/>
          <w:i/>
          <w:sz w:val="20"/>
          <w:szCs w:val="20"/>
        </w:rPr>
        <w:t xml:space="preserve">c. </w:t>
      </w:r>
      <w:r w:rsidR="00D36B56">
        <w:rPr>
          <w:rStyle w:val="SCCAppellantForIndexChar"/>
          <w:rFonts w:eastAsiaTheme="minorHAnsi"/>
          <w:sz w:val="20"/>
          <w:lang w:val="en-CA"/>
        </w:rPr>
        <w:t>Lloyd</w:t>
      </w:r>
    </w:p>
    <w:p w:rsidR="0052229C" w:rsidRPr="00D36B56" w:rsidRDefault="0052229C" w:rsidP="0022720D">
      <w:pPr>
        <w:pStyle w:val="SCCSystemYear"/>
        <w:jc w:val="both"/>
        <w:rPr>
          <w:sz w:val="20"/>
        </w:rPr>
      </w:pPr>
      <w:r w:rsidRPr="00D36B56">
        <w:rPr>
          <w:sz w:val="20"/>
        </w:rPr>
        <w:t xml:space="preserve">Neutral citation:  </w:t>
      </w:r>
      <w:r w:rsidR="0030050B" w:rsidRPr="00D36B56">
        <w:rPr>
          <w:sz w:val="20"/>
        </w:rPr>
        <w:t>2016</w:t>
      </w:r>
      <w:r w:rsidRPr="00D36B56">
        <w:rPr>
          <w:sz w:val="20"/>
        </w:rPr>
        <w:t xml:space="preserve"> SCC </w:t>
      </w:r>
      <w:r w:rsidR="00D36B56">
        <w:rPr>
          <w:sz w:val="20"/>
        </w:rPr>
        <w:t>13</w:t>
      </w:r>
      <w:r w:rsidRPr="00D36B56">
        <w:rPr>
          <w:sz w:val="20"/>
        </w:rPr>
        <w:t xml:space="preserve"> / Référence neutre : </w:t>
      </w:r>
      <w:r w:rsidR="0030050B" w:rsidRPr="00D36B56">
        <w:rPr>
          <w:sz w:val="20"/>
        </w:rPr>
        <w:t>2016</w:t>
      </w:r>
      <w:r w:rsidRPr="00D36B56">
        <w:rPr>
          <w:sz w:val="20"/>
        </w:rPr>
        <w:t xml:space="preserve"> CSC </w:t>
      </w:r>
      <w:r w:rsidR="00D36B56">
        <w:rPr>
          <w:sz w:val="20"/>
        </w:rPr>
        <w:t>1</w:t>
      </w:r>
      <w:r w:rsidRPr="00D36B56">
        <w:rPr>
          <w:sz w:val="20"/>
        </w:rPr>
        <w:t>3</w:t>
      </w:r>
    </w:p>
    <w:p w:rsidR="0052229C" w:rsidRPr="00D36B56" w:rsidRDefault="0052229C" w:rsidP="0022720D">
      <w:pPr>
        <w:rPr>
          <w:sz w:val="20"/>
          <w:szCs w:val="20"/>
          <w:lang w:val="fr-CA"/>
        </w:rPr>
      </w:pPr>
      <w:r w:rsidRPr="00D36B56">
        <w:rPr>
          <w:sz w:val="20"/>
          <w:szCs w:val="20"/>
          <w:lang w:val="fr-CA"/>
        </w:rPr>
        <w:t xml:space="preserve">Hearing:  </w:t>
      </w:r>
      <w:r w:rsidR="008304C7">
        <w:rPr>
          <w:sz w:val="20"/>
          <w:szCs w:val="20"/>
          <w:lang w:val="fr-CA"/>
        </w:rPr>
        <w:t>January 13</w:t>
      </w:r>
      <w:r w:rsidRPr="00D36B56">
        <w:rPr>
          <w:sz w:val="20"/>
          <w:szCs w:val="20"/>
          <w:lang w:val="fr-CA"/>
        </w:rPr>
        <w:t>, 201</w:t>
      </w:r>
      <w:r w:rsidR="008304C7">
        <w:rPr>
          <w:sz w:val="20"/>
          <w:szCs w:val="20"/>
          <w:lang w:val="fr-CA"/>
        </w:rPr>
        <w:t>6</w:t>
      </w:r>
      <w:r w:rsidRPr="00D36B56">
        <w:rPr>
          <w:sz w:val="20"/>
          <w:szCs w:val="20"/>
          <w:lang w:val="fr-CA"/>
        </w:rPr>
        <w:t xml:space="preserve"> / Judgment:  </w:t>
      </w:r>
      <w:r w:rsidR="008304C7">
        <w:rPr>
          <w:sz w:val="20"/>
          <w:szCs w:val="20"/>
          <w:lang w:val="fr-CA"/>
        </w:rPr>
        <w:t>April 15</w:t>
      </w:r>
      <w:r w:rsidRPr="00D36B56">
        <w:rPr>
          <w:sz w:val="20"/>
          <w:szCs w:val="20"/>
          <w:lang w:val="fr-CA"/>
        </w:rPr>
        <w:t xml:space="preserve">, </w:t>
      </w:r>
      <w:r w:rsidR="0030050B" w:rsidRPr="00D36B56">
        <w:rPr>
          <w:sz w:val="20"/>
          <w:szCs w:val="20"/>
          <w:lang w:val="fr-CA"/>
        </w:rPr>
        <w:t>2016</w:t>
      </w:r>
    </w:p>
    <w:p w:rsidR="0052229C" w:rsidRPr="00D36B56" w:rsidRDefault="0052229C" w:rsidP="0022720D">
      <w:pPr>
        <w:rPr>
          <w:sz w:val="20"/>
          <w:szCs w:val="20"/>
          <w:lang w:val="fr-CA"/>
        </w:rPr>
      </w:pPr>
      <w:r w:rsidRPr="00D36B56">
        <w:rPr>
          <w:sz w:val="20"/>
          <w:szCs w:val="20"/>
          <w:lang w:val="fr-CA"/>
        </w:rPr>
        <w:t xml:space="preserve">Audition : </w:t>
      </w:r>
      <w:r w:rsidR="008304C7">
        <w:rPr>
          <w:sz w:val="20"/>
          <w:szCs w:val="20"/>
          <w:lang w:val="fr-CA"/>
        </w:rPr>
        <w:t>Le 13 janvier 2016</w:t>
      </w:r>
      <w:r w:rsidRPr="00D36B56">
        <w:rPr>
          <w:sz w:val="20"/>
          <w:szCs w:val="20"/>
          <w:lang w:val="fr-CA"/>
        </w:rPr>
        <w:t xml:space="preserve"> / Jugement : Le </w:t>
      </w:r>
      <w:r w:rsidR="008304C7">
        <w:rPr>
          <w:sz w:val="20"/>
          <w:szCs w:val="20"/>
          <w:lang w:val="fr-CA"/>
        </w:rPr>
        <w:t>15</w:t>
      </w:r>
      <w:r w:rsidRPr="00D36B56">
        <w:rPr>
          <w:sz w:val="20"/>
          <w:szCs w:val="20"/>
          <w:lang w:val="fr-CA"/>
        </w:rPr>
        <w:t xml:space="preserve"> </w:t>
      </w:r>
      <w:r w:rsidR="008304C7">
        <w:rPr>
          <w:sz w:val="20"/>
          <w:szCs w:val="20"/>
          <w:lang w:val="fr-CA"/>
        </w:rPr>
        <w:t>avril</w:t>
      </w:r>
      <w:r w:rsidRPr="00D36B56">
        <w:rPr>
          <w:sz w:val="20"/>
          <w:szCs w:val="20"/>
          <w:lang w:val="fr-CA"/>
        </w:rPr>
        <w:t xml:space="preserve"> </w:t>
      </w:r>
      <w:r w:rsidR="0030050B" w:rsidRPr="00D36B56">
        <w:rPr>
          <w:sz w:val="20"/>
          <w:szCs w:val="20"/>
          <w:lang w:val="fr-CA"/>
        </w:rPr>
        <w:t>2016</w:t>
      </w:r>
    </w:p>
    <w:p w:rsidR="005C6840" w:rsidRPr="003B3977" w:rsidRDefault="009F3029" w:rsidP="0022720D">
      <w:pPr>
        <w:rPr>
          <w:sz w:val="20"/>
          <w:szCs w:val="20"/>
          <w:lang w:val="fr-CA"/>
        </w:rPr>
      </w:pPr>
      <w:r>
        <w:rPr>
          <w:i/>
          <w:sz w:val="20"/>
          <w:szCs w:val="20"/>
        </w:rPr>
        <w:pict>
          <v:rect id="_x0000_i1118" style="width:480.95pt;height:1pt" o:hralign="center" o:hrstd="t" o:hrnoshade="t" o:hr="t" fillcolor="black [3213]" stroked="f"/>
        </w:pict>
      </w:r>
    </w:p>
    <w:p w:rsidR="00414618" w:rsidRDefault="00035E4A" w:rsidP="00F66947">
      <w:pPr>
        <w:jc w:val="both"/>
        <w:rPr>
          <w:sz w:val="20"/>
          <w:szCs w:val="20"/>
        </w:rPr>
      </w:pPr>
      <w:r w:rsidRPr="008A759B">
        <w:rPr>
          <w:sz w:val="20"/>
          <w:szCs w:val="20"/>
        </w:rPr>
        <w:t>Present: McLachlin C.J. and Abella, Cromwell, Moldaver, Karakatsanis, Wagner, Gascon, Côté and Brown JJ.</w:t>
      </w:r>
    </w:p>
    <w:p w:rsidR="00F66947" w:rsidRDefault="00F66947" w:rsidP="00F66947">
      <w:pPr>
        <w:jc w:val="both"/>
        <w:rPr>
          <w:sz w:val="20"/>
          <w:szCs w:val="20"/>
        </w:rPr>
      </w:pPr>
    </w:p>
    <w:p w:rsidR="00035E4A" w:rsidRDefault="00035E4A" w:rsidP="00F66947">
      <w:pPr>
        <w:ind w:firstLine="720"/>
        <w:jc w:val="both"/>
        <w:rPr>
          <w:i/>
          <w:sz w:val="20"/>
          <w:szCs w:val="20"/>
        </w:rPr>
      </w:pPr>
      <w:r w:rsidRPr="008A759B">
        <w:rPr>
          <w:i/>
          <w:sz w:val="20"/>
          <w:szCs w:val="20"/>
        </w:rPr>
        <w:t>Constitutional law — Charter of Rights — Cruel and unusual treatment or punishment — Sentencing — Mandatory minimum sentence — Controlled substances offence — Accused convicted of possessing controlled substances for purpose of trafficking and sentenced to one year of imprisonment — Whether one</w:t>
      </w:r>
      <w:r w:rsidRPr="008A759B">
        <w:rPr>
          <w:i/>
          <w:sz w:val="20"/>
          <w:szCs w:val="20"/>
        </w:rPr>
        <w:noBreakHyphen/>
        <w:t>year mandatory minimum imprisonment term pursuant to s. 5(3)(a)(i)(D) of Controlled Drugs and Substances Act results in cruel and unusual punishment and therefore infringes s. 12 of Canadian Charter of Rights and Freedoms — If so, whether infringement justifiable under s. 1 of Charter — Whether Court of Appeal erred in increasing sentence to 18 months — Controlled Drugs and Substances Act, S.C. 1996, c. 19, s. 5(3)(a)(i)(D).</w:t>
      </w:r>
    </w:p>
    <w:p w:rsidR="00F66947" w:rsidRPr="00F66947" w:rsidRDefault="00F66947" w:rsidP="00F66947">
      <w:pPr>
        <w:jc w:val="both"/>
        <w:rPr>
          <w:sz w:val="20"/>
          <w:szCs w:val="20"/>
        </w:rPr>
      </w:pPr>
    </w:p>
    <w:p w:rsidR="00414618" w:rsidRDefault="00035E4A" w:rsidP="00F66947">
      <w:pPr>
        <w:tabs>
          <w:tab w:val="left" w:pos="1170"/>
        </w:tabs>
        <w:jc w:val="both"/>
        <w:rPr>
          <w:sz w:val="20"/>
          <w:szCs w:val="20"/>
        </w:rPr>
      </w:pPr>
      <w:r w:rsidRPr="008A759B">
        <w:rPr>
          <w:i/>
          <w:sz w:val="20"/>
          <w:szCs w:val="20"/>
        </w:rPr>
        <w:tab/>
        <w:t>Constitutional law — Charter of Rights — Fundamental justice — Sentencing — Whether proportionality in sentencing process a principle of fundamental justice under s. 7 of Canadian Charter of Rights and Freedoms — If so, whether one</w:t>
      </w:r>
      <w:r w:rsidRPr="008A759B">
        <w:rPr>
          <w:i/>
          <w:sz w:val="20"/>
          <w:szCs w:val="20"/>
        </w:rPr>
        <w:noBreakHyphen/>
        <w:t>year mandatory minimum sentence pursuant to s. 5(3)(a)(i)(D) of Controlled Drugs and Substances Act infringes s. 7 of Charter</w:t>
      </w:r>
      <w:r w:rsidRPr="008A759B">
        <w:rPr>
          <w:sz w:val="20"/>
          <w:szCs w:val="20"/>
        </w:rPr>
        <w:t>.</w:t>
      </w:r>
    </w:p>
    <w:p w:rsidR="00F66947" w:rsidRDefault="00F66947" w:rsidP="00F66947">
      <w:pPr>
        <w:tabs>
          <w:tab w:val="left" w:pos="1170"/>
        </w:tabs>
        <w:jc w:val="both"/>
        <w:rPr>
          <w:sz w:val="20"/>
          <w:szCs w:val="20"/>
        </w:rPr>
      </w:pPr>
    </w:p>
    <w:p w:rsidR="00414618" w:rsidRDefault="00414618" w:rsidP="00F66947">
      <w:pPr>
        <w:tabs>
          <w:tab w:val="left" w:pos="1170"/>
        </w:tabs>
        <w:jc w:val="both"/>
        <w:rPr>
          <w:sz w:val="20"/>
          <w:szCs w:val="20"/>
        </w:rPr>
      </w:pPr>
      <w:r>
        <w:rPr>
          <w:sz w:val="20"/>
          <w:szCs w:val="20"/>
        </w:rPr>
        <w:tab/>
      </w:r>
      <w:r w:rsidR="00035E4A" w:rsidRPr="008A759B">
        <w:rPr>
          <w:i/>
          <w:sz w:val="20"/>
          <w:szCs w:val="20"/>
        </w:rPr>
        <w:t>Constitutional law — Charter of Rights — Courts — Jurisdiction — Provincial court judge deciding mandatory minimum sentencing provision unconstitutional — Whether provincial court has power to determine constitutionality</w:t>
      </w:r>
      <w:r w:rsidR="00035E4A" w:rsidRPr="008A759B">
        <w:rPr>
          <w:sz w:val="20"/>
          <w:szCs w:val="20"/>
        </w:rPr>
        <w:t>.</w:t>
      </w:r>
      <w:r>
        <w:rPr>
          <w:sz w:val="20"/>
          <w:szCs w:val="20"/>
        </w:rPr>
        <w:t xml:space="preserve"> </w:t>
      </w:r>
    </w:p>
    <w:p w:rsidR="00F66947" w:rsidRDefault="00F66947" w:rsidP="00F66947">
      <w:pPr>
        <w:tabs>
          <w:tab w:val="left" w:pos="1170"/>
        </w:tabs>
        <w:jc w:val="both"/>
        <w:rPr>
          <w:sz w:val="20"/>
          <w:szCs w:val="20"/>
        </w:rPr>
      </w:pPr>
    </w:p>
    <w:p w:rsidR="00414618" w:rsidRDefault="00414618" w:rsidP="00F66947">
      <w:pPr>
        <w:tabs>
          <w:tab w:val="left" w:pos="1170"/>
        </w:tabs>
        <w:jc w:val="both"/>
        <w:rPr>
          <w:sz w:val="20"/>
        </w:rPr>
      </w:pPr>
      <w:r>
        <w:rPr>
          <w:sz w:val="20"/>
        </w:rPr>
        <w:tab/>
      </w:r>
      <w:r w:rsidR="00035E4A" w:rsidRPr="008A759B">
        <w:rPr>
          <w:sz w:val="20"/>
        </w:rPr>
        <w:t xml:space="preserve">L was convicted of possession of drugs for the purpose of trafficking. Because he had a recent prior conviction for a similar offence, he was subject to a mandatory minimum sentence of one year of imprisonment, pursuant to s. 5(3)(a)(i)(D) of the </w:t>
      </w:r>
      <w:r w:rsidR="00035E4A" w:rsidRPr="008A759B">
        <w:rPr>
          <w:i/>
          <w:sz w:val="20"/>
        </w:rPr>
        <w:t>Controlled Drugs and Substances Act</w:t>
      </w:r>
      <w:r w:rsidR="00035E4A" w:rsidRPr="008A759B">
        <w:rPr>
          <w:sz w:val="20"/>
        </w:rPr>
        <w:t xml:space="preserve"> (“</w:t>
      </w:r>
      <w:r w:rsidR="00035E4A" w:rsidRPr="008A759B">
        <w:rPr>
          <w:i/>
          <w:sz w:val="20"/>
        </w:rPr>
        <w:t>CDSA</w:t>
      </w:r>
      <w:r w:rsidR="00035E4A" w:rsidRPr="008A759B">
        <w:rPr>
          <w:sz w:val="20"/>
        </w:rPr>
        <w:t xml:space="preserve">”). Section 5(3)(a)(i)(D) provides a minimum sentence of one year of imprisonment for trafficking or possession for the purpose of trafficking in a Schedule I or II drug, where the offender has been convicted of any drug offence (except possession) within the previous 10 years. The provincial court judge declared the provision contrary to s. 12 of the </w:t>
      </w:r>
      <w:r w:rsidR="00035E4A" w:rsidRPr="008A759B">
        <w:rPr>
          <w:i/>
          <w:sz w:val="20"/>
        </w:rPr>
        <w:t>Charter</w:t>
      </w:r>
      <w:r w:rsidR="00035E4A" w:rsidRPr="008A759B">
        <w:rPr>
          <w:sz w:val="20"/>
        </w:rPr>
        <w:t xml:space="preserve"> and not justified under s. 1. The Court of Appeal allowed the Crown’s appeal, set aside the declaration of unconstitutionality and increased the sentence to 18 months.</w:t>
      </w:r>
    </w:p>
    <w:p w:rsidR="00F66947" w:rsidRDefault="00F66947" w:rsidP="00F66947">
      <w:pPr>
        <w:tabs>
          <w:tab w:val="left" w:pos="1170"/>
        </w:tabs>
        <w:jc w:val="both"/>
        <w:rPr>
          <w:sz w:val="20"/>
        </w:rPr>
      </w:pPr>
    </w:p>
    <w:p w:rsidR="00414618" w:rsidRDefault="00414618" w:rsidP="00F66947">
      <w:pPr>
        <w:tabs>
          <w:tab w:val="left" w:pos="1170"/>
        </w:tabs>
        <w:jc w:val="both"/>
        <w:rPr>
          <w:sz w:val="20"/>
        </w:rPr>
      </w:pPr>
      <w:r>
        <w:rPr>
          <w:sz w:val="20"/>
        </w:rPr>
        <w:tab/>
      </w:r>
      <w:r w:rsidR="00035E4A" w:rsidRPr="008A759B">
        <w:rPr>
          <w:i/>
          <w:sz w:val="20"/>
        </w:rPr>
        <w:t>Held (Wagner, Gascon and Brown JJ. dissenting in part):</w:t>
      </w:r>
      <w:r>
        <w:rPr>
          <w:sz w:val="20"/>
        </w:rPr>
        <w:t xml:space="preserve"> The appeal should be allowed.</w:t>
      </w:r>
    </w:p>
    <w:p w:rsidR="00F66947" w:rsidRDefault="00F66947" w:rsidP="00F66947">
      <w:pPr>
        <w:tabs>
          <w:tab w:val="left" w:pos="1170"/>
        </w:tabs>
        <w:jc w:val="both"/>
        <w:rPr>
          <w:sz w:val="20"/>
        </w:rPr>
      </w:pPr>
    </w:p>
    <w:p w:rsidR="00035E4A" w:rsidRDefault="00414618" w:rsidP="00F66947">
      <w:pPr>
        <w:tabs>
          <w:tab w:val="left" w:pos="1170"/>
        </w:tabs>
        <w:jc w:val="both"/>
        <w:rPr>
          <w:sz w:val="20"/>
        </w:rPr>
      </w:pPr>
      <w:r>
        <w:rPr>
          <w:sz w:val="20"/>
        </w:rPr>
        <w:tab/>
      </w:r>
      <w:r w:rsidR="00035E4A" w:rsidRPr="00035E4A">
        <w:rPr>
          <w:i/>
          <w:sz w:val="20"/>
        </w:rPr>
        <w:t xml:space="preserve">Per </w:t>
      </w:r>
      <w:r w:rsidR="00035E4A" w:rsidRPr="00035E4A">
        <w:rPr>
          <w:b/>
          <w:sz w:val="20"/>
        </w:rPr>
        <w:t>McLachlin</w:t>
      </w:r>
      <w:r w:rsidR="00035E4A" w:rsidRPr="00035E4A">
        <w:rPr>
          <w:sz w:val="20"/>
        </w:rPr>
        <w:t xml:space="preserve"> C.J. and Abella, Cromwell, Moldaver, Karakatsanis and Côté JJ.: The provincial court judge in this case had the power to decide the constitutionality of s. 5(3)(a)(i)(D) of the </w:t>
      </w:r>
      <w:r w:rsidR="00035E4A" w:rsidRPr="00035E4A">
        <w:rPr>
          <w:i/>
          <w:sz w:val="20"/>
        </w:rPr>
        <w:t>CDSA</w:t>
      </w:r>
      <w:r w:rsidR="00035E4A" w:rsidRPr="00035E4A">
        <w:rPr>
          <w:sz w:val="20"/>
        </w:rPr>
        <w:t xml:space="preserve">. While provincial court judges do not have the power to make formal declarations that a law is of no force or effect under s. 52(1) of the </w:t>
      </w:r>
      <w:r w:rsidR="00035E4A" w:rsidRPr="00035E4A">
        <w:rPr>
          <w:i/>
          <w:sz w:val="20"/>
        </w:rPr>
        <w:t>Constitution Act, 1982</w:t>
      </w:r>
      <w:r w:rsidR="00035E4A" w:rsidRPr="00035E4A">
        <w:rPr>
          <w:sz w:val="20"/>
        </w:rPr>
        <w:t>, they do have the power to determine the constitutionality of mandatory minimum provisions when the issue arises in a case they are hearing. L challenged the mandatory minimum sentence of one year of imprisonment that applied to him. He was entitled to do so. The provincial court judge, in turn, was entitled to consider the constitutionality of that provision. He ultimately concluded that the mandatory minimum sentence was not grossly disproportionate as to L. The fact that the judge used the word “declare” does not convert his conclusion to a formal declaration that the provision is of no force or effect.</w:t>
      </w:r>
    </w:p>
    <w:p w:rsidR="00F66947" w:rsidRDefault="00F66947" w:rsidP="00F66947">
      <w:pPr>
        <w:tabs>
          <w:tab w:val="left" w:pos="1170"/>
        </w:tabs>
        <w:jc w:val="both"/>
        <w:rPr>
          <w:rFonts w:eastAsiaTheme="minorEastAsia" w:cs="Times New Roman"/>
          <w:sz w:val="20"/>
          <w:szCs w:val="20"/>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Pr>
          <w:rFonts w:cs="Times New Roman"/>
          <w:sz w:val="20"/>
          <w:szCs w:val="20"/>
          <w:lang w:val="en-CA"/>
        </w:rPr>
        <w:tab/>
      </w:r>
      <w:r w:rsidRPr="00035E4A">
        <w:rPr>
          <w:rFonts w:cs="Times New Roman"/>
          <w:sz w:val="20"/>
          <w:szCs w:val="20"/>
          <w:lang w:val="en-CA"/>
        </w:rPr>
        <w:t>While L conceded that a one</w:t>
      </w:r>
      <w:r w:rsidRPr="00035E4A">
        <w:rPr>
          <w:rFonts w:cs="Times New Roman"/>
          <w:sz w:val="20"/>
          <w:szCs w:val="20"/>
          <w:lang w:val="en-CA"/>
        </w:rPr>
        <w:noBreakHyphen/>
        <w:t xml:space="preserve">year sentence of imprisonment would not be grossly disproportionate as applied to him, it could in other reasonably foreseeable cases. That was the problem in </w:t>
      </w:r>
      <w:r w:rsidRPr="00035E4A">
        <w:rPr>
          <w:rFonts w:cs="Times New Roman"/>
          <w:i/>
          <w:sz w:val="20"/>
          <w:szCs w:val="20"/>
          <w:lang w:val="en-CA"/>
        </w:rPr>
        <w:t>R. v. Nur</w:t>
      </w:r>
      <w:r w:rsidRPr="00035E4A">
        <w:rPr>
          <w:rFonts w:cs="Times New Roman"/>
          <w:sz w:val="20"/>
          <w:szCs w:val="20"/>
          <w:lang w:val="en-CA"/>
        </w:rPr>
        <w:t>, 2015 SCC 15, [2015] 1 S.C.R. 773. Again, in the present case, the mandatory minimum sentence provision covers a wide range of potential conduct. As a result, it catches not only the serious drug trafficking that is its proper aim, but conduct that is much less blameworthy. This renders it constitutionally vulnerable.</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At one end of the range of conduct caught by the mandatory minimum sentence provision stands a professional drug dealer who engages in the business of dangerous drugs for profit, who is in possession of a large amount of drugs, and who has been convicted many times for similar offences. At the other end of the range stands the addict who is charged for sharing a small amount of drugs with a friend or spouse, and finds herself sentenced to a year in prison because of a single conviction for sharing marihuana in a social occasion nine years before. Most Canadians would be shocked to find that such a person could be sent to prison for one year.</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Another foreseeable situation caught by the law is where a drug addict with a prior conviction for trafficking is convicted of a second offence. In both cases, he was only trafficking in order to support his own addiction. Between conviction and the sentencing he attends rehabilitation and conquers his addiction. He comes to court asking for a short sentence that will allow him to resume a healthy and productive life. Under the law, the judge has no choice but to sentence him to a year in prison. Such a sentence would also be grossly disproportionate to what is fit in the circumstances and would shock the conscience of Canadians.</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Section 10(5) of the </w:t>
      </w:r>
      <w:r w:rsidRPr="00035E4A">
        <w:rPr>
          <w:rFonts w:cs="Times New Roman"/>
          <w:i/>
          <w:sz w:val="20"/>
          <w:szCs w:val="20"/>
          <w:lang w:val="en-CA"/>
        </w:rPr>
        <w:t>CDSA</w:t>
      </w:r>
      <w:r w:rsidRPr="00035E4A">
        <w:rPr>
          <w:rFonts w:cs="Times New Roman"/>
          <w:sz w:val="20"/>
          <w:szCs w:val="20"/>
          <w:lang w:val="en-CA"/>
        </w:rPr>
        <w:t xml:space="preserve"> provides an exception to the minimum one</w:t>
      </w:r>
      <w:r w:rsidRPr="00035E4A">
        <w:rPr>
          <w:rFonts w:cs="Times New Roman"/>
          <w:sz w:val="20"/>
          <w:szCs w:val="20"/>
          <w:lang w:val="en-CA"/>
        </w:rPr>
        <w:noBreakHyphen/>
        <w:t xml:space="preserve">year sentence if the offender has, prior to sentencing, successfully completed a drug treatment court program or another program approved under s. 720(2) of the </w:t>
      </w:r>
      <w:r w:rsidRPr="00035E4A">
        <w:rPr>
          <w:rFonts w:cs="Times New Roman"/>
          <w:i/>
          <w:sz w:val="20"/>
          <w:szCs w:val="20"/>
          <w:lang w:val="en-CA"/>
        </w:rPr>
        <w:t>Criminal Code</w:t>
      </w:r>
      <w:r w:rsidRPr="00035E4A">
        <w:rPr>
          <w:rFonts w:cs="Times New Roman"/>
          <w:sz w:val="20"/>
          <w:szCs w:val="20"/>
          <w:lang w:val="en-CA"/>
        </w:rPr>
        <w:t>. This exception is however too narrow to cure the constitutional infirmity. First, it is confined to particular programs, which a particular offender may or may not be able to access. Second, to be admissible to these programs, the offender must usually plead guilty and forfeit his right to a trial. One constitutional deprivation cannot cure another. Third, the requirement that the offender successfully complete the program may not be realistic for heavily addicted offenders whose conduct does not merit a year in jail. Finally, in most programs, the Crown has the discretion to disqualify an applicant.</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The reality is this: mandatory minimum sentence provisions that apply to offences that can be committed in various ways, under a broad array of circumstances and by a wide range of people are constitutionally vulnerable. This is because such provisions will almost inevitably include an acceptable reasonable hypothetical for which the mandatory minimum will be found unconstitutional. If Parliament hopes to maintain mandatory minimum sentences for offences that cast a wide net, it should consider narrowing their reach so that they only catch offenders that merit that mandatory minimum sentences. In the alternative, Parliament could provide for judicial discretion to allow for a lesser sentence where the mandatory minimum would be grossly disproportionate and would constitute cruel and unusual punishment.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Insofar as s. 5(3)(a)(i)(D) of the </w:t>
      </w:r>
      <w:r w:rsidRPr="00035E4A">
        <w:rPr>
          <w:rFonts w:cs="Times New Roman"/>
          <w:i/>
          <w:sz w:val="20"/>
          <w:szCs w:val="20"/>
          <w:lang w:val="en-CA"/>
        </w:rPr>
        <w:t>CDSA</w:t>
      </w:r>
      <w:r w:rsidRPr="00035E4A">
        <w:rPr>
          <w:rFonts w:cs="Times New Roman"/>
          <w:sz w:val="20"/>
          <w:szCs w:val="20"/>
          <w:lang w:val="en-CA"/>
        </w:rPr>
        <w:t xml:space="preserve"> requires a one</w:t>
      </w:r>
      <w:r w:rsidRPr="00035E4A">
        <w:rPr>
          <w:rFonts w:cs="Times New Roman"/>
          <w:sz w:val="20"/>
          <w:szCs w:val="20"/>
          <w:lang w:val="en-CA"/>
        </w:rPr>
        <w:noBreakHyphen/>
        <w:t xml:space="preserve">year mandatory minimum sentence of imprisonment, it violates the guarantee against cruel and unusual punishment in s. 12 of the </w:t>
      </w:r>
      <w:r w:rsidRPr="00035E4A">
        <w:rPr>
          <w:rFonts w:cs="Times New Roman"/>
          <w:i/>
          <w:sz w:val="20"/>
          <w:szCs w:val="20"/>
          <w:lang w:val="en-CA"/>
        </w:rPr>
        <w:t>Charter</w:t>
      </w:r>
      <w:r w:rsidRPr="00035E4A">
        <w:rPr>
          <w:rFonts w:cs="Times New Roman"/>
          <w:sz w:val="20"/>
          <w:szCs w:val="20"/>
          <w:lang w:val="en-CA"/>
        </w:rPr>
        <w:t>. This violation is not justified under s. 1. Parliament’s objective of combatting the distribution of illicit drugs is important. This objective is rationally connected to the imposition of a one</w:t>
      </w:r>
      <w:r w:rsidRPr="00035E4A">
        <w:rPr>
          <w:rFonts w:cs="Times New Roman"/>
          <w:sz w:val="20"/>
          <w:szCs w:val="20"/>
          <w:lang w:val="en-CA"/>
        </w:rPr>
        <w:noBreakHyphen/>
        <w:t xml:space="preserve">year mandatory minimum sentence under s. 5(3)(a)(i)(D) of the </w:t>
      </w:r>
      <w:r w:rsidRPr="00035E4A">
        <w:rPr>
          <w:rFonts w:cs="Times New Roman"/>
          <w:i/>
          <w:sz w:val="20"/>
          <w:szCs w:val="20"/>
          <w:lang w:val="en-CA"/>
        </w:rPr>
        <w:t>CDSA</w:t>
      </w:r>
      <w:r w:rsidRPr="00035E4A">
        <w:rPr>
          <w:rFonts w:cs="Times New Roman"/>
          <w:sz w:val="20"/>
          <w:szCs w:val="20"/>
          <w:lang w:val="en-CA"/>
        </w:rPr>
        <w:t xml:space="preserve">. However, the provision does not minimally impair the s. 12 right.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Because the mandatory minimum sentence provision at issue violates s. 12 of the </w:t>
      </w:r>
      <w:r w:rsidRPr="00035E4A">
        <w:rPr>
          <w:rFonts w:cs="Times New Roman"/>
          <w:i/>
          <w:sz w:val="20"/>
          <w:szCs w:val="20"/>
          <w:lang w:val="en-CA"/>
        </w:rPr>
        <w:t>Charter</w:t>
      </w:r>
      <w:r w:rsidRPr="00035E4A">
        <w:rPr>
          <w:rFonts w:cs="Times New Roman"/>
          <w:sz w:val="20"/>
          <w:szCs w:val="20"/>
          <w:lang w:val="en-CA"/>
        </w:rPr>
        <w:t>,</w:t>
      </w:r>
      <w:r w:rsidRPr="00035E4A">
        <w:rPr>
          <w:rFonts w:cs="Times New Roman"/>
          <w:i/>
          <w:sz w:val="20"/>
          <w:szCs w:val="20"/>
          <w:lang w:val="en-CA"/>
        </w:rPr>
        <w:t xml:space="preserve"> </w:t>
      </w:r>
      <w:r w:rsidRPr="00035E4A">
        <w:rPr>
          <w:rFonts w:cs="Times New Roman"/>
          <w:sz w:val="20"/>
          <w:szCs w:val="20"/>
          <w:lang w:val="en-CA"/>
        </w:rPr>
        <w:t xml:space="preserve">the question of whether it also violates s. 7 need not be addressed. In any event, the provision would not violate s. 7 of the </w:t>
      </w:r>
      <w:r w:rsidRPr="00035E4A">
        <w:rPr>
          <w:rFonts w:cs="Times New Roman"/>
          <w:i/>
          <w:sz w:val="20"/>
          <w:szCs w:val="20"/>
          <w:lang w:val="en-CA"/>
        </w:rPr>
        <w:t>Charter</w:t>
      </w:r>
      <w:r w:rsidRPr="00035E4A">
        <w:rPr>
          <w:rFonts w:cs="Times New Roman"/>
          <w:sz w:val="20"/>
          <w:szCs w:val="20"/>
          <w:lang w:val="en-CA"/>
        </w:rPr>
        <w:t xml:space="preserve"> because proportionality in sentencing is not a principle of fundamental justice.</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Finally, the provincial court judge’s determination of the appropriate sentence is entitled to deference. The Court of Appeal in this case took the view that the provincial court judge applied the wrong sentencing range. A careful reading of the reasons of the provincial court judge does not bear this out. The provincial court judge noted that sentences of three to four months had been upheld in a few exceptional cases, but went on to identify the appropriate sentencing range as 12 to 18 months. Applying a number of mitigating factors, he sentenced L to 12 months. In any event, even if the provincial court judge had erred in stating the range, the Court of Appeal would not have been entitled to intervene. It did not establish that a 12</w:t>
      </w:r>
      <w:r w:rsidRPr="00035E4A">
        <w:rPr>
          <w:rFonts w:cs="Times New Roman"/>
          <w:sz w:val="20"/>
          <w:szCs w:val="20"/>
          <w:lang w:val="en-CA"/>
        </w:rPr>
        <w:noBreakHyphen/>
        <w:t xml:space="preserve">month sentence in this case was demonstrably unfit.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P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r>
      <w:r w:rsidRPr="00035E4A">
        <w:rPr>
          <w:rFonts w:cs="Times New Roman"/>
          <w:i/>
          <w:sz w:val="20"/>
          <w:szCs w:val="20"/>
          <w:lang w:val="en-CA"/>
        </w:rPr>
        <w:t>Per</w:t>
      </w:r>
      <w:r w:rsidRPr="00035E4A">
        <w:rPr>
          <w:rFonts w:cs="Times New Roman"/>
          <w:sz w:val="20"/>
          <w:szCs w:val="20"/>
          <w:lang w:val="en-CA"/>
        </w:rPr>
        <w:t xml:space="preserve"> </w:t>
      </w:r>
      <w:r w:rsidRPr="00035E4A">
        <w:rPr>
          <w:rFonts w:cs="Times New Roman"/>
          <w:b/>
          <w:i/>
          <w:sz w:val="20"/>
          <w:szCs w:val="20"/>
          <w:lang w:val="en-CA"/>
        </w:rPr>
        <w:t>Wagner</w:t>
      </w:r>
      <w:r w:rsidRPr="00035E4A">
        <w:rPr>
          <w:rFonts w:cs="Times New Roman"/>
          <w:i/>
          <w:sz w:val="20"/>
          <w:szCs w:val="20"/>
          <w:lang w:val="en-CA"/>
        </w:rPr>
        <w:t xml:space="preserve">, </w:t>
      </w:r>
      <w:r w:rsidRPr="00035E4A">
        <w:rPr>
          <w:rFonts w:cs="Times New Roman"/>
          <w:b/>
          <w:i/>
          <w:sz w:val="20"/>
          <w:szCs w:val="20"/>
          <w:lang w:val="en-CA"/>
        </w:rPr>
        <w:t>Gascon</w:t>
      </w:r>
      <w:r w:rsidRPr="00035E4A">
        <w:rPr>
          <w:rFonts w:cs="Times New Roman"/>
          <w:i/>
          <w:sz w:val="20"/>
          <w:szCs w:val="20"/>
          <w:lang w:val="en-CA"/>
        </w:rPr>
        <w:t xml:space="preserve"> and </w:t>
      </w:r>
      <w:r w:rsidRPr="00035E4A">
        <w:rPr>
          <w:rFonts w:cs="Times New Roman"/>
          <w:b/>
          <w:i/>
          <w:sz w:val="20"/>
          <w:szCs w:val="20"/>
          <w:lang w:val="en-CA"/>
        </w:rPr>
        <w:t>Brown</w:t>
      </w:r>
      <w:r w:rsidRPr="00035E4A">
        <w:rPr>
          <w:rFonts w:cs="Times New Roman"/>
          <w:i/>
          <w:sz w:val="20"/>
          <w:szCs w:val="20"/>
          <w:lang w:val="en-CA"/>
        </w:rPr>
        <w:t xml:space="preserve"> JJ. (dissenting in part): </w:t>
      </w:r>
      <w:r w:rsidRPr="00035E4A">
        <w:rPr>
          <w:rFonts w:cs="Times New Roman"/>
          <w:sz w:val="20"/>
          <w:szCs w:val="20"/>
          <w:lang w:val="en-CA"/>
        </w:rPr>
        <w:t>The one</w:t>
      </w:r>
      <w:r w:rsidRPr="00035E4A">
        <w:rPr>
          <w:rFonts w:cs="Times New Roman"/>
          <w:sz w:val="20"/>
          <w:szCs w:val="20"/>
          <w:lang w:val="en-CA"/>
        </w:rPr>
        <w:noBreakHyphen/>
        <w:t xml:space="preserve">year mandatory minimum sentence in s. 5(3)(a)(i)(D) of the </w:t>
      </w:r>
      <w:r w:rsidRPr="00035E4A">
        <w:rPr>
          <w:rFonts w:cs="Times New Roman"/>
          <w:i/>
          <w:sz w:val="20"/>
          <w:szCs w:val="20"/>
          <w:lang w:val="en-CA"/>
        </w:rPr>
        <w:t>CDSA</w:t>
      </w:r>
      <w:r w:rsidRPr="00035E4A">
        <w:rPr>
          <w:rFonts w:cs="Times New Roman"/>
          <w:sz w:val="20"/>
          <w:szCs w:val="20"/>
          <w:lang w:val="en-CA"/>
        </w:rPr>
        <w:t xml:space="preserve"> does not infringe s. 12 of the </w:t>
      </w:r>
      <w:r w:rsidRPr="00035E4A">
        <w:rPr>
          <w:rFonts w:cs="Times New Roman"/>
          <w:i/>
          <w:sz w:val="20"/>
          <w:szCs w:val="20"/>
          <w:lang w:val="en-CA"/>
        </w:rPr>
        <w:t>Charter</w:t>
      </w:r>
      <w:r w:rsidRPr="00035E4A">
        <w:rPr>
          <w:rFonts w:cs="Times New Roman"/>
          <w:sz w:val="20"/>
          <w:szCs w:val="20"/>
          <w:lang w:val="en-CA"/>
        </w:rPr>
        <w:t xml:space="preserve">. Given the extremely high threshold that must be met before a s. 12 infringement will be found, the Court has struck down mandatory minimums under s. 12 only in very rare cases. It has done so only twice since the </w:t>
      </w:r>
      <w:r w:rsidRPr="00035E4A">
        <w:rPr>
          <w:rFonts w:cs="Times New Roman"/>
          <w:i/>
          <w:sz w:val="20"/>
          <w:szCs w:val="20"/>
          <w:lang w:val="en-CA"/>
        </w:rPr>
        <w:t>Charter</w:t>
      </w:r>
      <w:r w:rsidRPr="00035E4A">
        <w:rPr>
          <w:rFonts w:cs="Times New Roman"/>
          <w:sz w:val="20"/>
          <w:szCs w:val="20"/>
          <w:lang w:val="en-CA"/>
        </w:rPr>
        <w:t xml:space="preserve">’s enactment, in </w:t>
      </w:r>
      <w:r w:rsidRPr="00035E4A">
        <w:rPr>
          <w:rFonts w:cs="Times New Roman"/>
          <w:i/>
          <w:sz w:val="20"/>
          <w:szCs w:val="20"/>
          <w:lang w:val="en-CA"/>
        </w:rPr>
        <w:t>R. v. Smith</w:t>
      </w:r>
      <w:r w:rsidRPr="00035E4A">
        <w:rPr>
          <w:rFonts w:cs="Times New Roman"/>
          <w:sz w:val="20"/>
          <w:szCs w:val="20"/>
          <w:lang w:val="en-CA"/>
        </w:rPr>
        <w:t xml:space="preserve">, [1987] 1 S.C.R. 1045, and more recently in </w:t>
      </w:r>
      <w:r w:rsidRPr="00035E4A">
        <w:rPr>
          <w:rFonts w:cs="Times New Roman"/>
          <w:i/>
          <w:sz w:val="20"/>
          <w:szCs w:val="20"/>
          <w:lang w:val="en-CA"/>
        </w:rPr>
        <w:t>R. v. Nur</w:t>
      </w:r>
      <w:r w:rsidRPr="00035E4A">
        <w:rPr>
          <w:rFonts w:cs="Times New Roman"/>
          <w:sz w:val="20"/>
          <w:szCs w:val="20"/>
          <w:lang w:val="en-CA"/>
        </w:rPr>
        <w:t xml:space="preserve">, 2015 SCC 15, [2015] 1 S.C.R. 773. This is simply not one of those rare cases. The majority’s reasons would represent a departure from the Court’s jurisprudence, which has consistently maintained that mandatory minimums are not </w:t>
      </w:r>
      <w:r w:rsidRPr="00035E4A">
        <w:rPr>
          <w:rFonts w:cs="Times New Roman"/>
          <w:i/>
          <w:sz w:val="20"/>
          <w:szCs w:val="20"/>
          <w:lang w:val="en-CA"/>
        </w:rPr>
        <w:t>per se</w:t>
      </w:r>
      <w:r w:rsidRPr="00035E4A">
        <w:rPr>
          <w:rFonts w:cs="Times New Roman"/>
          <w:sz w:val="20"/>
          <w:szCs w:val="20"/>
          <w:lang w:val="en-CA"/>
        </w:rPr>
        <w:t xml:space="preserve"> unconstitutional.</w:t>
      </w: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Unlike in either </w:t>
      </w:r>
      <w:r w:rsidRPr="00035E4A">
        <w:rPr>
          <w:rFonts w:cs="Times New Roman"/>
          <w:i/>
          <w:sz w:val="20"/>
          <w:szCs w:val="20"/>
          <w:lang w:val="en-CA"/>
        </w:rPr>
        <w:t>Smith</w:t>
      </w:r>
      <w:r w:rsidRPr="00035E4A">
        <w:rPr>
          <w:rFonts w:cs="Times New Roman"/>
          <w:sz w:val="20"/>
          <w:szCs w:val="20"/>
          <w:lang w:val="en-CA"/>
        </w:rPr>
        <w:t xml:space="preserve"> or </w:t>
      </w:r>
      <w:r w:rsidRPr="00035E4A">
        <w:rPr>
          <w:rFonts w:cs="Times New Roman"/>
          <w:i/>
          <w:sz w:val="20"/>
          <w:szCs w:val="20"/>
          <w:lang w:val="en-CA"/>
        </w:rPr>
        <w:t>Nur</w:t>
      </w:r>
      <w:r w:rsidRPr="00035E4A">
        <w:rPr>
          <w:rFonts w:cs="Times New Roman"/>
          <w:sz w:val="20"/>
          <w:szCs w:val="20"/>
          <w:lang w:val="en-CA"/>
        </w:rPr>
        <w:t xml:space="preserve">, the mandatory minimum here is limited. It applies only to trafficking offences (not when the drugs are for personal use). It applies only to specific narcotics (Schedule I and II drugs) in specific quantities (of certain Schedule II drugs). And it applies only to certain repeat offenders. Thus, the minimum here does not cover a wide range of conduct. It is, rather, carefully tailored to catch only harmful and blameworthy conduct. The gross disproportionality test that has developed under s. 12 of the </w:t>
      </w:r>
      <w:r w:rsidRPr="00035E4A">
        <w:rPr>
          <w:rFonts w:cs="Times New Roman"/>
          <w:i/>
          <w:sz w:val="20"/>
          <w:szCs w:val="20"/>
          <w:lang w:val="en-CA"/>
        </w:rPr>
        <w:t>Charter</w:t>
      </w:r>
      <w:r w:rsidRPr="00035E4A">
        <w:rPr>
          <w:rFonts w:cs="Times New Roman"/>
          <w:sz w:val="20"/>
          <w:szCs w:val="20"/>
          <w:lang w:val="en-CA"/>
        </w:rPr>
        <w:t xml:space="preserve"> is a difficult standard to meet. And it is not met in either of the sharing or rehabilitation scenarios described by the majority.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The sharing scenario described could fall outside the offence of trafficking and instead constitute mere joint possession. If the conduct would not result in a conviction for the offence at issue, then the hypothetical is not reasonable and should not be considered. The analysis must focus on the effect of the sentence once a conviction has properly been secured, rather than the effect of the sentence where the innocence of the accused remains debatable.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Assuming that sharing could ground a conviction for trafficking, however, this hypothetical scenario remains unfit for consideration under s. 12. In this hypothetical, the offender is convicted of trafficking for sharing drugs not once, but twice. Since there appear to be very few reported cases where offenders have been convicted of trafficking for sharing drugs, a scenario involving a two</w:t>
      </w:r>
      <w:r w:rsidRPr="00035E4A">
        <w:rPr>
          <w:rFonts w:cs="Times New Roman"/>
          <w:sz w:val="20"/>
          <w:szCs w:val="20"/>
          <w:lang w:val="en-CA"/>
        </w:rPr>
        <w:noBreakHyphen/>
        <w:t>time sharing trafficker with no other conviction appears far</w:t>
      </w:r>
      <w:r w:rsidRPr="00035E4A">
        <w:rPr>
          <w:rFonts w:cs="Times New Roman"/>
          <w:sz w:val="20"/>
          <w:szCs w:val="20"/>
          <w:lang w:val="en-CA"/>
        </w:rPr>
        <w:noBreakHyphen/>
        <w:t>fetched or marginally imaginable, and thus inappropriate for the s. 12 analysis. In any event, the blameworthiness of a repeat offender must be higher than that of a first</w:t>
      </w:r>
      <w:r w:rsidRPr="00035E4A">
        <w:rPr>
          <w:rFonts w:cs="Times New Roman"/>
          <w:sz w:val="20"/>
          <w:szCs w:val="20"/>
          <w:lang w:val="en-CA"/>
        </w:rPr>
        <w:noBreakHyphen/>
        <w:t xml:space="preserve">time offender.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 w:val="left" w:pos="1890"/>
        </w:tabs>
        <w:spacing w:before="0" w:after="0" w:line="240" w:lineRule="auto"/>
        <w:rPr>
          <w:rFonts w:cs="Times New Roman"/>
          <w:sz w:val="20"/>
          <w:szCs w:val="20"/>
          <w:lang w:val="en-CA"/>
        </w:rPr>
      </w:pPr>
      <w:r w:rsidRPr="00035E4A">
        <w:rPr>
          <w:rFonts w:cs="Times New Roman"/>
          <w:sz w:val="20"/>
          <w:szCs w:val="20"/>
          <w:lang w:val="en-CA"/>
        </w:rPr>
        <w:tab/>
        <w:t>Even if the sharing scenario were accepted as a reasonable hypothetical, the mandatory minimum would not impose grossly disproportionate punishment. While the sharing trafficker may be somewhat less morally blameworthy than the cold</w:t>
      </w:r>
      <w:r w:rsidRPr="00035E4A">
        <w:rPr>
          <w:rFonts w:cs="Times New Roman"/>
          <w:sz w:val="20"/>
          <w:szCs w:val="20"/>
          <w:lang w:val="en-CA"/>
        </w:rPr>
        <w:noBreakHyphen/>
        <w:t>blooded trafficker of hard drugs for profit, she is not so much less morally blameworthy that a one</w:t>
      </w:r>
      <w:r w:rsidRPr="00035E4A">
        <w:rPr>
          <w:rFonts w:cs="Times New Roman"/>
          <w:sz w:val="20"/>
          <w:szCs w:val="20"/>
          <w:lang w:val="en-CA"/>
        </w:rPr>
        <w:noBreakHyphen/>
        <w:t xml:space="preserve">year sentence would outrage standards of decency. Whether the offender traffics by sharing, to support her own addiction or purely for profit, she facilitates the distribution of dangerous substances into the community. The harm to the community — in the form of overdose, addiction and the crime that sometimes comes with supporting addiction — remains the same regardless of the offender’s motives. </w:t>
      </w:r>
    </w:p>
    <w:p w:rsidR="00F66947" w:rsidRPr="00035E4A" w:rsidRDefault="00F66947" w:rsidP="00F66947">
      <w:pPr>
        <w:pStyle w:val="ParaNoNdepar-AltN"/>
        <w:numPr>
          <w:ilvl w:val="0"/>
          <w:numId w:val="0"/>
        </w:numPr>
        <w:tabs>
          <w:tab w:val="left" w:pos="1170"/>
          <w:tab w:val="left" w:pos="189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As for the rehabilitation scenario, the application of the mandatory minimum there is not a grossly disproportionate punishment, for two reasons. First, the mandatory minimum may not even apply. If the offender attends and successfully completes an approved treatment program between conviction and sentencing, s. 10(5) of the </w:t>
      </w:r>
      <w:r w:rsidRPr="00035E4A">
        <w:rPr>
          <w:rFonts w:cs="Times New Roman"/>
          <w:i/>
          <w:sz w:val="20"/>
          <w:szCs w:val="20"/>
          <w:lang w:val="en-CA"/>
        </w:rPr>
        <w:t>CDSA</w:t>
      </w:r>
      <w:r w:rsidRPr="00035E4A">
        <w:rPr>
          <w:rFonts w:cs="Times New Roman"/>
          <w:sz w:val="20"/>
          <w:szCs w:val="20"/>
          <w:lang w:val="en-CA"/>
        </w:rPr>
        <w:t xml:space="preserve"> would apply and the sentencing judge would not be required to impose the mandatory minimum sentence at all. Second, even if the minimum does apply, the scenario is remarkably similar to the circumstances of L himself, for whom the majority agrees that the one</w:t>
      </w:r>
      <w:r w:rsidRPr="00035E4A">
        <w:rPr>
          <w:rFonts w:cs="Times New Roman"/>
          <w:sz w:val="20"/>
          <w:szCs w:val="20"/>
          <w:lang w:val="en-CA"/>
        </w:rPr>
        <w:noBreakHyphen/>
        <w:t>year sentence is not cruel and unusual.</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Thus, given the seriousness of the offence of drug trafficking and the deference owed to Parliament in setting mandatory minimum policies, this well</w:t>
      </w:r>
      <w:r w:rsidRPr="00035E4A">
        <w:rPr>
          <w:rFonts w:cs="Times New Roman"/>
          <w:sz w:val="20"/>
          <w:szCs w:val="20"/>
          <w:lang w:val="en-CA"/>
        </w:rPr>
        <w:noBreakHyphen/>
        <w:t>tailored one</w:t>
      </w:r>
      <w:r w:rsidRPr="00035E4A">
        <w:rPr>
          <w:rFonts w:cs="Times New Roman"/>
          <w:sz w:val="20"/>
          <w:szCs w:val="20"/>
          <w:lang w:val="en-CA"/>
        </w:rPr>
        <w:noBreakHyphen/>
        <w:t xml:space="preserve">year mandatory minimum does not impose grossly disproportionate punishment in either scenario. </w:t>
      </w:r>
      <w:r w:rsidRPr="00414618">
        <w:rPr>
          <w:rFonts w:cs="Times New Roman"/>
          <w:sz w:val="20"/>
          <w:szCs w:val="20"/>
          <w:lang w:val="en-CA"/>
        </w:rPr>
        <w:t>The mandatory minimum is therefore constitutional. </w:t>
      </w:r>
    </w:p>
    <w:p w:rsidR="00F66947" w:rsidRPr="00414618"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035E4A"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414618">
        <w:rPr>
          <w:rFonts w:cs="Times New Roman"/>
          <w:sz w:val="20"/>
          <w:szCs w:val="20"/>
          <w:lang w:val="en-CA"/>
        </w:rPr>
        <w:tab/>
      </w:r>
      <w:r w:rsidRPr="00035E4A">
        <w:rPr>
          <w:rFonts w:cs="Times New Roman"/>
          <w:sz w:val="20"/>
          <w:szCs w:val="20"/>
          <w:lang w:val="en-CA"/>
        </w:rPr>
        <w:t xml:space="preserve">As the majority suggests, Parliament may wish to consider providing judges some discretion to avoid applying mandatory minimums in appropriate cases. But Parliament is not obliged to create exemptions to mandatory minimums as a matter of constitutional law. Parliament may legislate to limit judges’ sentencing discretion. Limiting judicial discretion is one of the key purposes of mandatory minimum sentences, and this purpose may be inconsistent with providing judges a safety valve to avoid the application of the mandatory minimum in some cases. Whether Parliament should enact judicial safety valves to mandatory minimum sentences and if so, what form they should take, are questions of policy that are within the exclusive domain of Parliament. The only limits on Parliament’s discretion are provided by the Constitution and in particular, the </w:t>
      </w:r>
      <w:r w:rsidRPr="00035E4A">
        <w:rPr>
          <w:rFonts w:cs="Times New Roman"/>
          <w:i/>
          <w:sz w:val="20"/>
          <w:szCs w:val="20"/>
          <w:lang w:val="en-CA"/>
        </w:rPr>
        <w:t>Charter</w:t>
      </w:r>
      <w:r w:rsidRPr="00035E4A">
        <w:rPr>
          <w:rFonts w:cs="Times New Roman"/>
          <w:sz w:val="20"/>
          <w:szCs w:val="20"/>
          <w:lang w:val="en-CA"/>
        </w:rPr>
        <w:t xml:space="preserve"> right not to be subjected to cruel and unusual punishment. Section 5(3)(a)(i)(D) of the </w:t>
      </w:r>
      <w:r w:rsidRPr="00035E4A">
        <w:rPr>
          <w:rFonts w:cs="Times New Roman"/>
          <w:i/>
          <w:sz w:val="20"/>
          <w:szCs w:val="20"/>
          <w:lang w:val="en-CA"/>
        </w:rPr>
        <w:t>CDSA</w:t>
      </w:r>
      <w:r w:rsidRPr="00035E4A">
        <w:rPr>
          <w:rFonts w:cs="Times New Roman"/>
          <w:sz w:val="20"/>
          <w:szCs w:val="20"/>
          <w:lang w:val="en-CA"/>
        </w:rPr>
        <w:t xml:space="preserve"> does not exceed this limit and does not amount to cruel and unusual punishment. </w:t>
      </w:r>
    </w:p>
    <w:p w:rsidR="00F66947" w:rsidRPr="00035E4A"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414618" w:rsidRDefault="00035E4A" w:rsidP="00F66947">
      <w:pPr>
        <w:pStyle w:val="ParaNoNdepar-AltN"/>
        <w:numPr>
          <w:ilvl w:val="0"/>
          <w:numId w:val="0"/>
        </w:numPr>
        <w:tabs>
          <w:tab w:val="left" w:pos="1170"/>
        </w:tabs>
        <w:spacing w:before="0" w:after="0" w:line="240" w:lineRule="auto"/>
        <w:rPr>
          <w:rFonts w:cs="Times New Roman"/>
          <w:sz w:val="20"/>
          <w:szCs w:val="20"/>
          <w:lang w:val="en-CA"/>
        </w:rPr>
      </w:pPr>
      <w:r w:rsidRPr="00035E4A">
        <w:rPr>
          <w:rFonts w:cs="Times New Roman"/>
          <w:sz w:val="20"/>
          <w:szCs w:val="20"/>
          <w:lang w:val="en-CA"/>
        </w:rPr>
        <w:tab/>
        <w:t xml:space="preserve">There is agreement with the majority’s analysis on the jurisdiction of provincial court judges and on s. 7 of the </w:t>
      </w:r>
      <w:r w:rsidRPr="00035E4A">
        <w:rPr>
          <w:rFonts w:cs="Times New Roman"/>
          <w:i/>
          <w:sz w:val="20"/>
          <w:szCs w:val="20"/>
          <w:lang w:val="en-CA"/>
        </w:rPr>
        <w:t>Charter</w:t>
      </w:r>
      <w:r w:rsidRPr="00035E4A">
        <w:rPr>
          <w:rFonts w:cs="Times New Roman"/>
          <w:sz w:val="20"/>
          <w:szCs w:val="20"/>
          <w:lang w:val="en-CA"/>
        </w:rPr>
        <w:t>, as well as the majority’s decision to restore the 12</w:t>
      </w:r>
      <w:r w:rsidRPr="00035E4A">
        <w:rPr>
          <w:rFonts w:cs="Times New Roman"/>
          <w:sz w:val="20"/>
          <w:szCs w:val="20"/>
          <w:lang w:val="en-CA"/>
        </w:rPr>
        <w:noBreakHyphen/>
        <w:t>month sentence.</w:t>
      </w:r>
    </w:p>
    <w:p w:rsidR="00F66947" w:rsidRDefault="00F66947" w:rsidP="00F66947">
      <w:pPr>
        <w:pStyle w:val="ParaNoNdepar-AltN"/>
        <w:numPr>
          <w:ilvl w:val="0"/>
          <w:numId w:val="0"/>
        </w:numPr>
        <w:tabs>
          <w:tab w:val="left" w:pos="1170"/>
        </w:tabs>
        <w:spacing w:before="0" w:after="0" w:line="240" w:lineRule="auto"/>
        <w:rPr>
          <w:rFonts w:cs="Times New Roman"/>
          <w:sz w:val="20"/>
          <w:szCs w:val="20"/>
          <w:lang w:val="en-CA"/>
        </w:rPr>
      </w:pPr>
    </w:p>
    <w:p w:rsidR="00F66947" w:rsidRDefault="00F66947">
      <w:pPr>
        <w:rPr>
          <w:rFonts w:eastAsiaTheme="minorEastAsia" w:cs="Times New Roman"/>
          <w:sz w:val="20"/>
          <w:szCs w:val="20"/>
        </w:rPr>
      </w:pPr>
      <w:r>
        <w:rPr>
          <w:rFonts w:cs="Times New Roman"/>
          <w:sz w:val="20"/>
          <w:szCs w:val="20"/>
        </w:rPr>
        <w:br w:type="page"/>
      </w:r>
    </w:p>
    <w:p w:rsidR="00414618" w:rsidRDefault="00414618" w:rsidP="00F66947">
      <w:pPr>
        <w:pStyle w:val="ParaNoNdepar-AltN"/>
        <w:numPr>
          <w:ilvl w:val="0"/>
          <w:numId w:val="0"/>
        </w:numPr>
        <w:tabs>
          <w:tab w:val="left" w:pos="1170"/>
        </w:tabs>
        <w:spacing w:before="0" w:after="0" w:line="240" w:lineRule="auto"/>
        <w:rPr>
          <w:sz w:val="20"/>
          <w:lang w:val="en-CA"/>
        </w:rPr>
      </w:pPr>
      <w:r>
        <w:rPr>
          <w:rFonts w:cs="Times New Roman"/>
          <w:sz w:val="20"/>
          <w:szCs w:val="20"/>
          <w:lang w:val="en-CA"/>
        </w:rPr>
        <w:tab/>
      </w:r>
      <w:r w:rsidR="00035E4A" w:rsidRPr="00414618">
        <w:rPr>
          <w:sz w:val="20"/>
          <w:lang w:val="en-CA"/>
        </w:rPr>
        <w:t>APPEAL from a judgment of the British Columbia Court of Appeal (Newbury, Kirkpatrick and Groberman JJ.A.), 2014 BCCA 224, 356 B.C.A.C. 275, 610 W.A.C. 275, 12 C.R. (7th) 190, 312 C.R.R. (2d) 66, [2014] B.C.J. No. 1212 (QL), 2014 CarswellBC 1688 (WL Can.), setting aside two decisions of Galati Prov. Ct. J., 2014 BCPC 11, [2014] B.C.J. No. 145 (QL), 2014 CarswellBC 423 (WL Can.), and 2014 BCPC 8, [2014] B.C.J. No. 274 (QL), 2014 CarswellBC 358 (WL Can.). Appeal allowed, Wagner, Gascon and Brown JJ. dissenting in part.</w:t>
      </w:r>
      <w:r w:rsidRPr="00414618">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David N. Fai</w:t>
      </w:r>
      <w:r w:rsidR="00035E4A" w:rsidRPr="00414618">
        <w:rPr>
          <w:sz w:val="20"/>
          <w:lang w:val="en-CA"/>
        </w:rPr>
        <w:t xml:space="preserve"> and </w:t>
      </w:r>
      <w:r w:rsidR="00035E4A" w:rsidRPr="00414618">
        <w:rPr>
          <w:i/>
          <w:sz w:val="20"/>
          <w:lang w:val="en-CA"/>
        </w:rPr>
        <w:t>Jeffrey W. Beedell</w:t>
      </w:r>
      <w:r w:rsidR="00035E4A" w:rsidRPr="00414618">
        <w:rPr>
          <w:sz w:val="20"/>
          <w:lang w:val="en-CA"/>
        </w:rPr>
        <w:t>, for the appellant.</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W. Paul Riley, Q.C.</w:t>
      </w:r>
      <w:r w:rsidR="00035E4A" w:rsidRPr="00414618">
        <w:rPr>
          <w:sz w:val="20"/>
          <w:lang w:val="en-CA"/>
        </w:rPr>
        <w:t xml:space="preserve">, and </w:t>
      </w:r>
      <w:r w:rsidR="00035E4A" w:rsidRPr="00414618">
        <w:rPr>
          <w:i/>
          <w:sz w:val="20"/>
          <w:lang w:val="en-CA"/>
        </w:rPr>
        <w:t>Todd C. Gerhart</w:t>
      </w:r>
      <w:r w:rsidR="00035E4A" w:rsidRPr="00414618">
        <w:rPr>
          <w:sz w:val="20"/>
          <w:lang w:val="en-CA"/>
        </w:rPr>
        <w:t>, for the respondent.</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Eric V. Gottardi</w:t>
      </w:r>
      <w:r w:rsidR="00035E4A" w:rsidRPr="00414618">
        <w:rPr>
          <w:sz w:val="20"/>
          <w:lang w:val="en-CA"/>
        </w:rPr>
        <w:t xml:space="preserve"> and </w:t>
      </w:r>
      <w:r w:rsidR="00035E4A" w:rsidRPr="00414618">
        <w:rPr>
          <w:i/>
          <w:sz w:val="20"/>
          <w:lang w:val="en-CA"/>
        </w:rPr>
        <w:t>Mila Shah</w:t>
      </w:r>
      <w:r w:rsidR="00035E4A" w:rsidRPr="00414618">
        <w:rPr>
          <w:sz w:val="20"/>
          <w:lang w:val="en-CA"/>
        </w:rPr>
        <w:t>, for the intervener the Canadian Bar Association.</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 xml:space="preserve">Faisal Mirza </w:t>
      </w:r>
      <w:r w:rsidR="00035E4A" w:rsidRPr="00414618">
        <w:rPr>
          <w:sz w:val="20"/>
          <w:lang w:val="en-CA"/>
        </w:rPr>
        <w:t>and</w:t>
      </w:r>
      <w:r w:rsidR="00035E4A" w:rsidRPr="00414618">
        <w:rPr>
          <w:i/>
          <w:sz w:val="20"/>
          <w:lang w:val="en-CA"/>
        </w:rPr>
        <w:t xml:space="preserve"> Roger A. Love</w:t>
      </w:r>
      <w:r w:rsidR="00035E4A" w:rsidRPr="00414618">
        <w:rPr>
          <w:sz w:val="20"/>
          <w:lang w:val="en-CA"/>
        </w:rPr>
        <w:t>, for the intervener the African Canadian Legal Clinic.</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Maia Tsurumi</w:t>
      </w:r>
      <w:r w:rsidR="00035E4A" w:rsidRPr="00414618">
        <w:rPr>
          <w:sz w:val="20"/>
          <w:lang w:val="en-CA"/>
        </w:rPr>
        <w:t xml:space="preserve"> and </w:t>
      </w:r>
      <w:r w:rsidR="00035E4A" w:rsidRPr="00414618">
        <w:rPr>
          <w:i/>
          <w:sz w:val="20"/>
          <w:lang w:val="en-CA"/>
        </w:rPr>
        <w:t>Adrienne Smith</w:t>
      </w:r>
      <w:r w:rsidR="00035E4A" w:rsidRPr="00414618">
        <w:rPr>
          <w:sz w:val="20"/>
          <w:lang w:val="en-CA"/>
        </w:rPr>
        <w:t>, for the interveners the Pivot Legal Society and the Union of British Columbia Indian Chiefs.</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 xml:space="preserve">Khalid Janmohamed </w:t>
      </w:r>
      <w:r w:rsidR="00035E4A" w:rsidRPr="00414618">
        <w:rPr>
          <w:sz w:val="20"/>
          <w:lang w:val="en-CA"/>
        </w:rPr>
        <w:t>and</w:t>
      </w:r>
      <w:r w:rsidR="00035E4A" w:rsidRPr="00414618">
        <w:rPr>
          <w:i/>
          <w:sz w:val="20"/>
          <w:lang w:val="en-CA"/>
        </w:rPr>
        <w:t xml:space="preserve"> Ryan Peck</w:t>
      </w:r>
      <w:r w:rsidR="00035E4A" w:rsidRPr="00414618">
        <w:rPr>
          <w:sz w:val="20"/>
          <w:lang w:val="en-CA"/>
        </w:rPr>
        <w:t>, for the interveners the HIV &amp; AIDS Legal Clinic Ontario, the Canadian HIV/AIDS Legal Network, the British Columbia Centre for Excellence in HIV/AIDS, the Prisoners with HIV/AIDS Support Action Network and the Canadian Association of People Who Use Drugs.</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Matthew A. Nathanson</w:t>
      </w:r>
      <w:r w:rsidR="00035E4A" w:rsidRPr="00414618">
        <w:rPr>
          <w:sz w:val="20"/>
          <w:lang w:val="en-CA"/>
        </w:rPr>
        <w:t>, for the intervener the British Columbia Civil Liberties Association.</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Dirk Derstine</w:t>
      </w:r>
      <w:r w:rsidR="00035E4A" w:rsidRPr="00414618">
        <w:rPr>
          <w:sz w:val="20"/>
          <w:lang w:val="en-CA"/>
        </w:rPr>
        <w:t xml:space="preserve"> and </w:t>
      </w:r>
      <w:r w:rsidR="00035E4A" w:rsidRPr="00414618">
        <w:rPr>
          <w:i/>
          <w:sz w:val="20"/>
          <w:lang w:val="en-CA"/>
        </w:rPr>
        <w:t>Janani Shanmuganathan</w:t>
      </w:r>
      <w:r w:rsidR="00035E4A" w:rsidRPr="00414618">
        <w:rPr>
          <w:sz w:val="20"/>
          <w:lang w:val="en-CA"/>
        </w:rPr>
        <w:t>, for the intervener the Criminal Lawyers’ Association (Ontario).</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i/>
          <w:sz w:val="20"/>
          <w:lang w:val="en-CA"/>
        </w:rPr>
        <w:t>Kasandra Cronin</w:t>
      </w:r>
      <w:r w:rsidR="00035E4A" w:rsidRPr="00414618">
        <w:rPr>
          <w:sz w:val="20"/>
          <w:lang w:val="en-CA"/>
        </w:rPr>
        <w:t xml:space="preserve"> and </w:t>
      </w:r>
      <w:r w:rsidR="00035E4A" w:rsidRPr="00414618">
        <w:rPr>
          <w:i/>
          <w:sz w:val="20"/>
          <w:lang w:val="en-CA"/>
        </w:rPr>
        <w:t>Kendra Milne</w:t>
      </w:r>
      <w:r w:rsidR="00035E4A" w:rsidRPr="00414618">
        <w:rPr>
          <w:sz w:val="20"/>
          <w:lang w:val="en-CA"/>
        </w:rPr>
        <w:t>, for the intervener the West Coast Women’s Legal Education and Action Fund.</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appellant: David N. Fai Law Corporation, Vancouver; Gowling WLG (Canada) Inc., Ottawa.</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 for the respondent: Public Prosecution Service of Canada, Vancouver.</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 the Canadian Bar Association: Peck and Company, Vancouver.</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 the African Canadian Legal Clinic: Faisal Mirza, Mississauga; African Canadian Legal Clinic, Toronto.</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interveners the Pivot Legal Society and the Union of British Columbia Indian Chiefs: Maia Tsurumi, Vancouver; Pivot Legal Society, Vancouver.</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 for the interveners the HIV &amp; AIDS Legal Clinic Ontario, the Canadian HIV/AIDS Legal Network, the British Columbia Centre for Excellence in HIV/AIDS, the Prisoners with HIV/AIDS Support Action Network and the Canadian Association of People Who Use Drugs: HIV &amp; AIDS Legal Clinic Ontario, Toronto.</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 the British Columbia Civil Liberties Association: MN Law, Vancouver.</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 the Criminal Lawyers’ Association (Ontario): Derstine Penman, Toronto.</w:t>
      </w:r>
      <w:r>
        <w:rPr>
          <w:sz w:val="20"/>
          <w:lang w:val="en-CA"/>
        </w:rPr>
        <w:t xml:space="preserve"> </w:t>
      </w:r>
    </w:p>
    <w:p w:rsidR="00F66947" w:rsidRDefault="00F66947" w:rsidP="00F66947">
      <w:pPr>
        <w:pStyle w:val="ParaNoNdepar-AltN"/>
        <w:numPr>
          <w:ilvl w:val="0"/>
          <w:numId w:val="0"/>
        </w:numPr>
        <w:tabs>
          <w:tab w:val="left" w:pos="1170"/>
        </w:tabs>
        <w:spacing w:before="0" w:after="0" w:line="240" w:lineRule="auto"/>
        <w:rPr>
          <w:sz w:val="20"/>
          <w:lang w:val="en-CA"/>
        </w:rPr>
      </w:pPr>
    </w:p>
    <w:p w:rsidR="00414618" w:rsidRDefault="00414618" w:rsidP="00F66947">
      <w:pPr>
        <w:pStyle w:val="ParaNoNdepar-AltN"/>
        <w:numPr>
          <w:ilvl w:val="0"/>
          <w:numId w:val="0"/>
        </w:numPr>
        <w:tabs>
          <w:tab w:val="left" w:pos="1170"/>
        </w:tabs>
        <w:spacing w:before="0" w:after="0" w:line="240" w:lineRule="auto"/>
        <w:rPr>
          <w:sz w:val="20"/>
          <w:lang w:val="en-CA"/>
        </w:rPr>
      </w:pPr>
      <w:r>
        <w:rPr>
          <w:sz w:val="20"/>
          <w:lang w:val="en-CA"/>
        </w:rPr>
        <w:tab/>
      </w:r>
      <w:r w:rsidR="00035E4A" w:rsidRPr="00414618">
        <w:rPr>
          <w:sz w:val="20"/>
          <w:lang w:val="en-CA"/>
        </w:rPr>
        <w:t>Solicitors for the intervener the West Coast Women’s Legal Education and Action Fund: La Liberté Cronin, Vancouver; West Coast LEAF, Vancouver.</w:t>
      </w:r>
    </w:p>
    <w:p w:rsidR="00035E4A" w:rsidRDefault="00035E4A" w:rsidP="00F66947">
      <w:pPr>
        <w:pStyle w:val="ParaNoNdepar-AltN"/>
        <w:numPr>
          <w:ilvl w:val="0"/>
          <w:numId w:val="0"/>
        </w:numPr>
        <w:tabs>
          <w:tab w:val="left" w:pos="1170"/>
        </w:tabs>
        <w:spacing w:before="0" w:after="0" w:line="240" w:lineRule="auto"/>
        <w:rPr>
          <w:sz w:val="20"/>
        </w:rPr>
      </w:pPr>
      <w:r w:rsidRPr="00165F6D">
        <w:rPr>
          <w:sz w:val="20"/>
        </w:rPr>
        <w:t>________________________</w:t>
      </w:r>
    </w:p>
    <w:p w:rsidR="00F66947" w:rsidRDefault="00F66947" w:rsidP="00F66947">
      <w:pPr>
        <w:pStyle w:val="ParaNoNdepar-AltN"/>
        <w:numPr>
          <w:ilvl w:val="0"/>
          <w:numId w:val="0"/>
        </w:numPr>
        <w:tabs>
          <w:tab w:val="left" w:pos="1170"/>
        </w:tabs>
        <w:spacing w:before="0" w:after="0" w:line="240" w:lineRule="auto"/>
        <w:rPr>
          <w:sz w:val="20"/>
        </w:rPr>
      </w:pPr>
    </w:p>
    <w:p w:rsidR="00414618" w:rsidRDefault="00035E4A" w:rsidP="00F66947">
      <w:pPr>
        <w:jc w:val="both"/>
        <w:rPr>
          <w:sz w:val="20"/>
          <w:szCs w:val="20"/>
          <w:lang w:val="fr-CA"/>
        </w:rPr>
      </w:pPr>
      <w:r w:rsidRPr="00312D5B">
        <w:rPr>
          <w:sz w:val="20"/>
          <w:szCs w:val="20"/>
          <w:lang w:val="fr-CA"/>
        </w:rPr>
        <w:t>Présents : La juge en chef McLachlin et les juges Abella, Cromwell, Moldaver, Karakatsanis, Wagner, Gascon, Côté et Brown.</w:t>
      </w:r>
      <w:r w:rsidR="00414618">
        <w:rPr>
          <w:sz w:val="20"/>
          <w:szCs w:val="20"/>
          <w:lang w:val="fr-CA"/>
        </w:rPr>
        <w:t xml:space="preserve"> </w:t>
      </w:r>
    </w:p>
    <w:p w:rsidR="00F66947" w:rsidRDefault="00F66947" w:rsidP="00F66947">
      <w:pPr>
        <w:jc w:val="both"/>
        <w:rPr>
          <w:sz w:val="20"/>
          <w:szCs w:val="20"/>
          <w:lang w:val="fr-CA"/>
        </w:rPr>
      </w:pPr>
    </w:p>
    <w:p w:rsidR="00414618" w:rsidRDefault="00414618" w:rsidP="00F66947">
      <w:pPr>
        <w:jc w:val="both"/>
        <w:rPr>
          <w:i/>
          <w:sz w:val="20"/>
          <w:lang w:val="fr-CA"/>
        </w:rPr>
      </w:pPr>
      <w:r>
        <w:rPr>
          <w:sz w:val="20"/>
          <w:szCs w:val="20"/>
          <w:lang w:val="fr-CA"/>
        </w:rPr>
        <w:tab/>
      </w:r>
      <w:r w:rsidR="00035E4A" w:rsidRPr="00312D5B">
        <w:rPr>
          <w:i/>
          <w:sz w:val="20"/>
          <w:lang w:val="fr-CA"/>
        </w:rPr>
        <w:t>Droit constitutionnel — Charte des droits — Traitements ou peines cruels et inusités — Détermination de la peine — Peine minimale obligatoire — Infraction relative à des substances réglementées — Accusé reconnu coupable de possession de substances réglementées en vue d’en faire le trafic et condamné à un an d’emprisonnement — La peine minimale obligatoire d’un an d’emprisonnement que prévoit la div. 5(3)a)(i)(D) de la Loi réglementant certaines drogues et autres substances équivaut</w:t>
      </w:r>
      <w:r w:rsidR="00035E4A" w:rsidRPr="00312D5B">
        <w:rPr>
          <w:i/>
          <w:sz w:val="20"/>
          <w:lang w:val="fr-CA"/>
        </w:rPr>
        <w:noBreakHyphen/>
        <w:t>elle à une peine cruelle et inusitée de manière à contrevenir à l’art. 12 de la Charte canadienne des droits et libertés? — Dans l’affirmative, l’atteinte peut</w:t>
      </w:r>
      <w:r w:rsidR="00035E4A" w:rsidRPr="00312D5B">
        <w:rPr>
          <w:i/>
          <w:sz w:val="20"/>
          <w:lang w:val="fr-CA"/>
        </w:rPr>
        <w:noBreakHyphen/>
        <w:t>elle se justifier par application de l’article premier de la Charte? — La Cour d’appel a</w:t>
      </w:r>
      <w:r w:rsidR="00035E4A" w:rsidRPr="00312D5B">
        <w:rPr>
          <w:i/>
          <w:sz w:val="20"/>
          <w:lang w:val="fr-CA"/>
        </w:rPr>
        <w:noBreakHyphen/>
        <w:t>t</w:t>
      </w:r>
      <w:r w:rsidR="00035E4A" w:rsidRPr="00312D5B">
        <w:rPr>
          <w:i/>
          <w:sz w:val="20"/>
          <w:lang w:val="fr-CA"/>
        </w:rPr>
        <w:noBreakHyphen/>
        <w:t>elle eu tort d’accroître la peine et de la porter à 18 mois? — Loi réglementant certaines drogues et autres substances, L.C. 1996, c. 19, art. 5(3)a)(i)(D).</w:t>
      </w:r>
      <w:r>
        <w:rPr>
          <w:i/>
          <w:sz w:val="20"/>
          <w:lang w:val="fr-CA"/>
        </w:rPr>
        <w:t xml:space="preserve"> </w:t>
      </w:r>
    </w:p>
    <w:p w:rsidR="00F66947" w:rsidRPr="00414618" w:rsidRDefault="00F66947" w:rsidP="00F66947">
      <w:pPr>
        <w:jc w:val="both"/>
        <w:rPr>
          <w:sz w:val="20"/>
          <w:szCs w:val="20"/>
          <w:lang w:val="fr-CA"/>
        </w:rPr>
      </w:pPr>
    </w:p>
    <w:p w:rsidR="00414618" w:rsidRDefault="00414618" w:rsidP="00F66947">
      <w:pPr>
        <w:jc w:val="both"/>
        <w:rPr>
          <w:i/>
          <w:sz w:val="20"/>
          <w:lang w:val="fr-CA"/>
        </w:rPr>
      </w:pPr>
      <w:r>
        <w:rPr>
          <w:i/>
          <w:sz w:val="20"/>
          <w:lang w:val="fr-CA"/>
        </w:rPr>
        <w:tab/>
      </w:r>
      <w:r w:rsidR="00035E4A" w:rsidRPr="00312D5B">
        <w:rPr>
          <w:i/>
          <w:sz w:val="20"/>
          <w:lang w:val="fr-CA"/>
        </w:rPr>
        <w:t>Droit constitutionnel — Charte des droits — Justice fondamentale — Détermination de la peine — La proportionnalité dans le processus de détermination de la peine constitue</w:t>
      </w:r>
      <w:r w:rsidR="00035E4A" w:rsidRPr="00312D5B">
        <w:rPr>
          <w:i/>
          <w:sz w:val="20"/>
          <w:lang w:val="fr-CA"/>
        </w:rPr>
        <w:noBreakHyphen/>
        <w:t>t</w:t>
      </w:r>
      <w:r w:rsidR="00035E4A" w:rsidRPr="00312D5B">
        <w:rPr>
          <w:i/>
          <w:sz w:val="20"/>
          <w:lang w:val="fr-CA"/>
        </w:rPr>
        <w:noBreakHyphen/>
        <w:t>elle un principe de justice fondamentale au sens de l’art. 7 de la Charte canadienne des droits et libertés? — Dans l’affirmative, la peine minimale obligatoire d’un an d’emprisonnement que prévoit la div. 5(3)a)(i)(D) de la Loi réglementant certaines drogues et autres substances contrevient</w:t>
      </w:r>
      <w:r w:rsidR="00035E4A" w:rsidRPr="00312D5B">
        <w:rPr>
          <w:i/>
          <w:sz w:val="20"/>
          <w:lang w:val="fr-CA"/>
        </w:rPr>
        <w:noBreakHyphen/>
        <w:t>elle à l’art. 7 de la Charte?</w:t>
      </w:r>
      <w:r>
        <w:rPr>
          <w:i/>
          <w:sz w:val="20"/>
          <w:lang w:val="fr-CA"/>
        </w:rPr>
        <w:t xml:space="preserve"> </w:t>
      </w:r>
    </w:p>
    <w:p w:rsidR="00F66947" w:rsidRDefault="00F66947" w:rsidP="00F66947">
      <w:pPr>
        <w:jc w:val="both"/>
        <w:rPr>
          <w:i/>
          <w:sz w:val="20"/>
          <w:lang w:val="fr-CA"/>
        </w:rPr>
      </w:pPr>
    </w:p>
    <w:p w:rsidR="00414618" w:rsidRDefault="00414618" w:rsidP="00F66947">
      <w:pPr>
        <w:jc w:val="both"/>
        <w:rPr>
          <w:i/>
          <w:sz w:val="20"/>
          <w:lang w:val="fr-CA"/>
        </w:rPr>
      </w:pPr>
      <w:r>
        <w:rPr>
          <w:i/>
          <w:sz w:val="20"/>
          <w:lang w:val="fr-CA"/>
        </w:rPr>
        <w:tab/>
      </w:r>
      <w:r w:rsidR="00035E4A" w:rsidRPr="00312D5B">
        <w:rPr>
          <w:i/>
          <w:sz w:val="20"/>
          <w:lang w:val="fr-CA"/>
        </w:rPr>
        <w:t>Droit constitutionnel — Charte des droits — Tribunaux — Compétence — Décision d’un juge d’une cour provinciale selon laquelle une disposition prévoyant une peine minimale obligatoire est inconstitutionnelle — Une cour provinciale a</w:t>
      </w:r>
      <w:r w:rsidR="00035E4A" w:rsidRPr="00312D5B">
        <w:rPr>
          <w:i/>
          <w:sz w:val="20"/>
          <w:lang w:val="fr-CA"/>
        </w:rPr>
        <w:noBreakHyphen/>
        <w:t>t</w:t>
      </w:r>
      <w:r w:rsidR="00035E4A" w:rsidRPr="00312D5B">
        <w:rPr>
          <w:i/>
          <w:sz w:val="20"/>
          <w:lang w:val="fr-CA"/>
        </w:rPr>
        <w:noBreakHyphen/>
        <w:t>elle le pouvoir de statuer sur la constitutionnalité?</w:t>
      </w:r>
    </w:p>
    <w:p w:rsidR="00F66947" w:rsidRDefault="00F66947" w:rsidP="00F66947">
      <w:pPr>
        <w:jc w:val="both"/>
        <w:rPr>
          <w:i/>
          <w:sz w:val="20"/>
          <w:lang w:val="fr-CA"/>
        </w:rPr>
      </w:pPr>
    </w:p>
    <w:p w:rsidR="00414618" w:rsidRDefault="00414618" w:rsidP="00F66947">
      <w:pPr>
        <w:jc w:val="both"/>
        <w:rPr>
          <w:sz w:val="20"/>
          <w:lang w:val="fr-CA"/>
        </w:rPr>
      </w:pPr>
      <w:r>
        <w:rPr>
          <w:sz w:val="20"/>
          <w:lang w:val="fr-CA"/>
        </w:rPr>
        <w:tab/>
      </w:r>
      <w:r w:rsidR="00035E4A" w:rsidRPr="00312D5B">
        <w:rPr>
          <w:sz w:val="20"/>
          <w:lang w:val="fr-CA"/>
        </w:rPr>
        <w:t xml:space="preserve">L a été déclaré coupable de possession de drogues en vue d’en faire le trafic. Reconnu coupable d’une infraction apparentée peu de temps auparavant, il était passible d’une peine minimale obligatoire d’un an d’emprisonnement suivant la div. 5(3)a)(i)(D) de la </w:t>
      </w:r>
      <w:r w:rsidR="00035E4A" w:rsidRPr="00312D5B">
        <w:rPr>
          <w:i/>
          <w:sz w:val="20"/>
          <w:lang w:val="fr-CA"/>
        </w:rPr>
        <w:t xml:space="preserve">Loi réglementant certaines drogues et autres substances </w:t>
      </w:r>
      <w:r w:rsidR="00035E4A" w:rsidRPr="00312D5B">
        <w:rPr>
          <w:sz w:val="20"/>
          <w:lang w:val="fr-CA"/>
        </w:rPr>
        <w:t>(«</w:t>
      </w:r>
      <w:r w:rsidR="00035E4A" w:rsidRPr="00312D5B">
        <w:rPr>
          <w:i/>
          <w:sz w:val="20"/>
          <w:lang w:val="fr-CA"/>
        </w:rPr>
        <w:t> LRCDAS </w:t>
      </w:r>
      <w:r w:rsidR="00035E4A" w:rsidRPr="00312D5B">
        <w:rPr>
          <w:sz w:val="20"/>
          <w:lang w:val="fr-CA"/>
        </w:rPr>
        <w:t xml:space="preserve">»). Cette disposition prévoit qu’une peine minimale d’un an d’emprisonnement est infligée pour trafic ou possession, en vue d’en faire le trafic, d’une drogue inscrite aux annexes I ou II au délinquant qui, au cours des 10 années précédentes, a été reconnu coupable de toute infraction en matière de drogue (sauf la possession). Le juge de la cour provinciale a déclaré que la disposition était contraire à l’art. 12 de la </w:t>
      </w:r>
      <w:r w:rsidR="00035E4A" w:rsidRPr="00312D5B">
        <w:rPr>
          <w:i/>
          <w:sz w:val="20"/>
          <w:lang w:val="fr-CA"/>
        </w:rPr>
        <w:t>Charte</w:t>
      </w:r>
      <w:r w:rsidR="00035E4A" w:rsidRPr="00312D5B">
        <w:rPr>
          <w:sz w:val="20"/>
          <w:lang w:val="fr-CA"/>
        </w:rPr>
        <w:t xml:space="preserve"> et non susceptible de justification par application de l’article premier. La Cour d’appel a accueilli l’appel du ministère public, annulé la déclaration d’inconstitutionnalité et accru la peine en la portant à 18 mois d’emprisonnement.</w:t>
      </w:r>
      <w:r>
        <w:rPr>
          <w:sz w:val="20"/>
          <w:lang w:val="fr-CA"/>
        </w:rPr>
        <w:t xml:space="preserve"> </w:t>
      </w:r>
    </w:p>
    <w:p w:rsidR="00F66947" w:rsidRDefault="00F66947" w:rsidP="00F66947">
      <w:pPr>
        <w:jc w:val="both"/>
        <w:rPr>
          <w:sz w:val="20"/>
          <w:lang w:val="fr-CA"/>
        </w:rPr>
      </w:pPr>
    </w:p>
    <w:p w:rsidR="00414618" w:rsidRDefault="00414618" w:rsidP="00F66947">
      <w:pPr>
        <w:jc w:val="both"/>
        <w:rPr>
          <w:sz w:val="20"/>
          <w:lang w:val="fr-CA"/>
        </w:rPr>
      </w:pPr>
      <w:r>
        <w:rPr>
          <w:i/>
          <w:sz w:val="20"/>
          <w:lang w:val="fr-CA"/>
        </w:rPr>
        <w:tab/>
      </w:r>
      <w:r w:rsidR="00035E4A" w:rsidRPr="00312D5B">
        <w:rPr>
          <w:i/>
          <w:sz w:val="20"/>
          <w:lang w:val="fr-CA"/>
        </w:rPr>
        <w:t>Arrêt</w:t>
      </w:r>
      <w:r w:rsidR="00035E4A" w:rsidRPr="00312D5B">
        <w:rPr>
          <w:sz w:val="20"/>
          <w:lang w:val="fr-CA"/>
        </w:rPr>
        <w:t> (les juges Wagner, Gascon et Brown sont dissidents en partie) : Le pourvoi est accueilli.</w:t>
      </w:r>
    </w:p>
    <w:p w:rsidR="00F66947" w:rsidRDefault="00F66947" w:rsidP="00F66947">
      <w:pPr>
        <w:jc w:val="both"/>
        <w:rPr>
          <w:sz w:val="20"/>
          <w:lang w:val="fr-CA"/>
        </w:rPr>
      </w:pPr>
    </w:p>
    <w:p w:rsidR="00414618" w:rsidRDefault="00414618" w:rsidP="00F66947">
      <w:pPr>
        <w:jc w:val="both"/>
        <w:rPr>
          <w:sz w:val="20"/>
          <w:lang w:val="fr-CA"/>
        </w:rPr>
      </w:pPr>
      <w:r>
        <w:rPr>
          <w:i/>
          <w:sz w:val="20"/>
          <w:lang w:val="fr-CA"/>
        </w:rPr>
        <w:tab/>
      </w:r>
      <w:r w:rsidR="00035E4A" w:rsidRPr="00312D5B">
        <w:rPr>
          <w:i/>
          <w:sz w:val="20"/>
          <w:lang w:val="fr-CA"/>
        </w:rPr>
        <w:t>La</w:t>
      </w:r>
      <w:r w:rsidR="00035E4A" w:rsidRPr="00312D5B">
        <w:rPr>
          <w:sz w:val="20"/>
          <w:lang w:val="fr-CA"/>
        </w:rPr>
        <w:t xml:space="preserve"> juge en chef </w:t>
      </w:r>
      <w:r w:rsidR="00035E4A" w:rsidRPr="00312D5B">
        <w:rPr>
          <w:b/>
          <w:sz w:val="20"/>
          <w:lang w:val="fr-CA"/>
        </w:rPr>
        <w:t xml:space="preserve">McLachlin </w:t>
      </w:r>
      <w:r w:rsidR="00035E4A" w:rsidRPr="00312D5B">
        <w:rPr>
          <w:sz w:val="20"/>
          <w:lang w:val="fr-CA"/>
        </w:rPr>
        <w:t xml:space="preserve">et les juges Abella, Cromwell, Moldaver, Karakatsanis et Côté : Le juge de la cour provinciale avait en l’espèce le pouvoir de se prononcer sur la constitutionnalité de la div. 5(3)a)(i)(D) de la </w:t>
      </w:r>
      <w:r w:rsidR="00035E4A" w:rsidRPr="00312D5B">
        <w:rPr>
          <w:i/>
          <w:sz w:val="20"/>
          <w:lang w:val="fr-CA"/>
        </w:rPr>
        <w:t>LRCDAS</w:t>
      </w:r>
      <w:r w:rsidR="00035E4A" w:rsidRPr="00312D5B">
        <w:rPr>
          <w:sz w:val="20"/>
          <w:lang w:val="fr-CA"/>
        </w:rPr>
        <w:t xml:space="preserve">. Même si un juge d’une cour provinciale n’est pas habilité à faire une déclaration formelle selon laquelle une règle de droit est inopérante suivant le par. 52(1) de la </w:t>
      </w:r>
      <w:r w:rsidR="00035E4A" w:rsidRPr="00312D5B">
        <w:rPr>
          <w:i/>
          <w:sz w:val="20"/>
          <w:lang w:val="fr-CA"/>
        </w:rPr>
        <w:t>Loi constitutionnelle de 1982</w:t>
      </w:r>
      <w:r w:rsidR="00035E4A" w:rsidRPr="00312D5B">
        <w:rPr>
          <w:sz w:val="20"/>
          <w:lang w:val="fr-CA"/>
        </w:rPr>
        <w:t>, il a le pouvoir de statuer sur la constitutionnalité d’une peine minimale obligatoire lorsque la question est soulevée dans le cadre d’une instance dont il est saisi. L a contesté la peine minimale obligatoire d’un an d’emprisonnement dont il devait écoper. Il était en droit de le faire. Le juge de la cour provinciale pouvait, lui, se pencher sur la constitutionnalité de la disposition en cause. Il a finalement conclu que la peine minimale obligatoire n’était pas exagérément disproportionnée dans le cas de L. L’emploi du verbe « déclarer » par le juge ne fait pas de sa conclusion une déclaration formelle selon laquelle la disposition est inopérante.</w:t>
      </w:r>
    </w:p>
    <w:p w:rsidR="00F66947" w:rsidRDefault="00F66947" w:rsidP="00F66947">
      <w:pPr>
        <w:jc w:val="both"/>
        <w:rPr>
          <w:sz w:val="20"/>
          <w:lang w:val="fr-CA"/>
        </w:rPr>
      </w:pPr>
    </w:p>
    <w:p w:rsidR="00414618" w:rsidRDefault="00414618" w:rsidP="00F66947">
      <w:pPr>
        <w:jc w:val="both"/>
        <w:rPr>
          <w:rFonts w:cs="Times New Roman"/>
          <w:sz w:val="20"/>
          <w:szCs w:val="20"/>
          <w:lang w:val="fr-CA"/>
        </w:rPr>
      </w:pPr>
      <w:r>
        <w:rPr>
          <w:sz w:val="20"/>
          <w:lang w:val="fr-CA"/>
        </w:rPr>
        <w:tab/>
      </w:r>
      <w:r w:rsidR="00035E4A" w:rsidRPr="00414618">
        <w:rPr>
          <w:rFonts w:cs="Times New Roman"/>
          <w:sz w:val="20"/>
          <w:szCs w:val="20"/>
          <w:lang w:val="fr-CA"/>
        </w:rPr>
        <w:t xml:space="preserve">Même si L a concédé que la peine minimale d’un an d’emprisonnement ne constituait pas une peine exagérément disproportionnée dans son cas, elle pouvait en constituer une dans ses applications raisonnablement prévisibles à d’autres personnes. </w:t>
      </w:r>
      <w:r w:rsidR="00035E4A" w:rsidRPr="00004181">
        <w:rPr>
          <w:rFonts w:cs="Times New Roman"/>
          <w:sz w:val="20"/>
          <w:szCs w:val="20"/>
          <w:lang w:val="fr-CA"/>
        </w:rPr>
        <w:t xml:space="preserve">Cette situation problématique se présentait aussi dans </w:t>
      </w:r>
      <w:r w:rsidR="00035E4A" w:rsidRPr="00004181">
        <w:rPr>
          <w:rFonts w:cs="Times New Roman"/>
          <w:i/>
          <w:sz w:val="20"/>
          <w:szCs w:val="20"/>
          <w:lang w:val="fr-CA"/>
        </w:rPr>
        <w:t>R. c. Nur</w:t>
      </w:r>
      <w:r w:rsidR="00035E4A" w:rsidRPr="00004181">
        <w:rPr>
          <w:rFonts w:cs="Times New Roman"/>
          <w:sz w:val="20"/>
          <w:szCs w:val="20"/>
          <w:lang w:val="fr-CA"/>
        </w:rPr>
        <w:t xml:space="preserve">, 2015 CSC 15, [2015] 1 R.C.S. 773. Une fois encore, dans la présente affaire, la disposition qui prévoit la peine minimale obligatoire s’applique à une vaste gamme de comportements potentiels. </w:t>
      </w:r>
      <w:r w:rsidR="00035E4A" w:rsidRPr="00414618">
        <w:rPr>
          <w:rFonts w:cs="Times New Roman"/>
          <w:sz w:val="20"/>
          <w:szCs w:val="20"/>
          <w:lang w:val="fr-CA"/>
        </w:rPr>
        <w:t>Par voie de conséquence, elle vise non seulement le trafic de drogue hautement répréhensible, ce qui correspond à son objectif légitime, mais aussi le comportement qui se révèle beaucoup moins répréhensible, ce qui la rend vulnérable sur le plan constitutionnel.</w:t>
      </w:r>
      <w:r w:rsidRPr="00414618">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À une extrémité de la gamme, le comportement qui tombe sous le coup de la disposition sur la peine minimale obligatoire est celui du trafiquant de drogue professionnel qui fait le commerce de drogues dangereuses pour le profit, qui est en possession d’une grande quantité de drogues et qui a maintes fois été déclaré coupable d’infractions apparentées. </w:t>
      </w:r>
      <w:r w:rsidR="00035E4A" w:rsidRPr="00004181">
        <w:rPr>
          <w:rFonts w:cs="Times New Roman"/>
          <w:sz w:val="20"/>
          <w:szCs w:val="20"/>
          <w:lang w:val="fr-CA"/>
        </w:rPr>
        <w:t xml:space="preserve">À l’autre extrémité, il y a le toxicomane qui fait l’objet d’une accusation de trafic pour avoir partagé avec un ami ou sa conjointe une petite quantité de drogue et qui écope d’un an de prison parce qu’il a déjà été reconnu coupable de trafic, une seule fois, neuf ans auparavant, après avoir partagé de la marihuana lors d’une réunion sociale. </w:t>
      </w:r>
      <w:r w:rsidR="00035E4A" w:rsidRPr="00414618">
        <w:rPr>
          <w:rFonts w:cs="Times New Roman"/>
          <w:sz w:val="20"/>
          <w:szCs w:val="20"/>
          <w:lang w:val="fr-CA"/>
        </w:rPr>
        <w:t>La plupart des Canadiens seraient consternés d’apprendre qu’une telle personne pourrait écoper d’un an de prison.</w:t>
      </w:r>
      <w:r w:rsidRPr="00414618">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Une autre situation dans laquelle la règle de droit est raisonnablement susceptible de s’appliquer est celle du toxicomane qui est reconnu coupable de trafic une deuxième fois. </w:t>
      </w:r>
      <w:r w:rsidR="00035E4A" w:rsidRPr="00004181">
        <w:rPr>
          <w:rFonts w:cs="Times New Roman"/>
          <w:sz w:val="20"/>
          <w:szCs w:val="20"/>
          <w:lang w:val="fr-CA"/>
        </w:rPr>
        <w:t xml:space="preserve">Comme pour la fois précédente, il ne s’est livré au trafic que pour satisfaire son propre besoin de consommation. Dans l’intervalle compris entre la déclaration de culpabilité et la détermination de la peine, il suit un programme de désintoxication et vainc sa dépendance. Il demande qu’on le condamne à une peine moins longue afin qu’il puisse mener à nouveau une vie saine et productive. Légalement, le tribunal n’a d’autre choix que de le condamner à un an de prison. </w:t>
      </w:r>
      <w:r w:rsidR="00035E4A" w:rsidRPr="00414618">
        <w:rPr>
          <w:rFonts w:cs="Times New Roman"/>
          <w:sz w:val="20"/>
          <w:szCs w:val="20"/>
          <w:lang w:val="fr-CA"/>
        </w:rPr>
        <w:t>Une telle peine est également exagérément disproportionnée à ce qui est juste dans les circonstances et elle est de nature à choquer la conscience des Canadiens.</w:t>
      </w:r>
      <w:r w:rsidRPr="00414618">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Le par. 10(5) de la </w:t>
      </w:r>
      <w:r w:rsidR="00035E4A" w:rsidRPr="00414618">
        <w:rPr>
          <w:rFonts w:cs="Times New Roman"/>
          <w:i/>
          <w:sz w:val="20"/>
          <w:szCs w:val="20"/>
          <w:lang w:val="fr-CA"/>
        </w:rPr>
        <w:t>LRCDAS</w:t>
      </w:r>
      <w:r w:rsidR="00035E4A" w:rsidRPr="00414618">
        <w:rPr>
          <w:rFonts w:cs="Times New Roman"/>
          <w:sz w:val="20"/>
          <w:szCs w:val="20"/>
          <w:lang w:val="fr-CA"/>
        </w:rPr>
        <w:t xml:space="preserve"> prévoit une exception à l’application de la peine minimale d’un an d’emprisonnement lorsque le délinquant, avant la détermination de sa peine, termine avec succès un programme judiciaire de traitement de la toxicomanie ou un autre programme agréé visé au par. 720(2) du </w:t>
      </w:r>
      <w:r w:rsidR="00035E4A" w:rsidRPr="00414618">
        <w:rPr>
          <w:rFonts w:cs="Times New Roman"/>
          <w:i/>
          <w:sz w:val="20"/>
          <w:szCs w:val="20"/>
          <w:lang w:val="fr-CA"/>
        </w:rPr>
        <w:t>Code criminel</w:t>
      </w:r>
      <w:r w:rsidR="00035E4A" w:rsidRPr="00414618">
        <w:rPr>
          <w:rFonts w:cs="Times New Roman"/>
          <w:sz w:val="20"/>
          <w:szCs w:val="20"/>
          <w:lang w:val="fr-CA"/>
        </w:rPr>
        <w:t xml:space="preserve">. </w:t>
      </w:r>
      <w:r w:rsidR="00035E4A" w:rsidRPr="00004181">
        <w:rPr>
          <w:rFonts w:cs="Times New Roman"/>
          <w:sz w:val="20"/>
          <w:szCs w:val="20"/>
          <w:lang w:val="fr-CA"/>
        </w:rPr>
        <w:t xml:space="preserve">Or, l’exception a une portée trop étroite pour remédier au vice constitutionnel. Premièrement, elle ne vaut que pour certains programmes auxquels le délinquant en cause peut avoir accès ou non. Deuxièmement, pour pouvoir participer à un tel programme, le délinquant doit habituellement inscrire un plaidoyer de culpabilité et renoncer à son droit à un procès. Une atteinte constitutionnelle ne saurait remédier à une autre. Troisièmement, l’exigence de terminer le programme avec succès peut ne pas être réaliste lorsque le délinquant souffre d’une grande dépendance et que ses actes ne justifient pas un séjour d’un an en prison. </w:t>
      </w:r>
      <w:r w:rsidR="00035E4A" w:rsidRPr="00414618">
        <w:rPr>
          <w:rFonts w:cs="Times New Roman"/>
          <w:sz w:val="20"/>
          <w:szCs w:val="20"/>
          <w:lang w:val="fr-CA"/>
        </w:rPr>
        <w:t>Enfin, en ce qui concerne la plupart des programmes, le ministère public est investi d’un pouvoir discrétionnaire qui lui permet d’empêcher la participation d’un délinquant.</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Le fait est que la peine minimale obligatoire qui s’applique à l’égard d’une infraction susceptible d’être perpétrée de diverses manières, dans maintes circonstances différentes et par une grande variété de personnes se révèle vulnérable sur le plan constitutionnel. </w:t>
      </w:r>
      <w:r w:rsidR="00035E4A" w:rsidRPr="00004181">
        <w:rPr>
          <w:rFonts w:cs="Times New Roman"/>
          <w:sz w:val="20"/>
          <w:szCs w:val="20"/>
          <w:lang w:val="fr-CA"/>
        </w:rPr>
        <w:t xml:space="preserve">La raison en est que la disposition qui la prévoit englobera presque inévitablement une situation hypothétique raisonnable acceptable dans laquelle le minimum obligatoire sera jugé inconstitutionnel. Si le législateur tient à l’application de peines minimales obligatoires à des infractions qui ratissent large, il lui faut envisager de réduire leur champ d’application de manière qu’elles ne visent que les délinquants qui méritent de se les voir infliger. </w:t>
      </w:r>
      <w:r w:rsidR="00035E4A" w:rsidRPr="00414618">
        <w:rPr>
          <w:rFonts w:cs="Times New Roman"/>
          <w:sz w:val="20"/>
          <w:szCs w:val="20"/>
          <w:lang w:val="fr-CA"/>
        </w:rPr>
        <w:t>Le législateur pourrait par ailleurs investir le tribunal d’un pouvoir discrétionnaire lui permettant d’infliger une peine d’une durée moindre lorsque la peine minimale obligatoire est exagérément disproportionnée et équivaut à une peine cruelle et inusitée.</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Dans la mesure où elle prévoit une </w:t>
      </w:r>
      <w:r w:rsidR="00035E4A" w:rsidRPr="00414618">
        <w:rPr>
          <w:rFonts w:eastAsia="Times New Roman" w:cs="Times New Roman"/>
          <w:sz w:val="20"/>
          <w:szCs w:val="20"/>
          <w:lang w:val="fr-CA"/>
        </w:rPr>
        <w:t xml:space="preserve">peine minimale obligatoire </w:t>
      </w:r>
      <w:r w:rsidR="00035E4A" w:rsidRPr="00414618">
        <w:rPr>
          <w:rFonts w:cs="Times New Roman"/>
          <w:sz w:val="20"/>
          <w:szCs w:val="20"/>
          <w:lang w:val="fr-CA"/>
        </w:rPr>
        <w:t>d’un an</w:t>
      </w:r>
      <w:r w:rsidR="00035E4A" w:rsidRPr="00414618">
        <w:rPr>
          <w:rFonts w:eastAsia="Times New Roman" w:cs="Times New Roman"/>
          <w:sz w:val="20"/>
          <w:szCs w:val="20"/>
          <w:lang w:val="fr-CA"/>
        </w:rPr>
        <w:t xml:space="preserve"> d’emprisonnement</w:t>
      </w:r>
      <w:r w:rsidR="00035E4A" w:rsidRPr="00414618">
        <w:rPr>
          <w:rFonts w:cs="Times New Roman"/>
          <w:sz w:val="20"/>
          <w:szCs w:val="20"/>
          <w:lang w:val="fr-CA"/>
        </w:rPr>
        <w:t xml:space="preserve">, la div. 5(3)a)(i)(D) de la </w:t>
      </w:r>
      <w:r w:rsidR="00035E4A" w:rsidRPr="00414618">
        <w:rPr>
          <w:rFonts w:cs="Times New Roman"/>
          <w:i/>
          <w:sz w:val="20"/>
          <w:szCs w:val="20"/>
          <w:lang w:val="fr-CA"/>
        </w:rPr>
        <w:t>LRCDAS</w:t>
      </w:r>
      <w:r w:rsidR="00035E4A" w:rsidRPr="00414618">
        <w:rPr>
          <w:rFonts w:cs="Times New Roman"/>
          <w:sz w:val="20"/>
          <w:szCs w:val="20"/>
          <w:lang w:val="fr-CA"/>
        </w:rPr>
        <w:t xml:space="preserve"> porte atteinte au droit à la protection contre les peines cruelles et inusitées que garantit l’art. 12 de la </w:t>
      </w:r>
      <w:r w:rsidR="00035E4A" w:rsidRPr="00414618">
        <w:rPr>
          <w:rFonts w:cs="Times New Roman"/>
          <w:i/>
          <w:sz w:val="20"/>
          <w:szCs w:val="20"/>
          <w:lang w:val="fr-CA"/>
        </w:rPr>
        <w:t>Charte</w:t>
      </w:r>
      <w:r w:rsidR="00035E4A" w:rsidRPr="00414618">
        <w:rPr>
          <w:rFonts w:cs="Times New Roman"/>
          <w:sz w:val="20"/>
          <w:szCs w:val="20"/>
          <w:lang w:val="fr-CA"/>
        </w:rPr>
        <w:t xml:space="preserve">. </w:t>
      </w:r>
      <w:r w:rsidR="00035E4A" w:rsidRPr="00004181">
        <w:rPr>
          <w:rFonts w:cs="Times New Roman"/>
          <w:sz w:val="20"/>
          <w:szCs w:val="20"/>
          <w:lang w:val="fr-CA"/>
        </w:rPr>
        <w:t xml:space="preserve">Cette atteinte n’est pas justifiée au regard de l’article premier. L’objectif du législateur de contrer la distribution de drogues illégales est important. Il a un lien rationnel avec l’infliction de la peine minimale obligatoire d’un an d’emprisonnement en application de la div. 5(3)a)(i)(D) de la </w:t>
      </w:r>
      <w:r w:rsidR="00035E4A" w:rsidRPr="00004181">
        <w:rPr>
          <w:rFonts w:cs="Times New Roman"/>
          <w:i/>
          <w:sz w:val="20"/>
          <w:szCs w:val="20"/>
          <w:lang w:val="fr-CA"/>
        </w:rPr>
        <w:t>LRCDAS</w:t>
      </w:r>
      <w:r w:rsidR="00035E4A" w:rsidRPr="00004181">
        <w:rPr>
          <w:rFonts w:cs="Times New Roman"/>
          <w:sz w:val="20"/>
          <w:szCs w:val="20"/>
          <w:lang w:val="fr-CA"/>
        </w:rPr>
        <w:t xml:space="preserve">. </w:t>
      </w:r>
      <w:r w:rsidR="00035E4A" w:rsidRPr="00414618">
        <w:rPr>
          <w:rFonts w:cs="Times New Roman"/>
          <w:sz w:val="20"/>
          <w:szCs w:val="20"/>
          <w:lang w:val="fr-CA"/>
        </w:rPr>
        <w:t>Cependant, la disposition ne porte pas atteinte le moins possible au droit garanti par l’art. 12.</w:t>
      </w:r>
      <w:r w:rsidRPr="00414618">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rFonts w:cs="Times New Roman"/>
          <w:i/>
          <w:sz w:val="20"/>
          <w:szCs w:val="20"/>
          <w:lang w:val="fr-CA"/>
        </w:rPr>
      </w:pPr>
      <w:r>
        <w:rPr>
          <w:rFonts w:cs="Times New Roman"/>
          <w:sz w:val="20"/>
          <w:szCs w:val="20"/>
          <w:lang w:val="fr-CA"/>
        </w:rPr>
        <w:tab/>
      </w:r>
      <w:r w:rsidR="00035E4A" w:rsidRPr="00414618">
        <w:rPr>
          <w:rFonts w:cs="Times New Roman"/>
          <w:sz w:val="20"/>
          <w:szCs w:val="20"/>
          <w:lang w:val="fr-CA"/>
        </w:rPr>
        <w:t xml:space="preserve">Étant donné que la peine minimale obligatoire en cause contrevient à l’art. 12 de la </w:t>
      </w:r>
      <w:r w:rsidR="00035E4A" w:rsidRPr="00414618">
        <w:rPr>
          <w:rFonts w:cs="Times New Roman"/>
          <w:i/>
          <w:sz w:val="20"/>
          <w:szCs w:val="20"/>
          <w:lang w:val="fr-CA"/>
        </w:rPr>
        <w:t xml:space="preserve">Charte, </w:t>
      </w:r>
      <w:r w:rsidR="00035E4A" w:rsidRPr="00414618">
        <w:rPr>
          <w:rFonts w:cs="Times New Roman"/>
          <w:sz w:val="20"/>
          <w:szCs w:val="20"/>
          <w:lang w:val="fr-CA"/>
        </w:rPr>
        <w:t xml:space="preserve">point n’est besoin de se demander si elle porte aussi atteinte à l’art. 7. Quoi qu’il en soit, la disposition ne contreviendrait pas à l’art. 7 de la </w:t>
      </w:r>
      <w:r w:rsidR="00035E4A" w:rsidRPr="00414618">
        <w:rPr>
          <w:rFonts w:cs="Times New Roman"/>
          <w:i/>
          <w:sz w:val="20"/>
          <w:szCs w:val="20"/>
          <w:lang w:val="fr-CA"/>
        </w:rPr>
        <w:t>Charte</w:t>
      </w:r>
      <w:r w:rsidR="00035E4A" w:rsidRPr="00414618">
        <w:rPr>
          <w:rFonts w:cs="Times New Roman"/>
          <w:sz w:val="20"/>
          <w:szCs w:val="20"/>
          <w:lang w:val="fr-CA"/>
        </w:rPr>
        <w:t>, car la proportionnalité dans la détermination de la peine ne constitue pas un principe de justice fondamentale</w:t>
      </w:r>
      <w:r w:rsidR="00035E4A" w:rsidRPr="00414618">
        <w:rPr>
          <w:rFonts w:cs="Times New Roman"/>
          <w:i/>
          <w:sz w:val="20"/>
          <w:szCs w:val="20"/>
          <w:lang w:val="fr-CA"/>
        </w:rPr>
        <w:t>.</w:t>
      </w:r>
    </w:p>
    <w:p w:rsidR="00F66947" w:rsidRPr="00414618" w:rsidRDefault="00F66947" w:rsidP="00F66947">
      <w:pPr>
        <w:jc w:val="both"/>
        <w:rPr>
          <w:rFonts w:cs="Times New Roman"/>
          <w:i/>
          <w:sz w:val="20"/>
          <w:szCs w:val="20"/>
          <w:lang w:val="fr-CA"/>
        </w:rPr>
      </w:pPr>
    </w:p>
    <w:p w:rsidR="00414618" w:rsidRPr="00004181" w:rsidRDefault="00414618" w:rsidP="00F66947">
      <w:pPr>
        <w:jc w:val="both"/>
        <w:rPr>
          <w:rFonts w:cs="Times New Roman"/>
          <w:sz w:val="20"/>
          <w:szCs w:val="20"/>
          <w:lang w:val="fr-CA"/>
        </w:rPr>
      </w:pPr>
      <w:r>
        <w:rPr>
          <w:rFonts w:cs="Times New Roman"/>
          <w:i/>
          <w:sz w:val="20"/>
          <w:szCs w:val="20"/>
          <w:lang w:val="fr-CA"/>
        </w:rPr>
        <w:tab/>
      </w:r>
      <w:r w:rsidR="00035E4A" w:rsidRPr="00414618">
        <w:rPr>
          <w:rFonts w:cs="Times New Roman"/>
          <w:sz w:val="20"/>
          <w:szCs w:val="20"/>
          <w:lang w:val="fr-CA"/>
        </w:rPr>
        <w:t xml:space="preserve">Enfin, le juge de la cour provinciale qui a déterminé la peine appropriée a droit à la déférence. </w:t>
      </w:r>
      <w:r w:rsidR="00035E4A" w:rsidRPr="00004181">
        <w:rPr>
          <w:rFonts w:cs="Times New Roman"/>
          <w:sz w:val="20"/>
          <w:szCs w:val="20"/>
          <w:lang w:val="fr-CA"/>
        </w:rPr>
        <w:t>Dans la présente affaire, la Cour d’appel a estimé que le juge de la cour provinciale n’avait pas appliqué la bonne fourchette de peines. Ce n’est pas ce qui ressort de la lecture attentive des motifs du juge de la cour provinciale. Ce dernier a signalé que des peines de trois à quatre mois avaient été confirmées dans quelques cas exceptionnels, mais il a ajouté que la peine appropriée en l’espèce se situait entre 12 et 18 mois. Compte tenu de certaines circonstances atténuantes, il a condamné L à 12 mois d’emprisonnement. Quoi qu’il en soit, même si le juge avait retenu une fourchette erronée, la Cour d’appel n’aurait pas été admise à intervenir. La Cour d’appel n’a pas fait la démonstration qu’une peine de 12 mois d’emprisonnement était manifestement injuste en l’espèce. </w:t>
      </w:r>
    </w:p>
    <w:p w:rsidR="00414618" w:rsidRDefault="00414618" w:rsidP="00F66947">
      <w:pPr>
        <w:jc w:val="both"/>
        <w:rPr>
          <w:rFonts w:cs="Times New Roman"/>
          <w:sz w:val="20"/>
          <w:szCs w:val="20"/>
          <w:lang w:val="fr-CA"/>
        </w:rPr>
      </w:pPr>
      <w:r w:rsidRPr="00004181">
        <w:rPr>
          <w:rFonts w:cs="Times New Roman"/>
          <w:sz w:val="20"/>
          <w:szCs w:val="20"/>
          <w:lang w:val="fr-CA"/>
        </w:rPr>
        <w:tab/>
      </w:r>
      <w:r w:rsidR="00035E4A" w:rsidRPr="00414618">
        <w:rPr>
          <w:rFonts w:cs="Times New Roman"/>
          <w:i/>
          <w:sz w:val="20"/>
          <w:szCs w:val="20"/>
          <w:lang w:val="fr-CA"/>
        </w:rPr>
        <w:t>Les</w:t>
      </w:r>
      <w:r w:rsidR="00035E4A" w:rsidRPr="00414618">
        <w:rPr>
          <w:rFonts w:cs="Times New Roman"/>
          <w:sz w:val="20"/>
          <w:szCs w:val="20"/>
          <w:lang w:val="fr-CA"/>
        </w:rPr>
        <w:t xml:space="preserve"> juges </w:t>
      </w:r>
      <w:r w:rsidR="00035E4A" w:rsidRPr="00414618">
        <w:rPr>
          <w:rFonts w:cs="Times New Roman"/>
          <w:b/>
          <w:sz w:val="20"/>
          <w:szCs w:val="20"/>
          <w:lang w:val="fr-CA"/>
        </w:rPr>
        <w:t>Wagner</w:t>
      </w:r>
      <w:r w:rsidR="00035E4A" w:rsidRPr="00414618">
        <w:rPr>
          <w:rFonts w:cs="Times New Roman"/>
          <w:sz w:val="20"/>
          <w:szCs w:val="20"/>
          <w:lang w:val="fr-CA"/>
        </w:rPr>
        <w:t xml:space="preserve">, </w:t>
      </w:r>
      <w:r w:rsidR="00035E4A" w:rsidRPr="00414618">
        <w:rPr>
          <w:rFonts w:cs="Times New Roman"/>
          <w:b/>
          <w:sz w:val="20"/>
          <w:szCs w:val="20"/>
          <w:lang w:val="fr-CA"/>
        </w:rPr>
        <w:t>Gascon</w:t>
      </w:r>
      <w:r w:rsidR="00035E4A" w:rsidRPr="00414618">
        <w:rPr>
          <w:rFonts w:cs="Times New Roman"/>
          <w:sz w:val="20"/>
          <w:szCs w:val="20"/>
          <w:lang w:val="fr-CA"/>
        </w:rPr>
        <w:t xml:space="preserve"> et </w:t>
      </w:r>
      <w:r w:rsidR="00035E4A" w:rsidRPr="00414618">
        <w:rPr>
          <w:rFonts w:cs="Times New Roman"/>
          <w:b/>
          <w:sz w:val="20"/>
          <w:szCs w:val="20"/>
          <w:lang w:val="fr-CA"/>
        </w:rPr>
        <w:t>Brown</w:t>
      </w:r>
      <w:r w:rsidR="00035E4A" w:rsidRPr="00414618">
        <w:rPr>
          <w:rFonts w:cs="Times New Roman"/>
          <w:sz w:val="20"/>
          <w:szCs w:val="20"/>
          <w:lang w:val="fr-CA"/>
        </w:rPr>
        <w:t xml:space="preserve"> (dissidents en partie) : La peine minimale obligatoire d’un an d’emprisonnement que prévoit la div. 5(3)a)(i)(D) de la </w:t>
      </w:r>
      <w:r w:rsidR="00035E4A" w:rsidRPr="00414618">
        <w:rPr>
          <w:rFonts w:cs="Times New Roman"/>
          <w:i/>
          <w:sz w:val="20"/>
          <w:szCs w:val="20"/>
          <w:lang w:val="fr-CA"/>
        </w:rPr>
        <w:t>LRCDAS</w:t>
      </w:r>
      <w:r w:rsidR="00035E4A" w:rsidRPr="00414618">
        <w:rPr>
          <w:rFonts w:cs="Times New Roman"/>
          <w:sz w:val="20"/>
          <w:szCs w:val="20"/>
          <w:lang w:val="fr-CA"/>
        </w:rPr>
        <w:t xml:space="preserve"> ne contrevient pas à l’art. 12 de la </w:t>
      </w:r>
      <w:r w:rsidR="00035E4A" w:rsidRPr="00414618">
        <w:rPr>
          <w:rFonts w:cs="Times New Roman"/>
          <w:i/>
          <w:sz w:val="20"/>
          <w:szCs w:val="20"/>
          <w:lang w:val="fr-CA"/>
        </w:rPr>
        <w:t>Charte</w:t>
      </w:r>
      <w:r w:rsidR="00035E4A" w:rsidRPr="00414618">
        <w:rPr>
          <w:rFonts w:cs="Times New Roman"/>
          <w:sz w:val="20"/>
          <w:szCs w:val="20"/>
          <w:lang w:val="fr-CA"/>
        </w:rPr>
        <w:t xml:space="preserve">. </w:t>
      </w:r>
      <w:r w:rsidR="00035E4A" w:rsidRPr="00004181">
        <w:rPr>
          <w:rFonts w:cs="Times New Roman"/>
          <w:sz w:val="20"/>
          <w:szCs w:val="20"/>
          <w:lang w:val="fr-CA"/>
        </w:rPr>
        <w:t xml:space="preserve">Étant donné le seuil extrêmement élevé qu’il faut franchir pour conclure qu’il y a atteinte à l’art. 12, la Cour n’a que très rarement invalidé une peine minimale obligatoire sur le fondement de l’art. 12. Elle ne l’a fait que deux fois depuis l’adoption de la </w:t>
      </w:r>
      <w:r w:rsidR="00035E4A" w:rsidRPr="00004181">
        <w:rPr>
          <w:rFonts w:cs="Times New Roman"/>
          <w:i/>
          <w:sz w:val="20"/>
          <w:szCs w:val="20"/>
          <w:lang w:val="fr-CA"/>
        </w:rPr>
        <w:t>Charte</w:t>
      </w:r>
      <w:r w:rsidR="00035E4A" w:rsidRPr="00004181">
        <w:rPr>
          <w:rFonts w:cs="Times New Roman"/>
          <w:sz w:val="20"/>
          <w:szCs w:val="20"/>
          <w:lang w:val="fr-CA"/>
        </w:rPr>
        <w:t xml:space="preserve">, soit dans </w:t>
      </w:r>
      <w:r w:rsidR="00035E4A" w:rsidRPr="00004181">
        <w:rPr>
          <w:rFonts w:cs="Times New Roman"/>
          <w:i/>
          <w:sz w:val="20"/>
          <w:szCs w:val="20"/>
          <w:lang w:val="fr-CA"/>
        </w:rPr>
        <w:t>R. c. Smith</w:t>
      </w:r>
      <w:r w:rsidR="00035E4A" w:rsidRPr="00004181">
        <w:rPr>
          <w:rFonts w:cs="Times New Roman"/>
          <w:sz w:val="20"/>
          <w:szCs w:val="20"/>
          <w:lang w:val="fr-CA"/>
        </w:rPr>
        <w:t xml:space="preserve">, [1987] 1 R.C.S. 1045 et, plus récemment, dans </w:t>
      </w:r>
      <w:r w:rsidR="00035E4A" w:rsidRPr="00004181">
        <w:rPr>
          <w:rFonts w:cs="Times New Roman"/>
          <w:i/>
          <w:sz w:val="20"/>
          <w:szCs w:val="20"/>
          <w:lang w:val="fr-CA"/>
        </w:rPr>
        <w:t>R. c. Nur</w:t>
      </w:r>
      <w:r w:rsidR="00035E4A" w:rsidRPr="00004181">
        <w:rPr>
          <w:rFonts w:cs="Times New Roman"/>
          <w:sz w:val="20"/>
          <w:szCs w:val="20"/>
          <w:lang w:val="fr-CA"/>
        </w:rPr>
        <w:t xml:space="preserve">, 2015 CSC 15, [2015] 1 R.C.S. 773. La présente affaire n’est tout simplement pas de celles qui justifient une mesure aussi exceptionnelle. </w:t>
      </w:r>
      <w:r w:rsidR="00035E4A" w:rsidRPr="00414618">
        <w:rPr>
          <w:rFonts w:cs="Times New Roman"/>
          <w:sz w:val="20"/>
          <w:szCs w:val="20"/>
          <w:lang w:val="fr-CA"/>
        </w:rPr>
        <w:t>Souscrire à l’approche des juges majoritaires revient à se dissocier de la jurisprudence constante de la Cour selon laquelle les peines minimales obligatoires ne sont pas inconstitutionnelles en soi.</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Contrairement à ce qui était le cas dans </w:t>
      </w:r>
      <w:r w:rsidR="00035E4A" w:rsidRPr="00414618">
        <w:rPr>
          <w:rFonts w:cs="Times New Roman"/>
          <w:i/>
          <w:sz w:val="20"/>
          <w:szCs w:val="20"/>
          <w:lang w:val="fr-CA"/>
        </w:rPr>
        <w:t>Smith</w:t>
      </w:r>
      <w:r w:rsidR="00035E4A" w:rsidRPr="00414618">
        <w:rPr>
          <w:rFonts w:cs="Times New Roman"/>
          <w:sz w:val="20"/>
          <w:szCs w:val="20"/>
          <w:lang w:val="fr-CA"/>
        </w:rPr>
        <w:t xml:space="preserve"> ou </w:t>
      </w:r>
      <w:r w:rsidR="00035E4A" w:rsidRPr="00414618">
        <w:rPr>
          <w:rFonts w:cs="Times New Roman"/>
          <w:i/>
          <w:sz w:val="20"/>
          <w:szCs w:val="20"/>
          <w:lang w:val="fr-CA"/>
        </w:rPr>
        <w:t>Nur</w:t>
      </w:r>
      <w:r w:rsidR="00035E4A" w:rsidRPr="00414618">
        <w:rPr>
          <w:rFonts w:cs="Times New Roman"/>
          <w:sz w:val="20"/>
          <w:szCs w:val="20"/>
          <w:lang w:val="fr-CA"/>
        </w:rPr>
        <w:t xml:space="preserve">, la peine minimale obligatoire considérée en l’espèce a une portée circonscrite. </w:t>
      </w:r>
      <w:r w:rsidR="00035E4A" w:rsidRPr="00004181">
        <w:rPr>
          <w:rFonts w:cs="Times New Roman"/>
          <w:sz w:val="20"/>
          <w:szCs w:val="20"/>
          <w:lang w:val="fr-CA"/>
        </w:rPr>
        <w:t xml:space="preserve">Elle ne vaut que pour l’infraction de trafic (elle est inapplicable lorsque la drogue est destinée à l’usage personnel). Seuls sont visés certains stupéfiants (les drogues inscrites aux annexes I et II) et certaines quantités (de certaines drogues inscrites à l’annexe II). Et elle ne peut être infligée qu’à certains récidivistes. Elle n’est donc pas applicable à une vaste gamme de comportements. La disposition qui la prévoit est en fait soigneusement rédigée pour ne viser que le comportement préjudiciable et répréhensible. Il est difficile de satisfaire au critère de la disproportion exagérée établi pour les besoins de l’application de l’art. 12 de la </w:t>
      </w:r>
      <w:r w:rsidR="00035E4A" w:rsidRPr="00004181">
        <w:rPr>
          <w:rFonts w:cs="Times New Roman"/>
          <w:i/>
          <w:sz w:val="20"/>
          <w:szCs w:val="20"/>
          <w:lang w:val="fr-CA"/>
        </w:rPr>
        <w:t>Charte</w:t>
      </w:r>
      <w:r w:rsidR="00035E4A" w:rsidRPr="00004181">
        <w:rPr>
          <w:rFonts w:cs="Times New Roman"/>
          <w:sz w:val="20"/>
          <w:szCs w:val="20"/>
          <w:lang w:val="fr-CA"/>
        </w:rPr>
        <w:t xml:space="preserve">. </w:t>
      </w:r>
      <w:r w:rsidR="00035E4A" w:rsidRPr="00414618">
        <w:rPr>
          <w:rFonts w:cs="Times New Roman"/>
          <w:sz w:val="20"/>
          <w:szCs w:val="20"/>
          <w:lang w:val="fr-CA"/>
        </w:rPr>
        <w:t>Ce critère n’est respecté dans aucun des scénarios de partage ou de réadaptation évoqués par les juges majoritaires.</w:t>
      </w:r>
      <w:r w:rsidRPr="00414618">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Le scénario du partage qui est avancé pourrait ne pas constituer un trafic, mais plutôt une simple possession commune. </w:t>
      </w:r>
      <w:r w:rsidR="00035E4A" w:rsidRPr="00004181">
        <w:rPr>
          <w:rFonts w:cs="Times New Roman"/>
          <w:sz w:val="20"/>
          <w:szCs w:val="20"/>
          <w:lang w:val="fr-CA"/>
        </w:rPr>
        <w:t xml:space="preserve">Lorsque le comportement ne peut entraîner une déclaration de culpabilité quant à l’infraction en cause, il ne s’agit pas d’une situation hypothétique raisonnable et il ne faut pas la considérer. </w:t>
      </w:r>
      <w:r w:rsidR="00035E4A" w:rsidRPr="00414618">
        <w:rPr>
          <w:rFonts w:cs="Times New Roman"/>
          <w:sz w:val="20"/>
          <w:szCs w:val="20"/>
          <w:lang w:val="fr-CA"/>
        </w:rPr>
        <w:t>L’analyse doit s’attacher à l’effet de la peine une fois la culpabilité régulièrement établie, non à l’effet de la peine lorsque la culpabilité ou l’innocence de l’accusé n’est pas déterminée de façon définitive.</w:t>
      </w:r>
    </w:p>
    <w:p w:rsidR="00F66947"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À supposer que le partage puisse fonder une déclaration de culpabilité pour trafic, le scénario ne saurait cependant être pris en compte au regard de l’art. 12. </w:t>
      </w:r>
      <w:r w:rsidR="00035E4A" w:rsidRPr="00004181">
        <w:rPr>
          <w:rFonts w:cs="Times New Roman"/>
          <w:sz w:val="20"/>
          <w:szCs w:val="20"/>
          <w:lang w:val="fr-CA"/>
        </w:rPr>
        <w:t xml:space="preserve">Dans cette situation hypothétique, le délinquant est reconnu coupable de trafic après avoir partagé de la drogue non pas une mais deux fois. Comme très peu de décisions semblent avoir été publiées relativement à des affaires où le délinquant a été déclaré coupable de trafic après avoir partagé de la drogue, le scénario d’un délinquant reconnu coupable de trafic deux fois par suite d’un partage et qui n’a pas été déclaré coupable d’une autre infraction apparaît nettement invraisemblable ou difficilement imaginable et, de ce fait, inapproprié pour les besoins de l’analyse que commande l’art. 12. </w:t>
      </w:r>
      <w:r w:rsidR="00035E4A" w:rsidRPr="00414618">
        <w:rPr>
          <w:rFonts w:cs="Times New Roman"/>
          <w:sz w:val="20"/>
          <w:szCs w:val="20"/>
          <w:lang w:val="fr-CA"/>
        </w:rPr>
        <w:t>Quoi qu’il en soit, la culpabilité morale imputée au récidiviste doit être plus grande que celle imputée à l’auteur d’une première infraction.</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À supposer même que le scénario du partage constitue une situation hypothétique raisonnable, il demeure que la disposition prévoyant la peine minimale obligatoire n’inflige pas une peine exagérément disproportionnée. </w:t>
      </w:r>
      <w:r w:rsidR="00035E4A" w:rsidRPr="00004181">
        <w:rPr>
          <w:rFonts w:cs="Times New Roman"/>
          <w:sz w:val="20"/>
          <w:szCs w:val="20"/>
          <w:lang w:val="fr-CA"/>
        </w:rPr>
        <w:t xml:space="preserve">Bien que le trafiquant partageur puisse être en quelque sorte moins moralement coupable que le trafiquant insensible qui se livre au commerce de drogues dures pour le profit, son degré de culpabilité morale n’est pas si inférieur qu’une peine d’emprisonnement d’un an soit incompatible avec la dignité humaine. Qu’il s’adonne au trafic de la drogue en la partageant, pour pouvoir satisfaire sa propre dépendance ou pour le seul profit, le délinquant facilite la distribution de substances dangereuses au sein de la collectivité. </w:t>
      </w:r>
      <w:r w:rsidR="00035E4A" w:rsidRPr="00414618">
        <w:rPr>
          <w:rFonts w:cs="Times New Roman"/>
          <w:sz w:val="20"/>
          <w:szCs w:val="20"/>
          <w:lang w:val="fr-CA"/>
        </w:rPr>
        <w:t>Le préjudice causé à la société — surdose, toxicomanie et crimes que commettent parfois les toxicomanes pour se procurer de la drogue — demeure, quelle que soit la motivation du délinquant.</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En ce qui concerne le scénario de la réadaptation, la peine minimale obligatoire ne constitue pas une peine exagérément disproportionnée, et ce, pour deux raisons. </w:t>
      </w:r>
      <w:r w:rsidR="00035E4A" w:rsidRPr="00004181">
        <w:rPr>
          <w:rFonts w:cs="Times New Roman"/>
          <w:sz w:val="20"/>
          <w:szCs w:val="20"/>
          <w:lang w:val="fr-CA"/>
        </w:rPr>
        <w:t xml:space="preserve">D’abord, le minimum obligatoire pourrait ne pas même s’appliquer. Si le délinquant suit un programme de désintoxication et parvient à vaincre sa dépendance après avoir été reconnu coupable mais avant d’avoir été condamné à une peine, le par. 10(5) de la </w:t>
      </w:r>
      <w:r w:rsidR="00035E4A" w:rsidRPr="00004181">
        <w:rPr>
          <w:rFonts w:cs="Times New Roman"/>
          <w:i/>
          <w:sz w:val="20"/>
          <w:szCs w:val="20"/>
          <w:lang w:val="fr-CA"/>
        </w:rPr>
        <w:t>LRCDAS</w:t>
      </w:r>
      <w:r w:rsidR="00035E4A" w:rsidRPr="00004181">
        <w:rPr>
          <w:rFonts w:cs="Times New Roman"/>
          <w:sz w:val="20"/>
          <w:szCs w:val="20"/>
          <w:lang w:val="fr-CA"/>
        </w:rPr>
        <w:t xml:space="preserve"> pourrait s’appliquer et le tribunal ne serait aucunement tenu d’infliger la peine minimale obligatoire. Ensuite, à supposer que celle</w:t>
      </w:r>
      <w:r w:rsidR="00035E4A" w:rsidRPr="00004181">
        <w:rPr>
          <w:rFonts w:cs="Times New Roman"/>
          <w:sz w:val="20"/>
          <w:szCs w:val="20"/>
          <w:lang w:val="fr-CA"/>
        </w:rPr>
        <w:noBreakHyphen/>
        <w:t xml:space="preserve">ci s’applique, la situation s’apparente beaucoup à celle de L, une situation pour laquelle les juges majoritaires estiment qu’un emprisonnement d’un an n’est ni cruel ni inusité. </w:t>
      </w:r>
    </w:p>
    <w:p w:rsidR="00F66947" w:rsidRPr="00004181" w:rsidRDefault="00F66947" w:rsidP="00F66947">
      <w:pPr>
        <w:jc w:val="both"/>
        <w:rPr>
          <w:rFonts w:cs="Times New Roman"/>
          <w:sz w:val="20"/>
          <w:szCs w:val="20"/>
          <w:lang w:val="fr-CA"/>
        </w:rPr>
      </w:pPr>
    </w:p>
    <w:p w:rsidR="00414618" w:rsidRPr="00004181" w:rsidRDefault="00414618" w:rsidP="00F66947">
      <w:pPr>
        <w:jc w:val="both"/>
        <w:rPr>
          <w:rFonts w:cs="Times New Roman"/>
          <w:sz w:val="20"/>
          <w:szCs w:val="20"/>
          <w:lang w:val="fr-CA"/>
        </w:rPr>
      </w:pPr>
      <w:r w:rsidRPr="00004181">
        <w:rPr>
          <w:rFonts w:cs="Times New Roman"/>
          <w:sz w:val="20"/>
          <w:szCs w:val="20"/>
          <w:lang w:val="fr-CA"/>
        </w:rPr>
        <w:tab/>
      </w:r>
      <w:r w:rsidR="00035E4A" w:rsidRPr="00414618">
        <w:rPr>
          <w:rFonts w:cs="Times New Roman"/>
          <w:sz w:val="20"/>
          <w:szCs w:val="20"/>
          <w:lang w:val="fr-CA"/>
        </w:rPr>
        <w:t>Ainsi, au vu de la gravité de l’infraction de trafic de drogue et de la déférence qui s’impose vis</w:t>
      </w:r>
      <w:r w:rsidR="00035E4A" w:rsidRPr="00414618">
        <w:rPr>
          <w:rFonts w:cs="Times New Roman"/>
          <w:sz w:val="20"/>
          <w:szCs w:val="20"/>
          <w:lang w:val="fr-CA"/>
        </w:rPr>
        <w:noBreakHyphen/>
        <w:t>à</w:t>
      </w:r>
      <w:r w:rsidR="00035E4A" w:rsidRPr="00414618">
        <w:rPr>
          <w:rFonts w:cs="Times New Roman"/>
          <w:sz w:val="20"/>
          <w:szCs w:val="20"/>
          <w:lang w:val="fr-CA"/>
        </w:rPr>
        <w:noBreakHyphen/>
        <w:t xml:space="preserve">vis du législateur et de ses politiques générales en matière de peines minimales obligatoires, la disposition prévoyant la peine minimale obligatoire d’un an d’emprisonnement et dont la portée est bien circonscrite n’infligerait dans aucun des scénarios considérés une peine exagérément disproportionnée. </w:t>
      </w:r>
      <w:r w:rsidR="00035E4A" w:rsidRPr="00004181">
        <w:rPr>
          <w:rFonts w:cs="Times New Roman"/>
          <w:sz w:val="20"/>
          <w:szCs w:val="20"/>
          <w:lang w:val="fr-CA"/>
        </w:rPr>
        <w:t>La peine minimale obligatoire est donc constitutionnelle.</w:t>
      </w:r>
    </w:p>
    <w:p w:rsidR="00414618" w:rsidRDefault="00414618" w:rsidP="00F66947">
      <w:pPr>
        <w:jc w:val="both"/>
        <w:rPr>
          <w:rFonts w:cs="Times New Roman"/>
          <w:sz w:val="20"/>
          <w:szCs w:val="20"/>
          <w:lang w:val="fr-CA"/>
        </w:rPr>
      </w:pPr>
      <w:r w:rsidRPr="00004181">
        <w:rPr>
          <w:rFonts w:cs="Times New Roman"/>
          <w:sz w:val="20"/>
          <w:szCs w:val="20"/>
          <w:lang w:val="fr-CA"/>
        </w:rPr>
        <w:tab/>
      </w:r>
      <w:r w:rsidR="00035E4A" w:rsidRPr="00414618">
        <w:rPr>
          <w:rFonts w:cs="Times New Roman"/>
          <w:sz w:val="20"/>
          <w:szCs w:val="20"/>
          <w:lang w:val="fr-CA"/>
        </w:rPr>
        <w:t xml:space="preserve">Selon les juges majoritaires, le législateur pourrait vouloir envisager la possibilité de conférer au tribunal un pouvoir discrétionnaire qui lui permettrait de se soustraire à l’obligation d’infliger la peine minimale lorsque les circonstances s’y prêtent. </w:t>
      </w:r>
      <w:r w:rsidR="00035E4A" w:rsidRPr="00004181">
        <w:rPr>
          <w:rFonts w:cs="Times New Roman"/>
          <w:sz w:val="20"/>
          <w:szCs w:val="20"/>
          <w:lang w:val="fr-CA"/>
        </w:rPr>
        <w:t xml:space="preserve">Toutefois, le législateur n’a pas l’obligation constitutionnelle de prévoir une exception à l’application d’une peine minimale obligatoire. Il peut restreindre le pouvoir discrétionnaire du tribunal en matière de détermination de la peine. Restreindre le pouvoir discrétionnaire du tribunal est l’un des objectifs principaux de l’établissement de peines minimales obligatoires, et cet objectif peut se révéler incompatible avec la création d’un mécanisme qui permettrait au tribunal d’écarter la peine minimale obligatoire dans certains cas. La question de savoir si le législateur devrait prévoir un mécanisme permettant d’écarter l’infliction d’une peine minimale obligatoire et, dans l’affirmative, quelle forme ce mécanisme devrait revêtir, relèvent de la politique générale et du pouvoir exclusif du Parlement. Seuls la Constitution et, plus particulièrement, le droit garanti par la </w:t>
      </w:r>
      <w:r w:rsidR="00035E4A" w:rsidRPr="00004181">
        <w:rPr>
          <w:rFonts w:cs="Times New Roman"/>
          <w:i/>
          <w:sz w:val="20"/>
          <w:szCs w:val="20"/>
          <w:lang w:val="fr-CA"/>
        </w:rPr>
        <w:t>Charte</w:t>
      </w:r>
      <w:r w:rsidR="00035E4A" w:rsidRPr="00004181">
        <w:rPr>
          <w:rFonts w:cs="Times New Roman"/>
          <w:sz w:val="20"/>
          <w:szCs w:val="20"/>
          <w:lang w:val="fr-CA"/>
        </w:rPr>
        <w:t xml:space="preserve"> d’être protégé contre les peines cruelles et inusitées limitent l’exercice de ce pouvoir discrétionnaire. </w:t>
      </w:r>
      <w:r w:rsidR="00035E4A" w:rsidRPr="00414618">
        <w:rPr>
          <w:rFonts w:cs="Times New Roman"/>
          <w:sz w:val="20"/>
          <w:szCs w:val="20"/>
          <w:lang w:val="fr-CA"/>
        </w:rPr>
        <w:t xml:space="preserve">La division 5(3)a)(i)(D) de la </w:t>
      </w:r>
      <w:r w:rsidR="00035E4A" w:rsidRPr="00414618">
        <w:rPr>
          <w:rFonts w:cs="Times New Roman"/>
          <w:i/>
          <w:sz w:val="20"/>
          <w:szCs w:val="20"/>
          <w:lang w:val="fr-CA"/>
        </w:rPr>
        <w:t>LRCDAS</w:t>
      </w:r>
      <w:r w:rsidR="00035E4A" w:rsidRPr="00414618">
        <w:rPr>
          <w:rFonts w:cs="Times New Roman"/>
          <w:sz w:val="20"/>
          <w:szCs w:val="20"/>
          <w:lang w:val="fr-CA"/>
        </w:rPr>
        <w:t xml:space="preserve"> respecte cette limite, et la peine qu’elle prévoit n’équivaut pas à une peine cruelle et inusitée.</w:t>
      </w:r>
    </w:p>
    <w:p w:rsidR="00F66947" w:rsidRPr="00414618" w:rsidRDefault="00F66947" w:rsidP="00F66947">
      <w:pPr>
        <w:jc w:val="both"/>
        <w:rPr>
          <w:rFonts w:cs="Times New Roman"/>
          <w:sz w:val="20"/>
          <w:szCs w:val="20"/>
          <w:lang w:val="fr-CA"/>
        </w:rPr>
      </w:pPr>
    </w:p>
    <w:p w:rsidR="00414618" w:rsidRDefault="00414618" w:rsidP="00F66947">
      <w:pPr>
        <w:jc w:val="both"/>
        <w:rPr>
          <w:rFonts w:cs="Times New Roman"/>
          <w:sz w:val="20"/>
          <w:szCs w:val="20"/>
          <w:lang w:val="fr-CA"/>
        </w:rPr>
      </w:pPr>
      <w:r>
        <w:rPr>
          <w:rFonts w:cs="Times New Roman"/>
          <w:sz w:val="20"/>
          <w:szCs w:val="20"/>
          <w:lang w:val="fr-CA"/>
        </w:rPr>
        <w:tab/>
      </w:r>
      <w:r w:rsidR="00035E4A" w:rsidRPr="00414618">
        <w:rPr>
          <w:rFonts w:cs="Times New Roman"/>
          <w:sz w:val="20"/>
          <w:szCs w:val="20"/>
          <w:lang w:val="fr-CA"/>
        </w:rPr>
        <w:t xml:space="preserve">L’analyse des juges majoritaires relative à la compétence d’un juge d’une cour provinciale et à l’art. 7 de la </w:t>
      </w:r>
      <w:r w:rsidR="00035E4A" w:rsidRPr="00414618">
        <w:rPr>
          <w:rFonts w:cs="Times New Roman"/>
          <w:i/>
          <w:sz w:val="20"/>
          <w:szCs w:val="20"/>
          <w:lang w:val="fr-CA"/>
        </w:rPr>
        <w:t>Charte</w:t>
      </w:r>
      <w:r w:rsidR="00035E4A" w:rsidRPr="00414618">
        <w:rPr>
          <w:rFonts w:cs="Times New Roman"/>
          <w:sz w:val="20"/>
          <w:szCs w:val="20"/>
          <w:lang w:val="fr-CA"/>
        </w:rPr>
        <w:t>, ainsi que leur décision de rétablir la peine de 12 mois d’emprisonnement, emportent l’adhésion des juges dissidents.</w:t>
      </w:r>
      <w:r>
        <w:rPr>
          <w:rFonts w:cs="Times New Roman"/>
          <w:sz w:val="20"/>
          <w:szCs w:val="20"/>
          <w:lang w:val="fr-CA"/>
        </w:rPr>
        <w:t xml:space="preserve"> </w:t>
      </w:r>
    </w:p>
    <w:p w:rsidR="00F66947" w:rsidRDefault="00F66947" w:rsidP="00F66947">
      <w:pPr>
        <w:jc w:val="both"/>
        <w:rPr>
          <w:rFonts w:cs="Times New Roman"/>
          <w:sz w:val="20"/>
          <w:szCs w:val="20"/>
          <w:lang w:val="fr-CA"/>
        </w:rPr>
      </w:pPr>
    </w:p>
    <w:p w:rsidR="00414618" w:rsidRDefault="00414618" w:rsidP="00F66947">
      <w:pPr>
        <w:jc w:val="both"/>
        <w:rPr>
          <w:sz w:val="20"/>
          <w:lang w:val="fr-CA"/>
        </w:rPr>
      </w:pPr>
      <w:r>
        <w:rPr>
          <w:rFonts w:cs="Times New Roman"/>
          <w:sz w:val="20"/>
          <w:szCs w:val="20"/>
          <w:lang w:val="fr-CA"/>
        </w:rPr>
        <w:tab/>
      </w:r>
      <w:r w:rsidR="00035E4A" w:rsidRPr="00035E4A">
        <w:rPr>
          <w:sz w:val="20"/>
          <w:lang w:val="fr-CA"/>
        </w:rPr>
        <w:t>POURVOI contre un arrêt de la Cour d’appel de la Colombie</w:t>
      </w:r>
      <w:r w:rsidR="00035E4A" w:rsidRPr="00035E4A">
        <w:rPr>
          <w:sz w:val="20"/>
          <w:lang w:val="fr-CA"/>
        </w:rPr>
        <w:noBreakHyphen/>
        <w:t xml:space="preserve">Britannique (les juges Newbury, Kirkpatrick et Groberman), 2014 BCCA 224, 356 B.C.A.C. 275, 610 W.A.C. 275, 12 C.R. (7th) 190, 312 C.R.R. (2d) 66, [2014] B.C.J. No. 1212 (QL), 2014 CarswellBC 1688 (WL Can.), qui a infirmé deux décisions du juge Galati, 2014 BCPC 11, [2014] B.C.J. No. 145 (QL), 2014 CarswellBC 423 (WL Can.), et 2014 BCPC 8, [2014] B.C.J. No. 274 (QL), 2014 CarswellBC 358 (WL Can.). </w:t>
      </w:r>
      <w:r w:rsidR="00035E4A" w:rsidRPr="00312D5B">
        <w:rPr>
          <w:sz w:val="20"/>
          <w:lang w:val="fr-CA"/>
        </w:rPr>
        <w:t>Pourvoi accueilli, les juges Wagner, Gascon et Brown sont dissidents en partie.</w:t>
      </w:r>
      <w:r>
        <w:rPr>
          <w:sz w:val="20"/>
          <w:lang w:val="fr-CA"/>
        </w:rPr>
        <w:t xml:space="preserve"> </w:t>
      </w:r>
    </w:p>
    <w:p w:rsidR="00F66947" w:rsidRDefault="00F66947" w:rsidP="00F66947">
      <w:pPr>
        <w:jc w:val="both"/>
        <w:rPr>
          <w:sz w:val="20"/>
          <w:lang w:val="fr-CA"/>
        </w:rPr>
      </w:pPr>
    </w:p>
    <w:p w:rsidR="00414618" w:rsidRDefault="00414618" w:rsidP="00F66947">
      <w:pPr>
        <w:jc w:val="both"/>
        <w:rPr>
          <w:rStyle w:val="SCCCounselPartyRoleChar"/>
          <w:rFonts w:eastAsiaTheme="minorHAnsi"/>
          <w:sz w:val="20"/>
          <w:lang w:val="fr-CA"/>
        </w:rPr>
      </w:pPr>
      <w:r>
        <w:rPr>
          <w:sz w:val="20"/>
          <w:lang w:val="fr-CA"/>
        </w:rPr>
        <w:tab/>
      </w:r>
      <w:r w:rsidR="00035E4A" w:rsidRPr="00312D5B">
        <w:rPr>
          <w:rStyle w:val="SCCCounselNameChar"/>
          <w:rFonts w:eastAsiaTheme="minorHAnsi"/>
          <w:sz w:val="20"/>
          <w:lang w:val="fr-CA"/>
        </w:rPr>
        <w:t>David N. Fai</w:t>
      </w:r>
      <w:r w:rsidR="00035E4A" w:rsidRPr="00312D5B">
        <w:rPr>
          <w:rStyle w:val="SCCCounselPartyRoleChar"/>
          <w:rFonts w:eastAsiaTheme="minorHAnsi"/>
          <w:sz w:val="20"/>
          <w:lang w:val="fr-CA"/>
        </w:rPr>
        <w:t xml:space="preserve"> et </w:t>
      </w:r>
      <w:r w:rsidR="00035E4A" w:rsidRPr="00312D5B">
        <w:rPr>
          <w:rStyle w:val="SCCCounselPartyRoleChar"/>
          <w:rFonts w:eastAsiaTheme="minorHAnsi"/>
          <w:i/>
          <w:sz w:val="20"/>
          <w:lang w:val="fr-CA"/>
        </w:rPr>
        <w:t>Jeffrey W. Beedell</w:t>
      </w:r>
      <w:r w:rsidR="00035E4A" w:rsidRPr="00312D5B">
        <w:rPr>
          <w:rStyle w:val="SCCCounselPartyRoleChar"/>
          <w:rFonts w:eastAsiaTheme="minorHAnsi"/>
          <w:sz w:val="20"/>
          <w:lang w:val="fr-CA"/>
        </w:rPr>
        <w:t>, pour l’appelant.</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W. Paul Riley, c.r.</w:t>
      </w:r>
      <w:r w:rsidR="00035E4A" w:rsidRPr="00312D5B">
        <w:rPr>
          <w:rStyle w:val="SCCCounselSeparatorChar"/>
          <w:rFonts w:eastAsiaTheme="minorHAnsi"/>
          <w:sz w:val="20"/>
        </w:rPr>
        <w:t xml:space="preserve">, et </w:t>
      </w:r>
      <w:r w:rsidR="00035E4A" w:rsidRPr="00312D5B">
        <w:rPr>
          <w:rStyle w:val="SCCCounselNameChar"/>
          <w:rFonts w:eastAsiaTheme="minorHAnsi"/>
          <w:sz w:val="20"/>
          <w:lang w:val="fr-CA"/>
        </w:rPr>
        <w:t>Todd C. Gerhart</w:t>
      </w:r>
      <w:r w:rsidR="00035E4A" w:rsidRPr="00312D5B">
        <w:rPr>
          <w:rStyle w:val="SCCCounselPartyRoleChar"/>
          <w:rFonts w:eastAsiaTheme="minorHAnsi"/>
          <w:sz w:val="20"/>
          <w:lang w:val="fr-CA"/>
        </w:rPr>
        <w:t>, pour l’intimée.</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Eric V. Gottardi</w:t>
      </w:r>
      <w:r w:rsidR="00035E4A" w:rsidRPr="00312D5B">
        <w:rPr>
          <w:rStyle w:val="SCCCounselSeparatorChar"/>
          <w:rFonts w:eastAsiaTheme="minorHAnsi"/>
          <w:sz w:val="20"/>
        </w:rPr>
        <w:t xml:space="preserve"> et </w:t>
      </w:r>
      <w:r w:rsidR="00035E4A" w:rsidRPr="00312D5B">
        <w:rPr>
          <w:rStyle w:val="SCCCounselNameChar"/>
          <w:rFonts w:eastAsiaTheme="minorHAnsi"/>
          <w:sz w:val="20"/>
          <w:lang w:val="fr-CA"/>
        </w:rPr>
        <w:t>Mila Shah</w:t>
      </w:r>
      <w:r w:rsidR="00035E4A" w:rsidRPr="00312D5B">
        <w:rPr>
          <w:rStyle w:val="SCCCounselPartyRoleChar"/>
          <w:rFonts w:eastAsiaTheme="minorHAnsi"/>
          <w:sz w:val="20"/>
          <w:lang w:val="fr-CA"/>
        </w:rPr>
        <w:t>, pour l’intervenante l’</w:t>
      </w:r>
      <w:r w:rsidR="00035E4A" w:rsidRPr="00312D5B">
        <w:rPr>
          <w:sz w:val="20"/>
          <w:lang w:val="fr-CA"/>
        </w:rPr>
        <w:t>Association du Barreau canadien</w:t>
      </w:r>
      <w:r w:rsidR="00035E4A" w:rsidRPr="00312D5B">
        <w:rPr>
          <w:rStyle w:val="SCCCounselPartyRoleChar"/>
          <w:rFonts w:eastAsiaTheme="minorHAnsi"/>
          <w:sz w:val="20"/>
          <w:lang w:val="fr-CA"/>
        </w:rPr>
        <w:t>.</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 xml:space="preserve">Faisal Mirza </w:t>
      </w:r>
      <w:r w:rsidR="00035E4A" w:rsidRPr="00312D5B">
        <w:rPr>
          <w:rStyle w:val="SCCCounselSeparatorChar"/>
          <w:rFonts w:eastAsiaTheme="minorHAnsi"/>
          <w:sz w:val="20"/>
        </w:rPr>
        <w:t>et</w:t>
      </w:r>
      <w:r w:rsidR="00035E4A" w:rsidRPr="00312D5B">
        <w:rPr>
          <w:rStyle w:val="SCCCounselNameChar"/>
          <w:rFonts w:eastAsiaTheme="minorHAnsi"/>
          <w:sz w:val="20"/>
          <w:lang w:val="fr-CA"/>
        </w:rPr>
        <w:t xml:space="preserve"> Roger A. Love</w:t>
      </w:r>
      <w:r w:rsidR="00035E4A" w:rsidRPr="00312D5B">
        <w:rPr>
          <w:rStyle w:val="SCCCounselPartyRoleChar"/>
          <w:rFonts w:eastAsiaTheme="minorHAnsi"/>
          <w:sz w:val="20"/>
          <w:lang w:val="fr-CA"/>
        </w:rPr>
        <w:t xml:space="preserve">, pour l’intervenante la </w:t>
      </w:r>
      <w:r w:rsidR="00035E4A" w:rsidRPr="00312D5B">
        <w:rPr>
          <w:sz w:val="20"/>
          <w:lang w:val="fr-CA"/>
        </w:rPr>
        <w:t>Clinique juridique africaine canadienne</w:t>
      </w:r>
      <w:r w:rsidR="00035E4A" w:rsidRPr="00312D5B">
        <w:rPr>
          <w:rStyle w:val="SCCCounselPartyRoleChar"/>
          <w:rFonts w:eastAsiaTheme="minorHAnsi"/>
          <w:sz w:val="20"/>
          <w:lang w:val="fr-CA"/>
        </w:rPr>
        <w:t>.</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Maia Tsurumi</w:t>
      </w:r>
      <w:r w:rsidR="00035E4A" w:rsidRPr="00312D5B">
        <w:rPr>
          <w:rStyle w:val="SCCCounselSeparatorChar"/>
          <w:rFonts w:eastAsiaTheme="minorHAnsi"/>
          <w:sz w:val="20"/>
        </w:rPr>
        <w:t xml:space="preserve"> et </w:t>
      </w:r>
      <w:r w:rsidR="00035E4A" w:rsidRPr="00312D5B">
        <w:rPr>
          <w:rStyle w:val="SCCCounselNameChar"/>
          <w:rFonts w:eastAsiaTheme="minorHAnsi"/>
          <w:sz w:val="20"/>
          <w:lang w:val="fr-CA"/>
        </w:rPr>
        <w:t>Adrienne Smith</w:t>
      </w:r>
      <w:r w:rsidR="00035E4A" w:rsidRPr="00312D5B">
        <w:rPr>
          <w:rStyle w:val="SCCCounselPartyRoleChar"/>
          <w:rFonts w:eastAsiaTheme="minorHAnsi"/>
          <w:sz w:val="20"/>
          <w:lang w:val="fr-CA"/>
        </w:rPr>
        <w:t>, pour les intervenantes Pivot Legal Society et l’</w:t>
      </w:r>
      <w:r w:rsidR="00035E4A" w:rsidRPr="00312D5B">
        <w:rPr>
          <w:sz w:val="20"/>
          <w:lang w:val="fr-CA"/>
        </w:rPr>
        <w:t>Union des chefs indiens de la Colombie</w:t>
      </w:r>
      <w:r w:rsidR="00035E4A" w:rsidRPr="00312D5B">
        <w:rPr>
          <w:sz w:val="20"/>
          <w:lang w:val="fr-CA"/>
        </w:rPr>
        <w:noBreakHyphen/>
        <w:t>Britannique</w:t>
      </w:r>
      <w:r w:rsidR="00035E4A" w:rsidRPr="00312D5B">
        <w:rPr>
          <w:rStyle w:val="SCCCounselPartyRoleChar"/>
          <w:rFonts w:eastAsiaTheme="minorHAnsi"/>
          <w:sz w:val="20"/>
          <w:lang w:val="fr-CA"/>
        </w:rPr>
        <w:t>.</w:t>
      </w:r>
      <w:r>
        <w:rPr>
          <w:rStyle w:val="SCCCounselPartyRoleChar"/>
          <w:rFonts w:eastAsiaTheme="minorHAnsi"/>
          <w:sz w:val="20"/>
          <w:lang w:val="fr-CA"/>
        </w:rPr>
        <w:t xml:space="preserve"> </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 xml:space="preserve">Khalid Janmohamed </w:t>
      </w:r>
      <w:r w:rsidR="00035E4A" w:rsidRPr="00312D5B">
        <w:rPr>
          <w:rStyle w:val="SCCCounselSeparatorChar"/>
          <w:rFonts w:eastAsiaTheme="minorHAnsi"/>
          <w:sz w:val="20"/>
        </w:rPr>
        <w:t>et</w:t>
      </w:r>
      <w:r w:rsidR="00035E4A" w:rsidRPr="00312D5B">
        <w:rPr>
          <w:rStyle w:val="SCCCounselNameChar"/>
          <w:rFonts w:eastAsiaTheme="minorHAnsi"/>
          <w:sz w:val="20"/>
          <w:lang w:val="fr-CA"/>
        </w:rPr>
        <w:t xml:space="preserve"> Ryan Peck</w:t>
      </w:r>
      <w:r w:rsidR="00035E4A" w:rsidRPr="00312D5B">
        <w:rPr>
          <w:rStyle w:val="SCCCounselPartyRoleChar"/>
          <w:rFonts w:eastAsiaTheme="minorHAnsi"/>
          <w:sz w:val="20"/>
          <w:lang w:val="fr-CA"/>
        </w:rPr>
        <w:t>, pour les intervenants HIV &amp; AIDS Legal Clinic Ontario, le Réseau juridique canadien VIH/sida, British Columbia Centre for Excellence in HIV/AIDS, le Réseau d’action et de soutien des prisonniers et prisonnières vivant avec le VIH/sida et l’Association canadienne des personnes qui utilisent des drogues.</w:t>
      </w:r>
      <w:r>
        <w:rPr>
          <w:rStyle w:val="SCCCounselPartyRoleChar"/>
          <w:rFonts w:eastAsiaTheme="minorHAnsi"/>
          <w:sz w:val="20"/>
          <w:lang w:val="fr-CA"/>
        </w:rPr>
        <w:t xml:space="preserve"> </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Matthew A. Nathanson</w:t>
      </w:r>
      <w:r w:rsidR="00035E4A" w:rsidRPr="00312D5B">
        <w:rPr>
          <w:rStyle w:val="SCCCounselPartyRoleChar"/>
          <w:rFonts w:eastAsiaTheme="minorHAnsi"/>
          <w:sz w:val="20"/>
          <w:lang w:val="fr-CA"/>
        </w:rPr>
        <w:t>, pour l’intervenante l’</w:t>
      </w:r>
      <w:r w:rsidR="00035E4A" w:rsidRPr="00312D5B">
        <w:rPr>
          <w:sz w:val="20"/>
          <w:lang w:val="fr-CA"/>
        </w:rPr>
        <w:t>Association des libertés civiles de la Colombie</w:t>
      </w:r>
      <w:r w:rsidR="00035E4A" w:rsidRPr="00312D5B">
        <w:rPr>
          <w:sz w:val="20"/>
          <w:lang w:val="fr-CA"/>
        </w:rPr>
        <w:noBreakHyphen/>
        <w:t>Britannique</w:t>
      </w:r>
      <w:r w:rsidR="00035E4A" w:rsidRPr="00312D5B">
        <w:rPr>
          <w:rStyle w:val="SCCCounselPartyRoleChar"/>
          <w:rFonts w:eastAsiaTheme="minorHAnsi"/>
          <w:sz w:val="20"/>
          <w:lang w:val="fr-CA"/>
        </w:rPr>
        <w:t>.</w:t>
      </w:r>
      <w:r>
        <w:rPr>
          <w:rStyle w:val="SCCCounselPartyRoleChar"/>
          <w:rFonts w:eastAsiaTheme="minorHAnsi"/>
          <w:sz w:val="20"/>
          <w:lang w:val="fr-CA"/>
        </w:rPr>
        <w:t xml:space="preserve"> </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Dirk Derstine</w:t>
      </w:r>
      <w:r w:rsidR="00035E4A" w:rsidRPr="00312D5B">
        <w:rPr>
          <w:rStyle w:val="SCCCounselSeparatorChar"/>
          <w:rFonts w:eastAsiaTheme="minorHAnsi"/>
          <w:sz w:val="20"/>
        </w:rPr>
        <w:t xml:space="preserve"> et </w:t>
      </w:r>
      <w:r w:rsidR="00035E4A" w:rsidRPr="00312D5B">
        <w:rPr>
          <w:rStyle w:val="SCCCounselNameChar"/>
          <w:rFonts w:eastAsiaTheme="minorHAnsi"/>
          <w:sz w:val="20"/>
          <w:lang w:val="fr-CA"/>
        </w:rPr>
        <w:t>Janani Shanmuganathan</w:t>
      </w:r>
      <w:r w:rsidR="00035E4A" w:rsidRPr="00312D5B">
        <w:rPr>
          <w:rStyle w:val="SCCCounselPartyRoleChar"/>
          <w:rFonts w:eastAsiaTheme="minorHAnsi"/>
          <w:sz w:val="20"/>
          <w:lang w:val="fr-CA"/>
        </w:rPr>
        <w:t>, pour l’intervenante Criminal Lawyers’ Association (Ontario).</w:t>
      </w:r>
    </w:p>
    <w:p w:rsidR="002F5BF9" w:rsidRDefault="002F5BF9" w:rsidP="00F66947">
      <w:pPr>
        <w:jc w:val="both"/>
        <w:rPr>
          <w:rStyle w:val="SCCCounselPartyRoleChar"/>
          <w:rFonts w:eastAsiaTheme="minorHAnsi"/>
          <w:sz w:val="20"/>
          <w:lang w:val="fr-CA"/>
        </w:rPr>
      </w:pPr>
    </w:p>
    <w:p w:rsidR="00414618" w:rsidRDefault="00414618" w:rsidP="00F66947">
      <w:pPr>
        <w:jc w:val="both"/>
        <w:rPr>
          <w:rStyle w:val="SCCCounselPartyRoleChar"/>
          <w:rFonts w:eastAsiaTheme="minorHAnsi"/>
          <w:sz w:val="20"/>
          <w:lang w:val="fr-CA"/>
        </w:rPr>
      </w:pPr>
      <w:r>
        <w:rPr>
          <w:rStyle w:val="SCCCounselPartyRoleChar"/>
          <w:rFonts w:eastAsiaTheme="minorHAnsi"/>
          <w:sz w:val="20"/>
          <w:lang w:val="fr-CA"/>
        </w:rPr>
        <w:tab/>
      </w:r>
      <w:r w:rsidR="00035E4A" w:rsidRPr="00312D5B">
        <w:rPr>
          <w:rStyle w:val="SCCCounselNameChar"/>
          <w:rFonts w:eastAsiaTheme="minorHAnsi"/>
          <w:sz w:val="20"/>
          <w:lang w:val="fr-CA"/>
        </w:rPr>
        <w:t>Kasandra Cronin</w:t>
      </w:r>
      <w:r w:rsidR="00035E4A" w:rsidRPr="00312D5B">
        <w:rPr>
          <w:rStyle w:val="SCCCounselSeparatorChar"/>
          <w:rFonts w:eastAsiaTheme="minorHAnsi"/>
          <w:sz w:val="20"/>
        </w:rPr>
        <w:t xml:space="preserve"> et </w:t>
      </w:r>
      <w:r w:rsidR="00035E4A" w:rsidRPr="00312D5B">
        <w:rPr>
          <w:rStyle w:val="SCCCounselNameChar"/>
          <w:rFonts w:eastAsiaTheme="minorHAnsi"/>
          <w:sz w:val="20"/>
          <w:lang w:val="fr-CA"/>
        </w:rPr>
        <w:t>Kendra Milne</w:t>
      </w:r>
      <w:r w:rsidR="00035E4A" w:rsidRPr="00312D5B">
        <w:rPr>
          <w:rStyle w:val="SCCCounselPartyRoleChar"/>
          <w:rFonts w:eastAsiaTheme="minorHAnsi"/>
          <w:sz w:val="20"/>
          <w:lang w:val="fr-CA"/>
        </w:rPr>
        <w:t>, pour l’intervenant West Coast Women’s Legal Education and Action Fund.</w:t>
      </w:r>
    </w:p>
    <w:p w:rsidR="002F5BF9" w:rsidRDefault="002F5BF9" w:rsidP="00F66947">
      <w:pPr>
        <w:jc w:val="both"/>
        <w:rPr>
          <w:rStyle w:val="SCCCounselPartyRoleChar"/>
          <w:rFonts w:eastAsiaTheme="minorHAnsi"/>
          <w:sz w:val="20"/>
          <w:lang w:val="fr-CA"/>
        </w:rPr>
      </w:pPr>
    </w:p>
    <w:p w:rsidR="00414618" w:rsidRDefault="00414618" w:rsidP="00F66947">
      <w:pPr>
        <w:jc w:val="both"/>
        <w:rPr>
          <w:sz w:val="20"/>
          <w:lang w:val="fr-CA"/>
        </w:rPr>
      </w:pPr>
      <w:r>
        <w:rPr>
          <w:rStyle w:val="SCCCounselPartyRoleChar"/>
          <w:rFonts w:eastAsiaTheme="minorHAnsi"/>
          <w:sz w:val="20"/>
          <w:lang w:val="fr-CA"/>
        </w:rPr>
        <w:tab/>
      </w:r>
      <w:r w:rsidR="00035E4A" w:rsidRPr="00312D5B">
        <w:rPr>
          <w:sz w:val="20"/>
          <w:lang w:val="fr-CA"/>
        </w:rPr>
        <w:t>Procureurs de l’appelant : David N. Fai Law Corporation, Vancouver; Gowling WLG (Canada) Inc., Ottawa.</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Procureur de l’intimée : Service des poursuites pénales du Canada, Vancouver.</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 xml:space="preserve">Procureurs de </w:t>
      </w:r>
      <w:r w:rsidR="00035E4A" w:rsidRPr="00312D5B">
        <w:rPr>
          <w:rStyle w:val="SCCCounselPartyRoleChar"/>
          <w:rFonts w:eastAsiaTheme="minorHAnsi"/>
          <w:sz w:val="20"/>
          <w:lang w:val="fr-CA"/>
        </w:rPr>
        <w:t>l’intervenante l’</w:t>
      </w:r>
      <w:r w:rsidR="00035E4A" w:rsidRPr="00312D5B">
        <w:rPr>
          <w:sz w:val="20"/>
          <w:lang w:val="fr-CA"/>
        </w:rPr>
        <w:t>Association du Barreau canadien : Peck and Company, Vancouver.</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 xml:space="preserve">Procureurs de </w:t>
      </w:r>
      <w:r w:rsidR="00035E4A" w:rsidRPr="00312D5B">
        <w:rPr>
          <w:rStyle w:val="SCCCounselPartyRoleChar"/>
          <w:rFonts w:eastAsiaTheme="minorHAnsi"/>
          <w:sz w:val="20"/>
          <w:lang w:val="fr-CA"/>
        </w:rPr>
        <w:t xml:space="preserve">l’intervenante la </w:t>
      </w:r>
      <w:r w:rsidR="00035E4A" w:rsidRPr="00312D5B">
        <w:rPr>
          <w:sz w:val="20"/>
          <w:lang w:val="fr-CA"/>
        </w:rPr>
        <w:t>Clinique juridique africaine canadienne : Faisal Mirza, Mississauga; Clinique juridique africaine canadienne, Toronto.</w:t>
      </w:r>
      <w:r>
        <w:rPr>
          <w:sz w:val="20"/>
          <w:lang w:val="fr-CA"/>
        </w:rPr>
        <w:t xml:space="preserve"> </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Procureurs d</w:t>
      </w:r>
      <w:r w:rsidR="00035E4A" w:rsidRPr="00312D5B">
        <w:rPr>
          <w:rStyle w:val="SCCCounselPartyRoleChar"/>
          <w:rFonts w:eastAsiaTheme="minorHAnsi"/>
          <w:sz w:val="20"/>
          <w:lang w:val="fr-CA"/>
        </w:rPr>
        <w:t>es intervenantes Pivot Legal Society et l’</w:t>
      </w:r>
      <w:r w:rsidR="00035E4A" w:rsidRPr="00312D5B">
        <w:rPr>
          <w:sz w:val="20"/>
          <w:lang w:val="fr-CA"/>
        </w:rPr>
        <w:t>Union des chefs indiens de la Colombie</w:t>
      </w:r>
      <w:r w:rsidR="00035E4A" w:rsidRPr="00312D5B">
        <w:rPr>
          <w:sz w:val="20"/>
          <w:lang w:val="fr-CA"/>
        </w:rPr>
        <w:noBreakHyphen/>
        <w:t>Britannique : Maia Tsurumi, Vancouver; Pivot Legal Society, Vancouver.</w:t>
      </w:r>
      <w:r>
        <w:rPr>
          <w:sz w:val="20"/>
          <w:lang w:val="fr-CA"/>
        </w:rPr>
        <w:t xml:space="preserve"> </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Procureur d</w:t>
      </w:r>
      <w:r w:rsidR="00035E4A" w:rsidRPr="00312D5B">
        <w:rPr>
          <w:rStyle w:val="SCCCounselPartyRoleChar"/>
          <w:rFonts w:eastAsiaTheme="minorHAnsi"/>
          <w:sz w:val="20"/>
          <w:lang w:val="fr-CA"/>
        </w:rPr>
        <w:t>es intervenants HIV &amp; AIDS Legal Clinic Ontario, le Réseau juridique canadien VIH/sida, British Columbia Centre for Excellence in HIV/AIDS, le Réseau d’action et de soutien des prisonniers et prisonnières vivant avec le VIH/sida et l’Association canadienne des personnes qui utilisent des drogues</w:t>
      </w:r>
      <w:r w:rsidR="00035E4A" w:rsidRPr="00312D5B">
        <w:rPr>
          <w:sz w:val="20"/>
          <w:lang w:val="fr-CA"/>
        </w:rPr>
        <w:t> : HIV &amp; AIDS Legal Clinic Ontario, Toronto.</w:t>
      </w:r>
      <w:r>
        <w:rPr>
          <w:sz w:val="20"/>
          <w:lang w:val="fr-CA"/>
        </w:rPr>
        <w:t xml:space="preserve"> </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 xml:space="preserve">Procureurs de </w:t>
      </w:r>
      <w:r w:rsidR="00035E4A" w:rsidRPr="00312D5B">
        <w:rPr>
          <w:rStyle w:val="SCCCounselPartyRoleChar"/>
          <w:rFonts w:eastAsiaTheme="minorHAnsi"/>
          <w:sz w:val="20"/>
          <w:lang w:val="fr-CA"/>
        </w:rPr>
        <w:t>l’intervenante l’</w:t>
      </w:r>
      <w:r w:rsidR="00035E4A" w:rsidRPr="00312D5B">
        <w:rPr>
          <w:sz w:val="20"/>
          <w:lang w:val="fr-CA"/>
        </w:rPr>
        <w:t>Association des libertés civiles de la Colombie</w:t>
      </w:r>
      <w:r w:rsidR="00035E4A" w:rsidRPr="00312D5B">
        <w:rPr>
          <w:sz w:val="20"/>
          <w:lang w:val="fr-CA"/>
        </w:rPr>
        <w:noBreakHyphen/>
        <w:t>Britannique : MN Law, Vancouver.</w:t>
      </w:r>
      <w:r>
        <w:rPr>
          <w:sz w:val="20"/>
          <w:lang w:val="fr-CA"/>
        </w:rPr>
        <w:t xml:space="preserve"> </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Procureurs de l’intervenante Criminal Lawyers’ Association (Ontario) : Derstine Penman, Toronto.</w:t>
      </w:r>
    </w:p>
    <w:p w:rsidR="002F5BF9" w:rsidRDefault="002F5BF9" w:rsidP="00F66947">
      <w:pPr>
        <w:jc w:val="both"/>
        <w:rPr>
          <w:sz w:val="20"/>
          <w:lang w:val="fr-CA"/>
        </w:rPr>
      </w:pPr>
    </w:p>
    <w:p w:rsidR="00414618" w:rsidRDefault="00414618" w:rsidP="00F66947">
      <w:pPr>
        <w:jc w:val="both"/>
        <w:rPr>
          <w:sz w:val="20"/>
          <w:lang w:val="fr-CA"/>
        </w:rPr>
      </w:pPr>
      <w:r>
        <w:rPr>
          <w:sz w:val="20"/>
          <w:lang w:val="fr-CA"/>
        </w:rPr>
        <w:tab/>
      </w:r>
      <w:r w:rsidR="00035E4A" w:rsidRPr="00312D5B">
        <w:rPr>
          <w:sz w:val="20"/>
          <w:lang w:val="fr-CA"/>
        </w:rPr>
        <w:t>Procureurs de l’intervenant West Coast Women’s Legal Education and Action Fund : La Liberté Cronin, Vancouver; West Coast LEAF, Vancouver.</w:t>
      </w:r>
      <w:r>
        <w:rPr>
          <w:sz w:val="20"/>
          <w:lang w:val="fr-CA"/>
        </w:rPr>
        <w:t xml:space="preserve"> </w:t>
      </w:r>
    </w:p>
    <w:p w:rsidR="008269A1" w:rsidRPr="00035E4A" w:rsidRDefault="009F3029" w:rsidP="00F66947">
      <w:pPr>
        <w:jc w:val="both"/>
        <w:rPr>
          <w:sz w:val="20"/>
          <w:szCs w:val="20"/>
        </w:rPr>
      </w:pPr>
      <w:r>
        <w:rPr>
          <w:rFonts w:cs="Times New Roman"/>
          <w:sz w:val="20"/>
          <w:szCs w:val="20"/>
          <w:lang w:val="fr-CA"/>
        </w:rPr>
        <w:pict>
          <v:rect id="_x0000_i1119" style="width:144.3pt;height:1pt" o:hrpct="300" o:hralign="center" o:hrstd="t" o:hrnoshade="t" o:hr="t" fillcolor="black [3213]" stroked="f"/>
        </w:pict>
      </w:r>
    </w:p>
    <w:p w:rsidR="008269A1" w:rsidRPr="00035E4A" w:rsidRDefault="008269A1" w:rsidP="00F66947">
      <w:pPr>
        <w:jc w:val="both"/>
        <w:rPr>
          <w:sz w:val="20"/>
          <w:szCs w:val="20"/>
        </w:rPr>
      </w:pPr>
    </w:p>
    <w:p w:rsidR="008269A1" w:rsidRPr="00035E4A" w:rsidRDefault="008269A1" w:rsidP="00F66947">
      <w:pPr>
        <w:rPr>
          <w:sz w:val="20"/>
          <w:szCs w:val="20"/>
        </w:rPr>
      </w:pPr>
      <w:r w:rsidRPr="00035E4A">
        <w:rPr>
          <w:sz w:val="20"/>
          <w:szCs w:val="20"/>
        </w:rPr>
        <w:br w:type="page"/>
      </w:r>
    </w:p>
    <w:p w:rsidR="008269A1" w:rsidRPr="00050E05" w:rsidRDefault="00035E4A" w:rsidP="002F5BF9">
      <w:pPr>
        <w:rPr>
          <w:rFonts w:eastAsia="Calibri"/>
          <w:b/>
          <w:sz w:val="20"/>
          <w:szCs w:val="20"/>
        </w:rPr>
      </w:pPr>
      <w:r w:rsidRPr="00035E4A">
        <w:rPr>
          <w:i/>
          <w:sz w:val="20"/>
          <w:szCs w:val="20"/>
        </w:rPr>
        <w:t>Her Majesty The Queen v. Hamidreza Safarzadeh Markhali et al.</w:t>
      </w:r>
      <w:r w:rsidR="008269A1" w:rsidRPr="00754A71">
        <w:rPr>
          <w:sz w:val="20"/>
          <w:szCs w:val="20"/>
        </w:rPr>
        <w:t xml:space="preserve"> </w:t>
      </w:r>
      <w:r w:rsidR="008269A1" w:rsidRPr="00050E05">
        <w:rPr>
          <w:sz w:val="20"/>
          <w:szCs w:val="20"/>
        </w:rPr>
        <w:t>(</w:t>
      </w:r>
      <w:r>
        <w:rPr>
          <w:sz w:val="20"/>
          <w:szCs w:val="20"/>
        </w:rPr>
        <w:t>Ont</w:t>
      </w:r>
      <w:r w:rsidR="008269A1" w:rsidRPr="00050E05">
        <w:rPr>
          <w:sz w:val="20"/>
          <w:szCs w:val="20"/>
        </w:rPr>
        <w:t>.) (</w:t>
      </w:r>
      <w:hyperlink r:id="rId161" w:history="1">
        <w:r w:rsidR="008269A1" w:rsidRPr="00050E05">
          <w:rPr>
            <w:rStyle w:val="Hyperlink"/>
            <w:sz w:val="20"/>
            <w:szCs w:val="20"/>
          </w:rPr>
          <w:t>3</w:t>
        </w:r>
        <w:r w:rsidR="00812018">
          <w:rPr>
            <w:rStyle w:val="Hyperlink"/>
            <w:sz w:val="20"/>
            <w:szCs w:val="20"/>
          </w:rPr>
          <w:t>6162</w:t>
        </w:r>
      </w:hyperlink>
      <w:r w:rsidR="008269A1" w:rsidRPr="00050E05">
        <w:rPr>
          <w:sz w:val="20"/>
          <w:szCs w:val="20"/>
        </w:rPr>
        <w:t>)</w:t>
      </w:r>
    </w:p>
    <w:p w:rsidR="008269A1" w:rsidRPr="00C42C54" w:rsidRDefault="008269A1" w:rsidP="00F66947">
      <w:pPr>
        <w:jc w:val="both"/>
        <w:rPr>
          <w:b/>
          <w:sz w:val="20"/>
          <w:szCs w:val="20"/>
        </w:rPr>
      </w:pPr>
      <w:r w:rsidRPr="00FF34C3">
        <w:rPr>
          <w:b/>
          <w:sz w:val="20"/>
          <w:szCs w:val="20"/>
        </w:rPr>
        <w:t xml:space="preserve">Indexed as:  R. </w:t>
      </w:r>
      <w:r w:rsidRPr="00FF34C3">
        <w:rPr>
          <w:b/>
          <w:i/>
          <w:sz w:val="20"/>
          <w:szCs w:val="20"/>
        </w:rPr>
        <w:t xml:space="preserve">v. </w:t>
      </w:r>
      <w:r w:rsidR="00760821" w:rsidRPr="00760821">
        <w:rPr>
          <w:rStyle w:val="SCCAppellantForIndexChar"/>
          <w:rFonts w:eastAsiaTheme="minorHAnsi"/>
          <w:sz w:val="20"/>
          <w:lang w:val="en-CA"/>
        </w:rPr>
        <w:t>Safarzadeh Markhali</w:t>
      </w:r>
      <w:r>
        <w:rPr>
          <w:rStyle w:val="SCCAppellantForIndexChar"/>
          <w:rFonts w:eastAsiaTheme="minorHAnsi"/>
          <w:sz w:val="20"/>
          <w:lang w:val="en-CA"/>
        </w:rPr>
        <w:t xml:space="preserve"> / </w:t>
      </w:r>
      <w:r w:rsidRPr="00C42C54">
        <w:rPr>
          <w:b/>
          <w:sz w:val="20"/>
          <w:szCs w:val="20"/>
        </w:rPr>
        <w:t xml:space="preserve">Répertorié : R. </w:t>
      </w:r>
      <w:r w:rsidRPr="00C42C54">
        <w:rPr>
          <w:b/>
          <w:i/>
          <w:sz w:val="20"/>
          <w:szCs w:val="20"/>
        </w:rPr>
        <w:t xml:space="preserve">c. </w:t>
      </w:r>
      <w:r w:rsidR="00760821" w:rsidRPr="00760821">
        <w:rPr>
          <w:rStyle w:val="SCCAppellantForIndexChar"/>
          <w:rFonts w:eastAsiaTheme="minorHAnsi"/>
          <w:sz w:val="20"/>
          <w:lang w:val="en-CA"/>
        </w:rPr>
        <w:t>Safarzadeh Markhali</w:t>
      </w:r>
    </w:p>
    <w:p w:rsidR="008269A1" w:rsidRPr="008E4761" w:rsidRDefault="008269A1" w:rsidP="00F66947">
      <w:pPr>
        <w:pStyle w:val="SCCSystemYear"/>
        <w:jc w:val="both"/>
        <w:rPr>
          <w:sz w:val="20"/>
        </w:rPr>
      </w:pPr>
      <w:r w:rsidRPr="008E4761">
        <w:rPr>
          <w:sz w:val="20"/>
        </w:rPr>
        <w:t>Neutral citation:  2016 SCC </w:t>
      </w:r>
      <w:r w:rsidR="00760821" w:rsidRPr="008E4761">
        <w:rPr>
          <w:sz w:val="20"/>
        </w:rPr>
        <w:t>14</w:t>
      </w:r>
      <w:r w:rsidRPr="008E4761">
        <w:rPr>
          <w:sz w:val="20"/>
        </w:rPr>
        <w:t xml:space="preserve"> / Référence neutre : 2016 CSC </w:t>
      </w:r>
      <w:r w:rsidR="00760821" w:rsidRPr="008E4761">
        <w:rPr>
          <w:sz w:val="20"/>
        </w:rPr>
        <w:t>14</w:t>
      </w:r>
    </w:p>
    <w:p w:rsidR="008269A1" w:rsidRPr="008E4761" w:rsidRDefault="008269A1" w:rsidP="00F66947">
      <w:pPr>
        <w:rPr>
          <w:sz w:val="20"/>
          <w:szCs w:val="20"/>
          <w:lang w:val="fr-CA"/>
        </w:rPr>
      </w:pPr>
      <w:r w:rsidRPr="008E4761">
        <w:rPr>
          <w:sz w:val="20"/>
          <w:szCs w:val="20"/>
          <w:lang w:val="fr-CA"/>
        </w:rPr>
        <w:t xml:space="preserve">Hearing:  </w:t>
      </w:r>
      <w:r w:rsidR="00F94DF1" w:rsidRPr="008E4761">
        <w:rPr>
          <w:sz w:val="20"/>
          <w:szCs w:val="20"/>
          <w:lang w:val="fr-CA"/>
        </w:rPr>
        <w:t>November 4</w:t>
      </w:r>
      <w:r w:rsidRPr="008E4761">
        <w:rPr>
          <w:sz w:val="20"/>
          <w:szCs w:val="20"/>
          <w:lang w:val="fr-CA"/>
        </w:rPr>
        <w:t>, 201</w:t>
      </w:r>
      <w:r w:rsidR="00F94DF1" w:rsidRPr="008E4761">
        <w:rPr>
          <w:sz w:val="20"/>
          <w:szCs w:val="20"/>
          <w:lang w:val="fr-CA"/>
        </w:rPr>
        <w:t>5</w:t>
      </w:r>
      <w:r w:rsidRPr="008E4761">
        <w:rPr>
          <w:sz w:val="20"/>
          <w:szCs w:val="20"/>
          <w:lang w:val="fr-CA"/>
        </w:rPr>
        <w:t xml:space="preserve"> / Judgment:  </w:t>
      </w:r>
      <w:r w:rsidR="00F94DF1" w:rsidRPr="008E4761">
        <w:rPr>
          <w:sz w:val="20"/>
          <w:szCs w:val="20"/>
          <w:lang w:val="fr-CA"/>
        </w:rPr>
        <w:t>April 15</w:t>
      </w:r>
      <w:r w:rsidRPr="008E4761">
        <w:rPr>
          <w:sz w:val="20"/>
          <w:szCs w:val="20"/>
          <w:lang w:val="fr-CA"/>
        </w:rPr>
        <w:t>, 2016</w:t>
      </w:r>
    </w:p>
    <w:p w:rsidR="008269A1" w:rsidRPr="00F94DF1" w:rsidRDefault="008269A1" w:rsidP="00F66947">
      <w:pPr>
        <w:rPr>
          <w:sz w:val="20"/>
          <w:szCs w:val="20"/>
          <w:lang w:val="fr-CA"/>
        </w:rPr>
      </w:pPr>
      <w:r w:rsidRPr="00F94DF1">
        <w:rPr>
          <w:sz w:val="20"/>
          <w:szCs w:val="20"/>
          <w:lang w:val="fr-CA"/>
        </w:rPr>
        <w:t xml:space="preserve">Audition : Le </w:t>
      </w:r>
      <w:r w:rsidR="00F94DF1" w:rsidRPr="00F94DF1">
        <w:rPr>
          <w:sz w:val="20"/>
          <w:szCs w:val="20"/>
          <w:lang w:val="fr-CA"/>
        </w:rPr>
        <w:t>4 novembre</w:t>
      </w:r>
      <w:r w:rsidRPr="00F94DF1">
        <w:rPr>
          <w:sz w:val="20"/>
          <w:szCs w:val="20"/>
          <w:lang w:val="fr-CA"/>
        </w:rPr>
        <w:t xml:space="preserve"> 201</w:t>
      </w:r>
      <w:r w:rsidR="00F94DF1" w:rsidRPr="00F94DF1">
        <w:rPr>
          <w:sz w:val="20"/>
          <w:szCs w:val="20"/>
          <w:lang w:val="fr-CA"/>
        </w:rPr>
        <w:t>5</w:t>
      </w:r>
      <w:r w:rsidRPr="00F94DF1">
        <w:rPr>
          <w:sz w:val="20"/>
          <w:szCs w:val="20"/>
          <w:lang w:val="fr-CA"/>
        </w:rPr>
        <w:t xml:space="preserve"> / Jugement : Le </w:t>
      </w:r>
      <w:r w:rsidR="00F94DF1">
        <w:rPr>
          <w:sz w:val="20"/>
          <w:szCs w:val="20"/>
          <w:lang w:val="fr-CA"/>
        </w:rPr>
        <w:t>14 avril</w:t>
      </w:r>
      <w:r w:rsidRPr="00F94DF1">
        <w:rPr>
          <w:sz w:val="20"/>
          <w:szCs w:val="20"/>
          <w:lang w:val="fr-CA"/>
        </w:rPr>
        <w:t xml:space="preserve"> 2016</w:t>
      </w:r>
    </w:p>
    <w:p w:rsidR="008269A1" w:rsidRDefault="009F3029" w:rsidP="00F66947">
      <w:pPr>
        <w:rPr>
          <w:i/>
          <w:sz w:val="20"/>
          <w:szCs w:val="20"/>
        </w:rPr>
      </w:pPr>
      <w:r>
        <w:rPr>
          <w:i/>
          <w:sz w:val="20"/>
          <w:szCs w:val="20"/>
        </w:rPr>
        <w:pict>
          <v:rect id="_x0000_i1120" style="width:480.95pt;height:1pt" o:hralign="center" o:hrstd="t" o:hrnoshade="t" o:hr="t" fillcolor="black [3213]" stroked="f"/>
        </w:pict>
      </w:r>
    </w:p>
    <w:p w:rsidR="002F5BF9" w:rsidRPr="002F5BF9" w:rsidRDefault="002F5BF9" w:rsidP="00F66947">
      <w:pPr>
        <w:rPr>
          <w:sz w:val="20"/>
          <w:szCs w:val="20"/>
          <w:lang w:val="fr-CA"/>
        </w:rPr>
      </w:pPr>
    </w:p>
    <w:p w:rsidR="000245FA" w:rsidRDefault="00F94DF1" w:rsidP="00F66947">
      <w:pPr>
        <w:jc w:val="both"/>
        <w:rPr>
          <w:sz w:val="20"/>
          <w:szCs w:val="20"/>
        </w:rPr>
      </w:pPr>
      <w:r w:rsidRPr="00F94DF1">
        <w:rPr>
          <w:sz w:val="20"/>
          <w:szCs w:val="20"/>
        </w:rPr>
        <w:t>Present: McLachlin C.J. and Abella, Cromwell, Moldaver, Karakatsanis, Wagner, Gascon, Côté and Brown JJ.</w:t>
      </w:r>
    </w:p>
    <w:p w:rsidR="002F5BF9" w:rsidRDefault="002F5BF9" w:rsidP="00F66947">
      <w:pPr>
        <w:jc w:val="both"/>
        <w:rPr>
          <w:sz w:val="20"/>
          <w:szCs w:val="20"/>
        </w:rPr>
      </w:pPr>
    </w:p>
    <w:p w:rsidR="000245FA" w:rsidRDefault="000245FA" w:rsidP="00F66947">
      <w:pPr>
        <w:jc w:val="both"/>
        <w:rPr>
          <w:i/>
          <w:iCs/>
          <w:sz w:val="20"/>
        </w:rPr>
      </w:pPr>
      <w:r>
        <w:rPr>
          <w:sz w:val="20"/>
          <w:szCs w:val="20"/>
        </w:rPr>
        <w:tab/>
      </w:r>
      <w:r w:rsidR="00F94DF1" w:rsidRPr="00F94DF1">
        <w:rPr>
          <w:i/>
          <w:iCs/>
          <w:sz w:val="20"/>
        </w:rPr>
        <w:t xml:space="preserve">Constitutional law — Charter of Rights — Fundamental justice — </w:t>
      </w:r>
      <w:r w:rsidR="00F94DF1" w:rsidRPr="00F94DF1">
        <w:rPr>
          <w:i/>
          <w:sz w:val="20"/>
        </w:rPr>
        <w:t>Overbreadth</w:t>
      </w:r>
      <w:r w:rsidR="00F94DF1" w:rsidRPr="00F94DF1">
        <w:rPr>
          <w:i/>
          <w:iCs/>
          <w:sz w:val="20"/>
        </w:rPr>
        <w:t xml:space="preserve"> — Sentencing — Credit for pre</w:t>
      </w:r>
      <w:r w:rsidR="00F94DF1" w:rsidRPr="00F94DF1">
        <w:rPr>
          <w:i/>
          <w:iCs/>
          <w:sz w:val="20"/>
        </w:rPr>
        <w:noBreakHyphen/>
        <w:t>sentence custody — Criminal Code denying enhanced credit in certain circumstances — Whether denial of enhanced credit for pre</w:t>
      </w:r>
      <w:r w:rsidR="00F94DF1" w:rsidRPr="00F94DF1">
        <w:rPr>
          <w:i/>
          <w:iCs/>
          <w:sz w:val="20"/>
        </w:rPr>
        <w:noBreakHyphen/>
        <w:t>sentence custody to offenders who are denied bail primarily because of prior conviction is overbroad in violation of s. 7 of Canadian Charter of Rights and Freedoms — If so, whether infringement justifiable under s. 1 of Charter — Criminal Code, R.S.C. 1985, c. C</w:t>
      </w:r>
      <w:r w:rsidR="00F94DF1" w:rsidRPr="00F94DF1">
        <w:rPr>
          <w:i/>
          <w:iCs/>
          <w:sz w:val="20"/>
        </w:rPr>
        <w:noBreakHyphen/>
        <w:t>46, ss. 515(9.1), 719(3.1).</w:t>
      </w:r>
      <w:r>
        <w:rPr>
          <w:i/>
          <w:iCs/>
          <w:sz w:val="20"/>
        </w:rPr>
        <w:t xml:space="preserve"> </w:t>
      </w:r>
    </w:p>
    <w:p w:rsidR="002F5BF9" w:rsidRDefault="002F5BF9" w:rsidP="00F66947">
      <w:pPr>
        <w:jc w:val="both"/>
        <w:rPr>
          <w:i/>
          <w:iCs/>
          <w:sz w:val="20"/>
        </w:rPr>
      </w:pPr>
    </w:p>
    <w:p w:rsidR="000245FA" w:rsidRDefault="000245FA" w:rsidP="00F66947">
      <w:pPr>
        <w:jc w:val="both"/>
        <w:rPr>
          <w:i/>
          <w:iCs/>
          <w:sz w:val="20"/>
        </w:rPr>
      </w:pPr>
      <w:r>
        <w:rPr>
          <w:i/>
          <w:iCs/>
          <w:sz w:val="20"/>
        </w:rPr>
        <w:tab/>
      </w:r>
      <w:r w:rsidR="00F94DF1" w:rsidRPr="00F94DF1">
        <w:rPr>
          <w:i/>
          <w:sz w:val="20"/>
        </w:rPr>
        <w:t>Constitutional</w:t>
      </w:r>
      <w:r w:rsidR="00F94DF1" w:rsidRPr="00F94DF1">
        <w:rPr>
          <w:i/>
          <w:iCs/>
          <w:sz w:val="20"/>
        </w:rPr>
        <w:t xml:space="preserve"> law — Charter of Rights — Fundamental justice — Sentencing — Whether proportionality in sentencing process a principle of fundamental justice under s. 7 of Canadian Charter of Rights and Freedoms.</w:t>
      </w:r>
      <w:r>
        <w:rPr>
          <w:i/>
          <w:iCs/>
          <w:sz w:val="20"/>
        </w:rPr>
        <w:t xml:space="preserve"> </w:t>
      </w:r>
    </w:p>
    <w:p w:rsidR="002F5BF9" w:rsidRDefault="002F5BF9" w:rsidP="00F66947">
      <w:pPr>
        <w:jc w:val="both"/>
        <w:rPr>
          <w:i/>
          <w:iCs/>
          <w:sz w:val="20"/>
        </w:rPr>
      </w:pPr>
    </w:p>
    <w:p w:rsidR="000245FA" w:rsidRDefault="000245FA" w:rsidP="00F66947">
      <w:pPr>
        <w:jc w:val="both"/>
        <w:rPr>
          <w:sz w:val="20"/>
        </w:rPr>
      </w:pPr>
      <w:r>
        <w:rPr>
          <w:i/>
          <w:iCs/>
          <w:sz w:val="20"/>
        </w:rPr>
        <w:tab/>
      </w:r>
      <w:r w:rsidR="00F94DF1" w:rsidRPr="00F94DF1">
        <w:rPr>
          <w:sz w:val="20"/>
        </w:rPr>
        <w:t>Sentencing courts have historically given enhanced credit for time spent in pre</w:t>
      </w:r>
      <w:r w:rsidR="00F94DF1" w:rsidRPr="00F94DF1">
        <w:rPr>
          <w:sz w:val="20"/>
        </w:rPr>
        <w:noBreakHyphen/>
        <w:t xml:space="preserve">sentence custody, typically at a rate of two days for every day of detention. The </w:t>
      </w:r>
      <w:r w:rsidR="00F94DF1" w:rsidRPr="00F94DF1">
        <w:rPr>
          <w:i/>
          <w:sz w:val="20"/>
        </w:rPr>
        <w:t>Truth in Sentencing Act</w:t>
      </w:r>
      <w:r w:rsidR="00F94DF1" w:rsidRPr="00F94DF1">
        <w:rPr>
          <w:sz w:val="20"/>
        </w:rPr>
        <w:t xml:space="preserve"> amended the </w:t>
      </w:r>
      <w:r w:rsidR="00F94DF1" w:rsidRPr="00F94DF1">
        <w:rPr>
          <w:i/>
          <w:sz w:val="20"/>
        </w:rPr>
        <w:t>Criminal Code</w:t>
      </w:r>
      <w:r w:rsidR="00F94DF1" w:rsidRPr="00F94DF1">
        <w:rPr>
          <w:sz w:val="20"/>
        </w:rPr>
        <w:t xml:space="preserve"> to provide a general expectation of one day of credit for every day spent in pre</w:t>
      </w:r>
      <w:r w:rsidR="00F94DF1" w:rsidRPr="00F94DF1">
        <w:rPr>
          <w:sz w:val="20"/>
        </w:rPr>
        <w:noBreakHyphen/>
        <w:t xml:space="preserve">sentence custody and, if the circumstances justify it, enhanced credit to a maximum of one and a half days. Pursuant to s. 719(3.1) of the </w:t>
      </w:r>
      <w:r w:rsidR="00F94DF1" w:rsidRPr="00F94DF1">
        <w:rPr>
          <w:i/>
          <w:sz w:val="20"/>
        </w:rPr>
        <w:t>Code</w:t>
      </w:r>
      <w:r w:rsidR="00F94DF1" w:rsidRPr="00F94DF1">
        <w:rPr>
          <w:sz w:val="20"/>
        </w:rPr>
        <w:t>, enhanced credit is not available if the person was denied bail primarily because of a prior conviction. M was arrested, charged with several offences and consented to his detention. At his bail hearing, the bail judge concluded that s. 515(9.1) required her to make an endorsement that M’s detention was warranted primarily because of M’s criminal record. The endorsement made M ineligible to receive enhanced credit for pre</w:t>
      </w:r>
      <w:r w:rsidR="00F94DF1" w:rsidRPr="00F94DF1">
        <w:rPr>
          <w:sz w:val="20"/>
        </w:rPr>
        <w:noBreakHyphen/>
        <w:t xml:space="preserve">sentence custody. The sentencing judge found the restrictions on enhanced credit in s. 719(3.1) of the </w:t>
      </w:r>
      <w:r w:rsidR="00F94DF1" w:rsidRPr="00F94DF1">
        <w:rPr>
          <w:i/>
          <w:sz w:val="20"/>
        </w:rPr>
        <w:t xml:space="preserve">Code </w:t>
      </w:r>
      <w:r w:rsidR="00F94DF1" w:rsidRPr="00F94DF1">
        <w:rPr>
          <w:sz w:val="20"/>
        </w:rPr>
        <w:t>unconstitutional. The Ontario Court of Appeal agreed and concluded that the challenged portion of s. 719(3.1) is of no force and effect.</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i/>
          <w:sz w:val="20"/>
        </w:rPr>
        <w:t>Held</w:t>
      </w:r>
      <w:r w:rsidR="00F94DF1" w:rsidRPr="00F94DF1">
        <w:rPr>
          <w:sz w:val="20"/>
        </w:rPr>
        <w:t>: The appeal should be dismissed.</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sz w:val="20"/>
        </w:rPr>
        <w:t>The denial of enhanced credit for pre</w:t>
      </w:r>
      <w:r w:rsidR="00F94DF1" w:rsidRPr="00F94DF1">
        <w:rPr>
          <w:sz w:val="20"/>
        </w:rPr>
        <w:noBreakHyphen/>
        <w:t xml:space="preserve">sentence custody to offenders who are denied bail primarily because of a prior conviction is overbroad because it catches people in ways that have nothing to do with the legislative purpose of s. 719(3.1) of the </w:t>
      </w:r>
      <w:r w:rsidR="00F94DF1" w:rsidRPr="00F94DF1">
        <w:rPr>
          <w:i/>
          <w:sz w:val="20"/>
        </w:rPr>
        <w:t>Code</w:t>
      </w:r>
      <w:r w:rsidR="00F94DF1" w:rsidRPr="00F94DF1">
        <w:rPr>
          <w:sz w:val="20"/>
        </w:rPr>
        <w:t xml:space="preserve">, which is to enhance public safety and security. Section 719(3.1) thus violates s. 7 of the </w:t>
      </w:r>
      <w:r w:rsidR="00F94DF1" w:rsidRPr="00F94DF1">
        <w:rPr>
          <w:i/>
          <w:sz w:val="20"/>
        </w:rPr>
        <w:t>Charter</w:t>
      </w:r>
      <w:r w:rsidR="00F94DF1" w:rsidRPr="00F94DF1">
        <w:rPr>
          <w:sz w:val="20"/>
        </w:rPr>
        <w:t>.</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sz w:val="20"/>
        </w:rPr>
        <w:t>It is clear that s. 719(3.1) limits liberty. Its effect is to require offenders who come within its ambit to serve more time in prison than they would have otherwise. Laws that curtail liberty in a way that is overbroad do not conform to the principles of fundamental justice.</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sz w:val="20"/>
        </w:rPr>
        <w:t xml:space="preserve">The first step in the overbreadth analysis is to ascertain the purpose of the challenged law. To determine a law’s purpose, courts look to statements of purpose in the legislation, if any; the text, context, and scheme of the legislation; and, extrinsic evidence such as legislative history and evolution. In presenting the </w:t>
      </w:r>
      <w:r w:rsidR="00F94DF1" w:rsidRPr="00F94DF1">
        <w:rPr>
          <w:i/>
          <w:sz w:val="20"/>
        </w:rPr>
        <w:t>Truth in Sentencing Act</w:t>
      </w:r>
      <w:r w:rsidR="00F94DF1" w:rsidRPr="00F94DF1">
        <w:rPr>
          <w:sz w:val="20"/>
        </w:rPr>
        <w:t xml:space="preserve"> to Parliament, the Minister of Justice explained that denial of enhanced credit was aimed at promoting public safety and public confidence in the justice system, by imposing longer sentences on violent and repeat offenders and increasing their exposure to rehabilitative programming. Based on the text, context and scheme of the legislation, coupled with the Minister’s statements of purpose, the animating social value behind the denial of enhanced credit is enhancing public confidence in the justice system. The legislative purpose of the total denial of enhanced credit for pre</w:t>
      </w:r>
      <w:r w:rsidR="00F94DF1" w:rsidRPr="00F94DF1">
        <w:rPr>
          <w:sz w:val="20"/>
        </w:rPr>
        <w:noBreakHyphen/>
        <w:t xml:space="preserve">sentence custody to offenders who are denied bail because of a prior conviction is to enhance public safety and security by increasing violent and chronic offenders’ access to rehabilitation programs. The means for achieving the legislative purpose is the challenged provision itself and the effect of the provision is to impose longer periods of custody on all persons who receive an endorsement under s. 515(9.1) of the </w:t>
      </w:r>
      <w:r w:rsidR="00F94DF1" w:rsidRPr="00F94DF1">
        <w:rPr>
          <w:i/>
          <w:sz w:val="20"/>
        </w:rPr>
        <w:t>Code</w:t>
      </w:r>
      <w:r w:rsidR="00F94DF1" w:rsidRPr="00F94DF1">
        <w:rPr>
          <w:sz w:val="20"/>
        </w:rPr>
        <w:t>.</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sz w:val="20"/>
        </w:rPr>
        <w:t>It is a principle of fundamental justice that a law that deprives a person of life, liberty, or security of the person must not do so in a way that is overbroad. The law must not go further than reasonably necessary to achieve its legislative goals. The provision in issue captures people it was not intended to capture: offenders who do not pose a threat to public safety or security. Section 515(9.1) does not specify or even broadly identify the offences that warrant an endorsement and limited availability of judicial review means that persons wrongly tagged with an endorsement will be without recourse to have the error remedied.</w:t>
      </w:r>
      <w:r>
        <w:rPr>
          <w:sz w:val="20"/>
        </w:rPr>
        <w:t xml:space="preserve"> </w:t>
      </w:r>
    </w:p>
    <w:p w:rsidR="002F5BF9" w:rsidRDefault="002F5BF9" w:rsidP="00F66947">
      <w:pPr>
        <w:jc w:val="both"/>
        <w:rPr>
          <w:sz w:val="20"/>
        </w:rPr>
      </w:pPr>
    </w:p>
    <w:p w:rsidR="000245FA" w:rsidRDefault="000245FA" w:rsidP="00F66947">
      <w:pPr>
        <w:jc w:val="both"/>
        <w:rPr>
          <w:sz w:val="20"/>
        </w:rPr>
      </w:pPr>
      <w:r>
        <w:rPr>
          <w:sz w:val="20"/>
        </w:rPr>
        <w:tab/>
      </w:r>
      <w:r w:rsidR="00F94DF1" w:rsidRPr="00F94DF1">
        <w:rPr>
          <w:sz w:val="20"/>
        </w:rPr>
        <w:t xml:space="preserve">The infringement of s. 7 of the </w:t>
      </w:r>
      <w:r w:rsidR="00F94DF1" w:rsidRPr="00F94DF1">
        <w:rPr>
          <w:i/>
          <w:sz w:val="20"/>
        </w:rPr>
        <w:t xml:space="preserve">Charter </w:t>
      </w:r>
      <w:r w:rsidR="00F94DF1" w:rsidRPr="00F94DF1">
        <w:rPr>
          <w:sz w:val="20"/>
        </w:rPr>
        <w:t>is not justified under s. 1. While the challenged provision is rationally connected to its purpose of enhancing public safety and security, it is neither minimally impairing nor proportionate. Alternative and more reasonable means of achieving its purposes were open to Parliament. The benefit to public safety by increasing access to rehabilitation programs is not trivial but the law’s overbreadth means that offenders who have neither committed violent offences nor present a risk to public safety will be unnecessarily deprived of liberty.</w:t>
      </w:r>
      <w:r>
        <w:rPr>
          <w:sz w:val="20"/>
        </w:rPr>
        <w:t xml:space="preserve"> </w:t>
      </w:r>
    </w:p>
    <w:p w:rsidR="002F5BF9" w:rsidRDefault="002F5BF9" w:rsidP="00F66947">
      <w:pPr>
        <w:jc w:val="both"/>
        <w:rPr>
          <w:sz w:val="20"/>
        </w:rPr>
      </w:pPr>
    </w:p>
    <w:p w:rsidR="00882854" w:rsidRDefault="000245FA" w:rsidP="00F66947">
      <w:pPr>
        <w:jc w:val="both"/>
        <w:rPr>
          <w:sz w:val="20"/>
        </w:rPr>
      </w:pPr>
      <w:r>
        <w:rPr>
          <w:sz w:val="20"/>
        </w:rPr>
        <w:tab/>
      </w:r>
      <w:r w:rsidR="00F94DF1" w:rsidRPr="00F94DF1">
        <w:rPr>
          <w:sz w:val="20"/>
        </w:rPr>
        <w:t xml:space="preserve">The Court of Appeal erred in holding that proportionality in the sentencing process is a principle of fundamental justice under s. 7 of the </w:t>
      </w:r>
      <w:r w:rsidR="00F94DF1" w:rsidRPr="00F94DF1">
        <w:rPr>
          <w:i/>
          <w:sz w:val="20"/>
        </w:rPr>
        <w:t>Charter</w:t>
      </w:r>
      <w:r w:rsidR="00F94DF1" w:rsidRPr="00F94DF1">
        <w:rPr>
          <w:sz w:val="20"/>
        </w:rPr>
        <w:t xml:space="preserve">. The principles and purposes for determining a fit sentence, enumerated in s. 718 of the </w:t>
      </w:r>
      <w:r w:rsidR="00F94DF1" w:rsidRPr="00F94DF1">
        <w:rPr>
          <w:i/>
          <w:sz w:val="20"/>
        </w:rPr>
        <w:t>Code</w:t>
      </w:r>
      <w:r w:rsidR="00F94DF1" w:rsidRPr="00F94DF1">
        <w:rPr>
          <w:sz w:val="20"/>
        </w:rPr>
        <w:t xml:space="preserve"> and provisions that follow — including the fundamental principle of proportionality in s. 718.1 — do not have constitutional status. The constitutional dimension of proportionality in sentencing is the prohibition of grossly disproportionate sentences in s. 12 of the </w:t>
      </w:r>
      <w:r w:rsidR="00F94DF1" w:rsidRPr="00F94DF1">
        <w:rPr>
          <w:i/>
          <w:sz w:val="20"/>
        </w:rPr>
        <w:t>Charter</w:t>
      </w:r>
      <w:r w:rsidR="00F94DF1" w:rsidRPr="00F94DF1">
        <w:rPr>
          <w:sz w:val="20"/>
        </w:rPr>
        <w:t>. The standard imposed by s. 7 with respect to sentencing is the same as it is under s. 12.</w:t>
      </w:r>
      <w:r w:rsidR="00882854">
        <w:rPr>
          <w:sz w:val="20"/>
        </w:rPr>
        <w:t xml:space="preserve"> </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APPEAL from a judgment of the Ontario Court of Appeal (Rosenberg, Watt and Strathy JJ.A.), 2014 ONCA 627, 122 O.R. (3d) 97, 316 C.C.C. (3d) 87, 325 O.A.C. 17, 13 C.R. (7th) 30, 319 C.R.R. (2d) 36, [2014] O.J. No. 4194 (QL), 2014 CarswellOnt 12258 (WL Can.), affirming a sentencing decision of Block J., 2012 ONCJ 494, 265 C.R.R. (2d) 32, [2012] O.J. No. 3563 (QL), 2012 CarswellOnt 9292 (WL Can.). Appeal dismissed.</w:t>
      </w:r>
      <w:r>
        <w:rPr>
          <w:sz w:val="20"/>
        </w:rPr>
        <w:t xml:space="preserve"> </w:t>
      </w:r>
    </w:p>
    <w:p w:rsidR="002F5BF9" w:rsidRDefault="002F5BF9" w:rsidP="00F66947">
      <w:pPr>
        <w:jc w:val="both"/>
        <w:rPr>
          <w:sz w:val="20"/>
        </w:rPr>
      </w:pPr>
    </w:p>
    <w:p w:rsidR="00882854" w:rsidRDefault="00882854" w:rsidP="00F66947">
      <w:pPr>
        <w:jc w:val="both"/>
        <w:rPr>
          <w:rStyle w:val="SCCCounselPartyRoleChar"/>
          <w:rFonts w:eastAsiaTheme="minorHAnsi"/>
          <w:sz w:val="20"/>
        </w:rPr>
      </w:pPr>
      <w:r>
        <w:rPr>
          <w:sz w:val="20"/>
        </w:rPr>
        <w:tab/>
      </w:r>
      <w:r w:rsidR="00F94DF1" w:rsidRPr="00F94DF1">
        <w:rPr>
          <w:rStyle w:val="SCCCounselNameChar"/>
          <w:rFonts w:eastAsiaTheme="minorHAnsi"/>
          <w:sz w:val="20"/>
        </w:rPr>
        <w:t>Roger A. Pinnock</w:t>
      </w:r>
      <w:r w:rsidR="00F94DF1" w:rsidRPr="00F94DF1">
        <w:rPr>
          <w:rStyle w:val="SCCCounselPartyRoleChar"/>
          <w:rFonts w:eastAsiaTheme="minorHAnsi"/>
          <w:sz w:val="20"/>
        </w:rPr>
        <w:t>, for the appellant.</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Jill R. Presser</w:t>
      </w:r>
      <w:r w:rsidR="00F94DF1" w:rsidRPr="00F94DF1">
        <w:rPr>
          <w:rStyle w:val="SCCCounselSeparatorChar"/>
          <w:rFonts w:eastAsiaTheme="minorHAnsi"/>
          <w:sz w:val="20"/>
          <w:lang w:val="en-CA"/>
        </w:rPr>
        <w:t xml:space="preserve">, </w:t>
      </w:r>
      <w:r w:rsidR="00F94DF1" w:rsidRPr="00F94DF1">
        <w:rPr>
          <w:rStyle w:val="SCCCounselNameChar"/>
          <w:rFonts w:eastAsiaTheme="minorHAnsi"/>
          <w:sz w:val="20"/>
        </w:rPr>
        <w:t>Andrew Menchynski</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Timothy J. Lutes</w:t>
      </w:r>
      <w:r w:rsidR="00F94DF1" w:rsidRPr="00F94DF1">
        <w:rPr>
          <w:rStyle w:val="SCCCounselPartyRoleChar"/>
          <w:rFonts w:eastAsiaTheme="minorHAnsi"/>
          <w:sz w:val="20"/>
        </w:rPr>
        <w:t>, for the respondent.</w:t>
      </w:r>
      <w:r>
        <w:rPr>
          <w:rStyle w:val="SCCCounselPartyRoleChar"/>
          <w:rFonts w:eastAsiaTheme="minorHAnsi"/>
          <w:sz w:val="20"/>
        </w:rPr>
        <w:t xml:space="preserve"> </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Sharlene Telles</w:t>
      </w:r>
      <w:r w:rsidR="00F94DF1" w:rsidRPr="00F94DF1">
        <w:rPr>
          <w:rStyle w:val="SCCCounselNameChar"/>
          <w:rFonts w:eastAsiaTheme="minorHAnsi"/>
          <w:sz w:val="20"/>
        </w:rPr>
        <w:noBreakHyphen/>
        <w:t>Langdon</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Kathryn Hucal</w:t>
      </w:r>
      <w:r w:rsidR="00F94DF1" w:rsidRPr="00F94DF1">
        <w:rPr>
          <w:rStyle w:val="SCCCounselPartyRoleChar"/>
          <w:rFonts w:eastAsiaTheme="minorHAnsi"/>
          <w:sz w:val="20"/>
        </w:rPr>
        <w:t>, for the intervener the Attorney General of Canada.</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Nader R. Hasan</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Justin Safayeni</w:t>
      </w:r>
      <w:r w:rsidR="00F94DF1" w:rsidRPr="00F94DF1">
        <w:rPr>
          <w:rStyle w:val="SCCCounselPartyRoleChar"/>
          <w:rFonts w:eastAsiaTheme="minorHAnsi"/>
          <w:sz w:val="20"/>
        </w:rPr>
        <w:t>, for the intervener the British Columbia Civil Liberties Association.</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Ingrid Grant</w:t>
      </w:r>
      <w:r w:rsidR="00F94DF1" w:rsidRPr="00F94DF1">
        <w:rPr>
          <w:rStyle w:val="SCCCounselPartyRoleChar"/>
          <w:rFonts w:eastAsiaTheme="minorHAnsi"/>
          <w:sz w:val="20"/>
        </w:rPr>
        <w:t>, for the intervener the Criminal Lawyers’ Association (Ontario).</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Andrew S. Faith</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Jeffrey Haylock</w:t>
      </w:r>
      <w:r w:rsidR="00F94DF1" w:rsidRPr="00F94DF1">
        <w:rPr>
          <w:rStyle w:val="SCCCounselPartyRoleChar"/>
          <w:rFonts w:eastAsiaTheme="minorHAnsi"/>
          <w:sz w:val="20"/>
        </w:rPr>
        <w:t>, for the intervener the John Howard Society of Canada.</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Greg J. Allen</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Kenneth K. Leung</w:t>
      </w:r>
      <w:r w:rsidR="00F94DF1" w:rsidRPr="00F94DF1">
        <w:rPr>
          <w:rStyle w:val="SCCCounselPartyRoleChar"/>
          <w:rFonts w:eastAsiaTheme="minorHAnsi"/>
          <w:sz w:val="20"/>
        </w:rPr>
        <w:t>, for the intervener the West Coast Prison Justice Society.</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F94DF1">
        <w:rPr>
          <w:rStyle w:val="SCCCounselNameChar"/>
          <w:rFonts w:eastAsiaTheme="minorHAnsi"/>
          <w:sz w:val="20"/>
        </w:rPr>
        <w:t>Jonathan Rudin</w:t>
      </w:r>
      <w:r w:rsidR="00F94DF1" w:rsidRPr="00F94DF1">
        <w:rPr>
          <w:rStyle w:val="SCCCounselSeparatorChar"/>
          <w:rFonts w:eastAsiaTheme="minorHAnsi"/>
          <w:sz w:val="20"/>
          <w:lang w:val="en-CA"/>
        </w:rPr>
        <w:t xml:space="preserve"> and </w:t>
      </w:r>
      <w:r w:rsidR="00F94DF1" w:rsidRPr="00F94DF1">
        <w:rPr>
          <w:rStyle w:val="SCCCounselNameChar"/>
          <w:rFonts w:eastAsiaTheme="minorHAnsi"/>
          <w:sz w:val="20"/>
        </w:rPr>
        <w:t>Emily Hill</w:t>
      </w:r>
      <w:r w:rsidR="00F94DF1" w:rsidRPr="00F94DF1">
        <w:rPr>
          <w:rStyle w:val="SCCCounselPartyRoleChar"/>
          <w:rFonts w:eastAsiaTheme="minorHAnsi"/>
          <w:sz w:val="20"/>
        </w:rPr>
        <w:t>, for the intervener the Aboriginal Legal Services of Toronto Inc.</w:t>
      </w:r>
    </w:p>
    <w:p w:rsidR="002F5BF9" w:rsidRDefault="002F5BF9" w:rsidP="00F66947">
      <w:pPr>
        <w:jc w:val="both"/>
        <w:rPr>
          <w:rStyle w:val="SCCCounselPartyRoleChar"/>
          <w:rFonts w:eastAsiaTheme="minorHAnsi"/>
          <w:sz w:val="20"/>
        </w:rPr>
      </w:pPr>
    </w:p>
    <w:p w:rsidR="00882854" w:rsidRDefault="00882854" w:rsidP="00F66947">
      <w:pPr>
        <w:jc w:val="both"/>
        <w:rPr>
          <w:sz w:val="20"/>
        </w:rPr>
      </w:pPr>
      <w:r>
        <w:rPr>
          <w:rStyle w:val="SCCCounselPartyRoleChar"/>
          <w:rFonts w:eastAsiaTheme="minorHAnsi"/>
          <w:sz w:val="20"/>
        </w:rPr>
        <w:tab/>
      </w:r>
      <w:r w:rsidR="00F94DF1" w:rsidRPr="00F94DF1">
        <w:rPr>
          <w:sz w:val="20"/>
        </w:rPr>
        <w:t>Solicitor for the appellant: Attorney General of Ontario, Toronto.</w:t>
      </w:r>
      <w:r>
        <w:rPr>
          <w:sz w:val="20"/>
        </w:rPr>
        <w:t xml:space="preserve"> </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Solicitors for the respondent: Presser Barristers, Toronto; Timothy J. Lutes, Toronto.</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 for the intervener the Attorney General of Canada: Attorney General of Canada, Winnipeg.</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Solicitors for the intervener the British Columbia Civil Liberties Association: Stockwoods, Toronto.</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Solicitors for the intervener the Criminal Lawyers’ Association (Ontario): Russel Silverstein &amp; Associate, Toronto.</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Solicitors for the intervener the John Howard Society of Canada: Polley Faith, Toronto.</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Solicitors for the intervener the West Coast Prison Justice Society: Hunter Litigation Chambers, Vancouver.</w:t>
      </w:r>
    </w:p>
    <w:p w:rsidR="002F5BF9" w:rsidRDefault="002F5BF9" w:rsidP="00F66947">
      <w:pPr>
        <w:jc w:val="both"/>
        <w:rPr>
          <w:sz w:val="20"/>
        </w:rPr>
      </w:pPr>
    </w:p>
    <w:p w:rsidR="00882854" w:rsidRDefault="00882854" w:rsidP="00F66947">
      <w:pPr>
        <w:jc w:val="both"/>
        <w:rPr>
          <w:sz w:val="20"/>
        </w:rPr>
      </w:pPr>
      <w:r>
        <w:rPr>
          <w:sz w:val="20"/>
        </w:rPr>
        <w:tab/>
      </w:r>
      <w:r w:rsidR="00F94DF1" w:rsidRPr="00F94DF1">
        <w:rPr>
          <w:sz w:val="20"/>
        </w:rPr>
        <w:t>Solicitor for the intervener the Aboriginal Legal Services of Toronto Inc.: Aboriginal Legal Services of Toronto, Toronto.</w:t>
      </w:r>
      <w:r>
        <w:rPr>
          <w:sz w:val="20"/>
        </w:rPr>
        <w:t xml:space="preserve"> </w:t>
      </w:r>
    </w:p>
    <w:p w:rsidR="00F94DF1" w:rsidRDefault="00F94DF1" w:rsidP="00F66947">
      <w:pPr>
        <w:jc w:val="both"/>
        <w:rPr>
          <w:sz w:val="20"/>
          <w:lang w:val="fr-CA"/>
        </w:rPr>
      </w:pPr>
      <w:r w:rsidRPr="00165F6D">
        <w:rPr>
          <w:sz w:val="20"/>
          <w:lang w:val="fr-CA"/>
        </w:rPr>
        <w:t>_______________________</w:t>
      </w:r>
    </w:p>
    <w:p w:rsidR="002F5BF9" w:rsidRDefault="002F5BF9" w:rsidP="00F66947">
      <w:pPr>
        <w:jc w:val="both"/>
        <w:rPr>
          <w:sz w:val="20"/>
          <w:lang w:val="fr-CA"/>
        </w:rPr>
      </w:pPr>
    </w:p>
    <w:p w:rsidR="00882854" w:rsidRDefault="00F94DF1" w:rsidP="00F66947">
      <w:pPr>
        <w:jc w:val="both"/>
        <w:rPr>
          <w:sz w:val="20"/>
          <w:szCs w:val="20"/>
          <w:lang w:val="fr-CA"/>
        </w:rPr>
      </w:pPr>
      <w:r w:rsidRPr="009974BA">
        <w:rPr>
          <w:sz w:val="20"/>
          <w:szCs w:val="20"/>
          <w:lang w:val="fr-CA"/>
        </w:rPr>
        <w:t>Présents : La juge en chef McLachlin et les juges Abella, Cromwell, Moldaver, Karakatsanis, Wagner, Gascon, Côté et Brown.</w:t>
      </w:r>
      <w:r w:rsidR="00882854">
        <w:rPr>
          <w:sz w:val="20"/>
          <w:szCs w:val="20"/>
          <w:lang w:val="fr-CA"/>
        </w:rPr>
        <w:t xml:space="preserve"> </w:t>
      </w:r>
    </w:p>
    <w:p w:rsidR="002F5BF9" w:rsidRDefault="002F5BF9" w:rsidP="00F66947">
      <w:pPr>
        <w:jc w:val="both"/>
        <w:rPr>
          <w:sz w:val="20"/>
          <w:szCs w:val="20"/>
          <w:lang w:val="fr-CA"/>
        </w:rPr>
      </w:pPr>
    </w:p>
    <w:p w:rsidR="00882854" w:rsidRDefault="00882854" w:rsidP="00F66947">
      <w:pPr>
        <w:jc w:val="both"/>
        <w:rPr>
          <w:i/>
          <w:sz w:val="20"/>
          <w:lang w:val="fr-CA"/>
        </w:rPr>
      </w:pPr>
      <w:r>
        <w:rPr>
          <w:sz w:val="20"/>
          <w:szCs w:val="20"/>
          <w:lang w:val="fr-CA"/>
        </w:rPr>
        <w:tab/>
      </w:r>
      <w:r w:rsidR="00F94DF1" w:rsidRPr="009974BA">
        <w:rPr>
          <w:i/>
          <w:sz w:val="20"/>
          <w:lang w:val="fr-CA"/>
        </w:rPr>
        <w:t>Droit constitutionnel — Charte des droits — Justice fondamentale — Portée excessive — Détermination de la peine — Crédit pour détention présentencielle — Exclusion par le Code criminel de la majoration du crédit dans certaines circonstances — L’exclusion du crédit majoré pour détention présentencielle dans le cas des délinquants qui se voient refuser leur mise en liberté sous caution principalement en raison d’une condamnation antérieure a</w:t>
      </w:r>
      <w:r w:rsidR="00F94DF1" w:rsidRPr="009974BA">
        <w:rPr>
          <w:i/>
          <w:sz w:val="20"/>
          <w:lang w:val="fr-CA"/>
        </w:rPr>
        <w:noBreakHyphen/>
        <w:t>t</w:t>
      </w:r>
      <w:r w:rsidR="00F94DF1" w:rsidRPr="009974BA">
        <w:rPr>
          <w:i/>
          <w:sz w:val="20"/>
          <w:lang w:val="fr-CA"/>
        </w:rPr>
        <w:noBreakHyphen/>
        <w:t>elle une portée excessive de manière à contrevenir à l’art. 7 de la Charte canadienne des droits et libertés?</w:t>
      </w:r>
      <w:r w:rsidR="00F94DF1" w:rsidRPr="009974BA">
        <w:rPr>
          <w:sz w:val="20"/>
          <w:lang w:val="fr-CA"/>
        </w:rPr>
        <w:t xml:space="preserve"> </w:t>
      </w:r>
      <w:r w:rsidR="00F94DF1" w:rsidRPr="009974BA">
        <w:rPr>
          <w:i/>
          <w:sz w:val="20"/>
          <w:lang w:val="fr-CA"/>
        </w:rPr>
        <w:t>— Dans l’affirmative, l’atteinte est</w:t>
      </w:r>
      <w:r w:rsidR="00F94DF1" w:rsidRPr="009974BA">
        <w:rPr>
          <w:i/>
          <w:sz w:val="20"/>
          <w:lang w:val="fr-CA"/>
        </w:rPr>
        <w:noBreakHyphen/>
        <w:t>elle justifiable au regard de l’article premier de la Charte? — Code criminel, L.R.C. 1985, c. C</w:t>
      </w:r>
      <w:r w:rsidR="00F94DF1" w:rsidRPr="009974BA">
        <w:rPr>
          <w:i/>
          <w:sz w:val="20"/>
          <w:lang w:val="fr-CA"/>
        </w:rPr>
        <w:noBreakHyphen/>
        <w:t>46, art. 515(9.1), 719(3.1).</w:t>
      </w:r>
      <w:r>
        <w:rPr>
          <w:i/>
          <w:sz w:val="20"/>
          <w:lang w:val="fr-CA"/>
        </w:rPr>
        <w:t xml:space="preserve"> </w:t>
      </w:r>
    </w:p>
    <w:p w:rsidR="002F5BF9" w:rsidRDefault="002F5BF9" w:rsidP="00F66947">
      <w:pPr>
        <w:jc w:val="both"/>
        <w:rPr>
          <w:i/>
          <w:sz w:val="20"/>
          <w:lang w:val="fr-CA"/>
        </w:rPr>
      </w:pPr>
    </w:p>
    <w:p w:rsidR="00882854" w:rsidRDefault="00882854" w:rsidP="00F66947">
      <w:pPr>
        <w:jc w:val="both"/>
        <w:rPr>
          <w:i/>
          <w:sz w:val="20"/>
          <w:lang w:val="fr-CA"/>
        </w:rPr>
      </w:pPr>
      <w:r>
        <w:rPr>
          <w:i/>
          <w:sz w:val="20"/>
          <w:lang w:val="fr-CA"/>
        </w:rPr>
        <w:tab/>
      </w:r>
      <w:r w:rsidR="00F94DF1" w:rsidRPr="009974BA">
        <w:rPr>
          <w:i/>
          <w:sz w:val="20"/>
          <w:lang w:val="fr-CA"/>
        </w:rPr>
        <w:t>Droit constitutionnel — Charte des droits — Justice fondamentale —Détermination de la peine — La proportionnalité dans le processus de détermination de la peine constitue</w:t>
      </w:r>
      <w:r w:rsidR="00F94DF1" w:rsidRPr="009974BA">
        <w:rPr>
          <w:i/>
          <w:sz w:val="20"/>
          <w:lang w:val="fr-CA"/>
        </w:rPr>
        <w:noBreakHyphen/>
        <w:t>t</w:t>
      </w:r>
      <w:r w:rsidR="00F94DF1" w:rsidRPr="009974BA">
        <w:rPr>
          <w:i/>
          <w:sz w:val="20"/>
          <w:lang w:val="fr-CA"/>
        </w:rPr>
        <w:noBreakHyphen/>
        <w:t>elle un principe de justice fondamentale pour les besoins de l’art. 7 de la Charte canadienne des droits et libertés?</w:t>
      </w:r>
    </w:p>
    <w:p w:rsidR="002F5BF9" w:rsidRDefault="002F5BF9" w:rsidP="00F66947">
      <w:pPr>
        <w:jc w:val="both"/>
        <w:rPr>
          <w:i/>
          <w:sz w:val="20"/>
          <w:lang w:val="fr-CA"/>
        </w:rPr>
      </w:pPr>
    </w:p>
    <w:p w:rsidR="00882854" w:rsidRDefault="00882854" w:rsidP="00F66947">
      <w:pPr>
        <w:jc w:val="both"/>
        <w:rPr>
          <w:sz w:val="20"/>
          <w:lang w:val="fr-CA"/>
        </w:rPr>
      </w:pPr>
      <w:r>
        <w:rPr>
          <w:i/>
          <w:sz w:val="20"/>
          <w:lang w:val="fr-CA"/>
        </w:rPr>
        <w:tab/>
      </w:r>
      <w:r w:rsidR="00F94DF1" w:rsidRPr="009974BA">
        <w:rPr>
          <w:sz w:val="20"/>
          <w:lang w:val="fr-CA"/>
        </w:rPr>
        <w:t xml:space="preserve">Les tribunaux appelés à déterminer la peine ont, par le passé, majoré le crédit accordé pour la durée de la détention présentencielle, habituellement à raison de deux jours contre un. La </w:t>
      </w:r>
      <w:r w:rsidR="00F94DF1" w:rsidRPr="009974BA">
        <w:rPr>
          <w:i/>
          <w:sz w:val="20"/>
          <w:lang w:val="fr-CA"/>
        </w:rPr>
        <w:t xml:space="preserve">Loi sur l’adéquation de la peine et du crime </w:t>
      </w:r>
      <w:r w:rsidR="00F94DF1" w:rsidRPr="009974BA">
        <w:rPr>
          <w:sz w:val="20"/>
          <w:lang w:val="fr-CA"/>
        </w:rPr>
        <w:t xml:space="preserve">a modifié le </w:t>
      </w:r>
      <w:r w:rsidR="00F94DF1" w:rsidRPr="009974BA">
        <w:rPr>
          <w:i/>
          <w:sz w:val="20"/>
          <w:lang w:val="fr-CA"/>
        </w:rPr>
        <w:t>Code criminel</w:t>
      </w:r>
      <w:r w:rsidR="00F94DF1" w:rsidRPr="009974BA">
        <w:rPr>
          <w:sz w:val="20"/>
          <w:lang w:val="fr-CA"/>
        </w:rPr>
        <w:t xml:space="preserve"> de sorte qu’un jour de crédit soit généralement alloué pour chaque jour de détention présentencielle et qu’un crédit majoré d’au plus un jour et demi puisse être alloué si les circonstances le justifient. Suivant le par. 719(3.1) du </w:t>
      </w:r>
      <w:r w:rsidR="00F94DF1" w:rsidRPr="009974BA">
        <w:rPr>
          <w:i/>
          <w:sz w:val="20"/>
          <w:lang w:val="fr-CA"/>
        </w:rPr>
        <w:t>Code</w:t>
      </w:r>
      <w:r w:rsidR="00F94DF1" w:rsidRPr="009974BA">
        <w:rPr>
          <w:sz w:val="20"/>
          <w:lang w:val="fr-CA"/>
        </w:rPr>
        <w:t xml:space="preserve">, un crédit majoré ne peut être accordé à une personne qui se voit refuser la mise en liberté sous caution principalement en raison d’une condamnation antérieure. Arrêté, puis accusé de plusieurs infractions, M a consenti à demeurer sous garde. À l’enquête sur la mise en liberté sous caution, la juge a conclu que le par. 515(9.1) l’obligeait à inscrire au dossier que M demeurait détenu principalement en raison de son casier judiciaire. Cette inscription rendait M inadmissible à un crédit majoré pour détention présentencielle. Le juge chargé de la détermination de la peine a conclu à l’inconstitutionnalité de l’exclusion du crédit majoré prévue au par. 719(3.1) du </w:t>
      </w:r>
      <w:r w:rsidR="00F94DF1" w:rsidRPr="009974BA">
        <w:rPr>
          <w:i/>
          <w:sz w:val="20"/>
          <w:lang w:val="fr-CA"/>
        </w:rPr>
        <w:t>Code</w:t>
      </w:r>
      <w:r w:rsidR="00F94DF1" w:rsidRPr="009974BA">
        <w:rPr>
          <w:sz w:val="20"/>
          <w:lang w:val="fr-CA"/>
        </w:rPr>
        <w:t>. La Cour d’appel de l’Ontario s’est rangée à cet avis et a déclaré le par. 719(3.1) inopérant.</w:t>
      </w:r>
      <w:r>
        <w:rPr>
          <w:sz w:val="20"/>
          <w:lang w:val="fr-CA"/>
        </w:rPr>
        <w:t xml:space="preserve"> </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i/>
          <w:sz w:val="20"/>
          <w:lang w:val="fr-CA"/>
        </w:rPr>
        <w:t>Arrêt</w:t>
      </w:r>
      <w:r w:rsidR="00F94DF1" w:rsidRPr="009974BA">
        <w:rPr>
          <w:sz w:val="20"/>
          <w:lang w:val="fr-CA"/>
        </w:rPr>
        <w:t> : Le pourvoi est rejeté.</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L’exclusion du crédit majoré pour détention présentencielle dans le cas des délinquants qui se voient refuser leur mise en liberté sous caution principalement en raison d’une condamnation antérieure a une portée excessive parce qu’elle s’applique selon des modalités qui n’ont rien à voir avec l’objectif législatif qui sous</w:t>
      </w:r>
      <w:r w:rsidR="00F94DF1" w:rsidRPr="009974BA">
        <w:rPr>
          <w:sz w:val="20"/>
          <w:lang w:val="fr-CA"/>
        </w:rPr>
        <w:noBreakHyphen/>
        <w:t xml:space="preserve">tend le par. 719(3.1) du </w:t>
      </w:r>
      <w:r w:rsidR="00F94DF1" w:rsidRPr="009974BA">
        <w:rPr>
          <w:i/>
          <w:sz w:val="20"/>
          <w:lang w:val="fr-CA"/>
        </w:rPr>
        <w:t>Code</w:t>
      </w:r>
      <w:r w:rsidR="00F94DF1" w:rsidRPr="009974BA">
        <w:rPr>
          <w:sz w:val="20"/>
          <w:lang w:val="fr-CA"/>
        </w:rPr>
        <w:t xml:space="preserve">, à savoir l’accroissement de la sûreté et de la sécurité publiques. Ce paragraphe contrevient donc à l’art. 7 de la </w:t>
      </w:r>
      <w:r w:rsidR="00F94DF1" w:rsidRPr="009974BA">
        <w:rPr>
          <w:i/>
          <w:sz w:val="20"/>
          <w:lang w:val="fr-CA"/>
        </w:rPr>
        <w:t>Charte</w:t>
      </w:r>
      <w:r w:rsidR="00F94DF1" w:rsidRPr="009974BA">
        <w:rPr>
          <w:sz w:val="20"/>
          <w:lang w:val="fr-CA"/>
        </w:rPr>
        <w:t>.</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Le par. 719(3.1) restreint manifestement la liberté. Il oblige le délinquant qui tombe sous le coup de son libellé à purger une peine d’emprisonnement plus longue que celle qu’il aurait purgée autrement. La règle de droit qui limite la liberté d’une manière excessive ne respecte pas les principes de justice fondamentale.</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 xml:space="preserve">La première mesure à prendre pour se prononcer sur la portée excessive est de circonscrire l’objectif de la règle de droit contestée. Lorsqu’il s’agit de déterminer l’objectif de la règle de droit, le tribunal considère son énoncé dans le texte de loi, s’il en est, le texte, le contexte et l’économie de la loi, ainsi que des éléments de preuve extrinsèques tels que l’historique du texte de loi et son évolution. Dans sa présentation de la </w:t>
      </w:r>
      <w:r w:rsidR="00F94DF1" w:rsidRPr="009974BA">
        <w:rPr>
          <w:i/>
          <w:sz w:val="20"/>
          <w:lang w:val="fr-CA"/>
        </w:rPr>
        <w:t>Loi sur l’adéquation de la peine et du crime</w:t>
      </w:r>
      <w:r w:rsidR="00F94DF1" w:rsidRPr="009974BA">
        <w:rPr>
          <w:sz w:val="20"/>
          <w:lang w:val="fr-CA"/>
        </w:rPr>
        <w:t xml:space="preserve"> au Parlement, le ministre de la Justice a expliqué que l’exclusion du crédit majoré visait à promouvoir la sûreté publique et la confiance des citoyens dans le système de justice par l’infliction de peines d’une durée accrue aux criminels violents et aux récidivistes, ainsi que par l’accroissement de l’accès de ces derniers à des programmes de réadaptation. Étant donné le texte, le contexte et l’économie de la loi, ainsi que les déclarations du ministre sur son objectif, la valeur sociale directrice derrière l’exclusion du crédit majoré est l’accroissement de la confiance du public dans le système de justice. L’objectif</w:t>
      </w:r>
      <w:r w:rsidR="00F94DF1" w:rsidRPr="009974BA">
        <w:rPr>
          <w:i/>
          <w:sz w:val="20"/>
          <w:lang w:val="fr-CA"/>
        </w:rPr>
        <w:t xml:space="preserve"> </w:t>
      </w:r>
      <w:r w:rsidR="00F94DF1" w:rsidRPr="009974BA">
        <w:rPr>
          <w:sz w:val="20"/>
          <w:lang w:val="fr-CA"/>
        </w:rPr>
        <w:t xml:space="preserve">législatif de l’exclusion totale du crédit majoré dans le cas des délinquants qui se voient refuser leur mise en liberté sous caution en raison d’une condamnation antérieure est d’accroître la sûreté et la sécurité publiques grâce à un accès accru des délinquants violents et chroniques à des programmes de réadaptation. Le moyen retenu pour atteindre l’objectif législatif correspond à la disposition contestée comme telle, et la disposition a pour effet de prévoir une période de détention d’une durée accrue dans le cas de toute personne dont le dossier de l’instance renferme une inscription conformément au par. 515(9.1) du </w:t>
      </w:r>
      <w:r w:rsidR="00F94DF1" w:rsidRPr="009974BA">
        <w:rPr>
          <w:i/>
          <w:sz w:val="20"/>
          <w:lang w:val="fr-CA"/>
        </w:rPr>
        <w:t>Code</w:t>
      </w:r>
      <w:r w:rsidR="00F94DF1" w:rsidRPr="009974BA">
        <w:rPr>
          <w:sz w:val="20"/>
          <w:lang w:val="fr-CA"/>
        </w:rPr>
        <w:t>.</w:t>
      </w:r>
      <w:r>
        <w:rPr>
          <w:sz w:val="20"/>
          <w:lang w:val="fr-CA"/>
        </w:rPr>
        <w:t xml:space="preserve"> </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Il est un principe de justice fondamentale selon lequel la disposition qui porte atteinte au droit d’une personne à la vie, à la liberté ou à la sécurité ne doit pas le faire de manière excessive. Elle doit s’en tenir à ce qui est raisonnablement nécessaire pour atteindre les objectifs législatifs. La disposition en cause s’applique à des personnes auxquelles elle n’est pas censée s’appliquer, à savoir des délinquants qui ne constituent pas une menace pour la sûreté et la sécurité publiques. Le par. 515(9.1) omet de préciser, voire d’indiquer en gros, quelles infractions justifient une inscription, et l’accès restreint à la révision judiciaire fait en sorte que la personne dont le dossier renferme à tort une inscription est dépourvue de tout recours pour faire corriger l’erreur.</w:t>
      </w:r>
      <w:r>
        <w:rPr>
          <w:sz w:val="20"/>
          <w:lang w:val="fr-CA"/>
        </w:rPr>
        <w:t xml:space="preserve"> </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 xml:space="preserve">L’atteinte à l’art. 7 de la </w:t>
      </w:r>
      <w:r w:rsidR="00F94DF1" w:rsidRPr="009974BA">
        <w:rPr>
          <w:i/>
          <w:sz w:val="20"/>
          <w:lang w:val="fr-CA"/>
        </w:rPr>
        <w:t>Charte</w:t>
      </w:r>
      <w:r w:rsidR="00F94DF1" w:rsidRPr="009974BA">
        <w:rPr>
          <w:sz w:val="20"/>
          <w:lang w:val="fr-CA"/>
        </w:rPr>
        <w:t xml:space="preserve"> n’est pas justifiée par application de l’article premier. La disposition contestée a un lien rationnel avec son objectif d’accroître la sûreté et la sécurité publiques, mais elle ne porte pas atteinte le moins possible au droit en cause et elle n’est pas proportionnée. Des moyens différents et plus raisonnables s’offraient au législateur pour atteindre ses objectifs. Les effets bénéfiques sur la sûreté publique qui découlent de l’accès accru à des programmes de réadaptation ne sont pas négligeables, mais la portée excessive de la règle de droit fait en sorte qu’un délinquant qui n’a pas commis une infraction de violence et qui ne présente pas non plus un risque pour la sûreté publique se voit inutilement privé de liberté.</w:t>
      </w:r>
      <w:r>
        <w:rPr>
          <w:sz w:val="20"/>
          <w:lang w:val="fr-CA"/>
        </w:rPr>
        <w:t xml:space="preserve"> </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 xml:space="preserve">La Cour d’appel a eu tort de statuer que la proportionnalité dans le processus de détermination de la peine constitue un principe de justice fondamentale au sens de l’art. 7 de la </w:t>
      </w:r>
      <w:r w:rsidR="00F94DF1" w:rsidRPr="009974BA">
        <w:rPr>
          <w:i/>
          <w:sz w:val="20"/>
          <w:lang w:val="fr-CA"/>
        </w:rPr>
        <w:t>Charte</w:t>
      </w:r>
      <w:r w:rsidR="00F94DF1" w:rsidRPr="009974BA">
        <w:rPr>
          <w:sz w:val="20"/>
          <w:lang w:val="fr-CA"/>
        </w:rPr>
        <w:t xml:space="preserve">. Les principes et les objectifs de la détermination d’une peine juste, énoncés aux art. 718 et suivants du </w:t>
      </w:r>
      <w:r w:rsidR="00F94DF1" w:rsidRPr="009974BA">
        <w:rPr>
          <w:i/>
          <w:sz w:val="20"/>
          <w:lang w:val="fr-CA"/>
        </w:rPr>
        <w:t>Code</w:t>
      </w:r>
      <w:r w:rsidR="00F94DF1" w:rsidRPr="009974BA">
        <w:rPr>
          <w:sz w:val="20"/>
          <w:lang w:val="fr-CA"/>
        </w:rPr>
        <w:t xml:space="preserve">, y compris le principe fondamental de proportionnalité inscrit à l’art. 718.1, ne bénéficient pas de la protection constitutionnelle. La dimension constitutionnelle de la proportionnalité de la peine réside dans le fait que l’art. 12 de la </w:t>
      </w:r>
      <w:r w:rsidR="00F94DF1" w:rsidRPr="009974BA">
        <w:rPr>
          <w:i/>
          <w:sz w:val="20"/>
          <w:lang w:val="fr-CA"/>
        </w:rPr>
        <w:t>Charte</w:t>
      </w:r>
      <w:r w:rsidR="00F94DF1" w:rsidRPr="009974BA">
        <w:rPr>
          <w:sz w:val="20"/>
          <w:lang w:val="fr-CA"/>
        </w:rPr>
        <w:t xml:space="preserve"> interdit l’infliction d’une peine qui serait exagérément disproportionnée. La norme qu’impose l’art. 7 au chapitre de la détermination de la peine est la même que pour l’art. 12.</w:t>
      </w:r>
      <w:r>
        <w:rPr>
          <w:sz w:val="20"/>
          <w:lang w:val="fr-CA"/>
        </w:rPr>
        <w:t xml:space="preserve"> </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POURVOI contre un arrêt de la Cour d’appel de l’Ontario (les juges Rosenberg, Watt et Strathy), 2014 ONCA 627, 122 O.R. (3d) 97, 316 C.C.C. (3d) 87, 325 O.A.C. 17, 13 C.R. (7th) 30, 319 C.R.R. (2d) 36, [2014] O.J. No. 4194 (QL), 2014 CarswellOnt 12258 (WL Can.), qui a confirmé une décision du juge Block relative à la détermination de la peine, 2012 ONCJ 494, 265 C.R.R. (2d) 32, [2012] O.J. No. 3563 (QL), 2012 CarswellOnt 9292 (WL Can.). Pourvoi rejeté.</w:t>
      </w:r>
      <w:r>
        <w:rPr>
          <w:sz w:val="20"/>
          <w:lang w:val="fr-CA"/>
        </w:rPr>
        <w:t xml:space="preserve"> </w:t>
      </w:r>
    </w:p>
    <w:p w:rsidR="002F5BF9" w:rsidRDefault="002F5BF9" w:rsidP="00F66947">
      <w:pPr>
        <w:jc w:val="both"/>
        <w:rPr>
          <w:sz w:val="20"/>
          <w:lang w:val="fr-CA"/>
        </w:rPr>
      </w:pPr>
    </w:p>
    <w:p w:rsidR="00882854" w:rsidRDefault="00882854" w:rsidP="00F66947">
      <w:pPr>
        <w:jc w:val="both"/>
        <w:rPr>
          <w:rStyle w:val="SCCCounselPartyRoleChar"/>
          <w:rFonts w:eastAsiaTheme="minorHAnsi"/>
          <w:sz w:val="20"/>
          <w:lang w:val="fr-CA"/>
        </w:rPr>
      </w:pPr>
      <w:r>
        <w:rPr>
          <w:sz w:val="20"/>
          <w:lang w:val="fr-CA"/>
        </w:rPr>
        <w:tab/>
      </w:r>
      <w:r w:rsidR="00F94DF1" w:rsidRPr="009974BA">
        <w:rPr>
          <w:rStyle w:val="SCCCounselNameChar"/>
          <w:rFonts w:eastAsiaTheme="minorHAnsi"/>
          <w:sz w:val="20"/>
          <w:lang w:val="fr-CA"/>
        </w:rPr>
        <w:t>Roger A. Pinnock</w:t>
      </w:r>
      <w:r w:rsidR="00F94DF1" w:rsidRPr="009974BA">
        <w:rPr>
          <w:rStyle w:val="SCCCounselPartyRoleChar"/>
          <w:rFonts w:eastAsiaTheme="minorHAnsi"/>
          <w:sz w:val="20"/>
          <w:lang w:val="fr-CA"/>
        </w:rPr>
        <w:t>, pour l’appelante.</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lang w:val="fr-CA"/>
        </w:rPr>
      </w:pPr>
      <w:r>
        <w:rPr>
          <w:rStyle w:val="SCCCounselPartyRoleChar"/>
          <w:rFonts w:eastAsiaTheme="minorHAnsi"/>
          <w:sz w:val="20"/>
          <w:lang w:val="fr-CA"/>
        </w:rPr>
        <w:tab/>
      </w:r>
      <w:r w:rsidR="00F94DF1" w:rsidRPr="009974BA">
        <w:rPr>
          <w:rStyle w:val="SCCCounselNameChar"/>
          <w:rFonts w:eastAsiaTheme="minorHAnsi"/>
          <w:sz w:val="20"/>
          <w:lang w:val="fr-CA"/>
        </w:rPr>
        <w:t>Jill R. Presser</w:t>
      </w:r>
      <w:r w:rsidR="00F94DF1" w:rsidRPr="009974BA">
        <w:rPr>
          <w:rStyle w:val="SCCCounselSeparatorChar"/>
          <w:rFonts w:eastAsiaTheme="minorHAnsi"/>
          <w:sz w:val="20"/>
        </w:rPr>
        <w:t xml:space="preserve">, </w:t>
      </w:r>
      <w:r w:rsidR="00F94DF1" w:rsidRPr="009974BA">
        <w:rPr>
          <w:rStyle w:val="SCCCounselNameChar"/>
          <w:rFonts w:eastAsiaTheme="minorHAnsi"/>
          <w:sz w:val="20"/>
          <w:lang w:val="fr-CA"/>
        </w:rPr>
        <w:t>Andrew Menchynski</w:t>
      </w:r>
      <w:r w:rsidR="00F94DF1" w:rsidRPr="009974BA">
        <w:rPr>
          <w:rStyle w:val="SCCCounselSeparatorChar"/>
          <w:rFonts w:eastAsiaTheme="minorHAnsi"/>
          <w:sz w:val="20"/>
        </w:rPr>
        <w:t xml:space="preserve"> et </w:t>
      </w:r>
      <w:r w:rsidR="00F94DF1" w:rsidRPr="009974BA">
        <w:rPr>
          <w:rStyle w:val="SCCCounselNameChar"/>
          <w:rFonts w:eastAsiaTheme="minorHAnsi"/>
          <w:sz w:val="20"/>
          <w:lang w:val="fr-CA"/>
        </w:rPr>
        <w:t>Timothy J. Lutes</w:t>
      </w:r>
      <w:r w:rsidR="00F94DF1" w:rsidRPr="009974BA">
        <w:rPr>
          <w:rStyle w:val="SCCCounselPartyRoleChar"/>
          <w:rFonts w:eastAsiaTheme="minorHAnsi"/>
          <w:sz w:val="20"/>
          <w:lang w:val="fr-CA"/>
        </w:rPr>
        <w:t>, pour l’intimé.</w:t>
      </w:r>
      <w:r>
        <w:rPr>
          <w:rStyle w:val="SCCCounselPartyRoleChar"/>
          <w:rFonts w:eastAsiaTheme="minorHAnsi"/>
          <w:sz w:val="20"/>
          <w:lang w:val="fr-CA"/>
        </w:rPr>
        <w:t xml:space="preserve"> </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lang w:val="fr-CA"/>
        </w:rPr>
      </w:pPr>
      <w:r>
        <w:rPr>
          <w:rStyle w:val="SCCCounselPartyRoleChar"/>
          <w:rFonts w:eastAsiaTheme="minorHAnsi"/>
          <w:sz w:val="20"/>
          <w:lang w:val="fr-CA"/>
        </w:rPr>
        <w:tab/>
      </w:r>
      <w:r w:rsidR="00F94DF1" w:rsidRPr="009974BA">
        <w:rPr>
          <w:rStyle w:val="SCCCounselNameChar"/>
          <w:rFonts w:eastAsiaTheme="minorHAnsi"/>
          <w:sz w:val="20"/>
          <w:lang w:val="fr-CA"/>
        </w:rPr>
        <w:t>Sharlene Telles</w:t>
      </w:r>
      <w:r w:rsidR="00F94DF1" w:rsidRPr="009974BA">
        <w:rPr>
          <w:rStyle w:val="SCCCounselNameChar"/>
          <w:rFonts w:eastAsiaTheme="minorHAnsi"/>
          <w:sz w:val="20"/>
          <w:lang w:val="fr-CA"/>
        </w:rPr>
        <w:noBreakHyphen/>
        <w:t>Langdon</w:t>
      </w:r>
      <w:r w:rsidR="00F94DF1" w:rsidRPr="009974BA">
        <w:rPr>
          <w:rStyle w:val="SCCCounselSeparatorChar"/>
          <w:rFonts w:eastAsiaTheme="minorHAnsi"/>
          <w:sz w:val="20"/>
        </w:rPr>
        <w:t xml:space="preserve"> et </w:t>
      </w:r>
      <w:r w:rsidR="00F94DF1" w:rsidRPr="009974BA">
        <w:rPr>
          <w:rStyle w:val="SCCCounselNameChar"/>
          <w:rFonts w:eastAsiaTheme="minorHAnsi"/>
          <w:sz w:val="20"/>
          <w:lang w:val="fr-CA"/>
        </w:rPr>
        <w:t>Kathryn Hucal</w:t>
      </w:r>
      <w:r w:rsidR="00F94DF1" w:rsidRPr="009974BA">
        <w:rPr>
          <w:rStyle w:val="SCCCounselPartyRoleChar"/>
          <w:rFonts w:eastAsiaTheme="minorHAnsi"/>
          <w:sz w:val="20"/>
          <w:lang w:val="fr-CA"/>
        </w:rPr>
        <w:t>, pour l’intervenant le procureur général du Canada.</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lang w:val="fr-CA"/>
        </w:rPr>
      </w:pPr>
      <w:r>
        <w:rPr>
          <w:rStyle w:val="SCCCounselPartyRoleChar"/>
          <w:rFonts w:eastAsiaTheme="minorHAnsi"/>
          <w:sz w:val="20"/>
          <w:lang w:val="fr-CA"/>
        </w:rPr>
        <w:tab/>
      </w:r>
      <w:r w:rsidR="00F94DF1" w:rsidRPr="009974BA">
        <w:rPr>
          <w:rStyle w:val="SCCCounselNameChar"/>
          <w:rFonts w:eastAsiaTheme="minorHAnsi"/>
          <w:sz w:val="20"/>
          <w:lang w:val="fr-CA"/>
        </w:rPr>
        <w:t>Nader R. Hasan</w:t>
      </w:r>
      <w:r w:rsidR="00F94DF1" w:rsidRPr="009974BA">
        <w:rPr>
          <w:rStyle w:val="SCCCounselSeparatorChar"/>
          <w:rFonts w:eastAsiaTheme="minorHAnsi"/>
          <w:sz w:val="20"/>
        </w:rPr>
        <w:t xml:space="preserve"> et </w:t>
      </w:r>
      <w:r w:rsidR="00F94DF1" w:rsidRPr="009974BA">
        <w:rPr>
          <w:rStyle w:val="SCCCounselNameChar"/>
          <w:rFonts w:eastAsiaTheme="minorHAnsi"/>
          <w:sz w:val="20"/>
          <w:lang w:val="fr-CA"/>
        </w:rPr>
        <w:t>Justin Safayeni</w:t>
      </w:r>
      <w:r w:rsidR="00F94DF1" w:rsidRPr="009974BA">
        <w:rPr>
          <w:rStyle w:val="SCCCounselPartyRoleChar"/>
          <w:rFonts w:eastAsiaTheme="minorHAnsi"/>
          <w:sz w:val="20"/>
          <w:lang w:val="fr-CA"/>
        </w:rPr>
        <w:t>, pour l’intervenante l’</w:t>
      </w:r>
      <w:r w:rsidR="00F94DF1" w:rsidRPr="009974BA">
        <w:rPr>
          <w:sz w:val="20"/>
          <w:lang w:val="fr-CA"/>
        </w:rPr>
        <w:t>Association des libertés civiles de la Colombie</w:t>
      </w:r>
      <w:r w:rsidR="00F94DF1" w:rsidRPr="009974BA">
        <w:rPr>
          <w:sz w:val="20"/>
          <w:lang w:val="fr-CA"/>
        </w:rPr>
        <w:noBreakHyphen/>
        <w:t>Britannique</w:t>
      </w:r>
      <w:r w:rsidR="00F94DF1" w:rsidRPr="009974BA">
        <w:rPr>
          <w:rStyle w:val="SCCCounselPartyRoleChar"/>
          <w:rFonts w:eastAsiaTheme="minorHAnsi"/>
          <w:sz w:val="20"/>
          <w:lang w:val="fr-CA"/>
        </w:rPr>
        <w:t>.</w:t>
      </w:r>
      <w:r>
        <w:rPr>
          <w:rStyle w:val="SCCCounselPartyRoleChar"/>
          <w:rFonts w:eastAsiaTheme="minorHAnsi"/>
          <w:sz w:val="20"/>
          <w:lang w:val="fr-CA"/>
        </w:rPr>
        <w:t xml:space="preserve"> </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lang w:val="fr-CA"/>
        </w:rPr>
      </w:pPr>
      <w:r>
        <w:rPr>
          <w:rStyle w:val="SCCCounselPartyRoleChar"/>
          <w:rFonts w:eastAsiaTheme="minorHAnsi"/>
          <w:sz w:val="20"/>
          <w:lang w:val="fr-CA"/>
        </w:rPr>
        <w:tab/>
      </w:r>
      <w:r w:rsidR="00F94DF1" w:rsidRPr="009974BA">
        <w:rPr>
          <w:rStyle w:val="SCCCounselNameChar"/>
          <w:rFonts w:eastAsiaTheme="minorHAnsi"/>
          <w:sz w:val="20"/>
          <w:lang w:val="fr-CA"/>
        </w:rPr>
        <w:t>Ingrid Grant</w:t>
      </w:r>
      <w:r w:rsidR="00F94DF1" w:rsidRPr="009974BA">
        <w:rPr>
          <w:rStyle w:val="SCCCounselPartyRoleChar"/>
          <w:rFonts w:eastAsiaTheme="minorHAnsi"/>
          <w:sz w:val="20"/>
          <w:lang w:val="fr-CA"/>
        </w:rPr>
        <w:t>, pour l’intervenante Criminal Lawyers’ Association (Ontario).</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lang w:val="fr-CA"/>
        </w:rPr>
      </w:pPr>
      <w:r>
        <w:rPr>
          <w:rStyle w:val="SCCCounselPartyRoleChar"/>
          <w:rFonts w:eastAsiaTheme="minorHAnsi"/>
          <w:sz w:val="20"/>
          <w:lang w:val="fr-CA"/>
        </w:rPr>
        <w:tab/>
      </w:r>
      <w:r w:rsidR="00F94DF1" w:rsidRPr="009974BA">
        <w:rPr>
          <w:rStyle w:val="SCCCounselNameChar"/>
          <w:rFonts w:eastAsiaTheme="minorHAnsi"/>
          <w:sz w:val="20"/>
          <w:lang w:val="fr-CA"/>
        </w:rPr>
        <w:t>Andrew S. Faith</w:t>
      </w:r>
      <w:r w:rsidR="00F94DF1" w:rsidRPr="009974BA">
        <w:rPr>
          <w:rStyle w:val="SCCCounselSeparatorChar"/>
          <w:rFonts w:eastAsiaTheme="minorHAnsi"/>
          <w:sz w:val="20"/>
        </w:rPr>
        <w:t xml:space="preserve"> et </w:t>
      </w:r>
      <w:r w:rsidR="00F94DF1" w:rsidRPr="009974BA">
        <w:rPr>
          <w:rStyle w:val="SCCCounselNameChar"/>
          <w:rFonts w:eastAsiaTheme="minorHAnsi"/>
          <w:sz w:val="20"/>
          <w:lang w:val="fr-CA"/>
        </w:rPr>
        <w:t>Jeffrey Haylock</w:t>
      </w:r>
      <w:r w:rsidR="00F94DF1" w:rsidRPr="009974BA">
        <w:rPr>
          <w:rStyle w:val="SCCCounselPartyRoleChar"/>
          <w:rFonts w:eastAsiaTheme="minorHAnsi"/>
          <w:sz w:val="20"/>
          <w:lang w:val="fr-CA"/>
        </w:rPr>
        <w:t xml:space="preserve">, pour l’intervenante </w:t>
      </w:r>
      <w:r w:rsidR="00F94DF1" w:rsidRPr="009974BA">
        <w:rPr>
          <w:sz w:val="20"/>
          <w:lang w:val="fr-CA"/>
        </w:rPr>
        <w:t>Société John Howard du Canada</w:t>
      </w:r>
      <w:r w:rsidR="00F94DF1" w:rsidRPr="009974BA">
        <w:rPr>
          <w:rStyle w:val="SCCCounselPartyRoleChar"/>
          <w:rFonts w:eastAsiaTheme="minorHAnsi"/>
          <w:sz w:val="20"/>
          <w:lang w:val="fr-CA"/>
        </w:rPr>
        <w:t>.</w:t>
      </w:r>
    </w:p>
    <w:p w:rsidR="002F5BF9" w:rsidRDefault="002F5BF9" w:rsidP="00F66947">
      <w:pPr>
        <w:jc w:val="both"/>
        <w:rPr>
          <w:rStyle w:val="SCCCounselPartyRoleChar"/>
          <w:rFonts w:eastAsiaTheme="minorHAnsi"/>
          <w:sz w:val="20"/>
          <w:lang w:val="fr-CA"/>
        </w:rPr>
      </w:pPr>
    </w:p>
    <w:p w:rsidR="00882854" w:rsidRDefault="00882854" w:rsidP="00F66947">
      <w:pPr>
        <w:jc w:val="both"/>
        <w:rPr>
          <w:rStyle w:val="SCCCounselPartyRoleChar"/>
          <w:rFonts w:eastAsiaTheme="minorHAnsi"/>
          <w:sz w:val="20"/>
        </w:rPr>
      </w:pPr>
      <w:r>
        <w:rPr>
          <w:rStyle w:val="SCCCounselPartyRoleChar"/>
          <w:rFonts w:eastAsiaTheme="minorHAnsi"/>
          <w:sz w:val="20"/>
          <w:lang w:val="fr-CA"/>
        </w:rPr>
        <w:tab/>
      </w:r>
      <w:r w:rsidR="00F94DF1" w:rsidRPr="009974BA">
        <w:rPr>
          <w:rStyle w:val="SCCCounselNameChar"/>
          <w:rFonts w:eastAsiaTheme="minorHAnsi"/>
          <w:sz w:val="20"/>
        </w:rPr>
        <w:t>Greg J. Allen</w:t>
      </w:r>
      <w:r w:rsidR="00F94DF1" w:rsidRPr="00F94DF1">
        <w:rPr>
          <w:rStyle w:val="SCCCounselSeparatorChar"/>
          <w:rFonts w:eastAsiaTheme="minorHAnsi"/>
          <w:sz w:val="20"/>
          <w:lang w:val="en-CA"/>
        </w:rPr>
        <w:t xml:space="preserve"> et </w:t>
      </w:r>
      <w:r w:rsidR="00F94DF1" w:rsidRPr="009974BA">
        <w:rPr>
          <w:rStyle w:val="SCCCounselNameChar"/>
          <w:rFonts w:eastAsiaTheme="minorHAnsi"/>
          <w:sz w:val="20"/>
        </w:rPr>
        <w:t>Kenneth K. Leung</w:t>
      </w:r>
      <w:r w:rsidR="00F94DF1" w:rsidRPr="009974BA">
        <w:rPr>
          <w:rStyle w:val="SCCCounselPartyRoleChar"/>
          <w:rFonts w:eastAsiaTheme="minorHAnsi"/>
          <w:sz w:val="20"/>
        </w:rPr>
        <w:t>, pour l’intervenante West Coast Prison Justice Society.</w:t>
      </w:r>
    </w:p>
    <w:p w:rsidR="002F5BF9" w:rsidRDefault="002F5BF9" w:rsidP="00F66947">
      <w:pPr>
        <w:jc w:val="both"/>
        <w:rPr>
          <w:rStyle w:val="SCCCounselPartyRoleChar"/>
          <w:rFonts w:eastAsiaTheme="minorHAnsi"/>
          <w:sz w:val="20"/>
        </w:rPr>
      </w:pPr>
    </w:p>
    <w:p w:rsidR="00882854" w:rsidRDefault="00882854" w:rsidP="00F66947">
      <w:pPr>
        <w:jc w:val="both"/>
        <w:rPr>
          <w:rStyle w:val="SCCCounselPartyRoleChar"/>
          <w:rFonts w:eastAsiaTheme="minorHAnsi"/>
          <w:sz w:val="20"/>
        </w:rPr>
      </w:pPr>
      <w:r>
        <w:rPr>
          <w:rStyle w:val="SCCCounselPartyRoleChar"/>
          <w:rFonts w:eastAsiaTheme="minorHAnsi"/>
          <w:sz w:val="20"/>
        </w:rPr>
        <w:tab/>
      </w:r>
      <w:r w:rsidR="00F94DF1" w:rsidRPr="009974BA">
        <w:rPr>
          <w:rStyle w:val="SCCCounselNameChar"/>
          <w:rFonts w:eastAsiaTheme="minorHAnsi"/>
          <w:sz w:val="20"/>
        </w:rPr>
        <w:t>Jonathan Rudin</w:t>
      </w:r>
      <w:r w:rsidR="00F94DF1" w:rsidRPr="00F94DF1">
        <w:rPr>
          <w:rStyle w:val="SCCCounselSeparatorChar"/>
          <w:rFonts w:eastAsiaTheme="minorHAnsi"/>
          <w:sz w:val="20"/>
          <w:lang w:val="en-CA"/>
        </w:rPr>
        <w:t xml:space="preserve"> et </w:t>
      </w:r>
      <w:r w:rsidR="00F94DF1" w:rsidRPr="009974BA">
        <w:rPr>
          <w:rStyle w:val="SCCCounselNameChar"/>
          <w:rFonts w:eastAsiaTheme="minorHAnsi"/>
          <w:sz w:val="20"/>
        </w:rPr>
        <w:t>Emily Hill</w:t>
      </w:r>
      <w:r w:rsidR="00F94DF1" w:rsidRPr="009974BA">
        <w:rPr>
          <w:rStyle w:val="SCCCounselPartyRoleChar"/>
          <w:rFonts w:eastAsiaTheme="minorHAnsi"/>
          <w:sz w:val="20"/>
        </w:rPr>
        <w:t>, pour l’intervenante Aboriginal Legal Services of Toronto Inc.</w:t>
      </w:r>
    </w:p>
    <w:p w:rsidR="002F5BF9" w:rsidRDefault="002F5BF9" w:rsidP="00F66947">
      <w:pPr>
        <w:jc w:val="both"/>
        <w:rPr>
          <w:rStyle w:val="SCCCounselPartyRoleChar"/>
          <w:rFonts w:eastAsiaTheme="minorHAnsi"/>
          <w:sz w:val="20"/>
        </w:rPr>
      </w:pPr>
    </w:p>
    <w:p w:rsidR="00882854" w:rsidRDefault="00882854" w:rsidP="00F66947">
      <w:pPr>
        <w:jc w:val="both"/>
        <w:rPr>
          <w:sz w:val="20"/>
          <w:lang w:val="fr-CA"/>
        </w:rPr>
      </w:pPr>
      <w:r>
        <w:rPr>
          <w:rStyle w:val="SCCCounselPartyRoleChar"/>
          <w:rFonts w:eastAsiaTheme="minorHAnsi"/>
          <w:sz w:val="20"/>
        </w:rPr>
        <w:tab/>
      </w:r>
      <w:r w:rsidR="00F94DF1" w:rsidRPr="009974BA">
        <w:rPr>
          <w:sz w:val="20"/>
          <w:lang w:val="fr-CA"/>
        </w:rPr>
        <w:t>Procureur de l’appelante : Procureur général de l’Ontario, Toronto.</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Procureurs de l’intimé : Presser Barristers, Toronto; Timothy J. Lutes, Toronto.</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Procureur de l’intervenant le procureur général du Canada : Procureur général du Canada, Winnipeg.</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 xml:space="preserve">Procureurs de </w:t>
      </w:r>
      <w:r w:rsidR="00F94DF1" w:rsidRPr="009974BA">
        <w:rPr>
          <w:rStyle w:val="SCCCounselPartyRoleChar"/>
          <w:rFonts w:eastAsiaTheme="minorHAnsi"/>
          <w:sz w:val="20"/>
          <w:lang w:val="fr-CA"/>
        </w:rPr>
        <w:t>l’intervenante l’</w:t>
      </w:r>
      <w:r w:rsidR="00F94DF1" w:rsidRPr="009974BA">
        <w:rPr>
          <w:sz w:val="20"/>
          <w:lang w:val="fr-CA"/>
        </w:rPr>
        <w:t>Association des libertés civiles de la Colombie</w:t>
      </w:r>
      <w:r w:rsidR="00F94DF1" w:rsidRPr="009974BA">
        <w:rPr>
          <w:sz w:val="20"/>
          <w:lang w:val="fr-CA"/>
        </w:rPr>
        <w:noBreakHyphen/>
        <w:t>Britannique : Stockwoods, Toronto.</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Procureurs de l’intervenante Criminal Lawyers’ Association (Ontario) : Russel Silverstein &amp; Associate, Toronto.</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 xml:space="preserve">Procureurs de </w:t>
      </w:r>
      <w:r w:rsidR="00F94DF1" w:rsidRPr="009974BA">
        <w:rPr>
          <w:rStyle w:val="SCCCounselPartyRoleChar"/>
          <w:rFonts w:eastAsiaTheme="minorHAnsi"/>
          <w:sz w:val="20"/>
          <w:lang w:val="fr-CA"/>
        </w:rPr>
        <w:t xml:space="preserve">l’intervenante </w:t>
      </w:r>
      <w:r w:rsidR="00F94DF1" w:rsidRPr="009974BA">
        <w:rPr>
          <w:sz w:val="20"/>
          <w:lang w:val="fr-CA"/>
        </w:rPr>
        <w:t>Société John Howard du Canada : Polley Faith, Toronto.</w:t>
      </w:r>
    </w:p>
    <w:p w:rsidR="002F5BF9" w:rsidRDefault="002F5BF9" w:rsidP="00F66947">
      <w:pPr>
        <w:jc w:val="both"/>
        <w:rPr>
          <w:sz w:val="20"/>
          <w:lang w:val="fr-CA"/>
        </w:rPr>
      </w:pPr>
    </w:p>
    <w:p w:rsidR="00882854" w:rsidRDefault="00882854" w:rsidP="00F66947">
      <w:pPr>
        <w:jc w:val="both"/>
        <w:rPr>
          <w:sz w:val="20"/>
          <w:lang w:val="fr-CA"/>
        </w:rPr>
      </w:pPr>
      <w:r>
        <w:rPr>
          <w:sz w:val="20"/>
          <w:lang w:val="fr-CA"/>
        </w:rPr>
        <w:tab/>
      </w:r>
      <w:r w:rsidR="00F94DF1" w:rsidRPr="009974BA">
        <w:rPr>
          <w:sz w:val="20"/>
          <w:lang w:val="fr-CA"/>
        </w:rPr>
        <w:t>Procureurs de l’intervenante West Coast Prison Justice Society : Hunter Litigation Chambers, Vancouver.</w:t>
      </w:r>
    </w:p>
    <w:p w:rsidR="002F5BF9" w:rsidRDefault="002F5BF9" w:rsidP="00F66947">
      <w:pPr>
        <w:jc w:val="both"/>
        <w:rPr>
          <w:sz w:val="20"/>
          <w:lang w:val="fr-CA"/>
        </w:rPr>
      </w:pPr>
    </w:p>
    <w:p w:rsidR="0043599B" w:rsidRPr="006F470D" w:rsidRDefault="00882854" w:rsidP="00F66947">
      <w:pPr>
        <w:jc w:val="both"/>
        <w:rPr>
          <w:sz w:val="20"/>
          <w:szCs w:val="20"/>
          <w:lang w:val="fr-CA"/>
        </w:rPr>
      </w:pPr>
      <w:r>
        <w:rPr>
          <w:sz w:val="20"/>
          <w:lang w:val="fr-CA"/>
        </w:rPr>
        <w:tab/>
      </w:r>
      <w:r w:rsidR="00F94DF1" w:rsidRPr="006F470D">
        <w:rPr>
          <w:sz w:val="20"/>
          <w:lang w:val="fr-CA"/>
        </w:rPr>
        <w:t>Procureur de l’intervenante Aboriginal Legal Services of Toronto Inc. : Aboriginal Legal Services of Toronto, Toronto.</w:t>
      </w:r>
      <w:r w:rsidR="009F3029">
        <w:rPr>
          <w:rFonts w:cs="Times New Roman"/>
          <w:sz w:val="20"/>
          <w:szCs w:val="20"/>
          <w:lang w:val="fr-CA"/>
        </w:rPr>
        <w:pict>
          <v:rect id="_x0000_i1121" style="width:144.3pt;height:1pt" o:hrpct="300" o:hralign="center" o:hrstd="t" o:hrnoshade="t" o:hr="t" fillcolor="black [3213]" stroked="f"/>
        </w:pict>
      </w:r>
    </w:p>
    <w:p w:rsidR="00F94DF1" w:rsidRPr="006F470D" w:rsidRDefault="00F94DF1" w:rsidP="00782AE4">
      <w:pPr>
        <w:jc w:val="both"/>
        <w:rPr>
          <w:sz w:val="20"/>
          <w:szCs w:val="20"/>
          <w:lang w:val="fr-CA"/>
        </w:rPr>
      </w:pPr>
    </w:p>
    <w:p w:rsidR="0043599B" w:rsidRPr="006F470D" w:rsidRDefault="0043599B" w:rsidP="00782AE4">
      <w:pPr>
        <w:jc w:val="both"/>
        <w:rPr>
          <w:sz w:val="20"/>
          <w:szCs w:val="20"/>
          <w:lang w:val="fr-CA"/>
        </w:rPr>
        <w:sectPr w:rsidR="0043599B" w:rsidRPr="006F470D" w:rsidSect="008A719E">
          <w:headerReference w:type="even" r:id="rId162"/>
          <w:headerReference w:type="default" r:id="rId163"/>
          <w:footerReference w:type="even" r:id="rId164"/>
          <w:footerReference w:type="default" r:id="rId165"/>
          <w:headerReference w:type="first" r:id="rId166"/>
          <w:footerReference w:type="first" r:id="rId167"/>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6D32E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DECEMBER - DÉCEMBRE</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M</w:t>
            </w:r>
          </w:p>
          <w:p w:rsidR="008902B1" w:rsidRPr="002E0C7E" w:rsidRDefault="008902B1" w:rsidP="006D32E7">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6D32E7">
            <w:pPr>
              <w:widowControl w:val="0"/>
              <w:jc w:val="center"/>
              <w:rPr>
                <w:rFonts w:ascii="Arial" w:hAnsi="Arial"/>
                <w:b/>
                <w:sz w:val="14"/>
              </w:rPr>
            </w:pPr>
            <w:r>
              <w:rPr>
                <w:rFonts w:ascii="Arial" w:hAnsi="Arial"/>
                <w:b/>
                <w:sz w:val="14"/>
              </w:rPr>
              <w:t>M</w:t>
            </w:r>
          </w:p>
          <w:p w:rsidR="008902B1" w:rsidRPr="002E0C7E" w:rsidRDefault="008902B1" w:rsidP="006D32E7">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6D32E7">
            <w:pPr>
              <w:widowControl w:val="0"/>
              <w:jc w:val="center"/>
              <w:rPr>
                <w:rFonts w:ascii="Arial" w:hAnsi="Arial"/>
                <w:b/>
                <w:sz w:val="14"/>
              </w:rPr>
            </w:pPr>
            <w:r w:rsidRPr="002A4724">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6D32E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6D32E7">
            <w:pPr>
              <w:widowControl w:val="0"/>
              <w:jc w:val="center"/>
              <w:rPr>
                <w:rFonts w:ascii="Arial" w:hAnsi="Arial"/>
                <w:b/>
                <w:sz w:val="14"/>
              </w:rPr>
            </w:pPr>
            <w:r w:rsidRPr="002A4724">
              <w:rPr>
                <w:rFonts w:ascii="Arial" w:hAnsi="Arial"/>
                <w:b/>
                <w:sz w:val="14"/>
              </w:rPr>
              <w:t>M</w:t>
            </w:r>
          </w:p>
          <w:p w:rsidR="008902B1" w:rsidRPr="002E0C7E" w:rsidRDefault="008902B1" w:rsidP="006D32E7">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6D32E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MARCH - MARS</w:t>
            </w:r>
          </w:p>
        </w:tc>
      </w:tr>
      <w:tr w:rsidR="008902B1" w:rsidRPr="002E0C7E" w:rsidTr="006D32E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6D32E7">
            <w:pPr>
              <w:widowControl w:val="0"/>
              <w:jc w:val="center"/>
              <w:rPr>
                <w:rFonts w:ascii="Arial" w:hAnsi="Arial"/>
                <w:b/>
                <w:sz w:val="14"/>
              </w:rPr>
            </w:pPr>
            <w:r w:rsidRPr="00CD2D42">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6D32E7">
            <w:pPr>
              <w:widowControl w:val="0"/>
              <w:jc w:val="center"/>
              <w:rPr>
                <w:rFonts w:ascii="Arial" w:hAnsi="Arial"/>
                <w:b/>
                <w:sz w:val="14"/>
              </w:rPr>
            </w:pPr>
            <w:r>
              <w:rPr>
                <w:rFonts w:ascii="Arial" w:hAnsi="Arial"/>
                <w:b/>
                <w:sz w:val="14"/>
              </w:rPr>
              <w:t>M</w:t>
            </w: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6D32E7">
            <w:pPr>
              <w:widowControl w:val="0"/>
              <w:jc w:val="center"/>
              <w:rPr>
                <w:rFonts w:ascii="Arial" w:hAnsi="Arial"/>
                <w:b/>
                <w:sz w:val="14"/>
              </w:rPr>
            </w:pPr>
            <w:r>
              <w:rPr>
                <w:rFonts w:ascii="Arial" w:hAnsi="Arial"/>
                <w:b/>
                <w:sz w:val="14"/>
              </w:rPr>
              <w:t>M</w:t>
            </w: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6D32E7">
            <w:pPr>
              <w:widowControl w:val="0"/>
              <w:jc w:val="center"/>
              <w:rPr>
                <w:rFonts w:ascii="Arial" w:hAnsi="Arial"/>
                <w:b/>
                <w:sz w:val="14"/>
              </w:rPr>
            </w:pPr>
            <w:r>
              <w:rPr>
                <w:rFonts w:ascii="Arial" w:hAnsi="Arial"/>
                <w:b/>
                <w:sz w:val="14"/>
              </w:rPr>
              <w:t>M</w:t>
            </w:r>
          </w:p>
          <w:p w:rsidR="008902B1" w:rsidRPr="002E0C7E" w:rsidRDefault="008902B1" w:rsidP="006D32E7">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6D32E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6D32E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6D32E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D32E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D32E7">
            <w:pPr>
              <w:widowControl w:val="0"/>
              <w:jc w:val="center"/>
              <w:rPr>
                <w:rFonts w:ascii="Arial" w:hAnsi="Arial"/>
                <w:sz w:val="14"/>
              </w:rPr>
            </w:pPr>
            <w:r w:rsidRPr="002E0C7E">
              <w:rPr>
                <w:rFonts w:ascii="Arial" w:hAnsi="Arial"/>
                <w:b/>
                <w:sz w:val="14"/>
              </w:rPr>
              <w:t>JUNE - JUIN</w:t>
            </w:r>
          </w:p>
        </w:tc>
      </w:tr>
      <w:tr w:rsidR="008902B1" w:rsidRPr="002E0C7E" w:rsidTr="006D32E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S</w:t>
            </w:r>
          </w:p>
          <w:p w:rsidR="008902B1" w:rsidRPr="002E0C7E" w:rsidRDefault="008902B1" w:rsidP="006D32E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M</w:t>
            </w:r>
          </w:p>
          <w:p w:rsidR="008902B1" w:rsidRPr="002E0C7E" w:rsidRDefault="008902B1" w:rsidP="006D32E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W</w:t>
            </w:r>
          </w:p>
          <w:p w:rsidR="008902B1" w:rsidRPr="002E0C7E" w:rsidRDefault="008902B1" w:rsidP="006D32E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T</w:t>
            </w:r>
          </w:p>
          <w:p w:rsidR="008902B1" w:rsidRPr="002E0C7E" w:rsidRDefault="008902B1" w:rsidP="006D32E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sidRPr="002E0C7E">
              <w:rPr>
                <w:rFonts w:ascii="Arial" w:hAnsi="Arial"/>
                <w:sz w:val="14"/>
              </w:rPr>
              <w:t>F</w:t>
            </w:r>
          </w:p>
          <w:p w:rsidR="008902B1" w:rsidRPr="002E0C7E" w:rsidRDefault="008902B1" w:rsidP="006D32E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r>
              <w:rPr>
                <w:rFonts w:ascii="Arial" w:hAnsi="Arial"/>
                <w:sz w:val="14"/>
              </w:rPr>
              <w:t>S</w:t>
            </w:r>
          </w:p>
          <w:p w:rsidR="008902B1" w:rsidRPr="002E0C7E" w:rsidRDefault="008902B1" w:rsidP="006D32E7">
            <w:pPr>
              <w:widowControl w:val="0"/>
              <w:jc w:val="center"/>
              <w:rPr>
                <w:rFonts w:ascii="Arial" w:hAnsi="Arial"/>
                <w:sz w:val="14"/>
              </w:rPr>
            </w:pPr>
            <w:r>
              <w:rPr>
                <w:rFonts w:ascii="Arial" w:hAnsi="Arial"/>
                <w:sz w:val="14"/>
              </w:rPr>
              <w:t>S</w:t>
            </w:r>
          </w:p>
        </w:tc>
      </w:tr>
      <w:tr w:rsidR="008902B1" w:rsidRPr="002E0C7E" w:rsidTr="006D32E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11</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6D32E7">
            <w:pPr>
              <w:widowControl w:val="0"/>
              <w:jc w:val="center"/>
              <w:rPr>
                <w:rFonts w:ascii="Arial" w:hAnsi="Arial"/>
                <w:b/>
                <w:sz w:val="14"/>
              </w:rPr>
            </w:pPr>
          </w:p>
          <w:p w:rsidR="008902B1" w:rsidRPr="002E0C7E" w:rsidRDefault="008902B1" w:rsidP="006D32E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6D32E7">
            <w:pPr>
              <w:widowControl w:val="0"/>
              <w:jc w:val="center"/>
              <w:rPr>
                <w:rFonts w:ascii="Arial" w:hAnsi="Arial"/>
                <w:b/>
                <w:sz w:val="14"/>
              </w:rPr>
            </w:pPr>
            <w:r w:rsidRPr="002453E3">
              <w:rPr>
                <w:rFonts w:ascii="Arial" w:hAnsi="Arial"/>
                <w:b/>
                <w:sz w:val="14"/>
              </w:rPr>
              <w:t>M</w:t>
            </w: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6D32E7">
            <w:pPr>
              <w:widowControl w:val="0"/>
              <w:jc w:val="center"/>
              <w:rPr>
                <w:rFonts w:ascii="Arial" w:hAnsi="Arial"/>
                <w:b/>
                <w:sz w:val="14"/>
              </w:rPr>
            </w:pPr>
            <w:r>
              <w:rPr>
                <w:rFonts w:ascii="Arial" w:hAnsi="Arial"/>
                <w:b/>
                <w:sz w:val="14"/>
              </w:rPr>
              <w:t>M</w:t>
            </w: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18</w:t>
            </w:r>
          </w:p>
        </w:tc>
      </w:tr>
      <w:tr w:rsidR="008902B1" w:rsidRPr="002E0C7E" w:rsidTr="006D32E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6D32E7">
            <w:pPr>
              <w:widowControl w:val="0"/>
              <w:jc w:val="center"/>
              <w:rPr>
                <w:rFonts w:ascii="Arial" w:hAnsi="Arial"/>
                <w:b/>
                <w:sz w:val="14"/>
              </w:rPr>
            </w:pPr>
            <w:r w:rsidRPr="0049680E">
              <w:rPr>
                <w:rFonts w:ascii="Arial" w:hAnsi="Arial"/>
                <w:b/>
                <w:sz w:val="14"/>
              </w:rPr>
              <w:t>M</w:t>
            </w:r>
          </w:p>
          <w:p w:rsidR="008902B1" w:rsidRPr="002E0C7E" w:rsidRDefault="008902B1" w:rsidP="006D32E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6D32E7">
            <w:pPr>
              <w:widowControl w:val="0"/>
              <w:jc w:val="center"/>
              <w:rPr>
                <w:rFonts w:ascii="Arial" w:hAnsi="Arial"/>
                <w:b/>
                <w:sz w:val="14"/>
              </w:rPr>
            </w:pPr>
            <w:r>
              <w:rPr>
                <w:rFonts w:ascii="Arial" w:hAnsi="Arial"/>
                <w:b/>
                <w:sz w:val="14"/>
              </w:rPr>
              <w:t>H</w:t>
            </w:r>
          </w:p>
          <w:p w:rsidR="008902B1" w:rsidRPr="002E0C7E" w:rsidRDefault="008902B1" w:rsidP="006D32E7">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6D32E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D32E7">
            <w:pPr>
              <w:widowControl w:val="0"/>
              <w:jc w:val="center"/>
              <w:rPr>
                <w:rFonts w:ascii="Arial" w:hAnsi="Arial"/>
                <w:sz w:val="14"/>
              </w:rPr>
            </w:pPr>
          </w:p>
          <w:p w:rsidR="008902B1" w:rsidRPr="002E0C7E" w:rsidRDefault="008902B1" w:rsidP="006D32E7">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6D32E7">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6D32E7">
            <w:pPr>
              <w:widowControl w:val="0"/>
              <w:rPr>
                <w:rFonts w:ascii="Arial" w:hAnsi="Arial"/>
                <w:sz w:val="16"/>
              </w:rPr>
            </w:pPr>
            <w:r w:rsidRPr="002E0C7E">
              <w:rPr>
                <w:rFonts w:ascii="Arial" w:hAnsi="Arial"/>
                <w:sz w:val="16"/>
              </w:rPr>
              <w:t>Sittings of the court:</w:t>
            </w:r>
          </w:p>
          <w:p w:rsidR="008902B1" w:rsidRPr="002E0C7E" w:rsidRDefault="008902B1" w:rsidP="006D32E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6D32E7">
            <w:pPr>
              <w:widowControl w:val="0"/>
              <w:rPr>
                <w:rFonts w:ascii="Arial" w:hAnsi="Arial"/>
                <w:sz w:val="16"/>
              </w:rPr>
            </w:pPr>
          </w:p>
          <w:p w:rsidR="008902B1" w:rsidRPr="002E0C7E" w:rsidRDefault="008902B1" w:rsidP="006D32E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6D32E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6D32E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6D32E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6D32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8A719E">
      <w:headerReference w:type="default" r:id="rId168"/>
      <w:footerReference w:type="default" r:id="rId16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47" w:rsidRDefault="00F66947" w:rsidP="00A87207">
      <w:r>
        <w:separator/>
      </w:r>
    </w:p>
  </w:endnote>
  <w:endnote w:type="continuationSeparator" w:id="0">
    <w:p w:rsidR="00F66947" w:rsidRDefault="00F6694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A87207">
    <w:pPr>
      <w:pStyle w:val="Footer"/>
    </w:pPr>
    <w:r>
      <w:pict>
        <v:rect id="_x0000_i1038" style="width:480.95pt;height:1pt" o:hralign="center" o:hrstd="t" o:hrnoshade="t" o:hr="t" fillcolor="black [3213]" stroked="f"/>
      </w:pict>
    </w:r>
  </w:p>
  <w:p w:rsidR="00F66947" w:rsidRPr="00B7374B" w:rsidRDefault="00F669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3029">
      <w:rPr>
        <w:noProof/>
        <w:szCs w:val="24"/>
      </w:rPr>
      <w:t>488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EB2B90">
    <w:pPr>
      <w:tabs>
        <w:tab w:val="center" w:pos="4680"/>
      </w:tabs>
    </w:pPr>
    <w:r>
      <w:pict>
        <v:rect id="_x0000_i1102" style="width:480.95pt;height:1pt" o:hralign="center" o:hrstd="t" o:hrnoshade="t" o:hr="t" fillcolor="black [3213]" stroked="f"/>
      </w:pict>
    </w:r>
  </w:p>
  <w:p w:rsidR="00F66947" w:rsidRPr="0031432F" w:rsidRDefault="00F66947" w:rsidP="00EB2B90">
    <w:pPr>
      <w:tabs>
        <w:tab w:val="center" w:pos="4680"/>
      </w:tabs>
    </w:pPr>
    <w:r>
      <w:tab/>
      <w:t xml:space="preserve">- </w:t>
    </w:r>
    <w:r>
      <w:fldChar w:fldCharType="begin"/>
    </w:r>
    <w:r>
      <w:instrText xml:space="preserve"> PAGE   \* MERGEFORMAT </w:instrText>
    </w:r>
    <w:r>
      <w:fldChar w:fldCharType="separate"/>
    </w:r>
    <w:r w:rsidR="009F3029">
      <w:rPr>
        <w:noProof/>
      </w:rPr>
      <w:t>539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6" style="width:480.95pt;height:1pt" o:hralign="center" o:hrstd="t" o:hrnoshade="t" o:hr="t" fillcolor="black [3213]" stroked="f"/>
      </w:pict>
    </w:r>
  </w:p>
  <w:p w:rsidR="00F66947" w:rsidRDefault="00F6694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pStyle w:val="Footer"/>
      <w:rPr>
        <w:lang w:val="fr-CA"/>
      </w:rPr>
    </w:pPr>
    <w:r>
      <w:rPr>
        <w:lang w:val="fr-CA"/>
      </w:rPr>
      <w:pict>
        <v:rect id="_x0000_i1107" style="width:480.95pt;height:1pt" o:hralign="center" o:hrstd="t" o:hrnoshade="t" o:hr="t" fillcolor="black [3213]" stroked="f"/>
      </w:pict>
    </w:r>
  </w:p>
  <w:p w:rsidR="00F66947" w:rsidRDefault="00F66947" w:rsidP="00EB2B90">
    <w:pPr>
      <w:tabs>
        <w:tab w:val="center" w:pos="4680"/>
      </w:tabs>
    </w:pPr>
    <w:r>
      <w:tab/>
      <w:t xml:space="preserve">- </w:t>
    </w:r>
    <w:r>
      <w:fldChar w:fldCharType="begin"/>
    </w:r>
    <w:r>
      <w:instrText xml:space="preserve"> PAGE   \* MERGEFORMAT </w:instrText>
    </w:r>
    <w:r>
      <w:fldChar w:fldCharType="separate"/>
    </w:r>
    <w:r w:rsidR="009F3029">
      <w:rPr>
        <w:noProof/>
      </w:rPr>
      <w:t>541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F669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9" style="width:480.95pt;height:1pt" o:hralign="center" o:hrstd="t" o:hrnoshade="t" o:hr="t" fillcolor="black [3213]" stroked="f"/>
      </w:pict>
    </w:r>
  </w:p>
  <w:p w:rsidR="00F66947" w:rsidRDefault="00F6694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802863">
    <w:pPr>
      <w:widowControl w:val="0"/>
      <w:tabs>
        <w:tab w:val="left" w:pos="-1440"/>
        <w:tab w:val="left" w:pos="-720"/>
      </w:tabs>
    </w:pPr>
    <w:r>
      <w:rPr>
        <w:lang w:val="fr-CA"/>
      </w:rPr>
      <w:pict>
        <v:rect id="_x0000_i1110" style="width:480.95pt;height:1pt" o:hralign="center" o:hrstd="t" o:hrnoshade="t" o:hr="t" fillcolor="black [3213]" stroked="f"/>
      </w:pict>
    </w:r>
  </w:p>
  <w:p w:rsidR="00F66947" w:rsidRPr="00180897" w:rsidRDefault="00F6694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F3029">
      <w:rPr>
        <w:noProof/>
        <w:szCs w:val="24"/>
      </w:rPr>
      <w:t>542</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732DB7">
    <w:r>
      <w:pict>
        <v:rect id="_x0000_i1114" style="width:480.95pt;height:1pt" o:hralign="center" o:hrstd="t" o:hrnoshade="t" o:hr="t" fillcolor="black" stroked="f"/>
      </w:pict>
    </w:r>
  </w:p>
  <w:p w:rsidR="00F66947" w:rsidRDefault="00F6694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pStyle w:val="Footer"/>
    </w:pPr>
    <w:r>
      <w:pict>
        <v:rect id="_x0000_i1115" style="width:480.95pt;height:1pt" o:hralign="center" o:hrstd="t" o:hrnoshade="t" o:hr="t" fillcolor="black [3213]" stroked="f"/>
      </w:pict>
    </w:r>
  </w:p>
  <w:p w:rsidR="00F66947" w:rsidRPr="003C2C0F" w:rsidRDefault="00F66947" w:rsidP="00697C62">
    <w:pPr>
      <w:tabs>
        <w:tab w:val="center" w:pos="4680"/>
      </w:tabs>
    </w:pPr>
    <w:r>
      <w:tab/>
      <w:t xml:space="preserve">- </w:t>
    </w:r>
    <w:r>
      <w:fldChar w:fldCharType="begin"/>
    </w:r>
    <w:r>
      <w:instrText xml:space="preserve"> PAGE   \* MERGEFORMAT </w:instrText>
    </w:r>
    <w:r>
      <w:fldChar w:fldCharType="separate"/>
    </w:r>
    <w:r w:rsidR="009F3029">
      <w:rPr>
        <w:noProof/>
      </w:rPr>
      <w:t>543</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755F22">
    <w:pPr>
      <w:tabs>
        <w:tab w:val="left" w:pos="-1440"/>
        <w:tab w:val="left" w:pos="-720"/>
      </w:tabs>
    </w:pPr>
    <w:r>
      <w:pict>
        <v:rect id="_x0000_i1039" style="width:480.95pt;height:1pt" o:hralign="center" o:hrstd="t" o:hrnoshade="t" o:hr="t" fillcolor="black [3213]" stroked="f"/>
      </w:pict>
    </w:r>
  </w:p>
  <w:p w:rsidR="00F66947" w:rsidRPr="00954D22" w:rsidRDefault="00F6694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F3029">
      <w:rPr>
        <w:noProof/>
        <w:szCs w:val="24"/>
      </w:rPr>
      <w:t>487</w:t>
    </w:r>
    <w:r>
      <w:rPr>
        <w:szCs w:val="24"/>
      </w:rPr>
      <w:fldChar w:fldCharType="end"/>
    </w:r>
    <w:r w:rsidRPr="00954D22">
      <w:rPr>
        <w:szCs w:val="24"/>
      </w:rPr>
      <w:t xml:space="preserve"> -</w:t>
    </w:r>
  </w:p>
  <w:p w:rsidR="00F66947" w:rsidRDefault="00F6694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9F3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2" style="width:480.95pt;height:1pt" o:hralign="center" o:hrstd="t" o:hrnoshade="t" o:hr="t" fillcolor="black [3213]" stroked="f"/>
      </w:pict>
    </w:r>
  </w:p>
  <w:p w:rsidR="00F66947" w:rsidRDefault="00F669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3029">
      <w:rPr>
        <w:noProof/>
        <w:szCs w:val="24"/>
      </w:rPr>
      <w:t>564</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782AE4">
    <w:pPr>
      <w:tabs>
        <w:tab w:val="center" w:pos="4680"/>
      </w:tabs>
    </w:pPr>
    <w:r>
      <w:pict>
        <v:rect id="_x0000_i1123" style="width:480.95pt;height:1pt" o:hralign="center" o:hrstd="t" o:hrnoshade="t" o:hr="t" fillcolor="black [3213]" stroked="f"/>
      </w:pict>
    </w:r>
  </w:p>
  <w:p w:rsidR="00F66947" w:rsidRDefault="00F669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3029">
      <w:rPr>
        <w:noProof/>
        <w:szCs w:val="24"/>
      </w:rPr>
      <w:t>545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Pr="00924065" w:rsidRDefault="00F6694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A87207">
    <w:pPr>
      <w:pStyle w:val="Footer"/>
    </w:pPr>
    <w:r>
      <w:pict>
        <v:rect id="_x0000_i1041" style="width:480.95pt;height:1pt" o:hralign="center" o:hrstd="t" o:hrnoshade="t" o:hr="t" fillcolor="black [3213]" stroked="f"/>
      </w:pict>
    </w:r>
  </w:p>
  <w:p w:rsidR="00F66947" w:rsidRPr="00B7374B" w:rsidRDefault="00F669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F66947" w:rsidRPr="00954D22" w:rsidRDefault="00F669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3029">
      <w:rPr>
        <w:noProof/>
        <w:szCs w:val="24"/>
      </w:rPr>
      <w:t>489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F66947" w:rsidRPr="0009648D" w:rsidRDefault="00F66947" w:rsidP="00ED7E83">
    <w:pPr>
      <w:tabs>
        <w:tab w:val="center" w:pos="4680"/>
      </w:tabs>
    </w:pPr>
    <w:r>
      <w:tab/>
    </w:r>
    <w:r w:rsidRPr="0009648D">
      <w:t xml:space="preserve">- </w:t>
    </w:r>
    <w:r>
      <w:fldChar w:fldCharType="begin"/>
    </w:r>
    <w:r>
      <w:instrText xml:space="preserve"> PAGE   \* MERGEFORMAT </w:instrText>
    </w:r>
    <w:r>
      <w:fldChar w:fldCharType="separate"/>
    </w:r>
    <w:r w:rsidR="009F3029">
      <w:rPr>
        <w:noProof/>
      </w:rPr>
      <w:t>503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pPr>
      <w:pStyle w:val="Footer"/>
      <w:rPr>
        <w:lang w:val="fr-CA"/>
      </w:rPr>
    </w:pPr>
    <w:r>
      <w:rPr>
        <w:lang w:val="fr-CA"/>
      </w:rPr>
      <w:pict>
        <v:rect id="_x0000_i1098" style="width:480.95pt;height:1pt" o:hralign="center" o:hrstd="t" o:hrnoshade="t" o:hr="t" fillcolor="black [3213]" stroked="f"/>
      </w:pict>
    </w:r>
  </w:p>
  <w:p w:rsidR="00F66947" w:rsidRDefault="00F66947" w:rsidP="00245129">
    <w:pPr>
      <w:tabs>
        <w:tab w:val="center" w:pos="4680"/>
      </w:tabs>
    </w:pPr>
    <w:r>
      <w:tab/>
    </w:r>
    <w:r w:rsidRPr="0009648D">
      <w:t xml:space="preserve">- </w:t>
    </w:r>
    <w:r>
      <w:fldChar w:fldCharType="begin"/>
    </w:r>
    <w:r>
      <w:instrText xml:space="preserve"> PAGE   \* MERGEFORMAT </w:instrText>
    </w:r>
    <w:r>
      <w:fldChar w:fldCharType="separate"/>
    </w:r>
    <w:r w:rsidR="009F3029">
      <w:rPr>
        <w:noProof/>
      </w:rPr>
      <w:t>490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66947" w:rsidRDefault="00F6694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9F3029" w:rsidP="00755F22">
    <w:pPr>
      <w:tabs>
        <w:tab w:val="left" w:pos="-1440"/>
        <w:tab w:val="left" w:pos="-720"/>
      </w:tabs>
    </w:pPr>
    <w:r>
      <w:pict>
        <v:rect id="_x0000_i1101" style="width:480.95pt;height:1pt" o:hralign="center" o:hrstd="t" o:hrnoshade="t" o:hr="t" fillcolor="black [3213]" stroked="f"/>
      </w:pict>
    </w:r>
  </w:p>
  <w:p w:rsidR="00F66947" w:rsidRDefault="00F66947" w:rsidP="00EB2B90">
    <w:pPr>
      <w:tabs>
        <w:tab w:val="center" w:pos="4680"/>
      </w:tabs>
    </w:pPr>
    <w:r>
      <w:tab/>
      <w:t xml:space="preserve">- </w:t>
    </w:r>
    <w:r>
      <w:fldChar w:fldCharType="begin"/>
    </w:r>
    <w:r>
      <w:instrText xml:space="preserve"> PAGE   \* MERGEFORMAT </w:instrText>
    </w:r>
    <w:r>
      <w:fldChar w:fldCharType="separate"/>
    </w:r>
    <w:r w:rsidR="009F3029">
      <w:rPr>
        <w:noProof/>
      </w:rPr>
      <w:t>540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47" w:rsidRDefault="00F66947" w:rsidP="00A87207">
      <w:r>
        <w:separator/>
      </w:r>
    </w:p>
  </w:footnote>
  <w:footnote w:type="continuationSeparator" w:id="0">
    <w:p w:rsidR="00F66947" w:rsidRDefault="00F6694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66947" w:rsidRPr="0044776A" w:rsidTr="00245129">
      <w:tc>
        <w:tcPr>
          <w:tcW w:w="4290" w:type="dxa"/>
          <w:tcMar>
            <w:left w:w="0" w:type="dxa"/>
            <w:right w:w="0" w:type="dxa"/>
          </w:tcMar>
        </w:tcPr>
        <w:p w:rsidR="00F66947" w:rsidRPr="0044776A" w:rsidRDefault="00F6694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66947" w:rsidRPr="0044776A" w:rsidRDefault="00F66947" w:rsidP="002E2327">
          <w:pPr>
            <w:keepNext/>
            <w:keepLines/>
            <w:tabs>
              <w:tab w:val="left" w:pos="-1440"/>
              <w:tab w:val="left" w:pos="-720"/>
            </w:tabs>
            <w:jc w:val="center"/>
            <w:rPr>
              <w:sz w:val="20"/>
              <w:szCs w:val="20"/>
            </w:rPr>
          </w:pPr>
        </w:p>
        <w:p w:rsidR="00F66947" w:rsidRPr="0044776A" w:rsidRDefault="00F66947" w:rsidP="002E2327">
          <w:pPr>
            <w:keepNext/>
            <w:keepLines/>
            <w:tabs>
              <w:tab w:val="left" w:pos="-1440"/>
              <w:tab w:val="left" w:pos="-720"/>
            </w:tabs>
            <w:jc w:val="center"/>
            <w:rPr>
              <w:sz w:val="20"/>
              <w:szCs w:val="20"/>
            </w:rPr>
          </w:pPr>
        </w:p>
        <w:p w:rsidR="00F66947" w:rsidRPr="0044776A" w:rsidRDefault="00F66947" w:rsidP="002E2327">
          <w:pPr>
            <w:keepNext/>
            <w:keepLines/>
            <w:tabs>
              <w:tab w:val="left" w:pos="-1440"/>
              <w:tab w:val="left" w:pos="-720"/>
            </w:tabs>
            <w:jc w:val="center"/>
            <w:rPr>
              <w:sz w:val="20"/>
              <w:szCs w:val="20"/>
            </w:rPr>
          </w:pPr>
        </w:p>
      </w:tc>
      <w:tc>
        <w:tcPr>
          <w:tcW w:w="4320" w:type="dxa"/>
          <w:tcMar>
            <w:left w:w="0" w:type="dxa"/>
            <w:right w:w="0" w:type="dxa"/>
          </w:tcMar>
        </w:tcPr>
        <w:p w:rsidR="00F66947" w:rsidRPr="0044776A" w:rsidRDefault="00F66947" w:rsidP="002E2327">
          <w:pPr>
            <w:keepLines/>
            <w:rPr>
              <w:sz w:val="20"/>
              <w:szCs w:val="20"/>
              <w:lang w:val="fr-CA"/>
            </w:rPr>
          </w:pPr>
          <w:r w:rsidRPr="0044776A">
            <w:rPr>
              <w:sz w:val="20"/>
              <w:szCs w:val="20"/>
              <w:lang w:val="fr-CA"/>
            </w:rPr>
            <w:t>DEMANDES D'AUTORISATION D'APPEL DÉPOSÉES</w:t>
          </w:r>
        </w:p>
      </w:tc>
    </w:tr>
  </w:tbl>
  <w:p w:rsidR="00F66947" w:rsidRDefault="00F669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66947" w:rsidRPr="009F3029">
      <w:tc>
        <w:tcPr>
          <w:tcW w:w="420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66947" w:rsidRPr="00B01A03"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66947" w:rsidRPr="00B01A03"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66947" w:rsidRPr="00B01A03"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66947" w:rsidRPr="009F3029" w:rsidTr="00245129">
      <w:tc>
        <w:tcPr>
          <w:tcW w:w="4200" w:type="dxa"/>
          <w:tcMar>
            <w:left w:w="0" w:type="dxa"/>
            <w:right w:w="0" w:type="dxa"/>
          </w:tcMar>
        </w:tcPr>
        <w:p w:rsidR="00F66947" w:rsidRPr="00F40249" w:rsidRDefault="00F6694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66947" w:rsidRDefault="00F66947" w:rsidP="00102926">
          <w:pPr>
            <w:keepNext/>
            <w:keepLines/>
            <w:tabs>
              <w:tab w:val="left" w:pos="-1440"/>
              <w:tab w:val="left" w:pos="-720"/>
            </w:tabs>
            <w:jc w:val="center"/>
            <w:rPr>
              <w:sz w:val="20"/>
              <w:szCs w:val="20"/>
            </w:rPr>
          </w:pPr>
        </w:p>
        <w:p w:rsidR="00F66947" w:rsidRDefault="00F66947" w:rsidP="00102926">
          <w:pPr>
            <w:keepNext/>
            <w:keepLines/>
            <w:tabs>
              <w:tab w:val="left" w:pos="-1440"/>
              <w:tab w:val="left" w:pos="-720"/>
            </w:tabs>
            <w:jc w:val="center"/>
            <w:rPr>
              <w:sz w:val="20"/>
              <w:szCs w:val="20"/>
            </w:rPr>
          </w:pPr>
        </w:p>
        <w:p w:rsidR="00F66947" w:rsidRPr="00F40249" w:rsidRDefault="00F66947" w:rsidP="00102926">
          <w:pPr>
            <w:keepNext/>
            <w:keepLines/>
            <w:tabs>
              <w:tab w:val="left" w:pos="-1440"/>
              <w:tab w:val="left" w:pos="-720"/>
            </w:tabs>
            <w:jc w:val="center"/>
            <w:rPr>
              <w:sz w:val="20"/>
              <w:szCs w:val="20"/>
            </w:rPr>
          </w:pPr>
        </w:p>
      </w:tc>
      <w:tc>
        <w:tcPr>
          <w:tcW w:w="4230" w:type="dxa"/>
          <w:tcMar>
            <w:left w:w="0" w:type="dxa"/>
            <w:right w:w="0" w:type="dxa"/>
          </w:tcMar>
        </w:tcPr>
        <w:p w:rsidR="00F66947" w:rsidRPr="00F40249" w:rsidRDefault="00F6694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66947" w:rsidRPr="00B01A03" w:rsidRDefault="00F6694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66947" w:rsidRPr="00910C97">
      <w:tc>
        <w:tcPr>
          <w:tcW w:w="4200" w:type="dxa"/>
          <w:tcMar>
            <w:left w:w="0" w:type="dxa"/>
            <w:right w:w="0" w:type="dxa"/>
          </w:tcMar>
        </w:tcPr>
        <w:p w:rsidR="00F66947" w:rsidRDefault="00F6694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66947" w:rsidRDefault="00F6694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66947" w:rsidRDefault="00F6694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66947" w:rsidRPr="009256DC" w:rsidRDefault="00F6694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66947" w:rsidRPr="009256DC" w:rsidRDefault="00F669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66947" w:rsidRPr="009256DC" w:rsidRDefault="00F669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66947" w:rsidRPr="00910C97" w:rsidTr="00245129">
      <w:tc>
        <w:tcPr>
          <w:tcW w:w="4200" w:type="dxa"/>
          <w:tcMar>
            <w:left w:w="0" w:type="dxa"/>
            <w:right w:w="0" w:type="dxa"/>
          </w:tcMar>
        </w:tcPr>
        <w:p w:rsidR="00F66947" w:rsidRPr="00802863" w:rsidRDefault="00F6694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66947" w:rsidRPr="00802863" w:rsidRDefault="00F66947" w:rsidP="00802863">
          <w:pPr>
            <w:keepNext/>
            <w:keepLines/>
            <w:widowControl w:val="0"/>
            <w:tabs>
              <w:tab w:val="left" w:pos="-1440"/>
              <w:tab w:val="left" w:pos="-720"/>
            </w:tabs>
            <w:jc w:val="center"/>
            <w:rPr>
              <w:sz w:val="20"/>
              <w:szCs w:val="20"/>
            </w:rPr>
          </w:pPr>
        </w:p>
        <w:p w:rsidR="00F66947" w:rsidRPr="00802863" w:rsidRDefault="00F66947" w:rsidP="00802863">
          <w:pPr>
            <w:keepNext/>
            <w:keepLines/>
            <w:widowControl w:val="0"/>
            <w:tabs>
              <w:tab w:val="left" w:pos="-1440"/>
              <w:tab w:val="left" w:pos="-720"/>
            </w:tabs>
            <w:jc w:val="center"/>
            <w:rPr>
              <w:sz w:val="20"/>
              <w:szCs w:val="20"/>
            </w:rPr>
          </w:pPr>
        </w:p>
        <w:p w:rsidR="00F66947" w:rsidRPr="00802863" w:rsidRDefault="00F6694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66947" w:rsidRPr="00802863" w:rsidRDefault="00F6694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66947" w:rsidRPr="009256DC" w:rsidRDefault="00F6694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66947" w:rsidRPr="00910C97">
      <w:tc>
        <w:tcPr>
          <w:tcW w:w="420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66947" w:rsidRPr="003C2C0F"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66947" w:rsidRPr="003C2C0F"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66947" w:rsidRPr="003C2C0F"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66947" w:rsidRPr="00910C97" w:rsidTr="00245129">
      <w:tc>
        <w:tcPr>
          <w:tcW w:w="4200" w:type="dxa"/>
          <w:tcMar>
            <w:left w:w="0" w:type="dxa"/>
            <w:right w:w="0" w:type="dxa"/>
          </w:tcMar>
        </w:tcPr>
        <w:p w:rsidR="00F66947" w:rsidRPr="00FF6EEC" w:rsidRDefault="00F66947" w:rsidP="00FF6EEC">
          <w:pPr>
            <w:rPr>
              <w:sz w:val="20"/>
              <w:szCs w:val="20"/>
            </w:rPr>
          </w:pPr>
          <w:r w:rsidRPr="00FF6EEC">
            <w:rPr>
              <w:sz w:val="20"/>
              <w:szCs w:val="20"/>
            </w:rPr>
            <w:t>PRONOUNCEMENTS OF APPEALS RESERVED</w:t>
          </w:r>
        </w:p>
      </w:tc>
      <w:tc>
        <w:tcPr>
          <w:tcW w:w="1200" w:type="dxa"/>
          <w:tcMar>
            <w:left w:w="0" w:type="dxa"/>
            <w:right w:w="0" w:type="dxa"/>
          </w:tcMar>
        </w:tcPr>
        <w:p w:rsidR="00F66947" w:rsidRPr="00FF6EEC" w:rsidRDefault="00F66947" w:rsidP="00FF6EEC">
          <w:pPr>
            <w:jc w:val="center"/>
            <w:rPr>
              <w:sz w:val="20"/>
              <w:szCs w:val="20"/>
            </w:rPr>
          </w:pPr>
        </w:p>
        <w:p w:rsidR="00F66947" w:rsidRPr="00FF6EEC" w:rsidRDefault="00F66947" w:rsidP="00FF6EEC">
          <w:pPr>
            <w:jc w:val="center"/>
            <w:rPr>
              <w:sz w:val="20"/>
              <w:szCs w:val="20"/>
            </w:rPr>
          </w:pPr>
        </w:p>
        <w:p w:rsidR="00F66947" w:rsidRPr="00FF6EEC" w:rsidRDefault="00F66947" w:rsidP="00FF6EEC">
          <w:pPr>
            <w:jc w:val="center"/>
            <w:rPr>
              <w:sz w:val="20"/>
              <w:szCs w:val="20"/>
            </w:rPr>
          </w:pPr>
        </w:p>
      </w:tc>
      <w:tc>
        <w:tcPr>
          <w:tcW w:w="4080" w:type="dxa"/>
          <w:tcMar>
            <w:left w:w="0" w:type="dxa"/>
            <w:right w:w="0" w:type="dxa"/>
          </w:tcMar>
        </w:tcPr>
        <w:p w:rsidR="00F66947" w:rsidRPr="00FF6EEC" w:rsidRDefault="00F66947" w:rsidP="00FF6EEC">
          <w:pPr>
            <w:rPr>
              <w:sz w:val="20"/>
              <w:szCs w:val="20"/>
              <w:lang w:val="fr-CA"/>
            </w:rPr>
          </w:pPr>
          <w:r w:rsidRPr="00FF6EEC">
            <w:rPr>
              <w:sz w:val="20"/>
              <w:szCs w:val="20"/>
              <w:lang w:val="fr-CA"/>
            </w:rPr>
            <w:t>JUGEMENTS RENDUS SUR LES APPELS EN DÉLIBÉRÉ</w:t>
          </w:r>
        </w:p>
      </w:tc>
    </w:tr>
  </w:tbl>
  <w:p w:rsidR="00F66947" w:rsidRPr="003C2C0F" w:rsidRDefault="00F6694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66947">
      <w:tc>
        <w:tcPr>
          <w:tcW w:w="423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66947"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66947" w:rsidRPr="00782AE4" w:rsidTr="00245129">
      <w:tc>
        <w:tcPr>
          <w:tcW w:w="4230" w:type="dxa"/>
          <w:tcMar>
            <w:left w:w="0" w:type="dxa"/>
            <w:right w:w="0" w:type="dxa"/>
          </w:tcMar>
        </w:tcPr>
        <w:p w:rsidR="00F66947" w:rsidRPr="00782AE4" w:rsidRDefault="00F66947" w:rsidP="00102926">
          <w:pPr>
            <w:keepNext/>
            <w:keepLines/>
            <w:tabs>
              <w:tab w:val="left" w:pos="-1440"/>
              <w:tab w:val="left" w:pos="-720"/>
            </w:tabs>
            <w:rPr>
              <w:sz w:val="20"/>
              <w:szCs w:val="20"/>
            </w:rPr>
          </w:pPr>
          <w:r w:rsidRPr="00782AE4">
            <w:rPr>
              <w:sz w:val="20"/>
              <w:szCs w:val="20"/>
            </w:rPr>
            <w:t xml:space="preserve">HEADNOTES OF RECENT </w:t>
          </w:r>
        </w:p>
        <w:p w:rsidR="00F66947" w:rsidRPr="00782AE4"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66947" w:rsidRDefault="00F66947" w:rsidP="00102926">
          <w:pPr>
            <w:keepNext/>
            <w:keepLines/>
            <w:tabs>
              <w:tab w:val="left" w:pos="-1440"/>
              <w:tab w:val="left" w:pos="-720"/>
            </w:tabs>
            <w:jc w:val="center"/>
            <w:rPr>
              <w:sz w:val="20"/>
              <w:szCs w:val="20"/>
            </w:rPr>
          </w:pPr>
        </w:p>
        <w:p w:rsidR="00F66947" w:rsidRDefault="00F66947" w:rsidP="00102926">
          <w:pPr>
            <w:keepNext/>
            <w:keepLines/>
            <w:tabs>
              <w:tab w:val="left" w:pos="-1440"/>
              <w:tab w:val="left" w:pos="-720"/>
            </w:tabs>
            <w:jc w:val="center"/>
            <w:rPr>
              <w:sz w:val="20"/>
              <w:szCs w:val="20"/>
            </w:rPr>
          </w:pPr>
        </w:p>
        <w:p w:rsidR="00F66947" w:rsidRPr="00782AE4" w:rsidRDefault="00F66947" w:rsidP="00102926">
          <w:pPr>
            <w:keepNext/>
            <w:keepLines/>
            <w:tabs>
              <w:tab w:val="left" w:pos="-1440"/>
              <w:tab w:val="left" w:pos="-720"/>
            </w:tabs>
            <w:jc w:val="center"/>
            <w:rPr>
              <w:sz w:val="20"/>
              <w:szCs w:val="20"/>
            </w:rPr>
          </w:pPr>
        </w:p>
      </w:tc>
      <w:tc>
        <w:tcPr>
          <w:tcW w:w="4080" w:type="dxa"/>
          <w:tcMar>
            <w:left w:w="0" w:type="dxa"/>
            <w:right w:w="0" w:type="dxa"/>
          </w:tcMar>
        </w:tcPr>
        <w:p w:rsidR="00F66947" w:rsidRPr="00102926"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66947" w:rsidRPr="00782AE4" w:rsidRDefault="00F66947" w:rsidP="00102926">
          <w:pPr>
            <w:keepLines/>
            <w:tabs>
              <w:tab w:val="left" w:pos="-1440"/>
              <w:tab w:val="left" w:pos="-720"/>
            </w:tabs>
            <w:rPr>
              <w:sz w:val="20"/>
              <w:szCs w:val="20"/>
            </w:rPr>
          </w:pPr>
          <w:r w:rsidRPr="00102926">
            <w:rPr>
              <w:sz w:val="20"/>
              <w:szCs w:val="20"/>
              <w:lang w:val="fr-CA"/>
            </w:rPr>
            <w:t>RÉCENTS</w:t>
          </w:r>
        </w:p>
      </w:tc>
    </w:tr>
  </w:tbl>
  <w:p w:rsidR="00F66947" w:rsidRDefault="00F6694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66947" w:rsidRPr="009F3029" w:rsidTr="00245129">
      <w:tc>
        <w:tcPr>
          <w:tcW w:w="4200" w:type="dxa"/>
          <w:tcMar>
            <w:left w:w="0" w:type="dxa"/>
            <w:right w:w="0" w:type="dxa"/>
          </w:tcMar>
        </w:tcPr>
        <w:p w:rsidR="00F66947" w:rsidRPr="0044776A" w:rsidRDefault="00F66947" w:rsidP="0044776A">
          <w:pPr>
            <w:keepNext/>
            <w:keepLines/>
            <w:widowControl w:val="0"/>
            <w:rPr>
              <w:sz w:val="20"/>
              <w:szCs w:val="20"/>
            </w:rPr>
          </w:pPr>
          <w:r>
            <w:rPr>
              <w:sz w:val="20"/>
              <w:szCs w:val="20"/>
            </w:rPr>
            <w:t>APPLICATIONS FOR LEAVE</w:t>
          </w:r>
        </w:p>
        <w:p w:rsidR="00F66947" w:rsidRPr="0044776A" w:rsidRDefault="00F6694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66947" w:rsidRPr="0044776A" w:rsidRDefault="00F66947" w:rsidP="0044776A">
          <w:pPr>
            <w:keepNext/>
            <w:keepLines/>
            <w:widowControl w:val="0"/>
            <w:jc w:val="center"/>
            <w:rPr>
              <w:sz w:val="20"/>
              <w:szCs w:val="20"/>
            </w:rPr>
          </w:pPr>
        </w:p>
        <w:p w:rsidR="00F66947" w:rsidRPr="0044776A" w:rsidRDefault="00F66947" w:rsidP="0044776A">
          <w:pPr>
            <w:keepNext/>
            <w:keepLines/>
            <w:widowControl w:val="0"/>
            <w:jc w:val="center"/>
            <w:rPr>
              <w:sz w:val="20"/>
              <w:szCs w:val="20"/>
            </w:rPr>
          </w:pPr>
        </w:p>
        <w:p w:rsidR="00F66947" w:rsidRPr="0044776A" w:rsidRDefault="00F66947" w:rsidP="0044776A">
          <w:pPr>
            <w:keepNext/>
            <w:keepLines/>
            <w:widowControl w:val="0"/>
            <w:jc w:val="center"/>
            <w:rPr>
              <w:sz w:val="20"/>
              <w:szCs w:val="20"/>
            </w:rPr>
          </w:pPr>
        </w:p>
      </w:tc>
      <w:tc>
        <w:tcPr>
          <w:tcW w:w="4080" w:type="dxa"/>
          <w:tcMar>
            <w:left w:w="0" w:type="dxa"/>
            <w:right w:w="0" w:type="dxa"/>
          </w:tcMar>
        </w:tcPr>
        <w:p w:rsidR="00F66947" w:rsidRPr="0044776A" w:rsidRDefault="00F66947" w:rsidP="0044776A">
          <w:pPr>
            <w:keepLines/>
            <w:widowControl w:val="0"/>
            <w:rPr>
              <w:sz w:val="20"/>
              <w:szCs w:val="20"/>
              <w:lang w:val="fr-CA"/>
            </w:rPr>
          </w:pPr>
          <w:r w:rsidRPr="0044776A">
            <w:rPr>
              <w:sz w:val="20"/>
              <w:szCs w:val="20"/>
              <w:lang w:val="fr-CA"/>
            </w:rPr>
            <w:t>DEMANDES SOUMISES À LA COUR DEPUIS LA DERNIÈRE PARUTION</w:t>
          </w:r>
        </w:p>
        <w:p w:rsidR="00F66947" w:rsidRPr="0044776A" w:rsidRDefault="00F66947" w:rsidP="0044776A">
          <w:pPr>
            <w:widowControl w:val="0"/>
            <w:rPr>
              <w:sz w:val="20"/>
              <w:szCs w:val="20"/>
              <w:lang w:val="fr-CA"/>
            </w:rPr>
          </w:pPr>
        </w:p>
      </w:tc>
    </w:tr>
  </w:tbl>
  <w:p w:rsidR="00F66947" w:rsidRPr="002E2327" w:rsidRDefault="00F6694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66947" w:rsidRPr="009F3029">
      <w:tc>
        <w:tcPr>
          <w:tcW w:w="420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66947"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66947" w:rsidRPr="00FF6BA5"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66947" w:rsidRPr="00FF6BA5"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66947" w:rsidRPr="00FF6BA5"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66947" w:rsidRPr="00FF6BA5"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66947" w:rsidRPr="009F3029" w:rsidTr="00245129">
      <w:tc>
        <w:tcPr>
          <w:tcW w:w="4200" w:type="dxa"/>
          <w:tcMar>
            <w:left w:w="0" w:type="dxa"/>
            <w:right w:w="0" w:type="dxa"/>
          </w:tcMar>
        </w:tcPr>
        <w:p w:rsidR="00F66947" w:rsidRPr="00755F22"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66947" w:rsidRPr="00755F22"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66947" w:rsidRPr="00755F22" w:rsidRDefault="00F669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66947" w:rsidRPr="00755F22" w:rsidRDefault="00F669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66947" w:rsidRPr="00755F22" w:rsidRDefault="00F669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66947" w:rsidRPr="00755F22"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66947" w:rsidRPr="00FF6BA5" w:rsidRDefault="00F6694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47" w:rsidRDefault="00F669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66947">
      <w:tc>
        <w:tcPr>
          <w:tcW w:w="4230" w:type="dxa"/>
          <w:tcMar>
            <w:left w:w="0" w:type="dxa"/>
            <w:right w:w="0" w:type="dxa"/>
          </w:tcMar>
        </w:tcPr>
        <w:p w:rsidR="00F66947" w:rsidRDefault="00F669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66947"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66947" w:rsidRDefault="00F669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66947">
      <w:trPr>
        <w:gridAfter w:val="2"/>
        <w:wAfter w:w="5250" w:type="dxa"/>
      </w:trPr>
      <w:tc>
        <w:tcPr>
          <w:tcW w:w="4230" w:type="dxa"/>
          <w:tcMar>
            <w:left w:w="0" w:type="dxa"/>
            <w:right w:w="0" w:type="dxa"/>
          </w:tcMar>
        </w:tcPr>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66947" w:rsidRDefault="00F6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66947" w:rsidRPr="00755F22" w:rsidTr="00245129">
      <w:tc>
        <w:tcPr>
          <w:tcW w:w="4230" w:type="dxa"/>
          <w:tcMar>
            <w:left w:w="0" w:type="dxa"/>
            <w:right w:w="0" w:type="dxa"/>
          </w:tcMar>
        </w:tcPr>
        <w:p w:rsidR="00F66947" w:rsidRPr="00755F22" w:rsidRDefault="00F66947" w:rsidP="00831CA9">
          <w:pPr>
            <w:keepNext/>
            <w:keepLines/>
            <w:rPr>
              <w:sz w:val="20"/>
              <w:szCs w:val="20"/>
            </w:rPr>
          </w:pPr>
          <w:r w:rsidRPr="00755F22">
            <w:rPr>
              <w:sz w:val="20"/>
              <w:szCs w:val="20"/>
            </w:rPr>
            <w:t>MOTIONS</w:t>
          </w:r>
        </w:p>
      </w:tc>
      <w:tc>
        <w:tcPr>
          <w:tcW w:w="1170" w:type="dxa"/>
          <w:tcMar>
            <w:left w:w="0" w:type="dxa"/>
            <w:right w:w="0" w:type="dxa"/>
          </w:tcMar>
        </w:tcPr>
        <w:p w:rsidR="00F66947" w:rsidRPr="00755F22" w:rsidRDefault="00F66947" w:rsidP="00831CA9">
          <w:pPr>
            <w:keepLines/>
            <w:jc w:val="center"/>
            <w:rPr>
              <w:sz w:val="20"/>
              <w:szCs w:val="20"/>
            </w:rPr>
          </w:pPr>
        </w:p>
        <w:p w:rsidR="00F66947" w:rsidRPr="00755F22" w:rsidRDefault="00F66947" w:rsidP="00831CA9">
          <w:pPr>
            <w:keepLines/>
            <w:tabs>
              <w:tab w:val="left" w:pos="-1440"/>
              <w:tab w:val="left" w:pos="-720"/>
            </w:tabs>
            <w:jc w:val="center"/>
            <w:rPr>
              <w:sz w:val="20"/>
              <w:szCs w:val="20"/>
            </w:rPr>
          </w:pPr>
        </w:p>
      </w:tc>
      <w:tc>
        <w:tcPr>
          <w:tcW w:w="4080" w:type="dxa"/>
          <w:tcMar>
            <w:left w:w="0" w:type="dxa"/>
            <w:right w:w="0" w:type="dxa"/>
          </w:tcMar>
        </w:tcPr>
        <w:p w:rsidR="00F66947" w:rsidRPr="00BA6468" w:rsidRDefault="00F66947" w:rsidP="00BA6468">
          <w:pPr>
            <w:keepLines/>
            <w:rPr>
              <w:sz w:val="20"/>
              <w:szCs w:val="20"/>
              <w:lang w:val="fr-CA"/>
            </w:rPr>
          </w:pPr>
          <w:r w:rsidRPr="00BA6468">
            <w:rPr>
              <w:sz w:val="20"/>
              <w:szCs w:val="20"/>
              <w:lang w:val="fr-CA"/>
            </w:rPr>
            <w:t>REQUÊTES</w:t>
          </w:r>
        </w:p>
      </w:tc>
    </w:tr>
  </w:tbl>
  <w:p w:rsidR="00F66947" w:rsidRDefault="00F6694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F"/>
    <w:rsid w:val="000001B5"/>
    <w:rsid w:val="00002704"/>
    <w:rsid w:val="00004181"/>
    <w:rsid w:val="00020DC3"/>
    <w:rsid w:val="00023774"/>
    <w:rsid w:val="000245FA"/>
    <w:rsid w:val="0003168D"/>
    <w:rsid w:val="0003223B"/>
    <w:rsid w:val="000327B2"/>
    <w:rsid w:val="00035E4A"/>
    <w:rsid w:val="0004528B"/>
    <w:rsid w:val="00053B41"/>
    <w:rsid w:val="00064FBA"/>
    <w:rsid w:val="00073862"/>
    <w:rsid w:val="00091FA6"/>
    <w:rsid w:val="000929F8"/>
    <w:rsid w:val="00096BD9"/>
    <w:rsid w:val="000B3C9A"/>
    <w:rsid w:val="000B40A2"/>
    <w:rsid w:val="000B4624"/>
    <w:rsid w:val="000C0ACD"/>
    <w:rsid w:val="000C0D2A"/>
    <w:rsid w:val="000C5CE8"/>
    <w:rsid w:val="000D7CE3"/>
    <w:rsid w:val="000E27A5"/>
    <w:rsid w:val="000E2959"/>
    <w:rsid w:val="000E41A9"/>
    <w:rsid w:val="000F0B60"/>
    <w:rsid w:val="000F4E44"/>
    <w:rsid w:val="00100085"/>
    <w:rsid w:val="00102926"/>
    <w:rsid w:val="0010587F"/>
    <w:rsid w:val="00111C6B"/>
    <w:rsid w:val="0012102B"/>
    <w:rsid w:val="00124F91"/>
    <w:rsid w:val="00126689"/>
    <w:rsid w:val="001301C8"/>
    <w:rsid w:val="0013369E"/>
    <w:rsid w:val="00135AD3"/>
    <w:rsid w:val="00146B77"/>
    <w:rsid w:val="00151AC4"/>
    <w:rsid w:val="00164E6D"/>
    <w:rsid w:val="00165F6D"/>
    <w:rsid w:val="0017498F"/>
    <w:rsid w:val="001828DC"/>
    <w:rsid w:val="00183454"/>
    <w:rsid w:val="001906F2"/>
    <w:rsid w:val="001939CF"/>
    <w:rsid w:val="001B157C"/>
    <w:rsid w:val="001B4006"/>
    <w:rsid w:val="001B5C23"/>
    <w:rsid w:val="001C4426"/>
    <w:rsid w:val="001D0D5F"/>
    <w:rsid w:val="001D6B8C"/>
    <w:rsid w:val="001F1F83"/>
    <w:rsid w:val="001F40DF"/>
    <w:rsid w:val="001F6B2D"/>
    <w:rsid w:val="001F6C41"/>
    <w:rsid w:val="002021A9"/>
    <w:rsid w:val="00203774"/>
    <w:rsid w:val="00204B67"/>
    <w:rsid w:val="002139A7"/>
    <w:rsid w:val="00215F7C"/>
    <w:rsid w:val="002212C9"/>
    <w:rsid w:val="0022323B"/>
    <w:rsid w:val="0022720D"/>
    <w:rsid w:val="00233B01"/>
    <w:rsid w:val="00240C42"/>
    <w:rsid w:val="002410B8"/>
    <w:rsid w:val="00242AEE"/>
    <w:rsid w:val="00245129"/>
    <w:rsid w:val="00245879"/>
    <w:rsid w:val="0026725E"/>
    <w:rsid w:val="00267FD5"/>
    <w:rsid w:val="00273135"/>
    <w:rsid w:val="00274D34"/>
    <w:rsid w:val="00275F20"/>
    <w:rsid w:val="00276DEA"/>
    <w:rsid w:val="00283ED8"/>
    <w:rsid w:val="00284E4B"/>
    <w:rsid w:val="002868D0"/>
    <w:rsid w:val="002A008C"/>
    <w:rsid w:val="002A27D1"/>
    <w:rsid w:val="002A4AFA"/>
    <w:rsid w:val="002B516C"/>
    <w:rsid w:val="002C243F"/>
    <w:rsid w:val="002D3CDA"/>
    <w:rsid w:val="002D72EB"/>
    <w:rsid w:val="002E2327"/>
    <w:rsid w:val="002E3583"/>
    <w:rsid w:val="002E5576"/>
    <w:rsid w:val="002F32B3"/>
    <w:rsid w:val="002F3867"/>
    <w:rsid w:val="002F4200"/>
    <w:rsid w:val="002F5BF9"/>
    <w:rsid w:val="0030050B"/>
    <w:rsid w:val="00300B92"/>
    <w:rsid w:val="00331B52"/>
    <w:rsid w:val="003359D3"/>
    <w:rsid w:val="00353801"/>
    <w:rsid w:val="00355967"/>
    <w:rsid w:val="00360FCF"/>
    <w:rsid w:val="00382C47"/>
    <w:rsid w:val="00384384"/>
    <w:rsid w:val="003866AE"/>
    <w:rsid w:val="00390398"/>
    <w:rsid w:val="003B3977"/>
    <w:rsid w:val="003C3FF8"/>
    <w:rsid w:val="003E1D4C"/>
    <w:rsid w:val="004137A0"/>
    <w:rsid w:val="00414618"/>
    <w:rsid w:val="00422D9A"/>
    <w:rsid w:val="00432989"/>
    <w:rsid w:val="0043599B"/>
    <w:rsid w:val="00440E24"/>
    <w:rsid w:val="00443DAA"/>
    <w:rsid w:val="0044776A"/>
    <w:rsid w:val="00460AFC"/>
    <w:rsid w:val="0046339D"/>
    <w:rsid w:val="0047471F"/>
    <w:rsid w:val="004A459F"/>
    <w:rsid w:val="004A57A7"/>
    <w:rsid w:val="004B195E"/>
    <w:rsid w:val="004B66B4"/>
    <w:rsid w:val="004B7F60"/>
    <w:rsid w:val="004C1AAC"/>
    <w:rsid w:val="004D08D5"/>
    <w:rsid w:val="004D1F56"/>
    <w:rsid w:val="004E1E0A"/>
    <w:rsid w:val="004F090E"/>
    <w:rsid w:val="00501F3C"/>
    <w:rsid w:val="00510954"/>
    <w:rsid w:val="0052229C"/>
    <w:rsid w:val="005236C8"/>
    <w:rsid w:val="0052683C"/>
    <w:rsid w:val="00527434"/>
    <w:rsid w:val="00527CC7"/>
    <w:rsid w:val="0056685F"/>
    <w:rsid w:val="00571702"/>
    <w:rsid w:val="00571CA4"/>
    <w:rsid w:val="0057551D"/>
    <w:rsid w:val="00582136"/>
    <w:rsid w:val="005B49E5"/>
    <w:rsid w:val="005C6840"/>
    <w:rsid w:val="005D70C7"/>
    <w:rsid w:val="005F1ED8"/>
    <w:rsid w:val="005F263E"/>
    <w:rsid w:val="005F31B9"/>
    <w:rsid w:val="00600252"/>
    <w:rsid w:val="00612A40"/>
    <w:rsid w:val="0061355E"/>
    <w:rsid w:val="0062714A"/>
    <w:rsid w:val="006729A0"/>
    <w:rsid w:val="00675479"/>
    <w:rsid w:val="00680709"/>
    <w:rsid w:val="00681F61"/>
    <w:rsid w:val="006903C3"/>
    <w:rsid w:val="006915BD"/>
    <w:rsid w:val="00696BF9"/>
    <w:rsid w:val="00697C62"/>
    <w:rsid w:val="006A1666"/>
    <w:rsid w:val="006A329B"/>
    <w:rsid w:val="006A7EB8"/>
    <w:rsid w:val="006B6926"/>
    <w:rsid w:val="006C3F47"/>
    <w:rsid w:val="006C5F7A"/>
    <w:rsid w:val="006D32E7"/>
    <w:rsid w:val="006D3C6B"/>
    <w:rsid w:val="006D5029"/>
    <w:rsid w:val="006E06AF"/>
    <w:rsid w:val="006E6ABC"/>
    <w:rsid w:val="006F350F"/>
    <w:rsid w:val="006F470D"/>
    <w:rsid w:val="006F65F7"/>
    <w:rsid w:val="0071336F"/>
    <w:rsid w:val="00732DB7"/>
    <w:rsid w:val="007415D1"/>
    <w:rsid w:val="0074238B"/>
    <w:rsid w:val="00745EF7"/>
    <w:rsid w:val="00755F22"/>
    <w:rsid w:val="00760821"/>
    <w:rsid w:val="00763EAC"/>
    <w:rsid w:val="00766E4A"/>
    <w:rsid w:val="007820CE"/>
    <w:rsid w:val="00782AE4"/>
    <w:rsid w:val="00783CA1"/>
    <w:rsid w:val="0079724F"/>
    <w:rsid w:val="007A3EAE"/>
    <w:rsid w:val="007C04FC"/>
    <w:rsid w:val="007C3743"/>
    <w:rsid w:val="007C3DB0"/>
    <w:rsid w:val="007C47C2"/>
    <w:rsid w:val="007C712A"/>
    <w:rsid w:val="007D3E0F"/>
    <w:rsid w:val="007E3F99"/>
    <w:rsid w:val="007E4282"/>
    <w:rsid w:val="007F387B"/>
    <w:rsid w:val="00802863"/>
    <w:rsid w:val="008112A9"/>
    <w:rsid w:val="00812018"/>
    <w:rsid w:val="0081473A"/>
    <w:rsid w:val="00815B3C"/>
    <w:rsid w:val="0081610A"/>
    <w:rsid w:val="008269A1"/>
    <w:rsid w:val="0082783A"/>
    <w:rsid w:val="008304C7"/>
    <w:rsid w:val="00831CA9"/>
    <w:rsid w:val="00843538"/>
    <w:rsid w:val="00850E1F"/>
    <w:rsid w:val="0085476B"/>
    <w:rsid w:val="0086340B"/>
    <w:rsid w:val="0087766A"/>
    <w:rsid w:val="00882854"/>
    <w:rsid w:val="008902B1"/>
    <w:rsid w:val="008905CF"/>
    <w:rsid w:val="00890FEB"/>
    <w:rsid w:val="00895E7E"/>
    <w:rsid w:val="008A43E0"/>
    <w:rsid w:val="008A5C1A"/>
    <w:rsid w:val="008A719E"/>
    <w:rsid w:val="008C06D2"/>
    <w:rsid w:val="008D292F"/>
    <w:rsid w:val="008D4EDC"/>
    <w:rsid w:val="008E03DC"/>
    <w:rsid w:val="008E4761"/>
    <w:rsid w:val="008F2594"/>
    <w:rsid w:val="008F283F"/>
    <w:rsid w:val="00902E51"/>
    <w:rsid w:val="00910C97"/>
    <w:rsid w:val="00913A56"/>
    <w:rsid w:val="00917CC4"/>
    <w:rsid w:val="00924065"/>
    <w:rsid w:val="00930D68"/>
    <w:rsid w:val="00932DB4"/>
    <w:rsid w:val="00937BEE"/>
    <w:rsid w:val="00941A4B"/>
    <w:rsid w:val="00946242"/>
    <w:rsid w:val="0095096B"/>
    <w:rsid w:val="009542BF"/>
    <w:rsid w:val="00965E22"/>
    <w:rsid w:val="00970CD3"/>
    <w:rsid w:val="009723FA"/>
    <w:rsid w:val="00973EDF"/>
    <w:rsid w:val="00974501"/>
    <w:rsid w:val="00982C2B"/>
    <w:rsid w:val="00984546"/>
    <w:rsid w:val="00995AAD"/>
    <w:rsid w:val="00996510"/>
    <w:rsid w:val="009D18B6"/>
    <w:rsid w:val="009D1F15"/>
    <w:rsid w:val="009D555E"/>
    <w:rsid w:val="009E1FCF"/>
    <w:rsid w:val="009F3024"/>
    <w:rsid w:val="009F3029"/>
    <w:rsid w:val="009F39BA"/>
    <w:rsid w:val="009F76E0"/>
    <w:rsid w:val="00A0355E"/>
    <w:rsid w:val="00A1150B"/>
    <w:rsid w:val="00A16920"/>
    <w:rsid w:val="00A33223"/>
    <w:rsid w:val="00A372A7"/>
    <w:rsid w:val="00A375D1"/>
    <w:rsid w:val="00A51D10"/>
    <w:rsid w:val="00A51D92"/>
    <w:rsid w:val="00A52A83"/>
    <w:rsid w:val="00A6552C"/>
    <w:rsid w:val="00A807ED"/>
    <w:rsid w:val="00A87207"/>
    <w:rsid w:val="00A935AA"/>
    <w:rsid w:val="00A956D3"/>
    <w:rsid w:val="00AB0ABC"/>
    <w:rsid w:val="00AB2201"/>
    <w:rsid w:val="00AC05E3"/>
    <w:rsid w:val="00AD1D34"/>
    <w:rsid w:val="00AD3259"/>
    <w:rsid w:val="00AF1715"/>
    <w:rsid w:val="00AF3904"/>
    <w:rsid w:val="00B010C0"/>
    <w:rsid w:val="00B36E5A"/>
    <w:rsid w:val="00B417EE"/>
    <w:rsid w:val="00B46FAB"/>
    <w:rsid w:val="00B4740D"/>
    <w:rsid w:val="00B56816"/>
    <w:rsid w:val="00B61629"/>
    <w:rsid w:val="00B62C78"/>
    <w:rsid w:val="00B7374B"/>
    <w:rsid w:val="00B90DC0"/>
    <w:rsid w:val="00B944C8"/>
    <w:rsid w:val="00B97F6A"/>
    <w:rsid w:val="00BA116A"/>
    <w:rsid w:val="00BA5582"/>
    <w:rsid w:val="00BA6468"/>
    <w:rsid w:val="00BB1D44"/>
    <w:rsid w:val="00BB3524"/>
    <w:rsid w:val="00BD06DA"/>
    <w:rsid w:val="00BD4217"/>
    <w:rsid w:val="00BE5704"/>
    <w:rsid w:val="00BF25F3"/>
    <w:rsid w:val="00C1697B"/>
    <w:rsid w:val="00C21644"/>
    <w:rsid w:val="00C21CB5"/>
    <w:rsid w:val="00C22014"/>
    <w:rsid w:val="00C46376"/>
    <w:rsid w:val="00C50448"/>
    <w:rsid w:val="00C50A5C"/>
    <w:rsid w:val="00C50FDF"/>
    <w:rsid w:val="00C63381"/>
    <w:rsid w:val="00C643DA"/>
    <w:rsid w:val="00C73D06"/>
    <w:rsid w:val="00C73E1B"/>
    <w:rsid w:val="00C7566C"/>
    <w:rsid w:val="00C759B4"/>
    <w:rsid w:val="00C77713"/>
    <w:rsid w:val="00C85BB7"/>
    <w:rsid w:val="00CA2DEA"/>
    <w:rsid w:val="00CB3520"/>
    <w:rsid w:val="00CB43D5"/>
    <w:rsid w:val="00CC4D84"/>
    <w:rsid w:val="00CE198A"/>
    <w:rsid w:val="00CF08C8"/>
    <w:rsid w:val="00D004FC"/>
    <w:rsid w:val="00D00D70"/>
    <w:rsid w:val="00D36B56"/>
    <w:rsid w:val="00D64901"/>
    <w:rsid w:val="00D76BDF"/>
    <w:rsid w:val="00D818B6"/>
    <w:rsid w:val="00D862C1"/>
    <w:rsid w:val="00D86DBF"/>
    <w:rsid w:val="00D93B50"/>
    <w:rsid w:val="00D94028"/>
    <w:rsid w:val="00D94670"/>
    <w:rsid w:val="00DA46F6"/>
    <w:rsid w:val="00DD0B49"/>
    <w:rsid w:val="00DD2353"/>
    <w:rsid w:val="00DD39BD"/>
    <w:rsid w:val="00DE0502"/>
    <w:rsid w:val="00DE349D"/>
    <w:rsid w:val="00DF52C8"/>
    <w:rsid w:val="00E06DFA"/>
    <w:rsid w:val="00E16C5A"/>
    <w:rsid w:val="00E20A0A"/>
    <w:rsid w:val="00E21ABE"/>
    <w:rsid w:val="00E240C2"/>
    <w:rsid w:val="00E356C7"/>
    <w:rsid w:val="00E40330"/>
    <w:rsid w:val="00E414CA"/>
    <w:rsid w:val="00E41A5A"/>
    <w:rsid w:val="00E45FE4"/>
    <w:rsid w:val="00E64FA7"/>
    <w:rsid w:val="00E71E2A"/>
    <w:rsid w:val="00E770CB"/>
    <w:rsid w:val="00E903A1"/>
    <w:rsid w:val="00E92741"/>
    <w:rsid w:val="00E940EB"/>
    <w:rsid w:val="00E9703F"/>
    <w:rsid w:val="00EA3E46"/>
    <w:rsid w:val="00EB1797"/>
    <w:rsid w:val="00EB2B90"/>
    <w:rsid w:val="00EC0472"/>
    <w:rsid w:val="00EC22D2"/>
    <w:rsid w:val="00ED734E"/>
    <w:rsid w:val="00ED7E83"/>
    <w:rsid w:val="00EE091F"/>
    <w:rsid w:val="00EE0DDF"/>
    <w:rsid w:val="00EE33D9"/>
    <w:rsid w:val="00EE3B45"/>
    <w:rsid w:val="00EF1F7C"/>
    <w:rsid w:val="00EF3777"/>
    <w:rsid w:val="00EF4038"/>
    <w:rsid w:val="00EF4B63"/>
    <w:rsid w:val="00F0068D"/>
    <w:rsid w:val="00F0576D"/>
    <w:rsid w:val="00F14E6D"/>
    <w:rsid w:val="00F15EA8"/>
    <w:rsid w:val="00F16C8D"/>
    <w:rsid w:val="00F17B8E"/>
    <w:rsid w:val="00F26C61"/>
    <w:rsid w:val="00F33CCE"/>
    <w:rsid w:val="00F40249"/>
    <w:rsid w:val="00F526C8"/>
    <w:rsid w:val="00F66947"/>
    <w:rsid w:val="00F761A3"/>
    <w:rsid w:val="00F87FAB"/>
    <w:rsid w:val="00F9272D"/>
    <w:rsid w:val="00F94DF1"/>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BE5704"/>
    <w:pPr>
      <w:jc w:val="both"/>
    </w:pPr>
    <w:rPr>
      <w:smallCaps/>
    </w:rPr>
  </w:style>
  <w:style w:type="character" w:customStyle="1" w:styleId="SCCBanSummaryChar">
    <w:name w:val="SCC.BanSummary Char"/>
    <w:basedOn w:val="DefaultParagraphFont"/>
    <w:link w:val="SCCBanSummary"/>
    <w:rsid w:val="00BE5704"/>
    <w:rPr>
      <w:smallCaps/>
      <w:lang w:val="en-CA"/>
    </w:rPr>
  </w:style>
  <w:style w:type="character" w:customStyle="1" w:styleId="citationcar">
    <w:name w:val="citationcar"/>
    <w:basedOn w:val="DefaultParagraphFont"/>
    <w:rsid w:val="00A16920"/>
  </w:style>
  <w:style w:type="paragraph" w:styleId="BalloonText">
    <w:name w:val="Balloon Text"/>
    <w:basedOn w:val="Normal"/>
    <w:link w:val="BalloonTextChar"/>
    <w:uiPriority w:val="99"/>
    <w:semiHidden/>
    <w:unhideWhenUsed/>
    <w:rsid w:val="005B4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E5"/>
    <w:rPr>
      <w:rFonts w:ascii="Segoe UI" w:hAnsi="Segoe UI" w:cs="Segoe UI"/>
      <w:sz w:val="18"/>
      <w:szCs w:val="18"/>
      <w:lang w:val="en-CA"/>
    </w:rPr>
  </w:style>
  <w:style w:type="table" w:customStyle="1" w:styleId="TableGrid2">
    <w:name w:val="Table Grid2"/>
    <w:basedOn w:val="TableNormal"/>
    <w:next w:val="TableGrid"/>
    <w:uiPriority w:val="59"/>
    <w:rsid w:val="00151AC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53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97">
      <w:bodyDiv w:val="1"/>
      <w:marLeft w:val="0"/>
      <w:marRight w:val="0"/>
      <w:marTop w:val="0"/>
      <w:marBottom w:val="0"/>
      <w:divBdr>
        <w:top w:val="none" w:sz="0" w:space="0" w:color="auto"/>
        <w:left w:val="none" w:sz="0" w:space="0" w:color="auto"/>
        <w:bottom w:val="none" w:sz="0" w:space="0" w:color="auto"/>
        <w:right w:val="none" w:sz="0" w:space="0" w:color="auto"/>
      </w:divBdr>
    </w:div>
    <w:div w:id="10183373">
      <w:bodyDiv w:val="1"/>
      <w:marLeft w:val="0"/>
      <w:marRight w:val="0"/>
      <w:marTop w:val="0"/>
      <w:marBottom w:val="0"/>
      <w:divBdr>
        <w:top w:val="none" w:sz="0" w:space="0" w:color="auto"/>
        <w:left w:val="none" w:sz="0" w:space="0" w:color="auto"/>
        <w:bottom w:val="none" w:sz="0" w:space="0" w:color="auto"/>
        <w:right w:val="none" w:sz="0" w:space="0" w:color="auto"/>
      </w:divBdr>
    </w:div>
    <w:div w:id="25715549">
      <w:bodyDiv w:val="1"/>
      <w:marLeft w:val="0"/>
      <w:marRight w:val="0"/>
      <w:marTop w:val="0"/>
      <w:marBottom w:val="0"/>
      <w:divBdr>
        <w:top w:val="none" w:sz="0" w:space="0" w:color="auto"/>
        <w:left w:val="none" w:sz="0" w:space="0" w:color="auto"/>
        <w:bottom w:val="none" w:sz="0" w:space="0" w:color="auto"/>
        <w:right w:val="none" w:sz="0" w:space="0" w:color="auto"/>
      </w:divBdr>
    </w:div>
    <w:div w:id="26569562">
      <w:bodyDiv w:val="1"/>
      <w:marLeft w:val="0"/>
      <w:marRight w:val="0"/>
      <w:marTop w:val="0"/>
      <w:marBottom w:val="0"/>
      <w:divBdr>
        <w:top w:val="none" w:sz="0" w:space="0" w:color="auto"/>
        <w:left w:val="none" w:sz="0" w:space="0" w:color="auto"/>
        <w:bottom w:val="none" w:sz="0" w:space="0" w:color="auto"/>
        <w:right w:val="none" w:sz="0" w:space="0" w:color="auto"/>
      </w:divBdr>
    </w:div>
    <w:div w:id="54471697">
      <w:bodyDiv w:val="1"/>
      <w:marLeft w:val="0"/>
      <w:marRight w:val="0"/>
      <w:marTop w:val="0"/>
      <w:marBottom w:val="0"/>
      <w:divBdr>
        <w:top w:val="none" w:sz="0" w:space="0" w:color="auto"/>
        <w:left w:val="none" w:sz="0" w:space="0" w:color="auto"/>
        <w:bottom w:val="none" w:sz="0" w:space="0" w:color="auto"/>
        <w:right w:val="none" w:sz="0" w:space="0" w:color="auto"/>
      </w:divBdr>
    </w:div>
    <w:div w:id="81797759">
      <w:bodyDiv w:val="1"/>
      <w:marLeft w:val="0"/>
      <w:marRight w:val="0"/>
      <w:marTop w:val="0"/>
      <w:marBottom w:val="0"/>
      <w:divBdr>
        <w:top w:val="none" w:sz="0" w:space="0" w:color="auto"/>
        <w:left w:val="none" w:sz="0" w:space="0" w:color="auto"/>
        <w:bottom w:val="none" w:sz="0" w:space="0" w:color="auto"/>
        <w:right w:val="none" w:sz="0" w:space="0" w:color="auto"/>
      </w:divBdr>
    </w:div>
    <w:div w:id="94643860">
      <w:bodyDiv w:val="1"/>
      <w:marLeft w:val="0"/>
      <w:marRight w:val="0"/>
      <w:marTop w:val="0"/>
      <w:marBottom w:val="0"/>
      <w:divBdr>
        <w:top w:val="none" w:sz="0" w:space="0" w:color="auto"/>
        <w:left w:val="none" w:sz="0" w:space="0" w:color="auto"/>
        <w:bottom w:val="none" w:sz="0" w:space="0" w:color="auto"/>
        <w:right w:val="none" w:sz="0" w:space="0" w:color="auto"/>
      </w:divBdr>
    </w:div>
    <w:div w:id="142048748">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86912307">
      <w:bodyDiv w:val="1"/>
      <w:marLeft w:val="0"/>
      <w:marRight w:val="0"/>
      <w:marTop w:val="0"/>
      <w:marBottom w:val="0"/>
      <w:divBdr>
        <w:top w:val="none" w:sz="0" w:space="0" w:color="auto"/>
        <w:left w:val="none" w:sz="0" w:space="0" w:color="auto"/>
        <w:bottom w:val="none" w:sz="0" w:space="0" w:color="auto"/>
        <w:right w:val="none" w:sz="0" w:space="0" w:color="auto"/>
      </w:divBdr>
    </w:div>
    <w:div w:id="187568612">
      <w:bodyDiv w:val="1"/>
      <w:marLeft w:val="0"/>
      <w:marRight w:val="0"/>
      <w:marTop w:val="0"/>
      <w:marBottom w:val="0"/>
      <w:divBdr>
        <w:top w:val="none" w:sz="0" w:space="0" w:color="auto"/>
        <w:left w:val="none" w:sz="0" w:space="0" w:color="auto"/>
        <w:bottom w:val="none" w:sz="0" w:space="0" w:color="auto"/>
        <w:right w:val="none" w:sz="0" w:space="0" w:color="auto"/>
      </w:divBdr>
    </w:div>
    <w:div w:id="195584331">
      <w:bodyDiv w:val="1"/>
      <w:marLeft w:val="0"/>
      <w:marRight w:val="0"/>
      <w:marTop w:val="0"/>
      <w:marBottom w:val="0"/>
      <w:divBdr>
        <w:top w:val="none" w:sz="0" w:space="0" w:color="auto"/>
        <w:left w:val="none" w:sz="0" w:space="0" w:color="auto"/>
        <w:bottom w:val="none" w:sz="0" w:space="0" w:color="auto"/>
        <w:right w:val="none" w:sz="0" w:space="0" w:color="auto"/>
      </w:divBdr>
    </w:div>
    <w:div w:id="213154238">
      <w:bodyDiv w:val="1"/>
      <w:marLeft w:val="0"/>
      <w:marRight w:val="0"/>
      <w:marTop w:val="0"/>
      <w:marBottom w:val="0"/>
      <w:divBdr>
        <w:top w:val="none" w:sz="0" w:space="0" w:color="auto"/>
        <w:left w:val="none" w:sz="0" w:space="0" w:color="auto"/>
        <w:bottom w:val="none" w:sz="0" w:space="0" w:color="auto"/>
        <w:right w:val="none" w:sz="0" w:space="0" w:color="auto"/>
      </w:divBdr>
    </w:div>
    <w:div w:id="251011795">
      <w:bodyDiv w:val="1"/>
      <w:marLeft w:val="0"/>
      <w:marRight w:val="0"/>
      <w:marTop w:val="0"/>
      <w:marBottom w:val="0"/>
      <w:divBdr>
        <w:top w:val="none" w:sz="0" w:space="0" w:color="auto"/>
        <w:left w:val="none" w:sz="0" w:space="0" w:color="auto"/>
        <w:bottom w:val="none" w:sz="0" w:space="0" w:color="auto"/>
        <w:right w:val="none" w:sz="0" w:space="0" w:color="auto"/>
      </w:divBdr>
    </w:div>
    <w:div w:id="254827687">
      <w:bodyDiv w:val="1"/>
      <w:marLeft w:val="0"/>
      <w:marRight w:val="0"/>
      <w:marTop w:val="0"/>
      <w:marBottom w:val="0"/>
      <w:divBdr>
        <w:top w:val="none" w:sz="0" w:space="0" w:color="auto"/>
        <w:left w:val="none" w:sz="0" w:space="0" w:color="auto"/>
        <w:bottom w:val="none" w:sz="0" w:space="0" w:color="auto"/>
        <w:right w:val="none" w:sz="0" w:space="0" w:color="auto"/>
      </w:divBdr>
    </w:div>
    <w:div w:id="257949746">
      <w:bodyDiv w:val="1"/>
      <w:marLeft w:val="0"/>
      <w:marRight w:val="0"/>
      <w:marTop w:val="0"/>
      <w:marBottom w:val="0"/>
      <w:divBdr>
        <w:top w:val="none" w:sz="0" w:space="0" w:color="auto"/>
        <w:left w:val="none" w:sz="0" w:space="0" w:color="auto"/>
        <w:bottom w:val="none" w:sz="0" w:space="0" w:color="auto"/>
        <w:right w:val="none" w:sz="0" w:space="0" w:color="auto"/>
      </w:divBdr>
    </w:div>
    <w:div w:id="268894389">
      <w:bodyDiv w:val="1"/>
      <w:marLeft w:val="0"/>
      <w:marRight w:val="0"/>
      <w:marTop w:val="0"/>
      <w:marBottom w:val="0"/>
      <w:divBdr>
        <w:top w:val="none" w:sz="0" w:space="0" w:color="auto"/>
        <w:left w:val="none" w:sz="0" w:space="0" w:color="auto"/>
        <w:bottom w:val="none" w:sz="0" w:space="0" w:color="auto"/>
        <w:right w:val="none" w:sz="0" w:space="0" w:color="auto"/>
      </w:divBdr>
    </w:div>
    <w:div w:id="286549167">
      <w:bodyDiv w:val="1"/>
      <w:marLeft w:val="0"/>
      <w:marRight w:val="0"/>
      <w:marTop w:val="0"/>
      <w:marBottom w:val="0"/>
      <w:divBdr>
        <w:top w:val="none" w:sz="0" w:space="0" w:color="auto"/>
        <w:left w:val="none" w:sz="0" w:space="0" w:color="auto"/>
        <w:bottom w:val="none" w:sz="0" w:space="0" w:color="auto"/>
        <w:right w:val="none" w:sz="0" w:space="0" w:color="auto"/>
      </w:divBdr>
    </w:div>
    <w:div w:id="293684570">
      <w:bodyDiv w:val="1"/>
      <w:marLeft w:val="0"/>
      <w:marRight w:val="0"/>
      <w:marTop w:val="0"/>
      <w:marBottom w:val="0"/>
      <w:divBdr>
        <w:top w:val="none" w:sz="0" w:space="0" w:color="auto"/>
        <w:left w:val="none" w:sz="0" w:space="0" w:color="auto"/>
        <w:bottom w:val="none" w:sz="0" w:space="0" w:color="auto"/>
        <w:right w:val="none" w:sz="0" w:space="0" w:color="auto"/>
      </w:divBdr>
    </w:div>
    <w:div w:id="296297105">
      <w:bodyDiv w:val="1"/>
      <w:marLeft w:val="0"/>
      <w:marRight w:val="0"/>
      <w:marTop w:val="0"/>
      <w:marBottom w:val="0"/>
      <w:divBdr>
        <w:top w:val="none" w:sz="0" w:space="0" w:color="auto"/>
        <w:left w:val="none" w:sz="0" w:space="0" w:color="auto"/>
        <w:bottom w:val="none" w:sz="0" w:space="0" w:color="auto"/>
        <w:right w:val="none" w:sz="0" w:space="0" w:color="auto"/>
      </w:divBdr>
    </w:div>
    <w:div w:id="303584253">
      <w:bodyDiv w:val="1"/>
      <w:marLeft w:val="0"/>
      <w:marRight w:val="0"/>
      <w:marTop w:val="0"/>
      <w:marBottom w:val="0"/>
      <w:divBdr>
        <w:top w:val="none" w:sz="0" w:space="0" w:color="auto"/>
        <w:left w:val="none" w:sz="0" w:space="0" w:color="auto"/>
        <w:bottom w:val="none" w:sz="0" w:space="0" w:color="auto"/>
        <w:right w:val="none" w:sz="0" w:space="0" w:color="auto"/>
      </w:divBdr>
    </w:div>
    <w:div w:id="321783434">
      <w:bodyDiv w:val="1"/>
      <w:marLeft w:val="0"/>
      <w:marRight w:val="0"/>
      <w:marTop w:val="0"/>
      <w:marBottom w:val="0"/>
      <w:divBdr>
        <w:top w:val="none" w:sz="0" w:space="0" w:color="auto"/>
        <w:left w:val="none" w:sz="0" w:space="0" w:color="auto"/>
        <w:bottom w:val="none" w:sz="0" w:space="0" w:color="auto"/>
        <w:right w:val="none" w:sz="0" w:space="0" w:color="auto"/>
      </w:divBdr>
    </w:div>
    <w:div w:id="328023548">
      <w:bodyDiv w:val="1"/>
      <w:marLeft w:val="0"/>
      <w:marRight w:val="0"/>
      <w:marTop w:val="0"/>
      <w:marBottom w:val="0"/>
      <w:divBdr>
        <w:top w:val="none" w:sz="0" w:space="0" w:color="auto"/>
        <w:left w:val="none" w:sz="0" w:space="0" w:color="auto"/>
        <w:bottom w:val="none" w:sz="0" w:space="0" w:color="auto"/>
        <w:right w:val="none" w:sz="0" w:space="0" w:color="auto"/>
      </w:divBdr>
    </w:div>
    <w:div w:id="367947534">
      <w:bodyDiv w:val="1"/>
      <w:marLeft w:val="0"/>
      <w:marRight w:val="0"/>
      <w:marTop w:val="0"/>
      <w:marBottom w:val="0"/>
      <w:divBdr>
        <w:top w:val="none" w:sz="0" w:space="0" w:color="auto"/>
        <w:left w:val="none" w:sz="0" w:space="0" w:color="auto"/>
        <w:bottom w:val="none" w:sz="0" w:space="0" w:color="auto"/>
        <w:right w:val="none" w:sz="0" w:space="0" w:color="auto"/>
      </w:divBdr>
    </w:div>
    <w:div w:id="369962165">
      <w:bodyDiv w:val="1"/>
      <w:marLeft w:val="0"/>
      <w:marRight w:val="0"/>
      <w:marTop w:val="0"/>
      <w:marBottom w:val="0"/>
      <w:divBdr>
        <w:top w:val="none" w:sz="0" w:space="0" w:color="auto"/>
        <w:left w:val="none" w:sz="0" w:space="0" w:color="auto"/>
        <w:bottom w:val="none" w:sz="0" w:space="0" w:color="auto"/>
        <w:right w:val="none" w:sz="0" w:space="0" w:color="auto"/>
      </w:divBdr>
    </w:div>
    <w:div w:id="394352889">
      <w:bodyDiv w:val="1"/>
      <w:marLeft w:val="0"/>
      <w:marRight w:val="0"/>
      <w:marTop w:val="0"/>
      <w:marBottom w:val="0"/>
      <w:divBdr>
        <w:top w:val="none" w:sz="0" w:space="0" w:color="auto"/>
        <w:left w:val="none" w:sz="0" w:space="0" w:color="auto"/>
        <w:bottom w:val="none" w:sz="0" w:space="0" w:color="auto"/>
        <w:right w:val="none" w:sz="0" w:space="0" w:color="auto"/>
      </w:divBdr>
    </w:div>
    <w:div w:id="394360628">
      <w:bodyDiv w:val="1"/>
      <w:marLeft w:val="0"/>
      <w:marRight w:val="0"/>
      <w:marTop w:val="0"/>
      <w:marBottom w:val="0"/>
      <w:divBdr>
        <w:top w:val="none" w:sz="0" w:space="0" w:color="auto"/>
        <w:left w:val="none" w:sz="0" w:space="0" w:color="auto"/>
        <w:bottom w:val="none" w:sz="0" w:space="0" w:color="auto"/>
        <w:right w:val="none" w:sz="0" w:space="0" w:color="auto"/>
      </w:divBdr>
    </w:div>
    <w:div w:id="402214498">
      <w:bodyDiv w:val="1"/>
      <w:marLeft w:val="0"/>
      <w:marRight w:val="0"/>
      <w:marTop w:val="0"/>
      <w:marBottom w:val="0"/>
      <w:divBdr>
        <w:top w:val="none" w:sz="0" w:space="0" w:color="auto"/>
        <w:left w:val="none" w:sz="0" w:space="0" w:color="auto"/>
        <w:bottom w:val="none" w:sz="0" w:space="0" w:color="auto"/>
        <w:right w:val="none" w:sz="0" w:space="0" w:color="auto"/>
      </w:divBdr>
    </w:div>
    <w:div w:id="409231662">
      <w:bodyDiv w:val="1"/>
      <w:marLeft w:val="0"/>
      <w:marRight w:val="0"/>
      <w:marTop w:val="0"/>
      <w:marBottom w:val="0"/>
      <w:divBdr>
        <w:top w:val="none" w:sz="0" w:space="0" w:color="auto"/>
        <w:left w:val="none" w:sz="0" w:space="0" w:color="auto"/>
        <w:bottom w:val="none" w:sz="0" w:space="0" w:color="auto"/>
        <w:right w:val="none" w:sz="0" w:space="0" w:color="auto"/>
      </w:divBdr>
    </w:div>
    <w:div w:id="454177116">
      <w:bodyDiv w:val="1"/>
      <w:marLeft w:val="0"/>
      <w:marRight w:val="0"/>
      <w:marTop w:val="0"/>
      <w:marBottom w:val="0"/>
      <w:divBdr>
        <w:top w:val="none" w:sz="0" w:space="0" w:color="auto"/>
        <w:left w:val="none" w:sz="0" w:space="0" w:color="auto"/>
        <w:bottom w:val="none" w:sz="0" w:space="0" w:color="auto"/>
        <w:right w:val="none" w:sz="0" w:space="0" w:color="auto"/>
      </w:divBdr>
    </w:div>
    <w:div w:id="475804448">
      <w:bodyDiv w:val="1"/>
      <w:marLeft w:val="0"/>
      <w:marRight w:val="0"/>
      <w:marTop w:val="0"/>
      <w:marBottom w:val="0"/>
      <w:divBdr>
        <w:top w:val="none" w:sz="0" w:space="0" w:color="auto"/>
        <w:left w:val="none" w:sz="0" w:space="0" w:color="auto"/>
        <w:bottom w:val="none" w:sz="0" w:space="0" w:color="auto"/>
        <w:right w:val="none" w:sz="0" w:space="0" w:color="auto"/>
      </w:divBdr>
    </w:div>
    <w:div w:id="480999398">
      <w:bodyDiv w:val="1"/>
      <w:marLeft w:val="0"/>
      <w:marRight w:val="0"/>
      <w:marTop w:val="0"/>
      <w:marBottom w:val="0"/>
      <w:divBdr>
        <w:top w:val="none" w:sz="0" w:space="0" w:color="auto"/>
        <w:left w:val="none" w:sz="0" w:space="0" w:color="auto"/>
        <w:bottom w:val="none" w:sz="0" w:space="0" w:color="auto"/>
        <w:right w:val="none" w:sz="0" w:space="0" w:color="auto"/>
      </w:divBdr>
    </w:div>
    <w:div w:id="488135410">
      <w:bodyDiv w:val="1"/>
      <w:marLeft w:val="0"/>
      <w:marRight w:val="0"/>
      <w:marTop w:val="0"/>
      <w:marBottom w:val="0"/>
      <w:divBdr>
        <w:top w:val="none" w:sz="0" w:space="0" w:color="auto"/>
        <w:left w:val="none" w:sz="0" w:space="0" w:color="auto"/>
        <w:bottom w:val="none" w:sz="0" w:space="0" w:color="auto"/>
        <w:right w:val="none" w:sz="0" w:space="0" w:color="auto"/>
      </w:divBdr>
    </w:div>
    <w:div w:id="511142267">
      <w:bodyDiv w:val="1"/>
      <w:marLeft w:val="0"/>
      <w:marRight w:val="0"/>
      <w:marTop w:val="0"/>
      <w:marBottom w:val="0"/>
      <w:divBdr>
        <w:top w:val="none" w:sz="0" w:space="0" w:color="auto"/>
        <w:left w:val="none" w:sz="0" w:space="0" w:color="auto"/>
        <w:bottom w:val="none" w:sz="0" w:space="0" w:color="auto"/>
        <w:right w:val="none" w:sz="0" w:space="0" w:color="auto"/>
      </w:divBdr>
    </w:div>
    <w:div w:id="529344351">
      <w:bodyDiv w:val="1"/>
      <w:marLeft w:val="0"/>
      <w:marRight w:val="0"/>
      <w:marTop w:val="0"/>
      <w:marBottom w:val="0"/>
      <w:divBdr>
        <w:top w:val="none" w:sz="0" w:space="0" w:color="auto"/>
        <w:left w:val="none" w:sz="0" w:space="0" w:color="auto"/>
        <w:bottom w:val="none" w:sz="0" w:space="0" w:color="auto"/>
        <w:right w:val="none" w:sz="0" w:space="0" w:color="auto"/>
      </w:divBdr>
    </w:div>
    <w:div w:id="551232298">
      <w:bodyDiv w:val="1"/>
      <w:marLeft w:val="0"/>
      <w:marRight w:val="0"/>
      <w:marTop w:val="0"/>
      <w:marBottom w:val="0"/>
      <w:divBdr>
        <w:top w:val="none" w:sz="0" w:space="0" w:color="auto"/>
        <w:left w:val="none" w:sz="0" w:space="0" w:color="auto"/>
        <w:bottom w:val="none" w:sz="0" w:space="0" w:color="auto"/>
        <w:right w:val="none" w:sz="0" w:space="0" w:color="auto"/>
      </w:divBdr>
    </w:div>
    <w:div w:id="564414911">
      <w:bodyDiv w:val="1"/>
      <w:marLeft w:val="0"/>
      <w:marRight w:val="0"/>
      <w:marTop w:val="0"/>
      <w:marBottom w:val="0"/>
      <w:divBdr>
        <w:top w:val="none" w:sz="0" w:space="0" w:color="auto"/>
        <w:left w:val="none" w:sz="0" w:space="0" w:color="auto"/>
        <w:bottom w:val="none" w:sz="0" w:space="0" w:color="auto"/>
        <w:right w:val="none" w:sz="0" w:space="0" w:color="auto"/>
      </w:divBdr>
    </w:div>
    <w:div w:id="570114674">
      <w:bodyDiv w:val="1"/>
      <w:marLeft w:val="0"/>
      <w:marRight w:val="0"/>
      <w:marTop w:val="0"/>
      <w:marBottom w:val="0"/>
      <w:divBdr>
        <w:top w:val="none" w:sz="0" w:space="0" w:color="auto"/>
        <w:left w:val="none" w:sz="0" w:space="0" w:color="auto"/>
        <w:bottom w:val="none" w:sz="0" w:space="0" w:color="auto"/>
        <w:right w:val="none" w:sz="0" w:space="0" w:color="auto"/>
      </w:divBdr>
    </w:div>
    <w:div w:id="594751411">
      <w:bodyDiv w:val="1"/>
      <w:marLeft w:val="0"/>
      <w:marRight w:val="0"/>
      <w:marTop w:val="0"/>
      <w:marBottom w:val="0"/>
      <w:divBdr>
        <w:top w:val="none" w:sz="0" w:space="0" w:color="auto"/>
        <w:left w:val="none" w:sz="0" w:space="0" w:color="auto"/>
        <w:bottom w:val="none" w:sz="0" w:space="0" w:color="auto"/>
        <w:right w:val="none" w:sz="0" w:space="0" w:color="auto"/>
      </w:divBdr>
    </w:div>
    <w:div w:id="596716868">
      <w:bodyDiv w:val="1"/>
      <w:marLeft w:val="0"/>
      <w:marRight w:val="0"/>
      <w:marTop w:val="0"/>
      <w:marBottom w:val="0"/>
      <w:divBdr>
        <w:top w:val="none" w:sz="0" w:space="0" w:color="auto"/>
        <w:left w:val="none" w:sz="0" w:space="0" w:color="auto"/>
        <w:bottom w:val="none" w:sz="0" w:space="0" w:color="auto"/>
        <w:right w:val="none" w:sz="0" w:space="0" w:color="auto"/>
      </w:divBdr>
    </w:div>
    <w:div w:id="614334700">
      <w:bodyDiv w:val="1"/>
      <w:marLeft w:val="0"/>
      <w:marRight w:val="0"/>
      <w:marTop w:val="0"/>
      <w:marBottom w:val="0"/>
      <w:divBdr>
        <w:top w:val="none" w:sz="0" w:space="0" w:color="auto"/>
        <w:left w:val="none" w:sz="0" w:space="0" w:color="auto"/>
        <w:bottom w:val="none" w:sz="0" w:space="0" w:color="auto"/>
        <w:right w:val="none" w:sz="0" w:space="0" w:color="auto"/>
      </w:divBdr>
    </w:div>
    <w:div w:id="628779793">
      <w:bodyDiv w:val="1"/>
      <w:marLeft w:val="0"/>
      <w:marRight w:val="0"/>
      <w:marTop w:val="0"/>
      <w:marBottom w:val="0"/>
      <w:divBdr>
        <w:top w:val="none" w:sz="0" w:space="0" w:color="auto"/>
        <w:left w:val="none" w:sz="0" w:space="0" w:color="auto"/>
        <w:bottom w:val="none" w:sz="0" w:space="0" w:color="auto"/>
        <w:right w:val="none" w:sz="0" w:space="0" w:color="auto"/>
      </w:divBdr>
    </w:div>
    <w:div w:id="636956946">
      <w:bodyDiv w:val="1"/>
      <w:marLeft w:val="0"/>
      <w:marRight w:val="0"/>
      <w:marTop w:val="0"/>
      <w:marBottom w:val="0"/>
      <w:divBdr>
        <w:top w:val="none" w:sz="0" w:space="0" w:color="auto"/>
        <w:left w:val="none" w:sz="0" w:space="0" w:color="auto"/>
        <w:bottom w:val="none" w:sz="0" w:space="0" w:color="auto"/>
        <w:right w:val="none" w:sz="0" w:space="0" w:color="auto"/>
      </w:divBdr>
    </w:div>
    <w:div w:id="649335799">
      <w:bodyDiv w:val="1"/>
      <w:marLeft w:val="0"/>
      <w:marRight w:val="0"/>
      <w:marTop w:val="0"/>
      <w:marBottom w:val="0"/>
      <w:divBdr>
        <w:top w:val="none" w:sz="0" w:space="0" w:color="auto"/>
        <w:left w:val="none" w:sz="0" w:space="0" w:color="auto"/>
        <w:bottom w:val="none" w:sz="0" w:space="0" w:color="auto"/>
        <w:right w:val="none" w:sz="0" w:space="0" w:color="auto"/>
      </w:divBdr>
    </w:div>
    <w:div w:id="672489828">
      <w:bodyDiv w:val="1"/>
      <w:marLeft w:val="0"/>
      <w:marRight w:val="0"/>
      <w:marTop w:val="0"/>
      <w:marBottom w:val="0"/>
      <w:divBdr>
        <w:top w:val="none" w:sz="0" w:space="0" w:color="auto"/>
        <w:left w:val="none" w:sz="0" w:space="0" w:color="auto"/>
        <w:bottom w:val="none" w:sz="0" w:space="0" w:color="auto"/>
        <w:right w:val="none" w:sz="0" w:space="0" w:color="auto"/>
      </w:divBdr>
    </w:div>
    <w:div w:id="673842992">
      <w:bodyDiv w:val="1"/>
      <w:marLeft w:val="0"/>
      <w:marRight w:val="0"/>
      <w:marTop w:val="0"/>
      <w:marBottom w:val="0"/>
      <w:divBdr>
        <w:top w:val="none" w:sz="0" w:space="0" w:color="auto"/>
        <w:left w:val="none" w:sz="0" w:space="0" w:color="auto"/>
        <w:bottom w:val="none" w:sz="0" w:space="0" w:color="auto"/>
        <w:right w:val="none" w:sz="0" w:space="0" w:color="auto"/>
      </w:divBdr>
    </w:div>
    <w:div w:id="678166680">
      <w:bodyDiv w:val="1"/>
      <w:marLeft w:val="0"/>
      <w:marRight w:val="0"/>
      <w:marTop w:val="0"/>
      <w:marBottom w:val="0"/>
      <w:divBdr>
        <w:top w:val="none" w:sz="0" w:space="0" w:color="auto"/>
        <w:left w:val="none" w:sz="0" w:space="0" w:color="auto"/>
        <w:bottom w:val="none" w:sz="0" w:space="0" w:color="auto"/>
        <w:right w:val="none" w:sz="0" w:space="0" w:color="auto"/>
      </w:divBdr>
    </w:div>
    <w:div w:id="683019200">
      <w:bodyDiv w:val="1"/>
      <w:marLeft w:val="0"/>
      <w:marRight w:val="0"/>
      <w:marTop w:val="0"/>
      <w:marBottom w:val="0"/>
      <w:divBdr>
        <w:top w:val="none" w:sz="0" w:space="0" w:color="auto"/>
        <w:left w:val="none" w:sz="0" w:space="0" w:color="auto"/>
        <w:bottom w:val="none" w:sz="0" w:space="0" w:color="auto"/>
        <w:right w:val="none" w:sz="0" w:space="0" w:color="auto"/>
      </w:divBdr>
    </w:div>
    <w:div w:id="688868453">
      <w:bodyDiv w:val="1"/>
      <w:marLeft w:val="0"/>
      <w:marRight w:val="0"/>
      <w:marTop w:val="0"/>
      <w:marBottom w:val="0"/>
      <w:divBdr>
        <w:top w:val="none" w:sz="0" w:space="0" w:color="auto"/>
        <w:left w:val="none" w:sz="0" w:space="0" w:color="auto"/>
        <w:bottom w:val="none" w:sz="0" w:space="0" w:color="auto"/>
        <w:right w:val="none" w:sz="0" w:space="0" w:color="auto"/>
      </w:divBdr>
    </w:div>
    <w:div w:id="708651634">
      <w:bodyDiv w:val="1"/>
      <w:marLeft w:val="0"/>
      <w:marRight w:val="0"/>
      <w:marTop w:val="0"/>
      <w:marBottom w:val="0"/>
      <w:divBdr>
        <w:top w:val="none" w:sz="0" w:space="0" w:color="auto"/>
        <w:left w:val="none" w:sz="0" w:space="0" w:color="auto"/>
        <w:bottom w:val="none" w:sz="0" w:space="0" w:color="auto"/>
        <w:right w:val="none" w:sz="0" w:space="0" w:color="auto"/>
      </w:divBdr>
    </w:div>
    <w:div w:id="759526526">
      <w:bodyDiv w:val="1"/>
      <w:marLeft w:val="0"/>
      <w:marRight w:val="0"/>
      <w:marTop w:val="0"/>
      <w:marBottom w:val="0"/>
      <w:divBdr>
        <w:top w:val="none" w:sz="0" w:space="0" w:color="auto"/>
        <w:left w:val="none" w:sz="0" w:space="0" w:color="auto"/>
        <w:bottom w:val="none" w:sz="0" w:space="0" w:color="auto"/>
        <w:right w:val="none" w:sz="0" w:space="0" w:color="auto"/>
      </w:divBdr>
    </w:div>
    <w:div w:id="768500389">
      <w:bodyDiv w:val="1"/>
      <w:marLeft w:val="0"/>
      <w:marRight w:val="0"/>
      <w:marTop w:val="0"/>
      <w:marBottom w:val="0"/>
      <w:divBdr>
        <w:top w:val="none" w:sz="0" w:space="0" w:color="auto"/>
        <w:left w:val="none" w:sz="0" w:space="0" w:color="auto"/>
        <w:bottom w:val="none" w:sz="0" w:space="0" w:color="auto"/>
        <w:right w:val="none" w:sz="0" w:space="0" w:color="auto"/>
      </w:divBdr>
    </w:div>
    <w:div w:id="817069307">
      <w:bodyDiv w:val="1"/>
      <w:marLeft w:val="0"/>
      <w:marRight w:val="0"/>
      <w:marTop w:val="0"/>
      <w:marBottom w:val="0"/>
      <w:divBdr>
        <w:top w:val="none" w:sz="0" w:space="0" w:color="auto"/>
        <w:left w:val="none" w:sz="0" w:space="0" w:color="auto"/>
        <w:bottom w:val="none" w:sz="0" w:space="0" w:color="auto"/>
        <w:right w:val="none" w:sz="0" w:space="0" w:color="auto"/>
      </w:divBdr>
    </w:div>
    <w:div w:id="837115426">
      <w:bodyDiv w:val="1"/>
      <w:marLeft w:val="0"/>
      <w:marRight w:val="0"/>
      <w:marTop w:val="0"/>
      <w:marBottom w:val="0"/>
      <w:divBdr>
        <w:top w:val="none" w:sz="0" w:space="0" w:color="auto"/>
        <w:left w:val="none" w:sz="0" w:space="0" w:color="auto"/>
        <w:bottom w:val="none" w:sz="0" w:space="0" w:color="auto"/>
        <w:right w:val="none" w:sz="0" w:space="0" w:color="auto"/>
      </w:divBdr>
    </w:div>
    <w:div w:id="845900262">
      <w:bodyDiv w:val="1"/>
      <w:marLeft w:val="0"/>
      <w:marRight w:val="0"/>
      <w:marTop w:val="0"/>
      <w:marBottom w:val="0"/>
      <w:divBdr>
        <w:top w:val="none" w:sz="0" w:space="0" w:color="auto"/>
        <w:left w:val="none" w:sz="0" w:space="0" w:color="auto"/>
        <w:bottom w:val="none" w:sz="0" w:space="0" w:color="auto"/>
        <w:right w:val="none" w:sz="0" w:space="0" w:color="auto"/>
      </w:divBdr>
    </w:div>
    <w:div w:id="853038381">
      <w:bodyDiv w:val="1"/>
      <w:marLeft w:val="0"/>
      <w:marRight w:val="0"/>
      <w:marTop w:val="0"/>
      <w:marBottom w:val="0"/>
      <w:divBdr>
        <w:top w:val="none" w:sz="0" w:space="0" w:color="auto"/>
        <w:left w:val="none" w:sz="0" w:space="0" w:color="auto"/>
        <w:bottom w:val="none" w:sz="0" w:space="0" w:color="auto"/>
        <w:right w:val="none" w:sz="0" w:space="0" w:color="auto"/>
      </w:divBdr>
    </w:div>
    <w:div w:id="856306967">
      <w:bodyDiv w:val="1"/>
      <w:marLeft w:val="0"/>
      <w:marRight w:val="0"/>
      <w:marTop w:val="0"/>
      <w:marBottom w:val="0"/>
      <w:divBdr>
        <w:top w:val="none" w:sz="0" w:space="0" w:color="auto"/>
        <w:left w:val="none" w:sz="0" w:space="0" w:color="auto"/>
        <w:bottom w:val="none" w:sz="0" w:space="0" w:color="auto"/>
        <w:right w:val="none" w:sz="0" w:space="0" w:color="auto"/>
      </w:divBdr>
    </w:div>
    <w:div w:id="880559567">
      <w:bodyDiv w:val="1"/>
      <w:marLeft w:val="0"/>
      <w:marRight w:val="0"/>
      <w:marTop w:val="0"/>
      <w:marBottom w:val="0"/>
      <w:divBdr>
        <w:top w:val="none" w:sz="0" w:space="0" w:color="auto"/>
        <w:left w:val="none" w:sz="0" w:space="0" w:color="auto"/>
        <w:bottom w:val="none" w:sz="0" w:space="0" w:color="auto"/>
        <w:right w:val="none" w:sz="0" w:space="0" w:color="auto"/>
      </w:divBdr>
    </w:div>
    <w:div w:id="881212348">
      <w:bodyDiv w:val="1"/>
      <w:marLeft w:val="0"/>
      <w:marRight w:val="0"/>
      <w:marTop w:val="0"/>
      <w:marBottom w:val="0"/>
      <w:divBdr>
        <w:top w:val="none" w:sz="0" w:space="0" w:color="auto"/>
        <w:left w:val="none" w:sz="0" w:space="0" w:color="auto"/>
        <w:bottom w:val="none" w:sz="0" w:space="0" w:color="auto"/>
        <w:right w:val="none" w:sz="0" w:space="0" w:color="auto"/>
      </w:divBdr>
    </w:div>
    <w:div w:id="896742411">
      <w:bodyDiv w:val="1"/>
      <w:marLeft w:val="0"/>
      <w:marRight w:val="0"/>
      <w:marTop w:val="0"/>
      <w:marBottom w:val="0"/>
      <w:divBdr>
        <w:top w:val="none" w:sz="0" w:space="0" w:color="auto"/>
        <w:left w:val="none" w:sz="0" w:space="0" w:color="auto"/>
        <w:bottom w:val="none" w:sz="0" w:space="0" w:color="auto"/>
        <w:right w:val="none" w:sz="0" w:space="0" w:color="auto"/>
      </w:divBdr>
    </w:div>
    <w:div w:id="911700935">
      <w:bodyDiv w:val="1"/>
      <w:marLeft w:val="0"/>
      <w:marRight w:val="0"/>
      <w:marTop w:val="0"/>
      <w:marBottom w:val="0"/>
      <w:divBdr>
        <w:top w:val="none" w:sz="0" w:space="0" w:color="auto"/>
        <w:left w:val="none" w:sz="0" w:space="0" w:color="auto"/>
        <w:bottom w:val="none" w:sz="0" w:space="0" w:color="auto"/>
        <w:right w:val="none" w:sz="0" w:space="0" w:color="auto"/>
      </w:divBdr>
    </w:div>
    <w:div w:id="924922890">
      <w:bodyDiv w:val="1"/>
      <w:marLeft w:val="0"/>
      <w:marRight w:val="0"/>
      <w:marTop w:val="0"/>
      <w:marBottom w:val="0"/>
      <w:divBdr>
        <w:top w:val="none" w:sz="0" w:space="0" w:color="auto"/>
        <w:left w:val="none" w:sz="0" w:space="0" w:color="auto"/>
        <w:bottom w:val="none" w:sz="0" w:space="0" w:color="auto"/>
        <w:right w:val="none" w:sz="0" w:space="0" w:color="auto"/>
      </w:divBdr>
    </w:div>
    <w:div w:id="926960316">
      <w:bodyDiv w:val="1"/>
      <w:marLeft w:val="0"/>
      <w:marRight w:val="0"/>
      <w:marTop w:val="0"/>
      <w:marBottom w:val="0"/>
      <w:divBdr>
        <w:top w:val="none" w:sz="0" w:space="0" w:color="auto"/>
        <w:left w:val="none" w:sz="0" w:space="0" w:color="auto"/>
        <w:bottom w:val="none" w:sz="0" w:space="0" w:color="auto"/>
        <w:right w:val="none" w:sz="0" w:space="0" w:color="auto"/>
      </w:divBdr>
    </w:div>
    <w:div w:id="952833331">
      <w:bodyDiv w:val="1"/>
      <w:marLeft w:val="0"/>
      <w:marRight w:val="0"/>
      <w:marTop w:val="0"/>
      <w:marBottom w:val="0"/>
      <w:divBdr>
        <w:top w:val="none" w:sz="0" w:space="0" w:color="auto"/>
        <w:left w:val="none" w:sz="0" w:space="0" w:color="auto"/>
        <w:bottom w:val="none" w:sz="0" w:space="0" w:color="auto"/>
        <w:right w:val="none" w:sz="0" w:space="0" w:color="auto"/>
      </w:divBdr>
    </w:div>
    <w:div w:id="965546414">
      <w:bodyDiv w:val="1"/>
      <w:marLeft w:val="0"/>
      <w:marRight w:val="0"/>
      <w:marTop w:val="0"/>
      <w:marBottom w:val="0"/>
      <w:divBdr>
        <w:top w:val="none" w:sz="0" w:space="0" w:color="auto"/>
        <w:left w:val="none" w:sz="0" w:space="0" w:color="auto"/>
        <w:bottom w:val="none" w:sz="0" w:space="0" w:color="auto"/>
        <w:right w:val="none" w:sz="0" w:space="0" w:color="auto"/>
      </w:divBdr>
    </w:div>
    <w:div w:id="984356292">
      <w:bodyDiv w:val="1"/>
      <w:marLeft w:val="0"/>
      <w:marRight w:val="0"/>
      <w:marTop w:val="0"/>
      <w:marBottom w:val="0"/>
      <w:divBdr>
        <w:top w:val="none" w:sz="0" w:space="0" w:color="auto"/>
        <w:left w:val="none" w:sz="0" w:space="0" w:color="auto"/>
        <w:bottom w:val="none" w:sz="0" w:space="0" w:color="auto"/>
        <w:right w:val="none" w:sz="0" w:space="0" w:color="auto"/>
      </w:divBdr>
    </w:div>
    <w:div w:id="986975595">
      <w:bodyDiv w:val="1"/>
      <w:marLeft w:val="0"/>
      <w:marRight w:val="0"/>
      <w:marTop w:val="0"/>
      <w:marBottom w:val="0"/>
      <w:divBdr>
        <w:top w:val="none" w:sz="0" w:space="0" w:color="auto"/>
        <w:left w:val="none" w:sz="0" w:space="0" w:color="auto"/>
        <w:bottom w:val="none" w:sz="0" w:space="0" w:color="auto"/>
        <w:right w:val="none" w:sz="0" w:space="0" w:color="auto"/>
      </w:divBdr>
    </w:div>
    <w:div w:id="998116775">
      <w:bodyDiv w:val="1"/>
      <w:marLeft w:val="0"/>
      <w:marRight w:val="0"/>
      <w:marTop w:val="0"/>
      <w:marBottom w:val="0"/>
      <w:divBdr>
        <w:top w:val="none" w:sz="0" w:space="0" w:color="auto"/>
        <w:left w:val="none" w:sz="0" w:space="0" w:color="auto"/>
        <w:bottom w:val="none" w:sz="0" w:space="0" w:color="auto"/>
        <w:right w:val="none" w:sz="0" w:space="0" w:color="auto"/>
      </w:divBdr>
    </w:div>
    <w:div w:id="1004165777">
      <w:bodyDiv w:val="1"/>
      <w:marLeft w:val="0"/>
      <w:marRight w:val="0"/>
      <w:marTop w:val="0"/>
      <w:marBottom w:val="0"/>
      <w:divBdr>
        <w:top w:val="none" w:sz="0" w:space="0" w:color="auto"/>
        <w:left w:val="none" w:sz="0" w:space="0" w:color="auto"/>
        <w:bottom w:val="none" w:sz="0" w:space="0" w:color="auto"/>
        <w:right w:val="none" w:sz="0" w:space="0" w:color="auto"/>
      </w:divBdr>
    </w:div>
    <w:div w:id="1009060284">
      <w:bodyDiv w:val="1"/>
      <w:marLeft w:val="0"/>
      <w:marRight w:val="0"/>
      <w:marTop w:val="0"/>
      <w:marBottom w:val="0"/>
      <w:divBdr>
        <w:top w:val="none" w:sz="0" w:space="0" w:color="auto"/>
        <w:left w:val="none" w:sz="0" w:space="0" w:color="auto"/>
        <w:bottom w:val="none" w:sz="0" w:space="0" w:color="auto"/>
        <w:right w:val="none" w:sz="0" w:space="0" w:color="auto"/>
      </w:divBdr>
    </w:div>
    <w:div w:id="1030685253">
      <w:bodyDiv w:val="1"/>
      <w:marLeft w:val="0"/>
      <w:marRight w:val="0"/>
      <w:marTop w:val="0"/>
      <w:marBottom w:val="0"/>
      <w:divBdr>
        <w:top w:val="none" w:sz="0" w:space="0" w:color="auto"/>
        <w:left w:val="none" w:sz="0" w:space="0" w:color="auto"/>
        <w:bottom w:val="none" w:sz="0" w:space="0" w:color="auto"/>
        <w:right w:val="none" w:sz="0" w:space="0" w:color="auto"/>
      </w:divBdr>
    </w:div>
    <w:div w:id="1054894951">
      <w:bodyDiv w:val="1"/>
      <w:marLeft w:val="0"/>
      <w:marRight w:val="0"/>
      <w:marTop w:val="0"/>
      <w:marBottom w:val="0"/>
      <w:divBdr>
        <w:top w:val="none" w:sz="0" w:space="0" w:color="auto"/>
        <w:left w:val="none" w:sz="0" w:space="0" w:color="auto"/>
        <w:bottom w:val="none" w:sz="0" w:space="0" w:color="auto"/>
        <w:right w:val="none" w:sz="0" w:space="0" w:color="auto"/>
      </w:divBdr>
    </w:div>
    <w:div w:id="1056511712">
      <w:bodyDiv w:val="1"/>
      <w:marLeft w:val="0"/>
      <w:marRight w:val="0"/>
      <w:marTop w:val="0"/>
      <w:marBottom w:val="0"/>
      <w:divBdr>
        <w:top w:val="none" w:sz="0" w:space="0" w:color="auto"/>
        <w:left w:val="none" w:sz="0" w:space="0" w:color="auto"/>
        <w:bottom w:val="none" w:sz="0" w:space="0" w:color="auto"/>
        <w:right w:val="none" w:sz="0" w:space="0" w:color="auto"/>
      </w:divBdr>
    </w:div>
    <w:div w:id="1064832408">
      <w:bodyDiv w:val="1"/>
      <w:marLeft w:val="0"/>
      <w:marRight w:val="0"/>
      <w:marTop w:val="0"/>
      <w:marBottom w:val="0"/>
      <w:divBdr>
        <w:top w:val="none" w:sz="0" w:space="0" w:color="auto"/>
        <w:left w:val="none" w:sz="0" w:space="0" w:color="auto"/>
        <w:bottom w:val="none" w:sz="0" w:space="0" w:color="auto"/>
        <w:right w:val="none" w:sz="0" w:space="0" w:color="auto"/>
      </w:divBdr>
    </w:div>
    <w:div w:id="1092697922">
      <w:bodyDiv w:val="1"/>
      <w:marLeft w:val="0"/>
      <w:marRight w:val="0"/>
      <w:marTop w:val="0"/>
      <w:marBottom w:val="0"/>
      <w:divBdr>
        <w:top w:val="none" w:sz="0" w:space="0" w:color="auto"/>
        <w:left w:val="none" w:sz="0" w:space="0" w:color="auto"/>
        <w:bottom w:val="none" w:sz="0" w:space="0" w:color="auto"/>
        <w:right w:val="none" w:sz="0" w:space="0" w:color="auto"/>
      </w:divBdr>
    </w:div>
    <w:div w:id="1102799803">
      <w:bodyDiv w:val="1"/>
      <w:marLeft w:val="0"/>
      <w:marRight w:val="0"/>
      <w:marTop w:val="0"/>
      <w:marBottom w:val="0"/>
      <w:divBdr>
        <w:top w:val="none" w:sz="0" w:space="0" w:color="auto"/>
        <w:left w:val="none" w:sz="0" w:space="0" w:color="auto"/>
        <w:bottom w:val="none" w:sz="0" w:space="0" w:color="auto"/>
        <w:right w:val="none" w:sz="0" w:space="0" w:color="auto"/>
      </w:divBdr>
    </w:div>
    <w:div w:id="1142310672">
      <w:bodyDiv w:val="1"/>
      <w:marLeft w:val="0"/>
      <w:marRight w:val="0"/>
      <w:marTop w:val="0"/>
      <w:marBottom w:val="0"/>
      <w:divBdr>
        <w:top w:val="none" w:sz="0" w:space="0" w:color="auto"/>
        <w:left w:val="none" w:sz="0" w:space="0" w:color="auto"/>
        <w:bottom w:val="none" w:sz="0" w:space="0" w:color="auto"/>
        <w:right w:val="none" w:sz="0" w:space="0" w:color="auto"/>
      </w:divBdr>
    </w:div>
    <w:div w:id="1145967734">
      <w:bodyDiv w:val="1"/>
      <w:marLeft w:val="0"/>
      <w:marRight w:val="0"/>
      <w:marTop w:val="0"/>
      <w:marBottom w:val="0"/>
      <w:divBdr>
        <w:top w:val="none" w:sz="0" w:space="0" w:color="auto"/>
        <w:left w:val="none" w:sz="0" w:space="0" w:color="auto"/>
        <w:bottom w:val="none" w:sz="0" w:space="0" w:color="auto"/>
        <w:right w:val="none" w:sz="0" w:space="0" w:color="auto"/>
      </w:divBdr>
    </w:div>
    <w:div w:id="1165390295">
      <w:bodyDiv w:val="1"/>
      <w:marLeft w:val="0"/>
      <w:marRight w:val="0"/>
      <w:marTop w:val="0"/>
      <w:marBottom w:val="0"/>
      <w:divBdr>
        <w:top w:val="none" w:sz="0" w:space="0" w:color="auto"/>
        <w:left w:val="none" w:sz="0" w:space="0" w:color="auto"/>
        <w:bottom w:val="none" w:sz="0" w:space="0" w:color="auto"/>
        <w:right w:val="none" w:sz="0" w:space="0" w:color="auto"/>
      </w:divBdr>
    </w:div>
    <w:div w:id="1174881193">
      <w:bodyDiv w:val="1"/>
      <w:marLeft w:val="0"/>
      <w:marRight w:val="0"/>
      <w:marTop w:val="0"/>
      <w:marBottom w:val="0"/>
      <w:divBdr>
        <w:top w:val="none" w:sz="0" w:space="0" w:color="auto"/>
        <w:left w:val="none" w:sz="0" w:space="0" w:color="auto"/>
        <w:bottom w:val="none" w:sz="0" w:space="0" w:color="auto"/>
        <w:right w:val="none" w:sz="0" w:space="0" w:color="auto"/>
      </w:divBdr>
    </w:div>
    <w:div w:id="1190490780">
      <w:bodyDiv w:val="1"/>
      <w:marLeft w:val="0"/>
      <w:marRight w:val="0"/>
      <w:marTop w:val="0"/>
      <w:marBottom w:val="0"/>
      <w:divBdr>
        <w:top w:val="none" w:sz="0" w:space="0" w:color="auto"/>
        <w:left w:val="none" w:sz="0" w:space="0" w:color="auto"/>
        <w:bottom w:val="none" w:sz="0" w:space="0" w:color="auto"/>
        <w:right w:val="none" w:sz="0" w:space="0" w:color="auto"/>
      </w:divBdr>
    </w:div>
    <w:div w:id="1203595936">
      <w:bodyDiv w:val="1"/>
      <w:marLeft w:val="0"/>
      <w:marRight w:val="0"/>
      <w:marTop w:val="0"/>
      <w:marBottom w:val="0"/>
      <w:divBdr>
        <w:top w:val="none" w:sz="0" w:space="0" w:color="auto"/>
        <w:left w:val="none" w:sz="0" w:space="0" w:color="auto"/>
        <w:bottom w:val="none" w:sz="0" w:space="0" w:color="auto"/>
        <w:right w:val="none" w:sz="0" w:space="0" w:color="auto"/>
      </w:divBdr>
    </w:div>
    <w:div w:id="1242718075">
      <w:bodyDiv w:val="1"/>
      <w:marLeft w:val="0"/>
      <w:marRight w:val="0"/>
      <w:marTop w:val="0"/>
      <w:marBottom w:val="0"/>
      <w:divBdr>
        <w:top w:val="none" w:sz="0" w:space="0" w:color="auto"/>
        <w:left w:val="none" w:sz="0" w:space="0" w:color="auto"/>
        <w:bottom w:val="none" w:sz="0" w:space="0" w:color="auto"/>
        <w:right w:val="none" w:sz="0" w:space="0" w:color="auto"/>
      </w:divBdr>
    </w:div>
    <w:div w:id="1246762040">
      <w:bodyDiv w:val="1"/>
      <w:marLeft w:val="0"/>
      <w:marRight w:val="0"/>
      <w:marTop w:val="0"/>
      <w:marBottom w:val="0"/>
      <w:divBdr>
        <w:top w:val="none" w:sz="0" w:space="0" w:color="auto"/>
        <w:left w:val="none" w:sz="0" w:space="0" w:color="auto"/>
        <w:bottom w:val="none" w:sz="0" w:space="0" w:color="auto"/>
        <w:right w:val="none" w:sz="0" w:space="0" w:color="auto"/>
      </w:divBdr>
    </w:div>
    <w:div w:id="1274707114">
      <w:bodyDiv w:val="1"/>
      <w:marLeft w:val="0"/>
      <w:marRight w:val="0"/>
      <w:marTop w:val="0"/>
      <w:marBottom w:val="0"/>
      <w:divBdr>
        <w:top w:val="none" w:sz="0" w:space="0" w:color="auto"/>
        <w:left w:val="none" w:sz="0" w:space="0" w:color="auto"/>
        <w:bottom w:val="none" w:sz="0" w:space="0" w:color="auto"/>
        <w:right w:val="none" w:sz="0" w:space="0" w:color="auto"/>
      </w:divBdr>
    </w:div>
    <w:div w:id="1338264853">
      <w:bodyDiv w:val="1"/>
      <w:marLeft w:val="0"/>
      <w:marRight w:val="0"/>
      <w:marTop w:val="0"/>
      <w:marBottom w:val="0"/>
      <w:divBdr>
        <w:top w:val="none" w:sz="0" w:space="0" w:color="auto"/>
        <w:left w:val="none" w:sz="0" w:space="0" w:color="auto"/>
        <w:bottom w:val="none" w:sz="0" w:space="0" w:color="auto"/>
        <w:right w:val="none" w:sz="0" w:space="0" w:color="auto"/>
      </w:divBdr>
    </w:div>
    <w:div w:id="1344867629">
      <w:bodyDiv w:val="1"/>
      <w:marLeft w:val="0"/>
      <w:marRight w:val="0"/>
      <w:marTop w:val="0"/>
      <w:marBottom w:val="0"/>
      <w:divBdr>
        <w:top w:val="none" w:sz="0" w:space="0" w:color="auto"/>
        <w:left w:val="none" w:sz="0" w:space="0" w:color="auto"/>
        <w:bottom w:val="none" w:sz="0" w:space="0" w:color="auto"/>
        <w:right w:val="none" w:sz="0" w:space="0" w:color="auto"/>
      </w:divBdr>
    </w:div>
    <w:div w:id="1354958882">
      <w:bodyDiv w:val="1"/>
      <w:marLeft w:val="0"/>
      <w:marRight w:val="0"/>
      <w:marTop w:val="0"/>
      <w:marBottom w:val="0"/>
      <w:divBdr>
        <w:top w:val="none" w:sz="0" w:space="0" w:color="auto"/>
        <w:left w:val="none" w:sz="0" w:space="0" w:color="auto"/>
        <w:bottom w:val="none" w:sz="0" w:space="0" w:color="auto"/>
        <w:right w:val="none" w:sz="0" w:space="0" w:color="auto"/>
      </w:divBdr>
    </w:div>
    <w:div w:id="1381590848">
      <w:bodyDiv w:val="1"/>
      <w:marLeft w:val="0"/>
      <w:marRight w:val="0"/>
      <w:marTop w:val="0"/>
      <w:marBottom w:val="0"/>
      <w:divBdr>
        <w:top w:val="none" w:sz="0" w:space="0" w:color="auto"/>
        <w:left w:val="none" w:sz="0" w:space="0" w:color="auto"/>
        <w:bottom w:val="none" w:sz="0" w:space="0" w:color="auto"/>
        <w:right w:val="none" w:sz="0" w:space="0" w:color="auto"/>
      </w:divBdr>
    </w:div>
    <w:div w:id="1390610254">
      <w:bodyDiv w:val="1"/>
      <w:marLeft w:val="0"/>
      <w:marRight w:val="0"/>
      <w:marTop w:val="0"/>
      <w:marBottom w:val="0"/>
      <w:divBdr>
        <w:top w:val="none" w:sz="0" w:space="0" w:color="auto"/>
        <w:left w:val="none" w:sz="0" w:space="0" w:color="auto"/>
        <w:bottom w:val="none" w:sz="0" w:space="0" w:color="auto"/>
        <w:right w:val="none" w:sz="0" w:space="0" w:color="auto"/>
      </w:divBdr>
    </w:div>
    <w:div w:id="1394817635">
      <w:bodyDiv w:val="1"/>
      <w:marLeft w:val="0"/>
      <w:marRight w:val="0"/>
      <w:marTop w:val="0"/>
      <w:marBottom w:val="0"/>
      <w:divBdr>
        <w:top w:val="none" w:sz="0" w:space="0" w:color="auto"/>
        <w:left w:val="none" w:sz="0" w:space="0" w:color="auto"/>
        <w:bottom w:val="none" w:sz="0" w:space="0" w:color="auto"/>
        <w:right w:val="none" w:sz="0" w:space="0" w:color="auto"/>
      </w:divBdr>
    </w:div>
    <w:div w:id="1395470980">
      <w:bodyDiv w:val="1"/>
      <w:marLeft w:val="0"/>
      <w:marRight w:val="0"/>
      <w:marTop w:val="0"/>
      <w:marBottom w:val="0"/>
      <w:divBdr>
        <w:top w:val="none" w:sz="0" w:space="0" w:color="auto"/>
        <w:left w:val="none" w:sz="0" w:space="0" w:color="auto"/>
        <w:bottom w:val="none" w:sz="0" w:space="0" w:color="auto"/>
        <w:right w:val="none" w:sz="0" w:space="0" w:color="auto"/>
      </w:divBdr>
    </w:div>
    <w:div w:id="1398286585">
      <w:bodyDiv w:val="1"/>
      <w:marLeft w:val="0"/>
      <w:marRight w:val="0"/>
      <w:marTop w:val="0"/>
      <w:marBottom w:val="0"/>
      <w:divBdr>
        <w:top w:val="none" w:sz="0" w:space="0" w:color="auto"/>
        <w:left w:val="none" w:sz="0" w:space="0" w:color="auto"/>
        <w:bottom w:val="none" w:sz="0" w:space="0" w:color="auto"/>
        <w:right w:val="none" w:sz="0" w:space="0" w:color="auto"/>
      </w:divBdr>
    </w:div>
    <w:div w:id="1399284311">
      <w:bodyDiv w:val="1"/>
      <w:marLeft w:val="0"/>
      <w:marRight w:val="0"/>
      <w:marTop w:val="0"/>
      <w:marBottom w:val="0"/>
      <w:divBdr>
        <w:top w:val="none" w:sz="0" w:space="0" w:color="auto"/>
        <w:left w:val="none" w:sz="0" w:space="0" w:color="auto"/>
        <w:bottom w:val="none" w:sz="0" w:space="0" w:color="auto"/>
        <w:right w:val="none" w:sz="0" w:space="0" w:color="auto"/>
      </w:divBdr>
    </w:div>
    <w:div w:id="1440375387">
      <w:bodyDiv w:val="1"/>
      <w:marLeft w:val="0"/>
      <w:marRight w:val="0"/>
      <w:marTop w:val="0"/>
      <w:marBottom w:val="0"/>
      <w:divBdr>
        <w:top w:val="none" w:sz="0" w:space="0" w:color="auto"/>
        <w:left w:val="none" w:sz="0" w:space="0" w:color="auto"/>
        <w:bottom w:val="none" w:sz="0" w:space="0" w:color="auto"/>
        <w:right w:val="none" w:sz="0" w:space="0" w:color="auto"/>
      </w:divBdr>
    </w:div>
    <w:div w:id="1497263803">
      <w:bodyDiv w:val="1"/>
      <w:marLeft w:val="0"/>
      <w:marRight w:val="0"/>
      <w:marTop w:val="0"/>
      <w:marBottom w:val="0"/>
      <w:divBdr>
        <w:top w:val="none" w:sz="0" w:space="0" w:color="auto"/>
        <w:left w:val="none" w:sz="0" w:space="0" w:color="auto"/>
        <w:bottom w:val="none" w:sz="0" w:space="0" w:color="auto"/>
        <w:right w:val="none" w:sz="0" w:space="0" w:color="auto"/>
      </w:divBdr>
    </w:div>
    <w:div w:id="1537498748">
      <w:bodyDiv w:val="1"/>
      <w:marLeft w:val="0"/>
      <w:marRight w:val="0"/>
      <w:marTop w:val="0"/>
      <w:marBottom w:val="0"/>
      <w:divBdr>
        <w:top w:val="none" w:sz="0" w:space="0" w:color="auto"/>
        <w:left w:val="none" w:sz="0" w:space="0" w:color="auto"/>
        <w:bottom w:val="none" w:sz="0" w:space="0" w:color="auto"/>
        <w:right w:val="none" w:sz="0" w:space="0" w:color="auto"/>
      </w:divBdr>
    </w:div>
    <w:div w:id="1546060452">
      <w:bodyDiv w:val="1"/>
      <w:marLeft w:val="0"/>
      <w:marRight w:val="0"/>
      <w:marTop w:val="0"/>
      <w:marBottom w:val="0"/>
      <w:divBdr>
        <w:top w:val="none" w:sz="0" w:space="0" w:color="auto"/>
        <w:left w:val="none" w:sz="0" w:space="0" w:color="auto"/>
        <w:bottom w:val="none" w:sz="0" w:space="0" w:color="auto"/>
        <w:right w:val="none" w:sz="0" w:space="0" w:color="auto"/>
      </w:divBdr>
    </w:div>
    <w:div w:id="1565605945">
      <w:bodyDiv w:val="1"/>
      <w:marLeft w:val="0"/>
      <w:marRight w:val="0"/>
      <w:marTop w:val="0"/>
      <w:marBottom w:val="0"/>
      <w:divBdr>
        <w:top w:val="none" w:sz="0" w:space="0" w:color="auto"/>
        <w:left w:val="none" w:sz="0" w:space="0" w:color="auto"/>
        <w:bottom w:val="none" w:sz="0" w:space="0" w:color="auto"/>
        <w:right w:val="none" w:sz="0" w:space="0" w:color="auto"/>
      </w:divBdr>
    </w:div>
    <w:div w:id="1590692939">
      <w:bodyDiv w:val="1"/>
      <w:marLeft w:val="0"/>
      <w:marRight w:val="0"/>
      <w:marTop w:val="0"/>
      <w:marBottom w:val="0"/>
      <w:divBdr>
        <w:top w:val="none" w:sz="0" w:space="0" w:color="auto"/>
        <w:left w:val="none" w:sz="0" w:space="0" w:color="auto"/>
        <w:bottom w:val="none" w:sz="0" w:space="0" w:color="auto"/>
        <w:right w:val="none" w:sz="0" w:space="0" w:color="auto"/>
      </w:divBdr>
    </w:div>
    <w:div w:id="1599825336">
      <w:bodyDiv w:val="1"/>
      <w:marLeft w:val="0"/>
      <w:marRight w:val="0"/>
      <w:marTop w:val="0"/>
      <w:marBottom w:val="0"/>
      <w:divBdr>
        <w:top w:val="none" w:sz="0" w:space="0" w:color="auto"/>
        <w:left w:val="none" w:sz="0" w:space="0" w:color="auto"/>
        <w:bottom w:val="none" w:sz="0" w:space="0" w:color="auto"/>
        <w:right w:val="none" w:sz="0" w:space="0" w:color="auto"/>
      </w:divBdr>
    </w:div>
    <w:div w:id="1602686574">
      <w:bodyDiv w:val="1"/>
      <w:marLeft w:val="0"/>
      <w:marRight w:val="0"/>
      <w:marTop w:val="0"/>
      <w:marBottom w:val="0"/>
      <w:divBdr>
        <w:top w:val="none" w:sz="0" w:space="0" w:color="auto"/>
        <w:left w:val="none" w:sz="0" w:space="0" w:color="auto"/>
        <w:bottom w:val="none" w:sz="0" w:space="0" w:color="auto"/>
        <w:right w:val="none" w:sz="0" w:space="0" w:color="auto"/>
      </w:divBdr>
    </w:div>
    <w:div w:id="1627851351">
      <w:bodyDiv w:val="1"/>
      <w:marLeft w:val="0"/>
      <w:marRight w:val="0"/>
      <w:marTop w:val="0"/>
      <w:marBottom w:val="0"/>
      <w:divBdr>
        <w:top w:val="none" w:sz="0" w:space="0" w:color="auto"/>
        <w:left w:val="none" w:sz="0" w:space="0" w:color="auto"/>
        <w:bottom w:val="none" w:sz="0" w:space="0" w:color="auto"/>
        <w:right w:val="none" w:sz="0" w:space="0" w:color="auto"/>
      </w:divBdr>
    </w:div>
    <w:div w:id="1649436613">
      <w:bodyDiv w:val="1"/>
      <w:marLeft w:val="0"/>
      <w:marRight w:val="0"/>
      <w:marTop w:val="0"/>
      <w:marBottom w:val="0"/>
      <w:divBdr>
        <w:top w:val="none" w:sz="0" w:space="0" w:color="auto"/>
        <w:left w:val="none" w:sz="0" w:space="0" w:color="auto"/>
        <w:bottom w:val="none" w:sz="0" w:space="0" w:color="auto"/>
        <w:right w:val="none" w:sz="0" w:space="0" w:color="auto"/>
      </w:divBdr>
    </w:div>
    <w:div w:id="1651135617">
      <w:bodyDiv w:val="1"/>
      <w:marLeft w:val="0"/>
      <w:marRight w:val="0"/>
      <w:marTop w:val="0"/>
      <w:marBottom w:val="0"/>
      <w:divBdr>
        <w:top w:val="none" w:sz="0" w:space="0" w:color="auto"/>
        <w:left w:val="none" w:sz="0" w:space="0" w:color="auto"/>
        <w:bottom w:val="none" w:sz="0" w:space="0" w:color="auto"/>
        <w:right w:val="none" w:sz="0" w:space="0" w:color="auto"/>
      </w:divBdr>
    </w:div>
    <w:div w:id="1666399758">
      <w:bodyDiv w:val="1"/>
      <w:marLeft w:val="0"/>
      <w:marRight w:val="0"/>
      <w:marTop w:val="0"/>
      <w:marBottom w:val="0"/>
      <w:divBdr>
        <w:top w:val="none" w:sz="0" w:space="0" w:color="auto"/>
        <w:left w:val="none" w:sz="0" w:space="0" w:color="auto"/>
        <w:bottom w:val="none" w:sz="0" w:space="0" w:color="auto"/>
        <w:right w:val="none" w:sz="0" w:space="0" w:color="auto"/>
      </w:divBdr>
    </w:div>
    <w:div w:id="1676760033">
      <w:bodyDiv w:val="1"/>
      <w:marLeft w:val="0"/>
      <w:marRight w:val="0"/>
      <w:marTop w:val="0"/>
      <w:marBottom w:val="0"/>
      <w:divBdr>
        <w:top w:val="none" w:sz="0" w:space="0" w:color="auto"/>
        <w:left w:val="none" w:sz="0" w:space="0" w:color="auto"/>
        <w:bottom w:val="none" w:sz="0" w:space="0" w:color="auto"/>
        <w:right w:val="none" w:sz="0" w:space="0" w:color="auto"/>
      </w:divBdr>
    </w:div>
    <w:div w:id="1677685713">
      <w:bodyDiv w:val="1"/>
      <w:marLeft w:val="0"/>
      <w:marRight w:val="0"/>
      <w:marTop w:val="0"/>
      <w:marBottom w:val="0"/>
      <w:divBdr>
        <w:top w:val="none" w:sz="0" w:space="0" w:color="auto"/>
        <w:left w:val="none" w:sz="0" w:space="0" w:color="auto"/>
        <w:bottom w:val="none" w:sz="0" w:space="0" w:color="auto"/>
        <w:right w:val="none" w:sz="0" w:space="0" w:color="auto"/>
      </w:divBdr>
    </w:div>
    <w:div w:id="1698461277">
      <w:bodyDiv w:val="1"/>
      <w:marLeft w:val="0"/>
      <w:marRight w:val="0"/>
      <w:marTop w:val="0"/>
      <w:marBottom w:val="0"/>
      <w:divBdr>
        <w:top w:val="none" w:sz="0" w:space="0" w:color="auto"/>
        <w:left w:val="none" w:sz="0" w:space="0" w:color="auto"/>
        <w:bottom w:val="none" w:sz="0" w:space="0" w:color="auto"/>
        <w:right w:val="none" w:sz="0" w:space="0" w:color="auto"/>
      </w:divBdr>
    </w:div>
    <w:div w:id="1707950407">
      <w:bodyDiv w:val="1"/>
      <w:marLeft w:val="0"/>
      <w:marRight w:val="0"/>
      <w:marTop w:val="0"/>
      <w:marBottom w:val="0"/>
      <w:divBdr>
        <w:top w:val="none" w:sz="0" w:space="0" w:color="auto"/>
        <w:left w:val="none" w:sz="0" w:space="0" w:color="auto"/>
        <w:bottom w:val="none" w:sz="0" w:space="0" w:color="auto"/>
        <w:right w:val="none" w:sz="0" w:space="0" w:color="auto"/>
      </w:divBdr>
    </w:div>
    <w:div w:id="1717581023">
      <w:bodyDiv w:val="1"/>
      <w:marLeft w:val="0"/>
      <w:marRight w:val="0"/>
      <w:marTop w:val="0"/>
      <w:marBottom w:val="0"/>
      <w:divBdr>
        <w:top w:val="none" w:sz="0" w:space="0" w:color="auto"/>
        <w:left w:val="none" w:sz="0" w:space="0" w:color="auto"/>
        <w:bottom w:val="none" w:sz="0" w:space="0" w:color="auto"/>
        <w:right w:val="none" w:sz="0" w:space="0" w:color="auto"/>
      </w:divBdr>
    </w:div>
    <w:div w:id="1727800320">
      <w:bodyDiv w:val="1"/>
      <w:marLeft w:val="0"/>
      <w:marRight w:val="0"/>
      <w:marTop w:val="0"/>
      <w:marBottom w:val="0"/>
      <w:divBdr>
        <w:top w:val="none" w:sz="0" w:space="0" w:color="auto"/>
        <w:left w:val="none" w:sz="0" w:space="0" w:color="auto"/>
        <w:bottom w:val="none" w:sz="0" w:space="0" w:color="auto"/>
        <w:right w:val="none" w:sz="0" w:space="0" w:color="auto"/>
      </w:divBdr>
    </w:div>
    <w:div w:id="1761028346">
      <w:bodyDiv w:val="1"/>
      <w:marLeft w:val="0"/>
      <w:marRight w:val="0"/>
      <w:marTop w:val="0"/>
      <w:marBottom w:val="0"/>
      <w:divBdr>
        <w:top w:val="none" w:sz="0" w:space="0" w:color="auto"/>
        <w:left w:val="none" w:sz="0" w:space="0" w:color="auto"/>
        <w:bottom w:val="none" w:sz="0" w:space="0" w:color="auto"/>
        <w:right w:val="none" w:sz="0" w:space="0" w:color="auto"/>
      </w:divBdr>
    </w:div>
    <w:div w:id="1762406250">
      <w:bodyDiv w:val="1"/>
      <w:marLeft w:val="0"/>
      <w:marRight w:val="0"/>
      <w:marTop w:val="0"/>
      <w:marBottom w:val="0"/>
      <w:divBdr>
        <w:top w:val="none" w:sz="0" w:space="0" w:color="auto"/>
        <w:left w:val="none" w:sz="0" w:space="0" w:color="auto"/>
        <w:bottom w:val="none" w:sz="0" w:space="0" w:color="auto"/>
        <w:right w:val="none" w:sz="0" w:space="0" w:color="auto"/>
      </w:divBdr>
    </w:div>
    <w:div w:id="1787849434">
      <w:bodyDiv w:val="1"/>
      <w:marLeft w:val="0"/>
      <w:marRight w:val="0"/>
      <w:marTop w:val="0"/>
      <w:marBottom w:val="0"/>
      <w:divBdr>
        <w:top w:val="none" w:sz="0" w:space="0" w:color="auto"/>
        <w:left w:val="none" w:sz="0" w:space="0" w:color="auto"/>
        <w:bottom w:val="none" w:sz="0" w:space="0" w:color="auto"/>
        <w:right w:val="none" w:sz="0" w:space="0" w:color="auto"/>
      </w:divBdr>
    </w:div>
    <w:div w:id="1788543929">
      <w:bodyDiv w:val="1"/>
      <w:marLeft w:val="0"/>
      <w:marRight w:val="0"/>
      <w:marTop w:val="0"/>
      <w:marBottom w:val="0"/>
      <w:divBdr>
        <w:top w:val="none" w:sz="0" w:space="0" w:color="auto"/>
        <w:left w:val="none" w:sz="0" w:space="0" w:color="auto"/>
        <w:bottom w:val="none" w:sz="0" w:space="0" w:color="auto"/>
        <w:right w:val="none" w:sz="0" w:space="0" w:color="auto"/>
      </w:divBdr>
    </w:div>
    <w:div w:id="1791052225">
      <w:bodyDiv w:val="1"/>
      <w:marLeft w:val="0"/>
      <w:marRight w:val="0"/>
      <w:marTop w:val="0"/>
      <w:marBottom w:val="0"/>
      <w:divBdr>
        <w:top w:val="none" w:sz="0" w:space="0" w:color="auto"/>
        <w:left w:val="none" w:sz="0" w:space="0" w:color="auto"/>
        <w:bottom w:val="none" w:sz="0" w:space="0" w:color="auto"/>
        <w:right w:val="none" w:sz="0" w:space="0" w:color="auto"/>
      </w:divBdr>
    </w:div>
    <w:div w:id="1791125419">
      <w:bodyDiv w:val="1"/>
      <w:marLeft w:val="0"/>
      <w:marRight w:val="0"/>
      <w:marTop w:val="0"/>
      <w:marBottom w:val="0"/>
      <w:divBdr>
        <w:top w:val="none" w:sz="0" w:space="0" w:color="auto"/>
        <w:left w:val="none" w:sz="0" w:space="0" w:color="auto"/>
        <w:bottom w:val="none" w:sz="0" w:space="0" w:color="auto"/>
        <w:right w:val="none" w:sz="0" w:space="0" w:color="auto"/>
      </w:divBdr>
    </w:div>
    <w:div w:id="1791632649">
      <w:bodyDiv w:val="1"/>
      <w:marLeft w:val="0"/>
      <w:marRight w:val="0"/>
      <w:marTop w:val="0"/>
      <w:marBottom w:val="0"/>
      <w:divBdr>
        <w:top w:val="none" w:sz="0" w:space="0" w:color="auto"/>
        <w:left w:val="none" w:sz="0" w:space="0" w:color="auto"/>
        <w:bottom w:val="none" w:sz="0" w:space="0" w:color="auto"/>
        <w:right w:val="none" w:sz="0" w:space="0" w:color="auto"/>
      </w:divBdr>
    </w:div>
    <w:div w:id="1809928902">
      <w:bodyDiv w:val="1"/>
      <w:marLeft w:val="0"/>
      <w:marRight w:val="0"/>
      <w:marTop w:val="0"/>
      <w:marBottom w:val="0"/>
      <w:divBdr>
        <w:top w:val="none" w:sz="0" w:space="0" w:color="auto"/>
        <w:left w:val="none" w:sz="0" w:space="0" w:color="auto"/>
        <w:bottom w:val="none" w:sz="0" w:space="0" w:color="auto"/>
        <w:right w:val="none" w:sz="0" w:space="0" w:color="auto"/>
      </w:divBdr>
    </w:div>
    <w:div w:id="1817261457">
      <w:bodyDiv w:val="1"/>
      <w:marLeft w:val="0"/>
      <w:marRight w:val="0"/>
      <w:marTop w:val="0"/>
      <w:marBottom w:val="0"/>
      <w:divBdr>
        <w:top w:val="none" w:sz="0" w:space="0" w:color="auto"/>
        <w:left w:val="none" w:sz="0" w:space="0" w:color="auto"/>
        <w:bottom w:val="none" w:sz="0" w:space="0" w:color="auto"/>
        <w:right w:val="none" w:sz="0" w:space="0" w:color="auto"/>
      </w:divBdr>
    </w:div>
    <w:div w:id="1818760981">
      <w:bodyDiv w:val="1"/>
      <w:marLeft w:val="0"/>
      <w:marRight w:val="0"/>
      <w:marTop w:val="0"/>
      <w:marBottom w:val="0"/>
      <w:divBdr>
        <w:top w:val="none" w:sz="0" w:space="0" w:color="auto"/>
        <w:left w:val="none" w:sz="0" w:space="0" w:color="auto"/>
        <w:bottom w:val="none" w:sz="0" w:space="0" w:color="auto"/>
        <w:right w:val="none" w:sz="0" w:space="0" w:color="auto"/>
      </w:divBdr>
    </w:div>
    <w:div w:id="1836922237">
      <w:bodyDiv w:val="1"/>
      <w:marLeft w:val="0"/>
      <w:marRight w:val="0"/>
      <w:marTop w:val="0"/>
      <w:marBottom w:val="0"/>
      <w:divBdr>
        <w:top w:val="none" w:sz="0" w:space="0" w:color="auto"/>
        <w:left w:val="none" w:sz="0" w:space="0" w:color="auto"/>
        <w:bottom w:val="none" w:sz="0" w:space="0" w:color="auto"/>
        <w:right w:val="none" w:sz="0" w:space="0" w:color="auto"/>
      </w:divBdr>
    </w:div>
    <w:div w:id="1851288687">
      <w:bodyDiv w:val="1"/>
      <w:marLeft w:val="0"/>
      <w:marRight w:val="0"/>
      <w:marTop w:val="0"/>
      <w:marBottom w:val="0"/>
      <w:divBdr>
        <w:top w:val="none" w:sz="0" w:space="0" w:color="auto"/>
        <w:left w:val="none" w:sz="0" w:space="0" w:color="auto"/>
        <w:bottom w:val="none" w:sz="0" w:space="0" w:color="auto"/>
        <w:right w:val="none" w:sz="0" w:space="0" w:color="auto"/>
      </w:divBdr>
    </w:div>
    <w:div w:id="1879003697">
      <w:bodyDiv w:val="1"/>
      <w:marLeft w:val="0"/>
      <w:marRight w:val="0"/>
      <w:marTop w:val="0"/>
      <w:marBottom w:val="0"/>
      <w:divBdr>
        <w:top w:val="none" w:sz="0" w:space="0" w:color="auto"/>
        <w:left w:val="none" w:sz="0" w:space="0" w:color="auto"/>
        <w:bottom w:val="none" w:sz="0" w:space="0" w:color="auto"/>
        <w:right w:val="none" w:sz="0" w:space="0" w:color="auto"/>
      </w:divBdr>
    </w:div>
    <w:div w:id="1879774887">
      <w:bodyDiv w:val="1"/>
      <w:marLeft w:val="0"/>
      <w:marRight w:val="0"/>
      <w:marTop w:val="0"/>
      <w:marBottom w:val="0"/>
      <w:divBdr>
        <w:top w:val="none" w:sz="0" w:space="0" w:color="auto"/>
        <w:left w:val="none" w:sz="0" w:space="0" w:color="auto"/>
        <w:bottom w:val="none" w:sz="0" w:space="0" w:color="auto"/>
        <w:right w:val="none" w:sz="0" w:space="0" w:color="auto"/>
      </w:divBdr>
    </w:div>
    <w:div w:id="1925990119">
      <w:bodyDiv w:val="1"/>
      <w:marLeft w:val="0"/>
      <w:marRight w:val="0"/>
      <w:marTop w:val="0"/>
      <w:marBottom w:val="0"/>
      <w:divBdr>
        <w:top w:val="none" w:sz="0" w:space="0" w:color="auto"/>
        <w:left w:val="none" w:sz="0" w:space="0" w:color="auto"/>
        <w:bottom w:val="none" w:sz="0" w:space="0" w:color="auto"/>
        <w:right w:val="none" w:sz="0" w:space="0" w:color="auto"/>
      </w:divBdr>
    </w:div>
    <w:div w:id="1970284689">
      <w:bodyDiv w:val="1"/>
      <w:marLeft w:val="0"/>
      <w:marRight w:val="0"/>
      <w:marTop w:val="0"/>
      <w:marBottom w:val="0"/>
      <w:divBdr>
        <w:top w:val="none" w:sz="0" w:space="0" w:color="auto"/>
        <w:left w:val="none" w:sz="0" w:space="0" w:color="auto"/>
        <w:bottom w:val="none" w:sz="0" w:space="0" w:color="auto"/>
        <w:right w:val="none" w:sz="0" w:space="0" w:color="auto"/>
      </w:divBdr>
    </w:div>
    <w:div w:id="1975983262">
      <w:bodyDiv w:val="1"/>
      <w:marLeft w:val="0"/>
      <w:marRight w:val="0"/>
      <w:marTop w:val="0"/>
      <w:marBottom w:val="0"/>
      <w:divBdr>
        <w:top w:val="none" w:sz="0" w:space="0" w:color="auto"/>
        <w:left w:val="none" w:sz="0" w:space="0" w:color="auto"/>
        <w:bottom w:val="none" w:sz="0" w:space="0" w:color="auto"/>
        <w:right w:val="none" w:sz="0" w:space="0" w:color="auto"/>
      </w:divBdr>
    </w:div>
    <w:div w:id="1995986076">
      <w:bodyDiv w:val="1"/>
      <w:marLeft w:val="0"/>
      <w:marRight w:val="0"/>
      <w:marTop w:val="0"/>
      <w:marBottom w:val="0"/>
      <w:divBdr>
        <w:top w:val="none" w:sz="0" w:space="0" w:color="auto"/>
        <w:left w:val="none" w:sz="0" w:space="0" w:color="auto"/>
        <w:bottom w:val="none" w:sz="0" w:space="0" w:color="auto"/>
        <w:right w:val="none" w:sz="0" w:space="0" w:color="auto"/>
      </w:divBdr>
    </w:div>
    <w:div w:id="2025403722">
      <w:bodyDiv w:val="1"/>
      <w:marLeft w:val="0"/>
      <w:marRight w:val="0"/>
      <w:marTop w:val="0"/>
      <w:marBottom w:val="0"/>
      <w:divBdr>
        <w:top w:val="none" w:sz="0" w:space="0" w:color="auto"/>
        <w:left w:val="none" w:sz="0" w:space="0" w:color="auto"/>
        <w:bottom w:val="none" w:sz="0" w:space="0" w:color="auto"/>
        <w:right w:val="none" w:sz="0" w:space="0" w:color="auto"/>
      </w:divBdr>
    </w:div>
    <w:div w:id="2031373269">
      <w:bodyDiv w:val="1"/>
      <w:marLeft w:val="0"/>
      <w:marRight w:val="0"/>
      <w:marTop w:val="0"/>
      <w:marBottom w:val="0"/>
      <w:divBdr>
        <w:top w:val="none" w:sz="0" w:space="0" w:color="auto"/>
        <w:left w:val="none" w:sz="0" w:space="0" w:color="auto"/>
        <w:bottom w:val="none" w:sz="0" w:space="0" w:color="auto"/>
        <w:right w:val="none" w:sz="0" w:space="0" w:color="auto"/>
      </w:divBdr>
    </w:div>
    <w:div w:id="2055344154">
      <w:bodyDiv w:val="1"/>
      <w:marLeft w:val="0"/>
      <w:marRight w:val="0"/>
      <w:marTop w:val="0"/>
      <w:marBottom w:val="0"/>
      <w:divBdr>
        <w:top w:val="none" w:sz="0" w:space="0" w:color="auto"/>
        <w:left w:val="none" w:sz="0" w:space="0" w:color="auto"/>
        <w:bottom w:val="none" w:sz="0" w:space="0" w:color="auto"/>
        <w:right w:val="none" w:sz="0" w:space="0" w:color="auto"/>
      </w:divBdr>
    </w:div>
    <w:div w:id="2063629588">
      <w:bodyDiv w:val="1"/>
      <w:marLeft w:val="0"/>
      <w:marRight w:val="0"/>
      <w:marTop w:val="0"/>
      <w:marBottom w:val="0"/>
      <w:divBdr>
        <w:top w:val="none" w:sz="0" w:space="0" w:color="auto"/>
        <w:left w:val="none" w:sz="0" w:space="0" w:color="auto"/>
        <w:bottom w:val="none" w:sz="0" w:space="0" w:color="auto"/>
        <w:right w:val="none" w:sz="0" w:space="0" w:color="auto"/>
      </w:divBdr>
    </w:div>
    <w:div w:id="2081714011">
      <w:bodyDiv w:val="1"/>
      <w:marLeft w:val="0"/>
      <w:marRight w:val="0"/>
      <w:marTop w:val="0"/>
      <w:marBottom w:val="0"/>
      <w:divBdr>
        <w:top w:val="none" w:sz="0" w:space="0" w:color="auto"/>
        <w:left w:val="none" w:sz="0" w:space="0" w:color="auto"/>
        <w:bottom w:val="none" w:sz="0" w:space="0" w:color="auto"/>
        <w:right w:val="none" w:sz="0" w:space="0" w:color="auto"/>
      </w:divBdr>
    </w:div>
    <w:div w:id="2098821023">
      <w:bodyDiv w:val="1"/>
      <w:marLeft w:val="0"/>
      <w:marRight w:val="0"/>
      <w:marTop w:val="0"/>
      <w:marBottom w:val="0"/>
      <w:divBdr>
        <w:top w:val="none" w:sz="0" w:space="0" w:color="auto"/>
        <w:left w:val="none" w:sz="0" w:space="0" w:color="auto"/>
        <w:bottom w:val="none" w:sz="0" w:space="0" w:color="auto"/>
        <w:right w:val="none" w:sz="0" w:space="0" w:color="auto"/>
      </w:divBdr>
    </w:div>
    <w:div w:id="21142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4/2014onca485/2014onca485.html" TargetMode="External"/><Relationship Id="rId117" Type="http://schemas.openxmlformats.org/officeDocument/2006/relationships/hyperlink" Target="http://canlii.ca/t/gf2bg" TargetMode="External"/><Relationship Id="rId21" Type="http://schemas.openxmlformats.org/officeDocument/2006/relationships/hyperlink" Target="http://www.canlii.org/en/on/onca/doc/2015/2015onca499/2015onca499.html?autocompleteStr=2015%20ONCA%20499&amp;autocompletePos=1" TargetMode="External"/><Relationship Id="rId42" Type="http://schemas.openxmlformats.org/officeDocument/2006/relationships/hyperlink" Target="http://www.canlii.org/en/on/onsc/doc/2014/2014onsc6918/2014onsc6918.html?autocompleteStr=2014%20onsc%206918&amp;autocompletePos=1" TargetMode="External"/><Relationship Id="rId47" Type="http://schemas.openxmlformats.org/officeDocument/2006/relationships/hyperlink" Target="http://canlii.ca/t/gjw5b" TargetMode="External"/><Relationship Id="rId63" Type="http://schemas.openxmlformats.org/officeDocument/2006/relationships/hyperlink" Target="http://canlii.ca/t/gm1lh" TargetMode="External"/><Relationship Id="rId68" Type="http://schemas.openxmlformats.org/officeDocument/2006/relationships/hyperlink" Target="http://canlii.ca/t/g8hf2" TargetMode="External"/><Relationship Id="rId84" Type="http://schemas.openxmlformats.org/officeDocument/2006/relationships/hyperlink" Target="http://canlii.ca/t/glpvs" TargetMode="External"/><Relationship Id="rId89" Type="http://schemas.openxmlformats.org/officeDocument/2006/relationships/hyperlink" Target="http://www.canlii.org/en/on/laws/regu/o-reg-649-93/latest/o-reg-649-93.html" TargetMode="External"/><Relationship Id="rId112" Type="http://schemas.openxmlformats.org/officeDocument/2006/relationships/hyperlink" Target="http://www.canlii.org/en/ca/laws/stat/sc-2001-c-27/latest/sc-2001-c-27.html" TargetMode="External"/><Relationship Id="rId133" Type="http://schemas.openxmlformats.org/officeDocument/2006/relationships/header" Target="header7.xml"/><Relationship Id="rId138" Type="http://schemas.openxmlformats.org/officeDocument/2006/relationships/footer" Target="footer9.xml"/><Relationship Id="rId154" Type="http://schemas.openxmlformats.org/officeDocument/2006/relationships/header" Target="header18.xml"/><Relationship Id="rId159" Type="http://schemas.openxmlformats.org/officeDocument/2006/relationships/hyperlink" Target="http://www.scc-csc.ca/case-dossier/info/sum-som-eng.aspx?cas=35945" TargetMode="External"/><Relationship Id="rId170"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yperlink" Target="http://www.canlii.org/en/ca/laws/stat/sc-2001-c-27/latest/sc-2001-c-27.html" TargetMode="External"/><Relationship Id="rId11" Type="http://schemas.openxmlformats.org/officeDocument/2006/relationships/footer" Target="footer1.xml"/><Relationship Id="rId32" Type="http://schemas.openxmlformats.org/officeDocument/2006/relationships/hyperlink" Target="http://canlii.ca/t/2f652" TargetMode="External"/><Relationship Id="rId37" Type="http://schemas.openxmlformats.org/officeDocument/2006/relationships/hyperlink" Target="http://canlii.ca/t/gkd9m" TargetMode="External"/><Relationship Id="rId53" Type="http://schemas.openxmlformats.org/officeDocument/2006/relationships/hyperlink" Target="http://www.canlii.org/en/bc/bcca/doc/2015/2015bcca372/2015bcca372.html?autocompleteStr=2015%20BCCA%20372&amp;autocompletePos=1" TargetMode="External"/><Relationship Id="rId58" Type="http://schemas.openxmlformats.org/officeDocument/2006/relationships/hyperlink" Target="http://canlii.ca/t/g2xnb" TargetMode="External"/><Relationship Id="rId74" Type="http://schemas.openxmlformats.org/officeDocument/2006/relationships/hyperlink" Target="https://www.canlii.org/en/bc/bcca/doc/2015/2015bcca358/2015bcca358.html?resultIndex=1" TargetMode="External"/><Relationship Id="rId79" Type="http://schemas.openxmlformats.org/officeDocument/2006/relationships/hyperlink" Target="file:///C:\Users\Roger%20Caron\Documents\Documents%20Word\Traduction%20juridique%20(clients)\Cour%20supr&#234;me%20du%20Canada\Mandat%20160311-1\%3chttp:\canlii.ca\t\fts8" TargetMode="External"/><Relationship Id="rId102" Type="http://schemas.openxmlformats.org/officeDocument/2006/relationships/hyperlink" Target="http://canlii.ca/t/g6nqp" TargetMode="External"/><Relationship Id="rId123" Type="http://schemas.openxmlformats.org/officeDocument/2006/relationships/hyperlink" Target="http://www.canlii.org/en/bc/bcca/doc/2015/2015bcca531/2015bcca531.html?autocompleteStr=CA43039&amp;autocompletePos=2" TargetMode="External"/><Relationship Id="rId128" Type="http://schemas.openxmlformats.org/officeDocument/2006/relationships/hyperlink" Target="http://www.canlii.org/en/on/onca/doc/2015/2015onca623/2015onca623.html?autocompleteStr=2015%20ONCA%20623&amp;autocompletePos=1" TargetMode="External"/><Relationship Id="rId144" Type="http://schemas.openxmlformats.org/officeDocument/2006/relationships/footer" Target="footer12.xml"/><Relationship Id="rId149" Type="http://schemas.openxmlformats.org/officeDocument/2006/relationships/footer" Target="footer14.xml"/><Relationship Id="rId5" Type="http://schemas.openxmlformats.org/officeDocument/2006/relationships/footnotes" Target="footnotes.xml"/><Relationship Id="rId90" Type="http://schemas.openxmlformats.org/officeDocument/2006/relationships/hyperlink" Target="http://www.canlii.org/en/on/laws/stat/rso-1990-c-t10/latest/rso-1990-c-t10.html" TargetMode="External"/><Relationship Id="rId95" Type="http://schemas.openxmlformats.org/officeDocument/2006/relationships/hyperlink" Target="http://www.canlii.org/en/on/laws/regu/o-reg-649-93/latest/o-reg-649-93.html" TargetMode="External"/><Relationship Id="rId160" Type="http://schemas.openxmlformats.org/officeDocument/2006/relationships/hyperlink" Target="http://www.scc-csc.ca/case-dossier/info/sum-som-eng.aspx?cas=35982" TargetMode="External"/><Relationship Id="rId165" Type="http://schemas.openxmlformats.org/officeDocument/2006/relationships/footer" Target="footer21.xml"/><Relationship Id="rId22" Type="http://schemas.openxmlformats.org/officeDocument/2006/relationships/hyperlink" Target="http://www.canlii.org/en/on/onsc/doc/2014/2014onsc907/2014onsc907.html?resultIndex=1" TargetMode="External"/><Relationship Id="rId27" Type="http://schemas.openxmlformats.org/officeDocument/2006/relationships/hyperlink" Target="http://www.canlii.org/en/on/onca/doc/2015/2015onca536/2015onca536.html" TargetMode="External"/><Relationship Id="rId43" Type="http://schemas.openxmlformats.org/officeDocument/2006/relationships/hyperlink" Target="http://www.canlii.org/en/on/onca/doc/2015/2015onca573/2015onca573.html?autocompleteStr=2015%20onca%20573&amp;autocompletePos=1" TargetMode="External"/><Relationship Id="rId48" Type="http://schemas.openxmlformats.org/officeDocument/2006/relationships/hyperlink" Target="http://canlii.ca/t/gfpgn" TargetMode="External"/><Relationship Id="rId64" Type="http://schemas.openxmlformats.org/officeDocument/2006/relationships/hyperlink" Target="http://canlii.ca/t/gh6hv" TargetMode="External"/><Relationship Id="rId69" Type="http://schemas.openxmlformats.org/officeDocument/2006/relationships/hyperlink" Target="http://canlii.ca/t/gh79k" TargetMode="External"/><Relationship Id="rId113" Type="http://schemas.openxmlformats.org/officeDocument/2006/relationships/hyperlink" Target="http://www.canlii.org/en/ca/fct/doc/2014/2014fc1040/2014fc1040.html?resultIndex=1" TargetMode="External"/><Relationship Id="rId118" Type="http://schemas.openxmlformats.org/officeDocument/2006/relationships/hyperlink" Target="http://canlii.ca/t/gm8f9" TargetMode="External"/><Relationship Id="rId134" Type="http://schemas.openxmlformats.org/officeDocument/2006/relationships/footer" Target="footer7.xml"/><Relationship Id="rId139" Type="http://schemas.openxmlformats.org/officeDocument/2006/relationships/header" Target="header10.xml"/><Relationship Id="rId80" Type="http://schemas.openxmlformats.org/officeDocument/2006/relationships/hyperlink" Target="http://canlii.ca/t/fxlch" TargetMode="External"/><Relationship Id="rId85" Type="http://schemas.openxmlformats.org/officeDocument/2006/relationships/hyperlink" Target="http://canlii.ca/t/gmh1j" TargetMode="External"/><Relationship Id="rId150" Type="http://schemas.openxmlformats.org/officeDocument/2006/relationships/footer" Target="footer15.xml"/><Relationship Id="rId155" Type="http://schemas.openxmlformats.org/officeDocument/2006/relationships/footer" Target="footer17.xml"/><Relationship Id="rId171"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canlii.ca/t/fzq81" TargetMode="External"/><Relationship Id="rId38" Type="http://schemas.openxmlformats.org/officeDocument/2006/relationships/hyperlink" Target="http://www.canlii.org/en/bc/bcsc/doc/2013/2013bcsc544/2013bcsc544.html?autocompleteStr=2013%20BCSC%20544&amp;autocompletePos=1" TargetMode="External"/><Relationship Id="rId59" Type="http://schemas.openxmlformats.org/officeDocument/2006/relationships/hyperlink" Target="http://canlii.ca/t/gl8hl" TargetMode="External"/><Relationship Id="rId103" Type="http://schemas.openxmlformats.org/officeDocument/2006/relationships/hyperlink" Target="http://canlii.ca/t/glszf" TargetMode="External"/><Relationship Id="rId108" Type="http://schemas.openxmlformats.org/officeDocument/2006/relationships/hyperlink" Target="http://www.canlii.org/en/ca/laws/stat/sc-2001-c-27/latest/sc-2001-c-27.html" TargetMode="External"/><Relationship Id="rId124" Type="http://schemas.openxmlformats.org/officeDocument/2006/relationships/hyperlink" Target="http://www.canlii.org/en/bc/bcsc/doc/2015/2015bcsc1446/2015bcsc1446.html" TargetMode="External"/><Relationship Id="rId129" Type="http://schemas.openxmlformats.org/officeDocument/2006/relationships/header" Target="header5.xml"/><Relationship Id="rId54" Type="http://schemas.openxmlformats.org/officeDocument/2006/relationships/hyperlink" Target="http://www.canlii.org/en/ca/fct/doc/2013/2013fc301/2013fc301.html?autocompleteStr=2013%20FC%20301&amp;autocompletePos=1" TargetMode="External"/><Relationship Id="rId70" Type="http://schemas.openxmlformats.org/officeDocument/2006/relationships/hyperlink" Target="http://www.canlii.org/fr/qc/qccs/doc/2015/2015qccs2378/2015qccs2378.html?autocompleteStr=pompage%20b%C3%A9t&amp;autocompletePos=5" TargetMode="External"/><Relationship Id="rId75" Type="http://schemas.openxmlformats.org/officeDocument/2006/relationships/hyperlink" Target="https://www.canlii.org/en/bc/bcca/doc/2015/2015bcca358/2015bcca358.html?resultIndex=1" TargetMode="External"/><Relationship Id="rId91" Type="http://schemas.openxmlformats.org/officeDocument/2006/relationships/hyperlink" Target="http://www.canlii.org/en/on/laws/regu/o-reg-649-93/latest/o-reg-649-93.html" TargetMode="External"/><Relationship Id="rId96" Type="http://schemas.openxmlformats.org/officeDocument/2006/relationships/hyperlink" Target="http://www.canlii.org/en/on/laws/stat/rso-1990-c-t10/latest/rso-1990-c-t10.html" TargetMode="External"/><Relationship Id="rId140" Type="http://schemas.openxmlformats.org/officeDocument/2006/relationships/footer" Target="footer10.xml"/><Relationship Id="rId145" Type="http://schemas.openxmlformats.org/officeDocument/2006/relationships/header" Target="header13.xml"/><Relationship Id="rId161" Type="http://schemas.openxmlformats.org/officeDocument/2006/relationships/hyperlink" Target="http://www.scc-csc.ca/case-dossier/info/sum-som-eng.aspx?cas=36162" TargetMode="External"/><Relationship Id="rId166"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on/onca/doc/2014/2014onca485/2014onca485.html" TargetMode="External"/><Relationship Id="rId28" Type="http://schemas.openxmlformats.org/officeDocument/2006/relationships/hyperlink" Target="http://www.canlii.org/en/ab/abqb/doc/2014/2014abqb347/2014abqb347.html?autocompleteStr=2014%20ABQB%20347&amp;autocompletePos=1" TargetMode="External"/><Relationship Id="rId36" Type="http://schemas.openxmlformats.org/officeDocument/2006/relationships/hyperlink" Target="http://canlii.ca/t/fzq81" TargetMode="External"/><Relationship Id="rId49" Type="http://schemas.openxmlformats.org/officeDocument/2006/relationships/hyperlink" Target="http://canlii.ca/t/gjw5b" TargetMode="External"/><Relationship Id="rId57" Type="http://schemas.openxmlformats.org/officeDocument/2006/relationships/hyperlink" Target="http://www.canlii.org/en/ca/fca/doc/2015/2015fca160/2015fca160.html?autocompleteStr=2015%20FCA%20160&amp;autocompletePos=1" TargetMode="External"/><Relationship Id="rId106" Type="http://schemas.openxmlformats.org/officeDocument/2006/relationships/hyperlink" Target="http://www.canlii.org/en/ca/laws/stat/sc-2001-c-27/latest/sc-2001-c-27.html" TargetMode="External"/><Relationship Id="rId114" Type="http://schemas.openxmlformats.org/officeDocument/2006/relationships/hyperlink" Target="http://www.canlii.org/en/ca/fca/doc/2015/2015fca237/2015fca237.html?resultIndex=1" TargetMode="External"/><Relationship Id="rId119" Type="http://schemas.openxmlformats.org/officeDocument/2006/relationships/hyperlink" Target="http://www.canlii.org/en/bc/laws/stat/sbc-2011-c-25/latest/sbc-2011-c-25.html" TargetMode="External"/><Relationship Id="rId127" Type="http://schemas.openxmlformats.org/officeDocument/2006/relationships/hyperlink" Target="http://www.canlii.org/en/on/onca/doc/2015/2015onca623/2015onca623.html?autocompleteStr=2015%20ONCA%20623&amp;autocompletePos=1" TargetMode="External"/><Relationship Id="rId10" Type="http://schemas.openxmlformats.org/officeDocument/2006/relationships/header" Target="header1.xml"/><Relationship Id="rId31" Type="http://schemas.openxmlformats.org/officeDocument/2006/relationships/hyperlink" Target="http://www.canlii.org/en/ab/abca/doc/2015/2015abca240/2015abca240.html?autocompleteStr=2015%20ABCA%20240&amp;autocompletePos=1" TargetMode="External"/><Relationship Id="rId44" Type="http://schemas.openxmlformats.org/officeDocument/2006/relationships/hyperlink" Target="http://www.canlii.org/en/on/onsc/doc/2014/2014onsc6918/2014onsc6918.html?autocompleteStr=2014%20onsc%206918&amp;autocompletePos=1" TargetMode="External"/><Relationship Id="rId52" Type="http://schemas.openxmlformats.org/officeDocument/2006/relationships/hyperlink" Target="http://www.canlii.org/en/bc/bcsc/doc/2014/2014bcsc123/2014bcsc123.html" TargetMode="External"/><Relationship Id="rId60" Type="http://schemas.openxmlformats.org/officeDocument/2006/relationships/hyperlink" Target="http://canlii.ca/t/g2xnb" TargetMode="External"/><Relationship Id="rId65" Type="http://schemas.openxmlformats.org/officeDocument/2006/relationships/hyperlink" Target="http://canlii.ca/t/gh6hv" TargetMode="External"/><Relationship Id="rId73" Type="http://schemas.openxmlformats.org/officeDocument/2006/relationships/hyperlink" Target="http://www.canlii.org/fr/qc/qcca/doc/2015/2015qcca1642/2015qcca1642.html" TargetMode="External"/><Relationship Id="rId78" Type="http://schemas.openxmlformats.org/officeDocument/2006/relationships/hyperlink" Target="http://canlii.ca/t/gllpv" TargetMode="External"/><Relationship Id="rId81" Type="http://schemas.openxmlformats.org/officeDocument/2006/relationships/hyperlink" Target="http://canlii.ca/t/gllpv" TargetMode="External"/><Relationship Id="rId86" Type="http://schemas.openxmlformats.org/officeDocument/2006/relationships/hyperlink" Target="http://canlii.ca/t/glpvs" TargetMode="External"/><Relationship Id="rId94" Type="http://schemas.openxmlformats.org/officeDocument/2006/relationships/hyperlink" Target="http://www.canlii.org/en/on/laws/stat/rso-1990-c-t10/latest/rso-1990-c-t10.html" TargetMode="External"/><Relationship Id="rId99" Type="http://schemas.openxmlformats.org/officeDocument/2006/relationships/hyperlink" Target="http://www.canlii.org/en/ca/fca/doc/2015/2015fca234/2015fca234.html?autocompleteStr=2015%20FCA%20234&amp;autocompletePos=1" TargetMode="External"/><Relationship Id="rId101" Type="http://schemas.openxmlformats.org/officeDocument/2006/relationships/hyperlink" Target="http://canlii.ca/t/glw7d" TargetMode="External"/><Relationship Id="rId122" Type="http://schemas.openxmlformats.org/officeDocument/2006/relationships/hyperlink" Target="http://www.canlii.org/en/bc/bcca/doc/2015/2015bcca508/2015bcca508.html?autocompleteStr=2015%20BCCA%20%20508&amp;autocompletePos=1" TargetMode="External"/><Relationship Id="rId130" Type="http://schemas.openxmlformats.org/officeDocument/2006/relationships/header" Target="header6.xml"/><Relationship Id="rId135" Type="http://schemas.openxmlformats.org/officeDocument/2006/relationships/header" Target="header8.xml"/><Relationship Id="rId143" Type="http://schemas.openxmlformats.org/officeDocument/2006/relationships/footer" Target="footer11.xml"/><Relationship Id="rId148" Type="http://schemas.openxmlformats.org/officeDocument/2006/relationships/header" Target="header15.xml"/><Relationship Id="rId151" Type="http://schemas.openxmlformats.org/officeDocument/2006/relationships/header" Target="header16.xml"/><Relationship Id="rId156" Type="http://schemas.openxmlformats.org/officeDocument/2006/relationships/footer" Target="footer18.xml"/><Relationship Id="rId164" Type="http://schemas.openxmlformats.org/officeDocument/2006/relationships/footer" Target="footer20.xml"/><Relationship Id="rId169"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on/onsc/doc/2014/2014onsc655/2014onsc655.html?autocompleteStr=2014%20ONSC%20655&amp;autocompletePos=1" TargetMode="External"/><Relationship Id="rId39" Type="http://schemas.openxmlformats.org/officeDocument/2006/relationships/hyperlink" Target="http://www.canlii.org/en/bc/bcca/doc/2015/2015bcca353/2015bcca353.html?searchUrlHash=AAAAAAAAAAEAFjIwMTMgQkNTQyA1NDQgKENhbkxJSSkAAAABAAwvMjAxM2Jjc2M1NDQB&amp;resultIndex=4" TargetMode="External"/><Relationship Id="rId109" Type="http://schemas.openxmlformats.org/officeDocument/2006/relationships/hyperlink" Target="http://www.canlii.org/en/ca/fct/doc/2014/2014fc1040/2014fc1040.html?resultIndex=1" TargetMode="External"/><Relationship Id="rId34" Type="http://schemas.openxmlformats.org/officeDocument/2006/relationships/hyperlink" Target="http://canlii.ca/t/gkd9m" TargetMode="External"/><Relationship Id="rId50" Type="http://schemas.openxmlformats.org/officeDocument/2006/relationships/hyperlink" Target="http://www.canlii.org/en/bc/bcsc/doc/2014/2014bcsc123/2014bcsc123.html" TargetMode="External"/><Relationship Id="rId55" Type="http://schemas.openxmlformats.org/officeDocument/2006/relationships/hyperlink" Target="http://www.canlii.org/en/ca/fca/doc/2015/2015fca160/2015fca160.html?autocompleteStr=2015%20FCA%20160&amp;autocompletePos=1" TargetMode="External"/><Relationship Id="rId76" Type="http://schemas.openxmlformats.org/officeDocument/2006/relationships/hyperlink" Target="file:///C:\Users\groulxg\AppData\Local\Microsoft\Windows\Temporary%20Internet%20Files\Content.Outlook\F6O6KYXD\%3chttp:\canlii.ca\t\fts8" TargetMode="External"/><Relationship Id="rId97" Type="http://schemas.openxmlformats.org/officeDocument/2006/relationships/hyperlink" Target="http://www.canlii.org/en/on/laws/regu/o-reg-649-93/latest/o-reg-649-93.html" TargetMode="External"/><Relationship Id="rId104" Type="http://schemas.openxmlformats.org/officeDocument/2006/relationships/hyperlink" Target="http://canlii.ca/t/g6nqp" TargetMode="External"/><Relationship Id="rId120" Type="http://schemas.openxmlformats.org/officeDocument/2006/relationships/hyperlink" Target="http://www.canlii.org/en/bc/laws/stat/sbc-2011-c-25/latest/sbc-2011-c-25.html" TargetMode="External"/><Relationship Id="rId125" Type="http://schemas.openxmlformats.org/officeDocument/2006/relationships/hyperlink" Target="http://www.canlii.org/en/bc/bcca/doc/2015/2015bcca508/2015bcca508.html?autocompleteStr=2015%20BCCA%20%20508&amp;autocompletePos=1" TargetMode="External"/><Relationship Id="rId141" Type="http://schemas.openxmlformats.org/officeDocument/2006/relationships/header" Target="header11.xml"/><Relationship Id="rId146" Type="http://schemas.openxmlformats.org/officeDocument/2006/relationships/footer" Target="footer13.xml"/><Relationship Id="rId167" Type="http://schemas.openxmlformats.org/officeDocument/2006/relationships/footer" Target="footer22.xml"/><Relationship Id="rId7" Type="http://schemas.openxmlformats.org/officeDocument/2006/relationships/image" Target="media/image1.wmf"/><Relationship Id="rId71" Type="http://schemas.openxmlformats.org/officeDocument/2006/relationships/hyperlink" Target="http://www.canlii.org/fr/qc/qcca/doc/2015/2015qcca1642/2015qcca1642.html" TargetMode="External"/><Relationship Id="rId92" Type="http://schemas.openxmlformats.org/officeDocument/2006/relationships/hyperlink" Target="http://www.canlii.org/en/ca/fct/doc/2014/2014fc1126/2014fc1126.html?autocompleteStr=2014%20FC%201126&amp;autocompletePos=1" TargetMode="External"/><Relationship Id="rId162" Type="http://schemas.openxmlformats.org/officeDocument/2006/relationships/header" Target="header20.xml"/><Relationship Id="rId2" Type="http://schemas.openxmlformats.org/officeDocument/2006/relationships/styles" Target="styles.xml"/><Relationship Id="rId29" Type="http://schemas.openxmlformats.org/officeDocument/2006/relationships/hyperlink" Target="http://www.canlii.org/en/ab/abca/doc/2015/2015abca240/2015abca240.html?autocompleteStr=2015%20ABCA%20240&amp;autocompletePos=1" TargetMode="External"/><Relationship Id="rId24" Type="http://schemas.openxmlformats.org/officeDocument/2006/relationships/hyperlink" Target="http://www.canlii.org/en/on/onca/doc/2015/2015onca536/2015onca536.html" TargetMode="External"/><Relationship Id="rId40" Type="http://schemas.openxmlformats.org/officeDocument/2006/relationships/hyperlink" Target="http://www.canlii.org/en/bc/bcsc/doc/2013/2013bcsc544/2013bcsc544.html?autocompleteStr=2013%20BCSC%20544&amp;autocompletePos=1" TargetMode="External"/><Relationship Id="rId45" Type="http://schemas.openxmlformats.org/officeDocument/2006/relationships/hyperlink" Target="http://www.canlii.org/en/on/onca/doc/2015/2015onca573/2015onca573.html?autocompleteStr=2015%20onca%20573&amp;autocompletePos=1" TargetMode="External"/><Relationship Id="rId66" Type="http://schemas.openxmlformats.org/officeDocument/2006/relationships/hyperlink" Target="http://canlii.ca/t/g8hf2" TargetMode="External"/><Relationship Id="rId87" Type="http://schemas.openxmlformats.org/officeDocument/2006/relationships/hyperlink" Target="http://canlii.ca/t/gmh1j" TargetMode="External"/><Relationship Id="rId110" Type="http://schemas.openxmlformats.org/officeDocument/2006/relationships/hyperlink" Target="http://www.canlii.org/en/ca/fca/doc/2015/2015fca237/2015fca237.html?resultIndex=1" TargetMode="External"/><Relationship Id="rId115" Type="http://schemas.openxmlformats.org/officeDocument/2006/relationships/hyperlink" Target="http://canlii.ca/t/gf2bg" TargetMode="External"/><Relationship Id="rId131" Type="http://schemas.openxmlformats.org/officeDocument/2006/relationships/footer" Target="footer5.xml"/><Relationship Id="rId136" Type="http://schemas.openxmlformats.org/officeDocument/2006/relationships/header" Target="header9.xml"/><Relationship Id="rId157" Type="http://schemas.openxmlformats.org/officeDocument/2006/relationships/header" Target="header19.xml"/><Relationship Id="rId61" Type="http://schemas.openxmlformats.org/officeDocument/2006/relationships/hyperlink" Target="http://canlii.ca/t/gl8hl" TargetMode="External"/><Relationship Id="rId82" Type="http://schemas.openxmlformats.org/officeDocument/2006/relationships/hyperlink" Target="http://www.canlii.org/en/on/onscdc/doc/2015/2015onsc3221/2015onsc3221.html?autocompleteStr=2015%20ONSC%203221&amp;autocompletePos=1" TargetMode="External"/><Relationship Id="rId152" Type="http://schemas.openxmlformats.org/officeDocument/2006/relationships/footer" Target="footer16.xml"/><Relationship Id="rId19" Type="http://schemas.openxmlformats.org/officeDocument/2006/relationships/hyperlink" Target="http://www.canlii.org/en/on/onca/doc/2015/2015onca499/2015onca499.html?autocompleteStr=2015%20ONCA%20499&amp;autocompletePos=1" TargetMode="External"/><Relationship Id="rId14" Type="http://schemas.openxmlformats.org/officeDocument/2006/relationships/header" Target="header3.xml"/><Relationship Id="rId30" Type="http://schemas.openxmlformats.org/officeDocument/2006/relationships/hyperlink" Target="http://www.canlii.org/en/ab/abqb/doc/2014/2014abqb347/2014abqb347.html?autocompleteStr=2014%20ABQB%20347&amp;autocompletePos=1" TargetMode="External"/><Relationship Id="rId35" Type="http://schemas.openxmlformats.org/officeDocument/2006/relationships/hyperlink" Target="http://canlii.ca/t/2f652" TargetMode="External"/><Relationship Id="rId56" Type="http://schemas.openxmlformats.org/officeDocument/2006/relationships/hyperlink" Target="http://www.canlii.org/en/ca/fct/doc/2013/2013fc301/2013fc301.html?autocompleteStr=2013%20FC%20301&amp;autocompletePos=1" TargetMode="External"/><Relationship Id="rId77" Type="http://schemas.openxmlformats.org/officeDocument/2006/relationships/hyperlink" Target="http://canlii.ca/t/fxlch" TargetMode="External"/><Relationship Id="rId100" Type="http://schemas.openxmlformats.org/officeDocument/2006/relationships/hyperlink" Target="http://canlii.ca/t/glw7d" TargetMode="External"/><Relationship Id="rId105" Type="http://schemas.openxmlformats.org/officeDocument/2006/relationships/hyperlink" Target="http://canlii.ca/t/glszf" TargetMode="External"/><Relationship Id="rId126" Type="http://schemas.openxmlformats.org/officeDocument/2006/relationships/hyperlink" Target="http://www.canlii.org/en/bc/bcca/doc/2015/2015bcca531/2015bcca531.html?autocompleteStr=CA43039&amp;autocompletePos=2" TargetMode="External"/><Relationship Id="rId147" Type="http://schemas.openxmlformats.org/officeDocument/2006/relationships/header" Target="header14.xml"/><Relationship Id="rId168" Type="http://schemas.openxmlformats.org/officeDocument/2006/relationships/header" Target="header23.xml"/><Relationship Id="rId8" Type="http://schemas.openxmlformats.org/officeDocument/2006/relationships/hyperlink" Target="http://www.scc-csc.ca" TargetMode="External"/><Relationship Id="rId51" Type="http://schemas.openxmlformats.org/officeDocument/2006/relationships/hyperlink" Target="http://www.canlii.org/en/bc/bcca/doc/2015/2015bcca372/2015bcca372.html?autocompleteStr=2015%20BCCA%20372&amp;autocompletePos=1" TargetMode="External"/><Relationship Id="rId72" Type="http://schemas.openxmlformats.org/officeDocument/2006/relationships/hyperlink" Target="http://www.canlii.org/fr/qc/qccs/doc/2015/2015qccs2378/2015qccs2378.html?autocompleteStr=pompage%20b%C3%A9t&amp;autocompletePos=5" TargetMode="External"/><Relationship Id="rId93" Type="http://schemas.openxmlformats.org/officeDocument/2006/relationships/hyperlink" Target="http://www.canlii.org/en/ca/fca/doc/2015/2015fca234/2015fca234.html?autocompleteStr=2015%20FCA%20234&amp;autocompletePos=1" TargetMode="External"/><Relationship Id="rId98" Type="http://schemas.openxmlformats.org/officeDocument/2006/relationships/hyperlink" Target="http://www.canlii.org/en/ca/fct/doc/2014/2014fc1126/2014fc1126.html?autocompleteStr=2014%20FC%201126&amp;autocompletePos=1" TargetMode="External"/><Relationship Id="rId121" Type="http://schemas.openxmlformats.org/officeDocument/2006/relationships/hyperlink" Target="http://www.canlii.org/en/bc/bcsc/doc/2015/2015bcsc1446/2015bcsc1446.html" TargetMode="External"/><Relationship Id="rId142" Type="http://schemas.openxmlformats.org/officeDocument/2006/relationships/header" Target="header12.xml"/><Relationship Id="rId163" Type="http://schemas.openxmlformats.org/officeDocument/2006/relationships/header" Target="header21.xml"/><Relationship Id="rId3" Type="http://schemas.openxmlformats.org/officeDocument/2006/relationships/settings" Target="settings.xml"/><Relationship Id="rId25" Type="http://schemas.openxmlformats.org/officeDocument/2006/relationships/hyperlink" Target="http://www.canlii.org/en/on/onsc/doc/2014/2014onsc907/2014onsc907.html?resultIndex=1" TargetMode="External"/><Relationship Id="rId46" Type="http://schemas.openxmlformats.org/officeDocument/2006/relationships/hyperlink" Target="http://canlii.ca/t/gfpgn" TargetMode="External"/><Relationship Id="rId67" Type="http://schemas.openxmlformats.org/officeDocument/2006/relationships/hyperlink" Target="http://canlii.ca/t/gh79k" TargetMode="External"/><Relationship Id="rId116" Type="http://schemas.openxmlformats.org/officeDocument/2006/relationships/hyperlink" Target="http://canlii.ca/t/gm8f9" TargetMode="External"/><Relationship Id="rId137" Type="http://schemas.openxmlformats.org/officeDocument/2006/relationships/footer" Target="footer8.xml"/><Relationship Id="rId158" Type="http://schemas.openxmlformats.org/officeDocument/2006/relationships/footer" Target="footer19.xml"/><Relationship Id="rId20" Type="http://schemas.openxmlformats.org/officeDocument/2006/relationships/hyperlink" Target="http://www.canlii.org/en/on/onsc/doc/2014/2014onsc655/2014onsc655.html?autocompleteStr=2014%20ONSC%20655&amp;autocompletePos=1" TargetMode="External"/><Relationship Id="rId41" Type="http://schemas.openxmlformats.org/officeDocument/2006/relationships/hyperlink" Target="http://www.canlii.org/en/bc/bcca/doc/2015/2015bcca353/2015bcca353.html?searchUrlHash=AAAAAAAAAAEAFjIwMTMgQkNTQyA1NDQgKENhbkxJSSkAAAABAAwvMjAxM2Jjc2M1NDQB&amp;resultIndex=4" TargetMode="External"/><Relationship Id="rId62" Type="http://schemas.openxmlformats.org/officeDocument/2006/relationships/hyperlink" Target="http://canlii.ca/t/gm1lh" TargetMode="External"/><Relationship Id="rId83" Type="http://schemas.openxmlformats.org/officeDocument/2006/relationships/hyperlink" Target="http://www.canlii.org/en/on/onscdc/doc/2015/2015onsc3221/2015onsc3221.html?autocompleteStr=2015%20ONSC%203221&amp;autocompletePos=1" TargetMode="External"/><Relationship Id="rId88" Type="http://schemas.openxmlformats.org/officeDocument/2006/relationships/hyperlink" Target="http://www.canlii.org/en/on/laws/stat/rso-1990-c-t10/latest/rso-1990-c-t10.html" TargetMode="External"/><Relationship Id="rId111" Type="http://schemas.openxmlformats.org/officeDocument/2006/relationships/hyperlink" Target="http://www.canlii.org/en/ca/laws/stat/sc-2001-c-27/latest/sc-2001-c-27.html" TargetMode="External"/><Relationship Id="rId132" Type="http://schemas.openxmlformats.org/officeDocument/2006/relationships/footer" Target="footer6.xml"/><Relationship Id="rId15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37388</Words>
  <Characters>213116</Characters>
  <Application>Microsoft Office Word</Application>
  <DocSecurity>0</DocSecurity>
  <Lines>1775</Lines>
  <Paragraphs>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2016-04-18T13:11:00Z</dcterms:created>
  <dcterms:modified xsi:type="dcterms:W3CDTF">2016-06-08T13:06:00Z</dcterms:modified>
</cp:coreProperties>
</file>