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274CAD">
      <w:pPr>
        <w:jc w:val="center"/>
      </w:pPr>
      <w:r w:rsidRPr="002E2327">
        <w:rPr>
          <w:noProof/>
          <w:lang w:eastAsia="en-CA"/>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Default="00384384" w:rsidP="00BF25F3">
      <w:pPr>
        <w:tabs>
          <w:tab w:val="left" w:pos="6075"/>
        </w:tabs>
      </w:pPr>
    </w:p>
    <w:p w:rsidR="00274CAD" w:rsidRPr="002E2327" w:rsidRDefault="00274CAD"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D75D0F"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D75D0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75D0F"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D75D0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75D0F"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D75D0F"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D75D0F" w:rsidTr="002E5576">
        <w:tc>
          <w:tcPr>
            <w:tcW w:w="4518" w:type="dxa"/>
          </w:tcPr>
          <w:p w:rsidR="009F3024" w:rsidRPr="002E2327" w:rsidRDefault="009F3024" w:rsidP="00E414CA">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00E414CA" w:rsidRPr="00DB53DA">
                <w:rPr>
                  <w:rStyle w:val="Hyperlink"/>
                  <w:rFonts w:ascii="Arial" w:hAnsi="Arial" w:cs="Arial"/>
                  <w:i/>
                  <w:sz w:val="20"/>
                  <w:szCs w:val="20"/>
                </w:rPr>
                <w:t>www.scc-csc.ca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274CAD" w:rsidP="00F0068D">
      <w:pPr>
        <w:pBdr>
          <w:bottom w:val="single" w:sz="6" w:space="1" w:color="auto"/>
        </w:pBdr>
        <w:tabs>
          <w:tab w:val="center" w:pos="4680"/>
          <w:tab w:val="right" w:pos="9360"/>
        </w:tabs>
        <w:rPr>
          <w:lang w:val="fr-CA"/>
        </w:rPr>
      </w:pPr>
      <w:r>
        <w:rPr>
          <w:lang w:val="fr-CA"/>
        </w:rPr>
        <w:t>April 2</w:t>
      </w:r>
      <w:r w:rsidR="00020DC3">
        <w:rPr>
          <w:lang w:val="fr-CA"/>
        </w:rPr>
        <w:t>9</w:t>
      </w:r>
      <w:r w:rsidR="00440E24" w:rsidRPr="00675479">
        <w:rPr>
          <w:lang w:val="fr-CA"/>
        </w:rPr>
        <w:t>, 201</w:t>
      </w:r>
      <w:r w:rsidR="0030050B">
        <w:rPr>
          <w:lang w:val="fr-CA"/>
        </w:rPr>
        <w:t>6</w:t>
      </w:r>
      <w:r w:rsidR="00F0068D" w:rsidRPr="00675479">
        <w:rPr>
          <w:lang w:val="fr-CA"/>
        </w:rPr>
        <w:tab/>
      </w:r>
      <w:r w:rsidR="00852768">
        <w:rPr>
          <w:lang w:val="fr-CA"/>
        </w:rPr>
        <w:t>615</w:t>
      </w:r>
      <w:r w:rsidR="00F0068D" w:rsidRPr="00675479">
        <w:rPr>
          <w:lang w:val="fr-CA"/>
        </w:rPr>
        <w:t xml:space="preserve"> - </w:t>
      </w:r>
      <w:r w:rsidR="006A55AE">
        <w:rPr>
          <w:lang w:val="fr-CA"/>
        </w:rPr>
        <w:t>644</w:t>
      </w:r>
      <w:r w:rsidR="00440E24" w:rsidRPr="00675479">
        <w:rPr>
          <w:lang w:val="fr-CA"/>
        </w:rPr>
        <w:tab/>
      </w:r>
      <w:r w:rsidR="00440E24" w:rsidRPr="002E2327">
        <w:rPr>
          <w:lang w:val="fr-CA"/>
        </w:rPr>
        <w:t>Le</w:t>
      </w:r>
      <w:r w:rsidR="00C73D06">
        <w:rPr>
          <w:lang w:val="fr-CA"/>
        </w:rPr>
        <w:t xml:space="preserve"> </w:t>
      </w:r>
      <w:r>
        <w:rPr>
          <w:lang w:val="fr-CA"/>
        </w:rPr>
        <w:t>2</w:t>
      </w:r>
      <w:r w:rsidR="00020DC3">
        <w:rPr>
          <w:lang w:val="fr-CA"/>
        </w:rPr>
        <w:t>9</w:t>
      </w:r>
      <w:r w:rsidR="00C73D06">
        <w:rPr>
          <w:lang w:val="fr-CA"/>
        </w:rPr>
        <w:t xml:space="preserve"> </w:t>
      </w:r>
      <w:r>
        <w:rPr>
          <w:lang w:val="fr-CA"/>
        </w:rPr>
        <w:t>avril</w:t>
      </w:r>
      <w:r w:rsidR="00440E24" w:rsidRPr="002E2327">
        <w:rPr>
          <w:lang w:val="fr-CA"/>
        </w:rPr>
        <w:t xml:space="preserve"> 201</w:t>
      </w:r>
      <w:r w:rsidR="0030050B">
        <w:rPr>
          <w:lang w:val="fr-CA"/>
        </w:rPr>
        <w:t>6</w:t>
      </w:r>
    </w:p>
    <w:p w:rsidR="00440E24" w:rsidRPr="00675479" w:rsidRDefault="00440E24" w:rsidP="00440E24">
      <w:pPr>
        <w:pBdr>
          <w:bottom w:val="single" w:sz="6" w:space="1" w:color="auto"/>
        </w:pBdr>
        <w:tabs>
          <w:tab w:val="right" w:pos="9360"/>
        </w:tabs>
        <w:rPr>
          <w:lang w:val="fr-CA"/>
        </w:rPr>
      </w:pPr>
    </w:p>
    <w:p w:rsidR="00440E24" w:rsidRPr="00274CAD" w:rsidRDefault="00440E24" w:rsidP="00440E24">
      <w:pPr>
        <w:pBdr>
          <w:bottom w:val="single" w:sz="6" w:space="1" w:color="auto"/>
        </w:pBdr>
        <w:tabs>
          <w:tab w:val="right" w:pos="9360"/>
        </w:tabs>
        <w:rPr>
          <w:sz w:val="18"/>
          <w:szCs w:val="18"/>
          <w:lang w:val="fr-CA"/>
        </w:rPr>
      </w:pPr>
      <w:r w:rsidRPr="00274CAD">
        <w:rPr>
          <w:sz w:val="18"/>
          <w:szCs w:val="18"/>
          <w:lang w:val="fr-CA"/>
        </w:rPr>
        <w:t>© Supreme Court of Canada (</w:t>
      </w:r>
      <w:r w:rsidR="0030050B" w:rsidRPr="00274CAD">
        <w:rPr>
          <w:sz w:val="18"/>
          <w:szCs w:val="18"/>
          <w:lang w:val="fr-CA"/>
        </w:rPr>
        <w:t>2016</w:t>
      </w:r>
      <w:r w:rsidRPr="00274CAD">
        <w:rPr>
          <w:sz w:val="18"/>
          <w:szCs w:val="18"/>
          <w:lang w:val="fr-CA"/>
        </w:rPr>
        <w:t>)</w:t>
      </w:r>
      <w:r w:rsidRPr="00274CAD">
        <w:rPr>
          <w:sz w:val="18"/>
          <w:szCs w:val="18"/>
          <w:lang w:val="fr-CA"/>
        </w:rPr>
        <w:tab/>
        <w:t>© Cour suprême du Canada (</w:t>
      </w:r>
      <w:r w:rsidR="0030050B" w:rsidRPr="00274CAD">
        <w:rPr>
          <w:sz w:val="18"/>
          <w:szCs w:val="18"/>
          <w:lang w:val="fr-CA"/>
        </w:rPr>
        <w:t>2016</w:t>
      </w:r>
      <w:r w:rsidRPr="00274CAD">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Default="0095096B" w:rsidP="0095096B">
            <w:pPr>
              <w:tabs>
                <w:tab w:val="right" w:pos="9360"/>
              </w:tabs>
              <w:rPr>
                <w:rFonts w:cs="Times New Roman"/>
                <w:sz w:val="20"/>
                <w:szCs w:val="20"/>
              </w:rPr>
            </w:pPr>
          </w:p>
          <w:p w:rsidR="00E61934" w:rsidRPr="002E2327" w:rsidRDefault="00E61934"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A87207" w:rsidRPr="002E2327" w:rsidRDefault="00A87207" w:rsidP="00E61934">
            <w:pPr>
              <w:tabs>
                <w:tab w:val="right" w:pos="9360"/>
              </w:tabs>
              <w:rPr>
                <w:rFonts w:cs="Times New Roman"/>
                <w:sz w:val="20"/>
                <w:szCs w:val="20"/>
              </w:rPr>
            </w:pPr>
          </w:p>
        </w:tc>
        <w:tc>
          <w:tcPr>
            <w:tcW w:w="1980" w:type="dxa"/>
          </w:tcPr>
          <w:p w:rsidR="0095096B" w:rsidRPr="002E2327" w:rsidRDefault="006A55AE" w:rsidP="0095096B">
            <w:pPr>
              <w:jc w:val="center"/>
              <w:rPr>
                <w:rFonts w:cs="Times New Roman"/>
                <w:sz w:val="20"/>
                <w:szCs w:val="20"/>
              </w:rPr>
            </w:pPr>
            <w:r>
              <w:rPr>
                <w:rFonts w:cs="Times New Roman"/>
                <w:sz w:val="20"/>
                <w:szCs w:val="20"/>
              </w:rPr>
              <w:t>615</w:t>
            </w:r>
            <w:r w:rsidR="00E65FF4">
              <w:rPr>
                <w:rFonts w:cs="Times New Roman"/>
                <w:sz w:val="20"/>
                <w:szCs w:val="20"/>
              </w:rPr>
              <w:t xml:space="preserve"> </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r w:rsidR="0095096B" w:rsidRPr="002E2327">
              <w:rPr>
                <w:rFonts w:cs="Times New Roman"/>
                <w:sz w:val="20"/>
                <w:szCs w:val="20"/>
              </w:rPr>
              <w:t>-</w:t>
            </w:r>
            <w:r w:rsidR="00E65FF4">
              <w:rPr>
                <w:rFonts w:cs="Times New Roman"/>
                <w:sz w:val="20"/>
                <w:szCs w:val="20"/>
              </w:rPr>
              <w:t xml:space="preserve"> </w:t>
            </w:r>
            <w:r>
              <w:rPr>
                <w:rFonts w:cs="Times New Roman"/>
                <w:sz w:val="20"/>
                <w:szCs w:val="20"/>
              </w:rPr>
              <w:t>616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A55AE" w:rsidP="0095096B">
            <w:pPr>
              <w:jc w:val="center"/>
              <w:rPr>
                <w:rFonts w:cs="Times New Roman"/>
                <w:sz w:val="20"/>
                <w:szCs w:val="20"/>
              </w:rPr>
            </w:pPr>
            <w:r>
              <w:rPr>
                <w:rFonts w:cs="Times New Roman"/>
                <w:sz w:val="20"/>
                <w:szCs w:val="20"/>
              </w:rPr>
              <w:t>617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A55AE" w:rsidP="0095096B">
            <w:pPr>
              <w:jc w:val="center"/>
              <w:rPr>
                <w:rFonts w:cs="Times New Roman"/>
                <w:sz w:val="20"/>
                <w:szCs w:val="20"/>
              </w:rPr>
            </w:pPr>
            <w:r>
              <w:rPr>
                <w:rFonts w:cs="Times New Roman"/>
                <w:sz w:val="20"/>
                <w:szCs w:val="20"/>
              </w:rPr>
              <w:t>618</w:t>
            </w:r>
            <w:r w:rsidR="00E65FF4">
              <w:rPr>
                <w:rFonts w:cs="Times New Roman"/>
                <w:sz w:val="20"/>
                <w:szCs w:val="20"/>
              </w:rPr>
              <w:t xml:space="preserve"> </w:t>
            </w:r>
            <w:r w:rsidR="0095096B" w:rsidRPr="002E2327">
              <w:rPr>
                <w:rFonts w:cs="Times New Roman"/>
                <w:sz w:val="20"/>
                <w:szCs w:val="20"/>
              </w:rPr>
              <w:t>-</w:t>
            </w:r>
            <w:r w:rsidR="00E65FF4">
              <w:rPr>
                <w:rFonts w:cs="Times New Roman"/>
                <w:sz w:val="20"/>
                <w:szCs w:val="20"/>
              </w:rPr>
              <w:t xml:space="preserve"> </w:t>
            </w:r>
            <w:r>
              <w:rPr>
                <w:rFonts w:cs="Times New Roman"/>
                <w:sz w:val="20"/>
                <w:szCs w:val="20"/>
              </w:rPr>
              <w:t>625</w:t>
            </w:r>
          </w:p>
          <w:p w:rsidR="0095096B" w:rsidRPr="002E2327" w:rsidRDefault="0095096B" w:rsidP="0095096B">
            <w:pPr>
              <w:jc w:val="center"/>
              <w:rPr>
                <w:rFonts w:cs="Times New Roman"/>
                <w:sz w:val="20"/>
                <w:szCs w:val="20"/>
              </w:rPr>
            </w:pPr>
          </w:p>
          <w:p w:rsidR="00E65FF4" w:rsidRDefault="00E65FF4" w:rsidP="0095096B">
            <w:pPr>
              <w:jc w:val="center"/>
              <w:rPr>
                <w:rFonts w:cs="Times New Roman"/>
                <w:sz w:val="20"/>
                <w:szCs w:val="20"/>
              </w:rPr>
            </w:pPr>
          </w:p>
          <w:p w:rsidR="0095096B" w:rsidRPr="002E2327" w:rsidRDefault="006A55AE" w:rsidP="0095096B">
            <w:pPr>
              <w:jc w:val="center"/>
              <w:rPr>
                <w:rFonts w:cs="Times New Roman"/>
                <w:sz w:val="20"/>
                <w:szCs w:val="20"/>
              </w:rPr>
            </w:pPr>
            <w:r>
              <w:rPr>
                <w:rFonts w:cs="Times New Roman"/>
                <w:sz w:val="20"/>
                <w:szCs w:val="20"/>
              </w:rPr>
              <w:t>626</w:t>
            </w:r>
            <w:r w:rsidR="00E65FF4">
              <w:rPr>
                <w:rFonts w:cs="Times New Roman"/>
                <w:sz w:val="20"/>
                <w:szCs w:val="20"/>
              </w:rPr>
              <w:t xml:space="preserve"> </w:t>
            </w:r>
            <w:r w:rsidR="0095096B" w:rsidRPr="002E2327">
              <w:rPr>
                <w:rFonts w:cs="Times New Roman"/>
                <w:sz w:val="20"/>
                <w:szCs w:val="20"/>
              </w:rPr>
              <w:t>-</w:t>
            </w:r>
            <w:r w:rsidR="00E65FF4">
              <w:rPr>
                <w:rFonts w:cs="Times New Roman"/>
                <w:sz w:val="20"/>
                <w:szCs w:val="20"/>
              </w:rPr>
              <w:t xml:space="preserve"> </w:t>
            </w:r>
            <w:r>
              <w:rPr>
                <w:rFonts w:cs="Times New Roman"/>
                <w:sz w:val="20"/>
                <w:szCs w:val="20"/>
              </w:rPr>
              <w:t>629</w:t>
            </w:r>
          </w:p>
          <w:p w:rsidR="0095096B" w:rsidRPr="002E2327" w:rsidRDefault="0095096B" w:rsidP="0095096B">
            <w:pPr>
              <w:jc w:val="center"/>
              <w:rPr>
                <w:rFonts w:cs="Times New Roman"/>
                <w:sz w:val="20"/>
                <w:szCs w:val="20"/>
              </w:rPr>
            </w:pPr>
          </w:p>
          <w:p w:rsidR="0095096B" w:rsidRPr="002E2327" w:rsidRDefault="006A55AE" w:rsidP="0095096B">
            <w:pPr>
              <w:jc w:val="center"/>
              <w:rPr>
                <w:rFonts w:cs="Times New Roman"/>
                <w:sz w:val="20"/>
                <w:szCs w:val="20"/>
              </w:rPr>
            </w:pPr>
            <w:r>
              <w:rPr>
                <w:rFonts w:cs="Times New Roman"/>
                <w:sz w:val="20"/>
                <w:szCs w:val="20"/>
              </w:rPr>
              <w:t>630</w:t>
            </w:r>
            <w:r w:rsidR="00E65FF4">
              <w:rPr>
                <w:rFonts w:cs="Times New Roman"/>
                <w:sz w:val="20"/>
                <w:szCs w:val="20"/>
              </w:rPr>
              <w:t xml:space="preserve"> </w:t>
            </w:r>
            <w:r w:rsidR="0095096B" w:rsidRPr="002E2327">
              <w:rPr>
                <w:rFonts w:cs="Times New Roman"/>
                <w:sz w:val="20"/>
                <w:szCs w:val="20"/>
              </w:rPr>
              <w:t>-</w:t>
            </w:r>
            <w:r w:rsidR="00E65FF4">
              <w:rPr>
                <w:rFonts w:cs="Times New Roman"/>
                <w:sz w:val="20"/>
                <w:szCs w:val="20"/>
              </w:rPr>
              <w:t xml:space="preserve"> </w:t>
            </w:r>
            <w:r>
              <w:rPr>
                <w:rFonts w:cs="Times New Roman"/>
                <w:sz w:val="20"/>
                <w:szCs w:val="20"/>
              </w:rPr>
              <w:t>635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A55AE" w:rsidP="0095096B">
            <w:pPr>
              <w:jc w:val="center"/>
              <w:rPr>
                <w:rFonts w:cs="Times New Roman"/>
                <w:sz w:val="20"/>
                <w:szCs w:val="20"/>
              </w:rPr>
            </w:pPr>
            <w:r>
              <w:rPr>
                <w:rFonts w:cs="Times New Roman"/>
                <w:sz w:val="20"/>
                <w:szCs w:val="20"/>
              </w:rPr>
              <w:t>636</w:t>
            </w:r>
          </w:p>
          <w:p w:rsidR="0095096B" w:rsidRDefault="0095096B" w:rsidP="0095096B">
            <w:pPr>
              <w:jc w:val="center"/>
              <w:rPr>
                <w:rFonts w:cs="Times New Roman"/>
                <w:sz w:val="20"/>
                <w:szCs w:val="20"/>
              </w:rPr>
            </w:pPr>
          </w:p>
          <w:p w:rsidR="00E61934" w:rsidRPr="002E2327" w:rsidRDefault="00E61934" w:rsidP="0095096B">
            <w:pPr>
              <w:jc w:val="center"/>
              <w:rPr>
                <w:rFonts w:cs="Times New Roman"/>
                <w:sz w:val="20"/>
                <w:szCs w:val="20"/>
              </w:rPr>
            </w:pPr>
          </w:p>
          <w:p w:rsidR="0095096B" w:rsidRPr="002E2327" w:rsidRDefault="006A55AE" w:rsidP="0095096B">
            <w:pPr>
              <w:jc w:val="center"/>
              <w:rPr>
                <w:rFonts w:cs="Times New Roman"/>
                <w:sz w:val="20"/>
                <w:szCs w:val="20"/>
              </w:rPr>
            </w:pPr>
            <w:bookmarkStart w:id="0" w:name="_GoBack"/>
            <w:bookmarkEnd w:id="0"/>
            <w:r>
              <w:rPr>
                <w:rFonts w:cs="Times New Roman"/>
                <w:sz w:val="20"/>
                <w:szCs w:val="20"/>
              </w:rPr>
              <w:t>637</w:t>
            </w:r>
            <w:r w:rsidR="00E65FF4">
              <w:rPr>
                <w:rFonts w:cs="Times New Roman"/>
                <w:sz w:val="20"/>
                <w:szCs w:val="20"/>
              </w:rPr>
              <w:t xml:space="preserve"> </w:t>
            </w:r>
            <w:r w:rsidR="0095096B" w:rsidRPr="002E2327">
              <w:rPr>
                <w:rFonts w:cs="Times New Roman"/>
                <w:sz w:val="20"/>
                <w:szCs w:val="20"/>
              </w:rPr>
              <w:t>-</w:t>
            </w:r>
            <w:r w:rsidR="001A1589">
              <w:rPr>
                <w:rFonts w:cs="Times New Roman"/>
                <w:sz w:val="20"/>
                <w:szCs w:val="20"/>
              </w:rPr>
              <w:t xml:space="preserve"> </w:t>
            </w:r>
            <w:r>
              <w:rPr>
                <w:rFonts w:cs="Times New Roman"/>
                <w:sz w:val="20"/>
                <w:szCs w:val="20"/>
              </w:rPr>
              <w:t>644</w:t>
            </w:r>
          </w:p>
          <w:p w:rsidR="0095096B" w:rsidRPr="002E2327" w:rsidRDefault="0095096B" w:rsidP="0095096B">
            <w:pPr>
              <w:jc w:val="center"/>
              <w:rPr>
                <w:rFonts w:cs="Times New Roman"/>
                <w:sz w:val="20"/>
                <w:szCs w:val="20"/>
              </w:rPr>
            </w:pPr>
          </w:p>
          <w:p w:rsidR="00A87207" w:rsidRPr="002E2327" w:rsidRDefault="00A87207" w:rsidP="00E61934">
            <w:pPr>
              <w:tabs>
                <w:tab w:val="right" w:pos="9360"/>
              </w:tabs>
              <w:jc w:val="cente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E61934" w:rsidRDefault="00E61934"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A87207" w:rsidRPr="002E2327" w:rsidRDefault="00A87207" w:rsidP="00E61934">
            <w:pPr>
              <w:tabs>
                <w:tab w:val="right" w:pos="9360"/>
              </w:tabs>
              <w:rPr>
                <w:rFonts w:cs="Times New Roman"/>
                <w:sz w:val="20"/>
                <w:szCs w:val="20"/>
                <w:lang w:val="fr-CA"/>
              </w:rPr>
            </w:pPr>
          </w:p>
        </w:tc>
      </w:tr>
    </w:tbl>
    <w:p w:rsidR="0095096B" w:rsidRPr="002E23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D75D0F"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091"/>
        <w:gridCol w:w="4320"/>
      </w:tblGrid>
      <w:tr w:rsidR="00C21644" w:rsidRPr="00C21644" w:rsidTr="0036435C">
        <w:tc>
          <w:tcPr>
            <w:tcW w:w="4410" w:type="dxa"/>
            <w:shd w:val="clear" w:color="auto" w:fill="auto"/>
          </w:tcPr>
          <w:p w:rsidR="00C21644" w:rsidRDefault="0095503F" w:rsidP="005F1ED8">
            <w:pPr>
              <w:rPr>
                <w:b/>
                <w:sz w:val="20"/>
                <w:szCs w:val="20"/>
              </w:rPr>
            </w:pPr>
            <w:r>
              <w:rPr>
                <w:b/>
                <w:sz w:val="20"/>
                <w:szCs w:val="20"/>
              </w:rPr>
              <w:t>Katherine Lin</w:t>
            </w:r>
          </w:p>
          <w:p w:rsidR="0095503F" w:rsidRDefault="0095503F" w:rsidP="005F1ED8">
            <w:pPr>
              <w:rPr>
                <w:sz w:val="20"/>
                <w:szCs w:val="20"/>
              </w:rPr>
            </w:pPr>
            <w:r>
              <w:rPr>
                <w:b/>
                <w:sz w:val="20"/>
                <w:szCs w:val="20"/>
              </w:rPr>
              <w:tab/>
            </w:r>
            <w:r>
              <w:rPr>
                <w:sz w:val="20"/>
                <w:szCs w:val="20"/>
              </w:rPr>
              <w:t>Katherine Lin</w:t>
            </w:r>
          </w:p>
          <w:p w:rsidR="0095503F" w:rsidRDefault="0095503F" w:rsidP="005F1ED8">
            <w:pPr>
              <w:rPr>
                <w:sz w:val="20"/>
                <w:szCs w:val="20"/>
              </w:rPr>
            </w:pPr>
          </w:p>
          <w:p w:rsidR="0095503F" w:rsidRDefault="0095503F" w:rsidP="005F1ED8">
            <w:pPr>
              <w:rPr>
                <w:sz w:val="20"/>
                <w:szCs w:val="20"/>
              </w:rPr>
            </w:pPr>
            <w:r>
              <w:rPr>
                <w:sz w:val="20"/>
                <w:szCs w:val="20"/>
              </w:rPr>
              <w:tab/>
              <w:t>v. (36956)</w:t>
            </w:r>
          </w:p>
          <w:p w:rsidR="0095503F" w:rsidRDefault="0095503F" w:rsidP="005F1ED8">
            <w:pPr>
              <w:rPr>
                <w:sz w:val="20"/>
                <w:szCs w:val="20"/>
              </w:rPr>
            </w:pPr>
          </w:p>
          <w:p w:rsidR="0095503F" w:rsidRDefault="005F39DA" w:rsidP="005F1ED8">
            <w:pPr>
              <w:rPr>
                <w:b/>
                <w:sz w:val="20"/>
                <w:szCs w:val="20"/>
                <w:lang w:val="fr-CA"/>
              </w:rPr>
            </w:pPr>
            <w:r>
              <w:rPr>
                <w:b/>
                <w:sz w:val="20"/>
                <w:szCs w:val="20"/>
                <w:lang w:val="fr-CA"/>
              </w:rPr>
              <w:t>Jing</w:t>
            </w:r>
            <w:r w:rsidR="0095503F" w:rsidRPr="0095503F">
              <w:rPr>
                <w:b/>
                <w:sz w:val="20"/>
                <w:szCs w:val="20"/>
                <w:lang w:val="fr-CA"/>
              </w:rPr>
              <w:t xml:space="preserve"> Zhang et al. </w:t>
            </w:r>
            <w:r w:rsidR="0095503F">
              <w:rPr>
                <w:b/>
                <w:sz w:val="20"/>
                <w:szCs w:val="20"/>
                <w:lang w:val="fr-CA"/>
              </w:rPr>
              <w:t>(Ont.)</w:t>
            </w:r>
          </w:p>
          <w:p w:rsidR="0095503F" w:rsidRDefault="0095503F" w:rsidP="005F1ED8">
            <w:pPr>
              <w:rPr>
                <w:sz w:val="20"/>
                <w:szCs w:val="20"/>
                <w:lang w:val="fr-CA"/>
              </w:rPr>
            </w:pPr>
            <w:r>
              <w:rPr>
                <w:sz w:val="20"/>
                <w:szCs w:val="20"/>
                <w:lang w:val="fr-CA"/>
              </w:rPr>
              <w:tab/>
            </w:r>
            <w:r w:rsidR="005F39DA">
              <w:rPr>
                <w:sz w:val="20"/>
                <w:szCs w:val="20"/>
                <w:lang w:val="fr-CA"/>
              </w:rPr>
              <w:t>Jing</w:t>
            </w:r>
            <w:r>
              <w:rPr>
                <w:sz w:val="20"/>
                <w:szCs w:val="20"/>
                <w:lang w:val="fr-CA"/>
              </w:rPr>
              <w:t xml:space="preserve"> Zhang</w:t>
            </w:r>
          </w:p>
          <w:p w:rsidR="0095503F" w:rsidRDefault="0095503F" w:rsidP="005F1ED8">
            <w:pPr>
              <w:rPr>
                <w:sz w:val="20"/>
                <w:szCs w:val="20"/>
                <w:lang w:val="fr-CA"/>
              </w:rPr>
            </w:pPr>
          </w:p>
          <w:p w:rsidR="0095503F" w:rsidRPr="0095503F" w:rsidRDefault="0095503F" w:rsidP="005F1ED8">
            <w:pPr>
              <w:rPr>
                <w:sz w:val="20"/>
                <w:szCs w:val="20"/>
                <w:lang w:val="fr-CA"/>
              </w:rPr>
            </w:pPr>
            <w:r>
              <w:rPr>
                <w:sz w:val="20"/>
                <w:szCs w:val="20"/>
                <w:lang w:val="fr-CA"/>
              </w:rPr>
              <w:t>FILING DATE : 07.03.2016</w:t>
            </w:r>
          </w:p>
          <w:p w:rsidR="00C21644" w:rsidRDefault="00D75D0F" w:rsidP="005F1ED8">
            <w:pPr>
              <w:rPr>
                <w:sz w:val="20"/>
                <w:szCs w:val="20"/>
                <w:lang w:val="fr-CA"/>
              </w:rPr>
            </w:pPr>
            <w:r>
              <w:rPr>
                <w:sz w:val="20"/>
                <w:szCs w:val="20"/>
                <w:lang w:val="fr-CA"/>
              </w:rPr>
              <w:pict>
                <v:rect id="_x0000_i1025" style="width:108pt;height:1pt" o:hrpct="0" o:hralign="center" o:hrstd="t" o:hrnoshade="t" o:hr="t" fillcolor="black [3213]" stroked="f"/>
              </w:pict>
            </w:r>
          </w:p>
          <w:p w:rsidR="0095503F" w:rsidRPr="00A935AA" w:rsidRDefault="0095503F" w:rsidP="005F1ED8">
            <w:pPr>
              <w:rPr>
                <w:sz w:val="20"/>
                <w:szCs w:val="20"/>
              </w:rPr>
            </w:pPr>
          </w:p>
        </w:tc>
        <w:tc>
          <w:tcPr>
            <w:tcW w:w="1091" w:type="dxa"/>
            <w:shd w:val="clear" w:color="auto" w:fill="auto"/>
          </w:tcPr>
          <w:p w:rsidR="00C21644" w:rsidRDefault="00C21644" w:rsidP="00242AEE">
            <w:pPr>
              <w:jc w:val="center"/>
              <w:rPr>
                <w:sz w:val="20"/>
                <w:szCs w:val="20"/>
              </w:rPr>
            </w:pPr>
          </w:p>
          <w:p w:rsidR="0095503F" w:rsidRPr="00A935AA" w:rsidRDefault="0095503F"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95503F" w:rsidRPr="008B6D36" w:rsidRDefault="0095503F" w:rsidP="005F1ED8">
            <w:pPr>
              <w:rPr>
                <w:b/>
                <w:sz w:val="20"/>
                <w:szCs w:val="20"/>
              </w:rPr>
            </w:pPr>
            <w:r w:rsidRPr="008B6D36">
              <w:rPr>
                <w:b/>
                <w:sz w:val="20"/>
                <w:szCs w:val="20"/>
              </w:rPr>
              <w:t>K. Matthew Hoang</w:t>
            </w:r>
          </w:p>
          <w:p w:rsidR="0095503F" w:rsidRPr="008B6D36" w:rsidRDefault="0095503F" w:rsidP="005F1ED8">
            <w:pPr>
              <w:rPr>
                <w:sz w:val="20"/>
                <w:szCs w:val="20"/>
              </w:rPr>
            </w:pPr>
            <w:r w:rsidRPr="008B6D36">
              <w:rPr>
                <w:sz w:val="20"/>
                <w:szCs w:val="20"/>
              </w:rPr>
              <w:tab/>
              <w:t>K. Matthew Hoang</w:t>
            </w:r>
          </w:p>
          <w:p w:rsidR="0095503F" w:rsidRPr="008B6D36" w:rsidRDefault="0095503F" w:rsidP="005F1ED8">
            <w:pPr>
              <w:rPr>
                <w:sz w:val="20"/>
                <w:szCs w:val="20"/>
              </w:rPr>
            </w:pPr>
          </w:p>
          <w:p w:rsidR="0095503F" w:rsidRPr="008B6D36" w:rsidRDefault="0095503F" w:rsidP="005F1ED8">
            <w:pPr>
              <w:rPr>
                <w:sz w:val="20"/>
                <w:szCs w:val="20"/>
              </w:rPr>
            </w:pPr>
            <w:r w:rsidRPr="008B6D36">
              <w:rPr>
                <w:sz w:val="20"/>
                <w:szCs w:val="20"/>
              </w:rPr>
              <w:tab/>
              <w:t>v. (36935)</w:t>
            </w:r>
          </w:p>
          <w:p w:rsidR="0095503F" w:rsidRPr="008B6D36" w:rsidRDefault="0095503F" w:rsidP="005F1ED8">
            <w:pPr>
              <w:rPr>
                <w:sz w:val="20"/>
                <w:szCs w:val="20"/>
              </w:rPr>
            </w:pPr>
          </w:p>
          <w:p w:rsidR="0095503F" w:rsidRDefault="0095503F" w:rsidP="005F1ED8">
            <w:pPr>
              <w:rPr>
                <w:b/>
                <w:sz w:val="20"/>
                <w:szCs w:val="20"/>
              </w:rPr>
            </w:pPr>
            <w:r w:rsidRPr="0095503F">
              <w:rPr>
                <w:b/>
                <w:sz w:val="20"/>
                <w:szCs w:val="20"/>
              </w:rPr>
              <w:t xml:space="preserve">Mann Engineering Ltd. et al. </w:t>
            </w:r>
            <w:r>
              <w:rPr>
                <w:b/>
                <w:sz w:val="20"/>
                <w:szCs w:val="20"/>
              </w:rPr>
              <w:t>(Ont.)</w:t>
            </w:r>
          </w:p>
          <w:p w:rsidR="0095503F" w:rsidRDefault="0095503F" w:rsidP="005F1ED8">
            <w:pPr>
              <w:rPr>
                <w:sz w:val="20"/>
                <w:szCs w:val="20"/>
              </w:rPr>
            </w:pPr>
            <w:r>
              <w:rPr>
                <w:sz w:val="20"/>
                <w:szCs w:val="20"/>
              </w:rPr>
              <w:tab/>
              <w:t>Li Ting Cong</w:t>
            </w:r>
          </w:p>
          <w:p w:rsidR="0095503F" w:rsidRDefault="0095503F" w:rsidP="005F1ED8">
            <w:pPr>
              <w:rPr>
                <w:sz w:val="20"/>
                <w:szCs w:val="20"/>
              </w:rPr>
            </w:pPr>
          </w:p>
          <w:p w:rsidR="0095503F" w:rsidRPr="0095503F" w:rsidRDefault="0095503F" w:rsidP="005F1ED8">
            <w:pPr>
              <w:rPr>
                <w:sz w:val="20"/>
                <w:szCs w:val="20"/>
              </w:rPr>
            </w:pPr>
            <w:r>
              <w:rPr>
                <w:sz w:val="20"/>
                <w:szCs w:val="20"/>
              </w:rPr>
              <w:t>FILING DATE : 07.04.2016</w:t>
            </w:r>
          </w:p>
          <w:p w:rsidR="00C21644" w:rsidRPr="00806A5B" w:rsidRDefault="00D75D0F" w:rsidP="005F1ED8">
            <w:pPr>
              <w:rPr>
                <w:sz w:val="20"/>
                <w:szCs w:val="20"/>
                <w:lang w:val="fr-CA"/>
              </w:rPr>
            </w:pPr>
            <w:r>
              <w:rPr>
                <w:sz w:val="20"/>
                <w:szCs w:val="20"/>
                <w:lang w:val="fr-CA"/>
              </w:rPr>
              <w:pict>
                <v:rect id="_x0000_i1026" style="width:108pt;height:1pt" o:hrpct="0" o:hralign="center" o:hrstd="t" o:hrnoshade="t" o:hr="t" fillcolor="black [3213]" stroked="f"/>
              </w:pict>
            </w:r>
          </w:p>
        </w:tc>
      </w:tr>
      <w:tr w:rsidR="0095503F" w:rsidRPr="0095503F" w:rsidTr="0036435C">
        <w:tc>
          <w:tcPr>
            <w:tcW w:w="4410" w:type="dxa"/>
            <w:shd w:val="clear" w:color="auto" w:fill="auto"/>
          </w:tcPr>
          <w:p w:rsidR="0095503F" w:rsidRPr="0095503F" w:rsidRDefault="0095503F" w:rsidP="0095503F">
            <w:pPr>
              <w:rPr>
                <w:b/>
                <w:sz w:val="20"/>
                <w:szCs w:val="20"/>
              </w:rPr>
            </w:pPr>
            <w:r w:rsidRPr="0095503F">
              <w:rPr>
                <w:b/>
                <w:sz w:val="20"/>
                <w:szCs w:val="20"/>
              </w:rPr>
              <w:t>Bryan Ralston Latham</w:t>
            </w:r>
          </w:p>
          <w:p w:rsidR="0095503F" w:rsidRPr="0095503F" w:rsidRDefault="0095503F" w:rsidP="0095503F">
            <w:pPr>
              <w:rPr>
                <w:sz w:val="20"/>
                <w:szCs w:val="20"/>
              </w:rPr>
            </w:pPr>
            <w:r w:rsidRPr="0095503F">
              <w:rPr>
                <w:sz w:val="20"/>
                <w:szCs w:val="20"/>
              </w:rPr>
              <w:tab/>
              <w:t>Nicholas R.S. Blenkinsop</w:t>
            </w:r>
          </w:p>
          <w:p w:rsidR="0095503F" w:rsidRPr="0095503F" w:rsidRDefault="0095503F" w:rsidP="0095503F">
            <w:pPr>
              <w:rPr>
                <w:sz w:val="20"/>
                <w:szCs w:val="20"/>
              </w:rPr>
            </w:pPr>
            <w:r w:rsidRPr="0095503F">
              <w:rPr>
                <w:sz w:val="20"/>
                <w:szCs w:val="20"/>
              </w:rPr>
              <w:tab/>
              <w:t xml:space="preserve">Community Legal Assistance Services for </w:t>
            </w:r>
            <w:r>
              <w:rPr>
                <w:sz w:val="20"/>
                <w:szCs w:val="20"/>
              </w:rPr>
              <w:tab/>
            </w:r>
            <w:r w:rsidRPr="0095503F">
              <w:rPr>
                <w:sz w:val="20"/>
                <w:szCs w:val="20"/>
              </w:rPr>
              <w:t>Saskatoon In</w:t>
            </w:r>
            <w:r w:rsidR="002670F0">
              <w:rPr>
                <w:sz w:val="20"/>
                <w:szCs w:val="20"/>
              </w:rPr>
              <w:t>n</w:t>
            </w:r>
            <w:r w:rsidRPr="0095503F">
              <w:rPr>
                <w:sz w:val="20"/>
                <w:szCs w:val="20"/>
              </w:rPr>
              <w:t xml:space="preserve">er City </w:t>
            </w:r>
            <w:r>
              <w:rPr>
                <w:sz w:val="20"/>
                <w:szCs w:val="20"/>
              </w:rPr>
              <w:t>I</w:t>
            </w:r>
            <w:r w:rsidRPr="0095503F">
              <w:rPr>
                <w:sz w:val="20"/>
                <w:szCs w:val="20"/>
              </w:rPr>
              <w:t>nc.</w:t>
            </w:r>
          </w:p>
          <w:p w:rsidR="0095503F" w:rsidRDefault="0095503F" w:rsidP="0095503F">
            <w:pPr>
              <w:rPr>
                <w:sz w:val="20"/>
                <w:szCs w:val="20"/>
              </w:rPr>
            </w:pPr>
          </w:p>
          <w:p w:rsidR="0095503F" w:rsidRDefault="0095503F" w:rsidP="0095503F">
            <w:pPr>
              <w:rPr>
                <w:sz w:val="20"/>
                <w:szCs w:val="20"/>
              </w:rPr>
            </w:pPr>
            <w:r>
              <w:rPr>
                <w:sz w:val="20"/>
                <w:szCs w:val="20"/>
              </w:rPr>
              <w:tab/>
              <w:t>v. (36947)</w:t>
            </w:r>
          </w:p>
          <w:p w:rsidR="0095503F" w:rsidRDefault="0095503F" w:rsidP="0095503F">
            <w:pPr>
              <w:rPr>
                <w:sz w:val="20"/>
                <w:szCs w:val="20"/>
              </w:rPr>
            </w:pPr>
          </w:p>
          <w:p w:rsidR="0095503F" w:rsidRDefault="0095503F" w:rsidP="0095503F">
            <w:pPr>
              <w:rPr>
                <w:b/>
                <w:sz w:val="20"/>
                <w:szCs w:val="20"/>
              </w:rPr>
            </w:pPr>
            <w:r>
              <w:rPr>
                <w:b/>
                <w:sz w:val="20"/>
                <w:szCs w:val="20"/>
              </w:rPr>
              <w:t xml:space="preserve">Attorney General </w:t>
            </w:r>
            <w:r w:rsidR="005F39DA">
              <w:rPr>
                <w:b/>
                <w:sz w:val="20"/>
                <w:szCs w:val="20"/>
              </w:rPr>
              <w:t>of</w:t>
            </w:r>
            <w:r>
              <w:rPr>
                <w:b/>
                <w:sz w:val="20"/>
                <w:szCs w:val="20"/>
              </w:rPr>
              <w:t xml:space="preserve"> Canada (Sask.)</w:t>
            </w:r>
          </w:p>
          <w:p w:rsidR="0095503F" w:rsidRDefault="0095503F" w:rsidP="0095503F">
            <w:pPr>
              <w:rPr>
                <w:sz w:val="20"/>
                <w:szCs w:val="20"/>
              </w:rPr>
            </w:pPr>
            <w:r>
              <w:rPr>
                <w:sz w:val="20"/>
                <w:szCs w:val="20"/>
              </w:rPr>
              <w:tab/>
              <w:t>Marcia Jackson</w:t>
            </w:r>
          </w:p>
          <w:p w:rsidR="0095503F" w:rsidRDefault="0095503F" w:rsidP="0095503F">
            <w:pPr>
              <w:rPr>
                <w:sz w:val="20"/>
                <w:szCs w:val="20"/>
              </w:rPr>
            </w:pPr>
            <w:r>
              <w:rPr>
                <w:sz w:val="20"/>
                <w:szCs w:val="20"/>
              </w:rPr>
              <w:tab/>
              <w:t>A.G. of Canada</w:t>
            </w:r>
          </w:p>
          <w:p w:rsidR="0095503F" w:rsidRDefault="0095503F" w:rsidP="0095503F">
            <w:pPr>
              <w:rPr>
                <w:sz w:val="20"/>
                <w:szCs w:val="20"/>
              </w:rPr>
            </w:pPr>
          </w:p>
          <w:p w:rsidR="0095503F" w:rsidRPr="0095503F" w:rsidRDefault="0095503F" w:rsidP="0095503F">
            <w:pPr>
              <w:rPr>
                <w:sz w:val="20"/>
                <w:szCs w:val="20"/>
              </w:rPr>
            </w:pPr>
            <w:r>
              <w:rPr>
                <w:sz w:val="20"/>
                <w:szCs w:val="20"/>
              </w:rPr>
              <w:t>FILING DATE: 07.04.2016</w:t>
            </w:r>
          </w:p>
          <w:p w:rsidR="0095503F" w:rsidRPr="00806A5B" w:rsidRDefault="00D75D0F" w:rsidP="0095503F">
            <w:pPr>
              <w:rPr>
                <w:sz w:val="20"/>
                <w:szCs w:val="20"/>
                <w:lang w:val="fr-CA"/>
              </w:rPr>
            </w:pPr>
            <w:r>
              <w:rPr>
                <w:sz w:val="20"/>
                <w:szCs w:val="20"/>
                <w:lang w:val="fr-CA"/>
              </w:rPr>
              <w:pict w14:anchorId="17DBC893">
                <v:rect id="_x0000_i1027" style="width:108pt;height:1pt" o:hrpct="0" o:hralign="center" o:hrstd="t" o:hrnoshade="t" o:hr="t" fillcolor="black [3213]" stroked="f"/>
              </w:pict>
            </w:r>
          </w:p>
        </w:tc>
        <w:tc>
          <w:tcPr>
            <w:tcW w:w="1091" w:type="dxa"/>
            <w:shd w:val="clear" w:color="auto" w:fill="auto"/>
          </w:tcPr>
          <w:p w:rsidR="0095503F" w:rsidRPr="00A935AA" w:rsidRDefault="0095503F" w:rsidP="0095503F">
            <w:pPr>
              <w:jc w:val="center"/>
              <w:rPr>
                <w:sz w:val="20"/>
                <w:szCs w:val="20"/>
              </w:rPr>
            </w:pPr>
          </w:p>
        </w:tc>
        <w:tc>
          <w:tcPr>
            <w:tcW w:w="4320" w:type="dxa"/>
            <w:shd w:val="clear" w:color="auto" w:fill="auto"/>
          </w:tcPr>
          <w:p w:rsidR="0095503F" w:rsidRDefault="0095503F" w:rsidP="0095503F">
            <w:pPr>
              <w:rPr>
                <w:b/>
                <w:sz w:val="20"/>
                <w:szCs w:val="20"/>
              </w:rPr>
            </w:pPr>
            <w:r>
              <w:rPr>
                <w:b/>
                <w:sz w:val="20"/>
                <w:szCs w:val="20"/>
              </w:rPr>
              <w:t>Michele Torre</w:t>
            </w:r>
          </w:p>
          <w:p w:rsidR="0095503F" w:rsidRDefault="0095503F" w:rsidP="0095503F">
            <w:pPr>
              <w:rPr>
                <w:sz w:val="20"/>
                <w:szCs w:val="20"/>
              </w:rPr>
            </w:pPr>
            <w:r>
              <w:rPr>
                <w:b/>
                <w:sz w:val="20"/>
                <w:szCs w:val="20"/>
              </w:rPr>
              <w:tab/>
            </w:r>
            <w:r>
              <w:rPr>
                <w:sz w:val="20"/>
                <w:szCs w:val="20"/>
              </w:rPr>
              <w:t>Stéphane Handfield</w:t>
            </w:r>
          </w:p>
          <w:p w:rsidR="0095503F" w:rsidRDefault="0095503F" w:rsidP="0095503F">
            <w:pPr>
              <w:rPr>
                <w:sz w:val="20"/>
                <w:szCs w:val="20"/>
              </w:rPr>
            </w:pPr>
            <w:r>
              <w:rPr>
                <w:sz w:val="20"/>
                <w:szCs w:val="20"/>
              </w:rPr>
              <w:tab/>
              <w:t>Handfield &amp; Associés, Avocats</w:t>
            </w:r>
          </w:p>
          <w:p w:rsidR="0095503F" w:rsidRDefault="0095503F" w:rsidP="0095503F">
            <w:pPr>
              <w:rPr>
                <w:sz w:val="20"/>
                <w:szCs w:val="20"/>
              </w:rPr>
            </w:pPr>
          </w:p>
          <w:p w:rsidR="0095503F" w:rsidRPr="008B6D36" w:rsidRDefault="0095503F" w:rsidP="0095503F">
            <w:pPr>
              <w:rPr>
                <w:sz w:val="20"/>
                <w:szCs w:val="20"/>
                <w:lang w:val="fr-CA"/>
              </w:rPr>
            </w:pPr>
            <w:r>
              <w:rPr>
                <w:sz w:val="20"/>
                <w:szCs w:val="20"/>
              </w:rPr>
              <w:tab/>
            </w:r>
            <w:r w:rsidRPr="008B6D36">
              <w:rPr>
                <w:sz w:val="20"/>
                <w:szCs w:val="20"/>
                <w:lang w:val="fr-CA"/>
              </w:rPr>
              <w:t>c. (36936)</w:t>
            </w:r>
          </w:p>
          <w:p w:rsidR="0095503F" w:rsidRPr="008B6D36" w:rsidRDefault="0095503F" w:rsidP="0095503F">
            <w:pPr>
              <w:rPr>
                <w:sz w:val="20"/>
                <w:szCs w:val="20"/>
                <w:lang w:val="fr-CA"/>
              </w:rPr>
            </w:pPr>
          </w:p>
          <w:p w:rsidR="0095503F" w:rsidRPr="0095503F" w:rsidRDefault="0095503F" w:rsidP="0095503F">
            <w:pPr>
              <w:rPr>
                <w:b/>
                <w:sz w:val="20"/>
                <w:szCs w:val="20"/>
                <w:lang w:val="fr-CA"/>
              </w:rPr>
            </w:pPr>
            <w:r w:rsidRPr="0095503F">
              <w:rPr>
                <w:b/>
                <w:sz w:val="20"/>
                <w:szCs w:val="20"/>
                <w:lang w:val="fr-CA"/>
              </w:rPr>
              <w:t xml:space="preserve">Ministre de la </w:t>
            </w:r>
            <w:r w:rsidR="002670F0">
              <w:rPr>
                <w:b/>
                <w:sz w:val="20"/>
                <w:szCs w:val="20"/>
                <w:lang w:val="fr-CA"/>
              </w:rPr>
              <w:t>C</w:t>
            </w:r>
            <w:r w:rsidRPr="0095503F">
              <w:rPr>
                <w:b/>
                <w:sz w:val="20"/>
                <w:szCs w:val="20"/>
                <w:lang w:val="fr-CA"/>
              </w:rPr>
              <w:t>itoyenneté et de l’</w:t>
            </w:r>
            <w:r w:rsidR="004C7098">
              <w:rPr>
                <w:b/>
                <w:sz w:val="20"/>
                <w:szCs w:val="20"/>
                <w:lang w:val="fr-CA"/>
              </w:rPr>
              <w:t>I</w:t>
            </w:r>
            <w:r w:rsidRPr="0095503F">
              <w:rPr>
                <w:b/>
                <w:sz w:val="20"/>
                <w:szCs w:val="20"/>
                <w:lang w:val="fr-CA"/>
              </w:rPr>
              <w:t>mmigration (C.F.)</w:t>
            </w:r>
          </w:p>
          <w:p w:rsidR="0095503F" w:rsidRDefault="0095503F" w:rsidP="0095503F">
            <w:pPr>
              <w:rPr>
                <w:sz w:val="20"/>
                <w:szCs w:val="20"/>
                <w:lang w:val="fr-CA"/>
              </w:rPr>
            </w:pPr>
            <w:r>
              <w:rPr>
                <w:sz w:val="20"/>
                <w:szCs w:val="20"/>
                <w:lang w:val="fr-CA"/>
              </w:rPr>
              <w:tab/>
              <w:t>Lisa Maziade</w:t>
            </w:r>
          </w:p>
          <w:p w:rsidR="0095503F" w:rsidRDefault="0095503F" w:rsidP="0095503F">
            <w:pPr>
              <w:rPr>
                <w:sz w:val="20"/>
                <w:szCs w:val="20"/>
                <w:lang w:val="fr-CA"/>
              </w:rPr>
            </w:pPr>
            <w:r>
              <w:rPr>
                <w:sz w:val="20"/>
                <w:szCs w:val="20"/>
                <w:lang w:val="fr-CA"/>
              </w:rPr>
              <w:tab/>
              <w:t xml:space="preserve">Ministère de la </w:t>
            </w:r>
            <w:r w:rsidR="002670F0">
              <w:rPr>
                <w:sz w:val="20"/>
                <w:szCs w:val="20"/>
                <w:lang w:val="fr-CA"/>
              </w:rPr>
              <w:t>J</w:t>
            </w:r>
            <w:r>
              <w:rPr>
                <w:sz w:val="20"/>
                <w:szCs w:val="20"/>
                <w:lang w:val="fr-CA"/>
              </w:rPr>
              <w:t>ustice du Canada</w:t>
            </w:r>
          </w:p>
          <w:p w:rsidR="0095503F" w:rsidRDefault="0095503F" w:rsidP="0095503F">
            <w:pPr>
              <w:rPr>
                <w:sz w:val="20"/>
                <w:szCs w:val="20"/>
                <w:lang w:val="fr-CA"/>
              </w:rPr>
            </w:pPr>
          </w:p>
          <w:p w:rsidR="0095503F" w:rsidRDefault="0095503F" w:rsidP="0095503F">
            <w:pPr>
              <w:rPr>
                <w:sz w:val="20"/>
                <w:szCs w:val="20"/>
                <w:lang w:val="fr-CA"/>
              </w:rPr>
            </w:pPr>
            <w:r>
              <w:rPr>
                <w:sz w:val="20"/>
                <w:szCs w:val="20"/>
                <w:lang w:val="fr-CA"/>
              </w:rPr>
              <w:t>DATE DE PRODUCTION : 07.04.2016</w:t>
            </w:r>
          </w:p>
          <w:p w:rsidR="0095503F" w:rsidRDefault="00D75D0F" w:rsidP="0095503F">
            <w:pPr>
              <w:rPr>
                <w:sz w:val="20"/>
                <w:szCs w:val="20"/>
                <w:lang w:val="fr-CA"/>
              </w:rPr>
            </w:pPr>
            <w:r>
              <w:rPr>
                <w:sz w:val="20"/>
                <w:szCs w:val="20"/>
                <w:lang w:val="fr-CA"/>
              </w:rPr>
              <w:pict>
                <v:rect id="_x0000_i1028" style="width:108pt;height:1pt" o:hrpct="0" o:hralign="center" o:hrstd="t" o:hrnoshade="t" o:hr="t" fillcolor="black [3213]" stroked="f"/>
              </w:pict>
            </w:r>
          </w:p>
          <w:p w:rsidR="0095503F" w:rsidRPr="0095503F" w:rsidRDefault="0095503F" w:rsidP="0095503F">
            <w:pPr>
              <w:rPr>
                <w:sz w:val="20"/>
                <w:szCs w:val="20"/>
                <w:lang w:val="fr-CA"/>
              </w:rPr>
            </w:pPr>
          </w:p>
        </w:tc>
      </w:tr>
      <w:tr w:rsidR="0095503F" w:rsidRPr="003D4ED0" w:rsidTr="0036435C">
        <w:tc>
          <w:tcPr>
            <w:tcW w:w="4410" w:type="dxa"/>
            <w:shd w:val="clear" w:color="auto" w:fill="auto"/>
          </w:tcPr>
          <w:p w:rsidR="0095503F" w:rsidRDefault="0036435C" w:rsidP="0095503F">
            <w:pPr>
              <w:rPr>
                <w:b/>
                <w:sz w:val="20"/>
                <w:szCs w:val="20"/>
                <w:lang w:val="fr-CA"/>
              </w:rPr>
            </w:pPr>
            <w:r>
              <w:rPr>
                <w:b/>
                <w:sz w:val="20"/>
                <w:szCs w:val="20"/>
                <w:lang w:val="fr-CA"/>
              </w:rPr>
              <w:t>Ali Seyedi</w:t>
            </w:r>
          </w:p>
          <w:p w:rsidR="0036435C" w:rsidRDefault="0036435C" w:rsidP="0095503F">
            <w:pPr>
              <w:rPr>
                <w:sz w:val="20"/>
                <w:szCs w:val="20"/>
                <w:lang w:val="fr-CA"/>
              </w:rPr>
            </w:pPr>
            <w:r>
              <w:rPr>
                <w:b/>
                <w:sz w:val="20"/>
                <w:szCs w:val="20"/>
                <w:lang w:val="fr-CA"/>
              </w:rPr>
              <w:tab/>
            </w:r>
            <w:r>
              <w:rPr>
                <w:sz w:val="20"/>
                <w:szCs w:val="20"/>
                <w:lang w:val="fr-CA"/>
              </w:rPr>
              <w:t>Ali Seyedi</w:t>
            </w:r>
          </w:p>
          <w:p w:rsidR="0036435C" w:rsidRDefault="0036435C" w:rsidP="0095503F">
            <w:pPr>
              <w:rPr>
                <w:sz w:val="20"/>
                <w:szCs w:val="20"/>
                <w:lang w:val="fr-CA"/>
              </w:rPr>
            </w:pPr>
          </w:p>
          <w:p w:rsidR="0036435C" w:rsidRDefault="0036435C" w:rsidP="0095503F">
            <w:pPr>
              <w:rPr>
                <w:sz w:val="20"/>
                <w:szCs w:val="20"/>
                <w:lang w:val="fr-CA"/>
              </w:rPr>
            </w:pPr>
            <w:r>
              <w:rPr>
                <w:sz w:val="20"/>
                <w:szCs w:val="20"/>
                <w:lang w:val="fr-CA"/>
              </w:rPr>
              <w:tab/>
              <w:t>v. (36957)</w:t>
            </w:r>
          </w:p>
          <w:p w:rsidR="0036435C" w:rsidRDefault="0036435C" w:rsidP="0095503F">
            <w:pPr>
              <w:rPr>
                <w:sz w:val="20"/>
                <w:szCs w:val="20"/>
                <w:lang w:val="fr-CA"/>
              </w:rPr>
            </w:pPr>
          </w:p>
          <w:p w:rsidR="0036435C" w:rsidRPr="008B6D36" w:rsidRDefault="0036435C" w:rsidP="0095503F">
            <w:pPr>
              <w:rPr>
                <w:b/>
                <w:sz w:val="20"/>
                <w:szCs w:val="20"/>
              </w:rPr>
            </w:pPr>
            <w:r w:rsidRPr="008B6D36">
              <w:rPr>
                <w:b/>
                <w:sz w:val="20"/>
                <w:szCs w:val="20"/>
              </w:rPr>
              <w:t>Nexen Inc. (Alta.)</w:t>
            </w:r>
          </w:p>
          <w:p w:rsidR="0036435C" w:rsidRPr="008B6D36" w:rsidRDefault="0036435C" w:rsidP="0095503F">
            <w:pPr>
              <w:rPr>
                <w:sz w:val="20"/>
                <w:szCs w:val="20"/>
              </w:rPr>
            </w:pPr>
            <w:r w:rsidRPr="008B6D36">
              <w:rPr>
                <w:sz w:val="20"/>
                <w:szCs w:val="20"/>
              </w:rPr>
              <w:tab/>
              <w:t>Keith D. Marlowe</w:t>
            </w:r>
          </w:p>
          <w:p w:rsidR="0036435C" w:rsidRPr="008B6D36" w:rsidRDefault="0036435C" w:rsidP="0095503F">
            <w:pPr>
              <w:rPr>
                <w:sz w:val="20"/>
                <w:szCs w:val="20"/>
              </w:rPr>
            </w:pPr>
            <w:r w:rsidRPr="008B6D36">
              <w:rPr>
                <w:sz w:val="20"/>
                <w:szCs w:val="20"/>
              </w:rPr>
              <w:tab/>
              <w:t>Blake, Cassels &amp; Graydon LLP</w:t>
            </w:r>
          </w:p>
          <w:p w:rsidR="0036435C" w:rsidRPr="008B6D36" w:rsidRDefault="0036435C" w:rsidP="0095503F">
            <w:pPr>
              <w:rPr>
                <w:sz w:val="20"/>
                <w:szCs w:val="20"/>
              </w:rPr>
            </w:pPr>
          </w:p>
          <w:p w:rsidR="0036435C" w:rsidRPr="008B6D36" w:rsidRDefault="0036435C" w:rsidP="0095503F">
            <w:pPr>
              <w:rPr>
                <w:sz w:val="20"/>
                <w:szCs w:val="20"/>
              </w:rPr>
            </w:pPr>
            <w:r w:rsidRPr="008B6D36">
              <w:rPr>
                <w:sz w:val="20"/>
                <w:szCs w:val="20"/>
              </w:rPr>
              <w:t>FILING DATE : 18.03.2016</w:t>
            </w:r>
          </w:p>
          <w:p w:rsidR="0036435C" w:rsidRDefault="00D75D0F" w:rsidP="0095503F">
            <w:pPr>
              <w:rPr>
                <w:sz w:val="20"/>
                <w:szCs w:val="20"/>
                <w:lang w:val="fr-CA"/>
              </w:rPr>
            </w:pPr>
            <w:r>
              <w:rPr>
                <w:sz w:val="20"/>
                <w:szCs w:val="20"/>
                <w:lang w:val="fr-CA"/>
              </w:rPr>
              <w:pict>
                <v:rect id="_x0000_i1029" style="width:108pt;height:1pt" o:hrpct="0" o:hralign="center" o:hrstd="t" o:hrnoshade="t" o:hr="t" fillcolor="black [3213]" stroked="f"/>
              </w:pict>
            </w:r>
          </w:p>
          <w:p w:rsidR="0036435C" w:rsidRPr="0036435C" w:rsidRDefault="0036435C" w:rsidP="0095503F">
            <w:pPr>
              <w:rPr>
                <w:b/>
                <w:sz w:val="20"/>
                <w:szCs w:val="20"/>
                <w:lang w:val="fr-CA"/>
              </w:rPr>
            </w:pPr>
          </w:p>
        </w:tc>
        <w:tc>
          <w:tcPr>
            <w:tcW w:w="1091" w:type="dxa"/>
            <w:shd w:val="clear" w:color="auto" w:fill="auto"/>
          </w:tcPr>
          <w:p w:rsidR="0095503F" w:rsidRPr="0095503F" w:rsidRDefault="0095503F" w:rsidP="0095503F">
            <w:pPr>
              <w:jc w:val="center"/>
              <w:rPr>
                <w:sz w:val="20"/>
                <w:szCs w:val="20"/>
                <w:lang w:val="fr-CA"/>
              </w:rPr>
            </w:pPr>
          </w:p>
        </w:tc>
        <w:tc>
          <w:tcPr>
            <w:tcW w:w="4320" w:type="dxa"/>
            <w:shd w:val="clear" w:color="auto" w:fill="auto"/>
          </w:tcPr>
          <w:p w:rsidR="0036435C" w:rsidRDefault="003D4ED0" w:rsidP="003D4ED0">
            <w:pPr>
              <w:rPr>
                <w:b/>
                <w:sz w:val="20"/>
                <w:szCs w:val="20"/>
                <w:lang w:val="fr-CA"/>
              </w:rPr>
            </w:pPr>
            <w:r>
              <w:rPr>
                <w:b/>
                <w:sz w:val="20"/>
                <w:szCs w:val="20"/>
                <w:lang w:val="fr-CA"/>
              </w:rPr>
              <w:t>Jamil Jacek Haidari</w:t>
            </w:r>
          </w:p>
          <w:p w:rsidR="003D4ED0" w:rsidRDefault="003D4ED0" w:rsidP="003D4ED0">
            <w:pPr>
              <w:rPr>
                <w:sz w:val="20"/>
                <w:szCs w:val="20"/>
                <w:lang w:val="fr-CA"/>
              </w:rPr>
            </w:pPr>
            <w:r>
              <w:rPr>
                <w:b/>
                <w:sz w:val="20"/>
                <w:szCs w:val="20"/>
                <w:lang w:val="fr-CA"/>
              </w:rPr>
              <w:tab/>
            </w:r>
            <w:r>
              <w:rPr>
                <w:sz w:val="20"/>
                <w:szCs w:val="20"/>
                <w:lang w:val="fr-CA"/>
              </w:rPr>
              <w:t>Jamil Jacek Haidari</w:t>
            </w:r>
          </w:p>
          <w:p w:rsidR="003D4ED0" w:rsidRDefault="003D4ED0" w:rsidP="003D4ED0">
            <w:pPr>
              <w:rPr>
                <w:sz w:val="20"/>
                <w:szCs w:val="20"/>
                <w:lang w:val="fr-CA"/>
              </w:rPr>
            </w:pPr>
          </w:p>
          <w:p w:rsidR="003D4ED0" w:rsidRPr="008B6D36" w:rsidRDefault="003D4ED0" w:rsidP="003D4ED0">
            <w:pPr>
              <w:rPr>
                <w:sz w:val="20"/>
                <w:szCs w:val="20"/>
              </w:rPr>
            </w:pPr>
            <w:r>
              <w:rPr>
                <w:sz w:val="20"/>
                <w:szCs w:val="20"/>
                <w:lang w:val="fr-CA"/>
              </w:rPr>
              <w:tab/>
            </w:r>
            <w:r w:rsidRPr="008B6D36">
              <w:rPr>
                <w:sz w:val="20"/>
                <w:szCs w:val="20"/>
              </w:rPr>
              <w:t>v. (36964)</w:t>
            </w:r>
          </w:p>
          <w:p w:rsidR="003D4ED0" w:rsidRPr="008B6D36" w:rsidRDefault="003D4ED0" w:rsidP="003D4ED0">
            <w:pPr>
              <w:rPr>
                <w:sz w:val="20"/>
                <w:szCs w:val="20"/>
              </w:rPr>
            </w:pPr>
          </w:p>
          <w:p w:rsidR="003D4ED0" w:rsidRDefault="003D4ED0" w:rsidP="003D4ED0">
            <w:pPr>
              <w:rPr>
                <w:sz w:val="20"/>
                <w:szCs w:val="20"/>
              </w:rPr>
            </w:pPr>
            <w:r w:rsidRPr="003D4ED0">
              <w:rPr>
                <w:b/>
                <w:sz w:val="20"/>
                <w:szCs w:val="20"/>
              </w:rPr>
              <w:t>Her Majesty the Queen (F.C.)</w:t>
            </w:r>
          </w:p>
          <w:p w:rsidR="003D4ED0" w:rsidRDefault="003D4ED0" w:rsidP="003D4ED0">
            <w:pPr>
              <w:rPr>
                <w:sz w:val="20"/>
                <w:szCs w:val="20"/>
              </w:rPr>
            </w:pPr>
            <w:r>
              <w:rPr>
                <w:sz w:val="20"/>
                <w:szCs w:val="20"/>
              </w:rPr>
              <w:tab/>
              <w:t>Stewart Phillips</w:t>
            </w:r>
          </w:p>
          <w:p w:rsidR="003D4ED0" w:rsidRDefault="003D4ED0" w:rsidP="003D4ED0">
            <w:pPr>
              <w:rPr>
                <w:sz w:val="20"/>
                <w:szCs w:val="20"/>
              </w:rPr>
            </w:pPr>
            <w:r>
              <w:rPr>
                <w:sz w:val="20"/>
                <w:szCs w:val="20"/>
              </w:rPr>
              <w:tab/>
              <w:t>A.G. of Canada</w:t>
            </w:r>
          </w:p>
          <w:p w:rsidR="003D4ED0" w:rsidRDefault="003D4ED0" w:rsidP="003D4ED0">
            <w:pPr>
              <w:rPr>
                <w:sz w:val="20"/>
                <w:szCs w:val="20"/>
              </w:rPr>
            </w:pPr>
          </w:p>
          <w:p w:rsidR="003D4ED0" w:rsidRDefault="003D4ED0" w:rsidP="003D4ED0">
            <w:pPr>
              <w:rPr>
                <w:sz w:val="20"/>
                <w:szCs w:val="20"/>
              </w:rPr>
            </w:pPr>
            <w:r>
              <w:rPr>
                <w:sz w:val="20"/>
                <w:szCs w:val="20"/>
              </w:rPr>
              <w:t>FILING DATE: 15.04.2016</w:t>
            </w:r>
          </w:p>
          <w:p w:rsidR="003D4ED0" w:rsidRPr="003D4ED0" w:rsidRDefault="00D75D0F" w:rsidP="003D4ED0">
            <w:pPr>
              <w:rPr>
                <w:sz w:val="20"/>
                <w:szCs w:val="20"/>
              </w:rPr>
            </w:pPr>
            <w:r>
              <w:rPr>
                <w:sz w:val="20"/>
                <w:szCs w:val="20"/>
                <w:lang w:val="fr-CA"/>
              </w:rPr>
              <w:pict>
                <v:rect id="_x0000_i1030" style="width:108pt;height:1pt" o:hrpct="0" o:hralign="center" o:hrstd="t" o:hrnoshade="t" o:hr="t" fillcolor="black [3213]" stroked="f"/>
              </w:pict>
            </w:r>
          </w:p>
        </w:tc>
      </w:tr>
      <w:tr w:rsidR="0095503F" w:rsidRPr="0095503F" w:rsidTr="0036435C">
        <w:trPr>
          <w:cantSplit/>
        </w:trPr>
        <w:tc>
          <w:tcPr>
            <w:tcW w:w="4410" w:type="dxa"/>
            <w:shd w:val="clear" w:color="auto" w:fill="auto"/>
          </w:tcPr>
          <w:p w:rsidR="0036435C" w:rsidRDefault="0036435C" w:rsidP="0036435C">
            <w:pPr>
              <w:rPr>
                <w:b/>
                <w:sz w:val="20"/>
                <w:szCs w:val="20"/>
                <w:lang w:val="fr-CA"/>
              </w:rPr>
            </w:pPr>
            <w:r>
              <w:rPr>
                <w:b/>
                <w:sz w:val="20"/>
                <w:szCs w:val="20"/>
                <w:lang w:val="fr-CA"/>
              </w:rPr>
              <w:t>Pierre Mailloux</w:t>
            </w:r>
          </w:p>
          <w:p w:rsidR="0036435C" w:rsidRDefault="0036435C" w:rsidP="0036435C">
            <w:pPr>
              <w:rPr>
                <w:sz w:val="20"/>
                <w:szCs w:val="20"/>
                <w:lang w:val="fr-CA"/>
              </w:rPr>
            </w:pPr>
            <w:r>
              <w:rPr>
                <w:sz w:val="20"/>
                <w:szCs w:val="20"/>
                <w:lang w:val="fr-CA"/>
              </w:rPr>
              <w:tab/>
              <w:t>Pierre Mailloux</w:t>
            </w:r>
          </w:p>
          <w:p w:rsidR="0036435C" w:rsidRDefault="0036435C" w:rsidP="0036435C">
            <w:pPr>
              <w:rPr>
                <w:sz w:val="20"/>
                <w:szCs w:val="20"/>
                <w:lang w:val="fr-CA"/>
              </w:rPr>
            </w:pPr>
          </w:p>
          <w:p w:rsidR="0036435C" w:rsidRDefault="0036435C" w:rsidP="0036435C">
            <w:pPr>
              <w:rPr>
                <w:sz w:val="20"/>
                <w:szCs w:val="20"/>
                <w:lang w:val="fr-CA"/>
              </w:rPr>
            </w:pPr>
            <w:r>
              <w:rPr>
                <w:sz w:val="20"/>
                <w:szCs w:val="20"/>
                <w:lang w:val="fr-CA"/>
              </w:rPr>
              <w:tab/>
              <w:t>c. (36951)</w:t>
            </w:r>
          </w:p>
          <w:p w:rsidR="0036435C" w:rsidRDefault="0036435C" w:rsidP="0036435C">
            <w:pPr>
              <w:rPr>
                <w:sz w:val="20"/>
                <w:szCs w:val="20"/>
                <w:lang w:val="fr-CA"/>
              </w:rPr>
            </w:pPr>
          </w:p>
          <w:p w:rsidR="0036435C" w:rsidRDefault="0036435C" w:rsidP="0036435C">
            <w:pPr>
              <w:rPr>
                <w:b/>
                <w:sz w:val="20"/>
                <w:szCs w:val="20"/>
                <w:lang w:val="fr-CA"/>
              </w:rPr>
            </w:pPr>
            <w:r>
              <w:rPr>
                <w:b/>
                <w:sz w:val="20"/>
                <w:szCs w:val="20"/>
                <w:lang w:val="fr-CA"/>
              </w:rPr>
              <w:t>Jean-Claude Fortin, ès qualités de syndic adjoint du Collège des médecins du Québec (Qc)</w:t>
            </w:r>
          </w:p>
          <w:p w:rsidR="0036435C" w:rsidRDefault="0036435C" w:rsidP="0036435C">
            <w:pPr>
              <w:rPr>
                <w:sz w:val="20"/>
                <w:szCs w:val="20"/>
                <w:lang w:val="fr-CA"/>
              </w:rPr>
            </w:pPr>
            <w:r>
              <w:rPr>
                <w:sz w:val="20"/>
                <w:szCs w:val="20"/>
                <w:lang w:val="fr-CA"/>
              </w:rPr>
              <w:tab/>
              <w:t>Jacques Prévost</w:t>
            </w:r>
          </w:p>
          <w:p w:rsidR="0036435C" w:rsidRDefault="0036435C" w:rsidP="0036435C">
            <w:pPr>
              <w:rPr>
                <w:sz w:val="20"/>
                <w:szCs w:val="20"/>
                <w:lang w:val="fr-CA"/>
              </w:rPr>
            </w:pPr>
            <w:r>
              <w:rPr>
                <w:sz w:val="20"/>
                <w:szCs w:val="20"/>
                <w:lang w:val="fr-CA"/>
              </w:rPr>
              <w:tab/>
              <w:t xml:space="preserve">Pouliot, Caron, Prévost, Belisle, </w:t>
            </w:r>
            <w:r>
              <w:rPr>
                <w:sz w:val="20"/>
                <w:szCs w:val="20"/>
                <w:lang w:val="fr-CA"/>
              </w:rPr>
              <w:tab/>
              <w:t>Galarneau</w:t>
            </w:r>
          </w:p>
          <w:p w:rsidR="0036435C" w:rsidRDefault="0036435C" w:rsidP="0036435C">
            <w:pPr>
              <w:rPr>
                <w:sz w:val="20"/>
                <w:szCs w:val="20"/>
                <w:lang w:val="fr-CA"/>
              </w:rPr>
            </w:pPr>
          </w:p>
          <w:p w:rsidR="0036435C" w:rsidRDefault="0036435C" w:rsidP="0036435C">
            <w:pPr>
              <w:rPr>
                <w:sz w:val="20"/>
                <w:szCs w:val="20"/>
                <w:lang w:val="fr-CA"/>
              </w:rPr>
            </w:pPr>
            <w:r>
              <w:rPr>
                <w:sz w:val="20"/>
                <w:szCs w:val="20"/>
                <w:lang w:val="fr-CA"/>
              </w:rPr>
              <w:t>DATE DE PRODUCTION : 22.03.2016</w:t>
            </w:r>
          </w:p>
          <w:p w:rsidR="0036435C" w:rsidRDefault="00D75D0F" w:rsidP="0036435C">
            <w:pPr>
              <w:rPr>
                <w:sz w:val="20"/>
                <w:szCs w:val="20"/>
                <w:lang w:val="fr-CA"/>
              </w:rPr>
            </w:pPr>
            <w:r>
              <w:rPr>
                <w:sz w:val="20"/>
                <w:szCs w:val="20"/>
                <w:lang w:val="fr-CA"/>
              </w:rPr>
              <w:pict>
                <v:rect id="_x0000_i1031" style="width:108pt;height:1pt" o:hrpct="0" o:hralign="center" o:hrstd="t" o:hrnoshade="t" o:hr="t" fillcolor="black [3213]" stroked="f"/>
              </w:pict>
            </w:r>
          </w:p>
          <w:p w:rsidR="0095503F" w:rsidRPr="0095503F" w:rsidRDefault="0095503F" w:rsidP="0095503F">
            <w:pPr>
              <w:rPr>
                <w:sz w:val="20"/>
                <w:szCs w:val="20"/>
                <w:lang w:val="fr-CA"/>
              </w:rPr>
            </w:pPr>
          </w:p>
        </w:tc>
        <w:tc>
          <w:tcPr>
            <w:tcW w:w="1091" w:type="dxa"/>
            <w:shd w:val="clear" w:color="auto" w:fill="auto"/>
          </w:tcPr>
          <w:p w:rsidR="0095503F" w:rsidRPr="0095503F" w:rsidRDefault="0095503F" w:rsidP="0095503F">
            <w:pPr>
              <w:jc w:val="center"/>
              <w:rPr>
                <w:sz w:val="20"/>
                <w:szCs w:val="20"/>
                <w:lang w:val="fr-CA"/>
              </w:rPr>
            </w:pPr>
          </w:p>
        </w:tc>
        <w:tc>
          <w:tcPr>
            <w:tcW w:w="4320" w:type="dxa"/>
            <w:shd w:val="clear" w:color="auto" w:fill="auto"/>
          </w:tcPr>
          <w:p w:rsidR="0095503F" w:rsidRDefault="0036435C" w:rsidP="0095503F">
            <w:pPr>
              <w:rPr>
                <w:b/>
                <w:sz w:val="20"/>
                <w:szCs w:val="20"/>
                <w:lang w:val="fr-CA"/>
              </w:rPr>
            </w:pPr>
            <w:r>
              <w:rPr>
                <w:b/>
                <w:sz w:val="20"/>
                <w:szCs w:val="20"/>
                <w:lang w:val="fr-CA"/>
              </w:rPr>
              <w:t>Pierre Mailloux</w:t>
            </w:r>
          </w:p>
          <w:p w:rsidR="0036435C" w:rsidRDefault="0036435C" w:rsidP="0095503F">
            <w:pPr>
              <w:rPr>
                <w:sz w:val="20"/>
                <w:szCs w:val="20"/>
                <w:lang w:val="fr-CA"/>
              </w:rPr>
            </w:pPr>
            <w:r>
              <w:rPr>
                <w:b/>
                <w:sz w:val="20"/>
                <w:szCs w:val="20"/>
                <w:lang w:val="fr-CA"/>
              </w:rPr>
              <w:tab/>
            </w:r>
            <w:r>
              <w:rPr>
                <w:sz w:val="20"/>
                <w:szCs w:val="20"/>
                <w:lang w:val="fr-CA"/>
              </w:rPr>
              <w:t>Pierre Mailloux</w:t>
            </w:r>
          </w:p>
          <w:p w:rsidR="0036435C" w:rsidRDefault="0036435C" w:rsidP="0095503F">
            <w:pPr>
              <w:rPr>
                <w:sz w:val="20"/>
                <w:szCs w:val="20"/>
                <w:lang w:val="fr-CA"/>
              </w:rPr>
            </w:pPr>
          </w:p>
          <w:p w:rsidR="0036435C" w:rsidRDefault="0036435C" w:rsidP="0095503F">
            <w:pPr>
              <w:rPr>
                <w:sz w:val="20"/>
                <w:szCs w:val="20"/>
                <w:lang w:val="fr-CA"/>
              </w:rPr>
            </w:pPr>
            <w:r>
              <w:rPr>
                <w:sz w:val="20"/>
                <w:szCs w:val="20"/>
                <w:lang w:val="fr-CA"/>
              </w:rPr>
              <w:tab/>
              <w:t>c. (36953)</w:t>
            </w:r>
          </w:p>
          <w:p w:rsidR="0036435C" w:rsidRDefault="0036435C" w:rsidP="0095503F">
            <w:pPr>
              <w:rPr>
                <w:sz w:val="20"/>
                <w:szCs w:val="20"/>
                <w:lang w:val="fr-CA"/>
              </w:rPr>
            </w:pPr>
          </w:p>
          <w:p w:rsidR="0036435C" w:rsidRDefault="0036435C" w:rsidP="0095503F">
            <w:pPr>
              <w:rPr>
                <w:b/>
                <w:sz w:val="20"/>
                <w:szCs w:val="20"/>
                <w:lang w:val="fr-CA"/>
              </w:rPr>
            </w:pPr>
            <w:r>
              <w:rPr>
                <w:b/>
                <w:sz w:val="20"/>
                <w:szCs w:val="20"/>
                <w:lang w:val="fr-CA"/>
              </w:rPr>
              <w:t>Mario Deschênes, ès qualités de syndic adjoint du Collège des médecins du Québec (Qc)</w:t>
            </w:r>
          </w:p>
          <w:p w:rsidR="0036435C" w:rsidRDefault="0036435C" w:rsidP="0036435C">
            <w:pPr>
              <w:rPr>
                <w:sz w:val="20"/>
                <w:szCs w:val="20"/>
                <w:lang w:val="fr-CA"/>
              </w:rPr>
            </w:pPr>
            <w:r>
              <w:rPr>
                <w:sz w:val="20"/>
                <w:szCs w:val="20"/>
                <w:lang w:val="fr-CA"/>
              </w:rPr>
              <w:tab/>
              <w:t>Jacques Prévost</w:t>
            </w:r>
          </w:p>
          <w:p w:rsidR="0036435C" w:rsidRDefault="0036435C" w:rsidP="0036435C">
            <w:pPr>
              <w:rPr>
                <w:sz w:val="20"/>
                <w:szCs w:val="20"/>
                <w:lang w:val="fr-CA"/>
              </w:rPr>
            </w:pPr>
            <w:r>
              <w:rPr>
                <w:sz w:val="20"/>
                <w:szCs w:val="20"/>
                <w:lang w:val="fr-CA"/>
              </w:rPr>
              <w:tab/>
              <w:t xml:space="preserve">Pouliot, Caron, Prévost, Belisle, </w:t>
            </w:r>
            <w:r>
              <w:rPr>
                <w:sz w:val="20"/>
                <w:szCs w:val="20"/>
                <w:lang w:val="fr-CA"/>
              </w:rPr>
              <w:tab/>
              <w:t>Galarneau</w:t>
            </w:r>
          </w:p>
          <w:p w:rsidR="0036435C" w:rsidRDefault="0036435C" w:rsidP="0095503F">
            <w:pPr>
              <w:rPr>
                <w:b/>
                <w:sz w:val="20"/>
                <w:szCs w:val="20"/>
                <w:lang w:val="fr-CA"/>
              </w:rPr>
            </w:pPr>
          </w:p>
          <w:p w:rsidR="0036435C" w:rsidRDefault="0036435C" w:rsidP="0036435C">
            <w:pPr>
              <w:rPr>
                <w:sz w:val="20"/>
                <w:szCs w:val="20"/>
                <w:lang w:val="fr-CA"/>
              </w:rPr>
            </w:pPr>
            <w:r>
              <w:rPr>
                <w:sz w:val="20"/>
                <w:szCs w:val="20"/>
                <w:lang w:val="fr-CA"/>
              </w:rPr>
              <w:t>DATE DE PRODUCTION : 22.03.2016</w:t>
            </w:r>
          </w:p>
          <w:p w:rsidR="0036435C" w:rsidRPr="0036435C" w:rsidRDefault="00D75D0F" w:rsidP="0095503F">
            <w:pPr>
              <w:rPr>
                <w:b/>
                <w:sz w:val="20"/>
                <w:szCs w:val="20"/>
                <w:lang w:val="fr-CA"/>
              </w:rPr>
            </w:pPr>
            <w:r>
              <w:rPr>
                <w:sz w:val="20"/>
                <w:szCs w:val="20"/>
                <w:lang w:val="fr-CA"/>
              </w:rPr>
              <w:pict>
                <v:rect id="_x0000_i1032" style="width:108pt;height:1pt" o:hrpct="0" o:hralign="center" o:hrstd="t" o:hrnoshade="t" o:hr="t" fillcolor="black [3213]" stroked="f"/>
              </w:pict>
            </w:r>
          </w:p>
        </w:tc>
      </w:tr>
      <w:tr w:rsidR="0095503F" w:rsidRPr="0095503F" w:rsidTr="0036435C">
        <w:trPr>
          <w:cantSplit/>
        </w:trPr>
        <w:tc>
          <w:tcPr>
            <w:tcW w:w="4410" w:type="dxa"/>
            <w:shd w:val="clear" w:color="auto" w:fill="auto"/>
          </w:tcPr>
          <w:p w:rsidR="003D4ED0" w:rsidRPr="003D4ED0" w:rsidRDefault="003D4ED0" w:rsidP="003D4ED0">
            <w:pPr>
              <w:rPr>
                <w:b/>
                <w:sz w:val="20"/>
                <w:szCs w:val="20"/>
              </w:rPr>
            </w:pPr>
            <w:r w:rsidRPr="003D4ED0">
              <w:rPr>
                <w:b/>
                <w:sz w:val="20"/>
                <w:szCs w:val="20"/>
              </w:rPr>
              <w:t>Martin Green</w:t>
            </w:r>
          </w:p>
          <w:p w:rsidR="003D4ED0" w:rsidRPr="003D4ED0" w:rsidRDefault="003D4ED0" w:rsidP="003D4ED0">
            <w:pPr>
              <w:rPr>
                <w:sz w:val="20"/>
                <w:szCs w:val="20"/>
              </w:rPr>
            </w:pPr>
            <w:r w:rsidRPr="003D4ED0">
              <w:rPr>
                <w:sz w:val="20"/>
                <w:szCs w:val="20"/>
              </w:rPr>
              <w:tab/>
              <w:t>Martin Green</w:t>
            </w:r>
          </w:p>
          <w:p w:rsidR="003D4ED0" w:rsidRPr="003D4ED0" w:rsidRDefault="003D4ED0" w:rsidP="003D4ED0">
            <w:pPr>
              <w:rPr>
                <w:sz w:val="20"/>
                <w:szCs w:val="20"/>
              </w:rPr>
            </w:pPr>
          </w:p>
          <w:p w:rsidR="003D4ED0" w:rsidRPr="003D4ED0" w:rsidRDefault="003D4ED0" w:rsidP="003D4ED0">
            <w:pPr>
              <w:rPr>
                <w:sz w:val="20"/>
                <w:szCs w:val="20"/>
              </w:rPr>
            </w:pPr>
            <w:r w:rsidRPr="003D4ED0">
              <w:rPr>
                <w:sz w:val="20"/>
                <w:szCs w:val="20"/>
              </w:rPr>
              <w:tab/>
              <w:t>v. (36963)</w:t>
            </w:r>
          </w:p>
          <w:p w:rsidR="003D4ED0" w:rsidRPr="003D4ED0" w:rsidRDefault="003D4ED0" w:rsidP="003D4ED0">
            <w:pPr>
              <w:rPr>
                <w:sz w:val="20"/>
                <w:szCs w:val="20"/>
              </w:rPr>
            </w:pPr>
          </w:p>
          <w:p w:rsidR="003D4ED0" w:rsidRPr="003D4ED0" w:rsidRDefault="003D4ED0" w:rsidP="003D4ED0">
            <w:pPr>
              <w:rPr>
                <w:b/>
                <w:sz w:val="20"/>
                <w:szCs w:val="20"/>
              </w:rPr>
            </w:pPr>
            <w:r w:rsidRPr="003D4ED0">
              <w:rPr>
                <w:b/>
                <w:sz w:val="20"/>
                <w:szCs w:val="20"/>
              </w:rPr>
              <w:t xml:space="preserve">J.R. Klassen, Jim Dao, Jason St. Pierre, Richard Grandmaison et al. (Man.) </w:t>
            </w:r>
          </w:p>
          <w:p w:rsidR="003D4ED0" w:rsidRPr="003D4ED0" w:rsidRDefault="003D4ED0" w:rsidP="003D4ED0">
            <w:pPr>
              <w:rPr>
                <w:sz w:val="20"/>
                <w:szCs w:val="20"/>
              </w:rPr>
            </w:pPr>
            <w:r w:rsidRPr="003D4ED0">
              <w:rPr>
                <w:sz w:val="20"/>
                <w:szCs w:val="20"/>
              </w:rPr>
              <w:tab/>
              <w:t>Scott D. Farlinger</w:t>
            </w:r>
          </w:p>
          <w:p w:rsidR="003D4ED0" w:rsidRPr="003D4ED0" w:rsidRDefault="003D4ED0" w:rsidP="003D4ED0">
            <w:pPr>
              <w:rPr>
                <w:sz w:val="20"/>
                <w:szCs w:val="20"/>
              </w:rPr>
            </w:pPr>
            <w:r w:rsidRPr="003D4ED0">
              <w:rPr>
                <w:sz w:val="20"/>
                <w:szCs w:val="20"/>
              </w:rPr>
              <w:tab/>
              <w:t>A.G. of Canada</w:t>
            </w:r>
          </w:p>
          <w:p w:rsidR="003D4ED0" w:rsidRPr="003D4ED0" w:rsidRDefault="003D4ED0" w:rsidP="003D4ED0">
            <w:pPr>
              <w:rPr>
                <w:sz w:val="20"/>
                <w:szCs w:val="20"/>
              </w:rPr>
            </w:pPr>
          </w:p>
          <w:p w:rsidR="003D4ED0" w:rsidRPr="003D4ED0" w:rsidRDefault="003D4ED0" w:rsidP="003D4ED0">
            <w:pPr>
              <w:rPr>
                <w:sz w:val="20"/>
                <w:szCs w:val="20"/>
              </w:rPr>
            </w:pPr>
            <w:r w:rsidRPr="003D4ED0">
              <w:rPr>
                <w:sz w:val="20"/>
                <w:szCs w:val="20"/>
              </w:rPr>
              <w:t>FILING DATE : 29.03.2016</w:t>
            </w:r>
          </w:p>
          <w:p w:rsidR="003D4ED0" w:rsidRDefault="00D75D0F" w:rsidP="003D4ED0">
            <w:pPr>
              <w:rPr>
                <w:sz w:val="20"/>
                <w:szCs w:val="20"/>
                <w:lang w:val="fr-CA"/>
              </w:rPr>
            </w:pPr>
            <w:r>
              <w:rPr>
                <w:sz w:val="20"/>
                <w:szCs w:val="20"/>
                <w:lang w:val="fr-CA"/>
              </w:rPr>
              <w:pict>
                <v:rect id="_x0000_i1033" style="width:108pt;height:1pt" o:hrpct="0" o:hralign="center" o:hrstd="t" o:hrnoshade="t" o:hr="t" fillcolor="black [3213]" stroked="f"/>
              </w:pict>
            </w:r>
          </w:p>
          <w:p w:rsidR="0095503F" w:rsidRPr="0095503F" w:rsidRDefault="0095503F" w:rsidP="0095503F">
            <w:pPr>
              <w:rPr>
                <w:sz w:val="20"/>
                <w:szCs w:val="20"/>
                <w:lang w:val="fr-CA"/>
              </w:rPr>
            </w:pPr>
          </w:p>
        </w:tc>
        <w:tc>
          <w:tcPr>
            <w:tcW w:w="1091" w:type="dxa"/>
            <w:shd w:val="clear" w:color="auto" w:fill="auto"/>
          </w:tcPr>
          <w:p w:rsidR="0095503F" w:rsidRPr="0095503F" w:rsidRDefault="0095503F" w:rsidP="0095503F">
            <w:pPr>
              <w:jc w:val="center"/>
              <w:rPr>
                <w:sz w:val="20"/>
                <w:szCs w:val="20"/>
                <w:lang w:val="fr-CA"/>
              </w:rPr>
            </w:pPr>
          </w:p>
        </w:tc>
        <w:tc>
          <w:tcPr>
            <w:tcW w:w="4320" w:type="dxa"/>
            <w:shd w:val="clear" w:color="auto" w:fill="auto"/>
          </w:tcPr>
          <w:p w:rsidR="0095503F" w:rsidRPr="008B6D36" w:rsidRDefault="00472AC8" w:rsidP="0095503F">
            <w:pPr>
              <w:rPr>
                <w:b/>
                <w:sz w:val="20"/>
                <w:szCs w:val="20"/>
              </w:rPr>
            </w:pPr>
            <w:r w:rsidRPr="008B6D36">
              <w:rPr>
                <w:b/>
                <w:sz w:val="20"/>
                <w:szCs w:val="20"/>
              </w:rPr>
              <w:t>Attorney General of Canada</w:t>
            </w:r>
          </w:p>
          <w:p w:rsidR="00472AC8" w:rsidRPr="008B6D36" w:rsidRDefault="00472AC8" w:rsidP="0095503F">
            <w:pPr>
              <w:rPr>
                <w:sz w:val="20"/>
                <w:szCs w:val="20"/>
              </w:rPr>
            </w:pPr>
            <w:r w:rsidRPr="008B6D36">
              <w:rPr>
                <w:sz w:val="20"/>
                <w:szCs w:val="20"/>
              </w:rPr>
              <w:tab/>
              <w:t>Angela Marinos</w:t>
            </w:r>
          </w:p>
          <w:p w:rsidR="00472AC8" w:rsidRPr="008B6D36" w:rsidRDefault="00472AC8" w:rsidP="0095503F">
            <w:pPr>
              <w:rPr>
                <w:sz w:val="20"/>
                <w:szCs w:val="20"/>
              </w:rPr>
            </w:pPr>
            <w:r w:rsidRPr="008B6D36">
              <w:rPr>
                <w:sz w:val="20"/>
                <w:szCs w:val="20"/>
              </w:rPr>
              <w:tab/>
              <w:t>A.G. of Canada</w:t>
            </w:r>
          </w:p>
          <w:p w:rsidR="00472AC8" w:rsidRPr="008B6D36" w:rsidRDefault="00472AC8" w:rsidP="0095503F">
            <w:pPr>
              <w:rPr>
                <w:sz w:val="20"/>
                <w:szCs w:val="20"/>
              </w:rPr>
            </w:pPr>
          </w:p>
          <w:p w:rsidR="00472AC8" w:rsidRPr="008B6D36" w:rsidRDefault="00472AC8" w:rsidP="0095503F">
            <w:pPr>
              <w:rPr>
                <w:sz w:val="20"/>
                <w:szCs w:val="20"/>
              </w:rPr>
            </w:pPr>
            <w:r w:rsidRPr="008B6D36">
              <w:rPr>
                <w:sz w:val="20"/>
                <w:szCs w:val="20"/>
              </w:rPr>
              <w:tab/>
              <w:t>v. (36949)</w:t>
            </w:r>
          </w:p>
          <w:p w:rsidR="00472AC8" w:rsidRPr="008B6D36" w:rsidRDefault="00472AC8" w:rsidP="0095503F">
            <w:pPr>
              <w:rPr>
                <w:sz w:val="20"/>
                <w:szCs w:val="20"/>
              </w:rPr>
            </w:pPr>
          </w:p>
          <w:p w:rsidR="00472AC8" w:rsidRDefault="00472AC8" w:rsidP="0095503F">
            <w:pPr>
              <w:rPr>
                <w:b/>
                <w:sz w:val="20"/>
                <w:szCs w:val="20"/>
                <w:lang w:val="fr-CA"/>
              </w:rPr>
            </w:pPr>
            <w:r>
              <w:rPr>
                <w:b/>
                <w:sz w:val="20"/>
                <w:szCs w:val="20"/>
                <w:lang w:val="fr-CA"/>
              </w:rPr>
              <w:t>Helmut Oberlander (F.C.)</w:t>
            </w:r>
          </w:p>
          <w:p w:rsidR="00472AC8" w:rsidRDefault="00472AC8" w:rsidP="0095503F">
            <w:pPr>
              <w:rPr>
                <w:sz w:val="20"/>
                <w:szCs w:val="20"/>
                <w:lang w:val="fr-CA"/>
              </w:rPr>
            </w:pPr>
            <w:r>
              <w:rPr>
                <w:sz w:val="20"/>
                <w:szCs w:val="20"/>
                <w:lang w:val="fr-CA"/>
              </w:rPr>
              <w:tab/>
              <w:t>Barbara Jackman</w:t>
            </w:r>
          </w:p>
          <w:p w:rsidR="00472AC8" w:rsidRPr="008B6D36" w:rsidRDefault="00472AC8" w:rsidP="0095503F">
            <w:pPr>
              <w:rPr>
                <w:sz w:val="20"/>
                <w:szCs w:val="20"/>
              </w:rPr>
            </w:pPr>
            <w:r>
              <w:rPr>
                <w:sz w:val="20"/>
                <w:szCs w:val="20"/>
                <w:lang w:val="fr-CA"/>
              </w:rPr>
              <w:tab/>
            </w:r>
            <w:r w:rsidRPr="008B6D36">
              <w:rPr>
                <w:sz w:val="20"/>
                <w:szCs w:val="20"/>
              </w:rPr>
              <w:t>Jackman, Nazami &amp; Associates</w:t>
            </w:r>
          </w:p>
          <w:p w:rsidR="00472AC8" w:rsidRPr="008B6D36" w:rsidRDefault="00472AC8" w:rsidP="0095503F">
            <w:pPr>
              <w:rPr>
                <w:sz w:val="20"/>
                <w:szCs w:val="20"/>
              </w:rPr>
            </w:pPr>
          </w:p>
          <w:p w:rsidR="00472AC8" w:rsidRPr="008B6D36" w:rsidRDefault="00472AC8" w:rsidP="0095503F">
            <w:pPr>
              <w:rPr>
                <w:sz w:val="20"/>
                <w:szCs w:val="20"/>
              </w:rPr>
            </w:pPr>
            <w:r w:rsidRPr="008B6D36">
              <w:rPr>
                <w:sz w:val="20"/>
                <w:szCs w:val="20"/>
              </w:rPr>
              <w:t>FILING DATE : 14.04.2016</w:t>
            </w:r>
          </w:p>
          <w:p w:rsidR="00472AC8" w:rsidRPr="00472AC8" w:rsidRDefault="00D75D0F" w:rsidP="0095503F">
            <w:pPr>
              <w:rPr>
                <w:sz w:val="20"/>
                <w:szCs w:val="20"/>
                <w:lang w:val="fr-CA"/>
              </w:rPr>
            </w:pPr>
            <w:r>
              <w:rPr>
                <w:sz w:val="20"/>
                <w:szCs w:val="20"/>
                <w:lang w:val="fr-CA"/>
              </w:rPr>
              <w:pict>
                <v:rect id="_x0000_i1034" style="width:108pt;height:1pt" o:hrpct="0" o:hralign="center" o:hrstd="t" o:hrnoshade="t" o:hr="t" fillcolor="black [3213]" stroked="f"/>
              </w:pict>
            </w:r>
          </w:p>
        </w:tc>
      </w:tr>
      <w:tr w:rsidR="0095503F" w:rsidRPr="000151DC" w:rsidTr="0036435C">
        <w:trPr>
          <w:cantSplit/>
        </w:trPr>
        <w:tc>
          <w:tcPr>
            <w:tcW w:w="4410" w:type="dxa"/>
            <w:shd w:val="clear" w:color="auto" w:fill="auto"/>
          </w:tcPr>
          <w:p w:rsidR="0095503F" w:rsidRPr="008B6D36" w:rsidRDefault="000151DC" w:rsidP="0095503F">
            <w:pPr>
              <w:rPr>
                <w:b/>
                <w:sz w:val="20"/>
                <w:szCs w:val="20"/>
              </w:rPr>
            </w:pPr>
            <w:r w:rsidRPr="008B6D36">
              <w:rPr>
                <w:b/>
                <w:sz w:val="20"/>
                <w:szCs w:val="20"/>
              </w:rPr>
              <w:t>Rocco Galati</w:t>
            </w:r>
          </w:p>
          <w:p w:rsidR="000151DC" w:rsidRPr="008B6D36" w:rsidRDefault="000151DC" w:rsidP="0095503F">
            <w:pPr>
              <w:rPr>
                <w:sz w:val="20"/>
                <w:szCs w:val="20"/>
              </w:rPr>
            </w:pPr>
            <w:r w:rsidRPr="008B6D36">
              <w:rPr>
                <w:sz w:val="20"/>
                <w:szCs w:val="20"/>
              </w:rPr>
              <w:tab/>
              <w:t>Rocco Galati</w:t>
            </w:r>
          </w:p>
          <w:p w:rsidR="000151DC" w:rsidRPr="008B6D36" w:rsidRDefault="000151DC" w:rsidP="0095503F">
            <w:pPr>
              <w:rPr>
                <w:sz w:val="20"/>
                <w:szCs w:val="20"/>
              </w:rPr>
            </w:pPr>
            <w:r w:rsidRPr="008B6D36">
              <w:rPr>
                <w:sz w:val="20"/>
                <w:szCs w:val="20"/>
              </w:rPr>
              <w:tab/>
              <w:t xml:space="preserve">Rocco Galati Law Firm Professional </w:t>
            </w:r>
            <w:r w:rsidRPr="008B6D36">
              <w:rPr>
                <w:sz w:val="20"/>
                <w:szCs w:val="20"/>
              </w:rPr>
              <w:tab/>
              <w:t>Corporation</w:t>
            </w:r>
          </w:p>
          <w:p w:rsidR="000151DC" w:rsidRPr="008B6D36" w:rsidRDefault="000151DC" w:rsidP="0095503F">
            <w:pPr>
              <w:rPr>
                <w:sz w:val="20"/>
                <w:szCs w:val="20"/>
              </w:rPr>
            </w:pPr>
          </w:p>
          <w:p w:rsidR="000151DC" w:rsidRPr="008B6D36" w:rsidRDefault="000151DC" w:rsidP="0095503F">
            <w:pPr>
              <w:rPr>
                <w:sz w:val="20"/>
                <w:szCs w:val="20"/>
              </w:rPr>
            </w:pPr>
            <w:r w:rsidRPr="008B6D36">
              <w:rPr>
                <w:sz w:val="20"/>
                <w:szCs w:val="20"/>
              </w:rPr>
              <w:tab/>
              <w:t>v. (36933)</w:t>
            </w:r>
          </w:p>
          <w:p w:rsidR="000151DC" w:rsidRPr="008B6D36" w:rsidRDefault="000151DC" w:rsidP="0095503F">
            <w:pPr>
              <w:rPr>
                <w:sz w:val="20"/>
                <w:szCs w:val="20"/>
              </w:rPr>
            </w:pPr>
          </w:p>
          <w:p w:rsidR="000151DC" w:rsidRDefault="000151DC" w:rsidP="0095503F">
            <w:pPr>
              <w:rPr>
                <w:b/>
                <w:sz w:val="20"/>
                <w:szCs w:val="20"/>
              </w:rPr>
            </w:pPr>
            <w:r w:rsidRPr="000151DC">
              <w:rPr>
                <w:b/>
                <w:sz w:val="20"/>
                <w:szCs w:val="20"/>
              </w:rPr>
              <w:t xml:space="preserve">The Right Honourable Stephen Harper et al. </w:t>
            </w:r>
            <w:r>
              <w:rPr>
                <w:b/>
                <w:sz w:val="20"/>
                <w:szCs w:val="20"/>
              </w:rPr>
              <w:t>(F.C.)</w:t>
            </w:r>
          </w:p>
          <w:p w:rsidR="000151DC" w:rsidRDefault="000151DC" w:rsidP="0095503F">
            <w:pPr>
              <w:rPr>
                <w:sz w:val="20"/>
                <w:szCs w:val="20"/>
              </w:rPr>
            </w:pPr>
            <w:r>
              <w:rPr>
                <w:sz w:val="20"/>
                <w:szCs w:val="20"/>
              </w:rPr>
              <w:tab/>
              <w:t>Christine Mohr</w:t>
            </w:r>
          </w:p>
          <w:p w:rsidR="000151DC" w:rsidRDefault="000151DC" w:rsidP="0095503F">
            <w:pPr>
              <w:rPr>
                <w:sz w:val="20"/>
                <w:szCs w:val="20"/>
              </w:rPr>
            </w:pPr>
            <w:r>
              <w:rPr>
                <w:sz w:val="20"/>
                <w:szCs w:val="20"/>
              </w:rPr>
              <w:tab/>
              <w:t>A.G. of Canada</w:t>
            </w:r>
          </w:p>
          <w:p w:rsidR="000151DC" w:rsidRDefault="000151DC" w:rsidP="0095503F">
            <w:pPr>
              <w:rPr>
                <w:sz w:val="20"/>
                <w:szCs w:val="20"/>
              </w:rPr>
            </w:pPr>
          </w:p>
          <w:p w:rsidR="000151DC" w:rsidRDefault="000151DC" w:rsidP="000151DC">
            <w:pPr>
              <w:rPr>
                <w:sz w:val="20"/>
                <w:szCs w:val="20"/>
              </w:rPr>
            </w:pPr>
            <w:r w:rsidRPr="000151DC">
              <w:rPr>
                <w:sz w:val="20"/>
                <w:szCs w:val="20"/>
              </w:rPr>
              <w:t>-</w:t>
            </w:r>
            <w:r>
              <w:rPr>
                <w:sz w:val="20"/>
                <w:szCs w:val="20"/>
              </w:rPr>
              <w:t xml:space="preserve"> and between -</w:t>
            </w:r>
          </w:p>
          <w:p w:rsidR="000151DC" w:rsidRDefault="000151DC" w:rsidP="000151DC">
            <w:pPr>
              <w:rPr>
                <w:sz w:val="20"/>
                <w:szCs w:val="20"/>
              </w:rPr>
            </w:pPr>
          </w:p>
          <w:p w:rsidR="000151DC" w:rsidRDefault="000151DC" w:rsidP="000151DC">
            <w:pPr>
              <w:rPr>
                <w:b/>
                <w:sz w:val="20"/>
                <w:szCs w:val="20"/>
              </w:rPr>
            </w:pPr>
            <w:r>
              <w:rPr>
                <w:b/>
                <w:sz w:val="20"/>
                <w:szCs w:val="20"/>
              </w:rPr>
              <w:t xml:space="preserve">Constitutional Rights Centre Inc. </w:t>
            </w:r>
          </w:p>
          <w:p w:rsidR="000151DC" w:rsidRDefault="000151DC" w:rsidP="000151DC">
            <w:pPr>
              <w:rPr>
                <w:sz w:val="20"/>
                <w:szCs w:val="20"/>
              </w:rPr>
            </w:pPr>
            <w:r>
              <w:rPr>
                <w:sz w:val="20"/>
                <w:szCs w:val="20"/>
              </w:rPr>
              <w:tab/>
              <w:t>Paul Stansky</w:t>
            </w:r>
          </w:p>
          <w:p w:rsidR="000151DC" w:rsidRDefault="000151DC" w:rsidP="000151DC">
            <w:pPr>
              <w:rPr>
                <w:sz w:val="20"/>
                <w:szCs w:val="20"/>
              </w:rPr>
            </w:pPr>
            <w:r>
              <w:rPr>
                <w:sz w:val="20"/>
                <w:szCs w:val="20"/>
              </w:rPr>
              <w:tab/>
              <w:t>Stansky Law Professional Corporation</w:t>
            </w:r>
          </w:p>
          <w:p w:rsidR="000151DC" w:rsidRDefault="000151DC" w:rsidP="000151DC">
            <w:pPr>
              <w:rPr>
                <w:sz w:val="20"/>
                <w:szCs w:val="20"/>
              </w:rPr>
            </w:pPr>
          </w:p>
          <w:p w:rsidR="000151DC" w:rsidRDefault="000151DC" w:rsidP="000151DC">
            <w:pPr>
              <w:rPr>
                <w:sz w:val="20"/>
                <w:szCs w:val="20"/>
              </w:rPr>
            </w:pPr>
            <w:r>
              <w:rPr>
                <w:sz w:val="20"/>
                <w:szCs w:val="20"/>
              </w:rPr>
              <w:tab/>
              <w:t>v. (36933)</w:t>
            </w:r>
          </w:p>
          <w:p w:rsidR="000151DC" w:rsidRDefault="000151DC" w:rsidP="000151DC">
            <w:pPr>
              <w:rPr>
                <w:sz w:val="20"/>
                <w:szCs w:val="20"/>
              </w:rPr>
            </w:pPr>
          </w:p>
          <w:p w:rsidR="000151DC" w:rsidRDefault="000151DC" w:rsidP="000151DC">
            <w:pPr>
              <w:rPr>
                <w:b/>
                <w:sz w:val="20"/>
                <w:szCs w:val="20"/>
              </w:rPr>
            </w:pPr>
            <w:r w:rsidRPr="000151DC">
              <w:rPr>
                <w:b/>
                <w:sz w:val="20"/>
                <w:szCs w:val="20"/>
              </w:rPr>
              <w:t xml:space="preserve">The Right Honourable Stephen Harper et al. </w:t>
            </w:r>
            <w:r>
              <w:rPr>
                <w:b/>
                <w:sz w:val="20"/>
                <w:szCs w:val="20"/>
              </w:rPr>
              <w:t>(F.C.)</w:t>
            </w:r>
          </w:p>
          <w:p w:rsidR="000151DC" w:rsidRDefault="000151DC" w:rsidP="000151DC">
            <w:pPr>
              <w:rPr>
                <w:sz w:val="20"/>
                <w:szCs w:val="20"/>
              </w:rPr>
            </w:pPr>
            <w:r>
              <w:rPr>
                <w:sz w:val="20"/>
                <w:szCs w:val="20"/>
              </w:rPr>
              <w:tab/>
              <w:t>Christine Mohr</w:t>
            </w:r>
          </w:p>
          <w:p w:rsidR="000151DC" w:rsidRDefault="000151DC" w:rsidP="000151DC">
            <w:pPr>
              <w:rPr>
                <w:sz w:val="20"/>
                <w:szCs w:val="20"/>
              </w:rPr>
            </w:pPr>
            <w:r>
              <w:rPr>
                <w:sz w:val="20"/>
                <w:szCs w:val="20"/>
              </w:rPr>
              <w:tab/>
              <w:t>A.G. of Canada</w:t>
            </w:r>
          </w:p>
          <w:p w:rsidR="000151DC" w:rsidRDefault="000151DC" w:rsidP="000151DC">
            <w:pPr>
              <w:rPr>
                <w:sz w:val="20"/>
                <w:szCs w:val="20"/>
              </w:rPr>
            </w:pPr>
          </w:p>
          <w:p w:rsidR="000151DC" w:rsidRDefault="000151DC" w:rsidP="000151DC">
            <w:pPr>
              <w:rPr>
                <w:sz w:val="20"/>
                <w:szCs w:val="20"/>
              </w:rPr>
            </w:pPr>
            <w:r>
              <w:rPr>
                <w:sz w:val="20"/>
                <w:szCs w:val="20"/>
              </w:rPr>
              <w:t>FILING DATE: 07.04.2016</w:t>
            </w:r>
          </w:p>
          <w:p w:rsidR="000151DC" w:rsidRPr="000151DC" w:rsidRDefault="00D75D0F" w:rsidP="0095503F">
            <w:pPr>
              <w:rPr>
                <w:sz w:val="20"/>
                <w:szCs w:val="20"/>
              </w:rPr>
            </w:pPr>
            <w:r>
              <w:rPr>
                <w:sz w:val="20"/>
                <w:szCs w:val="20"/>
                <w:lang w:val="fr-CA"/>
              </w:rPr>
              <w:pict>
                <v:rect id="_x0000_i1035" style="width:108pt;height:1pt" o:hrpct="0" o:hralign="center" o:hrstd="t" o:hrnoshade="t" o:hr="t" fillcolor="black [3213]" stroked="f"/>
              </w:pict>
            </w:r>
          </w:p>
        </w:tc>
        <w:tc>
          <w:tcPr>
            <w:tcW w:w="1091" w:type="dxa"/>
            <w:shd w:val="clear" w:color="auto" w:fill="auto"/>
          </w:tcPr>
          <w:p w:rsidR="0095503F" w:rsidRPr="000151DC" w:rsidRDefault="0095503F" w:rsidP="0095503F">
            <w:pPr>
              <w:jc w:val="center"/>
              <w:rPr>
                <w:sz w:val="20"/>
                <w:szCs w:val="20"/>
              </w:rPr>
            </w:pPr>
          </w:p>
        </w:tc>
        <w:tc>
          <w:tcPr>
            <w:tcW w:w="4320" w:type="dxa"/>
            <w:shd w:val="clear" w:color="auto" w:fill="auto"/>
          </w:tcPr>
          <w:p w:rsidR="0095503F" w:rsidRPr="000151DC" w:rsidRDefault="0095503F" w:rsidP="0095503F">
            <w:pPr>
              <w:rPr>
                <w:sz w:val="20"/>
                <w:szCs w:val="20"/>
              </w:rPr>
            </w:pPr>
          </w:p>
        </w:tc>
      </w:tr>
    </w:tbl>
    <w:p w:rsidR="006C3F47" w:rsidRPr="000151DC" w:rsidRDefault="006C3F47" w:rsidP="0095096B">
      <w:pPr>
        <w:tabs>
          <w:tab w:val="right" w:pos="9360"/>
        </w:tabs>
        <w:rPr>
          <w:sz w:val="20"/>
          <w:szCs w:val="20"/>
        </w:rPr>
      </w:pPr>
    </w:p>
    <w:p w:rsidR="00D94028" w:rsidRPr="000151DC" w:rsidRDefault="00D94028" w:rsidP="0095096B">
      <w:pPr>
        <w:tabs>
          <w:tab w:val="right" w:pos="9360"/>
        </w:tabs>
        <w:rPr>
          <w:sz w:val="20"/>
          <w:szCs w:val="20"/>
        </w:rPr>
      </w:pPr>
    </w:p>
    <w:p w:rsidR="00242AEE" w:rsidRPr="000151DC" w:rsidRDefault="00242AEE" w:rsidP="0095096B">
      <w:pPr>
        <w:tabs>
          <w:tab w:val="right" w:pos="9360"/>
        </w:tabs>
        <w:rPr>
          <w:sz w:val="20"/>
          <w:szCs w:val="20"/>
        </w:rPr>
      </w:pPr>
    </w:p>
    <w:p w:rsidR="00242AEE" w:rsidRPr="000151DC" w:rsidRDefault="00242AEE" w:rsidP="0095096B">
      <w:pPr>
        <w:tabs>
          <w:tab w:val="right" w:pos="9360"/>
        </w:tabs>
        <w:rPr>
          <w:sz w:val="20"/>
          <w:szCs w:val="20"/>
        </w:rPr>
        <w:sectPr w:rsidR="00242AEE" w:rsidRPr="000151DC" w:rsidSect="00852768">
          <w:headerReference w:type="default" r:id="rId11"/>
          <w:footerReference w:type="default" r:id="rId12"/>
          <w:headerReference w:type="first" r:id="rId13"/>
          <w:footerReference w:type="first" r:id="rId14"/>
          <w:pgSz w:w="12240" w:h="15840"/>
          <w:pgMar w:top="720" w:right="965" w:bottom="1080" w:left="1656" w:header="706" w:footer="706" w:gutter="0"/>
          <w:pgNumType w:start="615"/>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D75D0F" w:rsidTr="00BA6468">
        <w:trPr>
          <w:trHeight w:val="900"/>
        </w:trPr>
        <w:tc>
          <w:tcPr>
            <w:tcW w:w="4200" w:type="dxa"/>
            <w:tcMar>
              <w:left w:w="0" w:type="dxa"/>
              <w:right w:w="0" w:type="dxa"/>
            </w:tcMar>
          </w:tcPr>
          <w:p w:rsidR="002E2327" w:rsidRPr="008B6D36" w:rsidRDefault="002E2327" w:rsidP="002E2327">
            <w:pPr>
              <w:keepNext/>
              <w:keepLines/>
              <w:widowControl w:val="0"/>
              <w:rPr>
                <w:b/>
                <w:szCs w:val="24"/>
              </w:rPr>
            </w:pPr>
            <w:r w:rsidRPr="008B6D36">
              <w:rPr>
                <w:b/>
                <w:szCs w:val="24"/>
              </w:rPr>
              <w:t>APPLICATIONS FOR LEAVE SUBMITTED TO COURT SINCE LAST ISSUE</w:t>
            </w:r>
          </w:p>
        </w:tc>
        <w:tc>
          <w:tcPr>
            <w:tcW w:w="1200" w:type="dxa"/>
            <w:tcMar>
              <w:left w:w="0" w:type="dxa"/>
              <w:right w:w="0" w:type="dxa"/>
            </w:tcMar>
          </w:tcPr>
          <w:p w:rsidR="002E2327" w:rsidRPr="008B6D36" w:rsidRDefault="002E2327" w:rsidP="002E2327">
            <w:pPr>
              <w:keepNext/>
              <w:keepLines/>
              <w:widowControl w:val="0"/>
              <w:jc w:val="center"/>
              <w:rPr>
                <w:b/>
                <w:szCs w:val="24"/>
              </w:rPr>
            </w:pPr>
          </w:p>
          <w:p w:rsidR="001D0D5F" w:rsidRPr="008B6D36" w:rsidRDefault="001D0D5F" w:rsidP="002E2327">
            <w:pPr>
              <w:keepNext/>
              <w:keepLines/>
              <w:widowControl w:val="0"/>
              <w:jc w:val="center"/>
              <w:rPr>
                <w:b/>
                <w:szCs w:val="24"/>
              </w:rPr>
            </w:pPr>
          </w:p>
          <w:p w:rsidR="001D0D5F" w:rsidRPr="008B6D36" w:rsidRDefault="001D0D5F" w:rsidP="002E2327">
            <w:pPr>
              <w:keepNext/>
              <w:keepLines/>
              <w:widowControl w:val="0"/>
              <w:jc w:val="center"/>
              <w:rPr>
                <w:b/>
                <w:szCs w:val="24"/>
              </w:rPr>
            </w:pPr>
          </w:p>
          <w:p w:rsidR="001D0D5F" w:rsidRPr="008B6D36"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EE52C9" w:rsidP="00CB3520">
      <w:pPr>
        <w:widowControl w:val="0"/>
        <w:rPr>
          <w:b/>
          <w:sz w:val="20"/>
          <w:szCs w:val="20"/>
        </w:rPr>
      </w:pPr>
      <w:r>
        <w:rPr>
          <w:b/>
          <w:sz w:val="20"/>
          <w:szCs w:val="20"/>
        </w:rPr>
        <w:t>APRIL 25</w:t>
      </w:r>
      <w:r w:rsidR="00CB3520" w:rsidRPr="00C50A5C">
        <w:rPr>
          <w:b/>
          <w:sz w:val="20"/>
          <w:szCs w:val="20"/>
        </w:rPr>
        <w:t>, 201</w:t>
      </w:r>
      <w:r w:rsidR="0030050B">
        <w:rPr>
          <w:b/>
          <w:sz w:val="20"/>
          <w:szCs w:val="20"/>
        </w:rPr>
        <w:t>6</w:t>
      </w:r>
      <w:r w:rsidR="00CB3520" w:rsidRPr="00C50A5C">
        <w:rPr>
          <w:b/>
          <w:sz w:val="20"/>
          <w:szCs w:val="20"/>
        </w:rPr>
        <w:t xml:space="preserve"> / LE </w:t>
      </w:r>
      <w:r>
        <w:rPr>
          <w:b/>
          <w:sz w:val="20"/>
          <w:szCs w:val="20"/>
        </w:rPr>
        <w:t>25 AVRIL</w:t>
      </w:r>
      <w:r w:rsidR="00CB3520" w:rsidRPr="00C50A5C">
        <w:rPr>
          <w:b/>
          <w:sz w:val="20"/>
          <w:szCs w:val="20"/>
        </w:rPr>
        <w:t xml:space="preserve"> 201</w:t>
      </w:r>
      <w:r w:rsidR="0030050B">
        <w:rPr>
          <w:b/>
          <w:sz w:val="20"/>
          <w:szCs w:val="20"/>
        </w:rPr>
        <w:t>6</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EE52C9">
        <w:rPr>
          <w:b/>
          <w:sz w:val="20"/>
          <w:szCs w:val="20"/>
        </w:rPr>
        <w:t>Moldaver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EE52C9">
        <w:rPr>
          <w:b/>
          <w:sz w:val="20"/>
          <w:szCs w:val="20"/>
          <w:lang w:val="fr-CA"/>
        </w:rPr>
        <w:t>Moldaver</w:t>
      </w:r>
      <w:r w:rsidRPr="00C50A5C">
        <w:rPr>
          <w:b/>
          <w:sz w:val="20"/>
          <w:szCs w:val="20"/>
          <w:lang w:val="fr-CA"/>
        </w:rPr>
        <w:t xml:space="preserve"> et </w:t>
      </w:r>
      <w:r w:rsidR="00FA3373">
        <w:rPr>
          <w:b/>
          <w:sz w:val="20"/>
          <w:szCs w:val="20"/>
          <w:lang w:val="fr-CA"/>
        </w:rPr>
        <w:t>Gascon</w:t>
      </w:r>
    </w:p>
    <w:p w:rsidR="00CB3520" w:rsidRPr="00C50A5C" w:rsidRDefault="00CB3520" w:rsidP="008665DE">
      <w:pPr>
        <w:widowControl w:val="0"/>
        <w:ind w:left="720"/>
        <w:rPr>
          <w:sz w:val="20"/>
          <w:szCs w:val="20"/>
          <w:lang w:val="fr-CA"/>
        </w:rPr>
      </w:pPr>
    </w:p>
    <w:p w:rsidR="00EE52C9" w:rsidRPr="00EE52C9" w:rsidRDefault="00EE52C9" w:rsidP="008665DE">
      <w:pPr>
        <w:pStyle w:val="ListParagraph"/>
        <w:widowControl w:val="0"/>
        <w:numPr>
          <w:ilvl w:val="0"/>
          <w:numId w:val="1"/>
        </w:numPr>
        <w:ind w:hanging="720"/>
        <w:jc w:val="both"/>
        <w:rPr>
          <w:sz w:val="20"/>
          <w:szCs w:val="20"/>
        </w:rPr>
      </w:pPr>
      <w:r>
        <w:rPr>
          <w:i/>
          <w:sz w:val="20"/>
          <w:szCs w:val="20"/>
        </w:rPr>
        <w:t>Malakias Gerald Swales v. Her Majesty the Queen</w:t>
      </w:r>
      <w:r>
        <w:rPr>
          <w:sz w:val="20"/>
          <w:szCs w:val="20"/>
        </w:rPr>
        <w:t xml:space="preserve"> (B.C.) (Crim.) (By Leave) (36862)</w:t>
      </w:r>
    </w:p>
    <w:p w:rsidR="00CB3520" w:rsidRPr="00C50A5C" w:rsidRDefault="00CB3520" w:rsidP="008665DE">
      <w:pPr>
        <w:widowControl w:val="0"/>
        <w:ind w:left="720"/>
        <w:jc w:val="both"/>
        <w:rPr>
          <w:sz w:val="20"/>
          <w:szCs w:val="20"/>
        </w:rPr>
      </w:pPr>
    </w:p>
    <w:p w:rsidR="00CB3520" w:rsidRDefault="00EE52C9" w:rsidP="008665DE">
      <w:pPr>
        <w:pStyle w:val="ListParagraph"/>
        <w:widowControl w:val="0"/>
        <w:numPr>
          <w:ilvl w:val="0"/>
          <w:numId w:val="1"/>
        </w:numPr>
        <w:ind w:hanging="720"/>
        <w:jc w:val="both"/>
        <w:rPr>
          <w:sz w:val="20"/>
          <w:szCs w:val="20"/>
        </w:rPr>
      </w:pPr>
      <w:r w:rsidRPr="008F5F9D">
        <w:rPr>
          <w:i/>
          <w:sz w:val="20"/>
          <w:szCs w:val="20"/>
        </w:rPr>
        <w:t xml:space="preserve">Taseko Mines Limited v. </w:t>
      </w:r>
      <w:r w:rsidR="008F5F9D" w:rsidRPr="008F5F9D">
        <w:rPr>
          <w:i/>
          <w:sz w:val="20"/>
          <w:szCs w:val="20"/>
        </w:rPr>
        <w:t>Minister of the Environment</w:t>
      </w:r>
      <w:r w:rsidRPr="008F5F9D">
        <w:rPr>
          <w:i/>
          <w:sz w:val="20"/>
          <w:szCs w:val="20"/>
        </w:rPr>
        <w:t xml:space="preserve"> et al. </w:t>
      </w:r>
      <w:r w:rsidRPr="00EE52C9">
        <w:rPr>
          <w:sz w:val="20"/>
          <w:szCs w:val="20"/>
        </w:rPr>
        <w:t>(F.C.) (Civil) (By Leave) (36807)</w:t>
      </w:r>
    </w:p>
    <w:p w:rsidR="009B4FD9" w:rsidRPr="009B4FD9" w:rsidRDefault="009B4FD9" w:rsidP="008665DE">
      <w:pPr>
        <w:pStyle w:val="ListParagraph"/>
        <w:rPr>
          <w:sz w:val="20"/>
          <w:szCs w:val="20"/>
        </w:rPr>
      </w:pPr>
    </w:p>
    <w:p w:rsidR="009B4FD9" w:rsidRPr="009B4FD9" w:rsidRDefault="009B4FD9" w:rsidP="008665DE">
      <w:pPr>
        <w:pStyle w:val="ListParagraph"/>
        <w:rPr>
          <w:sz w:val="20"/>
          <w:szCs w:val="20"/>
        </w:rPr>
      </w:pPr>
    </w:p>
    <w:p w:rsidR="009B4FD9" w:rsidRPr="00C50A5C" w:rsidRDefault="009B4FD9" w:rsidP="008665DE">
      <w:pPr>
        <w:widowControl w:val="0"/>
        <w:ind w:left="720"/>
        <w:jc w:val="center"/>
        <w:rPr>
          <w:b/>
          <w:sz w:val="20"/>
          <w:szCs w:val="20"/>
        </w:rPr>
      </w:pPr>
      <w:r w:rsidRPr="00C50A5C">
        <w:rPr>
          <w:b/>
          <w:sz w:val="20"/>
          <w:szCs w:val="20"/>
        </w:rPr>
        <w:t xml:space="preserve">CORAM:  Chief Justice McLachlin and </w:t>
      </w:r>
      <w:r>
        <w:rPr>
          <w:b/>
          <w:sz w:val="20"/>
          <w:szCs w:val="20"/>
        </w:rPr>
        <w:t>Abella</w:t>
      </w:r>
      <w:r w:rsidRPr="00C50A5C">
        <w:rPr>
          <w:b/>
          <w:sz w:val="20"/>
          <w:szCs w:val="20"/>
        </w:rPr>
        <w:t xml:space="preserve"> and </w:t>
      </w:r>
      <w:r>
        <w:rPr>
          <w:b/>
          <w:sz w:val="20"/>
          <w:szCs w:val="20"/>
        </w:rPr>
        <w:t xml:space="preserve">Moldaver </w:t>
      </w:r>
      <w:r w:rsidRPr="00C50A5C">
        <w:rPr>
          <w:b/>
          <w:sz w:val="20"/>
          <w:szCs w:val="20"/>
        </w:rPr>
        <w:t>JJ.</w:t>
      </w:r>
    </w:p>
    <w:p w:rsidR="009B4FD9" w:rsidRPr="00C50A5C" w:rsidRDefault="009B4FD9" w:rsidP="008665DE">
      <w:pPr>
        <w:widowControl w:val="0"/>
        <w:ind w:left="720"/>
        <w:jc w:val="center"/>
        <w:rPr>
          <w:sz w:val="20"/>
          <w:szCs w:val="20"/>
          <w:lang w:val="fr-CA"/>
        </w:rPr>
      </w:pPr>
      <w:r w:rsidRPr="00C50A5C">
        <w:rPr>
          <w:b/>
          <w:sz w:val="20"/>
          <w:szCs w:val="20"/>
          <w:lang w:val="fr-CA"/>
        </w:rPr>
        <w:t>La juge en chef McLachlin et les juges</w:t>
      </w:r>
      <w:r>
        <w:rPr>
          <w:b/>
          <w:sz w:val="20"/>
          <w:szCs w:val="20"/>
          <w:lang w:val="fr-CA"/>
        </w:rPr>
        <w:t xml:space="preserve"> Abella</w:t>
      </w:r>
      <w:r w:rsidRPr="00C50A5C">
        <w:rPr>
          <w:b/>
          <w:sz w:val="20"/>
          <w:szCs w:val="20"/>
          <w:lang w:val="fr-CA"/>
        </w:rPr>
        <w:t xml:space="preserve"> et </w:t>
      </w:r>
      <w:r>
        <w:rPr>
          <w:b/>
          <w:sz w:val="20"/>
          <w:szCs w:val="20"/>
          <w:lang w:val="fr-CA"/>
        </w:rPr>
        <w:t>Moldaver</w:t>
      </w:r>
    </w:p>
    <w:p w:rsidR="00EE52C9" w:rsidRPr="009B4FD9" w:rsidRDefault="00EE52C9" w:rsidP="008665DE">
      <w:pPr>
        <w:pStyle w:val="ListParagraph"/>
        <w:rPr>
          <w:sz w:val="20"/>
          <w:szCs w:val="20"/>
          <w:lang w:val="fr-CA"/>
        </w:rPr>
      </w:pPr>
    </w:p>
    <w:p w:rsidR="00EE52C9" w:rsidRPr="00EE52C9" w:rsidRDefault="00EE52C9" w:rsidP="008665DE">
      <w:pPr>
        <w:pStyle w:val="ListParagraph"/>
        <w:widowControl w:val="0"/>
        <w:numPr>
          <w:ilvl w:val="0"/>
          <w:numId w:val="1"/>
        </w:numPr>
        <w:ind w:hanging="720"/>
        <w:jc w:val="both"/>
        <w:rPr>
          <w:sz w:val="20"/>
          <w:szCs w:val="20"/>
        </w:rPr>
      </w:pPr>
      <w:r>
        <w:rPr>
          <w:i/>
          <w:sz w:val="20"/>
          <w:szCs w:val="20"/>
        </w:rPr>
        <w:t xml:space="preserve">Slawomir Poplawski v. McGill University </w:t>
      </w:r>
      <w:r>
        <w:rPr>
          <w:sz w:val="20"/>
          <w:szCs w:val="20"/>
        </w:rPr>
        <w:t>(Que.) (Civil) (By Leave) (36749)</w:t>
      </w:r>
    </w:p>
    <w:p w:rsidR="00CB3520" w:rsidRDefault="00CB3520" w:rsidP="008665DE">
      <w:pPr>
        <w:widowControl w:val="0"/>
        <w:ind w:left="720"/>
        <w:rPr>
          <w:sz w:val="20"/>
          <w:szCs w:val="20"/>
        </w:rPr>
      </w:pPr>
    </w:p>
    <w:p w:rsidR="009B4FD9" w:rsidRPr="00EE52C9" w:rsidRDefault="009B4FD9" w:rsidP="008665DE">
      <w:pPr>
        <w:widowControl w:val="0"/>
        <w:ind w:left="720"/>
        <w:rPr>
          <w:sz w:val="20"/>
          <w:szCs w:val="20"/>
        </w:rPr>
      </w:pPr>
    </w:p>
    <w:p w:rsidR="00CB3520" w:rsidRPr="00EE52C9" w:rsidRDefault="00CB3520" w:rsidP="008665DE">
      <w:pPr>
        <w:widowControl w:val="0"/>
        <w:ind w:left="720"/>
        <w:jc w:val="center"/>
        <w:rPr>
          <w:b/>
          <w:sz w:val="20"/>
          <w:szCs w:val="20"/>
        </w:rPr>
      </w:pPr>
      <w:r w:rsidRPr="00EE52C9">
        <w:rPr>
          <w:b/>
          <w:sz w:val="20"/>
          <w:szCs w:val="20"/>
        </w:rPr>
        <w:t xml:space="preserve">CORAM: </w:t>
      </w:r>
      <w:r w:rsidR="00FA3373" w:rsidRPr="00EE52C9">
        <w:rPr>
          <w:b/>
          <w:sz w:val="20"/>
          <w:szCs w:val="20"/>
        </w:rPr>
        <w:t>Abella</w:t>
      </w:r>
      <w:r w:rsidRPr="00EE52C9">
        <w:rPr>
          <w:b/>
          <w:sz w:val="20"/>
          <w:szCs w:val="20"/>
        </w:rPr>
        <w:t xml:space="preserve">, Karakatsanis and </w:t>
      </w:r>
      <w:r w:rsidR="00EE52C9" w:rsidRPr="00EE52C9">
        <w:rPr>
          <w:b/>
          <w:sz w:val="20"/>
          <w:szCs w:val="20"/>
        </w:rPr>
        <w:t>Brown</w:t>
      </w:r>
      <w:r w:rsidRPr="00EE52C9">
        <w:rPr>
          <w:b/>
          <w:sz w:val="20"/>
          <w:szCs w:val="20"/>
        </w:rPr>
        <w:t xml:space="preserve"> JJ.</w:t>
      </w:r>
    </w:p>
    <w:p w:rsidR="00CB3520" w:rsidRPr="00C50A5C" w:rsidRDefault="00CB3520" w:rsidP="008665DE">
      <w:pPr>
        <w:widowControl w:val="0"/>
        <w:ind w:left="720"/>
        <w:jc w:val="center"/>
        <w:rPr>
          <w:b/>
          <w:sz w:val="20"/>
          <w:szCs w:val="20"/>
          <w:lang w:val="fr-CA"/>
        </w:rPr>
      </w:pPr>
      <w:r w:rsidRPr="00C50A5C">
        <w:rPr>
          <w:b/>
          <w:sz w:val="20"/>
          <w:szCs w:val="20"/>
          <w:lang w:val="fr-CA"/>
        </w:rPr>
        <w:t xml:space="preserve">Les juges </w:t>
      </w:r>
      <w:r w:rsidR="00FA3373">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sidR="00EE52C9">
        <w:rPr>
          <w:b/>
          <w:sz w:val="20"/>
          <w:szCs w:val="20"/>
          <w:lang w:val="fr-CA"/>
        </w:rPr>
        <w:t>Brown</w:t>
      </w:r>
    </w:p>
    <w:p w:rsidR="00CB3520" w:rsidRPr="00C16CB3" w:rsidRDefault="00CB3520" w:rsidP="008665DE">
      <w:pPr>
        <w:widowControl w:val="0"/>
        <w:ind w:left="720"/>
        <w:jc w:val="both"/>
        <w:rPr>
          <w:sz w:val="20"/>
          <w:szCs w:val="20"/>
          <w:lang w:val="fr-CA"/>
        </w:rPr>
      </w:pPr>
    </w:p>
    <w:p w:rsidR="00CB3520" w:rsidRPr="00EE52C9" w:rsidRDefault="00EE52C9" w:rsidP="008665DE">
      <w:pPr>
        <w:pStyle w:val="ListParagraph"/>
        <w:widowControl w:val="0"/>
        <w:numPr>
          <w:ilvl w:val="0"/>
          <w:numId w:val="1"/>
        </w:numPr>
        <w:ind w:hanging="720"/>
        <w:jc w:val="both"/>
        <w:rPr>
          <w:sz w:val="20"/>
          <w:szCs w:val="20"/>
        </w:rPr>
      </w:pPr>
      <w:r>
        <w:rPr>
          <w:i/>
          <w:sz w:val="20"/>
          <w:szCs w:val="20"/>
        </w:rPr>
        <w:t xml:space="preserve">David A. Jackson v. Her Majesty the Queen et al. </w:t>
      </w:r>
      <w:r>
        <w:rPr>
          <w:sz w:val="20"/>
          <w:szCs w:val="20"/>
        </w:rPr>
        <w:t>(Ont.) (Crim.) (By Leave) (36829)</w:t>
      </w:r>
    </w:p>
    <w:p w:rsidR="00CB3520" w:rsidRPr="00EE52C9" w:rsidRDefault="00CB3520" w:rsidP="008665DE">
      <w:pPr>
        <w:widowControl w:val="0"/>
        <w:ind w:left="720"/>
        <w:jc w:val="both"/>
        <w:rPr>
          <w:sz w:val="20"/>
          <w:szCs w:val="20"/>
        </w:rPr>
      </w:pPr>
    </w:p>
    <w:p w:rsidR="00CB3520" w:rsidRDefault="00EE52C9" w:rsidP="008665DE">
      <w:pPr>
        <w:pStyle w:val="ListParagraph"/>
        <w:widowControl w:val="0"/>
        <w:numPr>
          <w:ilvl w:val="0"/>
          <w:numId w:val="1"/>
        </w:numPr>
        <w:ind w:hanging="720"/>
        <w:jc w:val="both"/>
        <w:rPr>
          <w:sz w:val="20"/>
          <w:szCs w:val="20"/>
        </w:rPr>
      </w:pPr>
      <w:r>
        <w:rPr>
          <w:i/>
          <w:sz w:val="20"/>
          <w:szCs w:val="20"/>
        </w:rPr>
        <w:t>The Federation of Ontario Traditional Chinese Medicine Association, A.K.A. the Committee of Traditional Chinese Medicine Practitioners and Acupuncturists of Ontario et al.</w:t>
      </w:r>
      <w:r w:rsidR="005802DB">
        <w:rPr>
          <w:i/>
          <w:sz w:val="20"/>
          <w:szCs w:val="20"/>
        </w:rPr>
        <w:t xml:space="preserve"> v. College of Traditional Chinese Medicine Practitioners and Acupuncturists of Ontario</w:t>
      </w:r>
      <w:r>
        <w:rPr>
          <w:i/>
          <w:sz w:val="20"/>
          <w:szCs w:val="20"/>
        </w:rPr>
        <w:t xml:space="preserve"> </w:t>
      </w:r>
      <w:r>
        <w:rPr>
          <w:sz w:val="20"/>
          <w:szCs w:val="20"/>
        </w:rPr>
        <w:t>(Ont.) (C</w:t>
      </w:r>
      <w:r w:rsidR="008F5F9D">
        <w:rPr>
          <w:sz w:val="20"/>
          <w:szCs w:val="20"/>
        </w:rPr>
        <w:t>ivil</w:t>
      </w:r>
      <w:r>
        <w:rPr>
          <w:sz w:val="20"/>
          <w:szCs w:val="20"/>
        </w:rPr>
        <w:t>) (By Leave) (36832)</w:t>
      </w:r>
    </w:p>
    <w:p w:rsidR="00EE52C9" w:rsidRPr="00EE52C9" w:rsidRDefault="00EE52C9" w:rsidP="008665DE">
      <w:pPr>
        <w:pStyle w:val="ListParagraph"/>
        <w:rPr>
          <w:sz w:val="20"/>
          <w:szCs w:val="20"/>
        </w:rPr>
      </w:pPr>
    </w:p>
    <w:p w:rsidR="00EE52C9" w:rsidRDefault="00EE52C9" w:rsidP="008665DE">
      <w:pPr>
        <w:pStyle w:val="ListParagraph"/>
        <w:widowControl w:val="0"/>
        <w:numPr>
          <w:ilvl w:val="0"/>
          <w:numId w:val="1"/>
        </w:numPr>
        <w:ind w:hanging="720"/>
        <w:jc w:val="both"/>
        <w:rPr>
          <w:sz w:val="20"/>
          <w:szCs w:val="20"/>
        </w:rPr>
      </w:pPr>
      <w:r>
        <w:rPr>
          <w:i/>
          <w:sz w:val="20"/>
          <w:szCs w:val="20"/>
        </w:rPr>
        <w:t xml:space="preserve">Ramesh Mehta v. Harbans Singh Sidhu </w:t>
      </w:r>
      <w:r>
        <w:rPr>
          <w:sz w:val="20"/>
          <w:szCs w:val="20"/>
        </w:rPr>
        <w:t>(Ont.) (Civil) (By Leave) (36880)</w:t>
      </w:r>
    </w:p>
    <w:p w:rsidR="00EE52C9" w:rsidRPr="00EE52C9" w:rsidRDefault="00EE52C9" w:rsidP="008665DE">
      <w:pPr>
        <w:pStyle w:val="ListParagraph"/>
        <w:rPr>
          <w:sz w:val="20"/>
          <w:szCs w:val="20"/>
        </w:rPr>
      </w:pPr>
    </w:p>
    <w:p w:rsidR="00EE52C9" w:rsidRDefault="00EE52C9" w:rsidP="008665DE">
      <w:pPr>
        <w:pStyle w:val="ListParagraph"/>
        <w:widowControl w:val="0"/>
        <w:numPr>
          <w:ilvl w:val="0"/>
          <w:numId w:val="1"/>
        </w:numPr>
        <w:ind w:hanging="720"/>
        <w:jc w:val="both"/>
        <w:rPr>
          <w:sz w:val="20"/>
          <w:szCs w:val="20"/>
        </w:rPr>
      </w:pPr>
      <w:r>
        <w:rPr>
          <w:i/>
          <w:sz w:val="20"/>
          <w:szCs w:val="20"/>
        </w:rPr>
        <w:t xml:space="preserve">John Thordarson et al. v. Midwest Properties Ltd. </w:t>
      </w:r>
      <w:r>
        <w:rPr>
          <w:sz w:val="20"/>
          <w:szCs w:val="20"/>
        </w:rPr>
        <w:t>(Ont.) (Civil) (By Leave) (36820)</w:t>
      </w:r>
    </w:p>
    <w:p w:rsidR="00EE52C9" w:rsidRPr="00EE52C9" w:rsidRDefault="00EE52C9" w:rsidP="008665DE">
      <w:pPr>
        <w:widowControl w:val="0"/>
        <w:ind w:left="720"/>
        <w:jc w:val="both"/>
        <w:rPr>
          <w:sz w:val="20"/>
          <w:szCs w:val="20"/>
        </w:rPr>
      </w:pPr>
    </w:p>
    <w:p w:rsidR="00CB3520" w:rsidRDefault="00CB3520" w:rsidP="008665DE">
      <w:pPr>
        <w:widowControl w:val="0"/>
        <w:ind w:left="720"/>
        <w:jc w:val="both"/>
        <w:rPr>
          <w:sz w:val="20"/>
          <w:szCs w:val="20"/>
        </w:rPr>
      </w:pPr>
    </w:p>
    <w:p w:rsidR="00CB3520" w:rsidRPr="00C50A5C" w:rsidRDefault="00CB3520" w:rsidP="008665DE">
      <w:pPr>
        <w:widowControl w:val="0"/>
        <w:ind w:left="720"/>
        <w:jc w:val="center"/>
        <w:rPr>
          <w:b/>
          <w:sz w:val="20"/>
          <w:szCs w:val="20"/>
        </w:rPr>
      </w:pPr>
      <w:r w:rsidRPr="00C50A5C">
        <w:rPr>
          <w:b/>
          <w:sz w:val="20"/>
          <w:szCs w:val="20"/>
        </w:rPr>
        <w:t xml:space="preserve">CORAM: </w:t>
      </w:r>
      <w:r w:rsidR="00EE52C9">
        <w:rPr>
          <w:b/>
          <w:sz w:val="20"/>
          <w:szCs w:val="20"/>
        </w:rPr>
        <w:t xml:space="preserve">Cromwell, Wagner </w:t>
      </w:r>
      <w:r w:rsidRPr="00C50A5C">
        <w:rPr>
          <w:b/>
          <w:sz w:val="20"/>
          <w:szCs w:val="20"/>
        </w:rPr>
        <w:t xml:space="preserve">and </w:t>
      </w:r>
      <w:r w:rsidR="00EE52C9">
        <w:rPr>
          <w:b/>
          <w:sz w:val="20"/>
          <w:szCs w:val="20"/>
        </w:rPr>
        <w:t>Côté</w:t>
      </w:r>
      <w:r w:rsidRPr="00C50A5C">
        <w:rPr>
          <w:b/>
          <w:sz w:val="20"/>
          <w:szCs w:val="20"/>
        </w:rPr>
        <w:t xml:space="preserve"> JJ.</w:t>
      </w:r>
    </w:p>
    <w:p w:rsidR="00CB3520" w:rsidRPr="00EE52C9" w:rsidRDefault="00CB3520" w:rsidP="008665DE">
      <w:pPr>
        <w:widowControl w:val="0"/>
        <w:ind w:left="720"/>
        <w:jc w:val="center"/>
        <w:rPr>
          <w:b/>
          <w:sz w:val="20"/>
          <w:szCs w:val="20"/>
          <w:lang w:val="fr-CA"/>
        </w:rPr>
      </w:pPr>
      <w:r w:rsidRPr="00EE52C9">
        <w:rPr>
          <w:b/>
          <w:sz w:val="20"/>
          <w:szCs w:val="20"/>
          <w:lang w:val="fr-CA"/>
        </w:rPr>
        <w:t xml:space="preserve">Les juges </w:t>
      </w:r>
      <w:r w:rsidR="00FA3373" w:rsidRPr="00EE52C9">
        <w:rPr>
          <w:b/>
          <w:sz w:val="20"/>
          <w:szCs w:val="20"/>
          <w:lang w:val="fr-CA"/>
        </w:rPr>
        <w:t>Cromwell</w:t>
      </w:r>
      <w:r w:rsidR="00EE52C9" w:rsidRPr="00EE52C9">
        <w:rPr>
          <w:b/>
          <w:sz w:val="20"/>
          <w:szCs w:val="20"/>
          <w:lang w:val="fr-CA"/>
        </w:rPr>
        <w:t>, Wagner</w:t>
      </w:r>
      <w:r w:rsidR="00FA3373" w:rsidRPr="00EE52C9">
        <w:rPr>
          <w:b/>
          <w:sz w:val="20"/>
          <w:szCs w:val="20"/>
          <w:lang w:val="fr-CA"/>
        </w:rPr>
        <w:t xml:space="preserve"> </w:t>
      </w:r>
      <w:r w:rsidRPr="00EE52C9">
        <w:rPr>
          <w:b/>
          <w:sz w:val="20"/>
          <w:szCs w:val="20"/>
          <w:lang w:val="fr-CA"/>
        </w:rPr>
        <w:t xml:space="preserve">et </w:t>
      </w:r>
      <w:r w:rsidR="00EE52C9">
        <w:rPr>
          <w:b/>
          <w:sz w:val="20"/>
          <w:szCs w:val="20"/>
          <w:lang w:val="fr-CA"/>
        </w:rPr>
        <w:t>Côté</w:t>
      </w:r>
    </w:p>
    <w:p w:rsidR="00CB3520" w:rsidRPr="00EE52C9" w:rsidRDefault="00CB3520" w:rsidP="008665DE">
      <w:pPr>
        <w:widowControl w:val="0"/>
        <w:ind w:left="720"/>
        <w:jc w:val="both"/>
        <w:rPr>
          <w:sz w:val="20"/>
          <w:szCs w:val="20"/>
          <w:lang w:val="fr-CA"/>
        </w:rPr>
      </w:pPr>
    </w:p>
    <w:p w:rsidR="00CB3520" w:rsidRDefault="00EE52C9" w:rsidP="008665DE">
      <w:pPr>
        <w:pStyle w:val="ListParagraph"/>
        <w:widowControl w:val="0"/>
        <w:numPr>
          <w:ilvl w:val="0"/>
          <w:numId w:val="1"/>
        </w:numPr>
        <w:ind w:hanging="720"/>
        <w:jc w:val="both"/>
        <w:rPr>
          <w:i/>
          <w:sz w:val="20"/>
          <w:szCs w:val="20"/>
        </w:rPr>
      </w:pPr>
      <w:r>
        <w:rPr>
          <w:i/>
          <w:sz w:val="20"/>
          <w:szCs w:val="20"/>
        </w:rPr>
        <w:t xml:space="preserve">F. Mary Mikhail et al. v. Kenneth E. </w:t>
      </w:r>
      <w:r w:rsidR="008F5F9D">
        <w:rPr>
          <w:i/>
          <w:sz w:val="20"/>
          <w:szCs w:val="20"/>
        </w:rPr>
        <w:t>Howie</w:t>
      </w:r>
      <w:r>
        <w:rPr>
          <w:i/>
          <w:sz w:val="20"/>
          <w:szCs w:val="20"/>
        </w:rPr>
        <w:t xml:space="preserve"> et al.</w:t>
      </w:r>
      <w:r>
        <w:rPr>
          <w:sz w:val="20"/>
          <w:szCs w:val="20"/>
        </w:rPr>
        <w:t xml:space="preserve"> (Ont.) (Civil) (By Leave) (36873)</w:t>
      </w:r>
    </w:p>
    <w:p w:rsidR="00EE52C9" w:rsidRPr="00EE52C9" w:rsidRDefault="00EE52C9" w:rsidP="008665DE">
      <w:pPr>
        <w:pStyle w:val="ListParagraph"/>
        <w:widowControl w:val="0"/>
        <w:ind w:left="540"/>
        <w:jc w:val="both"/>
        <w:rPr>
          <w:i/>
          <w:sz w:val="20"/>
          <w:szCs w:val="20"/>
        </w:rPr>
      </w:pPr>
    </w:p>
    <w:p w:rsidR="002E2327" w:rsidRDefault="00EE52C9" w:rsidP="008665DE">
      <w:pPr>
        <w:pStyle w:val="ListParagraph"/>
        <w:widowControl w:val="0"/>
        <w:numPr>
          <w:ilvl w:val="0"/>
          <w:numId w:val="1"/>
        </w:numPr>
        <w:ind w:hanging="720"/>
        <w:jc w:val="both"/>
        <w:rPr>
          <w:sz w:val="20"/>
          <w:szCs w:val="20"/>
        </w:rPr>
      </w:pPr>
      <w:r>
        <w:rPr>
          <w:i/>
          <w:sz w:val="20"/>
          <w:szCs w:val="20"/>
        </w:rPr>
        <w:t xml:space="preserve">Tido Lu et al. v. Chinese Kuomingtang of Canada (Montreal Branch) Inc. et al. </w:t>
      </w:r>
      <w:r>
        <w:rPr>
          <w:sz w:val="20"/>
          <w:szCs w:val="20"/>
        </w:rPr>
        <w:t>(Que.) (Civil) (By Leave) (36901)</w:t>
      </w:r>
    </w:p>
    <w:p w:rsidR="00EE52C9" w:rsidRPr="00EE52C9" w:rsidRDefault="00EE52C9" w:rsidP="008665DE">
      <w:pPr>
        <w:pStyle w:val="ListParagraph"/>
        <w:rPr>
          <w:sz w:val="20"/>
          <w:szCs w:val="20"/>
        </w:rPr>
      </w:pPr>
    </w:p>
    <w:p w:rsidR="00EE52C9" w:rsidRDefault="00EE52C9" w:rsidP="008665DE">
      <w:pPr>
        <w:pStyle w:val="ListParagraph"/>
        <w:widowControl w:val="0"/>
        <w:numPr>
          <w:ilvl w:val="0"/>
          <w:numId w:val="1"/>
        </w:numPr>
        <w:ind w:hanging="720"/>
        <w:jc w:val="both"/>
        <w:rPr>
          <w:sz w:val="20"/>
          <w:szCs w:val="20"/>
          <w:lang w:val="fr-CA"/>
        </w:rPr>
      </w:pPr>
      <w:r w:rsidRPr="00EE52C9">
        <w:rPr>
          <w:i/>
          <w:sz w:val="20"/>
          <w:szCs w:val="20"/>
          <w:lang w:val="fr-CA"/>
        </w:rPr>
        <w:t xml:space="preserve">Agence du revenu du Québec et </w:t>
      </w:r>
      <w:r>
        <w:rPr>
          <w:i/>
          <w:sz w:val="20"/>
          <w:szCs w:val="20"/>
          <w:lang w:val="fr-CA"/>
        </w:rPr>
        <w:t>autres c. Uber Canada Inc.</w:t>
      </w:r>
      <w:r>
        <w:rPr>
          <w:sz w:val="20"/>
          <w:szCs w:val="20"/>
          <w:lang w:val="fr-CA"/>
        </w:rPr>
        <w:t xml:space="preserve"> (Qc) (Civile) (Autorisation) (36882)</w:t>
      </w:r>
    </w:p>
    <w:p w:rsidR="00EE52C9" w:rsidRPr="00EE52C9" w:rsidRDefault="00EE52C9" w:rsidP="00EE52C9">
      <w:pPr>
        <w:widowControl w:val="0"/>
        <w:jc w:val="both"/>
        <w:rPr>
          <w:sz w:val="20"/>
          <w:szCs w:val="20"/>
          <w:lang w:val="fr-CA"/>
        </w:rPr>
      </w:pPr>
    </w:p>
    <w:p w:rsidR="002E2327" w:rsidRPr="00EE52C9" w:rsidRDefault="00D75D0F" w:rsidP="002E2327">
      <w:pPr>
        <w:widowControl w:val="0"/>
        <w:rPr>
          <w:sz w:val="20"/>
          <w:szCs w:val="20"/>
          <w:lang w:val="fr-CA"/>
        </w:rPr>
      </w:pPr>
      <w:r>
        <w:rPr>
          <w:sz w:val="20"/>
          <w:szCs w:val="20"/>
        </w:rPr>
        <w:pict>
          <v:rect id="_x0000_i1038" style="width:2in;height:1pt" o:hrpct="0" o:hralign="center" o:hrstd="t" o:hrnoshade="t" o:hr="t" fillcolor="black [3213]" stroked="f"/>
        </w:pict>
      </w:r>
    </w:p>
    <w:p w:rsidR="00D94028" w:rsidRPr="00EE52C9" w:rsidRDefault="00D94028" w:rsidP="002E2327">
      <w:pPr>
        <w:widowControl w:val="0"/>
        <w:rPr>
          <w:sz w:val="20"/>
          <w:szCs w:val="20"/>
          <w:lang w:val="fr-CA"/>
        </w:rPr>
      </w:pPr>
    </w:p>
    <w:p w:rsidR="00D94028" w:rsidRPr="00EE52C9" w:rsidRDefault="00D94028" w:rsidP="002E2327">
      <w:pPr>
        <w:widowControl w:val="0"/>
        <w:rPr>
          <w:sz w:val="20"/>
          <w:szCs w:val="20"/>
          <w:lang w:val="fr-CA"/>
        </w:rPr>
      </w:pPr>
    </w:p>
    <w:p w:rsidR="00D94028" w:rsidRPr="00EE52C9" w:rsidRDefault="00D94028" w:rsidP="002E2327">
      <w:pPr>
        <w:widowControl w:val="0"/>
        <w:rPr>
          <w:sz w:val="20"/>
          <w:szCs w:val="20"/>
          <w:lang w:val="fr-CA"/>
        </w:rPr>
      </w:pPr>
    </w:p>
    <w:p w:rsidR="0044776A" w:rsidRPr="00EE52C9" w:rsidRDefault="0044776A" w:rsidP="002E2327">
      <w:pPr>
        <w:widowControl w:val="0"/>
        <w:spacing w:line="0" w:lineRule="atLeast"/>
        <w:rPr>
          <w:sz w:val="20"/>
          <w:szCs w:val="20"/>
          <w:lang w:val="fr-CA"/>
        </w:rPr>
        <w:sectPr w:rsidR="0044776A" w:rsidRPr="00EE52C9"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D75D0F"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5435F5" w:rsidP="000E2959">
      <w:pPr>
        <w:rPr>
          <w:b/>
          <w:sz w:val="20"/>
          <w:szCs w:val="20"/>
        </w:rPr>
      </w:pPr>
      <w:r>
        <w:rPr>
          <w:b/>
          <w:sz w:val="20"/>
          <w:szCs w:val="20"/>
        </w:rPr>
        <w:t>APRIL 28</w:t>
      </w:r>
      <w:r w:rsidR="000E2959" w:rsidRPr="00C50A5C">
        <w:rPr>
          <w:b/>
          <w:sz w:val="20"/>
          <w:szCs w:val="20"/>
        </w:rPr>
        <w:t xml:space="preserve">, </w:t>
      </w:r>
      <w:r w:rsidR="0030050B">
        <w:rPr>
          <w:b/>
          <w:sz w:val="20"/>
          <w:szCs w:val="20"/>
        </w:rPr>
        <w:t>2016</w:t>
      </w:r>
      <w:r w:rsidR="000E2959" w:rsidRPr="00C50A5C">
        <w:rPr>
          <w:b/>
          <w:sz w:val="20"/>
          <w:szCs w:val="20"/>
        </w:rPr>
        <w:t xml:space="preserve"> / LE </w:t>
      </w:r>
      <w:r>
        <w:rPr>
          <w:b/>
          <w:sz w:val="20"/>
          <w:szCs w:val="20"/>
        </w:rPr>
        <w:t>28 AVRIL</w:t>
      </w:r>
      <w:r w:rsidR="000E2959" w:rsidRPr="00C50A5C">
        <w:rPr>
          <w:b/>
          <w:sz w:val="20"/>
          <w:szCs w:val="20"/>
        </w:rPr>
        <w:t xml:space="preserve"> </w:t>
      </w:r>
      <w:r w:rsidR="0030050B">
        <w:rPr>
          <w:b/>
          <w:sz w:val="20"/>
          <w:szCs w:val="20"/>
        </w:rPr>
        <w:t>2016</w:t>
      </w:r>
    </w:p>
    <w:p w:rsidR="000E295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8B6D36" w:rsidRPr="00770BAE" w:rsidTr="008B6D36">
        <w:trPr>
          <w:cantSplit/>
        </w:trPr>
        <w:tc>
          <w:tcPr>
            <w:tcW w:w="1458" w:type="dxa"/>
          </w:tcPr>
          <w:p w:rsidR="008B6D36" w:rsidRPr="00770BAE" w:rsidRDefault="005435F5" w:rsidP="008B6D36">
            <w:pPr>
              <w:jc w:val="both"/>
              <w:rPr>
                <w:rFonts w:cs="Times New Roman"/>
                <w:sz w:val="20"/>
                <w:szCs w:val="20"/>
              </w:rPr>
            </w:pPr>
            <w:r w:rsidRPr="00770BAE">
              <w:rPr>
                <w:rStyle w:val="SCCFileNumberChar"/>
                <w:sz w:val="20"/>
                <w:szCs w:val="20"/>
              </w:rPr>
              <w:t>36711</w:t>
            </w:r>
          </w:p>
          <w:p w:rsidR="008B6D36" w:rsidRPr="00770BAE" w:rsidRDefault="008B6D36" w:rsidP="008B6D36">
            <w:pPr>
              <w:jc w:val="both"/>
              <w:rPr>
                <w:rFonts w:cs="Times New Roman"/>
                <w:b/>
                <w:sz w:val="20"/>
                <w:szCs w:val="20"/>
              </w:rPr>
            </w:pPr>
          </w:p>
        </w:tc>
        <w:tc>
          <w:tcPr>
            <w:tcW w:w="8118" w:type="dxa"/>
            <w:gridSpan w:val="3"/>
          </w:tcPr>
          <w:p w:rsidR="008B6D36" w:rsidRPr="00770BAE" w:rsidRDefault="005435F5" w:rsidP="008B6D36">
            <w:pPr>
              <w:jc w:val="both"/>
              <w:rPr>
                <w:rFonts w:cs="Times New Roman"/>
                <w:sz w:val="20"/>
                <w:szCs w:val="20"/>
              </w:rPr>
            </w:pPr>
            <w:r w:rsidRPr="00770BAE">
              <w:rPr>
                <w:rStyle w:val="SCCLsocChar"/>
                <w:rFonts w:cs="Times New Roman"/>
                <w:sz w:val="20"/>
                <w:szCs w:val="20"/>
                <w:lang w:val="en-CA"/>
              </w:rPr>
              <w:t xml:space="preserve">Greenpeace Canada, Lake Ontario Waterkeeper, Northwatch and Canadian Environmental Law Association v. Ontario Power Generation Inc. - and between - Greenpeace Canada and Canadian Environmental Law Association v. Ontario Power Generation Inc. - and between - Greenpeace Canada, Lake Ontario Waterkeeper, Northwatch and Canadian Environmental Law Association v. Canadian Nuclear Safety Commission </w:t>
            </w:r>
            <w:r w:rsidR="003B17D6">
              <w:rPr>
                <w:rStyle w:val="SCCLsocChar"/>
                <w:rFonts w:cs="Times New Roman"/>
                <w:sz w:val="20"/>
                <w:szCs w:val="20"/>
                <w:lang w:val="en-CA"/>
              </w:rPr>
              <w:t>-</w:t>
            </w:r>
            <w:r w:rsidRPr="00770BAE">
              <w:rPr>
                <w:rStyle w:val="SCCLsocChar"/>
                <w:rFonts w:cs="Times New Roman"/>
                <w:sz w:val="20"/>
                <w:szCs w:val="20"/>
                <w:lang w:val="en-CA"/>
              </w:rPr>
              <w:t xml:space="preserve"> and between - Greenpeace Canada, Lake Ontario Waterkeeper, Northwatch and Canadian Environmental Law Association v. Attorney General of Canada, Minister of the Environment, Minister of Fisheries and Oc</w:t>
            </w:r>
            <w:r w:rsidR="003B17D6">
              <w:rPr>
                <w:rStyle w:val="SCCLsocChar"/>
                <w:rFonts w:cs="Times New Roman"/>
                <w:sz w:val="20"/>
                <w:szCs w:val="20"/>
                <w:lang w:val="en-CA"/>
              </w:rPr>
              <w:t>eans and Minister of Transport</w:t>
            </w:r>
            <w:r w:rsidRPr="00770BAE">
              <w:rPr>
                <w:rStyle w:val="SCCLsocChar"/>
                <w:rFonts w:cs="Times New Roman"/>
                <w:sz w:val="20"/>
                <w:szCs w:val="20"/>
                <w:lang w:val="en-CA"/>
              </w:rPr>
              <w:t xml:space="preserve"> - and between - Greenpeace Canada and Canadian Environmental Law Association v. Attorney General of Canada</w:t>
            </w:r>
            <w:r w:rsidRPr="00770BAE">
              <w:rPr>
                <w:rStyle w:val="SCCLsocChar"/>
                <w:rFonts w:cs="Times New Roman"/>
                <w:sz w:val="20"/>
                <w:szCs w:val="20"/>
                <w:u w:val="none"/>
                <w:lang w:val="en-CA"/>
              </w:rPr>
              <w:t xml:space="preserve"> </w:t>
            </w:r>
            <w:r w:rsidR="008B6D36" w:rsidRPr="00770BAE">
              <w:rPr>
                <w:rFonts w:cs="Times New Roman"/>
                <w:sz w:val="20"/>
                <w:szCs w:val="20"/>
              </w:rPr>
              <w:t>(</w:t>
            </w:r>
            <w:r w:rsidR="00770BAE" w:rsidRPr="00770BAE">
              <w:rPr>
                <w:rFonts w:cs="Times New Roman"/>
                <w:sz w:val="20"/>
                <w:szCs w:val="20"/>
              </w:rPr>
              <w:t>F.C.</w:t>
            </w:r>
            <w:r w:rsidR="008B6D36" w:rsidRPr="00770BAE">
              <w:rPr>
                <w:rFonts w:cs="Times New Roman"/>
                <w:sz w:val="20"/>
                <w:szCs w:val="20"/>
              </w:rPr>
              <w:t>) (Civil) (By Leave)</w:t>
            </w:r>
          </w:p>
          <w:p w:rsidR="008B6D36" w:rsidRPr="00770BAE" w:rsidRDefault="008B6D36" w:rsidP="008B6D36">
            <w:pPr>
              <w:jc w:val="both"/>
              <w:rPr>
                <w:rFonts w:cs="Times New Roman"/>
                <w:sz w:val="20"/>
                <w:szCs w:val="20"/>
              </w:rPr>
            </w:pPr>
          </w:p>
        </w:tc>
      </w:tr>
      <w:tr w:rsidR="008B6D36" w:rsidRPr="00770BAE" w:rsidTr="008B6D36">
        <w:trPr>
          <w:cantSplit/>
        </w:trPr>
        <w:tc>
          <w:tcPr>
            <w:tcW w:w="1458" w:type="dxa"/>
          </w:tcPr>
          <w:p w:rsidR="008B6D36" w:rsidRPr="00770BAE" w:rsidRDefault="008B6D36" w:rsidP="008B6D36">
            <w:pPr>
              <w:jc w:val="both"/>
              <w:rPr>
                <w:rFonts w:cs="Times New Roman"/>
                <w:sz w:val="20"/>
                <w:szCs w:val="20"/>
              </w:rPr>
            </w:pPr>
            <w:r w:rsidRPr="00770BAE">
              <w:rPr>
                <w:rFonts w:cs="Times New Roman"/>
                <w:sz w:val="20"/>
                <w:szCs w:val="20"/>
              </w:rPr>
              <w:t>Coram :</w:t>
            </w:r>
          </w:p>
        </w:tc>
        <w:tc>
          <w:tcPr>
            <w:tcW w:w="8118" w:type="dxa"/>
            <w:gridSpan w:val="3"/>
          </w:tcPr>
          <w:p w:rsidR="008B6D36" w:rsidRPr="00770BAE" w:rsidRDefault="005435F5" w:rsidP="008B6D36">
            <w:pPr>
              <w:jc w:val="both"/>
              <w:rPr>
                <w:rStyle w:val="SCCCoramChar"/>
                <w:sz w:val="20"/>
                <w:szCs w:val="20"/>
                <w:lang w:val="en-CA"/>
              </w:rPr>
            </w:pPr>
            <w:r w:rsidRPr="00770BAE">
              <w:rPr>
                <w:rStyle w:val="SCCCoramChar"/>
                <w:sz w:val="20"/>
                <w:szCs w:val="20"/>
                <w:lang w:val="en-CA"/>
              </w:rPr>
              <w:t>Abella, Karakatsanis and Brown JJ.</w:t>
            </w:r>
          </w:p>
          <w:p w:rsidR="005435F5" w:rsidRPr="00770BAE" w:rsidRDefault="005435F5" w:rsidP="008B6D36">
            <w:pPr>
              <w:jc w:val="both"/>
              <w:rPr>
                <w:rFonts w:cs="Times New Roman"/>
                <w:sz w:val="20"/>
                <w:szCs w:val="20"/>
              </w:rPr>
            </w:pPr>
          </w:p>
        </w:tc>
      </w:tr>
      <w:tr w:rsidR="008B6D36" w:rsidRPr="00D75D0F" w:rsidTr="008B6D36">
        <w:trPr>
          <w:cantSplit/>
        </w:trPr>
        <w:tc>
          <w:tcPr>
            <w:tcW w:w="9576" w:type="dxa"/>
            <w:gridSpan w:val="4"/>
          </w:tcPr>
          <w:p w:rsidR="008B6D36" w:rsidRPr="00770BAE" w:rsidRDefault="008B6D36" w:rsidP="008B6D36">
            <w:pPr>
              <w:pStyle w:val="SCCShortJudgment"/>
              <w:ind w:firstLine="0"/>
              <w:rPr>
                <w:rFonts w:cs="Times New Roman"/>
                <w:szCs w:val="20"/>
              </w:rPr>
            </w:pPr>
            <w:r w:rsidRPr="00770BAE">
              <w:rPr>
                <w:rFonts w:cs="Times New Roman"/>
                <w:szCs w:val="20"/>
              </w:rPr>
              <w:tab/>
            </w:r>
            <w:r w:rsidR="00770BAE" w:rsidRPr="00770BAE">
              <w:t>The motion to join three orders into one application for leave to appeal is granted. The application for leave to appeal from the judgment of the</w:t>
            </w:r>
            <w:bookmarkStart w:id="2" w:name="BM_1_"/>
            <w:bookmarkEnd w:id="2"/>
            <w:r w:rsidR="00770BAE" w:rsidRPr="00770BAE">
              <w:t xml:space="preserve"> Federal Court of Appeal, Numbers A-282-14, A-283-14 and A-285-14, 2015 FCA 186, dated September 10, 2015, is dismissed without costs.</w:t>
            </w:r>
          </w:p>
          <w:p w:rsidR="008B6D36" w:rsidRPr="00770BAE" w:rsidRDefault="008B6D36" w:rsidP="008B6D36">
            <w:pPr>
              <w:pStyle w:val="SCCShortJudgment"/>
              <w:ind w:firstLine="0"/>
              <w:rPr>
                <w:rFonts w:cs="Times New Roman"/>
                <w:szCs w:val="20"/>
              </w:rPr>
            </w:pPr>
          </w:p>
          <w:p w:rsidR="008B6D36" w:rsidRPr="00770BAE" w:rsidRDefault="008B6D36" w:rsidP="008B6D36">
            <w:pPr>
              <w:pStyle w:val="SCCShortJudgment"/>
              <w:ind w:firstLine="0"/>
              <w:rPr>
                <w:lang w:val="fr-CA"/>
              </w:rPr>
            </w:pPr>
            <w:r w:rsidRPr="00770BAE">
              <w:rPr>
                <w:rFonts w:cs="Times New Roman"/>
                <w:szCs w:val="20"/>
              </w:rPr>
              <w:tab/>
            </w:r>
            <w:r w:rsidR="00770BAE" w:rsidRPr="00770BAE">
              <w:rPr>
                <w:lang w:val="fr-CA"/>
              </w:rPr>
              <w:t xml:space="preserve">La requête pour joindre trois ordonnances dans une demande d’autorisation d’appel est accueillie. La demande d’autorisation d’appel de l’arrêt de la </w:t>
            </w:r>
            <w:r w:rsidR="00770BAE" w:rsidRPr="00770BAE">
              <w:rPr>
                <w:lang w:val="fr-FR"/>
              </w:rPr>
              <w:t>Cour d’appel fédérale</w:t>
            </w:r>
            <w:r w:rsidR="00770BAE" w:rsidRPr="00770BAE">
              <w:rPr>
                <w:lang w:val="fr-CA"/>
              </w:rPr>
              <w:t xml:space="preserve">, numéros </w:t>
            </w:r>
            <w:r w:rsidR="00770BAE" w:rsidRPr="00770BAE">
              <w:rPr>
                <w:lang w:val="fr-FR"/>
              </w:rPr>
              <w:t>A-282-14, A-283-14 et A-285-14, 2015 FCA 186</w:t>
            </w:r>
            <w:r w:rsidR="00770BAE" w:rsidRPr="00770BAE">
              <w:rPr>
                <w:lang w:val="fr-CA"/>
              </w:rPr>
              <w:t xml:space="preserve">, daté du </w:t>
            </w:r>
            <w:r w:rsidR="00770BAE" w:rsidRPr="00770BAE">
              <w:rPr>
                <w:lang w:val="fr-FR"/>
              </w:rPr>
              <w:t>10 septembre 2015</w:t>
            </w:r>
            <w:r w:rsidR="00770BAE" w:rsidRPr="00770BAE">
              <w:rPr>
                <w:lang w:val="fr-CA"/>
              </w:rPr>
              <w:t xml:space="preserve">, est rejetée sans dépens. </w:t>
            </w:r>
          </w:p>
          <w:p w:rsidR="00770BAE" w:rsidRPr="00770BAE" w:rsidRDefault="00770BAE" w:rsidP="008B6D36">
            <w:pPr>
              <w:pStyle w:val="SCCShortJudgment"/>
              <w:ind w:firstLine="0"/>
              <w:rPr>
                <w:rFonts w:cs="Times New Roman"/>
                <w:szCs w:val="20"/>
                <w:lang w:val="fr-CA"/>
              </w:rPr>
            </w:pPr>
          </w:p>
        </w:tc>
      </w:tr>
      <w:tr w:rsidR="008B6D36" w:rsidRPr="00770BAE" w:rsidTr="008B6D36">
        <w:trPr>
          <w:cantSplit/>
        </w:trPr>
        <w:tc>
          <w:tcPr>
            <w:tcW w:w="9576" w:type="dxa"/>
            <w:gridSpan w:val="4"/>
          </w:tcPr>
          <w:p w:rsidR="008B6D36" w:rsidRPr="00770BAE" w:rsidRDefault="008B6D36" w:rsidP="008B6D36">
            <w:pPr>
              <w:pStyle w:val="SCCShortJudgment"/>
              <w:ind w:firstLine="0"/>
              <w:rPr>
                <w:rFonts w:cs="Times New Roman"/>
                <w:szCs w:val="20"/>
                <w:u w:val="single"/>
                <w:lang w:val="fr-CA"/>
              </w:rPr>
            </w:pPr>
            <w:r w:rsidRPr="00770BAE">
              <w:rPr>
                <w:rFonts w:cs="Times New Roman"/>
                <w:szCs w:val="20"/>
                <w:u w:val="single"/>
                <w:lang w:val="fr-CA"/>
              </w:rPr>
              <w:t>CASE SUMMARY</w:t>
            </w:r>
          </w:p>
          <w:p w:rsidR="008B6D36" w:rsidRPr="00770BAE" w:rsidRDefault="008B6D36" w:rsidP="008B6D36">
            <w:pPr>
              <w:pStyle w:val="SCCShortJudgment"/>
              <w:ind w:firstLine="0"/>
              <w:rPr>
                <w:rFonts w:cs="Times New Roman"/>
                <w:szCs w:val="20"/>
                <w:lang w:val="fr-CA"/>
              </w:rPr>
            </w:pPr>
          </w:p>
        </w:tc>
      </w:tr>
      <w:tr w:rsidR="008B6D36" w:rsidRPr="00770BAE" w:rsidTr="00770BAE">
        <w:tc>
          <w:tcPr>
            <w:tcW w:w="9576" w:type="dxa"/>
            <w:gridSpan w:val="4"/>
          </w:tcPr>
          <w:p w:rsidR="008B6D36" w:rsidRPr="00770BAE" w:rsidRDefault="00770BAE" w:rsidP="008B6D36">
            <w:pPr>
              <w:pStyle w:val="SCCShortJudgment"/>
              <w:ind w:firstLine="0"/>
              <w:rPr>
                <w:szCs w:val="20"/>
              </w:rPr>
            </w:pPr>
            <w:r w:rsidRPr="00770BAE">
              <w:rPr>
                <w:szCs w:val="20"/>
              </w:rPr>
              <w:t xml:space="preserve">Environmental law — Environmental assessment — Site preparation for nuclear power generation station — Environmental impact statement prepared before reactor technology chosen — Bounding approach used in environmental impact statement — Bounding scenario not provided for all hazardous substances — Environmental assessment panel approved project, provided that proposed mitigation measures were taken, project proponent’s commitments were kept, and Panel’s 67 recommendations were implemented — What is the proper standard for compliance under the </w:t>
            </w:r>
            <w:r w:rsidRPr="00770BAE">
              <w:rPr>
                <w:i/>
                <w:szCs w:val="20"/>
              </w:rPr>
              <w:t>Canadian Environmental Assessment Act</w:t>
            </w:r>
            <w:r w:rsidRPr="00770BAE">
              <w:rPr>
                <w:szCs w:val="20"/>
              </w:rPr>
              <w:t>, S.C. 1992, c. 37 (rep. S.C. 2012, c. 19, s. 66), or other environmental protection legislation — Whether it is sufficient to require review panels or federal authorities to only give “some consideration” to statutory factors — What is the proper approach to the application of the reasonableness standard when reviewing an administrative decision that is made in the absence of supporting evidence?</w:t>
            </w:r>
          </w:p>
          <w:p w:rsidR="00770BAE" w:rsidRPr="00770BAE" w:rsidRDefault="00770BAE" w:rsidP="008B6D36">
            <w:pPr>
              <w:pStyle w:val="SCCShortJudgment"/>
              <w:ind w:firstLine="0"/>
              <w:rPr>
                <w:rFonts w:cs="Times New Roman"/>
                <w:szCs w:val="20"/>
              </w:rPr>
            </w:pPr>
          </w:p>
        </w:tc>
      </w:tr>
      <w:tr w:rsidR="008B6D36" w:rsidRPr="00770BAE" w:rsidTr="00770BAE">
        <w:tc>
          <w:tcPr>
            <w:tcW w:w="9576" w:type="dxa"/>
            <w:gridSpan w:val="4"/>
          </w:tcPr>
          <w:p w:rsidR="00770BAE" w:rsidRPr="00770BAE" w:rsidRDefault="00770BAE" w:rsidP="00770BAE">
            <w:pPr>
              <w:jc w:val="both"/>
              <w:rPr>
                <w:sz w:val="20"/>
                <w:szCs w:val="20"/>
              </w:rPr>
            </w:pPr>
            <w:r w:rsidRPr="00770BAE">
              <w:rPr>
                <w:sz w:val="20"/>
                <w:szCs w:val="20"/>
              </w:rPr>
              <w:t xml:space="preserve">In 2006, Ontario Power Generation (“OPG”) began the approvals process for installing and operating up to four new nuclear power generation units at the existing Darlington Nuclear Generating Station located on the shore of Lake Ontario. It also applied to the Canadian Nuclear Safety Commission for a license to prepare the site for construction. When OPG submitted its Environmental Impact Statement (“EIS”), Ontario had not selected a reactor technology for the project, so the EIS was based on a “bounding approach” — significant design elements were identified and the adverse environmental effects for each option were assessed. However, bounding scenarios were not provided for hazardous substance emissions, on-site chemical inventories. The Panel held public hearings and submitted its Joint Review Panel Environmental Assessment Report to the Minister. The </w:t>
            </w:r>
            <w:r w:rsidRPr="00770BAE">
              <w:rPr>
                <w:i/>
                <w:sz w:val="20"/>
                <w:szCs w:val="20"/>
              </w:rPr>
              <w:t>Canadian Environmental Assessment Act</w:t>
            </w:r>
            <w:r w:rsidRPr="00770BAE">
              <w:rPr>
                <w:sz w:val="20"/>
                <w:szCs w:val="20"/>
              </w:rPr>
              <w:t>, S.C. 1992, c. 37 (rep. S.C. 2012, c. 19, s. 66) (the “CEAA”), s. 16, sets out the matters review panels conducting an environmental assessments are required to consider. The Panel concluded that the project was not likely to cause significant adverse environmental effects, provided that the mitigation measures proposed were taken, the OPG’s commitments were kept, and 67 recommendations were implemented. In its recommendations, it deferred the assessment of storage for spent nuclear fuel and severe common cause accidents until after the reactor technology was chosen. On the strength of the Report, the Panel issued a 10-year licence allowing OPG to prepare the site.</w:t>
            </w:r>
          </w:p>
          <w:p w:rsidR="00770BAE" w:rsidRPr="00770BAE" w:rsidRDefault="00770BAE" w:rsidP="00770BAE">
            <w:pPr>
              <w:rPr>
                <w:sz w:val="20"/>
                <w:szCs w:val="20"/>
              </w:rPr>
            </w:pPr>
          </w:p>
          <w:p w:rsidR="008B6D36" w:rsidRPr="00770BAE" w:rsidRDefault="00770BAE" w:rsidP="00770BAE">
            <w:pPr>
              <w:jc w:val="both"/>
              <w:rPr>
                <w:sz w:val="20"/>
                <w:szCs w:val="20"/>
              </w:rPr>
            </w:pPr>
            <w:r w:rsidRPr="00770BAE">
              <w:rPr>
                <w:sz w:val="20"/>
                <w:szCs w:val="20"/>
              </w:rPr>
              <w:t>The applicants filed an application for judicial review of the Report and another challenging the issuance of the licence. Judicial review of the Report was allowed in part; judicial review concerning the licence was allowed. Three appeals were filed and heard together. The judge was held to have misapplied the reasonableness standard and the Panel’s decision was found to be reasonable.</w:t>
            </w:r>
          </w:p>
          <w:p w:rsidR="00770BAE" w:rsidRPr="00770BAE" w:rsidRDefault="00770BAE" w:rsidP="00770BAE">
            <w:pPr>
              <w:rPr>
                <w:rFonts w:cs="Times New Roman"/>
                <w:szCs w:val="20"/>
              </w:rPr>
            </w:pPr>
          </w:p>
        </w:tc>
      </w:tr>
      <w:tr w:rsidR="008B6D36" w:rsidRPr="00770BAE" w:rsidTr="008B6D36">
        <w:trPr>
          <w:cantSplit/>
        </w:trPr>
        <w:tc>
          <w:tcPr>
            <w:tcW w:w="4410" w:type="dxa"/>
            <w:gridSpan w:val="2"/>
          </w:tcPr>
          <w:p w:rsidR="00770BAE" w:rsidRPr="00770BAE" w:rsidRDefault="00770BAE" w:rsidP="00770BAE">
            <w:pPr>
              <w:rPr>
                <w:sz w:val="20"/>
                <w:szCs w:val="20"/>
              </w:rPr>
            </w:pPr>
            <w:r w:rsidRPr="00770BAE">
              <w:rPr>
                <w:sz w:val="20"/>
                <w:szCs w:val="20"/>
              </w:rPr>
              <w:t>May 14, 2014</w:t>
            </w:r>
          </w:p>
          <w:p w:rsidR="00770BAE" w:rsidRPr="00770BAE" w:rsidRDefault="00770BAE" w:rsidP="00770BAE">
            <w:pPr>
              <w:rPr>
                <w:sz w:val="20"/>
                <w:szCs w:val="20"/>
              </w:rPr>
            </w:pPr>
            <w:r w:rsidRPr="00770BAE">
              <w:rPr>
                <w:sz w:val="20"/>
                <w:szCs w:val="20"/>
              </w:rPr>
              <w:t>Federal Court</w:t>
            </w:r>
          </w:p>
          <w:p w:rsidR="00770BAE" w:rsidRPr="00770BAE" w:rsidRDefault="00770BAE" w:rsidP="00770BAE">
            <w:pPr>
              <w:rPr>
                <w:sz w:val="20"/>
                <w:szCs w:val="20"/>
              </w:rPr>
            </w:pPr>
            <w:r w:rsidRPr="00770BAE">
              <w:rPr>
                <w:sz w:val="20"/>
                <w:szCs w:val="20"/>
              </w:rPr>
              <w:t>(Russell J.)</w:t>
            </w:r>
          </w:p>
          <w:p w:rsidR="00770BAE" w:rsidRPr="00770BAE" w:rsidRDefault="00D75D0F" w:rsidP="00770BAE">
            <w:pPr>
              <w:rPr>
                <w:sz w:val="20"/>
                <w:szCs w:val="20"/>
                <w:u w:val="single"/>
              </w:rPr>
            </w:pPr>
            <w:hyperlink r:id="rId19" w:history="1">
              <w:r w:rsidR="00770BAE" w:rsidRPr="00770BAE">
                <w:rPr>
                  <w:color w:val="0000FF" w:themeColor="hyperlink"/>
                  <w:sz w:val="20"/>
                  <w:szCs w:val="20"/>
                  <w:u w:val="single"/>
                </w:rPr>
                <w:t>2014 FC 463</w:t>
              </w:r>
            </w:hyperlink>
          </w:p>
          <w:p w:rsidR="008B6D36" w:rsidRPr="00770BAE" w:rsidRDefault="008B6D36" w:rsidP="008B6D36">
            <w:pPr>
              <w:jc w:val="both"/>
              <w:rPr>
                <w:rFonts w:cs="Times New Roman"/>
                <w:sz w:val="20"/>
                <w:szCs w:val="20"/>
              </w:rPr>
            </w:pPr>
          </w:p>
        </w:tc>
        <w:tc>
          <w:tcPr>
            <w:tcW w:w="630" w:type="dxa"/>
          </w:tcPr>
          <w:p w:rsidR="008B6D36" w:rsidRPr="00770BAE" w:rsidRDefault="008B6D36" w:rsidP="008B6D36">
            <w:pPr>
              <w:pStyle w:val="SCCShortJudgment"/>
              <w:ind w:firstLine="0"/>
              <w:rPr>
                <w:rFonts w:cs="Times New Roman"/>
                <w:szCs w:val="20"/>
              </w:rPr>
            </w:pPr>
          </w:p>
        </w:tc>
        <w:tc>
          <w:tcPr>
            <w:tcW w:w="4536" w:type="dxa"/>
          </w:tcPr>
          <w:p w:rsidR="00770BAE" w:rsidRPr="00770BAE" w:rsidRDefault="00770BAE" w:rsidP="00770BAE">
            <w:pPr>
              <w:jc w:val="both"/>
              <w:rPr>
                <w:sz w:val="20"/>
                <w:szCs w:val="20"/>
              </w:rPr>
            </w:pPr>
            <w:r w:rsidRPr="00770BAE">
              <w:rPr>
                <w:i/>
                <w:sz w:val="20"/>
                <w:szCs w:val="20"/>
              </w:rPr>
              <w:t>T-1572-11</w:t>
            </w:r>
            <w:r w:rsidRPr="00770BAE">
              <w:rPr>
                <w:sz w:val="20"/>
                <w:szCs w:val="20"/>
              </w:rPr>
              <w:t>: Application for judicial review allowed in part; environmental assessment report returned to Panel for reconsideration of specific issues; declarations that various bodies may not issue approvals, licences, permits, certificates or statutory authorizations  concerning the project until the Panel has completed the reconsideration;</w:t>
            </w:r>
          </w:p>
          <w:p w:rsidR="00770BAE" w:rsidRPr="00770BAE" w:rsidRDefault="00770BAE" w:rsidP="00770BAE">
            <w:pPr>
              <w:jc w:val="both"/>
              <w:rPr>
                <w:sz w:val="20"/>
                <w:szCs w:val="20"/>
              </w:rPr>
            </w:pPr>
            <w:r w:rsidRPr="00770BAE">
              <w:rPr>
                <w:i/>
                <w:sz w:val="20"/>
                <w:szCs w:val="20"/>
              </w:rPr>
              <w:t>T-1723-12</w:t>
            </w:r>
            <w:r w:rsidRPr="00770BAE">
              <w:rPr>
                <w:sz w:val="20"/>
                <w:szCs w:val="20"/>
              </w:rPr>
              <w:t xml:space="preserve">: Applicant’s motion to strike dismissed; application allowed on the ground that the environmental assessment report has yet to fully comply with the </w:t>
            </w:r>
            <w:r w:rsidRPr="00770BAE">
              <w:rPr>
                <w:i/>
                <w:sz w:val="20"/>
                <w:szCs w:val="20"/>
              </w:rPr>
              <w:t>Canadian Environmental Assessment Act</w:t>
            </w:r>
            <w:r w:rsidRPr="00770BAE">
              <w:rPr>
                <w:sz w:val="20"/>
                <w:szCs w:val="20"/>
              </w:rPr>
              <w:t xml:space="preserve"> pursuant to the judgment in T-1572-11; consequently, the Canadian Nuclear Safety Commission’s issuance of the licence is invalid and unlawful, the Commission has no jurisdiction to issue the licence until the CEAA is fully complied with; licence quashed and set aside</w:t>
            </w:r>
          </w:p>
          <w:p w:rsidR="008B6D36" w:rsidRPr="00770BAE" w:rsidRDefault="008B6D36" w:rsidP="008B6D36">
            <w:pPr>
              <w:jc w:val="both"/>
              <w:rPr>
                <w:rFonts w:cs="Times New Roman"/>
                <w:sz w:val="20"/>
                <w:szCs w:val="20"/>
              </w:rPr>
            </w:pPr>
          </w:p>
        </w:tc>
      </w:tr>
      <w:tr w:rsidR="008B6D36" w:rsidRPr="00770BAE" w:rsidTr="008B6D36">
        <w:trPr>
          <w:cantSplit/>
        </w:trPr>
        <w:tc>
          <w:tcPr>
            <w:tcW w:w="4410" w:type="dxa"/>
            <w:gridSpan w:val="2"/>
          </w:tcPr>
          <w:p w:rsidR="00770BAE" w:rsidRPr="00770BAE" w:rsidRDefault="00770BAE" w:rsidP="00770BAE">
            <w:pPr>
              <w:rPr>
                <w:sz w:val="20"/>
                <w:szCs w:val="20"/>
              </w:rPr>
            </w:pPr>
            <w:r w:rsidRPr="00770BAE">
              <w:rPr>
                <w:sz w:val="20"/>
                <w:szCs w:val="20"/>
              </w:rPr>
              <w:t>September 10, 2015</w:t>
            </w:r>
          </w:p>
          <w:p w:rsidR="00770BAE" w:rsidRPr="00770BAE" w:rsidRDefault="00770BAE" w:rsidP="00770BAE">
            <w:pPr>
              <w:rPr>
                <w:sz w:val="20"/>
                <w:szCs w:val="20"/>
              </w:rPr>
            </w:pPr>
            <w:r w:rsidRPr="00770BAE">
              <w:rPr>
                <w:sz w:val="20"/>
                <w:szCs w:val="20"/>
              </w:rPr>
              <w:t>Federal Court of Appeal</w:t>
            </w:r>
          </w:p>
          <w:p w:rsidR="00770BAE" w:rsidRPr="00770BAE" w:rsidRDefault="00770BAE" w:rsidP="00770BAE">
            <w:pPr>
              <w:rPr>
                <w:sz w:val="20"/>
                <w:szCs w:val="20"/>
              </w:rPr>
            </w:pPr>
            <w:r w:rsidRPr="00770BAE">
              <w:rPr>
                <w:sz w:val="20"/>
                <w:szCs w:val="20"/>
              </w:rPr>
              <w:t>(Trudel, Ryer, Rennie JJ.A.)</w:t>
            </w:r>
          </w:p>
          <w:p w:rsidR="00770BAE" w:rsidRPr="00770BAE" w:rsidRDefault="00D75D0F" w:rsidP="00770BAE">
            <w:pPr>
              <w:rPr>
                <w:sz w:val="20"/>
                <w:szCs w:val="20"/>
                <w:u w:val="single"/>
              </w:rPr>
            </w:pPr>
            <w:hyperlink r:id="rId20" w:history="1">
              <w:r w:rsidR="00770BAE" w:rsidRPr="00770BAE">
                <w:rPr>
                  <w:color w:val="0000FF" w:themeColor="hyperlink"/>
                  <w:sz w:val="20"/>
                  <w:szCs w:val="20"/>
                  <w:u w:val="single"/>
                </w:rPr>
                <w:t>2015 FCA 186</w:t>
              </w:r>
            </w:hyperlink>
          </w:p>
          <w:p w:rsidR="008B6D36" w:rsidRPr="00770BAE" w:rsidRDefault="008B6D36" w:rsidP="008B6D36">
            <w:pPr>
              <w:jc w:val="both"/>
              <w:rPr>
                <w:rFonts w:cs="Times New Roman"/>
                <w:sz w:val="20"/>
                <w:szCs w:val="20"/>
              </w:rPr>
            </w:pPr>
          </w:p>
        </w:tc>
        <w:tc>
          <w:tcPr>
            <w:tcW w:w="630" w:type="dxa"/>
          </w:tcPr>
          <w:p w:rsidR="008B6D36" w:rsidRPr="00770BAE" w:rsidRDefault="008B6D36" w:rsidP="008B6D36">
            <w:pPr>
              <w:pStyle w:val="SCCShortJudgment"/>
              <w:ind w:firstLine="0"/>
              <w:rPr>
                <w:rFonts w:cs="Times New Roman"/>
                <w:szCs w:val="20"/>
              </w:rPr>
            </w:pPr>
          </w:p>
        </w:tc>
        <w:tc>
          <w:tcPr>
            <w:tcW w:w="4536" w:type="dxa"/>
          </w:tcPr>
          <w:p w:rsidR="008B6D36" w:rsidRPr="00770BAE" w:rsidRDefault="00770BAE" w:rsidP="008B6D36">
            <w:pPr>
              <w:jc w:val="both"/>
              <w:rPr>
                <w:rFonts w:cs="Times New Roman"/>
                <w:sz w:val="20"/>
                <w:szCs w:val="20"/>
              </w:rPr>
            </w:pPr>
            <w:r w:rsidRPr="00770BAE">
              <w:rPr>
                <w:sz w:val="20"/>
                <w:szCs w:val="20"/>
              </w:rPr>
              <w:t>Appeal allowed; judgments of Federal Court set aside; applications for judicial review dismissed</w:t>
            </w:r>
          </w:p>
        </w:tc>
      </w:tr>
      <w:tr w:rsidR="008B6D36" w:rsidRPr="00770BAE" w:rsidTr="008B6D36">
        <w:trPr>
          <w:cantSplit/>
        </w:trPr>
        <w:tc>
          <w:tcPr>
            <w:tcW w:w="4410" w:type="dxa"/>
            <w:gridSpan w:val="2"/>
          </w:tcPr>
          <w:p w:rsidR="00770BAE" w:rsidRPr="00770BAE" w:rsidRDefault="00770BAE" w:rsidP="00770BAE">
            <w:pPr>
              <w:rPr>
                <w:sz w:val="20"/>
                <w:szCs w:val="20"/>
              </w:rPr>
            </w:pPr>
            <w:r w:rsidRPr="00770BAE">
              <w:rPr>
                <w:sz w:val="20"/>
                <w:szCs w:val="20"/>
              </w:rPr>
              <w:t>November 6, 2015</w:t>
            </w:r>
          </w:p>
          <w:p w:rsidR="008B6D36" w:rsidRPr="00770BAE" w:rsidRDefault="00770BAE" w:rsidP="00770BAE">
            <w:pPr>
              <w:jc w:val="both"/>
              <w:rPr>
                <w:sz w:val="20"/>
                <w:szCs w:val="20"/>
              </w:rPr>
            </w:pPr>
            <w:r w:rsidRPr="00770BAE">
              <w:rPr>
                <w:sz w:val="20"/>
                <w:szCs w:val="20"/>
              </w:rPr>
              <w:t>Supreme Court of Canada</w:t>
            </w:r>
          </w:p>
          <w:p w:rsidR="00770BAE" w:rsidRPr="00770BAE" w:rsidRDefault="00770BAE" w:rsidP="00770BAE">
            <w:pPr>
              <w:jc w:val="both"/>
              <w:rPr>
                <w:rFonts w:cs="Times New Roman"/>
                <w:sz w:val="20"/>
                <w:szCs w:val="20"/>
              </w:rPr>
            </w:pPr>
          </w:p>
        </w:tc>
        <w:tc>
          <w:tcPr>
            <w:tcW w:w="630" w:type="dxa"/>
          </w:tcPr>
          <w:p w:rsidR="008B6D36" w:rsidRPr="00770BAE" w:rsidRDefault="008B6D36" w:rsidP="008B6D36">
            <w:pPr>
              <w:pStyle w:val="SCCShortJudgment"/>
              <w:ind w:firstLine="0"/>
              <w:rPr>
                <w:rFonts w:cs="Times New Roman"/>
                <w:szCs w:val="20"/>
              </w:rPr>
            </w:pPr>
          </w:p>
        </w:tc>
        <w:tc>
          <w:tcPr>
            <w:tcW w:w="4536" w:type="dxa"/>
          </w:tcPr>
          <w:p w:rsidR="008B6D36" w:rsidRPr="00770BAE" w:rsidRDefault="00770BAE" w:rsidP="00770BAE">
            <w:pPr>
              <w:rPr>
                <w:rFonts w:cs="Times New Roman"/>
                <w:sz w:val="20"/>
                <w:szCs w:val="20"/>
              </w:rPr>
            </w:pPr>
            <w:r w:rsidRPr="00770BAE">
              <w:rPr>
                <w:sz w:val="20"/>
                <w:szCs w:val="20"/>
              </w:rPr>
              <w:t>Application for leave to appeal filed</w:t>
            </w:r>
          </w:p>
        </w:tc>
      </w:tr>
      <w:tr w:rsidR="008B6D36" w:rsidRPr="00770BAE" w:rsidTr="008B6D36">
        <w:trPr>
          <w:cantSplit/>
        </w:trPr>
        <w:tc>
          <w:tcPr>
            <w:tcW w:w="9576" w:type="dxa"/>
            <w:gridSpan w:val="4"/>
          </w:tcPr>
          <w:p w:rsidR="008B6D36" w:rsidRPr="00770BAE" w:rsidRDefault="00D75D0F" w:rsidP="008B6D36">
            <w:pPr>
              <w:pStyle w:val="SCCShortJudgment"/>
              <w:ind w:firstLine="0"/>
              <w:rPr>
                <w:rFonts w:cs="Times New Roman"/>
                <w:szCs w:val="20"/>
                <w:lang w:val="fr-CA"/>
              </w:rPr>
            </w:pPr>
            <w:r>
              <w:rPr>
                <w:rFonts w:cs="Times New Roman"/>
                <w:szCs w:val="20"/>
                <w:lang w:val="fr-CA"/>
              </w:rPr>
              <w:pict>
                <v:rect id="_x0000_i1041" style="width:2in;height:1pt" o:hrpct="0" o:hralign="center" o:hrstd="t" o:hrnoshade="t" o:hr="t" fillcolor="black [3213]" stroked="f"/>
              </w:pict>
            </w:r>
          </w:p>
          <w:p w:rsidR="008B6D36" w:rsidRPr="00770BAE" w:rsidRDefault="008B6D36" w:rsidP="008B6D36">
            <w:pPr>
              <w:pStyle w:val="SCCShortJudgment"/>
              <w:ind w:firstLine="0"/>
              <w:rPr>
                <w:rFonts w:cs="Times New Roman"/>
                <w:szCs w:val="20"/>
                <w:lang w:val="fr-CA"/>
              </w:rPr>
            </w:pPr>
          </w:p>
        </w:tc>
      </w:tr>
      <w:tr w:rsidR="008B6D36" w:rsidRPr="00770BAE" w:rsidTr="008B6D36">
        <w:trPr>
          <w:cantSplit/>
        </w:trPr>
        <w:tc>
          <w:tcPr>
            <w:tcW w:w="9576" w:type="dxa"/>
            <w:gridSpan w:val="4"/>
          </w:tcPr>
          <w:p w:rsidR="008B6D36" w:rsidRPr="00770BAE" w:rsidRDefault="008B6D36" w:rsidP="008B6D36">
            <w:pPr>
              <w:pStyle w:val="SCCShortJudgment"/>
              <w:ind w:firstLine="0"/>
              <w:rPr>
                <w:rFonts w:cs="Times New Roman"/>
                <w:szCs w:val="20"/>
                <w:u w:val="single"/>
                <w:lang w:val="fr-CA"/>
              </w:rPr>
            </w:pPr>
            <w:r w:rsidRPr="00770BAE">
              <w:rPr>
                <w:rFonts w:cs="Times New Roman"/>
                <w:szCs w:val="20"/>
                <w:u w:val="single"/>
                <w:lang w:val="fr-CA"/>
              </w:rPr>
              <w:t>RÉSUMÉ DE L’AFFAIRE</w:t>
            </w:r>
          </w:p>
          <w:p w:rsidR="008B6D36" w:rsidRPr="00770BAE" w:rsidRDefault="008B6D36" w:rsidP="008B6D36">
            <w:pPr>
              <w:pStyle w:val="SCCShortJudgment"/>
              <w:ind w:firstLine="0"/>
              <w:rPr>
                <w:rFonts w:cs="Times New Roman"/>
                <w:szCs w:val="20"/>
                <w:lang w:val="fr-CA"/>
              </w:rPr>
            </w:pPr>
          </w:p>
        </w:tc>
      </w:tr>
      <w:tr w:rsidR="008B6D36" w:rsidRPr="00D75D0F" w:rsidTr="008B6D36">
        <w:trPr>
          <w:cantSplit/>
        </w:trPr>
        <w:tc>
          <w:tcPr>
            <w:tcW w:w="9576" w:type="dxa"/>
            <w:gridSpan w:val="4"/>
          </w:tcPr>
          <w:p w:rsidR="008B6D36" w:rsidRPr="00770BAE" w:rsidRDefault="00770BAE" w:rsidP="00770BAE">
            <w:pPr>
              <w:pStyle w:val="SCCShortJudgment"/>
              <w:ind w:firstLine="0"/>
              <w:rPr>
                <w:szCs w:val="20"/>
                <w:lang w:val="fr-CA"/>
              </w:rPr>
            </w:pPr>
            <w:r w:rsidRPr="00770BAE">
              <w:rPr>
                <w:szCs w:val="20"/>
                <w:lang w:val="fr-CA"/>
              </w:rPr>
              <w:t xml:space="preserve">Droit de l’environnement — Évaluation environnementale — Préparation de l’emplacement d’une centrale nucléaire — L’énoncé des incidences environnementales a été établi avant que la technologie du réacteur ait été choisie — L’approche limitative a été adoptée dans l’énoncé des incidences environnementales — Un scénario limitatif n’a pas été fourni pour toutes les substances dangereuses — La commission d’évaluation environnementale a approuvé le projet, pourvu que les mesures d’atténuation proposées, les engagements pris par le promoteur et les 67 recommandations de la commission soient mis en œuvre — Quelle est la norme de conformité appropriée pour l’application de la </w:t>
            </w:r>
            <w:r w:rsidRPr="00770BAE">
              <w:rPr>
                <w:i/>
                <w:szCs w:val="20"/>
                <w:lang w:val="fr-CA"/>
              </w:rPr>
              <w:t>Loi canadienne sur l’évaluation environnementale</w:t>
            </w:r>
            <w:r w:rsidRPr="00770BAE">
              <w:rPr>
                <w:szCs w:val="20"/>
                <w:lang w:val="fr-CA"/>
              </w:rPr>
              <w:t>, L.C. 1992, ch. 37 (abrogée, L.C. 2012, ch. 19, art. 66), ou de toute autre loi sur la protection environnementale? — L’obligation qui incombe aux commissions ou aux autorités fédérales se limite-t-elle à « un certain degré d’examen » des facteurs prévus par la loi? — Comment faut-il envisager l’application de la norme de la décision raisonnable quand il s’agit de contrôler une décision administrative prise en l’absence de preuve à l’appui?</w:t>
            </w:r>
          </w:p>
          <w:p w:rsidR="00770BAE" w:rsidRPr="00770BAE" w:rsidRDefault="00770BAE" w:rsidP="00770BAE">
            <w:pPr>
              <w:pStyle w:val="SCCShortJudgment"/>
              <w:ind w:firstLine="0"/>
              <w:rPr>
                <w:rFonts w:cs="Times New Roman"/>
                <w:szCs w:val="20"/>
                <w:lang w:val="fr-CA"/>
              </w:rPr>
            </w:pPr>
          </w:p>
        </w:tc>
      </w:tr>
      <w:tr w:rsidR="008B6D36" w:rsidRPr="00D75D0F" w:rsidTr="00B56CC4">
        <w:tc>
          <w:tcPr>
            <w:tcW w:w="9576" w:type="dxa"/>
            <w:gridSpan w:val="4"/>
          </w:tcPr>
          <w:p w:rsidR="00770BAE" w:rsidRPr="00770BAE" w:rsidRDefault="00770BAE" w:rsidP="0082555B">
            <w:pPr>
              <w:jc w:val="both"/>
              <w:rPr>
                <w:sz w:val="20"/>
                <w:szCs w:val="20"/>
                <w:lang w:val="fr-CA"/>
              </w:rPr>
            </w:pPr>
            <w:r w:rsidRPr="00770BAE">
              <w:rPr>
                <w:sz w:val="20"/>
                <w:szCs w:val="20"/>
                <w:lang w:val="fr-CA"/>
              </w:rPr>
              <w:t xml:space="preserve">En 2006, Ontario Power Generation (« OPG ») a entrepris le processus d’approbations pour l’installation et l’exploitation de jusqu’à quatre nouveaux réacteurs à la centrale nucléaire existante de Darlington, située sur la rive du lac Ontario. OPG a également présenté à la Commission canadienne de sûreté nucléaire une demande de permis de préparation de l’emplacement pour la construction. Lorsque OPG a présenté son énoncé des incidences environnementales (EIE), l’Ontario n’avait pas choisi de technologie de réacteur nucléaire pour le projet, si bien que l’EIE a été établi en fonction de ce qui est appelé une « approche limitative » — les principales options de conception ont été identifiées et les effets environnementaux négatifs de chaque option ont été évalués. Toutefois, aucun scénario limitatif n’a été fourni pour les émissions de substances dangereuses ou pour les stocks de produits chimiques se trouvant sur place. La commission a tenu des audiences publiques et a présenté au ministre son rapport d’évaluation environnementale de la commission d’examen conjoint. La </w:t>
            </w:r>
            <w:r w:rsidRPr="00770BAE">
              <w:rPr>
                <w:i/>
                <w:sz w:val="20"/>
                <w:szCs w:val="20"/>
                <w:lang w:val="fr-CA"/>
              </w:rPr>
              <w:t>Loi canadienne sur l’évaluation environnementale</w:t>
            </w:r>
            <w:r w:rsidRPr="00770BAE">
              <w:rPr>
                <w:sz w:val="20"/>
                <w:szCs w:val="20"/>
                <w:lang w:val="fr-CA"/>
              </w:rPr>
              <w:t>, L.C. 1992, ch. 37 (abrogée, L.C. 2012, ch. 19, art. 66) (la « LCEE »), art. 16, énonce les questions que doivent examiner les commissions qui effectuent une évaluation environnementale. La commission a conclu que le projet n’était pas susceptible de causer des effets environnementaux négatifs importants si les mesures d’atténuation proposées, les engagements pris par OPG et les 67 recommandations étaient mis en œuvre. Dans ses recommandations, la commission a reporté l’examen du stockage de combustible nucléaire usé et des effets d’un accident grave de cause commune jusqu’à ce que la technologie du réacteur nucléaire soit choisie. Sur la foi du rapport, la commission a délivré un permis de dix ans autorisant OPG à préparer l’emplacement.</w:t>
            </w:r>
          </w:p>
          <w:p w:rsidR="008B6D36" w:rsidRPr="00770BAE" w:rsidRDefault="008B6D36" w:rsidP="008B6D36">
            <w:pPr>
              <w:jc w:val="both"/>
              <w:rPr>
                <w:rFonts w:cs="Times New Roman"/>
                <w:sz w:val="20"/>
                <w:szCs w:val="20"/>
                <w:lang w:val="fr-CA"/>
              </w:rPr>
            </w:pPr>
          </w:p>
        </w:tc>
      </w:tr>
      <w:tr w:rsidR="008B6D36" w:rsidRPr="00D75D0F" w:rsidTr="008B6D36">
        <w:trPr>
          <w:cantSplit/>
        </w:trPr>
        <w:tc>
          <w:tcPr>
            <w:tcW w:w="9576" w:type="dxa"/>
            <w:gridSpan w:val="4"/>
          </w:tcPr>
          <w:p w:rsidR="00770BAE" w:rsidRPr="00770BAE" w:rsidRDefault="00770BAE" w:rsidP="0082555B">
            <w:pPr>
              <w:jc w:val="both"/>
              <w:rPr>
                <w:sz w:val="20"/>
                <w:szCs w:val="20"/>
                <w:lang w:val="fr-CA"/>
              </w:rPr>
            </w:pPr>
            <w:r w:rsidRPr="00770BAE">
              <w:rPr>
                <w:sz w:val="20"/>
                <w:szCs w:val="20"/>
                <w:lang w:val="fr-CA"/>
              </w:rPr>
              <w:t>Les demanderesses ont déposé une demande de contrôle judiciaire du rapport et une autre contestant la délivrance du permis. La demande de contrôle judiciaire du rapport a été accueillie en partie; la demande de contrôle judiciaire concernant le permis a été accueillie. Trois appels ont été déposés et instruits ensemble. La Cour d’appel fédérale a statué que le juge de première instance avait mal appliqué la norme de la décision raisonnable et a conclu que la décision de la commission était raisonnable.</w:t>
            </w:r>
          </w:p>
          <w:p w:rsidR="008B6D36" w:rsidRPr="00770BAE" w:rsidRDefault="008B6D36" w:rsidP="008B6D36">
            <w:pPr>
              <w:pStyle w:val="SCCShortJudgment"/>
              <w:ind w:firstLine="0"/>
              <w:rPr>
                <w:rFonts w:cs="Times New Roman"/>
                <w:szCs w:val="20"/>
                <w:lang w:val="fr-CA"/>
              </w:rPr>
            </w:pPr>
          </w:p>
        </w:tc>
      </w:tr>
      <w:tr w:rsidR="008B6D36" w:rsidRPr="00D75D0F" w:rsidTr="008B6D36">
        <w:trPr>
          <w:cantSplit/>
        </w:trPr>
        <w:tc>
          <w:tcPr>
            <w:tcW w:w="4410" w:type="dxa"/>
            <w:gridSpan w:val="2"/>
          </w:tcPr>
          <w:p w:rsidR="00770BAE" w:rsidRPr="00770BAE" w:rsidRDefault="00770BAE" w:rsidP="00770BAE">
            <w:pPr>
              <w:rPr>
                <w:sz w:val="20"/>
                <w:szCs w:val="20"/>
                <w:lang w:val="fr-CA"/>
              </w:rPr>
            </w:pPr>
            <w:r w:rsidRPr="00770BAE">
              <w:rPr>
                <w:sz w:val="20"/>
                <w:szCs w:val="20"/>
                <w:lang w:val="fr-CA"/>
              </w:rPr>
              <w:t>14 mai 2014</w:t>
            </w:r>
          </w:p>
          <w:p w:rsidR="00770BAE" w:rsidRPr="00770BAE" w:rsidRDefault="00770BAE" w:rsidP="00770BAE">
            <w:pPr>
              <w:rPr>
                <w:sz w:val="20"/>
                <w:szCs w:val="20"/>
                <w:lang w:val="fr-CA"/>
              </w:rPr>
            </w:pPr>
            <w:r w:rsidRPr="00770BAE">
              <w:rPr>
                <w:sz w:val="20"/>
                <w:szCs w:val="20"/>
                <w:lang w:val="fr-CA"/>
              </w:rPr>
              <w:t xml:space="preserve">Cour fédérale </w:t>
            </w:r>
          </w:p>
          <w:p w:rsidR="00770BAE" w:rsidRPr="00770BAE" w:rsidRDefault="00770BAE" w:rsidP="00770BAE">
            <w:pPr>
              <w:rPr>
                <w:sz w:val="20"/>
                <w:szCs w:val="20"/>
                <w:lang w:val="fr-CA"/>
              </w:rPr>
            </w:pPr>
            <w:r w:rsidRPr="00770BAE">
              <w:rPr>
                <w:sz w:val="20"/>
                <w:szCs w:val="20"/>
                <w:lang w:val="fr-CA"/>
              </w:rPr>
              <w:t>(Juge Russell)</w:t>
            </w:r>
          </w:p>
          <w:p w:rsidR="00770BAE" w:rsidRPr="00770BAE" w:rsidRDefault="00D75D0F" w:rsidP="00770BAE">
            <w:pPr>
              <w:rPr>
                <w:sz w:val="20"/>
                <w:szCs w:val="20"/>
                <w:u w:val="single"/>
                <w:lang w:val="fr-CA"/>
              </w:rPr>
            </w:pPr>
            <w:hyperlink r:id="rId21" w:history="1">
              <w:r w:rsidR="00770BAE" w:rsidRPr="00770BAE">
                <w:rPr>
                  <w:color w:val="0000FF" w:themeColor="hyperlink"/>
                  <w:sz w:val="20"/>
                  <w:szCs w:val="20"/>
                  <w:u w:val="single"/>
                  <w:lang w:val="fr-CA"/>
                </w:rPr>
                <w:t>2014 FC 463</w:t>
              </w:r>
            </w:hyperlink>
          </w:p>
          <w:p w:rsidR="008B6D36" w:rsidRPr="00770BAE" w:rsidRDefault="008B6D36" w:rsidP="00770BAE">
            <w:pPr>
              <w:pStyle w:val="SCCShortJudgment"/>
              <w:tabs>
                <w:tab w:val="left" w:pos="910"/>
              </w:tabs>
              <w:ind w:firstLine="0"/>
              <w:rPr>
                <w:rFonts w:cs="Times New Roman"/>
                <w:szCs w:val="20"/>
                <w:lang w:val="fr-CA"/>
              </w:rPr>
            </w:pPr>
          </w:p>
        </w:tc>
        <w:tc>
          <w:tcPr>
            <w:tcW w:w="630" w:type="dxa"/>
          </w:tcPr>
          <w:p w:rsidR="008B6D36" w:rsidRPr="00770BAE" w:rsidRDefault="008B6D36" w:rsidP="008B6D36">
            <w:pPr>
              <w:pStyle w:val="SCCShortJudgment"/>
              <w:ind w:firstLine="0"/>
              <w:rPr>
                <w:rFonts w:cs="Times New Roman"/>
                <w:szCs w:val="20"/>
                <w:lang w:val="fr-CA"/>
              </w:rPr>
            </w:pPr>
          </w:p>
        </w:tc>
        <w:tc>
          <w:tcPr>
            <w:tcW w:w="4536" w:type="dxa"/>
          </w:tcPr>
          <w:p w:rsidR="00770BAE" w:rsidRPr="00770BAE" w:rsidRDefault="00770BAE" w:rsidP="00770BAE">
            <w:pPr>
              <w:rPr>
                <w:sz w:val="20"/>
                <w:szCs w:val="20"/>
                <w:lang w:val="fr-CA"/>
              </w:rPr>
            </w:pPr>
            <w:r w:rsidRPr="00770BAE">
              <w:rPr>
                <w:i/>
                <w:sz w:val="20"/>
                <w:szCs w:val="20"/>
                <w:lang w:val="fr-CA"/>
              </w:rPr>
              <w:t>T-1572-11 </w:t>
            </w:r>
            <w:r w:rsidRPr="00770BAE">
              <w:rPr>
                <w:sz w:val="20"/>
                <w:szCs w:val="20"/>
                <w:lang w:val="fr-CA"/>
              </w:rPr>
              <w:t>: jugement accueillant en partie la demande de contrôle judiciaire, renvoyant le rapport d’évaluation environnementale à la commission pour qu’elle l’examine à nouveau quant aux questions précises énoncées dans le jugement et déclarant que divers organismes ne peuvent donner d’approbation ni</w:t>
            </w:r>
            <w:bookmarkStart w:id="3" w:name="_Toc388868308"/>
            <w:r w:rsidRPr="00770BAE">
              <w:rPr>
                <w:sz w:val="20"/>
                <w:szCs w:val="20"/>
                <w:lang w:val="fr-CA"/>
              </w:rPr>
              <w:t xml:space="preserve"> délivrer une licence, un permis, un certificat ou une autorisation prévu par la loi </w:t>
            </w:r>
            <w:bookmarkEnd w:id="3"/>
            <w:r w:rsidRPr="00770BAE">
              <w:rPr>
                <w:sz w:val="20"/>
                <w:szCs w:val="20"/>
                <w:lang w:val="fr-CA"/>
              </w:rPr>
              <w:t xml:space="preserve"> concernant le projet tant que la commission n’aura pas terminé le nouvel examen;</w:t>
            </w:r>
          </w:p>
          <w:p w:rsidR="008B6D36" w:rsidRPr="00770BAE" w:rsidRDefault="00770BAE" w:rsidP="00770BAE">
            <w:pPr>
              <w:pStyle w:val="SCCShortJudgment"/>
              <w:ind w:firstLine="0"/>
              <w:rPr>
                <w:szCs w:val="20"/>
                <w:lang w:val="fr-CA"/>
              </w:rPr>
            </w:pPr>
            <w:r w:rsidRPr="00770BAE">
              <w:rPr>
                <w:i/>
                <w:szCs w:val="20"/>
                <w:lang w:val="fr-CA"/>
              </w:rPr>
              <w:t>T-1723-12 </w:t>
            </w:r>
            <w:r w:rsidRPr="00770BAE">
              <w:rPr>
                <w:szCs w:val="20"/>
                <w:lang w:val="fr-CA"/>
              </w:rPr>
              <w:t xml:space="preserve">: rejet de la requête en radiation présentée par la demanderesse; jugement accueillant la demande </w:t>
            </w:r>
            <w:bookmarkStart w:id="4" w:name="_Toc388868311"/>
            <w:r w:rsidRPr="00770BAE">
              <w:rPr>
                <w:szCs w:val="20"/>
                <w:lang w:val="fr-CA"/>
              </w:rPr>
              <w:t>pour le motif que le rapport d’évaluation environnementale n’est pas encore complètement conforme à la</w:t>
            </w:r>
            <w:bookmarkEnd w:id="4"/>
            <w:r w:rsidRPr="00770BAE">
              <w:rPr>
                <w:szCs w:val="20"/>
                <w:lang w:val="fr-CA"/>
              </w:rPr>
              <w:t xml:space="preserve"> </w:t>
            </w:r>
            <w:r w:rsidRPr="00770BAE">
              <w:rPr>
                <w:i/>
                <w:szCs w:val="20"/>
                <w:lang w:val="fr-CA"/>
              </w:rPr>
              <w:t>Loi canadienne sur l’évaluation environnementale</w:t>
            </w:r>
            <w:r w:rsidRPr="00770BAE">
              <w:rPr>
                <w:szCs w:val="20"/>
                <w:lang w:val="fr-CA"/>
              </w:rPr>
              <w:t xml:space="preserve"> en ce qui a trait aux questions énoncées dans le jugement prononcé dans le dossier T-1572-11, statuant par conséquent que </w:t>
            </w:r>
            <w:bookmarkStart w:id="5" w:name="_Toc388868312"/>
            <w:r w:rsidRPr="00770BAE">
              <w:rPr>
                <w:szCs w:val="20"/>
                <w:lang w:val="fr-CA"/>
              </w:rPr>
              <w:t>la délivrance du permis par la Commission canadienne de sûreté nucléaire (CCSN) est invalide et illégale</w:t>
            </w:r>
            <w:bookmarkEnd w:id="5"/>
            <w:r w:rsidRPr="00770BAE">
              <w:rPr>
                <w:szCs w:val="20"/>
                <w:lang w:val="fr-CA"/>
              </w:rPr>
              <w:t xml:space="preserve">, </w:t>
            </w:r>
            <w:bookmarkStart w:id="6" w:name="_Toc388868313"/>
            <w:r w:rsidRPr="00770BAE">
              <w:rPr>
                <w:szCs w:val="20"/>
                <w:lang w:val="fr-CA"/>
              </w:rPr>
              <w:t>que la CCSN n’a pas compétence pour délivrer le permis tant qu’il n’y aura pas eu respect complet de la</w:t>
            </w:r>
            <w:bookmarkEnd w:id="6"/>
            <w:r w:rsidRPr="00770BAE">
              <w:rPr>
                <w:szCs w:val="20"/>
                <w:lang w:val="fr-CA"/>
              </w:rPr>
              <w:t xml:space="preserve"> LCEE et annulant le permis.</w:t>
            </w:r>
          </w:p>
          <w:p w:rsidR="00770BAE" w:rsidRPr="00770BAE" w:rsidRDefault="00770BAE" w:rsidP="00770BAE">
            <w:pPr>
              <w:pStyle w:val="SCCShortJudgment"/>
              <w:ind w:firstLine="0"/>
              <w:rPr>
                <w:rFonts w:cs="Times New Roman"/>
                <w:szCs w:val="20"/>
                <w:lang w:val="fr-CA"/>
              </w:rPr>
            </w:pPr>
          </w:p>
        </w:tc>
      </w:tr>
      <w:tr w:rsidR="008B6D36" w:rsidRPr="00D75D0F" w:rsidTr="008B6D36">
        <w:trPr>
          <w:cantSplit/>
        </w:trPr>
        <w:tc>
          <w:tcPr>
            <w:tcW w:w="4410" w:type="dxa"/>
            <w:gridSpan w:val="2"/>
          </w:tcPr>
          <w:p w:rsidR="00770BAE" w:rsidRPr="00770BAE" w:rsidRDefault="00770BAE" w:rsidP="00770BAE">
            <w:pPr>
              <w:rPr>
                <w:sz w:val="20"/>
                <w:szCs w:val="20"/>
                <w:lang w:val="fr-CA"/>
              </w:rPr>
            </w:pPr>
            <w:r w:rsidRPr="00770BAE">
              <w:rPr>
                <w:sz w:val="20"/>
                <w:szCs w:val="20"/>
                <w:lang w:val="fr-CA"/>
              </w:rPr>
              <w:t>10 septembre 2015</w:t>
            </w:r>
          </w:p>
          <w:p w:rsidR="00770BAE" w:rsidRPr="00770BAE" w:rsidRDefault="00770BAE" w:rsidP="00770BAE">
            <w:pPr>
              <w:rPr>
                <w:sz w:val="20"/>
                <w:szCs w:val="20"/>
                <w:lang w:val="fr-CA"/>
              </w:rPr>
            </w:pPr>
            <w:r w:rsidRPr="00770BAE">
              <w:rPr>
                <w:sz w:val="20"/>
                <w:szCs w:val="20"/>
                <w:lang w:val="fr-CA"/>
              </w:rPr>
              <w:t xml:space="preserve">Cour d’appel fédérale </w:t>
            </w:r>
          </w:p>
          <w:p w:rsidR="00770BAE" w:rsidRPr="00770BAE" w:rsidRDefault="00770BAE" w:rsidP="00770BAE">
            <w:pPr>
              <w:rPr>
                <w:sz w:val="20"/>
                <w:szCs w:val="20"/>
                <w:lang w:val="fr-CA"/>
              </w:rPr>
            </w:pPr>
            <w:r w:rsidRPr="00770BAE">
              <w:rPr>
                <w:sz w:val="20"/>
                <w:szCs w:val="20"/>
                <w:lang w:val="fr-CA"/>
              </w:rPr>
              <w:t>(Juges Trudel, Ryer et Rennie)</w:t>
            </w:r>
          </w:p>
          <w:p w:rsidR="00770BAE" w:rsidRPr="00770BAE" w:rsidRDefault="00D75D0F" w:rsidP="00770BAE">
            <w:pPr>
              <w:rPr>
                <w:sz w:val="20"/>
                <w:szCs w:val="20"/>
                <w:u w:val="single"/>
                <w:lang w:val="fr-CA"/>
              </w:rPr>
            </w:pPr>
            <w:hyperlink r:id="rId22" w:history="1">
              <w:r w:rsidR="00770BAE" w:rsidRPr="00770BAE">
                <w:rPr>
                  <w:color w:val="0000FF" w:themeColor="hyperlink"/>
                  <w:sz w:val="20"/>
                  <w:szCs w:val="20"/>
                  <w:u w:val="single"/>
                  <w:lang w:val="fr-CA"/>
                </w:rPr>
                <w:t>2015 FCA 186</w:t>
              </w:r>
            </w:hyperlink>
          </w:p>
          <w:p w:rsidR="008B6D36" w:rsidRPr="00770BAE" w:rsidRDefault="008B6D36" w:rsidP="008B6D36">
            <w:pPr>
              <w:pStyle w:val="SCCShortJudgment"/>
              <w:ind w:firstLine="0"/>
              <w:rPr>
                <w:rFonts w:cs="Times New Roman"/>
                <w:szCs w:val="20"/>
                <w:lang w:val="fr-CA"/>
              </w:rPr>
            </w:pPr>
          </w:p>
        </w:tc>
        <w:tc>
          <w:tcPr>
            <w:tcW w:w="630" w:type="dxa"/>
          </w:tcPr>
          <w:p w:rsidR="008B6D36" w:rsidRPr="00770BAE" w:rsidRDefault="008B6D36" w:rsidP="008B6D36">
            <w:pPr>
              <w:pStyle w:val="SCCShortJudgment"/>
              <w:ind w:firstLine="0"/>
              <w:rPr>
                <w:rFonts w:cs="Times New Roman"/>
                <w:szCs w:val="20"/>
                <w:lang w:val="fr-CA"/>
              </w:rPr>
            </w:pPr>
          </w:p>
        </w:tc>
        <w:tc>
          <w:tcPr>
            <w:tcW w:w="4536" w:type="dxa"/>
          </w:tcPr>
          <w:p w:rsidR="008B6D36" w:rsidRPr="00770BAE" w:rsidRDefault="00770BAE" w:rsidP="008B6D36">
            <w:pPr>
              <w:pStyle w:val="SCCShortJudgment"/>
              <w:ind w:firstLine="0"/>
              <w:rPr>
                <w:rFonts w:cs="Times New Roman"/>
                <w:szCs w:val="20"/>
                <w:lang w:val="fr-CA"/>
              </w:rPr>
            </w:pPr>
            <w:r w:rsidRPr="00770BAE">
              <w:rPr>
                <w:szCs w:val="20"/>
                <w:lang w:val="fr-CA"/>
              </w:rPr>
              <w:t>Arrêt accueillant l’appel, annulant les jugements de la Cour fédérale et rejetant les demandes de contrôle judiciaire.</w:t>
            </w:r>
          </w:p>
        </w:tc>
      </w:tr>
      <w:tr w:rsidR="008B6D36" w:rsidRPr="00D75D0F" w:rsidTr="008B6D36">
        <w:trPr>
          <w:cantSplit/>
        </w:trPr>
        <w:tc>
          <w:tcPr>
            <w:tcW w:w="4410" w:type="dxa"/>
            <w:gridSpan w:val="2"/>
          </w:tcPr>
          <w:p w:rsidR="00770BAE" w:rsidRPr="00770BAE" w:rsidRDefault="00770BAE" w:rsidP="00770BAE">
            <w:pPr>
              <w:rPr>
                <w:sz w:val="20"/>
                <w:szCs w:val="20"/>
                <w:lang w:val="fr-CA"/>
              </w:rPr>
            </w:pPr>
            <w:r w:rsidRPr="00770BAE">
              <w:rPr>
                <w:sz w:val="20"/>
                <w:szCs w:val="20"/>
                <w:lang w:val="fr-CA"/>
              </w:rPr>
              <w:t>6 novembre 2015</w:t>
            </w:r>
          </w:p>
          <w:p w:rsidR="008B6D36" w:rsidRPr="00770BAE" w:rsidRDefault="00770BAE" w:rsidP="00770BAE">
            <w:pPr>
              <w:pStyle w:val="SCCShortJudgment"/>
              <w:ind w:firstLine="0"/>
              <w:rPr>
                <w:rFonts w:cs="Times New Roman"/>
                <w:szCs w:val="20"/>
                <w:lang w:val="fr-CA"/>
              </w:rPr>
            </w:pPr>
            <w:r w:rsidRPr="00770BAE">
              <w:rPr>
                <w:szCs w:val="20"/>
                <w:lang w:val="fr-CA"/>
              </w:rPr>
              <w:t>Cour suprême du Canada</w:t>
            </w:r>
          </w:p>
        </w:tc>
        <w:tc>
          <w:tcPr>
            <w:tcW w:w="630" w:type="dxa"/>
          </w:tcPr>
          <w:p w:rsidR="008B6D36" w:rsidRPr="00770BAE" w:rsidRDefault="008B6D36" w:rsidP="008B6D36">
            <w:pPr>
              <w:pStyle w:val="SCCShortJudgment"/>
              <w:ind w:firstLine="0"/>
              <w:rPr>
                <w:rFonts w:cs="Times New Roman"/>
                <w:szCs w:val="20"/>
                <w:lang w:val="fr-CA"/>
              </w:rPr>
            </w:pPr>
          </w:p>
        </w:tc>
        <w:tc>
          <w:tcPr>
            <w:tcW w:w="4536" w:type="dxa"/>
          </w:tcPr>
          <w:p w:rsidR="008B6D36" w:rsidRPr="00770BAE" w:rsidRDefault="00770BAE" w:rsidP="00770BAE">
            <w:pPr>
              <w:rPr>
                <w:sz w:val="20"/>
                <w:szCs w:val="20"/>
                <w:lang w:val="fr-CA"/>
              </w:rPr>
            </w:pPr>
            <w:r w:rsidRPr="00770BAE">
              <w:rPr>
                <w:sz w:val="20"/>
                <w:szCs w:val="20"/>
                <w:lang w:val="fr-CA"/>
              </w:rPr>
              <w:t>Dépôt de la demande d’autorisation d’appel.</w:t>
            </w:r>
          </w:p>
        </w:tc>
      </w:tr>
    </w:tbl>
    <w:p w:rsidR="008B6D36" w:rsidRPr="00770BAE" w:rsidRDefault="008B6D36" w:rsidP="000E2959">
      <w:pPr>
        <w:rPr>
          <w:sz w:val="20"/>
          <w:szCs w:val="20"/>
          <w:lang w:val="fr-CA"/>
        </w:rPr>
      </w:pPr>
    </w:p>
    <w:p w:rsidR="000E2959" w:rsidRDefault="00D75D0F" w:rsidP="000E2959">
      <w:pPr>
        <w:rPr>
          <w:sz w:val="20"/>
          <w:szCs w:val="20"/>
        </w:rPr>
      </w:pPr>
      <w:r>
        <w:rPr>
          <w:sz w:val="20"/>
          <w:szCs w:val="20"/>
          <w:lang w:val="fr-CA"/>
        </w:rPr>
        <w:pict>
          <v:rect id="_x0000_i1042" style="width:2in;height:1pt" o:hrpct="0" o:hralign="center" o:hrstd="t" o:hrnoshade="t" o:hr="t" fillcolor="black [3213]" stroked="f"/>
        </w:pict>
      </w:r>
    </w:p>
    <w:p w:rsidR="000E2959" w:rsidRDefault="000E2959" w:rsidP="000E2959">
      <w:pPr>
        <w:rPr>
          <w:sz w:val="20"/>
          <w:szCs w:val="20"/>
        </w:rPr>
      </w:pPr>
    </w:p>
    <w:p w:rsidR="00B56CC4" w:rsidRDefault="00B56CC4">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7D7022" w:rsidRPr="009435DF" w:rsidTr="00C1054E">
        <w:trPr>
          <w:cantSplit/>
        </w:trPr>
        <w:tc>
          <w:tcPr>
            <w:tcW w:w="1458" w:type="dxa"/>
          </w:tcPr>
          <w:p w:rsidR="007D7022" w:rsidRPr="009435DF" w:rsidRDefault="007D7022" w:rsidP="00C1054E">
            <w:pPr>
              <w:jc w:val="both"/>
              <w:rPr>
                <w:rFonts w:cs="Times New Roman"/>
                <w:sz w:val="20"/>
                <w:szCs w:val="20"/>
              </w:rPr>
            </w:pPr>
            <w:r w:rsidRPr="009435DF">
              <w:rPr>
                <w:rStyle w:val="SCCFileNumberChar"/>
                <w:sz w:val="20"/>
                <w:szCs w:val="20"/>
              </w:rPr>
              <w:t>36787</w:t>
            </w:r>
          </w:p>
          <w:p w:rsidR="007D7022" w:rsidRPr="009435DF" w:rsidRDefault="007D7022" w:rsidP="00C1054E">
            <w:pPr>
              <w:jc w:val="both"/>
              <w:rPr>
                <w:rFonts w:cs="Times New Roman"/>
                <w:b/>
                <w:sz w:val="20"/>
                <w:szCs w:val="20"/>
              </w:rPr>
            </w:pPr>
          </w:p>
        </w:tc>
        <w:tc>
          <w:tcPr>
            <w:tcW w:w="8118" w:type="dxa"/>
            <w:gridSpan w:val="3"/>
          </w:tcPr>
          <w:p w:rsidR="007D7022" w:rsidRPr="009435DF" w:rsidRDefault="007D7022" w:rsidP="00C1054E">
            <w:pPr>
              <w:jc w:val="both"/>
              <w:rPr>
                <w:rStyle w:val="SCCLsocChar"/>
                <w:rFonts w:cs="Times New Roman"/>
                <w:b w:val="0"/>
                <w:sz w:val="20"/>
                <w:szCs w:val="20"/>
                <w:u w:val="none"/>
              </w:rPr>
            </w:pPr>
            <w:r w:rsidRPr="0016267B">
              <w:rPr>
                <w:rStyle w:val="SCCLsocChar"/>
                <w:rFonts w:cs="Times New Roman"/>
                <w:sz w:val="20"/>
                <w:szCs w:val="20"/>
              </w:rPr>
              <w:t>Syndicat des travailleurs en télécommunications (S.T.T.), section locale 1944 du Syndicat des Métallos (anciennement connue sous le nom de Syndicat des travailleurs en télécommunications (S.T.T.)) c. Telus Communications Inc.</w:t>
            </w:r>
            <w:r w:rsidRPr="009435DF">
              <w:rPr>
                <w:rStyle w:val="SCCLsocChar"/>
                <w:rFonts w:cs="Times New Roman"/>
                <w:b w:val="0"/>
                <w:sz w:val="20"/>
                <w:szCs w:val="20"/>
                <w:u w:val="none"/>
              </w:rPr>
              <w:t xml:space="preserve"> (Qc) (Civile) (Autorisation)</w:t>
            </w:r>
          </w:p>
          <w:p w:rsidR="007D7022" w:rsidRPr="009435DF" w:rsidRDefault="007D7022" w:rsidP="00C1054E">
            <w:pPr>
              <w:jc w:val="both"/>
              <w:rPr>
                <w:rFonts w:cs="Times New Roman"/>
                <w:sz w:val="20"/>
                <w:szCs w:val="20"/>
                <w:lang w:val="fr-CA"/>
              </w:rPr>
            </w:pPr>
          </w:p>
        </w:tc>
      </w:tr>
      <w:tr w:rsidR="007D7022" w:rsidRPr="00D75D0F" w:rsidTr="00C1054E">
        <w:trPr>
          <w:cantSplit/>
        </w:trPr>
        <w:tc>
          <w:tcPr>
            <w:tcW w:w="1458" w:type="dxa"/>
          </w:tcPr>
          <w:p w:rsidR="007D7022" w:rsidRPr="009435DF" w:rsidRDefault="007D7022" w:rsidP="00C1054E">
            <w:pPr>
              <w:jc w:val="both"/>
              <w:rPr>
                <w:rFonts w:cs="Times New Roman"/>
                <w:sz w:val="20"/>
                <w:szCs w:val="20"/>
              </w:rPr>
            </w:pPr>
            <w:r w:rsidRPr="009435DF">
              <w:rPr>
                <w:rFonts w:cs="Times New Roman"/>
                <w:sz w:val="20"/>
                <w:szCs w:val="20"/>
              </w:rPr>
              <w:t>Coram :</w:t>
            </w:r>
          </w:p>
        </w:tc>
        <w:tc>
          <w:tcPr>
            <w:tcW w:w="8118" w:type="dxa"/>
            <w:gridSpan w:val="3"/>
          </w:tcPr>
          <w:p w:rsidR="007D7022" w:rsidRPr="0016267B" w:rsidRDefault="007D7022" w:rsidP="00C1054E">
            <w:pPr>
              <w:jc w:val="both"/>
              <w:rPr>
                <w:rStyle w:val="SCCCoramChar"/>
                <w:rFonts w:cs="Times New Roman"/>
                <w:sz w:val="20"/>
                <w:szCs w:val="20"/>
              </w:rPr>
            </w:pPr>
            <w:r w:rsidRPr="0016267B">
              <w:rPr>
                <w:rStyle w:val="SCCCoramChar"/>
                <w:rFonts w:cs="Times New Roman"/>
                <w:sz w:val="20"/>
                <w:szCs w:val="20"/>
              </w:rPr>
              <w:t>Les juges Abella, Karakatsanis et Brown</w:t>
            </w:r>
          </w:p>
          <w:p w:rsidR="007D7022" w:rsidRPr="009435DF" w:rsidRDefault="007D7022" w:rsidP="00C1054E">
            <w:pPr>
              <w:jc w:val="both"/>
              <w:rPr>
                <w:rFonts w:cs="Times New Roman"/>
                <w:sz w:val="20"/>
                <w:szCs w:val="20"/>
                <w:lang w:val="fr-CA"/>
              </w:rPr>
            </w:pPr>
          </w:p>
        </w:tc>
      </w:tr>
      <w:tr w:rsidR="007D7022" w:rsidRPr="009435DF" w:rsidTr="00C1054E">
        <w:trPr>
          <w:cantSplit/>
        </w:trPr>
        <w:tc>
          <w:tcPr>
            <w:tcW w:w="9576" w:type="dxa"/>
            <w:gridSpan w:val="4"/>
          </w:tcPr>
          <w:p w:rsidR="007D7022" w:rsidRPr="009435DF" w:rsidRDefault="007D7022" w:rsidP="00C1054E">
            <w:pPr>
              <w:pStyle w:val="SCCShortJudgment"/>
              <w:ind w:firstLine="0"/>
              <w:rPr>
                <w:rFonts w:cs="Times New Roman"/>
                <w:szCs w:val="20"/>
                <w:lang w:val="fr-CA"/>
              </w:rPr>
            </w:pPr>
            <w:r w:rsidRPr="009435DF">
              <w:rPr>
                <w:rFonts w:cs="Times New Roman"/>
                <w:szCs w:val="20"/>
                <w:lang w:val="fr-CA"/>
              </w:rPr>
              <w:tab/>
            </w:r>
            <w:r w:rsidRPr="009435DF">
              <w:rPr>
                <w:szCs w:val="20"/>
                <w:lang w:val="fr-CA"/>
              </w:rPr>
              <w:t>La demande d’autorisation d’appel de l’arrêt de la Cour d’appel du Québec (Montréal), numéro 500-09-025173-154, 2015 QCCA 1856, daté du 6 novembre 2015, est rejetée avec dépens.</w:t>
            </w:r>
          </w:p>
          <w:p w:rsidR="007D7022" w:rsidRPr="009435DF" w:rsidRDefault="007D7022" w:rsidP="00C1054E">
            <w:pPr>
              <w:pStyle w:val="SCCShortJudgment"/>
              <w:ind w:firstLine="0"/>
              <w:rPr>
                <w:rFonts w:cs="Times New Roman"/>
                <w:szCs w:val="20"/>
                <w:lang w:val="fr-CA"/>
              </w:rPr>
            </w:pPr>
          </w:p>
          <w:p w:rsidR="007D7022" w:rsidRPr="009435DF" w:rsidRDefault="007D7022" w:rsidP="00C1054E">
            <w:pPr>
              <w:pStyle w:val="SCCShortJudgment"/>
              <w:ind w:firstLine="0"/>
              <w:rPr>
                <w:rFonts w:cs="Times New Roman"/>
                <w:szCs w:val="20"/>
              </w:rPr>
            </w:pPr>
            <w:r w:rsidRPr="009435DF">
              <w:rPr>
                <w:rFonts w:cs="Times New Roman"/>
                <w:szCs w:val="20"/>
                <w:lang w:val="fr-CA"/>
              </w:rPr>
              <w:tab/>
            </w:r>
            <w:r w:rsidRPr="009435DF">
              <w:t>The application for leave to appeal from the judgment of the Court of Appeal of Quebec (Montréal), Number 500-09-025173-154, 2015 QCCA 1856, dated November 6, 2015, is dismissed with costs.</w:t>
            </w:r>
          </w:p>
          <w:p w:rsidR="007D7022" w:rsidRPr="009435DF" w:rsidRDefault="007D7022" w:rsidP="00C1054E">
            <w:pPr>
              <w:pStyle w:val="SCCShortJudgment"/>
              <w:ind w:firstLine="0"/>
              <w:rPr>
                <w:rFonts w:cs="Times New Roman"/>
                <w:szCs w:val="20"/>
              </w:rPr>
            </w:pPr>
          </w:p>
        </w:tc>
      </w:tr>
      <w:tr w:rsidR="007D7022" w:rsidRPr="009435DF" w:rsidTr="00C1054E">
        <w:trPr>
          <w:cantSplit/>
        </w:trPr>
        <w:tc>
          <w:tcPr>
            <w:tcW w:w="9576" w:type="dxa"/>
            <w:gridSpan w:val="4"/>
          </w:tcPr>
          <w:p w:rsidR="007D7022" w:rsidRPr="0016267B" w:rsidRDefault="007D7022" w:rsidP="00C1054E">
            <w:pPr>
              <w:pStyle w:val="SCCShortJudgment"/>
              <w:ind w:firstLine="0"/>
              <w:rPr>
                <w:rFonts w:cs="Times New Roman"/>
                <w:szCs w:val="20"/>
                <w:u w:val="single"/>
                <w:lang w:val="fr-CA"/>
              </w:rPr>
            </w:pPr>
            <w:r w:rsidRPr="0016267B">
              <w:rPr>
                <w:rFonts w:cs="Times New Roman"/>
                <w:szCs w:val="20"/>
                <w:u w:val="single"/>
                <w:lang w:val="fr-CA"/>
              </w:rPr>
              <w:t>CASE SUMMARY</w:t>
            </w:r>
          </w:p>
          <w:p w:rsidR="007D7022" w:rsidRPr="009435DF" w:rsidRDefault="007D7022" w:rsidP="00C1054E">
            <w:pPr>
              <w:pStyle w:val="SCCShortJudgment"/>
              <w:ind w:firstLine="0"/>
              <w:rPr>
                <w:rFonts w:cs="Times New Roman"/>
                <w:szCs w:val="20"/>
                <w:lang w:val="fr-CA"/>
              </w:rPr>
            </w:pPr>
          </w:p>
        </w:tc>
      </w:tr>
      <w:tr w:rsidR="007D7022" w:rsidRPr="009435DF" w:rsidTr="00C1054E">
        <w:trPr>
          <w:cantSplit/>
        </w:trPr>
        <w:tc>
          <w:tcPr>
            <w:tcW w:w="9576" w:type="dxa"/>
            <w:gridSpan w:val="4"/>
          </w:tcPr>
          <w:p w:rsidR="007D7022" w:rsidRPr="009435DF" w:rsidRDefault="007D7022" w:rsidP="00C1054E">
            <w:pPr>
              <w:pStyle w:val="SCCShortJudgment"/>
              <w:ind w:firstLine="0"/>
              <w:rPr>
                <w:szCs w:val="20"/>
              </w:rPr>
            </w:pPr>
            <w:r w:rsidRPr="009435DF">
              <w:rPr>
                <w:szCs w:val="20"/>
              </w:rPr>
              <w:t xml:space="preserve">Administrative law </w:t>
            </w:r>
            <w:r w:rsidRPr="009435DF">
              <w:rPr>
                <w:rFonts w:cs="Times New Roman"/>
                <w:szCs w:val="20"/>
              </w:rPr>
              <w:t>—</w:t>
            </w:r>
            <w:r w:rsidRPr="009435DF">
              <w:rPr>
                <w:szCs w:val="20"/>
              </w:rPr>
              <w:t xml:space="preserve"> Labour law arbitration award </w:t>
            </w:r>
            <w:r w:rsidRPr="009435DF">
              <w:rPr>
                <w:rFonts w:cs="Times New Roman"/>
                <w:szCs w:val="20"/>
              </w:rPr>
              <w:t>—</w:t>
            </w:r>
            <w:r w:rsidRPr="009435DF">
              <w:rPr>
                <w:szCs w:val="20"/>
              </w:rPr>
              <w:t xml:space="preserve"> Dismissal </w:t>
            </w:r>
            <w:r w:rsidRPr="009435DF">
              <w:rPr>
                <w:rFonts w:cs="Times New Roman"/>
                <w:szCs w:val="20"/>
              </w:rPr>
              <w:t>—</w:t>
            </w:r>
            <w:r w:rsidRPr="009435DF">
              <w:rPr>
                <w:szCs w:val="20"/>
              </w:rPr>
              <w:t xml:space="preserve"> Judicial review </w:t>
            </w:r>
            <w:r w:rsidRPr="009435DF">
              <w:rPr>
                <w:rFonts w:cs="Times New Roman"/>
                <w:szCs w:val="20"/>
              </w:rPr>
              <w:t>—</w:t>
            </w:r>
            <w:r w:rsidRPr="009435DF">
              <w:rPr>
                <w:szCs w:val="20"/>
              </w:rPr>
              <w:t xml:space="preserve"> Admissibility of evidence </w:t>
            </w:r>
            <w:r w:rsidRPr="009435DF">
              <w:rPr>
                <w:rFonts w:cs="Times New Roman"/>
                <w:szCs w:val="20"/>
              </w:rPr>
              <w:t>—</w:t>
            </w:r>
            <w:r w:rsidRPr="009435DF">
              <w:rPr>
                <w:szCs w:val="20"/>
              </w:rPr>
              <w:t xml:space="preserve"> Natural justice and procedural fairness </w:t>
            </w:r>
            <w:r w:rsidRPr="009435DF">
              <w:rPr>
                <w:rFonts w:cs="Times New Roman"/>
                <w:szCs w:val="20"/>
              </w:rPr>
              <w:t>—</w:t>
            </w:r>
            <w:r w:rsidRPr="009435DF">
              <w:rPr>
                <w:szCs w:val="20"/>
              </w:rPr>
              <w:t xml:space="preserve"> Whether medical certificate prepared on same day as employer’s decision to dismiss employee, but dealing with prior events, can be considered subsequent evidence that is irrelevant in deciding grievance against dismissal </w:t>
            </w:r>
            <w:r w:rsidRPr="009435DF">
              <w:rPr>
                <w:rFonts w:cs="Times New Roman"/>
                <w:szCs w:val="20"/>
              </w:rPr>
              <w:t>—</w:t>
            </w:r>
            <w:r w:rsidRPr="009435DF">
              <w:rPr>
                <w:szCs w:val="20"/>
              </w:rPr>
              <w:t xml:space="preserve"> Whether refusal to admit content of medical certificate in evidence without restrictions is contrary to natural justice and affects fairness of process </w:t>
            </w:r>
            <w:r w:rsidRPr="009435DF">
              <w:rPr>
                <w:rFonts w:cs="Times New Roman"/>
                <w:szCs w:val="20"/>
              </w:rPr>
              <w:t>—</w:t>
            </w:r>
            <w:r w:rsidRPr="009435DF">
              <w:rPr>
                <w:szCs w:val="20"/>
              </w:rPr>
              <w:t xml:space="preserve"> Whether arbitration award and grounds relied on for upholding dismissal are unreasonable.</w:t>
            </w:r>
          </w:p>
          <w:p w:rsidR="007D7022" w:rsidRPr="009435DF" w:rsidRDefault="007D7022" w:rsidP="00C1054E">
            <w:pPr>
              <w:pStyle w:val="SCCShortJudgment"/>
              <w:ind w:firstLine="0"/>
              <w:rPr>
                <w:rFonts w:cs="Times New Roman"/>
                <w:szCs w:val="20"/>
              </w:rPr>
            </w:pPr>
          </w:p>
        </w:tc>
      </w:tr>
      <w:tr w:rsidR="007D7022" w:rsidRPr="009435DF" w:rsidTr="00C1054E">
        <w:trPr>
          <w:cantSplit/>
        </w:trPr>
        <w:tc>
          <w:tcPr>
            <w:tcW w:w="9576" w:type="dxa"/>
            <w:gridSpan w:val="4"/>
          </w:tcPr>
          <w:p w:rsidR="007D7022" w:rsidRPr="009435DF" w:rsidRDefault="007D7022" w:rsidP="0082555B">
            <w:pPr>
              <w:jc w:val="both"/>
              <w:rPr>
                <w:sz w:val="20"/>
                <w:szCs w:val="20"/>
              </w:rPr>
            </w:pPr>
            <w:r w:rsidRPr="009435DF">
              <w:rPr>
                <w:sz w:val="20"/>
                <w:szCs w:val="20"/>
              </w:rPr>
              <w:t>Cynthia Florestal had been an employee of the respondent Telus Communications Inc. since December 2008. In the summer of 2011, Ms. Florestal was absent from work several times due to illness. During her first two absences, at her employer’s request, she provided medical certificates as proof. However, during the third absence, she failed to comply with her employer’s repeated requests and did not provide a medical certificate within the required time, which resulted in her dismissal. The union then filed an unjust dismissal grievance and requested that Ms. Florestal be reinstated. After analyzing the evidence filed, the arbitrator dismissed the grievance on the ground that the dismissal was not unreasonable, wrongful or discriminatory.</w:t>
            </w:r>
          </w:p>
          <w:p w:rsidR="007D7022" w:rsidRPr="009435DF" w:rsidRDefault="007D7022" w:rsidP="00C1054E">
            <w:pPr>
              <w:pStyle w:val="SCCShortJudgment"/>
              <w:ind w:firstLine="0"/>
              <w:rPr>
                <w:rFonts w:cs="Times New Roman"/>
                <w:szCs w:val="20"/>
              </w:rPr>
            </w:pPr>
          </w:p>
        </w:tc>
      </w:tr>
      <w:tr w:rsidR="007D7022" w:rsidRPr="009435DF" w:rsidTr="00C1054E">
        <w:trPr>
          <w:cantSplit/>
        </w:trPr>
        <w:tc>
          <w:tcPr>
            <w:tcW w:w="4410" w:type="dxa"/>
            <w:gridSpan w:val="2"/>
          </w:tcPr>
          <w:p w:rsidR="007D7022" w:rsidRPr="009435DF" w:rsidRDefault="007D7022" w:rsidP="007D7022">
            <w:pPr>
              <w:rPr>
                <w:sz w:val="20"/>
                <w:szCs w:val="20"/>
              </w:rPr>
            </w:pPr>
            <w:r w:rsidRPr="009435DF">
              <w:rPr>
                <w:sz w:val="20"/>
                <w:szCs w:val="20"/>
              </w:rPr>
              <w:t>March 13, 2015</w:t>
            </w:r>
          </w:p>
          <w:p w:rsidR="007D7022" w:rsidRPr="009435DF" w:rsidRDefault="007D7022" w:rsidP="007D7022">
            <w:pPr>
              <w:rPr>
                <w:sz w:val="20"/>
                <w:szCs w:val="20"/>
              </w:rPr>
            </w:pPr>
            <w:r w:rsidRPr="009435DF">
              <w:rPr>
                <w:sz w:val="20"/>
                <w:szCs w:val="20"/>
              </w:rPr>
              <w:t>Quebec Superior Court</w:t>
            </w:r>
          </w:p>
          <w:p w:rsidR="007D7022" w:rsidRPr="009435DF" w:rsidRDefault="007D7022" w:rsidP="007D7022">
            <w:pPr>
              <w:rPr>
                <w:sz w:val="20"/>
                <w:szCs w:val="20"/>
              </w:rPr>
            </w:pPr>
            <w:r w:rsidRPr="009435DF">
              <w:rPr>
                <w:sz w:val="20"/>
                <w:szCs w:val="20"/>
              </w:rPr>
              <w:t>(Roy J.)</w:t>
            </w:r>
          </w:p>
          <w:p w:rsidR="007D7022" w:rsidRPr="009435DF" w:rsidRDefault="00D75D0F" w:rsidP="007D7022">
            <w:pPr>
              <w:rPr>
                <w:sz w:val="20"/>
                <w:szCs w:val="20"/>
              </w:rPr>
            </w:pPr>
            <w:hyperlink r:id="rId23" w:history="1">
              <w:r w:rsidR="007D7022" w:rsidRPr="009435DF">
                <w:rPr>
                  <w:rStyle w:val="Hyperlink"/>
                  <w:sz w:val="20"/>
                  <w:szCs w:val="20"/>
                  <w:u w:val="none"/>
                </w:rPr>
                <w:t>2015 QCCS 985</w:t>
              </w:r>
            </w:hyperlink>
          </w:p>
          <w:p w:rsidR="007D7022" w:rsidRPr="009435DF" w:rsidRDefault="007D7022" w:rsidP="00C1054E">
            <w:pPr>
              <w:jc w:val="both"/>
              <w:rPr>
                <w:rFonts w:cs="Times New Roman"/>
                <w:sz w:val="20"/>
                <w:szCs w:val="20"/>
              </w:rPr>
            </w:pPr>
          </w:p>
        </w:tc>
        <w:tc>
          <w:tcPr>
            <w:tcW w:w="630" w:type="dxa"/>
          </w:tcPr>
          <w:p w:rsidR="007D7022" w:rsidRPr="009435DF" w:rsidRDefault="007D7022" w:rsidP="00C1054E">
            <w:pPr>
              <w:pStyle w:val="SCCShortJudgment"/>
              <w:ind w:firstLine="0"/>
              <w:rPr>
                <w:rFonts w:cs="Times New Roman"/>
                <w:szCs w:val="20"/>
              </w:rPr>
            </w:pPr>
          </w:p>
        </w:tc>
        <w:tc>
          <w:tcPr>
            <w:tcW w:w="4536" w:type="dxa"/>
          </w:tcPr>
          <w:p w:rsidR="007D7022" w:rsidRPr="009435DF" w:rsidRDefault="007D7022" w:rsidP="007D7022">
            <w:pPr>
              <w:rPr>
                <w:sz w:val="20"/>
                <w:szCs w:val="20"/>
              </w:rPr>
            </w:pPr>
            <w:r w:rsidRPr="009435DF">
              <w:rPr>
                <w:sz w:val="20"/>
                <w:szCs w:val="20"/>
              </w:rPr>
              <w:t>Motion for judicial review allowed.</w:t>
            </w:r>
          </w:p>
          <w:p w:rsidR="007D7022" w:rsidRPr="009435DF" w:rsidRDefault="007D7022" w:rsidP="00C1054E">
            <w:pPr>
              <w:jc w:val="both"/>
              <w:rPr>
                <w:rFonts w:cs="Times New Roman"/>
                <w:sz w:val="20"/>
                <w:szCs w:val="20"/>
              </w:rPr>
            </w:pPr>
          </w:p>
        </w:tc>
      </w:tr>
      <w:tr w:rsidR="007D7022" w:rsidRPr="009435DF" w:rsidTr="00C1054E">
        <w:trPr>
          <w:cantSplit/>
        </w:trPr>
        <w:tc>
          <w:tcPr>
            <w:tcW w:w="4410" w:type="dxa"/>
            <w:gridSpan w:val="2"/>
          </w:tcPr>
          <w:p w:rsidR="007D7022" w:rsidRPr="009435DF" w:rsidRDefault="007D7022" w:rsidP="007D7022">
            <w:pPr>
              <w:rPr>
                <w:sz w:val="20"/>
                <w:szCs w:val="20"/>
              </w:rPr>
            </w:pPr>
            <w:r w:rsidRPr="009435DF">
              <w:rPr>
                <w:sz w:val="20"/>
                <w:szCs w:val="20"/>
              </w:rPr>
              <w:t>November 6, 2015</w:t>
            </w:r>
          </w:p>
          <w:p w:rsidR="007D7022" w:rsidRPr="009435DF" w:rsidRDefault="007D7022" w:rsidP="007D7022">
            <w:pPr>
              <w:rPr>
                <w:sz w:val="20"/>
                <w:szCs w:val="20"/>
              </w:rPr>
            </w:pPr>
            <w:r w:rsidRPr="009435DF">
              <w:rPr>
                <w:sz w:val="20"/>
                <w:szCs w:val="20"/>
              </w:rPr>
              <w:t>Quebec Court of Appeal (Montréal)</w:t>
            </w:r>
          </w:p>
          <w:p w:rsidR="007D7022" w:rsidRPr="009435DF" w:rsidRDefault="007D7022" w:rsidP="007D7022">
            <w:pPr>
              <w:rPr>
                <w:sz w:val="20"/>
                <w:szCs w:val="20"/>
              </w:rPr>
            </w:pPr>
            <w:r w:rsidRPr="009435DF">
              <w:rPr>
                <w:sz w:val="20"/>
                <w:szCs w:val="20"/>
              </w:rPr>
              <w:t>(Bich, Dufresne and Marcotte JJ.A.)</w:t>
            </w:r>
          </w:p>
          <w:p w:rsidR="007D7022" w:rsidRPr="009435DF" w:rsidRDefault="00D75D0F" w:rsidP="007D7022">
            <w:pPr>
              <w:rPr>
                <w:sz w:val="20"/>
                <w:szCs w:val="20"/>
              </w:rPr>
            </w:pPr>
            <w:hyperlink r:id="rId24" w:history="1">
              <w:r w:rsidR="007D7022" w:rsidRPr="009435DF">
                <w:rPr>
                  <w:rStyle w:val="Hyperlink"/>
                  <w:sz w:val="20"/>
                  <w:szCs w:val="20"/>
                  <w:u w:val="none"/>
                </w:rPr>
                <w:t>2015 QCCA 1856</w:t>
              </w:r>
            </w:hyperlink>
          </w:p>
          <w:p w:rsidR="007D7022" w:rsidRPr="009435DF" w:rsidRDefault="007D7022" w:rsidP="00C1054E">
            <w:pPr>
              <w:jc w:val="both"/>
              <w:rPr>
                <w:rFonts w:cs="Times New Roman"/>
                <w:sz w:val="20"/>
                <w:szCs w:val="20"/>
              </w:rPr>
            </w:pPr>
          </w:p>
        </w:tc>
        <w:tc>
          <w:tcPr>
            <w:tcW w:w="630" w:type="dxa"/>
          </w:tcPr>
          <w:p w:rsidR="007D7022" w:rsidRPr="009435DF" w:rsidRDefault="007D7022" w:rsidP="00C1054E">
            <w:pPr>
              <w:pStyle w:val="SCCShortJudgment"/>
              <w:ind w:firstLine="0"/>
              <w:rPr>
                <w:rFonts w:cs="Times New Roman"/>
                <w:szCs w:val="20"/>
              </w:rPr>
            </w:pPr>
          </w:p>
        </w:tc>
        <w:tc>
          <w:tcPr>
            <w:tcW w:w="4536" w:type="dxa"/>
          </w:tcPr>
          <w:p w:rsidR="007D7022" w:rsidRPr="009435DF" w:rsidRDefault="007D7022" w:rsidP="007D7022">
            <w:pPr>
              <w:rPr>
                <w:sz w:val="20"/>
                <w:szCs w:val="20"/>
              </w:rPr>
            </w:pPr>
            <w:r w:rsidRPr="009435DF">
              <w:rPr>
                <w:sz w:val="20"/>
                <w:szCs w:val="20"/>
              </w:rPr>
              <w:t>Appeal allowed.</w:t>
            </w:r>
          </w:p>
          <w:p w:rsidR="007D7022" w:rsidRPr="009435DF" w:rsidRDefault="007D7022" w:rsidP="007D7022">
            <w:pPr>
              <w:rPr>
                <w:sz w:val="20"/>
                <w:szCs w:val="20"/>
              </w:rPr>
            </w:pPr>
            <w:r w:rsidRPr="009435DF">
              <w:rPr>
                <w:sz w:val="20"/>
                <w:szCs w:val="20"/>
              </w:rPr>
              <w:t xml:space="preserve">Motion for judicial review dismissed. </w:t>
            </w:r>
          </w:p>
          <w:p w:rsidR="007D7022" w:rsidRPr="009435DF" w:rsidRDefault="007D7022" w:rsidP="00C1054E">
            <w:pPr>
              <w:jc w:val="both"/>
              <w:rPr>
                <w:rFonts w:cs="Times New Roman"/>
                <w:sz w:val="20"/>
                <w:szCs w:val="20"/>
              </w:rPr>
            </w:pPr>
          </w:p>
        </w:tc>
      </w:tr>
      <w:tr w:rsidR="007D7022" w:rsidRPr="009435DF" w:rsidTr="00C1054E">
        <w:trPr>
          <w:cantSplit/>
        </w:trPr>
        <w:tc>
          <w:tcPr>
            <w:tcW w:w="4410" w:type="dxa"/>
            <w:gridSpan w:val="2"/>
          </w:tcPr>
          <w:p w:rsidR="007D7022" w:rsidRPr="009435DF" w:rsidRDefault="007D7022" w:rsidP="007D7022">
            <w:pPr>
              <w:rPr>
                <w:sz w:val="20"/>
                <w:szCs w:val="20"/>
              </w:rPr>
            </w:pPr>
            <w:r w:rsidRPr="009435DF">
              <w:rPr>
                <w:sz w:val="20"/>
                <w:szCs w:val="20"/>
              </w:rPr>
              <w:t>December 30, 2015</w:t>
            </w:r>
          </w:p>
          <w:p w:rsidR="007D7022" w:rsidRPr="009435DF" w:rsidRDefault="007D7022" w:rsidP="007D7022">
            <w:pPr>
              <w:jc w:val="both"/>
              <w:rPr>
                <w:rFonts w:cs="Times New Roman"/>
                <w:sz w:val="20"/>
                <w:szCs w:val="20"/>
              </w:rPr>
            </w:pPr>
            <w:r w:rsidRPr="009435DF">
              <w:rPr>
                <w:sz w:val="20"/>
                <w:szCs w:val="20"/>
              </w:rPr>
              <w:t>Supreme Court of Canada</w:t>
            </w:r>
          </w:p>
        </w:tc>
        <w:tc>
          <w:tcPr>
            <w:tcW w:w="630" w:type="dxa"/>
          </w:tcPr>
          <w:p w:rsidR="007D7022" w:rsidRPr="009435DF" w:rsidRDefault="007D7022" w:rsidP="00C1054E">
            <w:pPr>
              <w:pStyle w:val="SCCShortJudgment"/>
              <w:ind w:firstLine="0"/>
              <w:rPr>
                <w:rFonts w:cs="Times New Roman"/>
                <w:szCs w:val="20"/>
              </w:rPr>
            </w:pPr>
          </w:p>
        </w:tc>
        <w:tc>
          <w:tcPr>
            <w:tcW w:w="4536" w:type="dxa"/>
          </w:tcPr>
          <w:p w:rsidR="007D7022" w:rsidRPr="009435DF" w:rsidRDefault="007D7022" w:rsidP="00C1054E">
            <w:pPr>
              <w:jc w:val="both"/>
              <w:rPr>
                <w:rFonts w:cs="Times New Roman"/>
                <w:sz w:val="20"/>
                <w:szCs w:val="20"/>
              </w:rPr>
            </w:pPr>
            <w:r w:rsidRPr="009435DF">
              <w:rPr>
                <w:sz w:val="20"/>
                <w:szCs w:val="20"/>
              </w:rPr>
              <w:t>Application for leave to appeal filed.</w:t>
            </w:r>
          </w:p>
        </w:tc>
      </w:tr>
      <w:tr w:rsidR="007D7022" w:rsidRPr="009435DF" w:rsidTr="00C1054E">
        <w:trPr>
          <w:cantSplit/>
        </w:trPr>
        <w:tc>
          <w:tcPr>
            <w:tcW w:w="9576" w:type="dxa"/>
            <w:gridSpan w:val="4"/>
          </w:tcPr>
          <w:p w:rsidR="007D7022" w:rsidRPr="009435DF" w:rsidRDefault="00D75D0F" w:rsidP="00C1054E">
            <w:pPr>
              <w:pStyle w:val="SCCShortJudgment"/>
              <w:ind w:firstLine="0"/>
              <w:rPr>
                <w:rFonts w:cs="Times New Roman"/>
                <w:szCs w:val="20"/>
                <w:lang w:val="fr-CA"/>
              </w:rPr>
            </w:pPr>
            <w:r>
              <w:rPr>
                <w:rFonts w:cs="Times New Roman"/>
                <w:szCs w:val="20"/>
                <w:lang w:val="fr-CA"/>
              </w:rPr>
              <w:pict>
                <v:rect id="_x0000_i1043" style="width:2in;height:1pt" o:hrpct="0" o:hralign="center" o:hrstd="t" o:hrnoshade="t" o:hr="t" fillcolor="black [3213]" stroked="f"/>
              </w:pict>
            </w:r>
          </w:p>
          <w:p w:rsidR="007D7022" w:rsidRPr="009435DF" w:rsidRDefault="007D7022" w:rsidP="00C1054E">
            <w:pPr>
              <w:pStyle w:val="SCCShortJudgment"/>
              <w:ind w:firstLine="0"/>
              <w:rPr>
                <w:rFonts w:cs="Times New Roman"/>
                <w:szCs w:val="20"/>
                <w:lang w:val="fr-CA"/>
              </w:rPr>
            </w:pPr>
          </w:p>
        </w:tc>
      </w:tr>
    </w:tbl>
    <w:p w:rsidR="0016267B" w:rsidRDefault="0016267B">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7D7022" w:rsidRPr="009435DF" w:rsidTr="00C1054E">
        <w:trPr>
          <w:cantSplit/>
        </w:trPr>
        <w:tc>
          <w:tcPr>
            <w:tcW w:w="9576" w:type="dxa"/>
            <w:gridSpan w:val="3"/>
          </w:tcPr>
          <w:p w:rsidR="007D7022" w:rsidRPr="0016267B" w:rsidRDefault="007D7022" w:rsidP="00C1054E">
            <w:pPr>
              <w:pStyle w:val="SCCShortJudgment"/>
              <w:ind w:firstLine="0"/>
              <w:rPr>
                <w:rFonts w:cs="Times New Roman"/>
                <w:szCs w:val="20"/>
                <w:u w:val="single"/>
                <w:lang w:val="fr-CA"/>
              </w:rPr>
            </w:pPr>
            <w:r w:rsidRPr="0016267B">
              <w:rPr>
                <w:rFonts w:cs="Times New Roman"/>
                <w:szCs w:val="20"/>
                <w:u w:val="single"/>
                <w:lang w:val="fr-CA"/>
              </w:rPr>
              <w:t>RÉSUMÉ DE L’AFFAIRE</w:t>
            </w:r>
          </w:p>
          <w:p w:rsidR="007D7022" w:rsidRPr="009435DF" w:rsidRDefault="007D7022" w:rsidP="00C1054E">
            <w:pPr>
              <w:pStyle w:val="SCCShortJudgment"/>
              <w:ind w:firstLine="0"/>
              <w:rPr>
                <w:rFonts w:cs="Times New Roman"/>
                <w:szCs w:val="20"/>
                <w:lang w:val="fr-CA"/>
              </w:rPr>
            </w:pPr>
          </w:p>
        </w:tc>
      </w:tr>
      <w:tr w:rsidR="007D7022" w:rsidRPr="00D75D0F" w:rsidTr="00C1054E">
        <w:trPr>
          <w:cantSplit/>
        </w:trPr>
        <w:tc>
          <w:tcPr>
            <w:tcW w:w="9576" w:type="dxa"/>
            <w:gridSpan w:val="3"/>
          </w:tcPr>
          <w:p w:rsidR="007D7022" w:rsidRPr="009435DF" w:rsidRDefault="007D7022" w:rsidP="00C1054E">
            <w:pPr>
              <w:pStyle w:val="SCCShortJudgment"/>
              <w:ind w:firstLine="0"/>
              <w:rPr>
                <w:szCs w:val="20"/>
                <w:lang w:val="fr-CA"/>
              </w:rPr>
            </w:pPr>
            <w:r w:rsidRPr="009435DF">
              <w:rPr>
                <w:szCs w:val="20"/>
                <w:lang w:val="fr-CA"/>
              </w:rPr>
              <w:t xml:space="preserve">Droit administratif </w:t>
            </w:r>
            <w:r w:rsidRPr="009435DF">
              <w:rPr>
                <w:rFonts w:cs="Times New Roman"/>
                <w:szCs w:val="20"/>
                <w:lang w:val="fr-CA"/>
              </w:rPr>
              <w:t>—</w:t>
            </w:r>
            <w:r w:rsidRPr="009435DF">
              <w:rPr>
                <w:szCs w:val="20"/>
                <w:lang w:val="fr-CA"/>
              </w:rPr>
              <w:t xml:space="preserve"> Sentence arbitrale en droit du travail </w:t>
            </w:r>
            <w:r w:rsidRPr="009435DF">
              <w:rPr>
                <w:rFonts w:cs="Times New Roman"/>
                <w:szCs w:val="20"/>
                <w:lang w:val="fr-CA"/>
              </w:rPr>
              <w:t>—</w:t>
            </w:r>
            <w:r w:rsidRPr="009435DF">
              <w:rPr>
                <w:szCs w:val="20"/>
                <w:lang w:val="fr-CA"/>
              </w:rPr>
              <w:t xml:space="preserve"> Congédiement </w:t>
            </w:r>
            <w:r w:rsidRPr="009435DF">
              <w:rPr>
                <w:rFonts w:cs="Times New Roman"/>
                <w:szCs w:val="20"/>
                <w:lang w:val="fr-CA"/>
              </w:rPr>
              <w:t>—</w:t>
            </w:r>
            <w:r w:rsidRPr="009435DF">
              <w:rPr>
                <w:szCs w:val="20"/>
                <w:lang w:val="fr-CA"/>
              </w:rPr>
              <w:t xml:space="preserve"> Contrôle judiciaire </w:t>
            </w:r>
            <w:r w:rsidRPr="009435DF">
              <w:rPr>
                <w:rFonts w:cs="Times New Roman"/>
                <w:szCs w:val="20"/>
                <w:lang w:val="fr-CA"/>
              </w:rPr>
              <w:t>—</w:t>
            </w:r>
            <w:r w:rsidRPr="009435DF">
              <w:rPr>
                <w:szCs w:val="20"/>
                <w:lang w:val="fr-CA"/>
              </w:rPr>
              <w:t xml:space="preserve"> Admissibilité de la preuve </w:t>
            </w:r>
            <w:r w:rsidRPr="009435DF">
              <w:rPr>
                <w:rFonts w:cs="Times New Roman"/>
                <w:szCs w:val="20"/>
                <w:lang w:val="fr-CA"/>
              </w:rPr>
              <w:t>—</w:t>
            </w:r>
            <w:r w:rsidRPr="009435DF">
              <w:rPr>
                <w:szCs w:val="20"/>
                <w:lang w:val="fr-CA"/>
              </w:rPr>
              <w:t xml:space="preserve"> Justice naturelle et équité procédurale </w:t>
            </w:r>
            <w:r w:rsidRPr="009435DF">
              <w:rPr>
                <w:rFonts w:cs="Times New Roman"/>
                <w:szCs w:val="20"/>
                <w:lang w:val="fr-CA"/>
              </w:rPr>
              <w:t>—</w:t>
            </w:r>
            <w:r w:rsidRPr="009435DF">
              <w:rPr>
                <w:szCs w:val="20"/>
                <w:lang w:val="fr-CA"/>
              </w:rPr>
              <w:t xml:space="preserve"> Est-ce que le certificat médical préparé le jour même de la décision de l’employeur de congédier la salariée, mais portant sur des faits antérieurs, peut être considéré comme une preuve postérieure et non pertinente pour statuer sur le grief contestant le congédiement? </w:t>
            </w:r>
            <w:r w:rsidRPr="009435DF">
              <w:rPr>
                <w:rFonts w:cs="Times New Roman"/>
                <w:szCs w:val="20"/>
                <w:lang w:val="fr-CA"/>
              </w:rPr>
              <w:t>—</w:t>
            </w:r>
            <w:r w:rsidRPr="009435DF">
              <w:rPr>
                <w:szCs w:val="20"/>
                <w:lang w:val="fr-CA"/>
              </w:rPr>
              <w:t xml:space="preserve"> Est-ce que le refus d’admettre en preuve le contenu dudit certificat médical sans restrictions viole la justice naturelle et affecte l’équité du processus? </w:t>
            </w:r>
            <w:r w:rsidRPr="009435DF">
              <w:rPr>
                <w:rFonts w:cs="Times New Roman"/>
                <w:szCs w:val="20"/>
                <w:lang w:val="fr-CA"/>
              </w:rPr>
              <w:t>—</w:t>
            </w:r>
            <w:r w:rsidRPr="009435DF">
              <w:rPr>
                <w:szCs w:val="20"/>
                <w:lang w:val="fr-CA"/>
              </w:rPr>
              <w:t xml:space="preserve"> La sentence arbitrale et les motifs invoqués pour maintenir le congédiement sont-ils déraisonnables?</w:t>
            </w:r>
          </w:p>
          <w:p w:rsidR="007D7022" w:rsidRPr="009435DF" w:rsidRDefault="007D7022" w:rsidP="00C1054E">
            <w:pPr>
              <w:pStyle w:val="SCCShortJudgment"/>
              <w:ind w:firstLine="0"/>
              <w:rPr>
                <w:rFonts w:cs="Times New Roman"/>
                <w:szCs w:val="20"/>
                <w:lang w:val="fr-CA"/>
              </w:rPr>
            </w:pPr>
          </w:p>
        </w:tc>
      </w:tr>
      <w:tr w:rsidR="007D7022" w:rsidRPr="00D75D0F" w:rsidTr="00C1054E">
        <w:trPr>
          <w:cantSplit/>
        </w:trPr>
        <w:tc>
          <w:tcPr>
            <w:tcW w:w="9576" w:type="dxa"/>
            <w:gridSpan w:val="3"/>
          </w:tcPr>
          <w:p w:rsidR="007D7022" w:rsidRPr="009435DF" w:rsidRDefault="007D7022" w:rsidP="0082555B">
            <w:pPr>
              <w:jc w:val="both"/>
              <w:rPr>
                <w:sz w:val="20"/>
                <w:szCs w:val="20"/>
                <w:lang w:val="fr-CA"/>
              </w:rPr>
            </w:pPr>
            <w:r w:rsidRPr="009435DF">
              <w:rPr>
                <w:sz w:val="20"/>
                <w:szCs w:val="20"/>
                <w:lang w:val="fr-CA"/>
              </w:rPr>
              <w:t>Mme Cynthia Florestal est employée de l’intimée Telus Communications inc. depuis décembre 2008. Au cours de l’été 2011, Mme Florestal s’est absentée de son travail à plusieurs reprises pour cause de maladie. Lors de ses deux premières périodes d’absence, Mme Florestal communique, à la demande de son employeur, des certificats médicaux comme justification. Toutefois, lors de la troisième période d’absence, elle omet de se conformer aux demandes répétées de son employeur et ne communique aucun certificat médical dans le délai requis, ce qui a pour conséquence d’entraîner son congédiement. Le syndicat dépose alors un grief pour congédiement injustifié et demande la réintégration de Mme Florestal dans son emploi. Après analyse de la preuve déposée, l’arbitre rejette le grief au motif que le congédiement n’est ni déraisonnable ni abusif ou discriminatoire.</w:t>
            </w:r>
          </w:p>
        </w:tc>
      </w:tr>
      <w:tr w:rsidR="007D7022" w:rsidRPr="00D75D0F" w:rsidTr="00C1054E">
        <w:trPr>
          <w:cantSplit/>
        </w:trPr>
        <w:tc>
          <w:tcPr>
            <w:tcW w:w="9576" w:type="dxa"/>
            <w:gridSpan w:val="3"/>
          </w:tcPr>
          <w:p w:rsidR="007D7022" w:rsidRPr="009435DF" w:rsidRDefault="007D7022" w:rsidP="00C1054E">
            <w:pPr>
              <w:pStyle w:val="SCCShortJudgment"/>
              <w:ind w:firstLine="0"/>
              <w:rPr>
                <w:rFonts w:cs="Times New Roman"/>
                <w:szCs w:val="20"/>
                <w:lang w:val="fr-CA"/>
              </w:rPr>
            </w:pPr>
          </w:p>
        </w:tc>
      </w:tr>
      <w:tr w:rsidR="007D7022" w:rsidRPr="00D75D0F" w:rsidTr="00C1054E">
        <w:trPr>
          <w:cantSplit/>
        </w:trPr>
        <w:tc>
          <w:tcPr>
            <w:tcW w:w="4410" w:type="dxa"/>
          </w:tcPr>
          <w:p w:rsidR="007D7022" w:rsidRPr="009435DF" w:rsidRDefault="007D7022" w:rsidP="007D7022">
            <w:pPr>
              <w:rPr>
                <w:sz w:val="20"/>
                <w:szCs w:val="20"/>
                <w:lang w:val="fr-CA"/>
              </w:rPr>
            </w:pPr>
            <w:r w:rsidRPr="009435DF">
              <w:rPr>
                <w:sz w:val="20"/>
                <w:szCs w:val="20"/>
                <w:lang w:val="fr-CA"/>
              </w:rPr>
              <w:t>Le 13 mars 2015</w:t>
            </w:r>
          </w:p>
          <w:p w:rsidR="007D7022" w:rsidRPr="009435DF" w:rsidRDefault="007D7022" w:rsidP="007D7022">
            <w:pPr>
              <w:rPr>
                <w:sz w:val="20"/>
                <w:szCs w:val="20"/>
                <w:lang w:val="fr-CA"/>
              </w:rPr>
            </w:pPr>
            <w:r w:rsidRPr="009435DF">
              <w:rPr>
                <w:sz w:val="20"/>
                <w:szCs w:val="20"/>
                <w:lang w:val="fr-CA"/>
              </w:rPr>
              <w:t>Cour supérieure du Québec</w:t>
            </w:r>
          </w:p>
          <w:p w:rsidR="007D7022" w:rsidRPr="009435DF" w:rsidRDefault="007D7022" w:rsidP="007D7022">
            <w:pPr>
              <w:rPr>
                <w:sz w:val="20"/>
                <w:szCs w:val="20"/>
              </w:rPr>
            </w:pPr>
            <w:r w:rsidRPr="009435DF">
              <w:rPr>
                <w:sz w:val="20"/>
                <w:szCs w:val="20"/>
              </w:rPr>
              <w:t>(La juge Roy)</w:t>
            </w:r>
          </w:p>
          <w:p w:rsidR="007D7022" w:rsidRPr="0016267B" w:rsidRDefault="00D75D0F" w:rsidP="007D7022">
            <w:pPr>
              <w:rPr>
                <w:sz w:val="20"/>
                <w:szCs w:val="20"/>
                <w:u w:val="single"/>
              </w:rPr>
            </w:pPr>
            <w:hyperlink r:id="rId25" w:history="1">
              <w:r w:rsidR="007D7022" w:rsidRPr="0016267B">
                <w:rPr>
                  <w:rStyle w:val="Hyperlink"/>
                  <w:sz w:val="20"/>
                  <w:szCs w:val="20"/>
                </w:rPr>
                <w:t>2015 QCCS 985</w:t>
              </w:r>
            </w:hyperlink>
          </w:p>
          <w:p w:rsidR="007D7022" w:rsidRPr="009435DF" w:rsidRDefault="007D7022" w:rsidP="00C1054E">
            <w:pPr>
              <w:pStyle w:val="SCCShortJudgment"/>
              <w:ind w:firstLine="0"/>
              <w:rPr>
                <w:rFonts w:cs="Times New Roman"/>
                <w:szCs w:val="20"/>
                <w:lang w:val="fr-CA"/>
              </w:rPr>
            </w:pPr>
          </w:p>
        </w:tc>
        <w:tc>
          <w:tcPr>
            <w:tcW w:w="630" w:type="dxa"/>
          </w:tcPr>
          <w:p w:rsidR="007D7022" w:rsidRPr="009435DF" w:rsidRDefault="007D7022" w:rsidP="00C1054E">
            <w:pPr>
              <w:pStyle w:val="SCCShortJudgment"/>
              <w:ind w:firstLine="0"/>
              <w:rPr>
                <w:rFonts w:cs="Times New Roman"/>
                <w:szCs w:val="20"/>
                <w:lang w:val="fr-CA"/>
              </w:rPr>
            </w:pPr>
          </w:p>
        </w:tc>
        <w:tc>
          <w:tcPr>
            <w:tcW w:w="4536" w:type="dxa"/>
          </w:tcPr>
          <w:p w:rsidR="007D7022" w:rsidRPr="009435DF" w:rsidRDefault="007D7022" w:rsidP="007D7022">
            <w:pPr>
              <w:rPr>
                <w:sz w:val="20"/>
                <w:szCs w:val="20"/>
                <w:lang w:val="fr-CA"/>
              </w:rPr>
            </w:pPr>
            <w:r w:rsidRPr="009435DF">
              <w:rPr>
                <w:sz w:val="20"/>
                <w:szCs w:val="20"/>
                <w:lang w:val="fr-CA"/>
              </w:rPr>
              <w:t>Requête en révision judiciaire accueillie.</w:t>
            </w:r>
          </w:p>
          <w:p w:rsidR="007D7022" w:rsidRPr="009435DF" w:rsidRDefault="007D7022" w:rsidP="00C1054E">
            <w:pPr>
              <w:pStyle w:val="SCCShortJudgment"/>
              <w:ind w:firstLine="0"/>
              <w:rPr>
                <w:rFonts w:cs="Times New Roman"/>
                <w:szCs w:val="20"/>
                <w:lang w:val="fr-CA"/>
              </w:rPr>
            </w:pPr>
          </w:p>
        </w:tc>
      </w:tr>
      <w:tr w:rsidR="007D7022" w:rsidRPr="00D75D0F" w:rsidTr="00C1054E">
        <w:trPr>
          <w:cantSplit/>
        </w:trPr>
        <w:tc>
          <w:tcPr>
            <w:tcW w:w="4410" w:type="dxa"/>
          </w:tcPr>
          <w:p w:rsidR="007D7022" w:rsidRPr="009435DF" w:rsidRDefault="007D7022" w:rsidP="007D7022">
            <w:pPr>
              <w:rPr>
                <w:sz w:val="20"/>
                <w:szCs w:val="20"/>
                <w:lang w:val="fr-CA"/>
              </w:rPr>
            </w:pPr>
            <w:r w:rsidRPr="009435DF">
              <w:rPr>
                <w:sz w:val="20"/>
                <w:szCs w:val="20"/>
                <w:lang w:val="fr-CA"/>
              </w:rPr>
              <w:t>Le 6 novembre 2015</w:t>
            </w:r>
          </w:p>
          <w:p w:rsidR="007D7022" w:rsidRPr="009435DF" w:rsidRDefault="007D7022" w:rsidP="007D7022">
            <w:pPr>
              <w:rPr>
                <w:sz w:val="20"/>
                <w:szCs w:val="20"/>
                <w:lang w:val="fr-CA"/>
              </w:rPr>
            </w:pPr>
            <w:r w:rsidRPr="009435DF">
              <w:rPr>
                <w:sz w:val="20"/>
                <w:szCs w:val="20"/>
                <w:lang w:val="fr-CA"/>
              </w:rPr>
              <w:t>Cour d’appel du Québec (Montréal)</w:t>
            </w:r>
          </w:p>
          <w:p w:rsidR="007D7022" w:rsidRPr="009435DF" w:rsidRDefault="007D7022" w:rsidP="007D7022">
            <w:pPr>
              <w:rPr>
                <w:sz w:val="20"/>
                <w:szCs w:val="20"/>
                <w:lang w:val="fr-CA"/>
              </w:rPr>
            </w:pPr>
            <w:r w:rsidRPr="009435DF">
              <w:rPr>
                <w:sz w:val="20"/>
                <w:szCs w:val="20"/>
                <w:lang w:val="fr-CA"/>
              </w:rPr>
              <w:t>(Les juges Bich, Dufresne et Marcotte)</w:t>
            </w:r>
          </w:p>
          <w:p w:rsidR="007D7022" w:rsidRPr="0016267B" w:rsidRDefault="00D75D0F" w:rsidP="007D7022">
            <w:pPr>
              <w:rPr>
                <w:sz w:val="20"/>
                <w:szCs w:val="20"/>
                <w:u w:val="single"/>
              </w:rPr>
            </w:pPr>
            <w:hyperlink r:id="rId26" w:history="1">
              <w:r w:rsidR="007D7022" w:rsidRPr="0016267B">
                <w:rPr>
                  <w:rStyle w:val="Hyperlink"/>
                  <w:sz w:val="20"/>
                  <w:szCs w:val="20"/>
                </w:rPr>
                <w:t>2015 QCCA 1856</w:t>
              </w:r>
            </w:hyperlink>
          </w:p>
          <w:p w:rsidR="007D7022" w:rsidRPr="009435DF" w:rsidRDefault="007D7022" w:rsidP="00C1054E">
            <w:pPr>
              <w:pStyle w:val="SCCShortJudgment"/>
              <w:ind w:firstLine="0"/>
              <w:rPr>
                <w:rFonts w:cs="Times New Roman"/>
                <w:szCs w:val="20"/>
                <w:lang w:val="fr-CA"/>
              </w:rPr>
            </w:pPr>
          </w:p>
        </w:tc>
        <w:tc>
          <w:tcPr>
            <w:tcW w:w="630" w:type="dxa"/>
          </w:tcPr>
          <w:p w:rsidR="007D7022" w:rsidRPr="009435DF" w:rsidRDefault="007D7022" w:rsidP="00C1054E">
            <w:pPr>
              <w:pStyle w:val="SCCShortJudgment"/>
              <w:ind w:firstLine="0"/>
              <w:rPr>
                <w:rFonts w:cs="Times New Roman"/>
                <w:szCs w:val="20"/>
                <w:lang w:val="fr-CA"/>
              </w:rPr>
            </w:pPr>
          </w:p>
        </w:tc>
        <w:tc>
          <w:tcPr>
            <w:tcW w:w="4536" w:type="dxa"/>
          </w:tcPr>
          <w:p w:rsidR="007D7022" w:rsidRPr="00C1054E" w:rsidRDefault="007D7022" w:rsidP="007D7022">
            <w:pPr>
              <w:rPr>
                <w:sz w:val="20"/>
                <w:szCs w:val="20"/>
                <w:lang w:val="fr-CA"/>
              </w:rPr>
            </w:pPr>
            <w:r w:rsidRPr="00C1054E">
              <w:rPr>
                <w:sz w:val="20"/>
                <w:szCs w:val="20"/>
                <w:lang w:val="fr-CA"/>
              </w:rPr>
              <w:t>Appel accueilli.</w:t>
            </w:r>
          </w:p>
          <w:p w:rsidR="007D7022" w:rsidRPr="009435DF" w:rsidRDefault="007D7022" w:rsidP="007D7022">
            <w:pPr>
              <w:pStyle w:val="SCCShortJudgment"/>
              <w:ind w:firstLine="0"/>
              <w:rPr>
                <w:rFonts w:cs="Times New Roman"/>
                <w:szCs w:val="20"/>
                <w:lang w:val="fr-CA"/>
              </w:rPr>
            </w:pPr>
            <w:r w:rsidRPr="009435DF">
              <w:rPr>
                <w:szCs w:val="20"/>
                <w:lang w:val="fr-CA"/>
              </w:rPr>
              <w:t>Requête en révision judiciaire rejetée.</w:t>
            </w:r>
          </w:p>
        </w:tc>
      </w:tr>
      <w:tr w:rsidR="007D7022" w:rsidRPr="009435DF" w:rsidTr="00C1054E">
        <w:trPr>
          <w:cantSplit/>
        </w:trPr>
        <w:tc>
          <w:tcPr>
            <w:tcW w:w="4410" w:type="dxa"/>
          </w:tcPr>
          <w:p w:rsidR="007D7022" w:rsidRPr="009435DF" w:rsidRDefault="007D7022" w:rsidP="007D7022">
            <w:pPr>
              <w:rPr>
                <w:sz w:val="20"/>
                <w:szCs w:val="20"/>
                <w:lang w:val="fr-CA"/>
              </w:rPr>
            </w:pPr>
            <w:r w:rsidRPr="009435DF">
              <w:rPr>
                <w:sz w:val="20"/>
                <w:szCs w:val="20"/>
                <w:lang w:val="fr-CA"/>
              </w:rPr>
              <w:t>Le 30 décembre 2015</w:t>
            </w:r>
          </w:p>
          <w:p w:rsidR="007D7022" w:rsidRPr="009435DF" w:rsidRDefault="007D7022" w:rsidP="007D7022">
            <w:pPr>
              <w:rPr>
                <w:sz w:val="20"/>
                <w:szCs w:val="20"/>
                <w:lang w:val="fr-CA"/>
              </w:rPr>
            </w:pPr>
            <w:r w:rsidRPr="009435DF">
              <w:rPr>
                <w:sz w:val="20"/>
                <w:szCs w:val="20"/>
                <w:lang w:val="fr-CA"/>
              </w:rPr>
              <w:t>Cour suprême du Canada</w:t>
            </w:r>
          </w:p>
          <w:p w:rsidR="007D7022" w:rsidRPr="009435DF" w:rsidRDefault="007D7022" w:rsidP="007D7022">
            <w:pPr>
              <w:pStyle w:val="SCCShortJudgment"/>
              <w:tabs>
                <w:tab w:val="left" w:pos="1270"/>
              </w:tabs>
              <w:ind w:firstLine="0"/>
              <w:rPr>
                <w:rFonts w:cs="Times New Roman"/>
                <w:szCs w:val="20"/>
                <w:lang w:val="fr-CA"/>
              </w:rPr>
            </w:pPr>
          </w:p>
        </w:tc>
        <w:tc>
          <w:tcPr>
            <w:tcW w:w="630" w:type="dxa"/>
          </w:tcPr>
          <w:p w:rsidR="007D7022" w:rsidRPr="009435DF" w:rsidRDefault="007D7022" w:rsidP="00C1054E">
            <w:pPr>
              <w:pStyle w:val="SCCShortJudgment"/>
              <w:ind w:firstLine="0"/>
              <w:rPr>
                <w:rFonts w:cs="Times New Roman"/>
                <w:szCs w:val="20"/>
                <w:lang w:val="fr-CA"/>
              </w:rPr>
            </w:pPr>
          </w:p>
        </w:tc>
        <w:tc>
          <w:tcPr>
            <w:tcW w:w="4536" w:type="dxa"/>
          </w:tcPr>
          <w:p w:rsidR="007D7022" w:rsidRPr="009435DF" w:rsidRDefault="007D7022" w:rsidP="00C1054E">
            <w:pPr>
              <w:pStyle w:val="SCCShortJudgment"/>
              <w:ind w:firstLine="0"/>
              <w:rPr>
                <w:rFonts w:cs="Times New Roman"/>
                <w:szCs w:val="20"/>
                <w:lang w:val="fr-CA"/>
              </w:rPr>
            </w:pPr>
            <w:r w:rsidRPr="009435DF">
              <w:rPr>
                <w:szCs w:val="20"/>
              </w:rPr>
              <w:t>Demande d’autorisation d’appel déposée</w:t>
            </w:r>
          </w:p>
        </w:tc>
      </w:tr>
    </w:tbl>
    <w:p w:rsidR="007D7022" w:rsidRPr="007D7022" w:rsidRDefault="00D75D0F" w:rsidP="000E2959">
      <w:pPr>
        <w:rPr>
          <w:sz w:val="20"/>
          <w:szCs w:val="20"/>
          <w:lang w:val="fr-CA"/>
        </w:rPr>
      </w:pPr>
      <w:r>
        <w:rPr>
          <w:rFonts w:cs="Times New Roman"/>
          <w:sz w:val="20"/>
          <w:szCs w:val="20"/>
          <w:lang w:val="fr-CA"/>
        </w:rPr>
        <w:pict>
          <v:rect id="_x0000_i1044" style="width:2in;height:1pt" o:hrpct="0" o:hralign="center" o:hrstd="t" o:hrnoshade="t" o:hr="t" fillcolor="black [3213]" stroked="f"/>
        </w:pict>
      </w:r>
    </w:p>
    <w:p w:rsidR="008D292F" w:rsidRDefault="008D292F"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75413" w:rsidRPr="0016267B" w:rsidTr="00C1054E">
        <w:trPr>
          <w:cantSplit/>
        </w:trPr>
        <w:tc>
          <w:tcPr>
            <w:tcW w:w="1458" w:type="dxa"/>
          </w:tcPr>
          <w:p w:rsidR="00D75413" w:rsidRPr="0016267B" w:rsidRDefault="00D75413" w:rsidP="00C1054E">
            <w:pPr>
              <w:jc w:val="both"/>
              <w:rPr>
                <w:rFonts w:cs="Times New Roman"/>
                <w:sz w:val="20"/>
                <w:szCs w:val="20"/>
              </w:rPr>
            </w:pPr>
            <w:r w:rsidRPr="0016267B">
              <w:rPr>
                <w:rStyle w:val="SCCFileNumberChar"/>
                <w:sz w:val="20"/>
                <w:szCs w:val="20"/>
              </w:rPr>
              <w:t>36818</w:t>
            </w:r>
          </w:p>
          <w:p w:rsidR="00D75413" w:rsidRPr="0016267B" w:rsidRDefault="00D75413" w:rsidP="00C1054E">
            <w:pPr>
              <w:jc w:val="both"/>
              <w:rPr>
                <w:rFonts w:cs="Times New Roman"/>
                <w:b/>
                <w:sz w:val="20"/>
                <w:szCs w:val="20"/>
              </w:rPr>
            </w:pPr>
          </w:p>
        </w:tc>
        <w:tc>
          <w:tcPr>
            <w:tcW w:w="8118" w:type="dxa"/>
            <w:gridSpan w:val="3"/>
          </w:tcPr>
          <w:p w:rsidR="00D75413" w:rsidRPr="0016267B" w:rsidRDefault="00D75413" w:rsidP="00C1054E">
            <w:pPr>
              <w:jc w:val="both"/>
              <w:rPr>
                <w:rFonts w:cs="Times New Roman"/>
                <w:sz w:val="20"/>
                <w:szCs w:val="20"/>
              </w:rPr>
            </w:pPr>
            <w:r w:rsidRPr="0016267B">
              <w:rPr>
                <w:rStyle w:val="SCCLsocChar"/>
                <w:rFonts w:cs="Times New Roman"/>
                <w:sz w:val="20"/>
                <w:szCs w:val="20"/>
                <w:lang w:val="en-CA"/>
              </w:rPr>
              <w:t>Jo Anne Nancy Alexander v. Her Majesty the Queen</w:t>
            </w:r>
            <w:r w:rsidR="00B77D6C" w:rsidRPr="0016267B">
              <w:rPr>
                <w:rStyle w:val="SCCLsocChar"/>
                <w:rFonts w:cs="Times New Roman"/>
                <w:b w:val="0"/>
                <w:sz w:val="20"/>
                <w:szCs w:val="20"/>
                <w:u w:val="none"/>
                <w:lang w:val="en-CA"/>
              </w:rPr>
              <w:t xml:space="preserve"> (B.C.) (Crim.) (By Leave)</w:t>
            </w:r>
          </w:p>
          <w:p w:rsidR="00D75413" w:rsidRPr="0016267B" w:rsidRDefault="00D75413" w:rsidP="00C1054E">
            <w:pPr>
              <w:jc w:val="both"/>
              <w:rPr>
                <w:rFonts w:cs="Times New Roman"/>
                <w:sz w:val="20"/>
                <w:szCs w:val="20"/>
              </w:rPr>
            </w:pPr>
          </w:p>
        </w:tc>
      </w:tr>
      <w:tr w:rsidR="00D75413" w:rsidRPr="0016267B" w:rsidTr="00C1054E">
        <w:trPr>
          <w:cantSplit/>
        </w:trPr>
        <w:tc>
          <w:tcPr>
            <w:tcW w:w="1458" w:type="dxa"/>
          </w:tcPr>
          <w:p w:rsidR="00D75413" w:rsidRPr="0016267B" w:rsidRDefault="00D75413" w:rsidP="00C1054E">
            <w:pPr>
              <w:jc w:val="both"/>
              <w:rPr>
                <w:rFonts w:cs="Times New Roman"/>
                <w:sz w:val="20"/>
                <w:szCs w:val="20"/>
              </w:rPr>
            </w:pPr>
            <w:r w:rsidRPr="0016267B">
              <w:rPr>
                <w:rFonts w:cs="Times New Roman"/>
                <w:sz w:val="20"/>
                <w:szCs w:val="20"/>
              </w:rPr>
              <w:t>Coram :</w:t>
            </w:r>
          </w:p>
        </w:tc>
        <w:tc>
          <w:tcPr>
            <w:tcW w:w="8118" w:type="dxa"/>
            <w:gridSpan w:val="3"/>
          </w:tcPr>
          <w:p w:rsidR="00D75413" w:rsidRPr="0016267B" w:rsidRDefault="00D75413" w:rsidP="00C1054E">
            <w:pPr>
              <w:jc w:val="both"/>
              <w:rPr>
                <w:rStyle w:val="SCCCoramChar"/>
                <w:rFonts w:cs="Times New Roman"/>
                <w:sz w:val="20"/>
                <w:szCs w:val="20"/>
                <w:lang w:val="en-CA"/>
              </w:rPr>
            </w:pPr>
            <w:r w:rsidRPr="0016267B">
              <w:rPr>
                <w:rStyle w:val="SCCCoramChar"/>
                <w:rFonts w:cs="Times New Roman"/>
                <w:sz w:val="20"/>
                <w:szCs w:val="20"/>
                <w:lang w:val="en-CA"/>
              </w:rPr>
              <w:t>Abella, Karakatsanis and Brown JJ.</w:t>
            </w:r>
          </w:p>
          <w:p w:rsidR="00D75413" w:rsidRPr="0016267B" w:rsidRDefault="00D75413" w:rsidP="00C1054E">
            <w:pPr>
              <w:jc w:val="both"/>
              <w:rPr>
                <w:rFonts w:cs="Times New Roman"/>
                <w:sz w:val="20"/>
                <w:szCs w:val="20"/>
              </w:rPr>
            </w:pPr>
          </w:p>
        </w:tc>
      </w:tr>
      <w:tr w:rsidR="00D75413" w:rsidRPr="00D75D0F" w:rsidTr="00C1054E">
        <w:trPr>
          <w:cantSplit/>
        </w:trPr>
        <w:tc>
          <w:tcPr>
            <w:tcW w:w="9576" w:type="dxa"/>
            <w:gridSpan w:val="4"/>
          </w:tcPr>
          <w:p w:rsidR="00D75413" w:rsidRPr="0016267B" w:rsidRDefault="00D75413" w:rsidP="00C1054E">
            <w:pPr>
              <w:pStyle w:val="SCCShortJudgment"/>
              <w:ind w:firstLine="0"/>
              <w:rPr>
                <w:rFonts w:cs="Times New Roman"/>
                <w:szCs w:val="20"/>
              </w:rPr>
            </w:pPr>
            <w:r w:rsidRPr="0016267B">
              <w:rPr>
                <w:rFonts w:cs="Times New Roman"/>
                <w:szCs w:val="20"/>
              </w:rPr>
              <w:tab/>
            </w:r>
            <w:r w:rsidRPr="0016267B">
              <w:rPr>
                <w:szCs w:val="20"/>
              </w:rPr>
              <w:t>The application for leave to appeal from the judgment of the Court of Appeal for British Columbia (Vancouver), Number CA42014, 2015 BCCA 484, dated November 27, 2015, is dismissed.</w:t>
            </w:r>
          </w:p>
          <w:p w:rsidR="00D75413" w:rsidRPr="0016267B" w:rsidRDefault="00D75413" w:rsidP="00D75413">
            <w:pPr>
              <w:pStyle w:val="SCCShortJudgment"/>
              <w:ind w:firstLine="0"/>
              <w:jc w:val="left"/>
              <w:rPr>
                <w:rFonts w:cs="Times New Roman"/>
                <w:szCs w:val="20"/>
              </w:rPr>
            </w:pPr>
          </w:p>
          <w:p w:rsidR="00D75413" w:rsidRPr="0016267B" w:rsidRDefault="00D75413" w:rsidP="00F44AE7">
            <w:pPr>
              <w:jc w:val="both"/>
              <w:rPr>
                <w:sz w:val="20"/>
                <w:szCs w:val="20"/>
                <w:lang w:val="fr-CA"/>
              </w:rPr>
            </w:pPr>
            <w:r w:rsidRPr="0016267B">
              <w:rPr>
                <w:rFonts w:cs="Times New Roman"/>
                <w:sz w:val="20"/>
                <w:szCs w:val="20"/>
              </w:rPr>
              <w:tab/>
            </w:r>
            <w:r w:rsidRPr="0016267B">
              <w:rPr>
                <w:sz w:val="20"/>
                <w:szCs w:val="20"/>
                <w:lang w:val="fr-CA"/>
              </w:rPr>
              <w:t xml:space="preserve">La demande d’autorisation d’appel de l’arrêt de la </w:t>
            </w:r>
            <w:r w:rsidRPr="0016267B">
              <w:rPr>
                <w:sz w:val="20"/>
                <w:szCs w:val="20"/>
                <w:lang w:val="fr-FR"/>
              </w:rPr>
              <w:t>Cour d’appel de la Colombie-Britannique (Vancouver)</w:t>
            </w:r>
            <w:r w:rsidRPr="0016267B">
              <w:rPr>
                <w:sz w:val="20"/>
                <w:szCs w:val="20"/>
                <w:lang w:val="fr-CA"/>
              </w:rPr>
              <w:t xml:space="preserve">, numéro </w:t>
            </w:r>
            <w:r w:rsidRPr="0016267B">
              <w:rPr>
                <w:sz w:val="20"/>
                <w:szCs w:val="20"/>
                <w:lang w:val="fr-FR"/>
              </w:rPr>
              <w:t>CA42014, 2015 BCCA 484</w:t>
            </w:r>
            <w:r w:rsidRPr="0016267B">
              <w:rPr>
                <w:sz w:val="20"/>
                <w:szCs w:val="20"/>
                <w:lang w:val="fr-CA"/>
              </w:rPr>
              <w:t xml:space="preserve">, daté du </w:t>
            </w:r>
            <w:r w:rsidRPr="0016267B">
              <w:rPr>
                <w:sz w:val="20"/>
                <w:szCs w:val="20"/>
                <w:lang w:val="fr-FR"/>
              </w:rPr>
              <w:t>27 novembre 2015</w:t>
            </w:r>
            <w:r w:rsidRPr="0016267B">
              <w:rPr>
                <w:sz w:val="20"/>
                <w:szCs w:val="20"/>
                <w:lang w:val="fr-CA"/>
              </w:rPr>
              <w:t>, est rejetée.</w:t>
            </w:r>
          </w:p>
          <w:p w:rsidR="00D75413" w:rsidRPr="0016267B" w:rsidRDefault="00D75413" w:rsidP="00D75413">
            <w:pPr>
              <w:rPr>
                <w:rFonts w:cs="Times New Roman"/>
                <w:sz w:val="20"/>
                <w:szCs w:val="20"/>
                <w:lang w:val="fr-CA"/>
              </w:rPr>
            </w:pPr>
          </w:p>
        </w:tc>
      </w:tr>
      <w:tr w:rsidR="00D75413" w:rsidRPr="0016267B" w:rsidTr="00C1054E">
        <w:trPr>
          <w:cantSplit/>
        </w:trPr>
        <w:tc>
          <w:tcPr>
            <w:tcW w:w="9576" w:type="dxa"/>
            <w:gridSpan w:val="4"/>
          </w:tcPr>
          <w:p w:rsidR="00D75413" w:rsidRPr="0016267B" w:rsidRDefault="00D75413" w:rsidP="00C1054E">
            <w:pPr>
              <w:pStyle w:val="SCCShortJudgment"/>
              <w:ind w:firstLine="0"/>
              <w:rPr>
                <w:rFonts w:cs="Times New Roman"/>
                <w:szCs w:val="20"/>
                <w:u w:val="single"/>
                <w:lang w:val="fr-CA"/>
              </w:rPr>
            </w:pPr>
            <w:r w:rsidRPr="0016267B">
              <w:rPr>
                <w:rFonts w:cs="Times New Roman"/>
                <w:szCs w:val="20"/>
                <w:u w:val="single"/>
                <w:lang w:val="fr-CA"/>
              </w:rPr>
              <w:t>CASE SUMMARY</w:t>
            </w:r>
          </w:p>
          <w:p w:rsidR="00D75413" w:rsidRPr="0016267B" w:rsidRDefault="00D75413" w:rsidP="00C1054E">
            <w:pPr>
              <w:pStyle w:val="SCCShortJudgment"/>
              <w:ind w:firstLine="0"/>
              <w:rPr>
                <w:rFonts w:cs="Times New Roman"/>
                <w:szCs w:val="20"/>
                <w:lang w:val="fr-CA"/>
              </w:rPr>
            </w:pPr>
          </w:p>
        </w:tc>
      </w:tr>
      <w:tr w:rsidR="00D75413" w:rsidRPr="0016267B" w:rsidTr="00C1054E">
        <w:trPr>
          <w:cantSplit/>
        </w:trPr>
        <w:tc>
          <w:tcPr>
            <w:tcW w:w="9576" w:type="dxa"/>
            <w:gridSpan w:val="4"/>
          </w:tcPr>
          <w:p w:rsidR="00D75413" w:rsidRPr="0016267B" w:rsidRDefault="00D75413" w:rsidP="00C1054E">
            <w:pPr>
              <w:pStyle w:val="SCCShortJudgment"/>
              <w:ind w:firstLine="0"/>
              <w:rPr>
                <w:szCs w:val="20"/>
                <w:lang w:val="en-US"/>
              </w:rPr>
            </w:pPr>
            <w:r w:rsidRPr="0016267B">
              <w:rPr>
                <w:szCs w:val="20"/>
              </w:rPr>
              <w:t xml:space="preserve">Criminal law </w:t>
            </w:r>
            <w:r w:rsidRPr="0016267B">
              <w:rPr>
                <w:rFonts w:cs="Times New Roman"/>
                <w:szCs w:val="20"/>
              </w:rPr>
              <w:t>—</w:t>
            </w:r>
            <w:r w:rsidRPr="0016267B">
              <w:rPr>
                <w:szCs w:val="20"/>
              </w:rPr>
              <w:t xml:space="preserve"> Defences </w:t>
            </w:r>
            <w:r w:rsidRPr="0016267B">
              <w:rPr>
                <w:rFonts w:cs="Times New Roman"/>
                <w:szCs w:val="20"/>
              </w:rPr>
              <w:t>—</w:t>
            </w:r>
            <w:r w:rsidRPr="0016267B">
              <w:rPr>
                <w:szCs w:val="20"/>
              </w:rPr>
              <w:t xml:space="preserve"> Non-mental disorder automatism </w:t>
            </w:r>
            <w:r w:rsidRPr="0016267B">
              <w:rPr>
                <w:rFonts w:cs="Times New Roman"/>
                <w:szCs w:val="20"/>
              </w:rPr>
              <w:t>—</w:t>
            </w:r>
            <w:r w:rsidRPr="0016267B">
              <w:rPr>
                <w:szCs w:val="20"/>
              </w:rPr>
              <w:t xml:space="preserve"> Mental disorder automatism </w:t>
            </w:r>
            <w:r w:rsidRPr="0016267B">
              <w:rPr>
                <w:rFonts w:cs="Times New Roman"/>
                <w:szCs w:val="20"/>
              </w:rPr>
              <w:t>—</w:t>
            </w:r>
            <w:r w:rsidRPr="0016267B">
              <w:rPr>
                <w:iCs/>
                <w:szCs w:val="20"/>
              </w:rPr>
              <w:t xml:space="preserve"> Trial judge instructed the jury only on non-mental disorder automatism</w:t>
            </w:r>
            <w:r w:rsidRPr="0016267B">
              <w:rPr>
                <w:szCs w:val="20"/>
              </w:rPr>
              <w:t xml:space="preserve"> </w:t>
            </w:r>
            <w:r w:rsidRPr="0016267B">
              <w:rPr>
                <w:rFonts w:cs="Times New Roman"/>
                <w:szCs w:val="20"/>
              </w:rPr>
              <w:t>—</w:t>
            </w:r>
            <w:r w:rsidRPr="0016267B">
              <w:rPr>
                <w:szCs w:val="20"/>
              </w:rPr>
              <w:t xml:space="preserve"> </w:t>
            </w:r>
            <w:r w:rsidRPr="0016267B">
              <w:rPr>
                <w:szCs w:val="20"/>
                <w:lang w:val="en-US"/>
              </w:rPr>
              <w:t>Whether the Court of Appeal erred in finding that both forms of automatism could not be left with the jury.</w:t>
            </w:r>
          </w:p>
          <w:p w:rsidR="00D75413" w:rsidRPr="0016267B" w:rsidRDefault="00D75413" w:rsidP="00C1054E">
            <w:pPr>
              <w:pStyle w:val="SCCShortJudgment"/>
              <w:ind w:firstLine="0"/>
              <w:rPr>
                <w:rFonts w:cs="Times New Roman"/>
                <w:szCs w:val="20"/>
              </w:rPr>
            </w:pPr>
          </w:p>
        </w:tc>
      </w:tr>
      <w:tr w:rsidR="00D75413" w:rsidRPr="0016267B" w:rsidTr="00C1054E">
        <w:trPr>
          <w:cantSplit/>
        </w:trPr>
        <w:tc>
          <w:tcPr>
            <w:tcW w:w="9576" w:type="dxa"/>
            <w:gridSpan w:val="4"/>
          </w:tcPr>
          <w:p w:rsidR="00D75413" w:rsidRPr="0016267B" w:rsidRDefault="00D75413" w:rsidP="0082555B">
            <w:pPr>
              <w:jc w:val="both"/>
              <w:rPr>
                <w:iCs/>
                <w:sz w:val="20"/>
                <w:szCs w:val="20"/>
              </w:rPr>
            </w:pPr>
            <w:r w:rsidRPr="0016267B">
              <w:rPr>
                <w:sz w:val="20"/>
                <w:szCs w:val="20"/>
              </w:rPr>
              <w:t xml:space="preserve">The applicant does not dispute she killed her husband John by hitting his head several times with a baseball bat or a hammer. She claims she does not remember inflicting the blows but only recalls the shocking sight of her husband with a knife in his ear. The applicant requested that the </w:t>
            </w:r>
            <w:r w:rsidRPr="0016267B">
              <w:rPr>
                <w:iCs/>
                <w:sz w:val="20"/>
                <w:szCs w:val="20"/>
              </w:rPr>
              <w:t>trial judge instruct the jury on both mental and non-mental disorder automatism. The judge instructed the jury only on non-mental disorder automatism. The jury convicted the applicant of second degree murder. The Court of Appeal dismissed the appeal.</w:t>
            </w:r>
          </w:p>
          <w:p w:rsidR="00D75413" w:rsidRPr="0016267B" w:rsidRDefault="00D75413" w:rsidP="00C1054E">
            <w:pPr>
              <w:pStyle w:val="SCCShortJudgment"/>
              <w:ind w:firstLine="0"/>
              <w:rPr>
                <w:rFonts w:cs="Times New Roman"/>
                <w:szCs w:val="20"/>
              </w:rPr>
            </w:pPr>
          </w:p>
        </w:tc>
      </w:tr>
      <w:tr w:rsidR="00D75413" w:rsidRPr="0016267B" w:rsidTr="00C1054E">
        <w:trPr>
          <w:cantSplit/>
        </w:trPr>
        <w:tc>
          <w:tcPr>
            <w:tcW w:w="4410" w:type="dxa"/>
            <w:gridSpan w:val="2"/>
          </w:tcPr>
          <w:p w:rsidR="00D75413" w:rsidRPr="0016267B" w:rsidRDefault="00D75413" w:rsidP="00D75413">
            <w:pPr>
              <w:rPr>
                <w:sz w:val="20"/>
                <w:szCs w:val="20"/>
              </w:rPr>
            </w:pPr>
            <w:r w:rsidRPr="0016267B">
              <w:rPr>
                <w:sz w:val="20"/>
                <w:szCs w:val="20"/>
              </w:rPr>
              <w:t>March 19, 2014</w:t>
            </w:r>
          </w:p>
          <w:p w:rsidR="00D75413" w:rsidRPr="0016267B" w:rsidRDefault="00D75413" w:rsidP="00D75413">
            <w:pPr>
              <w:rPr>
                <w:sz w:val="20"/>
                <w:szCs w:val="20"/>
              </w:rPr>
            </w:pPr>
            <w:r w:rsidRPr="0016267B">
              <w:rPr>
                <w:sz w:val="20"/>
                <w:szCs w:val="20"/>
              </w:rPr>
              <w:t>Supreme Court of British Columbia</w:t>
            </w:r>
          </w:p>
          <w:p w:rsidR="00D75413" w:rsidRPr="0016267B" w:rsidRDefault="00D75413" w:rsidP="00D75413">
            <w:pPr>
              <w:rPr>
                <w:sz w:val="20"/>
                <w:szCs w:val="20"/>
              </w:rPr>
            </w:pPr>
            <w:r w:rsidRPr="0016267B">
              <w:rPr>
                <w:sz w:val="20"/>
                <w:szCs w:val="20"/>
              </w:rPr>
              <w:t>(Watchuk J.)</w:t>
            </w:r>
          </w:p>
          <w:p w:rsidR="00D75413" w:rsidRPr="0016267B" w:rsidRDefault="00D75413" w:rsidP="00D75413">
            <w:pPr>
              <w:rPr>
                <w:sz w:val="20"/>
                <w:szCs w:val="20"/>
              </w:rPr>
            </w:pPr>
            <w:r w:rsidRPr="0016267B">
              <w:rPr>
                <w:sz w:val="20"/>
                <w:szCs w:val="20"/>
              </w:rPr>
              <w:t>2014 BCSC 554</w:t>
            </w:r>
          </w:p>
          <w:p w:rsidR="00D75413" w:rsidRPr="0016267B" w:rsidRDefault="00D75D0F" w:rsidP="00D75413">
            <w:pPr>
              <w:rPr>
                <w:sz w:val="20"/>
                <w:szCs w:val="20"/>
                <w:u w:val="single"/>
              </w:rPr>
            </w:pPr>
            <w:hyperlink r:id="rId27" w:history="1">
              <w:r w:rsidR="00D75413" w:rsidRPr="0016267B">
                <w:rPr>
                  <w:rStyle w:val="Hyperlink"/>
                  <w:rFonts w:eastAsiaTheme="majorEastAsia"/>
                  <w:color w:val="0000FF"/>
                  <w:sz w:val="20"/>
                  <w:szCs w:val="20"/>
                </w:rPr>
                <w:t>http://canlii.ca/t/g6cfk</w:t>
              </w:r>
            </w:hyperlink>
          </w:p>
          <w:p w:rsidR="00D75413" w:rsidRPr="0016267B" w:rsidRDefault="00D75413" w:rsidP="00C1054E">
            <w:pPr>
              <w:jc w:val="both"/>
              <w:rPr>
                <w:rFonts w:cs="Times New Roman"/>
                <w:sz w:val="20"/>
                <w:szCs w:val="20"/>
              </w:rPr>
            </w:pPr>
          </w:p>
        </w:tc>
        <w:tc>
          <w:tcPr>
            <w:tcW w:w="630" w:type="dxa"/>
          </w:tcPr>
          <w:p w:rsidR="00D75413" w:rsidRPr="0016267B" w:rsidRDefault="00D75413" w:rsidP="00C1054E">
            <w:pPr>
              <w:pStyle w:val="SCCShortJudgment"/>
              <w:ind w:firstLine="0"/>
              <w:rPr>
                <w:rFonts w:cs="Times New Roman"/>
                <w:szCs w:val="20"/>
              </w:rPr>
            </w:pPr>
          </w:p>
        </w:tc>
        <w:tc>
          <w:tcPr>
            <w:tcW w:w="4536" w:type="dxa"/>
          </w:tcPr>
          <w:p w:rsidR="00D75413" w:rsidRPr="0016267B" w:rsidRDefault="00D75413" w:rsidP="0082555B">
            <w:pPr>
              <w:jc w:val="both"/>
              <w:rPr>
                <w:rFonts w:cs="Times New Roman"/>
                <w:sz w:val="20"/>
                <w:szCs w:val="20"/>
              </w:rPr>
            </w:pPr>
            <w:r w:rsidRPr="0016267B">
              <w:rPr>
                <w:sz w:val="20"/>
                <w:szCs w:val="20"/>
              </w:rPr>
              <w:t>Ruling: jury instructed on the non-mental disorder automatism defence.</w:t>
            </w:r>
          </w:p>
        </w:tc>
      </w:tr>
      <w:tr w:rsidR="00D75413" w:rsidRPr="0016267B" w:rsidTr="00C1054E">
        <w:trPr>
          <w:cantSplit/>
        </w:trPr>
        <w:tc>
          <w:tcPr>
            <w:tcW w:w="4410" w:type="dxa"/>
            <w:gridSpan w:val="2"/>
          </w:tcPr>
          <w:p w:rsidR="00D75413" w:rsidRPr="0016267B" w:rsidRDefault="00D75413" w:rsidP="00D75413">
            <w:pPr>
              <w:rPr>
                <w:sz w:val="20"/>
                <w:szCs w:val="20"/>
              </w:rPr>
            </w:pPr>
            <w:r w:rsidRPr="0016267B">
              <w:rPr>
                <w:sz w:val="20"/>
                <w:szCs w:val="20"/>
              </w:rPr>
              <w:t>March 25, 2014</w:t>
            </w:r>
          </w:p>
          <w:p w:rsidR="00D75413" w:rsidRPr="0016267B" w:rsidRDefault="00D75413" w:rsidP="00D75413">
            <w:pPr>
              <w:rPr>
                <w:sz w:val="20"/>
                <w:szCs w:val="20"/>
              </w:rPr>
            </w:pPr>
            <w:r w:rsidRPr="0016267B">
              <w:rPr>
                <w:sz w:val="20"/>
                <w:szCs w:val="20"/>
              </w:rPr>
              <w:t>Supreme Court of British Columbia</w:t>
            </w:r>
          </w:p>
          <w:p w:rsidR="00D75413" w:rsidRPr="0016267B" w:rsidRDefault="00D75413" w:rsidP="00D75413">
            <w:pPr>
              <w:rPr>
                <w:sz w:val="20"/>
                <w:szCs w:val="20"/>
              </w:rPr>
            </w:pPr>
            <w:r w:rsidRPr="0016267B">
              <w:rPr>
                <w:sz w:val="20"/>
                <w:szCs w:val="20"/>
              </w:rPr>
              <w:t>(Watchuk J.)</w:t>
            </w:r>
          </w:p>
          <w:p w:rsidR="00D75413" w:rsidRPr="0016267B" w:rsidRDefault="00D75413" w:rsidP="00C1054E">
            <w:pPr>
              <w:jc w:val="both"/>
              <w:rPr>
                <w:rFonts w:cs="Times New Roman"/>
                <w:sz w:val="20"/>
                <w:szCs w:val="20"/>
              </w:rPr>
            </w:pPr>
          </w:p>
        </w:tc>
        <w:tc>
          <w:tcPr>
            <w:tcW w:w="630" w:type="dxa"/>
          </w:tcPr>
          <w:p w:rsidR="00D75413" w:rsidRPr="0016267B" w:rsidRDefault="00D75413" w:rsidP="00C1054E">
            <w:pPr>
              <w:pStyle w:val="SCCShortJudgment"/>
              <w:ind w:firstLine="0"/>
              <w:rPr>
                <w:rFonts w:cs="Times New Roman"/>
                <w:szCs w:val="20"/>
              </w:rPr>
            </w:pPr>
          </w:p>
        </w:tc>
        <w:tc>
          <w:tcPr>
            <w:tcW w:w="4536" w:type="dxa"/>
          </w:tcPr>
          <w:p w:rsidR="00D75413" w:rsidRPr="0016267B" w:rsidRDefault="00D75413" w:rsidP="00C1054E">
            <w:pPr>
              <w:jc w:val="both"/>
              <w:rPr>
                <w:rFonts w:cs="Times New Roman"/>
                <w:sz w:val="20"/>
                <w:szCs w:val="20"/>
              </w:rPr>
            </w:pPr>
            <w:r w:rsidRPr="0016267B">
              <w:rPr>
                <w:sz w:val="20"/>
                <w:szCs w:val="20"/>
              </w:rPr>
              <w:t>Applicant convicted of second degree murder.</w:t>
            </w:r>
          </w:p>
        </w:tc>
      </w:tr>
      <w:tr w:rsidR="00D75413" w:rsidRPr="0016267B" w:rsidTr="00C1054E">
        <w:trPr>
          <w:cantSplit/>
        </w:trPr>
        <w:tc>
          <w:tcPr>
            <w:tcW w:w="4410" w:type="dxa"/>
            <w:gridSpan w:val="2"/>
          </w:tcPr>
          <w:p w:rsidR="00D75413" w:rsidRPr="0016267B" w:rsidRDefault="00D75413" w:rsidP="00D75413">
            <w:pPr>
              <w:rPr>
                <w:sz w:val="20"/>
                <w:szCs w:val="20"/>
              </w:rPr>
            </w:pPr>
            <w:r w:rsidRPr="0016267B">
              <w:rPr>
                <w:sz w:val="20"/>
                <w:szCs w:val="20"/>
              </w:rPr>
              <w:t>November 27, 2015</w:t>
            </w:r>
          </w:p>
          <w:p w:rsidR="00D75413" w:rsidRPr="0016267B" w:rsidRDefault="00D75413" w:rsidP="00D75413">
            <w:pPr>
              <w:rPr>
                <w:sz w:val="20"/>
                <w:szCs w:val="20"/>
              </w:rPr>
            </w:pPr>
            <w:r w:rsidRPr="0016267B">
              <w:rPr>
                <w:sz w:val="20"/>
                <w:szCs w:val="20"/>
              </w:rPr>
              <w:t xml:space="preserve">Court of Appeal for British Columbia </w:t>
            </w:r>
          </w:p>
          <w:p w:rsidR="00D75413" w:rsidRPr="0016267B" w:rsidRDefault="00D75413" w:rsidP="00D75413">
            <w:pPr>
              <w:rPr>
                <w:sz w:val="20"/>
                <w:szCs w:val="20"/>
                <w:lang w:val="fr-FR"/>
              </w:rPr>
            </w:pPr>
            <w:r w:rsidRPr="0016267B">
              <w:rPr>
                <w:sz w:val="20"/>
                <w:szCs w:val="20"/>
                <w:lang w:val="fr-FR"/>
              </w:rPr>
              <w:t>(Vancouver)</w:t>
            </w:r>
          </w:p>
          <w:p w:rsidR="00D75413" w:rsidRPr="0016267B" w:rsidRDefault="00D75413" w:rsidP="00D75413">
            <w:pPr>
              <w:rPr>
                <w:sz w:val="20"/>
                <w:szCs w:val="20"/>
                <w:lang w:val="fr-FR"/>
              </w:rPr>
            </w:pPr>
            <w:r w:rsidRPr="0016267B">
              <w:rPr>
                <w:sz w:val="20"/>
                <w:szCs w:val="20"/>
                <w:lang w:val="fr-FR"/>
              </w:rPr>
              <w:t>(Bauman, Chiasson, Stromberg-Stein JJ.A.)</w:t>
            </w:r>
          </w:p>
          <w:p w:rsidR="00D75413" w:rsidRPr="0016267B" w:rsidRDefault="00D75413" w:rsidP="00D75413">
            <w:pPr>
              <w:rPr>
                <w:sz w:val="20"/>
                <w:szCs w:val="20"/>
              </w:rPr>
            </w:pPr>
            <w:r w:rsidRPr="0016267B">
              <w:rPr>
                <w:sz w:val="20"/>
                <w:szCs w:val="20"/>
              </w:rPr>
              <w:t>2015 BCCA 484; CA42014</w:t>
            </w:r>
          </w:p>
          <w:p w:rsidR="00D75413" w:rsidRPr="0016267B" w:rsidRDefault="00D75D0F" w:rsidP="00D75413">
            <w:pPr>
              <w:rPr>
                <w:sz w:val="20"/>
                <w:szCs w:val="20"/>
                <w:u w:val="single"/>
              </w:rPr>
            </w:pPr>
            <w:hyperlink r:id="rId28" w:history="1">
              <w:r w:rsidR="00D75413" w:rsidRPr="0016267B">
                <w:rPr>
                  <w:rStyle w:val="Hyperlink"/>
                  <w:rFonts w:eastAsiaTheme="majorEastAsia"/>
                  <w:color w:val="0000FF"/>
                  <w:sz w:val="20"/>
                  <w:szCs w:val="20"/>
                </w:rPr>
                <w:t>http://canlii.ca/t/gm91s</w:t>
              </w:r>
            </w:hyperlink>
          </w:p>
          <w:p w:rsidR="00D75413" w:rsidRPr="0016267B" w:rsidRDefault="00D75413" w:rsidP="00C1054E">
            <w:pPr>
              <w:jc w:val="both"/>
              <w:rPr>
                <w:rFonts w:cs="Times New Roman"/>
                <w:sz w:val="20"/>
                <w:szCs w:val="20"/>
              </w:rPr>
            </w:pPr>
          </w:p>
        </w:tc>
        <w:tc>
          <w:tcPr>
            <w:tcW w:w="630" w:type="dxa"/>
          </w:tcPr>
          <w:p w:rsidR="00D75413" w:rsidRPr="0016267B" w:rsidRDefault="00D75413" w:rsidP="00C1054E">
            <w:pPr>
              <w:pStyle w:val="SCCShortJudgment"/>
              <w:ind w:firstLine="0"/>
              <w:rPr>
                <w:rFonts w:cs="Times New Roman"/>
                <w:szCs w:val="20"/>
              </w:rPr>
            </w:pPr>
          </w:p>
        </w:tc>
        <w:tc>
          <w:tcPr>
            <w:tcW w:w="4536" w:type="dxa"/>
          </w:tcPr>
          <w:p w:rsidR="00D75413" w:rsidRPr="0016267B" w:rsidRDefault="00D75413" w:rsidP="00C1054E">
            <w:pPr>
              <w:jc w:val="both"/>
              <w:rPr>
                <w:rFonts w:cs="Times New Roman"/>
                <w:sz w:val="20"/>
                <w:szCs w:val="20"/>
              </w:rPr>
            </w:pPr>
            <w:r w:rsidRPr="0016267B">
              <w:rPr>
                <w:sz w:val="20"/>
                <w:szCs w:val="20"/>
              </w:rPr>
              <w:t>Appeal dismissed.</w:t>
            </w:r>
          </w:p>
        </w:tc>
      </w:tr>
      <w:tr w:rsidR="00D75413" w:rsidRPr="0016267B" w:rsidTr="00C1054E">
        <w:trPr>
          <w:cantSplit/>
        </w:trPr>
        <w:tc>
          <w:tcPr>
            <w:tcW w:w="4410" w:type="dxa"/>
            <w:gridSpan w:val="2"/>
          </w:tcPr>
          <w:p w:rsidR="00D75413" w:rsidRPr="0016267B" w:rsidRDefault="00D75413" w:rsidP="00D75413">
            <w:pPr>
              <w:rPr>
                <w:sz w:val="20"/>
                <w:szCs w:val="20"/>
              </w:rPr>
            </w:pPr>
            <w:r w:rsidRPr="0016267B">
              <w:rPr>
                <w:sz w:val="20"/>
                <w:szCs w:val="20"/>
              </w:rPr>
              <w:t>January 26, 2016</w:t>
            </w:r>
          </w:p>
          <w:p w:rsidR="00D75413" w:rsidRPr="0016267B" w:rsidRDefault="00D75413" w:rsidP="00D75413">
            <w:pPr>
              <w:rPr>
                <w:sz w:val="20"/>
                <w:szCs w:val="20"/>
              </w:rPr>
            </w:pPr>
            <w:r w:rsidRPr="0016267B">
              <w:rPr>
                <w:sz w:val="20"/>
                <w:szCs w:val="20"/>
              </w:rPr>
              <w:t>Supreme Court of Canada</w:t>
            </w:r>
          </w:p>
          <w:p w:rsidR="00D75413" w:rsidRPr="0016267B" w:rsidRDefault="00D75413" w:rsidP="00C1054E">
            <w:pPr>
              <w:jc w:val="both"/>
              <w:rPr>
                <w:rFonts w:cs="Times New Roman"/>
                <w:sz w:val="20"/>
                <w:szCs w:val="20"/>
              </w:rPr>
            </w:pPr>
          </w:p>
        </w:tc>
        <w:tc>
          <w:tcPr>
            <w:tcW w:w="630" w:type="dxa"/>
          </w:tcPr>
          <w:p w:rsidR="00D75413" w:rsidRPr="0016267B" w:rsidRDefault="00D75413" w:rsidP="00C1054E">
            <w:pPr>
              <w:jc w:val="both"/>
              <w:rPr>
                <w:rFonts w:cs="Times New Roman"/>
                <w:sz w:val="20"/>
                <w:szCs w:val="20"/>
              </w:rPr>
            </w:pPr>
          </w:p>
        </w:tc>
        <w:tc>
          <w:tcPr>
            <w:tcW w:w="4536" w:type="dxa"/>
          </w:tcPr>
          <w:p w:rsidR="00D75413" w:rsidRPr="0016267B" w:rsidRDefault="00D75413" w:rsidP="00D75413">
            <w:pPr>
              <w:rPr>
                <w:sz w:val="20"/>
                <w:szCs w:val="20"/>
              </w:rPr>
            </w:pPr>
            <w:r w:rsidRPr="0016267B">
              <w:rPr>
                <w:sz w:val="20"/>
                <w:szCs w:val="20"/>
              </w:rPr>
              <w:t>Application for leave to appeal filed.</w:t>
            </w:r>
          </w:p>
        </w:tc>
      </w:tr>
      <w:tr w:rsidR="00D75413" w:rsidRPr="0016267B" w:rsidTr="00C1054E">
        <w:trPr>
          <w:cantSplit/>
        </w:trPr>
        <w:tc>
          <w:tcPr>
            <w:tcW w:w="9576" w:type="dxa"/>
            <w:gridSpan w:val="4"/>
          </w:tcPr>
          <w:p w:rsidR="00D75413" w:rsidRPr="0016267B" w:rsidRDefault="00D75D0F" w:rsidP="00C1054E">
            <w:pPr>
              <w:pStyle w:val="SCCShortJudgment"/>
              <w:ind w:firstLine="0"/>
              <w:rPr>
                <w:rFonts w:cs="Times New Roman"/>
                <w:szCs w:val="20"/>
                <w:lang w:val="fr-CA"/>
              </w:rPr>
            </w:pPr>
            <w:r>
              <w:rPr>
                <w:rFonts w:cs="Times New Roman"/>
                <w:szCs w:val="20"/>
                <w:lang w:val="fr-CA"/>
              </w:rPr>
              <w:pict>
                <v:rect id="_x0000_i1045" style="width:2in;height:1pt" o:hrpct="0" o:hralign="center" o:hrstd="t" o:hrnoshade="t" o:hr="t" fillcolor="black [3213]" stroked="f"/>
              </w:pict>
            </w:r>
          </w:p>
          <w:p w:rsidR="00D75413" w:rsidRPr="0016267B" w:rsidRDefault="00D75413" w:rsidP="00C1054E">
            <w:pPr>
              <w:pStyle w:val="SCCShortJudgment"/>
              <w:ind w:firstLine="0"/>
              <w:rPr>
                <w:rFonts w:cs="Times New Roman"/>
                <w:szCs w:val="20"/>
                <w:lang w:val="fr-CA"/>
              </w:rPr>
            </w:pPr>
          </w:p>
        </w:tc>
      </w:tr>
      <w:tr w:rsidR="00D75413" w:rsidRPr="0016267B" w:rsidTr="00C1054E">
        <w:trPr>
          <w:cantSplit/>
        </w:trPr>
        <w:tc>
          <w:tcPr>
            <w:tcW w:w="9576" w:type="dxa"/>
            <w:gridSpan w:val="4"/>
          </w:tcPr>
          <w:p w:rsidR="00D75413" w:rsidRPr="0016267B" w:rsidRDefault="0016267B" w:rsidP="00C1054E">
            <w:pPr>
              <w:pStyle w:val="SCCShortJudgment"/>
              <w:ind w:firstLine="0"/>
              <w:rPr>
                <w:rFonts w:cs="Times New Roman"/>
                <w:szCs w:val="20"/>
                <w:u w:val="single"/>
                <w:lang w:val="fr-CA"/>
              </w:rPr>
            </w:pPr>
            <w:r w:rsidRPr="0016267B">
              <w:rPr>
                <w:rFonts w:cs="Times New Roman"/>
                <w:szCs w:val="20"/>
                <w:u w:val="single"/>
                <w:lang w:val="fr-CA"/>
              </w:rPr>
              <w:t>RÉSUMÉ DE L’AFFAIRE</w:t>
            </w:r>
          </w:p>
          <w:p w:rsidR="00D75413" w:rsidRPr="0016267B" w:rsidRDefault="00D75413" w:rsidP="00C1054E">
            <w:pPr>
              <w:pStyle w:val="SCCShortJudgment"/>
              <w:ind w:firstLine="0"/>
              <w:rPr>
                <w:rFonts w:cs="Times New Roman"/>
                <w:szCs w:val="20"/>
                <w:lang w:val="fr-CA"/>
              </w:rPr>
            </w:pPr>
          </w:p>
        </w:tc>
      </w:tr>
      <w:tr w:rsidR="00D75413" w:rsidRPr="00D75D0F" w:rsidTr="00C1054E">
        <w:trPr>
          <w:cantSplit/>
        </w:trPr>
        <w:tc>
          <w:tcPr>
            <w:tcW w:w="9576" w:type="dxa"/>
            <w:gridSpan w:val="4"/>
          </w:tcPr>
          <w:p w:rsidR="00D75413" w:rsidRPr="0016267B" w:rsidRDefault="00087AB2" w:rsidP="00C1054E">
            <w:pPr>
              <w:pStyle w:val="SCCShortJudgment"/>
              <w:ind w:firstLine="0"/>
              <w:rPr>
                <w:szCs w:val="20"/>
                <w:lang w:val="fr-CA"/>
              </w:rPr>
            </w:pPr>
            <w:r w:rsidRPr="0016267B">
              <w:rPr>
                <w:szCs w:val="20"/>
                <w:lang w:val="fr-CA"/>
              </w:rPr>
              <w:t xml:space="preserve">Droit criminel </w:t>
            </w:r>
            <w:r w:rsidRPr="0016267B">
              <w:rPr>
                <w:rFonts w:cs="Times New Roman"/>
                <w:szCs w:val="20"/>
                <w:lang w:val="fr-CA"/>
              </w:rPr>
              <w:t>—</w:t>
            </w:r>
            <w:r w:rsidRPr="0016267B">
              <w:rPr>
                <w:szCs w:val="20"/>
                <w:lang w:val="fr-CA"/>
              </w:rPr>
              <w:t xml:space="preserve"> Moyens de défense </w:t>
            </w:r>
            <w:r w:rsidRPr="0016267B">
              <w:rPr>
                <w:rFonts w:cs="Times New Roman"/>
                <w:szCs w:val="20"/>
                <w:lang w:val="fr-CA"/>
              </w:rPr>
              <w:t>—</w:t>
            </w:r>
            <w:r w:rsidRPr="0016267B">
              <w:rPr>
                <w:szCs w:val="20"/>
                <w:lang w:val="fr-CA"/>
              </w:rPr>
              <w:t xml:space="preserve"> Automatisme sans troubles mentaux </w:t>
            </w:r>
            <w:r w:rsidRPr="0016267B">
              <w:rPr>
                <w:rFonts w:cs="Times New Roman"/>
                <w:szCs w:val="20"/>
                <w:lang w:val="fr-CA"/>
              </w:rPr>
              <w:t>—</w:t>
            </w:r>
            <w:r w:rsidRPr="0016267B">
              <w:rPr>
                <w:szCs w:val="20"/>
                <w:lang w:val="fr-CA"/>
              </w:rPr>
              <w:t xml:space="preserve"> Automatisme avec troubles mentaux </w:t>
            </w:r>
            <w:r w:rsidRPr="0016267B">
              <w:rPr>
                <w:rFonts w:cs="Times New Roman"/>
                <w:szCs w:val="20"/>
                <w:lang w:val="fr-CA"/>
              </w:rPr>
              <w:t>—</w:t>
            </w:r>
            <w:r w:rsidRPr="0016267B">
              <w:rPr>
                <w:iCs/>
                <w:szCs w:val="20"/>
                <w:lang w:val="fr-CA"/>
              </w:rPr>
              <w:t xml:space="preserve"> La juge du procès a donné au jury des directives qui ne portaient que sur l’automatisme sans troubles mentaux </w:t>
            </w:r>
            <w:r w:rsidRPr="0016267B">
              <w:rPr>
                <w:rFonts w:cs="Times New Roman"/>
                <w:szCs w:val="20"/>
                <w:lang w:val="fr-CA"/>
              </w:rPr>
              <w:t>—</w:t>
            </w:r>
            <w:r w:rsidRPr="0016267B">
              <w:rPr>
                <w:szCs w:val="20"/>
                <w:lang w:val="fr-CA"/>
              </w:rPr>
              <w:t xml:space="preserve"> La Cour d’appel a-t-elle eu tort de conclure que les deux formes d’automatisme ne pouvaient pas être soumises à l’appréciation du jury?</w:t>
            </w:r>
          </w:p>
          <w:p w:rsidR="00087AB2" w:rsidRPr="0016267B" w:rsidRDefault="00087AB2" w:rsidP="00C1054E">
            <w:pPr>
              <w:pStyle w:val="SCCShortJudgment"/>
              <w:ind w:firstLine="0"/>
              <w:rPr>
                <w:rFonts w:cs="Times New Roman"/>
                <w:szCs w:val="20"/>
                <w:lang w:val="fr-CA"/>
              </w:rPr>
            </w:pPr>
          </w:p>
        </w:tc>
      </w:tr>
      <w:tr w:rsidR="00D75413" w:rsidRPr="0016267B" w:rsidTr="00C1054E">
        <w:trPr>
          <w:cantSplit/>
        </w:trPr>
        <w:tc>
          <w:tcPr>
            <w:tcW w:w="9576" w:type="dxa"/>
            <w:gridSpan w:val="4"/>
          </w:tcPr>
          <w:p w:rsidR="00D75413" w:rsidRPr="0016267B" w:rsidRDefault="00087AB2" w:rsidP="0082555B">
            <w:pPr>
              <w:jc w:val="both"/>
              <w:rPr>
                <w:iCs/>
                <w:sz w:val="20"/>
                <w:szCs w:val="20"/>
                <w:lang w:val="fr-CA"/>
              </w:rPr>
            </w:pPr>
            <w:r w:rsidRPr="0016267B">
              <w:rPr>
                <w:sz w:val="20"/>
                <w:szCs w:val="20"/>
                <w:lang w:val="fr-CA"/>
              </w:rPr>
              <w:t>La demanderesse ne nie pas avoir tué son mari John en le frappant plusieurs fois à la tête avec un bâton de baseball ou un marteau. Elle allègue ne pas se souvenir de lui avoir asséné les coups, mais se rappelle seulement la vue bouleversante de son mari avec un couteau dans l’oreille. La demanderesse a demandé à la juge du procès de donner au jury des directives sur l’automatisme avec troubles mentaux et sans troubles mentaux. La juge a donné au jury des directives qui ne portaient que sur l’automatisme sans troubles mentaux. Le jury a déclaré la demanderesse coupable de meurtre au deuxième degré. La Cour d’appel a rejeté l’appel</w:t>
            </w:r>
            <w:r w:rsidRPr="0016267B">
              <w:rPr>
                <w:iCs/>
                <w:sz w:val="20"/>
                <w:szCs w:val="20"/>
                <w:lang w:val="fr-CA"/>
              </w:rPr>
              <w:t>.</w:t>
            </w:r>
          </w:p>
        </w:tc>
      </w:tr>
      <w:tr w:rsidR="00D75413" w:rsidRPr="0016267B" w:rsidTr="00C1054E">
        <w:trPr>
          <w:cantSplit/>
        </w:trPr>
        <w:tc>
          <w:tcPr>
            <w:tcW w:w="9576" w:type="dxa"/>
            <w:gridSpan w:val="4"/>
          </w:tcPr>
          <w:p w:rsidR="00D75413" w:rsidRPr="0016267B" w:rsidRDefault="00D75413" w:rsidP="0082555B">
            <w:pPr>
              <w:pStyle w:val="SCCShortJudgment"/>
              <w:ind w:firstLine="0"/>
              <w:rPr>
                <w:rFonts w:cs="Times New Roman"/>
                <w:szCs w:val="20"/>
                <w:lang w:val="fr-CA"/>
              </w:rPr>
            </w:pPr>
          </w:p>
        </w:tc>
      </w:tr>
      <w:tr w:rsidR="00D75413" w:rsidRPr="00D75D0F" w:rsidTr="00C1054E">
        <w:trPr>
          <w:cantSplit/>
        </w:trPr>
        <w:tc>
          <w:tcPr>
            <w:tcW w:w="4410" w:type="dxa"/>
            <w:gridSpan w:val="2"/>
          </w:tcPr>
          <w:p w:rsidR="00087AB2" w:rsidRPr="0016267B" w:rsidRDefault="00087AB2" w:rsidP="0082555B">
            <w:pPr>
              <w:jc w:val="both"/>
              <w:rPr>
                <w:sz w:val="20"/>
                <w:szCs w:val="20"/>
                <w:lang w:val="fr-CA"/>
              </w:rPr>
            </w:pPr>
            <w:r w:rsidRPr="0016267B">
              <w:rPr>
                <w:sz w:val="20"/>
                <w:szCs w:val="20"/>
                <w:lang w:val="fr-CA"/>
              </w:rPr>
              <w:t>19 mars 2014</w:t>
            </w:r>
          </w:p>
          <w:p w:rsidR="00087AB2" w:rsidRPr="0016267B" w:rsidRDefault="00087AB2" w:rsidP="0082555B">
            <w:pPr>
              <w:jc w:val="both"/>
              <w:rPr>
                <w:sz w:val="20"/>
                <w:szCs w:val="20"/>
                <w:lang w:val="fr-CA"/>
              </w:rPr>
            </w:pPr>
            <w:r w:rsidRPr="0016267B">
              <w:rPr>
                <w:sz w:val="20"/>
                <w:szCs w:val="20"/>
                <w:lang w:val="fr-CA"/>
              </w:rPr>
              <w:t>Cour suprême de la Colombie-Britannique</w:t>
            </w:r>
          </w:p>
          <w:p w:rsidR="00087AB2" w:rsidRPr="0016267B" w:rsidRDefault="00087AB2" w:rsidP="0082555B">
            <w:pPr>
              <w:jc w:val="both"/>
              <w:rPr>
                <w:sz w:val="20"/>
                <w:szCs w:val="20"/>
              </w:rPr>
            </w:pPr>
            <w:r w:rsidRPr="0016267B">
              <w:rPr>
                <w:sz w:val="20"/>
                <w:szCs w:val="20"/>
              </w:rPr>
              <w:t>(Juge Watchuk)</w:t>
            </w:r>
          </w:p>
          <w:p w:rsidR="00087AB2" w:rsidRPr="0016267B" w:rsidRDefault="00087AB2" w:rsidP="0082555B">
            <w:pPr>
              <w:jc w:val="both"/>
              <w:rPr>
                <w:sz w:val="20"/>
                <w:szCs w:val="20"/>
              </w:rPr>
            </w:pPr>
            <w:r w:rsidRPr="0016267B">
              <w:rPr>
                <w:sz w:val="20"/>
                <w:szCs w:val="20"/>
              </w:rPr>
              <w:t>2014 BCSC 554</w:t>
            </w:r>
          </w:p>
          <w:p w:rsidR="00087AB2" w:rsidRPr="0016267B" w:rsidRDefault="00D75D0F" w:rsidP="0082555B">
            <w:pPr>
              <w:jc w:val="both"/>
              <w:rPr>
                <w:sz w:val="20"/>
                <w:szCs w:val="20"/>
                <w:u w:val="single"/>
              </w:rPr>
            </w:pPr>
            <w:hyperlink r:id="rId29" w:history="1">
              <w:r w:rsidR="00087AB2" w:rsidRPr="0016267B">
                <w:rPr>
                  <w:rStyle w:val="Hyperlink"/>
                  <w:rFonts w:eastAsiaTheme="majorEastAsia"/>
                  <w:color w:val="0000FF"/>
                  <w:sz w:val="20"/>
                  <w:szCs w:val="20"/>
                </w:rPr>
                <w:t>http://canlii.ca/t/g6cfk</w:t>
              </w:r>
            </w:hyperlink>
          </w:p>
          <w:p w:rsidR="00D75413" w:rsidRPr="0016267B" w:rsidRDefault="00D75413" w:rsidP="0082555B">
            <w:pPr>
              <w:pStyle w:val="SCCShortJudgment"/>
              <w:ind w:firstLine="0"/>
              <w:rPr>
                <w:rFonts w:cs="Times New Roman"/>
                <w:szCs w:val="20"/>
              </w:rPr>
            </w:pPr>
          </w:p>
        </w:tc>
        <w:tc>
          <w:tcPr>
            <w:tcW w:w="630" w:type="dxa"/>
          </w:tcPr>
          <w:p w:rsidR="00D75413" w:rsidRPr="0016267B" w:rsidRDefault="00D75413" w:rsidP="0082555B">
            <w:pPr>
              <w:pStyle w:val="SCCShortJudgment"/>
              <w:ind w:firstLine="0"/>
              <w:rPr>
                <w:rFonts w:cs="Times New Roman"/>
                <w:szCs w:val="20"/>
              </w:rPr>
            </w:pPr>
          </w:p>
        </w:tc>
        <w:tc>
          <w:tcPr>
            <w:tcW w:w="4536" w:type="dxa"/>
          </w:tcPr>
          <w:p w:rsidR="00D75413" w:rsidRPr="0016267B" w:rsidRDefault="00087AB2" w:rsidP="0082555B">
            <w:pPr>
              <w:pStyle w:val="SCCShortJudgment"/>
              <w:ind w:firstLine="0"/>
              <w:rPr>
                <w:rFonts w:cs="Times New Roman"/>
                <w:szCs w:val="20"/>
                <w:lang w:val="fr-CA"/>
              </w:rPr>
            </w:pPr>
            <w:r w:rsidRPr="0016267B">
              <w:rPr>
                <w:szCs w:val="20"/>
                <w:lang w:val="fr-CA"/>
              </w:rPr>
              <w:t>Directives au jury sur le moyen de défense de l’automatisme sans troubles mentaux.</w:t>
            </w:r>
          </w:p>
        </w:tc>
      </w:tr>
      <w:tr w:rsidR="00D75413" w:rsidRPr="00D75D0F" w:rsidTr="00C1054E">
        <w:trPr>
          <w:cantSplit/>
        </w:trPr>
        <w:tc>
          <w:tcPr>
            <w:tcW w:w="4410" w:type="dxa"/>
            <w:gridSpan w:val="2"/>
          </w:tcPr>
          <w:p w:rsidR="00087AB2" w:rsidRPr="0016267B" w:rsidRDefault="00087AB2" w:rsidP="00087AB2">
            <w:pPr>
              <w:rPr>
                <w:sz w:val="20"/>
                <w:szCs w:val="20"/>
                <w:lang w:val="fr-CA"/>
              </w:rPr>
            </w:pPr>
            <w:r w:rsidRPr="0016267B">
              <w:rPr>
                <w:sz w:val="20"/>
                <w:szCs w:val="20"/>
                <w:lang w:val="fr-CA"/>
              </w:rPr>
              <w:t>25 mars 2014</w:t>
            </w:r>
          </w:p>
          <w:p w:rsidR="00087AB2" w:rsidRPr="0016267B" w:rsidRDefault="00087AB2" w:rsidP="00087AB2">
            <w:pPr>
              <w:rPr>
                <w:sz w:val="20"/>
                <w:szCs w:val="20"/>
                <w:lang w:val="fr-CA"/>
              </w:rPr>
            </w:pPr>
            <w:r w:rsidRPr="0016267B">
              <w:rPr>
                <w:sz w:val="20"/>
                <w:szCs w:val="20"/>
                <w:lang w:val="fr-CA"/>
              </w:rPr>
              <w:t xml:space="preserve">Cour suprême de la Colombie-Britannique </w:t>
            </w:r>
          </w:p>
          <w:p w:rsidR="00087AB2" w:rsidRPr="0016267B" w:rsidRDefault="00087AB2" w:rsidP="00087AB2">
            <w:pPr>
              <w:rPr>
                <w:sz w:val="20"/>
                <w:szCs w:val="20"/>
                <w:lang w:val="fr-CA"/>
              </w:rPr>
            </w:pPr>
            <w:r w:rsidRPr="0016267B">
              <w:rPr>
                <w:sz w:val="20"/>
                <w:szCs w:val="20"/>
                <w:lang w:val="fr-CA"/>
              </w:rPr>
              <w:t>(Juge Watchuk)</w:t>
            </w:r>
          </w:p>
          <w:p w:rsidR="00D75413" w:rsidRPr="0016267B" w:rsidRDefault="00D75413" w:rsidP="00C1054E">
            <w:pPr>
              <w:pStyle w:val="SCCShortJudgment"/>
              <w:ind w:firstLine="0"/>
              <w:rPr>
                <w:rFonts w:cs="Times New Roman"/>
                <w:szCs w:val="20"/>
              </w:rPr>
            </w:pPr>
          </w:p>
        </w:tc>
        <w:tc>
          <w:tcPr>
            <w:tcW w:w="630" w:type="dxa"/>
          </w:tcPr>
          <w:p w:rsidR="00D75413" w:rsidRPr="0016267B" w:rsidRDefault="00D75413" w:rsidP="00C1054E">
            <w:pPr>
              <w:pStyle w:val="SCCShortJudgment"/>
              <w:ind w:firstLine="0"/>
              <w:rPr>
                <w:rFonts w:cs="Times New Roman"/>
                <w:szCs w:val="20"/>
              </w:rPr>
            </w:pPr>
          </w:p>
        </w:tc>
        <w:tc>
          <w:tcPr>
            <w:tcW w:w="4536" w:type="dxa"/>
          </w:tcPr>
          <w:p w:rsidR="00D75413" w:rsidRPr="0016267B" w:rsidRDefault="00087AB2" w:rsidP="0082555B">
            <w:pPr>
              <w:jc w:val="both"/>
              <w:rPr>
                <w:sz w:val="20"/>
                <w:szCs w:val="20"/>
                <w:lang w:val="fr-CA"/>
              </w:rPr>
            </w:pPr>
            <w:r w:rsidRPr="0016267B">
              <w:rPr>
                <w:sz w:val="20"/>
                <w:szCs w:val="20"/>
                <w:lang w:val="fr-CA"/>
              </w:rPr>
              <w:t>Déclaration de culpabilité de meurtre au deuxième degré</w:t>
            </w:r>
            <w:r w:rsidRPr="0016267B">
              <w:rPr>
                <w:szCs w:val="20"/>
                <w:lang w:val="fr-CA"/>
              </w:rPr>
              <w:t>.</w:t>
            </w:r>
          </w:p>
        </w:tc>
      </w:tr>
      <w:tr w:rsidR="00D75413" w:rsidRPr="0016267B" w:rsidTr="00C1054E">
        <w:trPr>
          <w:cantSplit/>
        </w:trPr>
        <w:tc>
          <w:tcPr>
            <w:tcW w:w="4410" w:type="dxa"/>
            <w:gridSpan w:val="2"/>
          </w:tcPr>
          <w:p w:rsidR="00087AB2" w:rsidRPr="0016267B" w:rsidRDefault="00087AB2" w:rsidP="00087AB2">
            <w:pPr>
              <w:rPr>
                <w:sz w:val="20"/>
                <w:szCs w:val="20"/>
                <w:lang w:val="fr-CA"/>
              </w:rPr>
            </w:pPr>
            <w:r w:rsidRPr="0016267B">
              <w:rPr>
                <w:sz w:val="20"/>
                <w:szCs w:val="20"/>
                <w:lang w:val="fr-CA"/>
              </w:rPr>
              <w:t>27 novembre 2015</w:t>
            </w:r>
          </w:p>
          <w:p w:rsidR="00087AB2" w:rsidRPr="0016267B" w:rsidRDefault="00087AB2" w:rsidP="00087AB2">
            <w:pPr>
              <w:rPr>
                <w:sz w:val="20"/>
                <w:szCs w:val="20"/>
                <w:lang w:val="fr-CA"/>
              </w:rPr>
            </w:pPr>
            <w:r w:rsidRPr="0016267B">
              <w:rPr>
                <w:sz w:val="20"/>
                <w:szCs w:val="20"/>
                <w:lang w:val="fr-CA"/>
              </w:rPr>
              <w:t xml:space="preserve">Cour d’appel de la Colombie-Britannique </w:t>
            </w:r>
          </w:p>
          <w:p w:rsidR="00087AB2" w:rsidRPr="0016267B" w:rsidRDefault="00087AB2" w:rsidP="00087AB2">
            <w:pPr>
              <w:rPr>
                <w:sz w:val="20"/>
                <w:szCs w:val="20"/>
                <w:lang w:val="fr-CA"/>
              </w:rPr>
            </w:pPr>
            <w:r w:rsidRPr="0016267B">
              <w:rPr>
                <w:sz w:val="20"/>
                <w:szCs w:val="20"/>
                <w:lang w:val="fr-CA"/>
              </w:rPr>
              <w:t>(Vancouver)</w:t>
            </w:r>
          </w:p>
          <w:p w:rsidR="00087AB2" w:rsidRPr="0016267B" w:rsidRDefault="00087AB2" w:rsidP="00087AB2">
            <w:pPr>
              <w:rPr>
                <w:sz w:val="20"/>
                <w:szCs w:val="20"/>
                <w:lang w:val="fr-CA"/>
              </w:rPr>
            </w:pPr>
            <w:r w:rsidRPr="0016267B">
              <w:rPr>
                <w:sz w:val="20"/>
                <w:szCs w:val="20"/>
                <w:lang w:val="fr-CA"/>
              </w:rPr>
              <w:t>(Juges Bauman, Chiasson et Stromberg-Stein)</w:t>
            </w:r>
          </w:p>
          <w:p w:rsidR="00087AB2" w:rsidRPr="0016267B" w:rsidRDefault="00087AB2" w:rsidP="00087AB2">
            <w:pPr>
              <w:rPr>
                <w:sz w:val="20"/>
                <w:szCs w:val="20"/>
              </w:rPr>
            </w:pPr>
            <w:r w:rsidRPr="0016267B">
              <w:rPr>
                <w:sz w:val="20"/>
                <w:szCs w:val="20"/>
              </w:rPr>
              <w:t>2015 BCCA 484; CA42014</w:t>
            </w:r>
          </w:p>
          <w:p w:rsidR="00087AB2" w:rsidRPr="0016267B" w:rsidRDefault="00D75D0F" w:rsidP="00087AB2">
            <w:pPr>
              <w:rPr>
                <w:sz w:val="20"/>
                <w:szCs w:val="20"/>
                <w:u w:val="single"/>
              </w:rPr>
            </w:pPr>
            <w:hyperlink r:id="rId30" w:history="1">
              <w:r w:rsidR="00087AB2" w:rsidRPr="0016267B">
                <w:rPr>
                  <w:rStyle w:val="Hyperlink"/>
                  <w:rFonts w:eastAsiaTheme="majorEastAsia"/>
                  <w:color w:val="0000FF"/>
                  <w:sz w:val="20"/>
                  <w:szCs w:val="20"/>
                </w:rPr>
                <w:t>http://canlii.ca/t/gm91s</w:t>
              </w:r>
            </w:hyperlink>
          </w:p>
          <w:p w:rsidR="00D75413" w:rsidRPr="0016267B" w:rsidRDefault="00D75413" w:rsidP="00C1054E">
            <w:pPr>
              <w:pStyle w:val="SCCShortJudgment"/>
              <w:ind w:firstLine="0"/>
              <w:rPr>
                <w:rFonts w:cs="Times New Roman"/>
                <w:szCs w:val="20"/>
              </w:rPr>
            </w:pPr>
          </w:p>
        </w:tc>
        <w:tc>
          <w:tcPr>
            <w:tcW w:w="630" w:type="dxa"/>
          </w:tcPr>
          <w:p w:rsidR="00D75413" w:rsidRPr="0016267B" w:rsidRDefault="00D75413" w:rsidP="00C1054E">
            <w:pPr>
              <w:pStyle w:val="SCCShortJudgment"/>
              <w:ind w:firstLine="0"/>
              <w:rPr>
                <w:rFonts w:cs="Times New Roman"/>
                <w:szCs w:val="20"/>
              </w:rPr>
            </w:pPr>
          </w:p>
        </w:tc>
        <w:tc>
          <w:tcPr>
            <w:tcW w:w="4536" w:type="dxa"/>
          </w:tcPr>
          <w:p w:rsidR="00D75413" w:rsidRPr="0016267B" w:rsidRDefault="00087AB2" w:rsidP="00087AB2">
            <w:pPr>
              <w:rPr>
                <w:sz w:val="20"/>
                <w:szCs w:val="20"/>
                <w:lang w:val="fr-CA"/>
              </w:rPr>
            </w:pPr>
            <w:r w:rsidRPr="0016267B">
              <w:rPr>
                <w:sz w:val="20"/>
                <w:szCs w:val="20"/>
                <w:lang w:val="fr-CA"/>
              </w:rPr>
              <w:t>Rejet de l’appel.</w:t>
            </w:r>
          </w:p>
        </w:tc>
      </w:tr>
      <w:tr w:rsidR="00087AB2" w:rsidRPr="00D75D0F" w:rsidTr="00C1054E">
        <w:trPr>
          <w:cantSplit/>
        </w:trPr>
        <w:tc>
          <w:tcPr>
            <w:tcW w:w="4410" w:type="dxa"/>
            <w:gridSpan w:val="2"/>
          </w:tcPr>
          <w:p w:rsidR="00087AB2" w:rsidRPr="0016267B" w:rsidRDefault="00087AB2" w:rsidP="00087AB2">
            <w:pPr>
              <w:rPr>
                <w:sz w:val="20"/>
                <w:szCs w:val="20"/>
                <w:lang w:val="fr-CA"/>
              </w:rPr>
            </w:pPr>
            <w:r w:rsidRPr="0016267B">
              <w:rPr>
                <w:sz w:val="20"/>
                <w:szCs w:val="20"/>
                <w:lang w:val="fr-CA"/>
              </w:rPr>
              <w:t>26 janvier 2016</w:t>
            </w:r>
          </w:p>
          <w:p w:rsidR="00087AB2" w:rsidRPr="0016267B" w:rsidRDefault="00087AB2" w:rsidP="00087AB2">
            <w:pPr>
              <w:rPr>
                <w:sz w:val="20"/>
                <w:szCs w:val="20"/>
                <w:lang w:val="fr-CA"/>
              </w:rPr>
            </w:pPr>
            <w:r w:rsidRPr="0016267B">
              <w:rPr>
                <w:sz w:val="20"/>
                <w:szCs w:val="20"/>
                <w:lang w:val="fr-CA"/>
              </w:rPr>
              <w:t>Cour suprême du Canada</w:t>
            </w:r>
          </w:p>
        </w:tc>
        <w:tc>
          <w:tcPr>
            <w:tcW w:w="630" w:type="dxa"/>
          </w:tcPr>
          <w:p w:rsidR="00087AB2" w:rsidRPr="0016267B" w:rsidRDefault="00087AB2" w:rsidP="00C1054E">
            <w:pPr>
              <w:pStyle w:val="SCCShortJudgment"/>
              <w:ind w:firstLine="0"/>
              <w:rPr>
                <w:rFonts w:cs="Times New Roman"/>
                <w:szCs w:val="20"/>
                <w:lang w:val="fr-CA"/>
              </w:rPr>
            </w:pPr>
          </w:p>
        </w:tc>
        <w:tc>
          <w:tcPr>
            <w:tcW w:w="4536" w:type="dxa"/>
          </w:tcPr>
          <w:p w:rsidR="00087AB2" w:rsidRPr="0016267B" w:rsidRDefault="00087AB2" w:rsidP="00087AB2">
            <w:pPr>
              <w:rPr>
                <w:sz w:val="20"/>
                <w:szCs w:val="20"/>
                <w:lang w:val="fr-CA"/>
              </w:rPr>
            </w:pPr>
            <w:r w:rsidRPr="0016267B">
              <w:rPr>
                <w:sz w:val="20"/>
                <w:szCs w:val="20"/>
                <w:lang w:val="fr-CA"/>
              </w:rPr>
              <w:t>Dépôt de la demande d’autorisation d’appel.</w:t>
            </w:r>
          </w:p>
        </w:tc>
      </w:tr>
    </w:tbl>
    <w:p w:rsidR="009B4FD9" w:rsidRDefault="00D75D0F" w:rsidP="008D292F">
      <w:pPr>
        <w:rPr>
          <w:sz w:val="20"/>
          <w:szCs w:val="20"/>
          <w:lang w:val="fr-CA"/>
        </w:rPr>
      </w:pPr>
      <w:r>
        <w:rPr>
          <w:rFonts w:cs="Times New Roman"/>
          <w:sz w:val="20"/>
          <w:szCs w:val="20"/>
          <w:lang w:val="fr-CA"/>
        </w:rPr>
        <w:pict>
          <v:rect id="_x0000_i1046" style="width:2in;height:1pt" o:hrpct="0" o:hralign="center" o:hrstd="t" o:hrnoshade="t" o:hr="t" fillcolor="black [3213]" stroked="f"/>
        </w:pict>
      </w:r>
    </w:p>
    <w:p w:rsidR="009B4FD9" w:rsidRDefault="009B4FD9"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B77D6C" w:rsidRPr="00D75D0F" w:rsidTr="00C1054E">
        <w:trPr>
          <w:cantSplit/>
        </w:trPr>
        <w:tc>
          <w:tcPr>
            <w:tcW w:w="1458" w:type="dxa"/>
          </w:tcPr>
          <w:p w:rsidR="00B77D6C" w:rsidRPr="0016267B" w:rsidRDefault="00B77D6C" w:rsidP="00C1054E">
            <w:pPr>
              <w:jc w:val="both"/>
              <w:rPr>
                <w:rFonts w:cs="Times New Roman"/>
                <w:sz w:val="20"/>
                <w:szCs w:val="20"/>
              </w:rPr>
            </w:pPr>
            <w:r w:rsidRPr="0016267B">
              <w:rPr>
                <w:rStyle w:val="SCCFileNumberChar"/>
                <w:sz w:val="20"/>
                <w:szCs w:val="20"/>
              </w:rPr>
              <w:t>36857</w:t>
            </w:r>
          </w:p>
          <w:p w:rsidR="00B77D6C" w:rsidRPr="0016267B" w:rsidRDefault="00B77D6C" w:rsidP="00C1054E">
            <w:pPr>
              <w:jc w:val="both"/>
              <w:rPr>
                <w:rFonts w:cs="Times New Roman"/>
                <w:b/>
                <w:sz w:val="20"/>
                <w:szCs w:val="20"/>
              </w:rPr>
            </w:pPr>
          </w:p>
        </w:tc>
        <w:tc>
          <w:tcPr>
            <w:tcW w:w="8118" w:type="dxa"/>
            <w:gridSpan w:val="3"/>
          </w:tcPr>
          <w:p w:rsidR="00B77D6C" w:rsidRPr="0016267B" w:rsidRDefault="00B77D6C" w:rsidP="00C1054E">
            <w:pPr>
              <w:jc w:val="both"/>
              <w:rPr>
                <w:rFonts w:cs="Times New Roman"/>
                <w:sz w:val="20"/>
                <w:szCs w:val="20"/>
                <w:lang w:val="fr-CA"/>
              </w:rPr>
            </w:pPr>
            <w:r w:rsidRPr="0016267B">
              <w:rPr>
                <w:rStyle w:val="SCCLsocChar"/>
                <w:rFonts w:cs="Times New Roman"/>
                <w:sz w:val="20"/>
                <w:szCs w:val="20"/>
              </w:rPr>
              <w:t>Hachmi Hammami c. Karim Rachid Krey, Philippe Daoust, Diane Daoust et René Leblanc</w:t>
            </w:r>
            <w:r w:rsidRPr="0016267B">
              <w:rPr>
                <w:rStyle w:val="SCCLsocChar"/>
                <w:rFonts w:cs="Times New Roman"/>
                <w:sz w:val="20"/>
                <w:szCs w:val="20"/>
                <w:u w:val="none"/>
              </w:rPr>
              <w:t xml:space="preserve"> </w:t>
            </w:r>
            <w:r w:rsidRPr="0016267B">
              <w:rPr>
                <w:rFonts w:cs="Times New Roman"/>
                <w:sz w:val="20"/>
                <w:szCs w:val="20"/>
                <w:lang w:val="fr-CA"/>
              </w:rPr>
              <w:t>(</w:t>
            </w:r>
            <w:r w:rsidR="009435DF" w:rsidRPr="0016267B">
              <w:rPr>
                <w:rFonts w:cs="Times New Roman"/>
                <w:sz w:val="20"/>
                <w:szCs w:val="20"/>
                <w:lang w:val="fr-CA"/>
              </w:rPr>
              <w:t>Qc</w:t>
            </w:r>
            <w:r w:rsidRPr="0016267B">
              <w:rPr>
                <w:rFonts w:cs="Times New Roman"/>
                <w:sz w:val="20"/>
                <w:szCs w:val="20"/>
                <w:lang w:val="fr-CA"/>
              </w:rPr>
              <w:t>) (Civil</w:t>
            </w:r>
            <w:r w:rsidR="009435DF" w:rsidRPr="0016267B">
              <w:rPr>
                <w:rFonts w:cs="Times New Roman"/>
                <w:sz w:val="20"/>
                <w:szCs w:val="20"/>
                <w:lang w:val="fr-CA"/>
              </w:rPr>
              <w:t>e</w:t>
            </w:r>
            <w:r w:rsidRPr="0016267B">
              <w:rPr>
                <w:rFonts w:cs="Times New Roman"/>
                <w:sz w:val="20"/>
                <w:szCs w:val="20"/>
                <w:lang w:val="fr-CA"/>
              </w:rPr>
              <w:t>) (</w:t>
            </w:r>
            <w:r w:rsidR="009435DF" w:rsidRPr="0016267B">
              <w:rPr>
                <w:rFonts w:cs="Times New Roman"/>
                <w:sz w:val="20"/>
                <w:szCs w:val="20"/>
                <w:lang w:val="fr-CA"/>
              </w:rPr>
              <w:t>Autorisation</w:t>
            </w:r>
            <w:r w:rsidRPr="0016267B">
              <w:rPr>
                <w:rFonts w:cs="Times New Roman"/>
                <w:sz w:val="20"/>
                <w:szCs w:val="20"/>
                <w:lang w:val="fr-CA"/>
              </w:rPr>
              <w:t>)</w:t>
            </w:r>
          </w:p>
          <w:p w:rsidR="00B77D6C" w:rsidRPr="0016267B" w:rsidRDefault="00B77D6C" w:rsidP="00C1054E">
            <w:pPr>
              <w:jc w:val="both"/>
              <w:rPr>
                <w:rFonts w:cs="Times New Roman"/>
                <w:sz w:val="20"/>
                <w:szCs w:val="20"/>
                <w:lang w:val="fr-CA"/>
              </w:rPr>
            </w:pPr>
          </w:p>
        </w:tc>
      </w:tr>
      <w:tr w:rsidR="00B77D6C" w:rsidRPr="00D75D0F" w:rsidTr="00C1054E">
        <w:trPr>
          <w:cantSplit/>
        </w:trPr>
        <w:tc>
          <w:tcPr>
            <w:tcW w:w="1458" w:type="dxa"/>
          </w:tcPr>
          <w:p w:rsidR="00B77D6C" w:rsidRPr="0016267B" w:rsidRDefault="00B77D6C" w:rsidP="00C1054E">
            <w:pPr>
              <w:jc w:val="both"/>
              <w:rPr>
                <w:rFonts w:cs="Times New Roman"/>
                <w:sz w:val="20"/>
                <w:szCs w:val="20"/>
              </w:rPr>
            </w:pPr>
            <w:r w:rsidRPr="0016267B">
              <w:rPr>
                <w:rFonts w:cs="Times New Roman"/>
                <w:sz w:val="20"/>
                <w:szCs w:val="20"/>
              </w:rPr>
              <w:t>Coram :</w:t>
            </w:r>
          </w:p>
        </w:tc>
        <w:tc>
          <w:tcPr>
            <w:tcW w:w="8118" w:type="dxa"/>
            <w:gridSpan w:val="3"/>
          </w:tcPr>
          <w:p w:rsidR="00B77D6C" w:rsidRPr="0016267B" w:rsidRDefault="009435DF" w:rsidP="00C1054E">
            <w:pPr>
              <w:jc w:val="both"/>
              <w:rPr>
                <w:rStyle w:val="SCCCoramChar"/>
                <w:rFonts w:cs="Times New Roman"/>
                <w:sz w:val="20"/>
                <w:szCs w:val="20"/>
              </w:rPr>
            </w:pPr>
            <w:r w:rsidRPr="0016267B">
              <w:rPr>
                <w:rStyle w:val="SCCCoramChar"/>
                <w:rFonts w:cs="Times New Roman"/>
                <w:sz w:val="20"/>
                <w:szCs w:val="20"/>
              </w:rPr>
              <w:t xml:space="preserve">Les juges Abella, Karakatsanis et Brown </w:t>
            </w:r>
          </w:p>
          <w:p w:rsidR="009435DF" w:rsidRPr="0016267B" w:rsidRDefault="009435DF" w:rsidP="00C1054E">
            <w:pPr>
              <w:jc w:val="both"/>
              <w:rPr>
                <w:rFonts w:cs="Times New Roman"/>
                <w:sz w:val="20"/>
                <w:szCs w:val="20"/>
                <w:lang w:val="fr-CA"/>
              </w:rPr>
            </w:pPr>
          </w:p>
        </w:tc>
      </w:tr>
      <w:tr w:rsidR="00B77D6C" w:rsidRPr="0016267B" w:rsidTr="00C1054E">
        <w:trPr>
          <w:cantSplit/>
        </w:trPr>
        <w:tc>
          <w:tcPr>
            <w:tcW w:w="9576" w:type="dxa"/>
            <w:gridSpan w:val="4"/>
          </w:tcPr>
          <w:p w:rsidR="00B77D6C" w:rsidRPr="0016267B" w:rsidRDefault="00B77D6C" w:rsidP="00C1054E">
            <w:pPr>
              <w:pStyle w:val="SCCShortJudgment"/>
              <w:ind w:firstLine="0"/>
              <w:rPr>
                <w:rFonts w:cs="Times New Roman"/>
                <w:szCs w:val="20"/>
                <w:lang w:val="fr-CA"/>
              </w:rPr>
            </w:pPr>
            <w:r w:rsidRPr="0016267B">
              <w:rPr>
                <w:rFonts w:cs="Times New Roman"/>
                <w:szCs w:val="20"/>
                <w:lang w:val="fr-CA"/>
              </w:rPr>
              <w:tab/>
            </w:r>
            <w:r w:rsidR="009435DF" w:rsidRPr="0016267B">
              <w:rPr>
                <w:szCs w:val="20"/>
                <w:lang w:val="fr-CA"/>
              </w:rPr>
              <w:t>La requête en prorogation du délai de signification et de dépôt de la demande d’autorisation d’appel est accueillie. La demande d’autorisation d’appel de l’arrêt de la Cour d’appel du Québec (Montréal), numéro 500-09-025044-157, 2015 QCCA 1757, daté du 29 octobre 2015, est rejetée.</w:t>
            </w:r>
          </w:p>
          <w:p w:rsidR="00B77D6C" w:rsidRPr="0016267B" w:rsidRDefault="00B77D6C" w:rsidP="00C1054E">
            <w:pPr>
              <w:pStyle w:val="SCCShortJudgment"/>
              <w:ind w:firstLine="0"/>
              <w:rPr>
                <w:rFonts w:cs="Times New Roman"/>
                <w:szCs w:val="20"/>
                <w:lang w:val="fr-CA"/>
              </w:rPr>
            </w:pPr>
          </w:p>
          <w:p w:rsidR="00B77D6C" w:rsidRPr="0016267B" w:rsidRDefault="00B77D6C" w:rsidP="00C1054E">
            <w:pPr>
              <w:pStyle w:val="SCCShortJudgment"/>
              <w:ind w:firstLine="0"/>
              <w:rPr>
                <w:rFonts w:cs="Times New Roman"/>
                <w:szCs w:val="20"/>
              </w:rPr>
            </w:pPr>
            <w:r w:rsidRPr="0016267B">
              <w:rPr>
                <w:rFonts w:cs="Times New Roman"/>
                <w:szCs w:val="20"/>
                <w:lang w:val="fr-CA"/>
              </w:rPr>
              <w:tab/>
            </w:r>
            <w:r w:rsidR="009435DF" w:rsidRPr="0016267B">
              <w:rPr>
                <w:szCs w:val="20"/>
              </w:rPr>
              <w:t>The motion for an extension of time to serve and file the application for leave to appeal is granted. The application for leave to appeal from the judgment of the Court of Appeal of Quebec (Montréal), Number 500-09-025044-157, 2015 QCCA 1757, dated October 29, 2015, is dismissed.</w:t>
            </w:r>
          </w:p>
          <w:p w:rsidR="00B77D6C" w:rsidRPr="0016267B" w:rsidRDefault="00B77D6C" w:rsidP="00C1054E">
            <w:pPr>
              <w:pStyle w:val="SCCShortJudgment"/>
              <w:ind w:firstLine="0"/>
              <w:rPr>
                <w:rFonts w:cs="Times New Roman"/>
                <w:szCs w:val="20"/>
              </w:rPr>
            </w:pPr>
          </w:p>
        </w:tc>
      </w:tr>
      <w:tr w:rsidR="00B77D6C" w:rsidRPr="0016267B" w:rsidTr="00C1054E">
        <w:trPr>
          <w:cantSplit/>
        </w:trPr>
        <w:tc>
          <w:tcPr>
            <w:tcW w:w="9576" w:type="dxa"/>
            <w:gridSpan w:val="4"/>
          </w:tcPr>
          <w:p w:rsidR="00B77D6C" w:rsidRPr="0016267B" w:rsidRDefault="00B77D6C" w:rsidP="00C1054E">
            <w:pPr>
              <w:pStyle w:val="SCCShortJudgment"/>
              <w:ind w:firstLine="0"/>
              <w:rPr>
                <w:rFonts w:cs="Times New Roman"/>
                <w:szCs w:val="20"/>
                <w:u w:val="single"/>
                <w:lang w:val="fr-CA"/>
              </w:rPr>
            </w:pPr>
            <w:r w:rsidRPr="0016267B">
              <w:rPr>
                <w:rFonts w:cs="Times New Roman"/>
                <w:szCs w:val="20"/>
                <w:u w:val="single"/>
                <w:lang w:val="fr-CA"/>
              </w:rPr>
              <w:t>CASE SUMMARY</w:t>
            </w:r>
          </w:p>
          <w:p w:rsidR="00B77D6C" w:rsidRPr="0016267B" w:rsidRDefault="00B77D6C" w:rsidP="00C1054E">
            <w:pPr>
              <w:pStyle w:val="SCCShortJudgment"/>
              <w:ind w:firstLine="0"/>
              <w:rPr>
                <w:rFonts w:cs="Times New Roman"/>
                <w:szCs w:val="20"/>
                <w:lang w:val="fr-CA"/>
              </w:rPr>
            </w:pPr>
          </w:p>
        </w:tc>
      </w:tr>
      <w:tr w:rsidR="00B77D6C" w:rsidRPr="0016267B" w:rsidTr="00C1054E">
        <w:trPr>
          <w:cantSplit/>
        </w:trPr>
        <w:tc>
          <w:tcPr>
            <w:tcW w:w="9576" w:type="dxa"/>
            <w:gridSpan w:val="4"/>
          </w:tcPr>
          <w:p w:rsidR="00B77D6C" w:rsidRPr="0016267B" w:rsidRDefault="009435DF" w:rsidP="00C1054E">
            <w:pPr>
              <w:pStyle w:val="SCCShortJudgment"/>
              <w:ind w:firstLine="0"/>
              <w:rPr>
                <w:rFonts w:cs="Times New Roman"/>
                <w:szCs w:val="20"/>
              </w:rPr>
            </w:pPr>
            <w:r w:rsidRPr="0016267B">
              <w:rPr>
                <w:szCs w:val="20"/>
              </w:rPr>
              <w:t xml:space="preserve">Evidence </w:t>
            </w:r>
            <w:r w:rsidRPr="0016267B">
              <w:rPr>
                <w:rFonts w:cs="Times New Roman"/>
                <w:szCs w:val="20"/>
              </w:rPr>
              <w:t>—</w:t>
            </w:r>
            <w:r w:rsidRPr="0016267B">
              <w:rPr>
                <w:szCs w:val="20"/>
              </w:rPr>
              <w:t xml:space="preserve"> Secret contract </w:t>
            </w:r>
            <w:r w:rsidRPr="0016267B">
              <w:rPr>
                <w:rFonts w:cs="Times New Roman"/>
                <w:szCs w:val="20"/>
              </w:rPr>
              <w:t>—</w:t>
            </w:r>
            <w:r w:rsidRPr="0016267B">
              <w:rPr>
                <w:szCs w:val="20"/>
              </w:rPr>
              <w:t xml:space="preserve"> Motion to dismiss appeal</w:t>
            </w:r>
            <w:r w:rsidRPr="0016267B">
              <w:rPr>
                <w:rFonts w:cs="Times New Roman"/>
                <w:szCs w:val="20"/>
              </w:rPr>
              <w:t xml:space="preserve"> — Whether applicant raising issue of law of public importance.</w:t>
            </w:r>
          </w:p>
          <w:p w:rsidR="009435DF" w:rsidRPr="0016267B" w:rsidRDefault="009435DF" w:rsidP="00C1054E">
            <w:pPr>
              <w:pStyle w:val="SCCShortJudgment"/>
              <w:ind w:firstLine="0"/>
              <w:rPr>
                <w:rFonts w:cs="Times New Roman"/>
                <w:szCs w:val="20"/>
              </w:rPr>
            </w:pPr>
          </w:p>
        </w:tc>
      </w:tr>
      <w:tr w:rsidR="00B77D6C" w:rsidRPr="0016267B" w:rsidTr="00C1054E">
        <w:trPr>
          <w:cantSplit/>
        </w:trPr>
        <w:tc>
          <w:tcPr>
            <w:tcW w:w="9576" w:type="dxa"/>
            <w:gridSpan w:val="4"/>
          </w:tcPr>
          <w:p w:rsidR="009435DF" w:rsidRPr="0016267B" w:rsidRDefault="009435DF" w:rsidP="0082555B">
            <w:pPr>
              <w:jc w:val="both"/>
              <w:rPr>
                <w:rFonts w:cs="Times New Roman"/>
                <w:sz w:val="20"/>
                <w:szCs w:val="20"/>
              </w:rPr>
            </w:pPr>
            <w:r w:rsidRPr="0016267B">
              <w:rPr>
                <w:rFonts w:cs="Times New Roman"/>
                <w:sz w:val="20"/>
                <w:szCs w:val="20"/>
              </w:rPr>
              <w:t xml:space="preserve">The applicant challenged a real estate transaction even though the act of sale by which he had sold the immovable in question to his son, the respondent Karim Rachid Krey, had been registered at the registry office. The applicant alleged that his son was his </w:t>
            </w:r>
            <w:r w:rsidRPr="0016267B">
              <w:rPr>
                <w:rFonts w:cs="Times New Roman"/>
                <w:i/>
                <w:sz w:val="20"/>
                <w:szCs w:val="20"/>
              </w:rPr>
              <w:t>prête</w:t>
            </w:r>
            <w:r w:rsidRPr="0016267B">
              <w:rPr>
                <w:rFonts w:cs="Times New Roman"/>
                <w:i/>
                <w:sz w:val="20"/>
                <w:szCs w:val="20"/>
              </w:rPr>
              <w:noBreakHyphen/>
              <w:t>nom</w:t>
            </w:r>
            <w:r w:rsidRPr="0016267B">
              <w:rPr>
                <w:rFonts w:cs="Times New Roman"/>
                <w:sz w:val="20"/>
                <w:szCs w:val="20"/>
              </w:rPr>
              <w:t xml:space="preserve"> and therefore had neither the capacity nor the authority to sell the immovable in question to the respondents Philippe and Diane Daoust. The respondents brought an action in eviction followed by a motion to dismiss the applicant’s defence.</w:t>
            </w:r>
          </w:p>
          <w:p w:rsidR="00B77D6C" w:rsidRPr="0016267B" w:rsidRDefault="00B77D6C" w:rsidP="00C1054E">
            <w:pPr>
              <w:pStyle w:val="SCCShortJudgment"/>
              <w:ind w:firstLine="0"/>
              <w:rPr>
                <w:rFonts w:cs="Times New Roman"/>
                <w:szCs w:val="20"/>
              </w:rPr>
            </w:pPr>
          </w:p>
        </w:tc>
      </w:tr>
      <w:tr w:rsidR="00B77D6C" w:rsidRPr="0016267B" w:rsidTr="00C1054E">
        <w:trPr>
          <w:cantSplit/>
        </w:trPr>
        <w:tc>
          <w:tcPr>
            <w:tcW w:w="4410" w:type="dxa"/>
            <w:gridSpan w:val="2"/>
          </w:tcPr>
          <w:p w:rsidR="009435DF" w:rsidRPr="0016267B" w:rsidRDefault="009435DF" w:rsidP="009435DF">
            <w:pPr>
              <w:rPr>
                <w:rFonts w:cs="Times New Roman"/>
                <w:sz w:val="20"/>
                <w:szCs w:val="20"/>
              </w:rPr>
            </w:pPr>
            <w:r w:rsidRPr="0016267B">
              <w:rPr>
                <w:rFonts w:cs="Times New Roman"/>
                <w:sz w:val="20"/>
                <w:szCs w:val="20"/>
              </w:rPr>
              <w:t>January 9, 2015</w:t>
            </w:r>
          </w:p>
          <w:p w:rsidR="009435DF" w:rsidRPr="0016267B" w:rsidRDefault="009435DF" w:rsidP="009435DF">
            <w:pPr>
              <w:rPr>
                <w:rFonts w:cs="Times New Roman"/>
                <w:sz w:val="20"/>
                <w:szCs w:val="20"/>
              </w:rPr>
            </w:pPr>
            <w:r w:rsidRPr="0016267B">
              <w:rPr>
                <w:rFonts w:cs="Times New Roman"/>
                <w:sz w:val="20"/>
                <w:szCs w:val="20"/>
              </w:rPr>
              <w:t>Quebec Superior Court</w:t>
            </w:r>
          </w:p>
          <w:p w:rsidR="009435DF" w:rsidRPr="0016267B" w:rsidRDefault="009435DF" w:rsidP="009435DF">
            <w:pPr>
              <w:rPr>
                <w:rFonts w:cs="Times New Roman"/>
                <w:sz w:val="20"/>
                <w:szCs w:val="20"/>
              </w:rPr>
            </w:pPr>
            <w:r w:rsidRPr="0016267B">
              <w:rPr>
                <w:rFonts w:cs="Times New Roman"/>
                <w:sz w:val="20"/>
                <w:szCs w:val="20"/>
              </w:rPr>
              <w:t>(Casgrain J.)</w:t>
            </w:r>
          </w:p>
          <w:p w:rsidR="009435DF" w:rsidRPr="0016267B" w:rsidRDefault="009435DF" w:rsidP="009435DF">
            <w:pPr>
              <w:rPr>
                <w:rFonts w:cs="Times New Roman"/>
                <w:sz w:val="20"/>
                <w:szCs w:val="20"/>
              </w:rPr>
            </w:pPr>
            <w:r w:rsidRPr="0016267B">
              <w:rPr>
                <w:rFonts w:cs="Times New Roman"/>
                <w:sz w:val="20"/>
                <w:szCs w:val="20"/>
              </w:rPr>
              <w:t>No. 760-17-003603-142</w:t>
            </w:r>
          </w:p>
          <w:p w:rsidR="00B77D6C" w:rsidRPr="0016267B" w:rsidRDefault="00B77D6C" w:rsidP="00C1054E">
            <w:pPr>
              <w:jc w:val="both"/>
              <w:rPr>
                <w:rFonts w:cs="Times New Roman"/>
                <w:sz w:val="20"/>
                <w:szCs w:val="20"/>
              </w:rPr>
            </w:pPr>
          </w:p>
        </w:tc>
        <w:tc>
          <w:tcPr>
            <w:tcW w:w="630" w:type="dxa"/>
          </w:tcPr>
          <w:p w:rsidR="00B77D6C" w:rsidRPr="0016267B" w:rsidRDefault="00B77D6C" w:rsidP="00C1054E">
            <w:pPr>
              <w:pStyle w:val="SCCShortJudgment"/>
              <w:ind w:firstLine="0"/>
              <w:rPr>
                <w:rFonts w:cs="Times New Roman"/>
                <w:szCs w:val="20"/>
              </w:rPr>
            </w:pPr>
          </w:p>
        </w:tc>
        <w:tc>
          <w:tcPr>
            <w:tcW w:w="4536" w:type="dxa"/>
          </w:tcPr>
          <w:p w:rsidR="009435DF" w:rsidRPr="0016267B" w:rsidRDefault="009435DF" w:rsidP="00F44AE7">
            <w:pPr>
              <w:jc w:val="both"/>
              <w:rPr>
                <w:rFonts w:cs="Times New Roman"/>
                <w:sz w:val="20"/>
                <w:szCs w:val="20"/>
              </w:rPr>
            </w:pPr>
            <w:r w:rsidRPr="0016267B">
              <w:rPr>
                <w:rFonts w:cs="Times New Roman"/>
                <w:sz w:val="20"/>
                <w:szCs w:val="20"/>
              </w:rPr>
              <w:t>Motion to dismiss defence against action in eviction from immovable property allowed.</w:t>
            </w:r>
          </w:p>
          <w:p w:rsidR="00B77D6C" w:rsidRPr="0016267B" w:rsidRDefault="00B77D6C" w:rsidP="00C1054E">
            <w:pPr>
              <w:jc w:val="both"/>
              <w:rPr>
                <w:rFonts w:cs="Times New Roman"/>
                <w:sz w:val="20"/>
                <w:szCs w:val="20"/>
              </w:rPr>
            </w:pPr>
          </w:p>
        </w:tc>
      </w:tr>
      <w:tr w:rsidR="00B77D6C" w:rsidRPr="0016267B" w:rsidTr="00C1054E">
        <w:trPr>
          <w:cantSplit/>
        </w:trPr>
        <w:tc>
          <w:tcPr>
            <w:tcW w:w="4410" w:type="dxa"/>
            <w:gridSpan w:val="2"/>
          </w:tcPr>
          <w:p w:rsidR="009435DF" w:rsidRPr="0016267B" w:rsidRDefault="009435DF" w:rsidP="009435DF">
            <w:pPr>
              <w:rPr>
                <w:rFonts w:cs="Times New Roman"/>
                <w:sz w:val="20"/>
                <w:szCs w:val="20"/>
              </w:rPr>
            </w:pPr>
            <w:r w:rsidRPr="0016267B">
              <w:rPr>
                <w:rFonts w:cs="Times New Roman"/>
                <w:sz w:val="20"/>
                <w:szCs w:val="20"/>
              </w:rPr>
              <w:t>October 29, 2015</w:t>
            </w:r>
          </w:p>
          <w:p w:rsidR="009435DF" w:rsidRPr="0016267B" w:rsidRDefault="009435DF" w:rsidP="009435DF">
            <w:pPr>
              <w:rPr>
                <w:rFonts w:cs="Times New Roman"/>
                <w:sz w:val="20"/>
                <w:szCs w:val="20"/>
              </w:rPr>
            </w:pPr>
            <w:r w:rsidRPr="0016267B">
              <w:rPr>
                <w:rFonts w:cs="Times New Roman"/>
                <w:sz w:val="20"/>
                <w:szCs w:val="20"/>
              </w:rPr>
              <w:t>Quebec Court of Appeal (Montréal)</w:t>
            </w:r>
          </w:p>
          <w:p w:rsidR="009435DF" w:rsidRPr="0016267B" w:rsidRDefault="009435DF" w:rsidP="009435DF">
            <w:pPr>
              <w:rPr>
                <w:rFonts w:cs="Times New Roman"/>
                <w:sz w:val="20"/>
                <w:szCs w:val="20"/>
              </w:rPr>
            </w:pPr>
            <w:r w:rsidRPr="0016267B">
              <w:rPr>
                <w:rFonts w:cs="Times New Roman"/>
                <w:sz w:val="20"/>
                <w:szCs w:val="20"/>
              </w:rPr>
              <w:t>(Hilton J.A.)</w:t>
            </w:r>
          </w:p>
          <w:p w:rsidR="009435DF" w:rsidRPr="0016267B" w:rsidRDefault="009435DF" w:rsidP="009435DF">
            <w:pPr>
              <w:rPr>
                <w:rFonts w:cs="Times New Roman"/>
                <w:sz w:val="20"/>
                <w:szCs w:val="20"/>
              </w:rPr>
            </w:pPr>
            <w:r w:rsidRPr="0016267B">
              <w:rPr>
                <w:rFonts w:cs="Times New Roman"/>
                <w:sz w:val="20"/>
                <w:szCs w:val="20"/>
              </w:rPr>
              <w:t>No. 500-09-025044-157</w:t>
            </w:r>
          </w:p>
          <w:p w:rsidR="009435DF" w:rsidRPr="0016267B" w:rsidRDefault="00D75D0F" w:rsidP="009435DF">
            <w:pPr>
              <w:rPr>
                <w:rFonts w:cs="Times New Roman"/>
                <w:sz w:val="20"/>
                <w:szCs w:val="20"/>
              </w:rPr>
            </w:pPr>
            <w:hyperlink r:id="rId31" w:history="1">
              <w:r w:rsidR="009435DF" w:rsidRPr="0016267B">
                <w:rPr>
                  <w:rStyle w:val="Hyperlink"/>
                  <w:sz w:val="20"/>
                  <w:szCs w:val="20"/>
                  <w:u w:val="none"/>
                </w:rPr>
                <w:t>2015 QCCA 1757</w:t>
              </w:r>
            </w:hyperlink>
          </w:p>
          <w:p w:rsidR="00B77D6C" w:rsidRPr="0016267B" w:rsidRDefault="00B77D6C" w:rsidP="00C1054E">
            <w:pPr>
              <w:jc w:val="both"/>
              <w:rPr>
                <w:rFonts w:cs="Times New Roman"/>
                <w:sz w:val="20"/>
                <w:szCs w:val="20"/>
              </w:rPr>
            </w:pPr>
          </w:p>
        </w:tc>
        <w:tc>
          <w:tcPr>
            <w:tcW w:w="630" w:type="dxa"/>
          </w:tcPr>
          <w:p w:rsidR="00B77D6C" w:rsidRPr="0016267B" w:rsidRDefault="00B77D6C" w:rsidP="00C1054E">
            <w:pPr>
              <w:pStyle w:val="SCCShortJudgment"/>
              <w:ind w:firstLine="0"/>
              <w:rPr>
                <w:rFonts w:cs="Times New Roman"/>
                <w:szCs w:val="20"/>
              </w:rPr>
            </w:pPr>
          </w:p>
        </w:tc>
        <w:tc>
          <w:tcPr>
            <w:tcW w:w="4536" w:type="dxa"/>
          </w:tcPr>
          <w:p w:rsidR="009435DF" w:rsidRPr="0016267B" w:rsidRDefault="009435DF" w:rsidP="009435DF">
            <w:pPr>
              <w:rPr>
                <w:rFonts w:cs="Times New Roman"/>
                <w:sz w:val="20"/>
                <w:szCs w:val="20"/>
              </w:rPr>
            </w:pPr>
            <w:r w:rsidRPr="0016267B">
              <w:rPr>
                <w:rFonts w:cs="Times New Roman"/>
                <w:sz w:val="20"/>
                <w:szCs w:val="20"/>
              </w:rPr>
              <w:t>Motion for leave to appeal dismissed.</w:t>
            </w:r>
          </w:p>
          <w:p w:rsidR="00B77D6C" w:rsidRPr="0016267B" w:rsidRDefault="00B77D6C" w:rsidP="00C1054E">
            <w:pPr>
              <w:jc w:val="both"/>
              <w:rPr>
                <w:rFonts w:cs="Times New Roman"/>
                <w:sz w:val="20"/>
                <w:szCs w:val="20"/>
              </w:rPr>
            </w:pPr>
          </w:p>
        </w:tc>
      </w:tr>
    </w:tbl>
    <w:p w:rsidR="0016267B" w:rsidRPr="0071080B" w:rsidRDefault="0016267B">
      <w:pPr>
        <w:rPr>
          <w:sz w:val="20"/>
          <w:szCs w:val="20"/>
        </w:rPr>
      </w:pPr>
      <w:r w:rsidRPr="0071080B">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B77D6C" w:rsidRPr="0071080B" w:rsidTr="00C1054E">
        <w:trPr>
          <w:cantSplit/>
        </w:trPr>
        <w:tc>
          <w:tcPr>
            <w:tcW w:w="4410" w:type="dxa"/>
          </w:tcPr>
          <w:p w:rsidR="009435DF" w:rsidRPr="0071080B" w:rsidRDefault="009435DF" w:rsidP="009435DF">
            <w:pPr>
              <w:rPr>
                <w:sz w:val="20"/>
                <w:szCs w:val="20"/>
              </w:rPr>
            </w:pPr>
            <w:r w:rsidRPr="0071080B">
              <w:rPr>
                <w:sz w:val="20"/>
                <w:szCs w:val="20"/>
              </w:rPr>
              <w:t>November 27, 2015</w:t>
            </w:r>
          </w:p>
          <w:p w:rsidR="00B77D6C" w:rsidRPr="0071080B" w:rsidRDefault="009435DF" w:rsidP="009435DF">
            <w:pPr>
              <w:jc w:val="both"/>
              <w:rPr>
                <w:rFonts w:cs="Times New Roman"/>
                <w:sz w:val="20"/>
                <w:szCs w:val="20"/>
              </w:rPr>
            </w:pPr>
            <w:r w:rsidRPr="0071080B">
              <w:rPr>
                <w:sz w:val="20"/>
                <w:szCs w:val="20"/>
              </w:rPr>
              <w:t>Supreme Court of Canada</w:t>
            </w:r>
          </w:p>
        </w:tc>
        <w:tc>
          <w:tcPr>
            <w:tcW w:w="630" w:type="dxa"/>
          </w:tcPr>
          <w:p w:rsidR="00B77D6C" w:rsidRPr="0071080B" w:rsidRDefault="00B77D6C" w:rsidP="00C1054E">
            <w:pPr>
              <w:pStyle w:val="SCCShortJudgment"/>
              <w:ind w:firstLine="0"/>
              <w:rPr>
                <w:rFonts w:cs="Times New Roman"/>
                <w:szCs w:val="20"/>
              </w:rPr>
            </w:pPr>
          </w:p>
        </w:tc>
        <w:tc>
          <w:tcPr>
            <w:tcW w:w="4536" w:type="dxa"/>
          </w:tcPr>
          <w:p w:rsidR="00B77D6C" w:rsidRPr="0071080B" w:rsidRDefault="009435DF" w:rsidP="00C1054E">
            <w:pPr>
              <w:jc w:val="both"/>
              <w:rPr>
                <w:rFonts w:cs="Times New Roman"/>
                <w:sz w:val="20"/>
                <w:szCs w:val="20"/>
              </w:rPr>
            </w:pPr>
            <w:r w:rsidRPr="0071080B">
              <w:rPr>
                <w:sz w:val="20"/>
                <w:szCs w:val="20"/>
              </w:rPr>
              <w:t>Application for leave to appeal filed.</w:t>
            </w:r>
          </w:p>
        </w:tc>
      </w:tr>
      <w:tr w:rsidR="00B77D6C" w:rsidRPr="0071080B" w:rsidTr="00C1054E">
        <w:trPr>
          <w:cantSplit/>
        </w:trPr>
        <w:tc>
          <w:tcPr>
            <w:tcW w:w="9576" w:type="dxa"/>
            <w:gridSpan w:val="3"/>
          </w:tcPr>
          <w:p w:rsidR="00B77D6C" w:rsidRPr="0071080B" w:rsidRDefault="00D75D0F" w:rsidP="00C1054E">
            <w:pPr>
              <w:pStyle w:val="SCCShortJudgment"/>
              <w:ind w:firstLine="0"/>
              <w:rPr>
                <w:rFonts w:cs="Times New Roman"/>
                <w:szCs w:val="20"/>
                <w:lang w:val="fr-CA"/>
              </w:rPr>
            </w:pPr>
            <w:r>
              <w:rPr>
                <w:rFonts w:cs="Times New Roman"/>
                <w:szCs w:val="20"/>
                <w:lang w:val="fr-CA"/>
              </w:rPr>
              <w:pict>
                <v:rect id="_x0000_i1047" style="width:2in;height:1pt" o:hrpct="0" o:hralign="center" o:hrstd="t" o:hrnoshade="t" o:hr="t" fillcolor="black [3213]" stroked="f"/>
              </w:pict>
            </w:r>
          </w:p>
          <w:p w:rsidR="00B77D6C" w:rsidRPr="0071080B" w:rsidRDefault="00B77D6C" w:rsidP="00C1054E">
            <w:pPr>
              <w:pStyle w:val="SCCShortJudgment"/>
              <w:ind w:firstLine="0"/>
              <w:rPr>
                <w:rFonts w:cs="Times New Roman"/>
                <w:szCs w:val="20"/>
                <w:lang w:val="fr-CA"/>
              </w:rPr>
            </w:pPr>
          </w:p>
        </w:tc>
      </w:tr>
      <w:tr w:rsidR="00B77D6C" w:rsidRPr="0071080B" w:rsidTr="00C1054E">
        <w:trPr>
          <w:cantSplit/>
        </w:trPr>
        <w:tc>
          <w:tcPr>
            <w:tcW w:w="9576" w:type="dxa"/>
            <w:gridSpan w:val="3"/>
          </w:tcPr>
          <w:p w:rsidR="00B77D6C" w:rsidRPr="0071080B" w:rsidRDefault="0016267B" w:rsidP="00C1054E">
            <w:pPr>
              <w:pStyle w:val="SCCShortJudgment"/>
              <w:ind w:firstLine="0"/>
              <w:rPr>
                <w:rFonts w:cs="Times New Roman"/>
                <w:szCs w:val="20"/>
                <w:u w:val="single"/>
                <w:lang w:val="fr-CA"/>
              </w:rPr>
            </w:pPr>
            <w:r w:rsidRPr="0071080B">
              <w:rPr>
                <w:rFonts w:cs="Times New Roman"/>
                <w:szCs w:val="20"/>
                <w:u w:val="single"/>
                <w:lang w:val="fr-CA"/>
              </w:rPr>
              <w:t>RÉSUMÉ DE L’AFFAIRE</w:t>
            </w:r>
          </w:p>
          <w:p w:rsidR="00B77D6C" w:rsidRPr="0071080B" w:rsidRDefault="00B77D6C" w:rsidP="00C1054E">
            <w:pPr>
              <w:pStyle w:val="SCCShortJudgment"/>
              <w:ind w:firstLine="0"/>
              <w:rPr>
                <w:rFonts w:cs="Times New Roman"/>
                <w:szCs w:val="20"/>
                <w:lang w:val="fr-CA"/>
              </w:rPr>
            </w:pPr>
          </w:p>
        </w:tc>
      </w:tr>
      <w:tr w:rsidR="00B77D6C" w:rsidRPr="00D75D0F" w:rsidTr="00C1054E">
        <w:trPr>
          <w:cantSplit/>
        </w:trPr>
        <w:tc>
          <w:tcPr>
            <w:tcW w:w="9576" w:type="dxa"/>
            <w:gridSpan w:val="3"/>
          </w:tcPr>
          <w:p w:rsidR="00B77D6C" w:rsidRPr="0071080B" w:rsidRDefault="009435DF" w:rsidP="009435DF">
            <w:pPr>
              <w:pStyle w:val="SCCShortJudgment"/>
              <w:tabs>
                <w:tab w:val="left" w:pos="530"/>
              </w:tabs>
              <w:ind w:firstLine="0"/>
              <w:rPr>
                <w:rFonts w:cs="Times New Roman"/>
                <w:szCs w:val="20"/>
                <w:lang w:val="fr-CA"/>
              </w:rPr>
            </w:pPr>
            <w:r w:rsidRPr="0071080B">
              <w:rPr>
                <w:szCs w:val="20"/>
                <w:lang w:val="fr-CA"/>
              </w:rPr>
              <w:t xml:space="preserve">Preuve </w:t>
            </w:r>
            <w:r w:rsidRPr="0071080B">
              <w:rPr>
                <w:rFonts w:cs="Times New Roman"/>
                <w:szCs w:val="20"/>
                <w:lang w:val="fr-CA"/>
              </w:rPr>
              <w:t>—</w:t>
            </w:r>
            <w:r w:rsidRPr="0071080B">
              <w:rPr>
                <w:szCs w:val="20"/>
                <w:lang w:val="fr-CA"/>
              </w:rPr>
              <w:t xml:space="preserve"> Contrat secret </w:t>
            </w:r>
            <w:r w:rsidRPr="0071080B">
              <w:rPr>
                <w:rFonts w:cs="Times New Roman"/>
                <w:szCs w:val="20"/>
                <w:lang w:val="fr-CA"/>
              </w:rPr>
              <w:t>—</w:t>
            </w:r>
            <w:r w:rsidRPr="0071080B">
              <w:rPr>
                <w:szCs w:val="20"/>
                <w:lang w:val="fr-CA"/>
              </w:rPr>
              <w:t xml:space="preserve"> </w:t>
            </w:r>
            <w:r w:rsidRPr="0071080B">
              <w:rPr>
                <w:rFonts w:cs="Times New Roman"/>
                <w:szCs w:val="20"/>
                <w:lang w:val="fr-CA"/>
              </w:rPr>
              <w:t>Requête en rejet d</w:t>
            </w:r>
            <w:r w:rsidRPr="0071080B">
              <w:rPr>
                <w:szCs w:val="20"/>
                <w:lang w:val="fr-CA"/>
              </w:rPr>
              <w:t>’</w:t>
            </w:r>
            <w:r w:rsidRPr="0071080B">
              <w:rPr>
                <w:rFonts w:cs="Times New Roman"/>
                <w:szCs w:val="20"/>
                <w:lang w:val="fr-CA"/>
              </w:rPr>
              <w:t>appel — Le demandeur soulève-t-il une question juridique d</w:t>
            </w:r>
            <w:r w:rsidRPr="0071080B">
              <w:rPr>
                <w:szCs w:val="20"/>
                <w:lang w:val="fr-CA"/>
              </w:rPr>
              <w:t>’</w:t>
            </w:r>
            <w:r w:rsidRPr="0071080B">
              <w:rPr>
                <w:rFonts w:cs="Times New Roman"/>
                <w:szCs w:val="20"/>
                <w:lang w:val="fr-CA"/>
              </w:rPr>
              <w:t>importance pour le public?</w:t>
            </w:r>
          </w:p>
          <w:p w:rsidR="009435DF" w:rsidRPr="0071080B" w:rsidRDefault="009435DF" w:rsidP="009435DF">
            <w:pPr>
              <w:pStyle w:val="SCCShortJudgment"/>
              <w:tabs>
                <w:tab w:val="left" w:pos="530"/>
              </w:tabs>
              <w:ind w:firstLine="0"/>
              <w:rPr>
                <w:rFonts w:cs="Times New Roman"/>
                <w:szCs w:val="20"/>
                <w:lang w:val="fr-CA"/>
              </w:rPr>
            </w:pPr>
          </w:p>
        </w:tc>
      </w:tr>
      <w:tr w:rsidR="00B77D6C" w:rsidRPr="00D75D0F" w:rsidTr="00C1054E">
        <w:trPr>
          <w:cantSplit/>
        </w:trPr>
        <w:tc>
          <w:tcPr>
            <w:tcW w:w="9576" w:type="dxa"/>
            <w:gridSpan w:val="3"/>
          </w:tcPr>
          <w:p w:rsidR="00B77D6C" w:rsidRPr="0071080B" w:rsidRDefault="009435DF" w:rsidP="0082555B">
            <w:pPr>
              <w:jc w:val="both"/>
              <w:rPr>
                <w:rFonts w:cs="Times New Roman"/>
                <w:sz w:val="20"/>
                <w:szCs w:val="20"/>
                <w:lang w:val="fr-CA"/>
              </w:rPr>
            </w:pPr>
            <w:r w:rsidRPr="0071080B">
              <w:rPr>
                <w:rFonts w:cs="Times New Roman"/>
                <w:sz w:val="20"/>
                <w:szCs w:val="20"/>
                <w:lang w:val="fr-CA"/>
              </w:rPr>
              <w:t>Le demandeur conteste une transaction immobilière nonobstant l</w:t>
            </w:r>
            <w:r w:rsidRPr="0071080B">
              <w:rPr>
                <w:sz w:val="20"/>
                <w:szCs w:val="20"/>
                <w:lang w:val="fr-CA"/>
              </w:rPr>
              <w:t>’</w:t>
            </w:r>
            <w:r w:rsidRPr="0071080B">
              <w:rPr>
                <w:rFonts w:cs="Times New Roman"/>
                <w:sz w:val="20"/>
                <w:szCs w:val="20"/>
                <w:lang w:val="fr-CA"/>
              </w:rPr>
              <w:t>inscription au Bureau de publicité des droits d</w:t>
            </w:r>
            <w:r w:rsidRPr="0071080B">
              <w:rPr>
                <w:sz w:val="20"/>
                <w:szCs w:val="20"/>
                <w:lang w:val="fr-CA"/>
              </w:rPr>
              <w:t>’</w:t>
            </w:r>
            <w:r w:rsidRPr="0071080B">
              <w:rPr>
                <w:rFonts w:cs="Times New Roman"/>
                <w:sz w:val="20"/>
                <w:szCs w:val="20"/>
                <w:lang w:val="fr-CA"/>
              </w:rPr>
              <w:t>un acte de vente par lequel il a vendu l</w:t>
            </w:r>
            <w:r w:rsidRPr="0071080B">
              <w:rPr>
                <w:sz w:val="20"/>
                <w:szCs w:val="20"/>
                <w:lang w:val="fr-CA"/>
              </w:rPr>
              <w:t>’</w:t>
            </w:r>
            <w:r w:rsidRPr="0071080B">
              <w:rPr>
                <w:rFonts w:cs="Times New Roman"/>
                <w:sz w:val="20"/>
                <w:szCs w:val="20"/>
                <w:lang w:val="fr-CA"/>
              </w:rPr>
              <w:t>immeuble en cause à son fils, l</w:t>
            </w:r>
            <w:r w:rsidRPr="0071080B">
              <w:rPr>
                <w:sz w:val="20"/>
                <w:szCs w:val="20"/>
                <w:lang w:val="fr-CA"/>
              </w:rPr>
              <w:t>’</w:t>
            </w:r>
            <w:r w:rsidRPr="0071080B">
              <w:rPr>
                <w:rFonts w:cs="Times New Roman"/>
                <w:sz w:val="20"/>
                <w:szCs w:val="20"/>
                <w:lang w:val="fr-CA"/>
              </w:rPr>
              <w:t>intimé Karim Rachid Krey. Le demandeur allègue que son fils était son prête-nom, et que par conséquent, ce dernier n</w:t>
            </w:r>
            <w:r w:rsidRPr="0071080B">
              <w:rPr>
                <w:sz w:val="20"/>
                <w:szCs w:val="20"/>
                <w:lang w:val="fr-CA"/>
              </w:rPr>
              <w:t>’</w:t>
            </w:r>
            <w:r w:rsidRPr="0071080B">
              <w:rPr>
                <w:rFonts w:cs="Times New Roman"/>
                <w:sz w:val="20"/>
                <w:szCs w:val="20"/>
                <w:lang w:val="fr-CA"/>
              </w:rPr>
              <w:t>avait ni la capacité ni l</w:t>
            </w:r>
            <w:r w:rsidRPr="0071080B">
              <w:rPr>
                <w:sz w:val="20"/>
                <w:szCs w:val="20"/>
                <w:lang w:val="fr-CA"/>
              </w:rPr>
              <w:t>’</w:t>
            </w:r>
            <w:r w:rsidRPr="0071080B">
              <w:rPr>
                <w:rFonts w:cs="Times New Roman"/>
                <w:sz w:val="20"/>
                <w:szCs w:val="20"/>
                <w:lang w:val="fr-CA"/>
              </w:rPr>
              <w:t>autorité de vendre l</w:t>
            </w:r>
            <w:r w:rsidRPr="0071080B">
              <w:rPr>
                <w:sz w:val="20"/>
                <w:szCs w:val="20"/>
                <w:lang w:val="fr-CA"/>
              </w:rPr>
              <w:t>’</w:t>
            </w:r>
            <w:r w:rsidRPr="0071080B">
              <w:rPr>
                <w:rFonts w:cs="Times New Roman"/>
                <w:sz w:val="20"/>
                <w:szCs w:val="20"/>
                <w:lang w:val="fr-CA"/>
              </w:rPr>
              <w:t>immeuble en cause aux intimés Philippe et Diane Daoust. Les intimés ont intenté un recours en expulsion, suivi d</w:t>
            </w:r>
            <w:r w:rsidRPr="0071080B">
              <w:rPr>
                <w:sz w:val="20"/>
                <w:szCs w:val="20"/>
                <w:lang w:val="fr-CA"/>
              </w:rPr>
              <w:t>’</w:t>
            </w:r>
            <w:r w:rsidRPr="0071080B">
              <w:rPr>
                <w:rFonts w:cs="Times New Roman"/>
                <w:sz w:val="20"/>
                <w:szCs w:val="20"/>
                <w:lang w:val="fr-CA"/>
              </w:rPr>
              <w:t>une requête en rejet de la défense du demandeur.</w:t>
            </w:r>
          </w:p>
        </w:tc>
      </w:tr>
      <w:tr w:rsidR="00B77D6C" w:rsidRPr="00D75D0F" w:rsidTr="00C1054E">
        <w:trPr>
          <w:cantSplit/>
        </w:trPr>
        <w:tc>
          <w:tcPr>
            <w:tcW w:w="9576" w:type="dxa"/>
            <w:gridSpan w:val="3"/>
          </w:tcPr>
          <w:p w:rsidR="00B77D6C" w:rsidRPr="0071080B" w:rsidRDefault="00B77D6C" w:rsidP="00C1054E">
            <w:pPr>
              <w:pStyle w:val="SCCShortJudgment"/>
              <w:ind w:firstLine="0"/>
              <w:rPr>
                <w:rFonts w:cs="Times New Roman"/>
                <w:szCs w:val="20"/>
                <w:lang w:val="fr-CA"/>
              </w:rPr>
            </w:pPr>
          </w:p>
        </w:tc>
      </w:tr>
      <w:tr w:rsidR="00B77D6C" w:rsidRPr="00D75D0F" w:rsidTr="00C1054E">
        <w:trPr>
          <w:cantSplit/>
        </w:trPr>
        <w:tc>
          <w:tcPr>
            <w:tcW w:w="4410" w:type="dxa"/>
          </w:tcPr>
          <w:p w:rsidR="009435DF" w:rsidRPr="0071080B" w:rsidRDefault="009435DF" w:rsidP="009435DF">
            <w:pPr>
              <w:rPr>
                <w:rFonts w:cs="Times New Roman"/>
                <w:sz w:val="20"/>
                <w:szCs w:val="20"/>
                <w:lang w:val="fr-CA"/>
              </w:rPr>
            </w:pPr>
            <w:r w:rsidRPr="0071080B">
              <w:rPr>
                <w:rFonts w:cs="Times New Roman"/>
                <w:sz w:val="20"/>
                <w:szCs w:val="20"/>
                <w:lang w:val="fr-CA"/>
              </w:rPr>
              <w:t>Le 9 janvier 2015</w:t>
            </w:r>
          </w:p>
          <w:p w:rsidR="009435DF" w:rsidRPr="0071080B" w:rsidRDefault="009435DF" w:rsidP="009435DF">
            <w:pPr>
              <w:rPr>
                <w:rFonts w:cs="Times New Roman"/>
                <w:sz w:val="20"/>
                <w:szCs w:val="20"/>
                <w:lang w:val="fr-CA"/>
              </w:rPr>
            </w:pPr>
            <w:r w:rsidRPr="0071080B">
              <w:rPr>
                <w:rFonts w:cs="Times New Roman"/>
                <w:sz w:val="20"/>
                <w:szCs w:val="20"/>
                <w:lang w:val="fr-CA"/>
              </w:rPr>
              <w:t>Cour supérieure du Québec</w:t>
            </w:r>
          </w:p>
          <w:p w:rsidR="009435DF" w:rsidRPr="0071080B" w:rsidRDefault="009435DF" w:rsidP="009435DF">
            <w:pPr>
              <w:rPr>
                <w:rFonts w:cs="Times New Roman"/>
                <w:sz w:val="20"/>
                <w:szCs w:val="20"/>
              </w:rPr>
            </w:pPr>
            <w:r w:rsidRPr="0071080B">
              <w:rPr>
                <w:rFonts w:cs="Times New Roman"/>
                <w:sz w:val="20"/>
                <w:szCs w:val="20"/>
              </w:rPr>
              <w:t>(Le juge Casgrain)</w:t>
            </w:r>
          </w:p>
          <w:p w:rsidR="009435DF" w:rsidRPr="0071080B" w:rsidRDefault="009435DF" w:rsidP="009435DF">
            <w:pPr>
              <w:rPr>
                <w:rFonts w:cs="Times New Roman"/>
                <w:sz w:val="20"/>
                <w:szCs w:val="20"/>
              </w:rPr>
            </w:pPr>
            <w:r w:rsidRPr="0071080B">
              <w:rPr>
                <w:rFonts w:cs="Times New Roman"/>
                <w:sz w:val="20"/>
                <w:szCs w:val="20"/>
              </w:rPr>
              <w:t>No. 760-17-003603-142</w:t>
            </w:r>
          </w:p>
          <w:p w:rsidR="00B77D6C" w:rsidRPr="0071080B" w:rsidRDefault="00B77D6C" w:rsidP="009435DF">
            <w:pPr>
              <w:rPr>
                <w:rFonts w:cs="Times New Roman"/>
                <w:sz w:val="20"/>
                <w:szCs w:val="20"/>
                <w:lang w:val="fr-CA"/>
              </w:rPr>
            </w:pPr>
          </w:p>
        </w:tc>
        <w:tc>
          <w:tcPr>
            <w:tcW w:w="630" w:type="dxa"/>
          </w:tcPr>
          <w:p w:rsidR="00B77D6C" w:rsidRPr="0071080B" w:rsidRDefault="00B77D6C" w:rsidP="00C1054E">
            <w:pPr>
              <w:pStyle w:val="SCCShortJudgment"/>
              <w:ind w:firstLine="0"/>
              <w:rPr>
                <w:rFonts w:cs="Times New Roman"/>
                <w:szCs w:val="20"/>
                <w:lang w:val="fr-CA"/>
              </w:rPr>
            </w:pPr>
          </w:p>
        </w:tc>
        <w:tc>
          <w:tcPr>
            <w:tcW w:w="4536" w:type="dxa"/>
          </w:tcPr>
          <w:p w:rsidR="009435DF" w:rsidRPr="0071080B" w:rsidRDefault="009435DF" w:rsidP="0082555B">
            <w:pPr>
              <w:jc w:val="both"/>
              <w:rPr>
                <w:rFonts w:cs="Times New Roman"/>
                <w:sz w:val="20"/>
                <w:szCs w:val="20"/>
                <w:lang w:val="fr-CA"/>
              </w:rPr>
            </w:pPr>
            <w:r w:rsidRPr="0071080B">
              <w:rPr>
                <w:rFonts w:cs="Times New Roman"/>
                <w:sz w:val="20"/>
                <w:szCs w:val="20"/>
                <w:lang w:val="fr-CA"/>
              </w:rPr>
              <w:t>Requête en rejet de défense à l</w:t>
            </w:r>
            <w:r w:rsidRPr="0071080B">
              <w:rPr>
                <w:sz w:val="20"/>
                <w:szCs w:val="20"/>
                <w:lang w:val="fr-CA"/>
              </w:rPr>
              <w:t>’</w:t>
            </w:r>
            <w:r w:rsidRPr="0071080B">
              <w:rPr>
                <w:rFonts w:cs="Times New Roman"/>
                <w:sz w:val="20"/>
                <w:szCs w:val="20"/>
                <w:lang w:val="fr-CA"/>
              </w:rPr>
              <w:t>encontre d</w:t>
            </w:r>
            <w:r w:rsidRPr="0071080B">
              <w:rPr>
                <w:sz w:val="20"/>
                <w:szCs w:val="20"/>
                <w:lang w:val="fr-CA"/>
              </w:rPr>
              <w:t>’</w:t>
            </w:r>
            <w:r w:rsidRPr="0071080B">
              <w:rPr>
                <w:rFonts w:cs="Times New Roman"/>
                <w:sz w:val="20"/>
                <w:szCs w:val="20"/>
                <w:lang w:val="fr-CA"/>
              </w:rPr>
              <w:t>un recours en expulsion d</w:t>
            </w:r>
            <w:r w:rsidRPr="0071080B">
              <w:rPr>
                <w:sz w:val="20"/>
                <w:szCs w:val="20"/>
                <w:lang w:val="fr-CA"/>
              </w:rPr>
              <w:t>’</w:t>
            </w:r>
            <w:r w:rsidRPr="0071080B">
              <w:rPr>
                <w:rFonts w:cs="Times New Roman"/>
                <w:sz w:val="20"/>
                <w:szCs w:val="20"/>
                <w:lang w:val="fr-CA"/>
              </w:rPr>
              <w:t>une propriété immobilière accueillie.</w:t>
            </w:r>
          </w:p>
          <w:p w:rsidR="00B77D6C" w:rsidRPr="0071080B" w:rsidRDefault="00B77D6C" w:rsidP="00C1054E">
            <w:pPr>
              <w:pStyle w:val="SCCShortJudgment"/>
              <w:ind w:firstLine="0"/>
              <w:rPr>
                <w:rFonts w:cs="Times New Roman"/>
                <w:szCs w:val="20"/>
                <w:lang w:val="fr-CA"/>
              </w:rPr>
            </w:pPr>
          </w:p>
        </w:tc>
      </w:tr>
      <w:tr w:rsidR="00B77D6C" w:rsidRPr="00D75D0F" w:rsidTr="00C1054E">
        <w:trPr>
          <w:cantSplit/>
        </w:trPr>
        <w:tc>
          <w:tcPr>
            <w:tcW w:w="4410" w:type="dxa"/>
          </w:tcPr>
          <w:p w:rsidR="009435DF" w:rsidRPr="0071080B" w:rsidRDefault="009435DF" w:rsidP="009435DF">
            <w:pPr>
              <w:rPr>
                <w:rFonts w:cs="Times New Roman"/>
                <w:sz w:val="20"/>
                <w:szCs w:val="20"/>
                <w:lang w:val="fr-CA"/>
              </w:rPr>
            </w:pPr>
            <w:r w:rsidRPr="0071080B">
              <w:rPr>
                <w:rFonts w:cs="Times New Roman"/>
                <w:sz w:val="20"/>
                <w:szCs w:val="20"/>
                <w:lang w:val="fr-CA"/>
              </w:rPr>
              <w:t>Le 29 octobre 2015</w:t>
            </w:r>
          </w:p>
          <w:p w:rsidR="009435DF" w:rsidRPr="0071080B" w:rsidRDefault="009435DF" w:rsidP="009435DF">
            <w:pPr>
              <w:rPr>
                <w:rFonts w:cs="Times New Roman"/>
                <w:sz w:val="20"/>
                <w:szCs w:val="20"/>
                <w:lang w:val="fr-CA"/>
              </w:rPr>
            </w:pPr>
            <w:r w:rsidRPr="0071080B">
              <w:rPr>
                <w:rFonts w:cs="Times New Roman"/>
                <w:sz w:val="20"/>
                <w:szCs w:val="20"/>
                <w:lang w:val="fr-CA"/>
              </w:rPr>
              <w:t>Cour d</w:t>
            </w:r>
            <w:r w:rsidRPr="0071080B">
              <w:rPr>
                <w:sz w:val="20"/>
                <w:szCs w:val="20"/>
                <w:lang w:val="fr-CA"/>
              </w:rPr>
              <w:t>’</w:t>
            </w:r>
            <w:r w:rsidRPr="0071080B">
              <w:rPr>
                <w:rFonts w:cs="Times New Roman"/>
                <w:sz w:val="20"/>
                <w:szCs w:val="20"/>
                <w:lang w:val="fr-CA"/>
              </w:rPr>
              <w:t>appel du Québec (Montréal)</w:t>
            </w:r>
          </w:p>
          <w:p w:rsidR="009435DF" w:rsidRPr="0071080B" w:rsidRDefault="009435DF" w:rsidP="009435DF">
            <w:pPr>
              <w:rPr>
                <w:rFonts w:cs="Times New Roman"/>
                <w:sz w:val="20"/>
                <w:szCs w:val="20"/>
              </w:rPr>
            </w:pPr>
            <w:r w:rsidRPr="0071080B">
              <w:rPr>
                <w:rFonts w:cs="Times New Roman"/>
                <w:sz w:val="20"/>
                <w:szCs w:val="20"/>
              </w:rPr>
              <w:t>(Le juge Hilton)</w:t>
            </w:r>
          </w:p>
          <w:p w:rsidR="009435DF" w:rsidRPr="0071080B" w:rsidRDefault="009435DF" w:rsidP="009435DF">
            <w:pPr>
              <w:rPr>
                <w:rFonts w:cs="Times New Roman"/>
                <w:sz w:val="20"/>
                <w:szCs w:val="20"/>
              </w:rPr>
            </w:pPr>
            <w:r w:rsidRPr="0071080B">
              <w:rPr>
                <w:rFonts w:cs="Times New Roman"/>
                <w:sz w:val="20"/>
                <w:szCs w:val="20"/>
              </w:rPr>
              <w:t>No. 500-09-025044-157</w:t>
            </w:r>
          </w:p>
          <w:p w:rsidR="009435DF" w:rsidRPr="0071080B" w:rsidRDefault="00D75D0F" w:rsidP="009435DF">
            <w:pPr>
              <w:rPr>
                <w:rFonts w:cs="Times New Roman"/>
                <w:sz w:val="20"/>
                <w:szCs w:val="20"/>
                <w:u w:val="single"/>
              </w:rPr>
            </w:pPr>
            <w:hyperlink r:id="rId32" w:history="1">
              <w:r w:rsidR="009435DF" w:rsidRPr="0071080B">
                <w:rPr>
                  <w:rStyle w:val="Hyperlink"/>
                  <w:sz w:val="20"/>
                  <w:szCs w:val="20"/>
                </w:rPr>
                <w:t>2015 QCCA 1757</w:t>
              </w:r>
            </w:hyperlink>
          </w:p>
          <w:p w:rsidR="00B77D6C" w:rsidRPr="0071080B" w:rsidRDefault="00B77D6C" w:rsidP="00C1054E">
            <w:pPr>
              <w:pStyle w:val="SCCShortJudgment"/>
              <w:ind w:firstLine="0"/>
              <w:rPr>
                <w:rFonts w:cs="Times New Roman"/>
                <w:szCs w:val="20"/>
                <w:lang w:val="fr-CA"/>
              </w:rPr>
            </w:pPr>
          </w:p>
        </w:tc>
        <w:tc>
          <w:tcPr>
            <w:tcW w:w="630" w:type="dxa"/>
          </w:tcPr>
          <w:p w:rsidR="00B77D6C" w:rsidRPr="0071080B" w:rsidRDefault="00B77D6C" w:rsidP="00C1054E">
            <w:pPr>
              <w:pStyle w:val="SCCShortJudgment"/>
              <w:ind w:firstLine="0"/>
              <w:rPr>
                <w:rFonts w:cs="Times New Roman"/>
                <w:szCs w:val="20"/>
                <w:lang w:val="fr-CA"/>
              </w:rPr>
            </w:pPr>
          </w:p>
        </w:tc>
        <w:tc>
          <w:tcPr>
            <w:tcW w:w="4536" w:type="dxa"/>
          </w:tcPr>
          <w:p w:rsidR="009435DF" w:rsidRPr="0071080B" w:rsidRDefault="009435DF" w:rsidP="009435DF">
            <w:pPr>
              <w:rPr>
                <w:rFonts w:cs="Times New Roman"/>
                <w:sz w:val="20"/>
                <w:szCs w:val="20"/>
                <w:lang w:val="fr-CA"/>
              </w:rPr>
            </w:pPr>
            <w:r w:rsidRPr="0071080B">
              <w:rPr>
                <w:rFonts w:cs="Times New Roman"/>
                <w:sz w:val="20"/>
                <w:szCs w:val="20"/>
                <w:lang w:val="fr-CA"/>
              </w:rPr>
              <w:t>Requête pour permission d</w:t>
            </w:r>
            <w:r w:rsidRPr="0071080B">
              <w:rPr>
                <w:sz w:val="20"/>
                <w:szCs w:val="20"/>
                <w:lang w:val="fr-CA"/>
              </w:rPr>
              <w:t>’</w:t>
            </w:r>
            <w:r w:rsidRPr="0071080B">
              <w:rPr>
                <w:rFonts w:cs="Times New Roman"/>
                <w:sz w:val="20"/>
                <w:szCs w:val="20"/>
                <w:lang w:val="fr-CA"/>
              </w:rPr>
              <w:t>appeler rejetée.</w:t>
            </w:r>
          </w:p>
          <w:p w:rsidR="009435DF" w:rsidRPr="0071080B" w:rsidRDefault="009435DF" w:rsidP="00C1054E">
            <w:pPr>
              <w:pStyle w:val="SCCShortJudgment"/>
              <w:ind w:firstLine="0"/>
              <w:rPr>
                <w:rFonts w:cs="Times New Roman"/>
                <w:szCs w:val="20"/>
                <w:lang w:val="fr-CA"/>
              </w:rPr>
            </w:pPr>
          </w:p>
          <w:p w:rsidR="00B77D6C" w:rsidRPr="0071080B" w:rsidRDefault="00B77D6C" w:rsidP="009435DF">
            <w:pPr>
              <w:ind w:firstLine="720"/>
              <w:rPr>
                <w:sz w:val="20"/>
                <w:szCs w:val="20"/>
                <w:lang w:val="fr-CA"/>
              </w:rPr>
            </w:pPr>
          </w:p>
        </w:tc>
      </w:tr>
      <w:tr w:rsidR="00B77D6C" w:rsidRPr="0071080B" w:rsidTr="00C1054E">
        <w:trPr>
          <w:cantSplit/>
        </w:trPr>
        <w:tc>
          <w:tcPr>
            <w:tcW w:w="4410" w:type="dxa"/>
          </w:tcPr>
          <w:p w:rsidR="009435DF" w:rsidRPr="0071080B" w:rsidRDefault="009435DF" w:rsidP="009435DF">
            <w:pPr>
              <w:rPr>
                <w:sz w:val="20"/>
                <w:szCs w:val="20"/>
                <w:lang w:val="fr-CA"/>
              </w:rPr>
            </w:pPr>
            <w:r w:rsidRPr="0071080B">
              <w:rPr>
                <w:sz w:val="20"/>
                <w:szCs w:val="20"/>
                <w:lang w:val="fr-CA"/>
              </w:rPr>
              <w:t>Le 27 novembre 2015</w:t>
            </w:r>
          </w:p>
          <w:p w:rsidR="009435DF" w:rsidRPr="0071080B" w:rsidRDefault="009435DF" w:rsidP="009435DF">
            <w:pPr>
              <w:rPr>
                <w:sz w:val="20"/>
                <w:szCs w:val="20"/>
                <w:lang w:val="fr-CA"/>
              </w:rPr>
            </w:pPr>
            <w:r w:rsidRPr="0071080B">
              <w:rPr>
                <w:sz w:val="20"/>
                <w:szCs w:val="20"/>
                <w:lang w:val="fr-CA"/>
              </w:rPr>
              <w:t>Cour suprême du Canada</w:t>
            </w:r>
          </w:p>
          <w:p w:rsidR="00B77D6C" w:rsidRPr="0071080B" w:rsidRDefault="00B77D6C" w:rsidP="00C1054E">
            <w:pPr>
              <w:pStyle w:val="SCCShortJudgment"/>
              <w:ind w:firstLine="0"/>
              <w:rPr>
                <w:rFonts w:cs="Times New Roman"/>
                <w:szCs w:val="20"/>
                <w:lang w:val="fr-CA"/>
              </w:rPr>
            </w:pPr>
          </w:p>
        </w:tc>
        <w:tc>
          <w:tcPr>
            <w:tcW w:w="630" w:type="dxa"/>
          </w:tcPr>
          <w:p w:rsidR="00B77D6C" w:rsidRPr="0071080B" w:rsidRDefault="00B77D6C" w:rsidP="00C1054E">
            <w:pPr>
              <w:pStyle w:val="SCCShortJudgment"/>
              <w:ind w:firstLine="0"/>
              <w:rPr>
                <w:rFonts w:cs="Times New Roman"/>
                <w:szCs w:val="20"/>
                <w:lang w:val="fr-CA"/>
              </w:rPr>
            </w:pPr>
          </w:p>
        </w:tc>
        <w:tc>
          <w:tcPr>
            <w:tcW w:w="4536" w:type="dxa"/>
          </w:tcPr>
          <w:p w:rsidR="009435DF" w:rsidRPr="0071080B" w:rsidRDefault="009435DF" w:rsidP="009435DF">
            <w:pPr>
              <w:rPr>
                <w:sz w:val="20"/>
                <w:szCs w:val="20"/>
              </w:rPr>
            </w:pPr>
            <w:r w:rsidRPr="0071080B">
              <w:rPr>
                <w:sz w:val="20"/>
                <w:szCs w:val="20"/>
              </w:rPr>
              <w:t>Demande d'autorisation d'appel déposée.</w:t>
            </w:r>
          </w:p>
          <w:p w:rsidR="00B77D6C" w:rsidRPr="0071080B" w:rsidRDefault="00B77D6C" w:rsidP="00C1054E">
            <w:pPr>
              <w:pStyle w:val="SCCShortJudgment"/>
              <w:ind w:firstLine="0"/>
              <w:rPr>
                <w:rFonts w:cs="Times New Roman"/>
                <w:szCs w:val="20"/>
                <w:lang w:val="fr-CA"/>
              </w:rPr>
            </w:pPr>
          </w:p>
        </w:tc>
      </w:tr>
    </w:tbl>
    <w:p w:rsidR="009B4FD9" w:rsidRPr="0071080B" w:rsidRDefault="009B4FD9" w:rsidP="008D292F">
      <w:pPr>
        <w:rPr>
          <w:sz w:val="20"/>
          <w:szCs w:val="20"/>
          <w:lang w:val="fr-CA"/>
        </w:rPr>
      </w:pPr>
    </w:p>
    <w:p w:rsidR="009435DF" w:rsidRPr="0071080B" w:rsidRDefault="00D75D0F" w:rsidP="008D292F">
      <w:pPr>
        <w:rPr>
          <w:sz w:val="20"/>
          <w:szCs w:val="20"/>
          <w:lang w:val="fr-CA"/>
        </w:rPr>
      </w:pPr>
      <w:r>
        <w:rPr>
          <w:rFonts w:cs="Times New Roman"/>
          <w:sz w:val="20"/>
          <w:szCs w:val="20"/>
          <w:lang w:val="fr-CA"/>
        </w:rPr>
        <w:pict>
          <v:rect id="_x0000_i1048" style="width:2in;height:1pt" o:hrpct="0" o:hralign="center" o:hrstd="t" o:hrnoshade="t" o:hr="t" fillcolor="black [3213]" stroked="f"/>
        </w:pict>
      </w:r>
    </w:p>
    <w:p w:rsidR="009B4FD9" w:rsidRPr="0071080B" w:rsidRDefault="009B4FD9" w:rsidP="008D292F">
      <w:pPr>
        <w:rPr>
          <w:sz w:val="20"/>
          <w:szCs w:val="20"/>
          <w:lang w:val="fr-CA"/>
        </w:rPr>
      </w:pPr>
    </w:p>
    <w:p w:rsidR="00890FEB" w:rsidRPr="0071080B" w:rsidRDefault="00890FEB" w:rsidP="008D292F">
      <w:pPr>
        <w:rPr>
          <w:b/>
          <w:sz w:val="20"/>
          <w:szCs w:val="20"/>
          <w:lang w:val="fr-CA"/>
        </w:rPr>
        <w:sectPr w:rsidR="00890FEB" w:rsidRPr="0071080B" w:rsidSect="008D292F">
          <w:headerReference w:type="even" r:id="rId33"/>
          <w:headerReference w:type="default" r:id="rId34"/>
          <w:footerReference w:type="even" r:id="rId35"/>
          <w:footerReference w:type="default" r:id="rId36"/>
          <w:headerReference w:type="first" r:id="rId37"/>
          <w:footerReference w:type="first" r:id="rId3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71080B" w:rsidTr="00BA6468">
        <w:tc>
          <w:tcPr>
            <w:tcW w:w="4230" w:type="dxa"/>
            <w:shd w:val="clear" w:color="auto" w:fill="auto"/>
            <w:tcMar>
              <w:left w:w="0" w:type="dxa"/>
              <w:right w:w="0" w:type="dxa"/>
            </w:tcMar>
          </w:tcPr>
          <w:p w:rsidR="00890FEB" w:rsidRPr="0071080B" w:rsidRDefault="00890FEB" w:rsidP="00EB2B90">
            <w:pPr>
              <w:keepNext/>
              <w:keepLines/>
              <w:tabs>
                <w:tab w:val="left" w:pos="-1440"/>
                <w:tab w:val="left" w:pos="-720"/>
              </w:tabs>
              <w:jc w:val="both"/>
              <w:rPr>
                <w:szCs w:val="24"/>
              </w:rPr>
            </w:pPr>
            <w:r w:rsidRPr="0071080B">
              <w:rPr>
                <w:b/>
                <w:szCs w:val="24"/>
              </w:rPr>
              <w:t>MOTIONS</w:t>
            </w:r>
          </w:p>
        </w:tc>
        <w:tc>
          <w:tcPr>
            <w:tcW w:w="1170" w:type="dxa"/>
            <w:shd w:val="clear" w:color="auto" w:fill="auto"/>
            <w:tcMar>
              <w:left w:w="0" w:type="dxa"/>
              <w:right w:w="0" w:type="dxa"/>
            </w:tcMar>
          </w:tcPr>
          <w:p w:rsidR="00890FEB" w:rsidRPr="0071080B" w:rsidRDefault="00890FEB" w:rsidP="00890FEB">
            <w:pPr>
              <w:keepNext/>
              <w:keepLines/>
              <w:tabs>
                <w:tab w:val="left" w:pos="-1440"/>
                <w:tab w:val="left" w:pos="-720"/>
              </w:tabs>
              <w:jc w:val="center"/>
              <w:rPr>
                <w:szCs w:val="24"/>
              </w:rPr>
            </w:pPr>
          </w:p>
          <w:p w:rsidR="00890FEB" w:rsidRPr="0071080B"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71080B" w:rsidRDefault="00890FEB" w:rsidP="00831CA9">
            <w:pPr>
              <w:keepNext/>
              <w:keepLines/>
              <w:tabs>
                <w:tab w:val="left" w:pos="-1440"/>
                <w:tab w:val="left" w:pos="-720"/>
              </w:tabs>
              <w:rPr>
                <w:szCs w:val="24"/>
                <w:lang w:val="fr-CA"/>
              </w:rPr>
            </w:pPr>
            <w:r w:rsidRPr="0071080B">
              <w:rPr>
                <w:b/>
                <w:szCs w:val="24"/>
                <w:lang w:val="fr-CA"/>
              </w:rPr>
              <w:t>REQUÊTES</w:t>
            </w:r>
          </w:p>
        </w:tc>
      </w:tr>
    </w:tbl>
    <w:p w:rsidR="00B3217D" w:rsidRPr="0071080B" w:rsidRDefault="00B3217D" w:rsidP="00CA2DEA">
      <w:pPr>
        <w:widowControl w:val="0"/>
        <w:ind w:left="720" w:hanging="720"/>
        <w:rPr>
          <w:rFonts w:eastAsia="Times New Roman" w:cs="Times New Roman"/>
          <w:sz w:val="20"/>
          <w:szCs w:val="20"/>
          <w:lang w:val="en-US" w:eastAsia="en-CA"/>
        </w:rPr>
      </w:pPr>
    </w:p>
    <w:p w:rsidR="0071080B" w:rsidRPr="0071080B" w:rsidRDefault="0071080B" w:rsidP="0071080B">
      <w:pPr>
        <w:tabs>
          <w:tab w:val="left" w:pos="-1440"/>
          <w:tab w:val="left" w:pos="-720"/>
        </w:tabs>
        <w:jc w:val="both"/>
        <w:rPr>
          <w:sz w:val="20"/>
          <w:szCs w:val="20"/>
          <w:lang w:val="fr-CA"/>
        </w:rPr>
      </w:pPr>
      <w:r w:rsidRPr="0071080B">
        <w:rPr>
          <w:sz w:val="20"/>
          <w:szCs w:val="20"/>
          <w:lang w:val="fr-CA"/>
        </w:rPr>
        <w:t>15.04.2016</w:t>
      </w:r>
    </w:p>
    <w:p w:rsidR="0071080B" w:rsidRPr="0071080B" w:rsidRDefault="0071080B" w:rsidP="0071080B">
      <w:pPr>
        <w:tabs>
          <w:tab w:val="left" w:pos="-1440"/>
          <w:tab w:val="left" w:pos="-720"/>
        </w:tabs>
        <w:jc w:val="both"/>
        <w:rPr>
          <w:sz w:val="20"/>
          <w:szCs w:val="20"/>
          <w:lang w:val="fr-CA"/>
        </w:rPr>
      </w:pPr>
    </w:p>
    <w:p w:rsidR="0071080B" w:rsidRPr="0071080B" w:rsidRDefault="0071080B" w:rsidP="0071080B">
      <w:pPr>
        <w:tabs>
          <w:tab w:val="left" w:pos="-1440"/>
          <w:tab w:val="left" w:pos="-720"/>
        </w:tabs>
        <w:jc w:val="both"/>
        <w:rPr>
          <w:sz w:val="20"/>
          <w:szCs w:val="20"/>
          <w:lang w:val="fr-CA"/>
        </w:rPr>
      </w:pPr>
      <w:r w:rsidRPr="0071080B">
        <w:rPr>
          <w:sz w:val="20"/>
          <w:szCs w:val="20"/>
          <w:lang w:val="fr-CA"/>
        </w:rPr>
        <w:t>Before / Devant :   BROWN J. / LE JUGE BROWN</w:t>
      </w:r>
    </w:p>
    <w:p w:rsidR="0071080B" w:rsidRPr="0071080B" w:rsidRDefault="0071080B" w:rsidP="0071080B">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2913"/>
        <w:gridCol w:w="1137"/>
        <w:gridCol w:w="4222"/>
      </w:tblGrid>
      <w:tr w:rsidR="0071080B" w:rsidRPr="00D75D0F" w:rsidTr="00852768">
        <w:tc>
          <w:tcPr>
            <w:tcW w:w="4260" w:type="dxa"/>
            <w:gridSpan w:val="2"/>
          </w:tcPr>
          <w:p w:rsidR="0071080B" w:rsidRPr="0071080B" w:rsidRDefault="0071080B" w:rsidP="00852768">
            <w:pPr>
              <w:jc w:val="both"/>
              <w:rPr>
                <w:b/>
                <w:sz w:val="20"/>
                <w:szCs w:val="20"/>
              </w:rPr>
            </w:pPr>
            <w:r w:rsidRPr="0071080B">
              <w:rPr>
                <w:b/>
                <w:sz w:val="20"/>
                <w:szCs w:val="20"/>
              </w:rPr>
              <w:t xml:space="preserve">Order on intervention with respect to oral argument </w:t>
            </w:r>
            <w:r w:rsidRPr="0071080B">
              <w:rPr>
                <w:b/>
                <w:sz w:val="20"/>
                <w:szCs w:val="20"/>
              </w:rPr>
              <w:fldChar w:fldCharType="begin"/>
            </w:r>
            <w:r w:rsidRPr="0071080B">
              <w:rPr>
                <w:b/>
                <w:sz w:val="20"/>
                <w:szCs w:val="20"/>
              </w:rPr>
              <w:instrText xml:space="preserve"> SEQ CHAPTER \h \r 1</w:instrText>
            </w:r>
            <w:r w:rsidRPr="0071080B">
              <w:rPr>
                <w:b/>
                <w:sz w:val="20"/>
                <w:szCs w:val="20"/>
              </w:rPr>
              <w:fldChar w:fldCharType="end"/>
            </w:r>
          </w:p>
        </w:tc>
        <w:tc>
          <w:tcPr>
            <w:tcW w:w="1137" w:type="dxa"/>
          </w:tcPr>
          <w:p w:rsidR="0071080B" w:rsidRPr="0071080B" w:rsidRDefault="0071080B" w:rsidP="00852768">
            <w:pPr>
              <w:rPr>
                <w:sz w:val="20"/>
                <w:szCs w:val="20"/>
              </w:rPr>
            </w:pPr>
          </w:p>
          <w:p w:rsidR="0071080B" w:rsidRPr="0071080B" w:rsidRDefault="0071080B" w:rsidP="00852768">
            <w:pPr>
              <w:rPr>
                <w:sz w:val="20"/>
                <w:szCs w:val="20"/>
              </w:rPr>
            </w:pPr>
          </w:p>
          <w:p w:rsidR="0071080B" w:rsidRPr="0071080B" w:rsidRDefault="0071080B" w:rsidP="00852768">
            <w:pPr>
              <w:rPr>
                <w:sz w:val="20"/>
                <w:szCs w:val="20"/>
              </w:rPr>
            </w:pPr>
          </w:p>
        </w:tc>
        <w:tc>
          <w:tcPr>
            <w:tcW w:w="4222" w:type="dxa"/>
          </w:tcPr>
          <w:p w:rsidR="0071080B" w:rsidRPr="0071080B" w:rsidRDefault="0071080B" w:rsidP="00852768">
            <w:pPr>
              <w:jc w:val="both"/>
              <w:rPr>
                <w:b/>
                <w:sz w:val="20"/>
                <w:szCs w:val="20"/>
                <w:lang w:val="fr-CA"/>
              </w:rPr>
            </w:pPr>
            <w:r w:rsidRPr="0071080B">
              <w:rPr>
                <w:b/>
                <w:sz w:val="20"/>
                <w:szCs w:val="20"/>
                <w:lang w:val="fr-CA"/>
              </w:rPr>
              <w:t>Ordonnance relative à la présentation d’une plaidoirie orale par l’intervenant</w:t>
            </w:r>
            <w:r w:rsidRPr="0071080B">
              <w:rPr>
                <w:b/>
                <w:sz w:val="20"/>
                <w:szCs w:val="20"/>
              </w:rPr>
              <w:fldChar w:fldCharType="begin"/>
            </w:r>
            <w:r w:rsidRPr="0071080B">
              <w:rPr>
                <w:b/>
                <w:sz w:val="20"/>
                <w:szCs w:val="20"/>
                <w:lang w:val="fr-CA"/>
              </w:rPr>
              <w:instrText xml:space="preserve"> SEQ CHAPTER \h \r 1</w:instrText>
            </w:r>
            <w:r w:rsidRPr="0071080B">
              <w:rPr>
                <w:b/>
                <w:sz w:val="20"/>
                <w:szCs w:val="20"/>
              </w:rPr>
              <w:fldChar w:fldCharType="end"/>
            </w:r>
          </w:p>
        </w:tc>
      </w:tr>
      <w:tr w:rsidR="0071080B" w:rsidRPr="0071080B" w:rsidTr="00852768">
        <w:trPr>
          <w:trHeight w:hRule="exact" w:val="594"/>
        </w:trPr>
        <w:tc>
          <w:tcPr>
            <w:tcW w:w="1347" w:type="dxa"/>
          </w:tcPr>
          <w:p w:rsidR="0071080B" w:rsidRPr="0071080B" w:rsidRDefault="0071080B" w:rsidP="00852768">
            <w:pPr>
              <w:rPr>
                <w:sz w:val="20"/>
                <w:szCs w:val="20"/>
              </w:rPr>
            </w:pPr>
            <w:r w:rsidRPr="0071080B">
              <w:rPr>
                <w:sz w:val="20"/>
                <w:szCs w:val="20"/>
              </w:rPr>
              <w:t>RE:</w:t>
            </w:r>
          </w:p>
        </w:tc>
        <w:tc>
          <w:tcPr>
            <w:tcW w:w="2913" w:type="dxa"/>
          </w:tcPr>
          <w:p w:rsidR="0071080B" w:rsidRPr="0071080B" w:rsidRDefault="0071080B" w:rsidP="00852768">
            <w:pPr>
              <w:rPr>
                <w:sz w:val="20"/>
                <w:szCs w:val="20"/>
              </w:rPr>
            </w:pPr>
            <w:r w:rsidRPr="0071080B">
              <w:rPr>
                <w:sz w:val="20"/>
                <w:szCs w:val="20"/>
              </w:rPr>
              <w:t>Council for the Advancement of Native Development Officers</w:t>
            </w:r>
          </w:p>
        </w:tc>
        <w:tc>
          <w:tcPr>
            <w:tcW w:w="1137" w:type="dxa"/>
          </w:tcPr>
          <w:p w:rsidR="0071080B" w:rsidRPr="0071080B" w:rsidRDefault="0071080B" w:rsidP="00852768">
            <w:pPr>
              <w:rPr>
                <w:sz w:val="20"/>
                <w:szCs w:val="20"/>
              </w:rPr>
            </w:pPr>
          </w:p>
        </w:tc>
        <w:tc>
          <w:tcPr>
            <w:tcW w:w="4222" w:type="dxa"/>
          </w:tcPr>
          <w:p w:rsidR="0071080B" w:rsidRPr="0071080B" w:rsidRDefault="0071080B" w:rsidP="00852768">
            <w:pPr>
              <w:rPr>
                <w:sz w:val="20"/>
                <w:szCs w:val="20"/>
              </w:rPr>
            </w:pPr>
          </w:p>
        </w:tc>
      </w:tr>
      <w:tr w:rsidR="0071080B" w:rsidRPr="0071080B" w:rsidTr="00852768">
        <w:tc>
          <w:tcPr>
            <w:tcW w:w="1347" w:type="dxa"/>
          </w:tcPr>
          <w:p w:rsidR="0071080B" w:rsidRPr="0071080B" w:rsidRDefault="0071080B" w:rsidP="00852768">
            <w:pPr>
              <w:rPr>
                <w:sz w:val="20"/>
                <w:szCs w:val="20"/>
              </w:rPr>
            </w:pPr>
          </w:p>
        </w:tc>
        <w:tc>
          <w:tcPr>
            <w:tcW w:w="2913" w:type="dxa"/>
          </w:tcPr>
          <w:p w:rsidR="0071080B" w:rsidRPr="0071080B" w:rsidRDefault="0071080B" w:rsidP="00852768">
            <w:pPr>
              <w:rPr>
                <w:sz w:val="20"/>
                <w:szCs w:val="20"/>
              </w:rPr>
            </w:pPr>
          </w:p>
        </w:tc>
        <w:tc>
          <w:tcPr>
            <w:tcW w:w="1137" w:type="dxa"/>
          </w:tcPr>
          <w:p w:rsidR="0071080B" w:rsidRPr="0071080B" w:rsidRDefault="0071080B" w:rsidP="00852768">
            <w:pPr>
              <w:rPr>
                <w:sz w:val="20"/>
                <w:szCs w:val="20"/>
              </w:rPr>
            </w:pPr>
          </w:p>
        </w:tc>
        <w:tc>
          <w:tcPr>
            <w:tcW w:w="4222" w:type="dxa"/>
          </w:tcPr>
          <w:p w:rsidR="0071080B" w:rsidRPr="0071080B" w:rsidRDefault="0071080B" w:rsidP="00852768">
            <w:pPr>
              <w:rPr>
                <w:sz w:val="20"/>
                <w:szCs w:val="20"/>
              </w:rPr>
            </w:pPr>
          </w:p>
        </w:tc>
      </w:tr>
      <w:tr w:rsidR="0071080B" w:rsidRPr="0071080B" w:rsidTr="00852768">
        <w:tc>
          <w:tcPr>
            <w:tcW w:w="1347" w:type="dxa"/>
          </w:tcPr>
          <w:p w:rsidR="0071080B" w:rsidRPr="0071080B" w:rsidRDefault="0071080B" w:rsidP="00852768">
            <w:pPr>
              <w:rPr>
                <w:sz w:val="20"/>
                <w:szCs w:val="20"/>
              </w:rPr>
            </w:pPr>
            <w:r w:rsidRPr="0071080B">
              <w:rPr>
                <w:sz w:val="20"/>
                <w:szCs w:val="20"/>
              </w:rPr>
              <w:t>IN / DANS :</w:t>
            </w:r>
          </w:p>
        </w:tc>
        <w:tc>
          <w:tcPr>
            <w:tcW w:w="2913" w:type="dxa"/>
          </w:tcPr>
          <w:p w:rsidR="0071080B" w:rsidRPr="0071080B" w:rsidRDefault="0071080B" w:rsidP="00852768">
            <w:pPr>
              <w:rPr>
                <w:sz w:val="20"/>
                <w:szCs w:val="20"/>
              </w:rPr>
            </w:pPr>
            <w:r w:rsidRPr="0071080B">
              <w:rPr>
                <w:sz w:val="20"/>
                <w:szCs w:val="20"/>
              </w:rPr>
              <w:t>Musqueam Indian Band</w:t>
            </w:r>
          </w:p>
          <w:p w:rsidR="0071080B" w:rsidRPr="0071080B" w:rsidRDefault="0071080B" w:rsidP="00852768">
            <w:pPr>
              <w:rPr>
                <w:sz w:val="20"/>
                <w:szCs w:val="20"/>
              </w:rPr>
            </w:pPr>
          </w:p>
          <w:p w:rsidR="0071080B" w:rsidRPr="0071080B" w:rsidRDefault="0071080B" w:rsidP="00852768">
            <w:pPr>
              <w:rPr>
                <w:sz w:val="20"/>
                <w:szCs w:val="20"/>
              </w:rPr>
            </w:pPr>
            <w:r w:rsidRPr="0071080B">
              <w:rPr>
                <w:sz w:val="20"/>
                <w:szCs w:val="20"/>
              </w:rPr>
              <w:tab/>
              <w:t>v. (36478)</w:t>
            </w:r>
          </w:p>
          <w:p w:rsidR="0071080B" w:rsidRPr="0071080B" w:rsidRDefault="0071080B" w:rsidP="00852768">
            <w:pPr>
              <w:rPr>
                <w:sz w:val="20"/>
                <w:szCs w:val="20"/>
              </w:rPr>
            </w:pPr>
          </w:p>
          <w:p w:rsidR="0071080B" w:rsidRPr="0071080B" w:rsidRDefault="0071080B" w:rsidP="00852768">
            <w:pPr>
              <w:rPr>
                <w:sz w:val="20"/>
                <w:szCs w:val="20"/>
              </w:rPr>
            </w:pPr>
            <w:r w:rsidRPr="0071080B">
              <w:rPr>
                <w:sz w:val="20"/>
                <w:szCs w:val="20"/>
              </w:rPr>
              <w:t>Musqueam Indian Band Board of Review et al. (B.C.)</w:t>
            </w:r>
          </w:p>
        </w:tc>
        <w:tc>
          <w:tcPr>
            <w:tcW w:w="1137" w:type="dxa"/>
          </w:tcPr>
          <w:p w:rsidR="0071080B" w:rsidRPr="0071080B" w:rsidRDefault="0071080B" w:rsidP="00852768">
            <w:pPr>
              <w:rPr>
                <w:sz w:val="20"/>
                <w:szCs w:val="20"/>
              </w:rPr>
            </w:pPr>
          </w:p>
        </w:tc>
        <w:tc>
          <w:tcPr>
            <w:tcW w:w="4222" w:type="dxa"/>
          </w:tcPr>
          <w:p w:rsidR="0071080B" w:rsidRPr="0071080B" w:rsidRDefault="0071080B" w:rsidP="00852768">
            <w:pPr>
              <w:rPr>
                <w:sz w:val="20"/>
                <w:szCs w:val="20"/>
              </w:rPr>
            </w:pPr>
          </w:p>
        </w:tc>
      </w:tr>
    </w:tbl>
    <w:p w:rsidR="0071080B" w:rsidRPr="0071080B" w:rsidRDefault="0071080B" w:rsidP="0071080B">
      <w:pPr>
        <w:tabs>
          <w:tab w:val="left" w:pos="-1440"/>
          <w:tab w:val="left" w:pos="-720"/>
        </w:tabs>
        <w:jc w:val="both"/>
        <w:rPr>
          <w:sz w:val="20"/>
          <w:szCs w:val="20"/>
        </w:rPr>
      </w:pPr>
    </w:p>
    <w:p w:rsidR="0071080B" w:rsidRPr="0071080B" w:rsidRDefault="0071080B" w:rsidP="007108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3" w:lineRule="auto"/>
        <w:jc w:val="both"/>
        <w:rPr>
          <w:sz w:val="20"/>
          <w:szCs w:val="20"/>
        </w:rPr>
      </w:pPr>
      <w:r w:rsidRPr="0071080B">
        <w:rPr>
          <w:b/>
          <w:bCs/>
          <w:sz w:val="20"/>
          <w:szCs w:val="20"/>
        </w:rPr>
        <w:t xml:space="preserve">FURTHER TO THE ORDER </w:t>
      </w:r>
      <w:r w:rsidRPr="0071080B">
        <w:rPr>
          <w:sz w:val="20"/>
          <w:szCs w:val="20"/>
        </w:rPr>
        <w:t>dated March 10, 2016, granting leave to intervene to the Council for the Advancement of Native Development Officers;</w:t>
      </w:r>
    </w:p>
    <w:p w:rsidR="0071080B" w:rsidRPr="0071080B" w:rsidRDefault="0071080B" w:rsidP="007108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3" w:lineRule="auto"/>
        <w:jc w:val="both"/>
        <w:rPr>
          <w:b/>
          <w:bCs/>
          <w:sz w:val="20"/>
          <w:szCs w:val="20"/>
        </w:rPr>
      </w:pPr>
    </w:p>
    <w:p w:rsidR="0071080B" w:rsidRPr="0071080B" w:rsidRDefault="0071080B" w:rsidP="007108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3" w:lineRule="auto"/>
        <w:jc w:val="both"/>
        <w:rPr>
          <w:bCs/>
          <w:sz w:val="20"/>
          <w:szCs w:val="20"/>
        </w:rPr>
      </w:pPr>
      <w:r w:rsidRPr="0071080B">
        <w:rPr>
          <w:b/>
          <w:bCs/>
          <w:sz w:val="20"/>
          <w:szCs w:val="20"/>
        </w:rPr>
        <w:t xml:space="preserve">IT IS HEREBY FURTHER ORDERED THAT: </w:t>
      </w:r>
    </w:p>
    <w:p w:rsidR="0071080B" w:rsidRPr="0071080B" w:rsidRDefault="0071080B" w:rsidP="007108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3" w:lineRule="auto"/>
        <w:jc w:val="both"/>
        <w:rPr>
          <w:bCs/>
          <w:sz w:val="20"/>
          <w:szCs w:val="20"/>
        </w:rPr>
      </w:pPr>
    </w:p>
    <w:p w:rsidR="0071080B" w:rsidRPr="0071080B" w:rsidRDefault="0071080B" w:rsidP="0071080B">
      <w:pPr>
        <w:spacing w:line="232" w:lineRule="auto"/>
        <w:rPr>
          <w:sz w:val="20"/>
          <w:szCs w:val="20"/>
        </w:rPr>
      </w:pPr>
      <w:r w:rsidRPr="0071080B">
        <w:rPr>
          <w:sz w:val="20"/>
          <w:szCs w:val="20"/>
        </w:rPr>
        <w:t xml:space="preserve">The factum of the said intervener will be considered without the need for oral argument. </w:t>
      </w:r>
    </w:p>
    <w:p w:rsidR="0071080B" w:rsidRPr="0071080B" w:rsidRDefault="0071080B" w:rsidP="0071080B">
      <w:pPr>
        <w:tabs>
          <w:tab w:val="left" w:pos="-1440"/>
          <w:tab w:val="left" w:pos="-720"/>
        </w:tabs>
        <w:jc w:val="both"/>
        <w:rPr>
          <w:sz w:val="20"/>
          <w:szCs w:val="20"/>
        </w:rPr>
      </w:pPr>
    </w:p>
    <w:p w:rsidR="0071080B" w:rsidRPr="0071080B" w:rsidRDefault="0071080B" w:rsidP="0071080B">
      <w:pPr>
        <w:tabs>
          <w:tab w:val="left" w:pos="-1440"/>
          <w:tab w:val="left" w:pos="-720"/>
        </w:tabs>
        <w:jc w:val="both"/>
        <w:rPr>
          <w:sz w:val="20"/>
          <w:szCs w:val="20"/>
        </w:rPr>
      </w:pPr>
    </w:p>
    <w:p w:rsidR="0071080B" w:rsidRPr="0071080B" w:rsidRDefault="0071080B" w:rsidP="0071080B">
      <w:pPr>
        <w:tabs>
          <w:tab w:val="left" w:pos="-1440"/>
          <w:tab w:val="left" w:pos="-720"/>
        </w:tabs>
        <w:jc w:val="both"/>
        <w:rPr>
          <w:sz w:val="20"/>
          <w:szCs w:val="20"/>
        </w:rPr>
      </w:pPr>
    </w:p>
    <w:p w:rsidR="0071080B" w:rsidRPr="0071080B" w:rsidRDefault="0071080B" w:rsidP="007108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3" w:lineRule="auto"/>
        <w:jc w:val="both"/>
        <w:rPr>
          <w:sz w:val="20"/>
          <w:szCs w:val="20"/>
          <w:lang w:val="fr-CA"/>
        </w:rPr>
      </w:pPr>
      <w:r w:rsidRPr="0071080B">
        <w:rPr>
          <w:b/>
          <w:bCs/>
          <w:sz w:val="20"/>
          <w:szCs w:val="20"/>
          <w:lang w:val="fr-CA"/>
        </w:rPr>
        <w:t xml:space="preserve">À LA SUITE DE L’ORDONNANCE </w:t>
      </w:r>
      <w:r w:rsidRPr="0071080B">
        <w:rPr>
          <w:sz w:val="20"/>
          <w:szCs w:val="20"/>
          <w:lang w:val="fr-CA"/>
        </w:rPr>
        <w:t>datée du 10 mars 2016 qui accorde l’autorisation d’intervenir au Council for the Advancement of Native Development Officers;</w:t>
      </w:r>
    </w:p>
    <w:p w:rsidR="0071080B" w:rsidRPr="0071080B" w:rsidRDefault="0071080B" w:rsidP="007108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3" w:lineRule="auto"/>
        <w:jc w:val="both"/>
        <w:rPr>
          <w:b/>
          <w:bCs/>
          <w:sz w:val="20"/>
          <w:szCs w:val="20"/>
          <w:lang w:val="fr-CA"/>
        </w:rPr>
      </w:pPr>
    </w:p>
    <w:p w:rsidR="0071080B" w:rsidRPr="0071080B" w:rsidRDefault="0071080B" w:rsidP="007108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3" w:lineRule="auto"/>
        <w:jc w:val="both"/>
        <w:rPr>
          <w:bCs/>
          <w:sz w:val="20"/>
          <w:szCs w:val="20"/>
          <w:lang w:val="fr-CA"/>
        </w:rPr>
      </w:pPr>
      <w:r w:rsidRPr="0071080B">
        <w:rPr>
          <w:b/>
          <w:bCs/>
          <w:sz w:val="20"/>
          <w:szCs w:val="20"/>
          <w:lang w:val="fr-CA"/>
        </w:rPr>
        <w:t xml:space="preserve">IL EST EN OUTRE ORDONNÉ CE QUI SUIT : </w:t>
      </w:r>
    </w:p>
    <w:p w:rsidR="0071080B" w:rsidRPr="0071080B" w:rsidRDefault="0071080B" w:rsidP="007108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3" w:lineRule="auto"/>
        <w:jc w:val="both"/>
        <w:rPr>
          <w:bCs/>
          <w:sz w:val="20"/>
          <w:szCs w:val="20"/>
          <w:lang w:val="fr-CA"/>
        </w:rPr>
      </w:pPr>
    </w:p>
    <w:p w:rsidR="0071080B" w:rsidRPr="0071080B" w:rsidRDefault="0071080B" w:rsidP="0071080B">
      <w:pPr>
        <w:spacing w:line="232" w:lineRule="auto"/>
        <w:rPr>
          <w:sz w:val="20"/>
          <w:szCs w:val="20"/>
          <w:lang w:val="fr-CA"/>
        </w:rPr>
      </w:pPr>
      <w:r w:rsidRPr="0071080B">
        <w:rPr>
          <w:sz w:val="20"/>
          <w:szCs w:val="20"/>
          <w:lang w:val="fr-CA"/>
        </w:rPr>
        <w:t xml:space="preserve">Le mémoire de cet intervenant sera examiné sans que ce dernier n’ait à présenter de plaidoirie orale. </w:t>
      </w:r>
    </w:p>
    <w:p w:rsidR="0071080B" w:rsidRPr="0071080B" w:rsidRDefault="0071080B" w:rsidP="0071080B">
      <w:pPr>
        <w:tabs>
          <w:tab w:val="left" w:pos="-1440"/>
          <w:tab w:val="left" w:pos="-720"/>
        </w:tabs>
        <w:jc w:val="both"/>
        <w:rPr>
          <w:sz w:val="20"/>
          <w:szCs w:val="20"/>
          <w:lang w:val="fr-CA"/>
        </w:rPr>
      </w:pPr>
    </w:p>
    <w:p w:rsidR="0071080B" w:rsidRPr="0071080B" w:rsidRDefault="00D75D0F" w:rsidP="0071080B">
      <w:pPr>
        <w:tabs>
          <w:tab w:val="left" w:pos="-1440"/>
          <w:tab w:val="left" w:pos="-720"/>
        </w:tabs>
        <w:jc w:val="both"/>
        <w:rPr>
          <w:sz w:val="20"/>
          <w:szCs w:val="20"/>
          <w:lang w:val="fr-CA"/>
        </w:rPr>
      </w:pPr>
      <w:r>
        <w:rPr>
          <w:sz w:val="20"/>
          <w:szCs w:val="20"/>
          <w:lang w:val="fr-CA"/>
        </w:rPr>
        <w:pict>
          <v:rect id="_x0000_i1051" style="width:2in;height:1pt" o:hrpct="0" o:hralign="center" o:hrstd="t" o:hrnoshade="t" o:hr="t" fillcolor="black [3213]" stroked="f"/>
        </w:pict>
      </w:r>
    </w:p>
    <w:p w:rsidR="0071080B" w:rsidRPr="0071080B" w:rsidRDefault="0071080B" w:rsidP="0071080B">
      <w:pPr>
        <w:tabs>
          <w:tab w:val="left" w:pos="-1440"/>
          <w:tab w:val="left" w:pos="-720"/>
        </w:tabs>
        <w:jc w:val="both"/>
        <w:rPr>
          <w:sz w:val="20"/>
          <w:szCs w:val="20"/>
          <w:lang w:val="fr-CA"/>
        </w:rPr>
      </w:pPr>
    </w:p>
    <w:p w:rsidR="0071080B" w:rsidRPr="0071080B" w:rsidRDefault="0071080B" w:rsidP="0071080B">
      <w:pPr>
        <w:rPr>
          <w:sz w:val="20"/>
          <w:szCs w:val="20"/>
          <w:lang w:val="fr-CA"/>
        </w:rPr>
      </w:pPr>
      <w:r w:rsidRPr="0071080B">
        <w:rPr>
          <w:sz w:val="20"/>
          <w:szCs w:val="20"/>
          <w:lang w:val="fr-CA"/>
        </w:rPr>
        <w:br w:type="page"/>
      </w:r>
    </w:p>
    <w:p w:rsidR="0071080B" w:rsidRPr="0071080B" w:rsidRDefault="0071080B" w:rsidP="0071080B">
      <w:pPr>
        <w:tabs>
          <w:tab w:val="left" w:pos="-1440"/>
          <w:tab w:val="left" w:pos="-720"/>
        </w:tabs>
        <w:jc w:val="both"/>
        <w:rPr>
          <w:sz w:val="20"/>
          <w:szCs w:val="20"/>
          <w:lang w:val="fr-CA"/>
        </w:rPr>
      </w:pPr>
      <w:r w:rsidRPr="0071080B">
        <w:rPr>
          <w:sz w:val="20"/>
          <w:szCs w:val="20"/>
          <w:lang w:val="fr-CA"/>
        </w:rPr>
        <w:t>19.04.2016</w:t>
      </w:r>
    </w:p>
    <w:p w:rsidR="0071080B" w:rsidRPr="0071080B" w:rsidRDefault="0071080B" w:rsidP="0071080B">
      <w:pPr>
        <w:tabs>
          <w:tab w:val="left" w:pos="-1440"/>
          <w:tab w:val="left" w:pos="-720"/>
        </w:tabs>
        <w:jc w:val="both"/>
        <w:rPr>
          <w:sz w:val="20"/>
          <w:szCs w:val="20"/>
          <w:lang w:val="fr-CA"/>
        </w:rPr>
      </w:pPr>
    </w:p>
    <w:p w:rsidR="0071080B" w:rsidRPr="0071080B" w:rsidRDefault="0071080B" w:rsidP="0071080B">
      <w:pPr>
        <w:tabs>
          <w:tab w:val="left" w:pos="-1440"/>
          <w:tab w:val="left" w:pos="-720"/>
        </w:tabs>
        <w:jc w:val="both"/>
        <w:rPr>
          <w:sz w:val="20"/>
          <w:szCs w:val="20"/>
          <w:lang w:val="fr-CA"/>
        </w:rPr>
      </w:pPr>
      <w:r w:rsidRPr="0071080B">
        <w:rPr>
          <w:sz w:val="20"/>
          <w:szCs w:val="20"/>
          <w:lang w:val="fr-CA"/>
        </w:rPr>
        <w:t>Before / Devant :   ABELLA J. / LA JUGE ABELLA</w:t>
      </w:r>
    </w:p>
    <w:p w:rsidR="0071080B" w:rsidRPr="0071080B" w:rsidRDefault="0071080B" w:rsidP="0071080B">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2909"/>
        <w:gridCol w:w="1138"/>
        <w:gridCol w:w="4224"/>
      </w:tblGrid>
      <w:tr w:rsidR="0071080B" w:rsidRPr="00D75D0F" w:rsidTr="00852768">
        <w:tc>
          <w:tcPr>
            <w:tcW w:w="4338" w:type="dxa"/>
            <w:gridSpan w:val="2"/>
          </w:tcPr>
          <w:p w:rsidR="0071080B" w:rsidRPr="0071080B" w:rsidRDefault="0071080B" w:rsidP="00852768">
            <w:pPr>
              <w:jc w:val="both"/>
              <w:rPr>
                <w:b/>
                <w:sz w:val="20"/>
                <w:szCs w:val="20"/>
              </w:rPr>
            </w:pPr>
            <w:r w:rsidRPr="0071080B">
              <w:rPr>
                <w:b/>
                <w:sz w:val="20"/>
                <w:szCs w:val="20"/>
              </w:rPr>
              <w:t xml:space="preserve">Order on interventions with respect to oral argument </w:t>
            </w:r>
            <w:r w:rsidRPr="0071080B">
              <w:rPr>
                <w:b/>
                <w:sz w:val="20"/>
                <w:szCs w:val="20"/>
              </w:rPr>
              <w:fldChar w:fldCharType="begin"/>
            </w:r>
            <w:r w:rsidRPr="0071080B">
              <w:rPr>
                <w:b/>
                <w:sz w:val="20"/>
                <w:szCs w:val="20"/>
              </w:rPr>
              <w:instrText xml:space="preserve"> SEQ CHAPTER \h \r 1</w:instrText>
            </w:r>
            <w:r w:rsidRPr="0071080B">
              <w:rPr>
                <w:b/>
                <w:sz w:val="20"/>
                <w:szCs w:val="20"/>
              </w:rPr>
              <w:fldChar w:fldCharType="end"/>
            </w:r>
          </w:p>
        </w:tc>
        <w:tc>
          <w:tcPr>
            <w:tcW w:w="1170" w:type="dxa"/>
          </w:tcPr>
          <w:p w:rsidR="0071080B" w:rsidRPr="0071080B" w:rsidRDefault="0071080B" w:rsidP="00852768">
            <w:pPr>
              <w:rPr>
                <w:sz w:val="20"/>
                <w:szCs w:val="20"/>
              </w:rPr>
            </w:pPr>
          </w:p>
          <w:p w:rsidR="0071080B" w:rsidRPr="0071080B" w:rsidRDefault="0071080B" w:rsidP="00852768">
            <w:pPr>
              <w:rPr>
                <w:sz w:val="20"/>
                <w:szCs w:val="20"/>
              </w:rPr>
            </w:pPr>
          </w:p>
          <w:p w:rsidR="0071080B" w:rsidRPr="0071080B" w:rsidRDefault="0071080B" w:rsidP="00852768">
            <w:pPr>
              <w:rPr>
                <w:sz w:val="20"/>
                <w:szCs w:val="20"/>
              </w:rPr>
            </w:pPr>
          </w:p>
        </w:tc>
        <w:tc>
          <w:tcPr>
            <w:tcW w:w="4327" w:type="dxa"/>
          </w:tcPr>
          <w:p w:rsidR="0071080B" w:rsidRPr="0071080B" w:rsidRDefault="0071080B" w:rsidP="00852768">
            <w:pPr>
              <w:jc w:val="both"/>
              <w:rPr>
                <w:b/>
                <w:sz w:val="20"/>
                <w:szCs w:val="20"/>
                <w:lang w:val="fr-CA"/>
              </w:rPr>
            </w:pPr>
            <w:r w:rsidRPr="0071080B">
              <w:rPr>
                <w:b/>
                <w:sz w:val="20"/>
                <w:szCs w:val="20"/>
                <w:lang w:val="fr-CA"/>
              </w:rPr>
              <w:t>Ordonnance relative à la présentation d’une plaidoirie orale par les intervenants</w:t>
            </w:r>
            <w:r w:rsidRPr="0071080B">
              <w:rPr>
                <w:b/>
                <w:sz w:val="20"/>
                <w:szCs w:val="20"/>
              </w:rPr>
              <w:fldChar w:fldCharType="begin"/>
            </w:r>
            <w:r w:rsidRPr="0071080B">
              <w:rPr>
                <w:b/>
                <w:sz w:val="20"/>
                <w:szCs w:val="20"/>
                <w:lang w:val="fr-CA"/>
              </w:rPr>
              <w:instrText xml:space="preserve"> SEQ CHAPTER \h \r 1</w:instrText>
            </w:r>
            <w:r w:rsidRPr="0071080B">
              <w:rPr>
                <w:b/>
                <w:sz w:val="20"/>
                <w:szCs w:val="20"/>
              </w:rPr>
              <w:fldChar w:fldCharType="end"/>
            </w:r>
          </w:p>
        </w:tc>
      </w:tr>
      <w:tr w:rsidR="0071080B" w:rsidRPr="00D75D0F" w:rsidTr="00852768">
        <w:trPr>
          <w:trHeight w:hRule="exact" w:val="540"/>
        </w:trPr>
        <w:tc>
          <w:tcPr>
            <w:tcW w:w="1368" w:type="dxa"/>
          </w:tcPr>
          <w:p w:rsidR="0071080B" w:rsidRPr="0071080B" w:rsidRDefault="0071080B" w:rsidP="00852768">
            <w:pPr>
              <w:rPr>
                <w:sz w:val="20"/>
                <w:szCs w:val="20"/>
              </w:rPr>
            </w:pPr>
            <w:r w:rsidRPr="0071080B">
              <w:rPr>
                <w:sz w:val="20"/>
                <w:szCs w:val="20"/>
              </w:rPr>
              <w:t>RE:</w:t>
            </w:r>
          </w:p>
        </w:tc>
        <w:tc>
          <w:tcPr>
            <w:tcW w:w="2970" w:type="dxa"/>
          </w:tcPr>
          <w:p w:rsidR="0071080B" w:rsidRPr="0071080B" w:rsidRDefault="0071080B" w:rsidP="00852768">
            <w:pPr>
              <w:rPr>
                <w:sz w:val="20"/>
                <w:szCs w:val="20"/>
                <w:lang w:val="fr-CA"/>
              </w:rPr>
            </w:pPr>
            <w:r w:rsidRPr="0071080B">
              <w:rPr>
                <w:sz w:val="20"/>
                <w:szCs w:val="20"/>
                <w:lang w:val="fr-CA"/>
              </w:rPr>
              <w:t>Directeur des poursuites criminelles et pénales</w:t>
            </w:r>
          </w:p>
        </w:tc>
        <w:tc>
          <w:tcPr>
            <w:tcW w:w="1170" w:type="dxa"/>
          </w:tcPr>
          <w:p w:rsidR="0071080B" w:rsidRPr="0071080B" w:rsidRDefault="0071080B" w:rsidP="00852768">
            <w:pPr>
              <w:rPr>
                <w:sz w:val="20"/>
                <w:szCs w:val="20"/>
                <w:lang w:val="fr-CA"/>
              </w:rPr>
            </w:pPr>
          </w:p>
        </w:tc>
        <w:tc>
          <w:tcPr>
            <w:tcW w:w="4327" w:type="dxa"/>
          </w:tcPr>
          <w:p w:rsidR="0071080B" w:rsidRPr="0071080B" w:rsidRDefault="0071080B" w:rsidP="00852768">
            <w:pPr>
              <w:rPr>
                <w:sz w:val="20"/>
                <w:szCs w:val="20"/>
                <w:lang w:val="fr-CA"/>
              </w:rPr>
            </w:pPr>
          </w:p>
        </w:tc>
      </w:tr>
      <w:tr w:rsidR="0071080B" w:rsidRPr="0071080B" w:rsidTr="00852768">
        <w:trPr>
          <w:trHeight w:hRule="exact" w:val="270"/>
        </w:trPr>
        <w:tc>
          <w:tcPr>
            <w:tcW w:w="1368" w:type="dxa"/>
          </w:tcPr>
          <w:p w:rsidR="0071080B" w:rsidRPr="0071080B" w:rsidRDefault="0071080B" w:rsidP="00852768">
            <w:pPr>
              <w:rPr>
                <w:sz w:val="20"/>
                <w:szCs w:val="20"/>
                <w:lang w:val="fr-CA"/>
              </w:rPr>
            </w:pPr>
          </w:p>
        </w:tc>
        <w:tc>
          <w:tcPr>
            <w:tcW w:w="2970" w:type="dxa"/>
          </w:tcPr>
          <w:p w:rsidR="0071080B" w:rsidRPr="0071080B" w:rsidRDefault="0071080B" w:rsidP="00852768">
            <w:pPr>
              <w:rPr>
                <w:sz w:val="20"/>
                <w:szCs w:val="20"/>
                <w:lang w:val="fr-CA"/>
              </w:rPr>
            </w:pPr>
            <w:r w:rsidRPr="0071080B">
              <w:rPr>
                <w:sz w:val="20"/>
                <w:szCs w:val="20"/>
                <w:lang w:val="fr-CA"/>
              </w:rPr>
              <w:t>Procureur général du Canada</w:t>
            </w:r>
          </w:p>
        </w:tc>
        <w:tc>
          <w:tcPr>
            <w:tcW w:w="1170" w:type="dxa"/>
          </w:tcPr>
          <w:p w:rsidR="0071080B" w:rsidRPr="0071080B" w:rsidRDefault="0071080B" w:rsidP="00852768">
            <w:pPr>
              <w:rPr>
                <w:sz w:val="20"/>
                <w:szCs w:val="20"/>
                <w:lang w:val="fr-CA"/>
              </w:rPr>
            </w:pPr>
          </w:p>
        </w:tc>
        <w:tc>
          <w:tcPr>
            <w:tcW w:w="4327" w:type="dxa"/>
          </w:tcPr>
          <w:p w:rsidR="0071080B" w:rsidRPr="0071080B" w:rsidRDefault="0071080B" w:rsidP="00852768">
            <w:pPr>
              <w:rPr>
                <w:sz w:val="20"/>
                <w:szCs w:val="20"/>
                <w:lang w:val="fr-CA"/>
              </w:rPr>
            </w:pPr>
          </w:p>
        </w:tc>
      </w:tr>
      <w:tr w:rsidR="0071080B" w:rsidRPr="0071080B" w:rsidTr="00852768">
        <w:trPr>
          <w:trHeight w:hRule="exact" w:val="270"/>
        </w:trPr>
        <w:tc>
          <w:tcPr>
            <w:tcW w:w="1368" w:type="dxa"/>
          </w:tcPr>
          <w:p w:rsidR="0071080B" w:rsidRPr="0071080B" w:rsidRDefault="0071080B" w:rsidP="00852768">
            <w:pPr>
              <w:rPr>
                <w:sz w:val="20"/>
                <w:szCs w:val="20"/>
                <w:lang w:val="fr-CA"/>
              </w:rPr>
            </w:pPr>
          </w:p>
        </w:tc>
        <w:tc>
          <w:tcPr>
            <w:tcW w:w="2970" w:type="dxa"/>
          </w:tcPr>
          <w:p w:rsidR="0071080B" w:rsidRPr="0071080B" w:rsidRDefault="0071080B" w:rsidP="00852768">
            <w:pPr>
              <w:rPr>
                <w:sz w:val="20"/>
                <w:szCs w:val="20"/>
                <w:lang w:val="fr-CA"/>
              </w:rPr>
            </w:pPr>
            <w:r w:rsidRPr="0071080B">
              <w:rPr>
                <w:sz w:val="20"/>
                <w:szCs w:val="20"/>
                <w:lang w:val="fr-CA"/>
              </w:rPr>
              <w:t>Procureur général de l’Ontario</w:t>
            </w:r>
          </w:p>
        </w:tc>
        <w:tc>
          <w:tcPr>
            <w:tcW w:w="1170" w:type="dxa"/>
          </w:tcPr>
          <w:p w:rsidR="0071080B" w:rsidRPr="0071080B" w:rsidRDefault="0071080B" w:rsidP="00852768">
            <w:pPr>
              <w:rPr>
                <w:sz w:val="20"/>
                <w:szCs w:val="20"/>
                <w:lang w:val="fr-CA"/>
              </w:rPr>
            </w:pPr>
          </w:p>
        </w:tc>
        <w:tc>
          <w:tcPr>
            <w:tcW w:w="4327" w:type="dxa"/>
          </w:tcPr>
          <w:p w:rsidR="0071080B" w:rsidRPr="0071080B" w:rsidRDefault="0071080B" w:rsidP="00852768">
            <w:pPr>
              <w:rPr>
                <w:sz w:val="20"/>
                <w:szCs w:val="20"/>
                <w:lang w:val="fr-CA"/>
              </w:rPr>
            </w:pPr>
          </w:p>
        </w:tc>
      </w:tr>
      <w:tr w:rsidR="0071080B" w:rsidRPr="0071080B" w:rsidTr="00852768">
        <w:trPr>
          <w:trHeight w:hRule="exact" w:val="270"/>
        </w:trPr>
        <w:tc>
          <w:tcPr>
            <w:tcW w:w="1368" w:type="dxa"/>
          </w:tcPr>
          <w:p w:rsidR="0071080B" w:rsidRPr="0071080B" w:rsidRDefault="0071080B" w:rsidP="00852768">
            <w:pPr>
              <w:rPr>
                <w:sz w:val="20"/>
                <w:szCs w:val="20"/>
                <w:lang w:val="fr-CA"/>
              </w:rPr>
            </w:pPr>
          </w:p>
        </w:tc>
        <w:tc>
          <w:tcPr>
            <w:tcW w:w="2970" w:type="dxa"/>
          </w:tcPr>
          <w:p w:rsidR="0071080B" w:rsidRPr="0071080B" w:rsidRDefault="0071080B" w:rsidP="00852768">
            <w:pPr>
              <w:rPr>
                <w:sz w:val="20"/>
                <w:szCs w:val="20"/>
                <w:lang w:val="fr-CA"/>
              </w:rPr>
            </w:pPr>
            <w:r w:rsidRPr="0071080B">
              <w:rPr>
                <w:sz w:val="20"/>
                <w:szCs w:val="20"/>
                <w:lang w:val="fr-CA"/>
              </w:rPr>
              <w:t>Procureur général du Québec</w:t>
            </w:r>
          </w:p>
        </w:tc>
        <w:tc>
          <w:tcPr>
            <w:tcW w:w="1170" w:type="dxa"/>
          </w:tcPr>
          <w:p w:rsidR="0071080B" w:rsidRPr="0071080B" w:rsidRDefault="0071080B" w:rsidP="00852768">
            <w:pPr>
              <w:rPr>
                <w:sz w:val="20"/>
                <w:szCs w:val="20"/>
                <w:lang w:val="fr-CA"/>
              </w:rPr>
            </w:pPr>
          </w:p>
        </w:tc>
        <w:tc>
          <w:tcPr>
            <w:tcW w:w="4327" w:type="dxa"/>
          </w:tcPr>
          <w:p w:rsidR="0071080B" w:rsidRPr="0071080B" w:rsidRDefault="0071080B" w:rsidP="00852768">
            <w:pPr>
              <w:rPr>
                <w:sz w:val="20"/>
                <w:szCs w:val="20"/>
                <w:lang w:val="fr-CA"/>
              </w:rPr>
            </w:pPr>
          </w:p>
        </w:tc>
      </w:tr>
      <w:tr w:rsidR="0071080B" w:rsidRPr="00D75D0F" w:rsidTr="00852768">
        <w:trPr>
          <w:trHeight w:hRule="exact" w:val="450"/>
        </w:trPr>
        <w:tc>
          <w:tcPr>
            <w:tcW w:w="1368" w:type="dxa"/>
          </w:tcPr>
          <w:p w:rsidR="0071080B" w:rsidRPr="0071080B" w:rsidRDefault="0071080B" w:rsidP="00852768">
            <w:pPr>
              <w:rPr>
                <w:sz w:val="20"/>
                <w:szCs w:val="20"/>
                <w:lang w:val="fr-CA"/>
              </w:rPr>
            </w:pPr>
          </w:p>
        </w:tc>
        <w:tc>
          <w:tcPr>
            <w:tcW w:w="2970" w:type="dxa"/>
          </w:tcPr>
          <w:p w:rsidR="0071080B" w:rsidRPr="0071080B" w:rsidRDefault="0071080B" w:rsidP="00852768">
            <w:pPr>
              <w:rPr>
                <w:sz w:val="20"/>
                <w:szCs w:val="20"/>
                <w:lang w:val="fr-CA"/>
              </w:rPr>
            </w:pPr>
            <w:r w:rsidRPr="0071080B">
              <w:rPr>
                <w:sz w:val="20"/>
                <w:szCs w:val="20"/>
                <w:lang w:val="fr-CA"/>
              </w:rPr>
              <w:t>Procureur général de la Colombie-Britannique</w:t>
            </w:r>
          </w:p>
        </w:tc>
        <w:tc>
          <w:tcPr>
            <w:tcW w:w="1170" w:type="dxa"/>
          </w:tcPr>
          <w:p w:rsidR="0071080B" w:rsidRPr="0071080B" w:rsidRDefault="0071080B" w:rsidP="00852768">
            <w:pPr>
              <w:rPr>
                <w:sz w:val="20"/>
                <w:szCs w:val="20"/>
                <w:lang w:val="fr-CA"/>
              </w:rPr>
            </w:pPr>
          </w:p>
        </w:tc>
        <w:tc>
          <w:tcPr>
            <w:tcW w:w="4327" w:type="dxa"/>
          </w:tcPr>
          <w:p w:rsidR="0071080B" w:rsidRPr="0071080B" w:rsidRDefault="0071080B" w:rsidP="00852768">
            <w:pPr>
              <w:rPr>
                <w:sz w:val="20"/>
                <w:szCs w:val="20"/>
                <w:lang w:val="fr-CA"/>
              </w:rPr>
            </w:pPr>
          </w:p>
        </w:tc>
      </w:tr>
      <w:tr w:rsidR="0071080B" w:rsidRPr="00D75D0F" w:rsidTr="00852768">
        <w:trPr>
          <w:trHeight w:val="90"/>
        </w:trPr>
        <w:tc>
          <w:tcPr>
            <w:tcW w:w="1368" w:type="dxa"/>
          </w:tcPr>
          <w:p w:rsidR="0071080B" w:rsidRPr="0071080B" w:rsidRDefault="0071080B" w:rsidP="00852768">
            <w:pPr>
              <w:rPr>
                <w:sz w:val="20"/>
                <w:szCs w:val="20"/>
                <w:lang w:val="fr-CA"/>
              </w:rPr>
            </w:pPr>
          </w:p>
        </w:tc>
        <w:tc>
          <w:tcPr>
            <w:tcW w:w="2970" w:type="dxa"/>
          </w:tcPr>
          <w:p w:rsidR="0071080B" w:rsidRPr="0071080B" w:rsidRDefault="0071080B" w:rsidP="00852768">
            <w:pPr>
              <w:rPr>
                <w:sz w:val="20"/>
                <w:szCs w:val="20"/>
                <w:lang w:val="fr-CA"/>
              </w:rPr>
            </w:pPr>
          </w:p>
        </w:tc>
        <w:tc>
          <w:tcPr>
            <w:tcW w:w="1170" w:type="dxa"/>
          </w:tcPr>
          <w:p w:rsidR="0071080B" w:rsidRPr="0071080B" w:rsidRDefault="0071080B" w:rsidP="00852768">
            <w:pPr>
              <w:rPr>
                <w:sz w:val="20"/>
                <w:szCs w:val="20"/>
                <w:lang w:val="fr-CA"/>
              </w:rPr>
            </w:pPr>
          </w:p>
        </w:tc>
        <w:tc>
          <w:tcPr>
            <w:tcW w:w="4327" w:type="dxa"/>
          </w:tcPr>
          <w:p w:rsidR="0071080B" w:rsidRPr="0071080B" w:rsidRDefault="0071080B" w:rsidP="00852768">
            <w:pPr>
              <w:rPr>
                <w:sz w:val="20"/>
                <w:szCs w:val="20"/>
                <w:lang w:val="fr-CA"/>
              </w:rPr>
            </w:pPr>
          </w:p>
        </w:tc>
      </w:tr>
      <w:tr w:rsidR="0071080B" w:rsidRPr="00D75D0F" w:rsidTr="00852768">
        <w:tc>
          <w:tcPr>
            <w:tcW w:w="1368" w:type="dxa"/>
          </w:tcPr>
          <w:p w:rsidR="0071080B" w:rsidRPr="0071080B" w:rsidRDefault="0071080B" w:rsidP="00852768">
            <w:pPr>
              <w:rPr>
                <w:sz w:val="20"/>
                <w:szCs w:val="20"/>
              </w:rPr>
            </w:pPr>
            <w:r w:rsidRPr="0071080B">
              <w:rPr>
                <w:sz w:val="20"/>
                <w:szCs w:val="20"/>
              </w:rPr>
              <w:t>IN / DANS :</w:t>
            </w:r>
          </w:p>
        </w:tc>
        <w:tc>
          <w:tcPr>
            <w:tcW w:w="2970" w:type="dxa"/>
          </w:tcPr>
          <w:p w:rsidR="0071080B" w:rsidRPr="0071080B" w:rsidRDefault="0071080B" w:rsidP="00852768">
            <w:pPr>
              <w:rPr>
                <w:sz w:val="20"/>
                <w:szCs w:val="20"/>
                <w:lang w:val="fr-CA"/>
              </w:rPr>
            </w:pPr>
            <w:r w:rsidRPr="0071080B">
              <w:rPr>
                <w:sz w:val="20"/>
                <w:szCs w:val="20"/>
                <w:lang w:val="fr-CA"/>
              </w:rPr>
              <w:t xml:space="preserve">Sa Majesté la Reine </w:t>
            </w:r>
          </w:p>
          <w:p w:rsidR="0071080B" w:rsidRPr="0071080B" w:rsidRDefault="0071080B" w:rsidP="00852768">
            <w:pPr>
              <w:rPr>
                <w:sz w:val="20"/>
                <w:szCs w:val="20"/>
                <w:lang w:val="fr-CA"/>
              </w:rPr>
            </w:pPr>
          </w:p>
          <w:p w:rsidR="0071080B" w:rsidRPr="0071080B" w:rsidRDefault="0071080B" w:rsidP="00852768">
            <w:pPr>
              <w:rPr>
                <w:sz w:val="20"/>
                <w:szCs w:val="20"/>
                <w:lang w:val="fr-CA"/>
              </w:rPr>
            </w:pPr>
            <w:r w:rsidRPr="0071080B">
              <w:rPr>
                <w:sz w:val="20"/>
                <w:szCs w:val="20"/>
                <w:lang w:val="fr-CA"/>
              </w:rPr>
              <w:tab/>
              <w:t>c. (36466)</w:t>
            </w:r>
          </w:p>
          <w:p w:rsidR="0071080B" w:rsidRPr="0071080B" w:rsidRDefault="0071080B" w:rsidP="00852768">
            <w:pPr>
              <w:rPr>
                <w:sz w:val="20"/>
                <w:szCs w:val="20"/>
                <w:lang w:val="fr-CA"/>
              </w:rPr>
            </w:pPr>
          </w:p>
          <w:p w:rsidR="0071080B" w:rsidRPr="0071080B" w:rsidRDefault="0071080B" w:rsidP="00852768">
            <w:pPr>
              <w:rPr>
                <w:sz w:val="20"/>
                <w:szCs w:val="20"/>
                <w:lang w:val="fr-CA"/>
              </w:rPr>
            </w:pPr>
            <w:r w:rsidRPr="0071080B">
              <w:rPr>
                <w:sz w:val="20"/>
                <w:szCs w:val="20"/>
                <w:lang w:val="fr-CA"/>
              </w:rPr>
              <w:t xml:space="preserve">Ordinary Seaman Cawthorne </w:t>
            </w:r>
          </w:p>
          <w:p w:rsidR="0071080B" w:rsidRPr="0071080B" w:rsidRDefault="0071080B" w:rsidP="00852768">
            <w:pPr>
              <w:rPr>
                <w:sz w:val="20"/>
                <w:szCs w:val="20"/>
                <w:lang w:val="fr-CA"/>
              </w:rPr>
            </w:pPr>
          </w:p>
          <w:p w:rsidR="0071080B" w:rsidRPr="0071080B" w:rsidRDefault="0071080B" w:rsidP="00852768">
            <w:pPr>
              <w:rPr>
                <w:sz w:val="20"/>
                <w:szCs w:val="20"/>
                <w:lang w:val="fr-CA"/>
              </w:rPr>
            </w:pPr>
            <w:r w:rsidRPr="0071080B">
              <w:rPr>
                <w:sz w:val="20"/>
                <w:szCs w:val="20"/>
                <w:lang w:val="fr-CA"/>
              </w:rPr>
              <w:t xml:space="preserve">- et - </w:t>
            </w:r>
          </w:p>
          <w:p w:rsidR="0071080B" w:rsidRPr="0071080B" w:rsidRDefault="0071080B" w:rsidP="00852768">
            <w:pPr>
              <w:rPr>
                <w:sz w:val="20"/>
                <w:szCs w:val="20"/>
                <w:lang w:val="fr-CA"/>
              </w:rPr>
            </w:pPr>
          </w:p>
          <w:p w:rsidR="0071080B" w:rsidRPr="0071080B" w:rsidRDefault="0071080B" w:rsidP="00852768">
            <w:pPr>
              <w:rPr>
                <w:sz w:val="20"/>
                <w:szCs w:val="20"/>
                <w:lang w:val="fr-CA"/>
              </w:rPr>
            </w:pPr>
            <w:r w:rsidRPr="0071080B">
              <w:rPr>
                <w:sz w:val="20"/>
                <w:szCs w:val="20"/>
                <w:lang w:val="fr-CA"/>
              </w:rPr>
              <w:t xml:space="preserve">Sa Majesté la Reine </w:t>
            </w:r>
          </w:p>
          <w:p w:rsidR="0071080B" w:rsidRPr="0071080B" w:rsidRDefault="0071080B" w:rsidP="00852768">
            <w:pPr>
              <w:rPr>
                <w:sz w:val="20"/>
                <w:szCs w:val="20"/>
                <w:lang w:val="fr-CA"/>
              </w:rPr>
            </w:pPr>
          </w:p>
          <w:p w:rsidR="0071080B" w:rsidRPr="0071080B" w:rsidRDefault="0071080B" w:rsidP="00852768">
            <w:pPr>
              <w:rPr>
                <w:sz w:val="20"/>
                <w:szCs w:val="20"/>
                <w:lang w:val="fr-CA"/>
              </w:rPr>
            </w:pPr>
            <w:r w:rsidRPr="0071080B">
              <w:rPr>
                <w:sz w:val="20"/>
                <w:szCs w:val="20"/>
                <w:lang w:val="fr-CA"/>
              </w:rPr>
              <w:tab/>
              <w:t>c. (36844)</w:t>
            </w:r>
          </w:p>
          <w:p w:rsidR="0071080B" w:rsidRPr="0071080B" w:rsidRDefault="0071080B" w:rsidP="00852768">
            <w:pPr>
              <w:rPr>
                <w:sz w:val="20"/>
                <w:szCs w:val="20"/>
                <w:lang w:val="fr-CA"/>
              </w:rPr>
            </w:pPr>
          </w:p>
          <w:p w:rsidR="0071080B" w:rsidRPr="0071080B" w:rsidRDefault="0071080B" w:rsidP="00852768">
            <w:pPr>
              <w:rPr>
                <w:sz w:val="20"/>
                <w:szCs w:val="20"/>
                <w:lang w:val="fr-CA"/>
              </w:rPr>
            </w:pPr>
            <w:r w:rsidRPr="0071080B">
              <w:rPr>
                <w:sz w:val="20"/>
                <w:szCs w:val="20"/>
                <w:lang w:val="fr-CA"/>
              </w:rPr>
              <w:t>Adjudant J.G.A. Gagnon et autres (C.A.C.M.)</w:t>
            </w:r>
          </w:p>
        </w:tc>
        <w:tc>
          <w:tcPr>
            <w:tcW w:w="1170" w:type="dxa"/>
          </w:tcPr>
          <w:p w:rsidR="0071080B" w:rsidRPr="0071080B" w:rsidRDefault="0071080B" w:rsidP="00852768">
            <w:pPr>
              <w:rPr>
                <w:sz w:val="20"/>
                <w:szCs w:val="20"/>
                <w:lang w:val="fr-CA"/>
              </w:rPr>
            </w:pPr>
          </w:p>
        </w:tc>
        <w:tc>
          <w:tcPr>
            <w:tcW w:w="4327" w:type="dxa"/>
          </w:tcPr>
          <w:p w:rsidR="0071080B" w:rsidRPr="0071080B" w:rsidRDefault="0071080B" w:rsidP="00852768">
            <w:pPr>
              <w:rPr>
                <w:sz w:val="20"/>
                <w:szCs w:val="20"/>
                <w:lang w:val="fr-CA"/>
              </w:rPr>
            </w:pPr>
          </w:p>
        </w:tc>
      </w:tr>
    </w:tbl>
    <w:p w:rsidR="0071080B" w:rsidRPr="0071080B" w:rsidRDefault="0071080B" w:rsidP="0071080B">
      <w:pPr>
        <w:tabs>
          <w:tab w:val="left" w:pos="-1440"/>
          <w:tab w:val="left" w:pos="-720"/>
        </w:tabs>
        <w:jc w:val="both"/>
        <w:rPr>
          <w:sz w:val="20"/>
          <w:szCs w:val="20"/>
          <w:lang w:val="fr-CA"/>
        </w:rPr>
      </w:pPr>
    </w:p>
    <w:p w:rsidR="0071080B" w:rsidRPr="0071080B" w:rsidRDefault="0071080B" w:rsidP="00F44AE7">
      <w:pPr>
        <w:spacing w:line="232" w:lineRule="auto"/>
        <w:jc w:val="both"/>
        <w:rPr>
          <w:sz w:val="20"/>
          <w:szCs w:val="20"/>
          <w:lang w:val="fr-FR"/>
        </w:rPr>
      </w:pPr>
      <w:r w:rsidRPr="0071080B">
        <w:rPr>
          <w:b/>
          <w:sz w:val="20"/>
          <w:szCs w:val="20"/>
          <w:lang w:val="fr-CA"/>
        </w:rPr>
        <w:t>À LA SUITE DE L’ORDONNANCE</w:t>
      </w:r>
      <w:r w:rsidRPr="0071080B">
        <w:rPr>
          <w:sz w:val="20"/>
          <w:szCs w:val="20"/>
          <w:lang w:val="fr-CA"/>
        </w:rPr>
        <w:t xml:space="preserve"> datée du </w:t>
      </w:r>
      <w:r w:rsidRPr="0071080B">
        <w:rPr>
          <w:sz w:val="20"/>
          <w:szCs w:val="20"/>
          <w:lang w:val="fr-FR"/>
        </w:rPr>
        <w:t xml:space="preserve">5 avril 2016 et révisée le 7 avril 2016, </w:t>
      </w:r>
      <w:r w:rsidRPr="0071080B">
        <w:rPr>
          <w:sz w:val="20"/>
          <w:szCs w:val="20"/>
          <w:lang w:val="fr-CA"/>
        </w:rPr>
        <w:t>autorisant</w:t>
      </w:r>
      <w:r w:rsidRPr="0071080B">
        <w:rPr>
          <w:bCs/>
          <w:sz w:val="20"/>
          <w:szCs w:val="20"/>
          <w:lang w:val="fr-CA"/>
        </w:rPr>
        <w:t xml:space="preserve"> le Directeur des poursuites criminelles et pénales du Québec</w:t>
      </w:r>
      <w:r w:rsidRPr="0071080B">
        <w:rPr>
          <w:sz w:val="20"/>
          <w:szCs w:val="20"/>
          <w:lang w:val="fr-FR"/>
        </w:rPr>
        <w:t xml:space="preserve"> à intervenir dans l’appel dans le dossier 36466;</w:t>
      </w:r>
    </w:p>
    <w:p w:rsidR="0071080B" w:rsidRPr="0071080B" w:rsidRDefault="0071080B" w:rsidP="0071080B">
      <w:pPr>
        <w:spacing w:line="228" w:lineRule="auto"/>
        <w:ind w:left="-23"/>
        <w:rPr>
          <w:b/>
          <w:bCs/>
          <w:sz w:val="20"/>
          <w:szCs w:val="20"/>
          <w:lang w:val="fr-CA"/>
        </w:rPr>
      </w:pPr>
    </w:p>
    <w:p w:rsidR="0071080B" w:rsidRPr="0071080B" w:rsidRDefault="0071080B" w:rsidP="0071080B">
      <w:pPr>
        <w:spacing w:line="228" w:lineRule="auto"/>
        <w:ind w:left="-23"/>
        <w:rPr>
          <w:b/>
          <w:bCs/>
          <w:sz w:val="20"/>
          <w:szCs w:val="20"/>
          <w:lang w:val="fr-CA"/>
        </w:rPr>
      </w:pPr>
      <w:r w:rsidRPr="0071080B">
        <w:rPr>
          <w:b/>
          <w:bCs/>
          <w:sz w:val="20"/>
          <w:szCs w:val="20"/>
          <w:lang w:val="fr-CA"/>
        </w:rPr>
        <w:t xml:space="preserve">IL EST EN OUTRE ORDONNÉ QUE : </w:t>
      </w:r>
    </w:p>
    <w:p w:rsidR="0071080B" w:rsidRPr="0071080B" w:rsidRDefault="0071080B" w:rsidP="0071080B">
      <w:pPr>
        <w:spacing w:line="228" w:lineRule="auto"/>
        <w:ind w:left="-23"/>
        <w:rPr>
          <w:b/>
          <w:bCs/>
          <w:sz w:val="20"/>
          <w:szCs w:val="20"/>
          <w:lang w:val="fr-CA"/>
        </w:rPr>
      </w:pPr>
    </w:p>
    <w:p w:rsidR="0071080B" w:rsidRPr="0071080B" w:rsidRDefault="0071080B" w:rsidP="0071080B">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jc w:val="both"/>
        <w:rPr>
          <w:rFonts w:cs="Times New Roman"/>
          <w:b/>
          <w:bCs/>
          <w:sz w:val="20"/>
          <w:szCs w:val="20"/>
          <w:lang w:val="fr-CA"/>
        </w:rPr>
      </w:pPr>
      <w:r w:rsidRPr="0071080B">
        <w:rPr>
          <w:rFonts w:cs="Times New Roman"/>
          <w:sz w:val="20"/>
          <w:szCs w:val="20"/>
          <w:lang w:val="fr-CA"/>
        </w:rPr>
        <w:t>Cet intervenant aura le droit de présenter une plaidoirie orale d’au plus dix (10) minutes lors de l’audition des appels.</w:t>
      </w:r>
    </w:p>
    <w:p w:rsidR="0071080B" w:rsidRPr="0071080B" w:rsidRDefault="0071080B" w:rsidP="0071080B">
      <w:pPr>
        <w:spacing w:line="228" w:lineRule="auto"/>
        <w:rPr>
          <w:b/>
          <w:bCs/>
          <w:sz w:val="20"/>
          <w:szCs w:val="20"/>
          <w:lang w:val="fr-CA"/>
        </w:rPr>
      </w:pPr>
    </w:p>
    <w:p w:rsidR="0071080B" w:rsidRPr="0071080B" w:rsidRDefault="0071080B" w:rsidP="0071080B">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cs="Times New Roman"/>
          <w:sz w:val="20"/>
          <w:szCs w:val="20"/>
          <w:lang w:val="fr-CA"/>
        </w:rPr>
      </w:pPr>
      <w:r w:rsidRPr="0071080B">
        <w:rPr>
          <w:rFonts w:cs="Times New Roman"/>
          <w:sz w:val="20"/>
          <w:szCs w:val="20"/>
          <w:lang w:val="fr-CA"/>
        </w:rPr>
        <w:t>Le Procureur général du Canada, le Procureur général de l’Ontario, la Procureure générale du Québec et le Procureur général de la Colombie-Britannique auront chacun le droit de présenter une plaidoirie orale d’au plus cinq (5) minutes lors de l’audition des appels.</w:t>
      </w:r>
    </w:p>
    <w:p w:rsidR="0071080B" w:rsidRPr="0071080B" w:rsidRDefault="0071080B" w:rsidP="0071080B">
      <w:pPr>
        <w:rPr>
          <w:sz w:val="20"/>
          <w:szCs w:val="20"/>
          <w:lang w:val="fr-CA"/>
        </w:rPr>
      </w:pPr>
    </w:p>
    <w:p w:rsidR="0071080B" w:rsidRPr="0071080B" w:rsidRDefault="0071080B" w:rsidP="0071080B">
      <w:pPr>
        <w:rPr>
          <w:sz w:val="20"/>
          <w:szCs w:val="20"/>
          <w:lang w:val="fr-CA"/>
        </w:rPr>
      </w:pPr>
    </w:p>
    <w:p w:rsidR="0071080B" w:rsidRPr="0071080B" w:rsidRDefault="0071080B" w:rsidP="0071080B">
      <w:pPr>
        <w:rPr>
          <w:b/>
          <w:sz w:val="20"/>
          <w:szCs w:val="20"/>
        </w:rPr>
      </w:pPr>
      <w:r w:rsidRPr="0071080B">
        <w:rPr>
          <w:b/>
          <w:bCs/>
          <w:sz w:val="20"/>
          <w:szCs w:val="20"/>
        </w:rPr>
        <w:t xml:space="preserve">FURTHER TO THE ORDER </w:t>
      </w:r>
      <w:r w:rsidRPr="0071080B">
        <w:rPr>
          <w:bCs/>
          <w:sz w:val="20"/>
          <w:szCs w:val="20"/>
        </w:rPr>
        <w:t xml:space="preserve">dated April 5, 2016 and revised April 7, 2016, granting leave to intervene in the appeal in file no. 36466 to the </w:t>
      </w:r>
      <w:r w:rsidRPr="0071080B">
        <w:rPr>
          <w:sz w:val="20"/>
          <w:szCs w:val="20"/>
        </w:rPr>
        <w:t>Directeur des poursuites criminelles et pénales du Québec;</w:t>
      </w:r>
    </w:p>
    <w:p w:rsidR="0071080B" w:rsidRPr="0071080B" w:rsidRDefault="0071080B" w:rsidP="0071080B">
      <w:pPr>
        <w:spacing w:line="232" w:lineRule="auto"/>
        <w:rPr>
          <w:b/>
          <w:bCs/>
          <w:sz w:val="20"/>
          <w:szCs w:val="20"/>
        </w:rPr>
      </w:pPr>
    </w:p>
    <w:p w:rsidR="0071080B" w:rsidRPr="0071080B" w:rsidRDefault="0071080B" w:rsidP="0082555B">
      <w:pPr>
        <w:spacing w:line="233" w:lineRule="auto"/>
        <w:jc w:val="both"/>
        <w:rPr>
          <w:b/>
          <w:bCs/>
          <w:sz w:val="20"/>
          <w:szCs w:val="20"/>
        </w:rPr>
      </w:pPr>
      <w:r w:rsidRPr="0071080B">
        <w:rPr>
          <w:b/>
          <w:bCs/>
          <w:sz w:val="20"/>
          <w:szCs w:val="20"/>
        </w:rPr>
        <w:t xml:space="preserve">IT IS HEREBY FURTHER ORDERED THAT: </w:t>
      </w:r>
    </w:p>
    <w:p w:rsidR="0071080B" w:rsidRPr="0071080B" w:rsidRDefault="0071080B" w:rsidP="0082555B">
      <w:pPr>
        <w:spacing w:line="233" w:lineRule="auto"/>
        <w:jc w:val="both"/>
        <w:rPr>
          <w:b/>
          <w:bCs/>
          <w:sz w:val="20"/>
          <w:szCs w:val="20"/>
        </w:rPr>
      </w:pPr>
    </w:p>
    <w:p w:rsidR="0071080B" w:rsidRPr="0071080B" w:rsidRDefault="0071080B" w:rsidP="0082555B">
      <w:pPr>
        <w:pStyle w:val="ListParagraph"/>
        <w:widowControl w:val="0"/>
        <w:numPr>
          <w:ilvl w:val="0"/>
          <w:numId w:val="11"/>
        </w:numPr>
        <w:autoSpaceDE w:val="0"/>
        <w:autoSpaceDN w:val="0"/>
        <w:adjustRightInd w:val="0"/>
        <w:spacing w:line="233" w:lineRule="auto"/>
        <w:jc w:val="both"/>
        <w:rPr>
          <w:rFonts w:cs="Times New Roman"/>
          <w:bCs/>
          <w:sz w:val="20"/>
          <w:szCs w:val="20"/>
        </w:rPr>
      </w:pPr>
      <w:r w:rsidRPr="0071080B">
        <w:rPr>
          <w:rFonts w:cs="Times New Roman"/>
          <w:bCs/>
          <w:sz w:val="20"/>
          <w:szCs w:val="20"/>
        </w:rPr>
        <w:t>The said intervener is granted permission to present oral argument not exceeding ten (10) minutes at the hearing of the appeals.</w:t>
      </w:r>
    </w:p>
    <w:p w:rsidR="0071080B" w:rsidRPr="0071080B" w:rsidRDefault="0071080B" w:rsidP="0082555B">
      <w:pPr>
        <w:spacing w:line="233" w:lineRule="auto"/>
        <w:jc w:val="both"/>
        <w:rPr>
          <w:bCs/>
          <w:sz w:val="20"/>
          <w:szCs w:val="20"/>
        </w:rPr>
      </w:pPr>
    </w:p>
    <w:p w:rsidR="0071080B" w:rsidRPr="0071080B" w:rsidRDefault="0071080B" w:rsidP="0082555B">
      <w:pPr>
        <w:pStyle w:val="ListParagraph"/>
        <w:widowControl w:val="0"/>
        <w:numPr>
          <w:ilvl w:val="0"/>
          <w:numId w:val="11"/>
        </w:numPr>
        <w:autoSpaceDE w:val="0"/>
        <w:autoSpaceDN w:val="0"/>
        <w:adjustRightInd w:val="0"/>
        <w:spacing w:line="233" w:lineRule="auto"/>
        <w:jc w:val="both"/>
        <w:rPr>
          <w:rFonts w:cs="Times New Roman"/>
          <w:bCs/>
          <w:sz w:val="20"/>
          <w:szCs w:val="20"/>
        </w:rPr>
      </w:pPr>
      <w:r w:rsidRPr="0071080B">
        <w:rPr>
          <w:rFonts w:cs="Times New Roman"/>
          <w:bCs/>
          <w:sz w:val="20"/>
          <w:szCs w:val="20"/>
        </w:rPr>
        <w:t>The Attorney General of Canada, the Attorney General of Ontario, the Attorney General of Quebec and the Attorney General of British Columbia are each granted permission to present oral argument not exceeding five (5) minutes at the hearing of the appeals.</w:t>
      </w:r>
    </w:p>
    <w:p w:rsidR="0071080B" w:rsidRPr="0071080B" w:rsidRDefault="00D75D0F" w:rsidP="0082555B">
      <w:pPr>
        <w:tabs>
          <w:tab w:val="left" w:pos="-1440"/>
          <w:tab w:val="left" w:pos="-720"/>
        </w:tabs>
        <w:jc w:val="both"/>
        <w:rPr>
          <w:sz w:val="20"/>
          <w:szCs w:val="20"/>
          <w:lang w:val="fr-CA"/>
        </w:rPr>
      </w:pPr>
      <w:r>
        <w:rPr>
          <w:sz w:val="20"/>
          <w:szCs w:val="20"/>
          <w:lang w:val="fr-CA"/>
        </w:rPr>
        <w:pict>
          <v:rect id="_x0000_i1052" style="width:2in;height:1pt" o:hrpct="0" o:hralign="center" o:hrstd="t" o:hrnoshade="t" o:hr="t" fillcolor="black [3213]" stroked="f"/>
        </w:pict>
      </w:r>
    </w:p>
    <w:p w:rsidR="0071080B" w:rsidRPr="0071080B" w:rsidRDefault="0071080B" w:rsidP="0071080B">
      <w:pPr>
        <w:tabs>
          <w:tab w:val="left" w:pos="-1440"/>
          <w:tab w:val="left" w:pos="-720"/>
        </w:tabs>
        <w:jc w:val="both"/>
        <w:rPr>
          <w:sz w:val="20"/>
          <w:szCs w:val="20"/>
          <w:lang w:val="fr-CA"/>
        </w:rPr>
      </w:pPr>
    </w:p>
    <w:p w:rsidR="0071080B" w:rsidRPr="0071080B" w:rsidRDefault="0071080B" w:rsidP="0071080B">
      <w:pPr>
        <w:tabs>
          <w:tab w:val="left" w:pos="-1440"/>
          <w:tab w:val="left" w:pos="-720"/>
        </w:tabs>
        <w:jc w:val="both"/>
        <w:rPr>
          <w:sz w:val="20"/>
          <w:szCs w:val="20"/>
          <w:lang w:val="fr-CA"/>
        </w:rPr>
      </w:pPr>
      <w:r w:rsidRPr="0071080B">
        <w:rPr>
          <w:sz w:val="20"/>
          <w:szCs w:val="20"/>
          <w:lang w:val="fr-CA"/>
        </w:rPr>
        <w:t>19.04.2016</w:t>
      </w:r>
    </w:p>
    <w:p w:rsidR="0071080B" w:rsidRPr="0071080B" w:rsidRDefault="0071080B" w:rsidP="0071080B">
      <w:pPr>
        <w:tabs>
          <w:tab w:val="left" w:pos="-1440"/>
          <w:tab w:val="left" w:pos="-720"/>
        </w:tabs>
        <w:jc w:val="both"/>
        <w:rPr>
          <w:sz w:val="20"/>
          <w:szCs w:val="20"/>
          <w:lang w:val="fr-CA"/>
        </w:rPr>
      </w:pPr>
    </w:p>
    <w:p w:rsidR="0071080B" w:rsidRPr="0071080B" w:rsidRDefault="0071080B" w:rsidP="0071080B">
      <w:pPr>
        <w:tabs>
          <w:tab w:val="left" w:pos="-1440"/>
          <w:tab w:val="left" w:pos="-720"/>
        </w:tabs>
        <w:jc w:val="both"/>
        <w:rPr>
          <w:sz w:val="20"/>
          <w:szCs w:val="20"/>
        </w:rPr>
      </w:pPr>
      <w:r w:rsidRPr="0071080B">
        <w:rPr>
          <w:sz w:val="20"/>
          <w:szCs w:val="20"/>
        </w:rPr>
        <w:t>Before / Devant:   THE REGISTRAR / LE REGISTRAIRE</w:t>
      </w:r>
    </w:p>
    <w:p w:rsidR="0071080B" w:rsidRPr="0071080B" w:rsidRDefault="0071080B" w:rsidP="0071080B">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1143"/>
        <w:gridCol w:w="4229"/>
      </w:tblGrid>
      <w:tr w:rsidR="0071080B" w:rsidRPr="0071080B" w:rsidTr="00852768">
        <w:trPr>
          <w:trHeight w:val="151"/>
        </w:trPr>
        <w:tc>
          <w:tcPr>
            <w:tcW w:w="4247" w:type="dxa"/>
          </w:tcPr>
          <w:p w:rsidR="0071080B" w:rsidRPr="0071080B" w:rsidRDefault="0071080B" w:rsidP="00852768">
            <w:pPr>
              <w:tabs>
                <w:tab w:val="left" w:pos="-1440"/>
                <w:tab w:val="left" w:pos="-720"/>
              </w:tabs>
              <w:jc w:val="both"/>
              <w:rPr>
                <w:sz w:val="20"/>
                <w:szCs w:val="20"/>
              </w:rPr>
            </w:pPr>
            <w:r w:rsidRPr="0071080B">
              <w:rPr>
                <w:b/>
                <w:bCs/>
                <w:sz w:val="20"/>
                <w:szCs w:val="20"/>
              </w:rPr>
              <w:t>Miscellaneous motions</w:t>
            </w:r>
            <w:r w:rsidRPr="0071080B">
              <w:rPr>
                <w:sz w:val="20"/>
                <w:szCs w:val="20"/>
              </w:rPr>
              <w:fldChar w:fldCharType="begin"/>
            </w:r>
            <w:r w:rsidRPr="0071080B">
              <w:rPr>
                <w:sz w:val="20"/>
                <w:szCs w:val="20"/>
              </w:rPr>
              <w:instrText xml:space="preserve"> SEQ CHAPTER \h \r 1</w:instrText>
            </w:r>
            <w:r w:rsidRPr="0071080B">
              <w:rPr>
                <w:sz w:val="20"/>
                <w:szCs w:val="20"/>
              </w:rPr>
              <w:fldChar w:fldCharType="end"/>
            </w:r>
          </w:p>
        </w:tc>
        <w:tc>
          <w:tcPr>
            <w:tcW w:w="1143" w:type="dxa"/>
          </w:tcPr>
          <w:p w:rsidR="0071080B" w:rsidRPr="0071080B" w:rsidRDefault="0071080B" w:rsidP="00852768">
            <w:pPr>
              <w:jc w:val="both"/>
              <w:rPr>
                <w:sz w:val="20"/>
                <w:szCs w:val="20"/>
              </w:rPr>
            </w:pPr>
          </w:p>
          <w:p w:rsidR="0071080B" w:rsidRPr="0071080B" w:rsidRDefault="0071080B" w:rsidP="00852768">
            <w:pPr>
              <w:jc w:val="both"/>
              <w:rPr>
                <w:sz w:val="20"/>
                <w:szCs w:val="20"/>
              </w:rPr>
            </w:pPr>
          </w:p>
        </w:tc>
        <w:tc>
          <w:tcPr>
            <w:tcW w:w="4229" w:type="dxa"/>
          </w:tcPr>
          <w:p w:rsidR="0071080B" w:rsidRPr="0071080B" w:rsidRDefault="0071080B" w:rsidP="00852768">
            <w:pPr>
              <w:jc w:val="both"/>
              <w:rPr>
                <w:b/>
                <w:bCs/>
                <w:color w:val="000000"/>
                <w:sz w:val="20"/>
                <w:szCs w:val="20"/>
                <w:lang w:val="fr-CA"/>
              </w:rPr>
            </w:pPr>
            <w:r w:rsidRPr="0071080B">
              <w:rPr>
                <w:b/>
                <w:bCs/>
                <w:sz w:val="20"/>
                <w:szCs w:val="20"/>
                <w:lang w:val="fr-CA"/>
              </w:rPr>
              <w:t>Requêtes diverses</w:t>
            </w:r>
          </w:p>
        </w:tc>
      </w:tr>
      <w:tr w:rsidR="0071080B" w:rsidRPr="0071080B" w:rsidTr="00852768">
        <w:trPr>
          <w:trHeight w:val="150"/>
        </w:trPr>
        <w:tc>
          <w:tcPr>
            <w:tcW w:w="4247" w:type="dxa"/>
          </w:tcPr>
          <w:p w:rsidR="0071080B" w:rsidRPr="0071080B" w:rsidRDefault="0071080B" w:rsidP="00852768">
            <w:pPr>
              <w:tabs>
                <w:tab w:val="left" w:pos="-1440"/>
                <w:tab w:val="left" w:pos="-720"/>
              </w:tabs>
              <w:jc w:val="both"/>
              <w:rPr>
                <w:sz w:val="20"/>
                <w:szCs w:val="20"/>
                <w:lang w:val="fr-CA"/>
              </w:rPr>
            </w:pPr>
            <w:r w:rsidRPr="0071080B">
              <w:rPr>
                <w:sz w:val="20"/>
                <w:szCs w:val="20"/>
                <w:lang w:val="fr-CA"/>
              </w:rPr>
              <w:t>Sa Majesté la Reine</w:t>
            </w:r>
          </w:p>
          <w:p w:rsidR="0071080B" w:rsidRPr="0071080B" w:rsidRDefault="0071080B" w:rsidP="00852768">
            <w:pPr>
              <w:tabs>
                <w:tab w:val="left" w:pos="-1440"/>
                <w:tab w:val="left" w:pos="-720"/>
              </w:tabs>
              <w:jc w:val="both"/>
              <w:rPr>
                <w:sz w:val="20"/>
                <w:szCs w:val="20"/>
                <w:lang w:val="fr-CA"/>
              </w:rPr>
            </w:pPr>
          </w:p>
          <w:p w:rsidR="0071080B" w:rsidRPr="0071080B" w:rsidRDefault="0071080B" w:rsidP="00852768">
            <w:pPr>
              <w:rPr>
                <w:sz w:val="20"/>
                <w:szCs w:val="20"/>
                <w:lang w:val="fr-CA"/>
              </w:rPr>
            </w:pPr>
            <w:r w:rsidRPr="0071080B">
              <w:rPr>
                <w:sz w:val="20"/>
                <w:szCs w:val="20"/>
                <w:lang w:val="fr-CA"/>
              </w:rPr>
              <w:tab/>
              <w:t>c. (36651)</w:t>
            </w:r>
          </w:p>
          <w:p w:rsidR="0071080B" w:rsidRPr="0071080B" w:rsidRDefault="0071080B" w:rsidP="00852768">
            <w:pPr>
              <w:rPr>
                <w:sz w:val="20"/>
                <w:szCs w:val="20"/>
                <w:lang w:val="fr-CA"/>
              </w:rPr>
            </w:pPr>
          </w:p>
          <w:p w:rsidR="0071080B" w:rsidRPr="0071080B" w:rsidRDefault="0071080B" w:rsidP="00852768">
            <w:pPr>
              <w:rPr>
                <w:sz w:val="20"/>
                <w:szCs w:val="20"/>
                <w:lang w:val="fr-CA"/>
              </w:rPr>
            </w:pPr>
            <w:r w:rsidRPr="0071080B">
              <w:rPr>
                <w:sz w:val="20"/>
                <w:szCs w:val="20"/>
                <w:lang w:val="fr-CA"/>
              </w:rPr>
              <w:t>Tobby Carrier (Qc) (Crim.)</w:t>
            </w:r>
          </w:p>
          <w:p w:rsidR="0071080B" w:rsidRPr="0071080B" w:rsidRDefault="0071080B" w:rsidP="00852768">
            <w:pPr>
              <w:tabs>
                <w:tab w:val="left" w:pos="-1440"/>
                <w:tab w:val="left" w:pos="-720"/>
              </w:tabs>
              <w:jc w:val="both"/>
              <w:rPr>
                <w:sz w:val="20"/>
                <w:szCs w:val="20"/>
                <w:lang w:val="fr-CA"/>
              </w:rPr>
            </w:pPr>
          </w:p>
        </w:tc>
        <w:tc>
          <w:tcPr>
            <w:tcW w:w="1143" w:type="dxa"/>
          </w:tcPr>
          <w:p w:rsidR="0071080B" w:rsidRPr="0071080B" w:rsidRDefault="0071080B" w:rsidP="00852768">
            <w:pPr>
              <w:jc w:val="both"/>
              <w:rPr>
                <w:sz w:val="20"/>
                <w:szCs w:val="20"/>
                <w:lang w:val="fr-CA"/>
              </w:rPr>
            </w:pPr>
          </w:p>
        </w:tc>
        <w:tc>
          <w:tcPr>
            <w:tcW w:w="4229" w:type="dxa"/>
          </w:tcPr>
          <w:p w:rsidR="0071080B" w:rsidRPr="0071080B" w:rsidRDefault="0071080B" w:rsidP="00852768">
            <w:pPr>
              <w:jc w:val="both"/>
              <w:rPr>
                <w:sz w:val="20"/>
                <w:szCs w:val="20"/>
                <w:lang w:val="fr-CA"/>
              </w:rPr>
            </w:pPr>
          </w:p>
        </w:tc>
      </w:tr>
    </w:tbl>
    <w:p w:rsidR="0071080B" w:rsidRPr="0071080B" w:rsidRDefault="0071080B" w:rsidP="0071080B">
      <w:pPr>
        <w:tabs>
          <w:tab w:val="left" w:pos="-1440"/>
          <w:tab w:val="left" w:pos="-720"/>
        </w:tabs>
        <w:jc w:val="both"/>
        <w:rPr>
          <w:sz w:val="20"/>
          <w:szCs w:val="20"/>
          <w:lang w:val="fr-CA"/>
        </w:rPr>
      </w:pPr>
    </w:p>
    <w:p w:rsidR="0071080B" w:rsidRPr="0071080B" w:rsidRDefault="0071080B" w:rsidP="0071080B">
      <w:pPr>
        <w:tabs>
          <w:tab w:val="left" w:pos="-1440"/>
          <w:tab w:val="left" w:pos="-720"/>
        </w:tabs>
        <w:jc w:val="both"/>
        <w:rPr>
          <w:sz w:val="20"/>
          <w:szCs w:val="20"/>
          <w:lang w:val="fr-CA"/>
        </w:rPr>
      </w:pPr>
      <w:r w:rsidRPr="0071080B">
        <w:rPr>
          <w:b/>
          <w:sz w:val="20"/>
          <w:szCs w:val="20"/>
          <w:lang w:val="fr-CA"/>
        </w:rPr>
        <w:t>GRANTED IN PART / ACCORDÉE EN PARTIE</w:t>
      </w:r>
    </w:p>
    <w:p w:rsidR="0071080B" w:rsidRPr="0071080B" w:rsidRDefault="0071080B" w:rsidP="0071080B">
      <w:pPr>
        <w:tabs>
          <w:tab w:val="left" w:pos="-1440"/>
          <w:tab w:val="left" w:pos="-720"/>
        </w:tabs>
        <w:jc w:val="both"/>
        <w:rPr>
          <w:sz w:val="20"/>
          <w:szCs w:val="20"/>
          <w:lang w:val="fr-CA"/>
        </w:rPr>
      </w:pPr>
    </w:p>
    <w:p w:rsidR="0071080B" w:rsidRPr="0071080B" w:rsidRDefault="0071080B" w:rsidP="0071080B">
      <w:pPr>
        <w:spacing w:line="233" w:lineRule="auto"/>
        <w:jc w:val="both"/>
        <w:rPr>
          <w:sz w:val="20"/>
          <w:szCs w:val="20"/>
          <w:lang w:val="fr-CA"/>
        </w:rPr>
      </w:pPr>
      <w:r w:rsidRPr="0071080B">
        <w:rPr>
          <w:b/>
          <w:bCs/>
          <w:sz w:val="20"/>
          <w:szCs w:val="20"/>
          <w:lang w:val="fr-CA"/>
        </w:rPr>
        <w:t xml:space="preserve">À LA SUITE DE LA DEMANDE </w:t>
      </w:r>
      <w:r w:rsidRPr="0071080B">
        <w:rPr>
          <w:bCs/>
          <w:sz w:val="20"/>
          <w:szCs w:val="20"/>
          <w:lang w:val="fr-CA"/>
        </w:rPr>
        <w:t xml:space="preserve">présentée par l’intimé en vertu du paragraphe 32(2) des </w:t>
      </w:r>
      <w:r w:rsidRPr="0071080B">
        <w:rPr>
          <w:bCs/>
          <w:i/>
          <w:sz w:val="20"/>
          <w:szCs w:val="20"/>
          <w:lang w:val="fr-CA"/>
        </w:rPr>
        <w:t>Règles de la Cour suprême du Canada</w:t>
      </w:r>
      <w:r w:rsidRPr="0071080B">
        <w:rPr>
          <w:bCs/>
          <w:sz w:val="20"/>
          <w:szCs w:val="20"/>
          <w:lang w:val="fr-CA"/>
        </w:rPr>
        <w:t>, sollicitant la permission de déposer la réponse à la demande d’autorisation d’appel</w:t>
      </w:r>
      <w:r w:rsidRPr="0071080B">
        <w:rPr>
          <w:sz w:val="20"/>
          <w:szCs w:val="20"/>
          <w:lang w:val="fr-CA"/>
        </w:rPr>
        <w:t>;</w:t>
      </w:r>
    </w:p>
    <w:p w:rsidR="0071080B" w:rsidRPr="0071080B" w:rsidRDefault="0071080B" w:rsidP="0071080B">
      <w:pPr>
        <w:spacing w:line="233" w:lineRule="auto"/>
        <w:jc w:val="both"/>
        <w:rPr>
          <w:sz w:val="20"/>
          <w:szCs w:val="20"/>
          <w:lang w:val="fr-CA"/>
        </w:rPr>
      </w:pPr>
    </w:p>
    <w:p w:rsidR="0071080B" w:rsidRPr="0071080B" w:rsidRDefault="0071080B" w:rsidP="0071080B">
      <w:pPr>
        <w:spacing w:line="233" w:lineRule="auto"/>
        <w:jc w:val="both"/>
        <w:rPr>
          <w:sz w:val="20"/>
          <w:szCs w:val="20"/>
          <w:lang w:val="fr-CA"/>
        </w:rPr>
      </w:pPr>
      <w:r w:rsidRPr="0071080B">
        <w:rPr>
          <w:b/>
          <w:sz w:val="20"/>
          <w:szCs w:val="20"/>
          <w:lang w:val="fr-CA"/>
        </w:rPr>
        <w:t>ET À LA SUITE DE LA DEMANDE</w:t>
      </w:r>
      <w:r w:rsidRPr="0071080B">
        <w:rPr>
          <w:sz w:val="20"/>
          <w:szCs w:val="20"/>
          <w:lang w:val="fr-CA"/>
        </w:rPr>
        <w:t xml:space="preserve"> </w:t>
      </w:r>
      <w:r w:rsidRPr="0071080B">
        <w:rPr>
          <w:bCs/>
          <w:sz w:val="20"/>
          <w:szCs w:val="20"/>
          <w:lang w:val="fr-CA"/>
        </w:rPr>
        <w:t>présentée par l’intimé</w:t>
      </w:r>
      <w:r w:rsidRPr="0071080B">
        <w:rPr>
          <w:sz w:val="20"/>
          <w:szCs w:val="20"/>
          <w:lang w:val="fr-CA"/>
        </w:rPr>
        <w:t xml:space="preserve"> pour obtenir une prorogation du délai pour déposer et signifier </w:t>
      </w:r>
      <w:r w:rsidRPr="0071080B">
        <w:rPr>
          <w:bCs/>
          <w:sz w:val="20"/>
          <w:szCs w:val="20"/>
          <w:lang w:val="fr-CA"/>
        </w:rPr>
        <w:t>la réponse à la demande d’autorisation d’appel;</w:t>
      </w:r>
      <w:r w:rsidRPr="0071080B">
        <w:rPr>
          <w:sz w:val="20"/>
          <w:szCs w:val="20"/>
          <w:lang w:val="fr-CA"/>
        </w:rPr>
        <w:t xml:space="preserve"> </w:t>
      </w:r>
    </w:p>
    <w:p w:rsidR="0071080B" w:rsidRPr="0071080B" w:rsidRDefault="0071080B" w:rsidP="0071080B">
      <w:pPr>
        <w:spacing w:line="233" w:lineRule="auto"/>
        <w:jc w:val="both"/>
        <w:rPr>
          <w:sz w:val="20"/>
          <w:szCs w:val="20"/>
          <w:lang w:val="fr-CA"/>
        </w:rPr>
      </w:pPr>
    </w:p>
    <w:p w:rsidR="0071080B" w:rsidRPr="0071080B" w:rsidRDefault="0071080B" w:rsidP="0071080B">
      <w:pPr>
        <w:spacing w:line="233" w:lineRule="auto"/>
        <w:jc w:val="both"/>
        <w:rPr>
          <w:sz w:val="20"/>
          <w:szCs w:val="20"/>
          <w:lang w:val="fr-CA"/>
        </w:rPr>
      </w:pPr>
      <w:r w:rsidRPr="0071080B">
        <w:rPr>
          <w:b/>
          <w:bCs/>
          <w:sz w:val="20"/>
          <w:szCs w:val="20"/>
          <w:lang w:val="fr-CA"/>
        </w:rPr>
        <w:t xml:space="preserve">ET APRÈS EXAMEN </w:t>
      </w:r>
      <w:r w:rsidRPr="0071080B">
        <w:rPr>
          <w:bCs/>
          <w:sz w:val="20"/>
          <w:szCs w:val="20"/>
          <w:lang w:val="fr-CA"/>
        </w:rPr>
        <w:t>des documents déposés</w:t>
      </w:r>
      <w:r w:rsidRPr="0071080B">
        <w:rPr>
          <w:sz w:val="20"/>
          <w:szCs w:val="20"/>
          <w:lang w:val="fr-CA"/>
        </w:rPr>
        <w:t>;</w:t>
      </w:r>
    </w:p>
    <w:p w:rsidR="0071080B" w:rsidRPr="0071080B" w:rsidRDefault="0071080B" w:rsidP="0071080B">
      <w:pPr>
        <w:spacing w:line="233" w:lineRule="auto"/>
        <w:jc w:val="both"/>
        <w:rPr>
          <w:sz w:val="20"/>
          <w:szCs w:val="20"/>
          <w:lang w:val="fr-CA"/>
        </w:rPr>
      </w:pPr>
    </w:p>
    <w:p w:rsidR="0071080B" w:rsidRPr="0071080B" w:rsidRDefault="0071080B" w:rsidP="0071080B">
      <w:pPr>
        <w:spacing w:line="233" w:lineRule="auto"/>
        <w:jc w:val="both"/>
        <w:rPr>
          <w:sz w:val="20"/>
          <w:szCs w:val="20"/>
          <w:lang w:val="fr-CA"/>
        </w:rPr>
      </w:pPr>
      <w:r w:rsidRPr="0071080B">
        <w:rPr>
          <w:b/>
          <w:bCs/>
          <w:sz w:val="20"/>
          <w:szCs w:val="20"/>
          <w:lang w:val="fr-CA"/>
        </w:rPr>
        <w:t>IL EST ORDONNÉ CE QUI SUIT :</w:t>
      </w:r>
    </w:p>
    <w:p w:rsidR="0071080B" w:rsidRPr="0071080B" w:rsidRDefault="0071080B" w:rsidP="0071080B">
      <w:pPr>
        <w:spacing w:line="233" w:lineRule="auto"/>
        <w:jc w:val="both"/>
        <w:rPr>
          <w:sz w:val="20"/>
          <w:szCs w:val="20"/>
          <w:lang w:val="fr-CA"/>
        </w:rPr>
      </w:pPr>
    </w:p>
    <w:p w:rsidR="0071080B" w:rsidRPr="0071080B" w:rsidRDefault="0071080B" w:rsidP="0071080B">
      <w:pPr>
        <w:pStyle w:val="ListParagraph"/>
        <w:widowControl w:val="0"/>
        <w:numPr>
          <w:ilvl w:val="0"/>
          <w:numId w:val="12"/>
        </w:numPr>
        <w:autoSpaceDE w:val="0"/>
        <w:autoSpaceDN w:val="0"/>
        <w:adjustRightInd w:val="0"/>
        <w:spacing w:line="233" w:lineRule="auto"/>
        <w:jc w:val="both"/>
        <w:rPr>
          <w:rFonts w:cs="Times New Roman"/>
          <w:sz w:val="20"/>
          <w:szCs w:val="20"/>
          <w:lang w:val="fr-CA"/>
        </w:rPr>
      </w:pPr>
      <w:r w:rsidRPr="0071080B">
        <w:rPr>
          <w:rFonts w:cs="Times New Roman"/>
          <w:sz w:val="20"/>
          <w:szCs w:val="20"/>
          <w:lang w:val="fr-CA"/>
        </w:rPr>
        <w:t xml:space="preserve">La requête </w:t>
      </w:r>
      <w:r w:rsidRPr="0071080B">
        <w:rPr>
          <w:rFonts w:cs="Times New Roman"/>
          <w:bCs/>
          <w:sz w:val="20"/>
          <w:szCs w:val="20"/>
          <w:lang w:val="fr-CA"/>
        </w:rPr>
        <w:t>sollicitant la permission de déposer la réponse à la demande d’autorisation d’appel</w:t>
      </w:r>
      <w:r w:rsidRPr="0071080B">
        <w:rPr>
          <w:rFonts w:cs="Times New Roman"/>
          <w:sz w:val="20"/>
          <w:szCs w:val="20"/>
          <w:lang w:val="fr-CA"/>
        </w:rPr>
        <w:t xml:space="preserve"> est accueillie; et</w:t>
      </w:r>
    </w:p>
    <w:p w:rsidR="0071080B" w:rsidRPr="0071080B" w:rsidRDefault="0071080B" w:rsidP="0071080B">
      <w:pPr>
        <w:spacing w:line="233" w:lineRule="auto"/>
        <w:jc w:val="both"/>
        <w:rPr>
          <w:sz w:val="20"/>
          <w:szCs w:val="20"/>
          <w:lang w:val="fr-CA"/>
        </w:rPr>
      </w:pPr>
    </w:p>
    <w:p w:rsidR="0071080B" w:rsidRPr="0071080B" w:rsidRDefault="0071080B" w:rsidP="0071080B">
      <w:pPr>
        <w:tabs>
          <w:tab w:val="left" w:pos="-1440"/>
          <w:tab w:val="left" w:pos="-720"/>
        </w:tabs>
        <w:jc w:val="both"/>
        <w:rPr>
          <w:sz w:val="20"/>
          <w:szCs w:val="20"/>
          <w:lang w:val="fr-CA"/>
        </w:rPr>
      </w:pPr>
      <w:r w:rsidRPr="0071080B">
        <w:rPr>
          <w:sz w:val="20"/>
          <w:szCs w:val="20"/>
          <w:lang w:val="fr-CA"/>
        </w:rPr>
        <w:t xml:space="preserve">La requête en prorogation du délai, </w:t>
      </w:r>
      <w:r w:rsidRPr="0071080B">
        <w:rPr>
          <w:bCs/>
          <w:sz w:val="20"/>
          <w:szCs w:val="20"/>
          <w:lang w:val="fr-CA"/>
        </w:rPr>
        <w:t>la réponse à la demande d’autorisation d’appel et la réplique à la réponse de la demande</w:t>
      </w:r>
      <w:r w:rsidRPr="0071080B">
        <w:rPr>
          <w:sz w:val="20"/>
          <w:szCs w:val="20"/>
          <w:lang w:val="fr-CA"/>
        </w:rPr>
        <w:t xml:space="preserve"> seront transmises à la formation de juges saisie de la demande d’autorisation d’appel.</w:t>
      </w:r>
    </w:p>
    <w:p w:rsidR="0071080B" w:rsidRPr="0071080B" w:rsidRDefault="0071080B" w:rsidP="0071080B">
      <w:pPr>
        <w:tabs>
          <w:tab w:val="left" w:pos="-1440"/>
          <w:tab w:val="left" w:pos="-720"/>
        </w:tabs>
        <w:jc w:val="both"/>
        <w:rPr>
          <w:sz w:val="20"/>
          <w:szCs w:val="20"/>
          <w:lang w:val="fr-CA"/>
        </w:rPr>
      </w:pPr>
    </w:p>
    <w:p w:rsidR="0071080B" w:rsidRPr="0071080B" w:rsidRDefault="0071080B" w:rsidP="0071080B">
      <w:pPr>
        <w:tabs>
          <w:tab w:val="left" w:pos="-1440"/>
          <w:tab w:val="left" w:pos="-720"/>
        </w:tabs>
        <w:jc w:val="both"/>
        <w:rPr>
          <w:sz w:val="20"/>
          <w:szCs w:val="20"/>
          <w:lang w:val="fr-CA"/>
        </w:rPr>
      </w:pPr>
    </w:p>
    <w:p w:rsidR="0071080B" w:rsidRPr="0071080B" w:rsidRDefault="0071080B" w:rsidP="0071080B">
      <w:pPr>
        <w:tabs>
          <w:tab w:val="left" w:pos="-1440"/>
          <w:tab w:val="left" w:pos="-720"/>
        </w:tabs>
        <w:jc w:val="both"/>
        <w:rPr>
          <w:sz w:val="20"/>
          <w:szCs w:val="20"/>
          <w:lang w:val="fr-CA"/>
        </w:rPr>
      </w:pPr>
    </w:p>
    <w:p w:rsidR="0071080B" w:rsidRPr="0071080B" w:rsidRDefault="0071080B" w:rsidP="0071080B">
      <w:pPr>
        <w:spacing w:line="233" w:lineRule="auto"/>
        <w:jc w:val="both"/>
        <w:rPr>
          <w:sz w:val="20"/>
          <w:szCs w:val="20"/>
        </w:rPr>
      </w:pPr>
      <w:r w:rsidRPr="0071080B">
        <w:rPr>
          <w:b/>
          <w:bCs/>
          <w:sz w:val="20"/>
          <w:szCs w:val="20"/>
        </w:rPr>
        <w:t xml:space="preserve">UPON APPLICATION </w:t>
      </w:r>
      <w:r w:rsidRPr="0071080B">
        <w:rPr>
          <w:bCs/>
          <w:sz w:val="20"/>
          <w:szCs w:val="20"/>
        </w:rPr>
        <w:t xml:space="preserve">by the respondent under Rule 32(2) of the </w:t>
      </w:r>
      <w:r w:rsidRPr="0071080B">
        <w:rPr>
          <w:bCs/>
          <w:i/>
          <w:sz w:val="20"/>
          <w:szCs w:val="20"/>
        </w:rPr>
        <w:t>Rules of the Supreme Court of Canada</w:t>
      </w:r>
      <w:r w:rsidRPr="0071080B">
        <w:rPr>
          <w:bCs/>
          <w:sz w:val="20"/>
          <w:szCs w:val="20"/>
        </w:rPr>
        <w:t xml:space="preserve"> for permission to file a response to the application for leave to appeal</w:t>
      </w:r>
      <w:r w:rsidRPr="0071080B">
        <w:rPr>
          <w:sz w:val="20"/>
          <w:szCs w:val="20"/>
        </w:rPr>
        <w:t>;</w:t>
      </w:r>
    </w:p>
    <w:p w:rsidR="0071080B" w:rsidRPr="0071080B" w:rsidRDefault="0071080B" w:rsidP="0071080B">
      <w:pPr>
        <w:spacing w:line="233" w:lineRule="auto"/>
        <w:jc w:val="both"/>
        <w:rPr>
          <w:sz w:val="20"/>
          <w:szCs w:val="20"/>
        </w:rPr>
      </w:pPr>
    </w:p>
    <w:p w:rsidR="0071080B" w:rsidRPr="0071080B" w:rsidRDefault="0071080B" w:rsidP="0071080B">
      <w:pPr>
        <w:spacing w:line="233" w:lineRule="auto"/>
        <w:jc w:val="both"/>
        <w:rPr>
          <w:sz w:val="20"/>
          <w:szCs w:val="20"/>
        </w:rPr>
      </w:pPr>
      <w:r w:rsidRPr="0071080B">
        <w:rPr>
          <w:b/>
          <w:sz w:val="20"/>
          <w:szCs w:val="20"/>
        </w:rPr>
        <w:t>AND UPON APPLICATION</w:t>
      </w:r>
      <w:r w:rsidRPr="0071080B">
        <w:rPr>
          <w:sz w:val="20"/>
          <w:szCs w:val="20"/>
        </w:rPr>
        <w:t xml:space="preserve"> </w:t>
      </w:r>
      <w:r w:rsidRPr="0071080B">
        <w:rPr>
          <w:bCs/>
          <w:sz w:val="20"/>
          <w:szCs w:val="20"/>
        </w:rPr>
        <w:t>by the respondent for an order extending the time within which to file and serve the response to the application for leave to appeal;</w:t>
      </w:r>
      <w:r w:rsidRPr="0071080B">
        <w:rPr>
          <w:sz w:val="20"/>
          <w:szCs w:val="20"/>
        </w:rPr>
        <w:t xml:space="preserve"> </w:t>
      </w:r>
    </w:p>
    <w:p w:rsidR="0071080B" w:rsidRPr="0071080B" w:rsidRDefault="0071080B" w:rsidP="0071080B">
      <w:pPr>
        <w:spacing w:line="233" w:lineRule="auto"/>
        <w:jc w:val="both"/>
        <w:rPr>
          <w:sz w:val="20"/>
          <w:szCs w:val="20"/>
        </w:rPr>
      </w:pPr>
    </w:p>
    <w:p w:rsidR="0071080B" w:rsidRPr="0071080B" w:rsidRDefault="0071080B" w:rsidP="0071080B">
      <w:pPr>
        <w:spacing w:line="233" w:lineRule="auto"/>
        <w:jc w:val="both"/>
        <w:rPr>
          <w:sz w:val="20"/>
          <w:szCs w:val="20"/>
        </w:rPr>
      </w:pPr>
      <w:r w:rsidRPr="0071080B">
        <w:rPr>
          <w:b/>
          <w:bCs/>
          <w:sz w:val="20"/>
          <w:szCs w:val="20"/>
        </w:rPr>
        <w:t xml:space="preserve">AND THE MATERIAL FILED </w:t>
      </w:r>
      <w:r w:rsidRPr="0071080B">
        <w:rPr>
          <w:bCs/>
          <w:sz w:val="20"/>
          <w:szCs w:val="20"/>
        </w:rPr>
        <w:t>having been read</w:t>
      </w:r>
      <w:r w:rsidRPr="0071080B">
        <w:rPr>
          <w:sz w:val="20"/>
          <w:szCs w:val="20"/>
        </w:rPr>
        <w:t>;</w:t>
      </w:r>
    </w:p>
    <w:p w:rsidR="0071080B" w:rsidRPr="0071080B" w:rsidRDefault="0071080B" w:rsidP="0071080B">
      <w:pPr>
        <w:spacing w:line="233" w:lineRule="auto"/>
        <w:jc w:val="both"/>
        <w:rPr>
          <w:sz w:val="20"/>
          <w:szCs w:val="20"/>
        </w:rPr>
      </w:pPr>
    </w:p>
    <w:p w:rsidR="0071080B" w:rsidRPr="0071080B" w:rsidRDefault="0071080B" w:rsidP="0071080B">
      <w:pPr>
        <w:spacing w:line="233" w:lineRule="auto"/>
        <w:jc w:val="both"/>
        <w:rPr>
          <w:sz w:val="20"/>
          <w:szCs w:val="20"/>
        </w:rPr>
      </w:pPr>
      <w:r w:rsidRPr="0071080B">
        <w:rPr>
          <w:b/>
          <w:bCs/>
          <w:sz w:val="20"/>
          <w:szCs w:val="20"/>
        </w:rPr>
        <w:t>IT IS HEREBY ORDERED THAT:</w:t>
      </w:r>
    </w:p>
    <w:p w:rsidR="0071080B" w:rsidRPr="0071080B" w:rsidRDefault="0071080B" w:rsidP="0071080B">
      <w:pPr>
        <w:spacing w:line="233" w:lineRule="auto"/>
        <w:jc w:val="both"/>
        <w:rPr>
          <w:sz w:val="20"/>
          <w:szCs w:val="20"/>
        </w:rPr>
      </w:pPr>
    </w:p>
    <w:p w:rsidR="0071080B" w:rsidRPr="0071080B" w:rsidRDefault="0071080B" w:rsidP="0071080B">
      <w:pPr>
        <w:pStyle w:val="ListParagraph"/>
        <w:widowControl w:val="0"/>
        <w:numPr>
          <w:ilvl w:val="0"/>
          <w:numId w:val="13"/>
        </w:numPr>
        <w:autoSpaceDE w:val="0"/>
        <w:autoSpaceDN w:val="0"/>
        <w:adjustRightInd w:val="0"/>
        <w:spacing w:line="233" w:lineRule="auto"/>
        <w:jc w:val="both"/>
        <w:rPr>
          <w:rFonts w:cs="Times New Roman"/>
          <w:sz w:val="20"/>
          <w:szCs w:val="20"/>
        </w:rPr>
      </w:pPr>
      <w:r w:rsidRPr="0071080B">
        <w:rPr>
          <w:rFonts w:cs="Times New Roman"/>
          <w:sz w:val="20"/>
          <w:szCs w:val="20"/>
        </w:rPr>
        <w:t xml:space="preserve">The motion for </w:t>
      </w:r>
      <w:r w:rsidRPr="0071080B">
        <w:rPr>
          <w:rFonts w:cs="Times New Roman"/>
          <w:bCs/>
          <w:sz w:val="20"/>
          <w:szCs w:val="20"/>
        </w:rPr>
        <w:t>permission to file a response to the application for leave to appeal is granted</w:t>
      </w:r>
      <w:r w:rsidRPr="0071080B">
        <w:rPr>
          <w:rFonts w:cs="Times New Roman"/>
          <w:sz w:val="20"/>
          <w:szCs w:val="20"/>
        </w:rPr>
        <w:t>; and</w:t>
      </w:r>
    </w:p>
    <w:p w:rsidR="0071080B" w:rsidRPr="0071080B" w:rsidRDefault="0071080B" w:rsidP="0071080B">
      <w:pPr>
        <w:spacing w:line="233" w:lineRule="auto"/>
        <w:jc w:val="both"/>
        <w:rPr>
          <w:sz w:val="20"/>
          <w:szCs w:val="20"/>
        </w:rPr>
      </w:pPr>
    </w:p>
    <w:p w:rsidR="0071080B" w:rsidRPr="0071080B" w:rsidRDefault="0071080B" w:rsidP="0071080B">
      <w:pPr>
        <w:pStyle w:val="ListParagraph"/>
        <w:widowControl w:val="0"/>
        <w:numPr>
          <w:ilvl w:val="0"/>
          <w:numId w:val="13"/>
        </w:numPr>
        <w:autoSpaceDE w:val="0"/>
        <w:autoSpaceDN w:val="0"/>
        <w:adjustRightInd w:val="0"/>
        <w:spacing w:line="233" w:lineRule="auto"/>
        <w:jc w:val="both"/>
        <w:rPr>
          <w:rFonts w:cs="Times New Roman"/>
          <w:sz w:val="20"/>
          <w:szCs w:val="20"/>
        </w:rPr>
      </w:pPr>
      <w:r w:rsidRPr="0071080B">
        <w:rPr>
          <w:rFonts w:cs="Times New Roman"/>
          <w:sz w:val="20"/>
          <w:szCs w:val="20"/>
        </w:rPr>
        <w:t xml:space="preserve">The motion for an extension of time, </w:t>
      </w:r>
      <w:r w:rsidRPr="0071080B">
        <w:rPr>
          <w:rFonts w:cs="Times New Roman"/>
          <w:bCs/>
          <w:sz w:val="20"/>
          <w:szCs w:val="20"/>
        </w:rPr>
        <w:t xml:space="preserve">the response to the application for leave to appeal and the reply to the response to the application shall be </w:t>
      </w:r>
      <w:r w:rsidRPr="0071080B">
        <w:rPr>
          <w:rFonts w:cs="Times New Roman"/>
          <w:sz w:val="20"/>
          <w:szCs w:val="20"/>
        </w:rPr>
        <w:t>submitted to the leave panel.</w:t>
      </w:r>
    </w:p>
    <w:p w:rsidR="0071080B" w:rsidRPr="0071080B" w:rsidRDefault="0071080B" w:rsidP="0071080B">
      <w:pPr>
        <w:tabs>
          <w:tab w:val="left" w:pos="-1440"/>
          <w:tab w:val="left" w:pos="-720"/>
        </w:tabs>
        <w:jc w:val="both"/>
        <w:rPr>
          <w:sz w:val="20"/>
          <w:szCs w:val="20"/>
        </w:rPr>
      </w:pPr>
    </w:p>
    <w:p w:rsidR="0071080B" w:rsidRPr="0071080B" w:rsidRDefault="00D75D0F" w:rsidP="0071080B">
      <w:pPr>
        <w:tabs>
          <w:tab w:val="left" w:pos="-1440"/>
          <w:tab w:val="left" w:pos="-720"/>
        </w:tabs>
        <w:jc w:val="both"/>
        <w:rPr>
          <w:sz w:val="20"/>
          <w:szCs w:val="20"/>
        </w:rPr>
      </w:pPr>
      <w:r>
        <w:rPr>
          <w:sz w:val="20"/>
          <w:szCs w:val="20"/>
          <w:lang w:val="fr-CA"/>
        </w:rPr>
        <w:pict>
          <v:rect id="_x0000_i1053" style="width:2in;height:1pt" o:hrpct="0" o:hralign="center" o:hrstd="t" o:hrnoshade="t" o:hr="t" fillcolor="black [3213]" stroked="f"/>
        </w:pict>
      </w:r>
    </w:p>
    <w:p w:rsidR="0071080B" w:rsidRPr="0071080B" w:rsidRDefault="0071080B" w:rsidP="0071080B">
      <w:pPr>
        <w:rPr>
          <w:sz w:val="20"/>
          <w:szCs w:val="20"/>
        </w:rPr>
      </w:pPr>
    </w:p>
    <w:p w:rsidR="0071080B" w:rsidRPr="0071080B" w:rsidRDefault="0071080B" w:rsidP="0071080B">
      <w:pPr>
        <w:rPr>
          <w:sz w:val="20"/>
          <w:szCs w:val="20"/>
        </w:rPr>
      </w:pPr>
      <w:r w:rsidRPr="0071080B">
        <w:rPr>
          <w:sz w:val="20"/>
          <w:szCs w:val="20"/>
        </w:rPr>
        <w:br w:type="page"/>
      </w:r>
    </w:p>
    <w:p w:rsidR="0071080B" w:rsidRPr="0071080B" w:rsidRDefault="0071080B" w:rsidP="0071080B">
      <w:pPr>
        <w:rPr>
          <w:sz w:val="20"/>
          <w:szCs w:val="20"/>
          <w:lang w:val="fr-CA"/>
        </w:rPr>
      </w:pPr>
      <w:r w:rsidRPr="0071080B">
        <w:rPr>
          <w:sz w:val="20"/>
          <w:szCs w:val="20"/>
          <w:lang w:val="fr-CA"/>
        </w:rPr>
        <w:t>20.04.2016</w:t>
      </w:r>
    </w:p>
    <w:p w:rsidR="0071080B" w:rsidRPr="0071080B" w:rsidRDefault="0071080B" w:rsidP="0071080B">
      <w:pPr>
        <w:rPr>
          <w:sz w:val="20"/>
          <w:szCs w:val="20"/>
          <w:lang w:val="fr-CA"/>
        </w:rPr>
      </w:pPr>
    </w:p>
    <w:p w:rsidR="0071080B" w:rsidRPr="0071080B" w:rsidRDefault="0071080B" w:rsidP="0071080B">
      <w:pPr>
        <w:tabs>
          <w:tab w:val="left" w:pos="-1440"/>
          <w:tab w:val="left" w:pos="-720"/>
        </w:tabs>
        <w:jc w:val="both"/>
        <w:rPr>
          <w:sz w:val="20"/>
          <w:szCs w:val="20"/>
          <w:lang w:val="fr-CA"/>
        </w:rPr>
      </w:pPr>
      <w:r w:rsidRPr="0071080B">
        <w:rPr>
          <w:sz w:val="20"/>
          <w:szCs w:val="20"/>
          <w:lang w:val="fr-CA"/>
        </w:rPr>
        <w:t>Before / Devant :   MOLDAVER J. / LE JUGE MOLDAVER</w:t>
      </w:r>
    </w:p>
    <w:p w:rsidR="0071080B" w:rsidRPr="0071080B" w:rsidRDefault="0071080B" w:rsidP="0071080B">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1142"/>
        <w:gridCol w:w="4235"/>
      </w:tblGrid>
      <w:tr w:rsidR="0071080B" w:rsidRPr="00D75D0F" w:rsidTr="00852768">
        <w:trPr>
          <w:trHeight w:val="151"/>
        </w:trPr>
        <w:tc>
          <w:tcPr>
            <w:tcW w:w="4338" w:type="dxa"/>
          </w:tcPr>
          <w:p w:rsidR="0071080B" w:rsidRPr="0071080B" w:rsidRDefault="0071080B" w:rsidP="00852768">
            <w:pPr>
              <w:tabs>
                <w:tab w:val="left" w:pos="-1440"/>
                <w:tab w:val="left" w:pos="-720"/>
              </w:tabs>
              <w:jc w:val="both"/>
              <w:rPr>
                <w:sz w:val="20"/>
                <w:szCs w:val="20"/>
              </w:rPr>
            </w:pPr>
            <w:r w:rsidRPr="0071080B">
              <w:rPr>
                <w:b/>
                <w:bCs/>
                <w:color w:val="000000"/>
                <w:sz w:val="20"/>
                <w:szCs w:val="20"/>
                <w:lang w:val="en-GB"/>
              </w:rPr>
              <w:t>Motion to extend time</w:t>
            </w:r>
            <w:r w:rsidRPr="0071080B">
              <w:rPr>
                <w:sz w:val="20"/>
                <w:szCs w:val="20"/>
              </w:rPr>
              <w:t xml:space="preserve"> </w:t>
            </w:r>
            <w:r w:rsidRPr="0071080B">
              <w:rPr>
                <w:sz w:val="20"/>
                <w:szCs w:val="20"/>
              </w:rPr>
              <w:fldChar w:fldCharType="begin"/>
            </w:r>
            <w:r w:rsidRPr="0071080B">
              <w:rPr>
                <w:sz w:val="20"/>
                <w:szCs w:val="20"/>
              </w:rPr>
              <w:instrText xml:space="preserve"> SEQ CHAPTER \h \r 1</w:instrText>
            </w:r>
            <w:r w:rsidRPr="0071080B">
              <w:rPr>
                <w:sz w:val="20"/>
                <w:szCs w:val="20"/>
              </w:rPr>
              <w:fldChar w:fldCharType="end"/>
            </w:r>
          </w:p>
        </w:tc>
        <w:tc>
          <w:tcPr>
            <w:tcW w:w="1170" w:type="dxa"/>
          </w:tcPr>
          <w:p w:rsidR="0071080B" w:rsidRPr="0071080B" w:rsidRDefault="0071080B" w:rsidP="00852768">
            <w:pPr>
              <w:jc w:val="both"/>
              <w:rPr>
                <w:sz w:val="20"/>
                <w:szCs w:val="20"/>
              </w:rPr>
            </w:pPr>
          </w:p>
          <w:p w:rsidR="0071080B" w:rsidRPr="0071080B" w:rsidRDefault="0071080B" w:rsidP="00852768">
            <w:pPr>
              <w:jc w:val="both"/>
              <w:rPr>
                <w:sz w:val="20"/>
                <w:szCs w:val="20"/>
              </w:rPr>
            </w:pPr>
          </w:p>
        </w:tc>
        <w:tc>
          <w:tcPr>
            <w:tcW w:w="4327" w:type="dxa"/>
          </w:tcPr>
          <w:p w:rsidR="0071080B" w:rsidRPr="0071080B" w:rsidRDefault="0071080B" w:rsidP="00852768">
            <w:pPr>
              <w:jc w:val="both"/>
              <w:rPr>
                <w:b/>
                <w:sz w:val="20"/>
                <w:szCs w:val="20"/>
                <w:lang w:val="fr-CA"/>
              </w:rPr>
            </w:pPr>
            <w:r w:rsidRPr="0071080B">
              <w:rPr>
                <w:b/>
                <w:bCs/>
                <w:color w:val="000000"/>
                <w:sz w:val="20"/>
                <w:szCs w:val="20"/>
                <w:lang w:val="fr-CA"/>
              </w:rPr>
              <w:t>Requête en prorogation de délai</w:t>
            </w:r>
            <w:r w:rsidRPr="0071080B">
              <w:rPr>
                <w:b/>
                <w:sz w:val="20"/>
                <w:szCs w:val="20"/>
                <w:lang w:val="fr-CA"/>
              </w:rPr>
              <w:t xml:space="preserve"> </w:t>
            </w:r>
            <w:r w:rsidRPr="0071080B">
              <w:rPr>
                <w:b/>
                <w:sz w:val="20"/>
                <w:szCs w:val="20"/>
              </w:rPr>
              <w:fldChar w:fldCharType="begin"/>
            </w:r>
            <w:r w:rsidRPr="0071080B">
              <w:rPr>
                <w:b/>
                <w:sz w:val="20"/>
                <w:szCs w:val="20"/>
                <w:lang w:val="fr-CA"/>
              </w:rPr>
              <w:instrText xml:space="preserve"> SEQ CHAPTER \h \r 1</w:instrText>
            </w:r>
            <w:r w:rsidRPr="0071080B">
              <w:rPr>
                <w:b/>
                <w:sz w:val="20"/>
                <w:szCs w:val="20"/>
              </w:rPr>
              <w:fldChar w:fldCharType="end"/>
            </w:r>
            <w:r w:rsidRPr="0071080B">
              <w:rPr>
                <w:b/>
                <w:sz w:val="20"/>
                <w:szCs w:val="20"/>
              </w:rPr>
              <w:fldChar w:fldCharType="begin"/>
            </w:r>
            <w:r w:rsidRPr="0071080B">
              <w:rPr>
                <w:b/>
                <w:sz w:val="20"/>
                <w:szCs w:val="20"/>
                <w:lang w:val="fr-CA"/>
              </w:rPr>
              <w:instrText xml:space="preserve"> SEQ CHAPTER \h \r 1</w:instrText>
            </w:r>
            <w:r w:rsidRPr="0071080B">
              <w:rPr>
                <w:b/>
                <w:sz w:val="20"/>
                <w:szCs w:val="20"/>
              </w:rPr>
              <w:fldChar w:fldCharType="end"/>
            </w:r>
          </w:p>
        </w:tc>
      </w:tr>
      <w:tr w:rsidR="0071080B" w:rsidRPr="0071080B" w:rsidTr="00852768">
        <w:trPr>
          <w:trHeight w:val="150"/>
        </w:trPr>
        <w:tc>
          <w:tcPr>
            <w:tcW w:w="4338" w:type="dxa"/>
          </w:tcPr>
          <w:p w:rsidR="0071080B" w:rsidRPr="0071080B" w:rsidRDefault="0071080B" w:rsidP="00852768">
            <w:pPr>
              <w:tabs>
                <w:tab w:val="left" w:pos="-1440"/>
                <w:tab w:val="left" w:pos="-720"/>
              </w:tabs>
              <w:jc w:val="both"/>
              <w:rPr>
                <w:sz w:val="20"/>
                <w:szCs w:val="20"/>
              </w:rPr>
            </w:pPr>
            <w:r w:rsidRPr="0071080B">
              <w:rPr>
                <w:sz w:val="20"/>
                <w:szCs w:val="20"/>
              </w:rPr>
              <w:t>Slawomir Poplawski</w:t>
            </w:r>
          </w:p>
          <w:p w:rsidR="0071080B" w:rsidRPr="0071080B" w:rsidRDefault="0071080B" w:rsidP="00852768">
            <w:pPr>
              <w:tabs>
                <w:tab w:val="left" w:pos="-1440"/>
                <w:tab w:val="left" w:pos="-720"/>
              </w:tabs>
              <w:jc w:val="both"/>
              <w:rPr>
                <w:sz w:val="20"/>
                <w:szCs w:val="20"/>
              </w:rPr>
            </w:pPr>
          </w:p>
          <w:p w:rsidR="0071080B" w:rsidRPr="0071080B" w:rsidRDefault="0071080B" w:rsidP="00852768">
            <w:pPr>
              <w:tabs>
                <w:tab w:val="left" w:pos="-1440"/>
                <w:tab w:val="left" w:pos="-720"/>
              </w:tabs>
              <w:jc w:val="both"/>
              <w:rPr>
                <w:sz w:val="20"/>
                <w:szCs w:val="20"/>
              </w:rPr>
            </w:pPr>
            <w:r w:rsidRPr="0071080B">
              <w:rPr>
                <w:sz w:val="20"/>
                <w:szCs w:val="20"/>
              </w:rPr>
              <w:tab/>
              <w:t>v. (36749)</w:t>
            </w:r>
          </w:p>
          <w:p w:rsidR="0071080B" w:rsidRPr="0071080B" w:rsidRDefault="0071080B" w:rsidP="00852768">
            <w:pPr>
              <w:tabs>
                <w:tab w:val="left" w:pos="-1440"/>
                <w:tab w:val="left" w:pos="-720"/>
              </w:tabs>
              <w:jc w:val="both"/>
              <w:rPr>
                <w:sz w:val="20"/>
                <w:szCs w:val="20"/>
              </w:rPr>
            </w:pPr>
          </w:p>
          <w:p w:rsidR="0071080B" w:rsidRPr="0071080B" w:rsidRDefault="0071080B" w:rsidP="00852768">
            <w:pPr>
              <w:tabs>
                <w:tab w:val="left" w:pos="-1440"/>
                <w:tab w:val="left" w:pos="-720"/>
              </w:tabs>
              <w:jc w:val="both"/>
              <w:rPr>
                <w:sz w:val="20"/>
                <w:szCs w:val="20"/>
              </w:rPr>
            </w:pPr>
            <w:r w:rsidRPr="0071080B">
              <w:rPr>
                <w:sz w:val="20"/>
                <w:szCs w:val="20"/>
              </w:rPr>
              <w:t>McGill University (Que.)</w:t>
            </w:r>
          </w:p>
        </w:tc>
        <w:tc>
          <w:tcPr>
            <w:tcW w:w="1170" w:type="dxa"/>
          </w:tcPr>
          <w:p w:rsidR="0071080B" w:rsidRPr="0071080B" w:rsidRDefault="0071080B" w:rsidP="00852768">
            <w:pPr>
              <w:jc w:val="both"/>
              <w:rPr>
                <w:sz w:val="20"/>
                <w:szCs w:val="20"/>
              </w:rPr>
            </w:pPr>
          </w:p>
        </w:tc>
        <w:tc>
          <w:tcPr>
            <w:tcW w:w="4327" w:type="dxa"/>
          </w:tcPr>
          <w:p w:rsidR="0071080B" w:rsidRPr="0071080B" w:rsidRDefault="0071080B" w:rsidP="00852768">
            <w:pPr>
              <w:jc w:val="both"/>
              <w:rPr>
                <w:sz w:val="20"/>
                <w:szCs w:val="20"/>
              </w:rPr>
            </w:pPr>
          </w:p>
        </w:tc>
      </w:tr>
    </w:tbl>
    <w:p w:rsidR="0071080B" w:rsidRPr="0071080B" w:rsidRDefault="0071080B" w:rsidP="0071080B">
      <w:pPr>
        <w:rPr>
          <w:sz w:val="20"/>
          <w:szCs w:val="20"/>
        </w:rPr>
      </w:pPr>
    </w:p>
    <w:p w:rsidR="0071080B" w:rsidRPr="0071080B" w:rsidRDefault="0071080B" w:rsidP="0071080B">
      <w:pPr>
        <w:tabs>
          <w:tab w:val="left" w:pos="-1440"/>
          <w:tab w:val="left" w:pos="-720"/>
        </w:tabs>
        <w:jc w:val="both"/>
        <w:rPr>
          <w:sz w:val="20"/>
          <w:szCs w:val="20"/>
        </w:rPr>
      </w:pPr>
      <w:r w:rsidRPr="0071080B">
        <w:rPr>
          <w:b/>
          <w:sz w:val="20"/>
          <w:szCs w:val="20"/>
        </w:rPr>
        <w:t>DISMISSED / REJETÉE</w:t>
      </w:r>
    </w:p>
    <w:p w:rsidR="0071080B" w:rsidRPr="0071080B" w:rsidRDefault="0071080B" w:rsidP="0071080B">
      <w:pPr>
        <w:rPr>
          <w:sz w:val="20"/>
          <w:szCs w:val="20"/>
        </w:rPr>
      </w:pPr>
    </w:p>
    <w:p w:rsidR="0071080B" w:rsidRPr="0071080B" w:rsidRDefault="0071080B" w:rsidP="0071080B">
      <w:pPr>
        <w:spacing w:line="233" w:lineRule="auto"/>
        <w:jc w:val="both"/>
        <w:rPr>
          <w:sz w:val="20"/>
          <w:szCs w:val="20"/>
        </w:rPr>
      </w:pPr>
      <w:r w:rsidRPr="0071080B">
        <w:rPr>
          <w:b/>
          <w:sz w:val="20"/>
          <w:szCs w:val="20"/>
        </w:rPr>
        <w:t>UPON APPLICATION</w:t>
      </w:r>
      <w:r w:rsidRPr="0071080B">
        <w:rPr>
          <w:sz w:val="20"/>
          <w:szCs w:val="20"/>
        </w:rPr>
        <w:t xml:space="preserve"> by the applicant for an additional order extending the time to serve and file his reply to the respondent’s response until the end of day on Friday, April 22, 2016;</w:t>
      </w:r>
    </w:p>
    <w:p w:rsidR="0071080B" w:rsidRPr="0071080B" w:rsidRDefault="0071080B" w:rsidP="0071080B">
      <w:pPr>
        <w:spacing w:line="233" w:lineRule="auto"/>
        <w:jc w:val="both"/>
        <w:rPr>
          <w:sz w:val="20"/>
          <w:szCs w:val="20"/>
        </w:rPr>
      </w:pPr>
    </w:p>
    <w:p w:rsidR="0071080B" w:rsidRPr="0071080B" w:rsidRDefault="0071080B" w:rsidP="0071080B">
      <w:pPr>
        <w:spacing w:line="233" w:lineRule="auto"/>
        <w:jc w:val="both"/>
        <w:rPr>
          <w:sz w:val="20"/>
          <w:szCs w:val="20"/>
        </w:rPr>
      </w:pPr>
      <w:r w:rsidRPr="0071080B">
        <w:rPr>
          <w:b/>
          <w:bCs/>
          <w:sz w:val="20"/>
          <w:szCs w:val="20"/>
        </w:rPr>
        <w:t>AND THE MATERIAL FILED</w:t>
      </w:r>
      <w:r w:rsidRPr="0071080B">
        <w:rPr>
          <w:sz w:val="20"/>
          <w:szCs w:val="20"/>
        </w:rPr>
        <w:t xml:space="preserve"> having been read;</w:t>
      </w:r>
    </w:p>
    <w:p w:rsidR="0071080B" w:rsidRPr="0071080B" w:rsidRDefault="0071080B" w:rsidP="0071080B">
      <w:pPr>
        <w:spacing w:line="233" w:lineRule="auto"/>
        <w:jc w:val="both"/>
        <w:rPr>
          <w:sz w:val="20"/>
          <w:szCs w:val="20"/>
        </w:rPr>
      </w:pPr>
    </w:p>
    <w:p w:rsidR="0071080B" w:rsidRPr="0071080B" w:rsidRDefault="0071080B" w:rsidP="0071080B">
      <w:pPr>
        <w:spacing w:line="233" w:lineRule="auto"/>
        <w:jc w:val="both"/>
        <w:rPr>
          <w:b/>
          <w:bCs/>
          <w:sz w:val="20"/>
          <w:szCs w:val="20"/>
        </w:rPr>
      </w:pPr>
      <w:r w:rsidRPr="0071080B">
        <w:rPr>
          <w:b/>
          <w:bCs/>
          <w:sz w:val="20"/>
          <w:szCs w:val="20"/>
        </w:rPr>
        <w:t>IT IS HEREBY ORDERED THAT:</w:t>
      </w:r>
    </w:p>
    <w:p w:rsidR="0071080B" w:rsidRPr="0071080B" w:rsidRDefault="0071080B" w:rsidP="0071080B">
      <w:pPr>
        <w:spacing w:line="233" w:lineRule="auto"/>
        <w:jc w:val="both"/>
        <w:rPr>
          <w:b/>
          <w:bCs/>
          <w:sz w:val="20"/>
          <w:szCs w:val="20"/>
        </w:rPr>
      </w:pPr>
    </w:p>
    <w:p w:rsidR="0071080B" w:rsidRPr="0071080B" w:rsidRDefault="0071080B" w:rsidP="0071080B">
      <w:pPr>
        <w:jc w:val="both"/>
        <w:rPr>
          <w:sz w:val="20"/>
          <w:szCs w:val="20"/>
          <w:lang w:val="fr-CA"/>
        </w:rPr>
      </w:pPr>
      <w:r w:rsidRPr="0071080B">
        <w:rPr>
          <w:sz w:val="20"/>
          <w:szCs w:val="20"/>
          <w:lang w:val="fr-CA"/>
        </w:rPr>
        <w:t>The motion is dismissed. </w:t>
      </w:r>
    </w:p>
    <w:p w:rsidR="0071080B" w:rsidRPr="0071080B" w:rsidRDefault="0071080B" w:rsidP="0071080B">
      <w:pPr>
        <w:rPr>
          <w:sz w:val="20"/>
          <w:szCs w:val="20"/>
          <w:lang w:val="fr-CA"/>
        </w:rPr>
      </w:pPr>
    </w:p>
    <w:p w:rsidR="0071080B" w:rsidRPr="0071080B" w:rsidRDefault="0071080B" w:rsidP="0071080B">
      <w:pPr>
        <w:rPr>
          <w:sz w:val="20"/>
          <w:szCs w:val="20"/>
          <w:lang w:val="fr-CA"/>
        </w:rPr>
      </w:pPr>
    </w:p>
    <w:p w:rsidR="0071080B" w:rsidRPr="0071080B" w:rsidRDefault="0071080B" w:rsidP="0071080B">
      <w:pPr>
        <w:rPr>
          <w:sz w:val="20"/>
          <w:szCs w:val="20"/>
          <w:lang w:val="fr-CA"/>
        </w:rPr>
      </w:pPr>
    </w:p>
    <w:p w:rsidR="0071080B" w:rsidRPr="0071080B" w:rsidRDefault="0071080B" w:rsidP="0071080B">
      <w:pPr>
        <w:spacing w:line="233" w:lineRule="auto"/>
        <w:jc w:val="both"/>
        <w:rPr>
          <w:sz w:val="20"/>
          <w:szCs w:val="20"/>
          <w:lang w:val="fr-CA"/>
        </w:rPr>
      </w:pPr>
      <w:r w:rsidRPr="0071080B">
        <w:rPr>
          <w:b/>
          <w:sz w:val="20"/>
          <w:szCs w:val="20"/>
          <w:lang w:val="fr-CA"/>
        </w:rPr>
        <w:t xml:space="preserve">À LA SUITE DE LA DEMANDE </w:t>
      </w:r>
      <w:r w:rsidRPr="0071080B">
        <w:rPr>
          <w:sz w:val="20"/>
          <w:szCs w:val="20"/>
          <w:lang w:val="fr-CA"/>
        </w:rPr>
        <w:t>présentée par l’appelant</w:t>
      </w:r>
      <w:r w:rsidRPr="0071080B">
        <w:rPr>
          <w:b/>
          <w:sz w:val="20"/>
          <w:szCs w:val="20"/>
          <w:lang w:val="fr-CA"/>
        </w:rPr>
        <w:t xml:space="preserve"> </w:t>
      </w:r>
      <w:r w:rsidRPr="0071080B">
        <w:rPr>
          <w:sz w:val="20"/>
          <w:szCs w:val="20"/>
          <w:lang w:val="fr-CA"/>
        </w:rPr>
        <w:t>en vue d’obtenir</w:t>
      </w:r>
      <w:r w:rsidRPr="0071080B">
        <w:rPr>
          <w:b/>
          <w:sz w:val="20"/>
          <w:szCs w:val="20"/>
          <w:lang w:val="fr-CA"/>
        </w:rPr>
        <w:t xml:space="preserve"> </w:t>
      </w:r>
      <w:r w:rsidRPr="0071080B">
        <w:rPr>
          <w:sz w:val="20"/>
          <w:szCs w:val="20"/>
          <w:lang w:val="fr-CA"/>
        </w:rPr>
        <w:t>une ordonnance supplémentaire prorogeant le délai pour signifier et déposer sa réplique à la réponse de l’intimée au vendredi 22 avril 2016 en fin de journée;</w:t>
      </w:r>
    </w:p>
    <w:p w:rsidR="0071080B" w:rsidRPr="0071080B" w:rsidRDefault="0071080B" w:rsidP="0071080B">
      <w:pPr>
        <w:spacing w:line="233" w:lineRule="auto"/>
        <w:jc w:val="both"/>
        <w:rPr>
          <w:sz w:val="20"/>
          <w:szCs w:val="20"/>
          <w:lang w:val="fr-CA"/>
        </w:rPr>
      </w:pPr>
    </w:p>
    <w:p w:rsidR="0071080B" w:rsidRPr="0071080B" w:rsidRDefault="0071080B" w:rsidP="0071080B">
      <w:pPr>
        <w:spacing w:line="233" w:lineRule="auto"/>
        <w:jc w:val="both"/>
        <w:rPr>
          <w:sz w:val="20"/>
          <w:szCs w:val="20"/>
          <w:lang w:val="fr-CA"/>
        </w:rPr>
      </w:pPr>
      <w:r w:rsidRPr="0071080B">
        <w:rPr>
          <w:b/>
          <w:bCs/>
          <w:sz w:val="20"/>
          <w:szCs w:val="20"/>
          <w:lang w:val="fr-CA"/>
        </w:rPr>
        <w:t xml:space="preserve">ET APRÈS EXAMEN </w:t>
      </w:r>
      <w:r w:rsidRPr="0071080B">
        <w:rPr>
          <w:bCs/>
          <w:sz w:val="20"/>
          <w:szCs w:val="20"/>
          <w:lang w:val="fr-CA"/>
        </w:rPr>
        <w:t>des documents déposés</w:t>
      </w:r>
      <w:r w:rsidRPr="0071080B">
        <w:rPr>
          <w:sz w:val="20"/>
          <w:szCs w:val="20"/>
          <w:lang w:val="fr-CA"/>
        </w:rPr>
        <w:t>;</w:t>
      </w:r>
    </w:p>
    <w:p w:rsidR="0071080B" w:rsidRPr="0071080B" w:rsidRDefault="0071080B" w:rsidP="0071080B">
      <w:pPr>
        <w:spacing w:line="233" w:lineRule="auto"/>
        <w:jc w:val="both"/>
        <w:rPr>
          <w:sz w:val="20"/>
          <w:szCs w:val="20"/>
          <w:lang w:val="fr-CA"/>
        </w:rPr>
      </w:pPr>
    </w:p>
    <w:p w:rsidR="0071080B" w:rsidRPr="0071080B" w:rsidRDefault="0071080B" w:rsidP="0071080B">
      <w:pPr>
        <w:spacing w:line="233" w:lineRule="auto"/>
        <w:jc w:val="both"/>
        <w:rPr>
          <w:b/>
          <w:bCs/>
          <w:sz w:val="20"/>
          <w:szCs w:val="20"/>
          <w:lang w:val="fr-CA"/>
        </w:rPr>
      </w:pPr>
      <w:r w:rsidRPr="0071080B">
        <w:rPr>
          <w:b/>
          <w:bCs/>
          <w:sz w:val="20"/>
          <w:szCs w:val="20"/>
          <w:lang w:val="fr-CA"/>
        </w:rPr>
        <w:t>IL EST ORDONNÉ CE QUI SUIT :</w:t>
      </w:r>
    </w:p>
    <w:p w:rsidR="0071080B" w:rsidRPr="0071080B" w:rsidRDefault="0071080B" w:rsidP="0071080B">
      <w:pPr>
        <w:spacing w:line="233" w:lineRule="auto"/>
        <w:jc w:val="both"/>
        <w:rPr>
          <w:b/>
          <w:bCs/>
          <w:sz w:val="20"/>
          <w:szCs w:val="20"/>
          <w:lang w:val="fr-CA"/>
        </w:rPr>
      </w:pPr>
    </w:p>
    <w:p w:rsidR="0071080B" w:rsidRPr="0071080B" w:rsidRDefault="0071080B" w:rsidP="0071080B">
      <w:pPr>
        <w:jc w:val="both"/>
        <w:rPr>
          <w:sz w:val="20"/>
          <w:szCs w:val="20"/>
          <w:lang w:val="fr-CA"/>
        </w:rPr>
      </w:pPr>
      <w:r w:rsidRPr="0071080B">
        <w:rPr>
          <w:sz w:val="20"/>
          <w:szCs w:val="20"/>
          <w:lang w:val="fr-CA"/>
        </w:rPr>
        <w:t>La requête est rejetée.</w:t>
      </w:r>
    </w:p>
    <w:p w:rsidR="0071080B" w:rsidRPr="0071080B" w:rsidRDefault="0071080B" w:rsidP="0071080B">
      <w:pPr>
        <w:rPr>
          <w:sz w:val="20"/>
          <w:szCs w:val="20"/>
        </w:rPr>
      </w:pPr>
    </w:p>
    <w:p w:rsidR="0071080B" w:rsidRPr="0071080B" w:rsidRDefault="00D75D0F" w:rsidP="0071080B">
      <w:pPr>
        <w:rPr>
          <w:sz w:val="20"/>
          <w:szCs w:val="20"/>
        </w:rPr>
      </w:pPr>
      <w:r>
        <w:rPr>
          <w:sz w:val="20"/>
          <w:szCs w:val="20"/>
          <w:lang w:val="fr-CA"/>
        </w:rPr>
        <w:pict>
          <v:rect id="_x0000_i1054" style="width:2in;height:1pt" o:hrpct="0" o:hralign="center" o:hrstd="t" o:hrnoshade="t" o:hr="t" fillcolor="black [3213]" stroked="f"/>
        </w:pict>
      </w:r>
    </w:p>
    <w:p w:rsidR="00CA2DEA" w:rsidRPr="00F44AE7" w:rsidRDefault="00CA2DEA" w:rsidP="0010587F">
      <w:pPr>
        <w:tabs>
          <w:tab w:val="left" w:pos="-1440"/>
          <w:tab w:val="left" w:pos="-720"/>
        </w:tabs>
        <w:jc w:val="both"/>
        <w:rPr>
          <w:rFonts w:eastAsia="Times New Roman" w:cs="Times New Roman"/>
          <w:b/>
          <w:sz w:val="20"/>
          <w:szCs w:val="20"/>
          <w:lang w:val="en-US" w:eastAsia="en-CA"/>
        </w:rPr>
      </w:pPr>
    </w:p>
    <w:p w:rsidR="00B3217D" w:rsidRPr="00F44AE7" w:rsidRDefault="00B3217D" w:rsidP="0010587F">
      <w:pPr>
        <w:tabs>
          <w:tab w:val="left" w:pos="-1440"/>
          <w:tab w:val="left" w:pos="-720"/>
        </w:tabs>
        <w:jc w:val="both"/>
        <w:rPr>
          <w:rFonts w:eastAsia="Times New Roman" w:cs="Times New Roman"/>
          <w:b/>
          <w:sz w:val="20"/>
          <w:szCs w:val="20"/>
          <w:lang w:val="en-US" w:eastAsia="en-CA"/>
        </w:rPr>
      </w:pPr>
    </w:p>
    <w:p w:rsidR="00B3217D" w:rsidRPr="00F44AE7" w:rsidRDefault="00B3217D" w:rsidP="0010587F">
      <w:pPr>
        <w:tabs>
          <w:tab w:val="left" w:pos="-1440"/>
          <w:tab w:val="left" w:pos="-720"/>
        </w:tabs>
        <w:jc w:val="both"/>
        <w:rPr>
          <w:sz w:val="20"/>
          <w:szCs w:val="20"/>
          <w:lang w:val="fr-CA"/>
        </w:rPr>
      </w:pPr>
    </w:p>
    <w:p w:rsidR="00890FEB" w:rsidRPr="00F44AE7"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9"/>
          <w:headerReference w:type="default" r:id="rId40"/>
          <w:footerReference w:type="even" r:id="rId41"/>
          <w:footerReference w:type="default" r:id="rId42"/>
          <w:headerReference w:type="first" r:id="rId43"/>
          <w:footerReference w:type="first" r:id="rId4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D75D0F"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C47C2" w:rsidRPr="00C97437" w:rsidRDefault="00E61934" w:rsidP="007C47C2">
      <w:pPr>
        <w:widowControl w:val="0"/>
        <w:rPr>
          <w:sz w:val="20"/>
          <w:szCs w:val="20"/>
          <w:lang w:val="fr-CA"/>
        </w:rPr>
      </w:pPr>
      <w:r>
        <w:rPr>
          <w:sz w:val="20"/>
          <w:szCs w:val="20"/>
          <w:lang w:val="fr-CA"/>
        </w:rPr>
        <w:t>22.04.2016</w:t>
      </w:r>
    </w:p>
    <w:p w:rsidR="007C47C2" w:rsidRPr="00C97437" w:rsidRDefault="007C47C2" w:rsidP="007C47C2">
      <w:pPr>
        <w:widowControl w:val="0"/>
        <w:rPr>
          <w:sz w:val="20"/>
          <w:szCs w:val="20"/>
          <w:lang w:val="fr-CA"/>
        </w:rPr>
      </w:pPr>
    </w:p>
    <w:p w:rsidR="007C47C2" w:rsidRPr="00E75133" w:rsidRDefault="007C47C2" w:rsidP="007C47C2">
      <w:pPr>
        <w:widowControl w:val="0"/>
        <w:ind w:left="720" w:hanging="720"/>
        <w:rPr>
          <w:sz w:val="20"/>
          <w:szCs w:val="20"/>
          <w:u w:val="single"/>
          <w:lang w:val="fr-CA"/>
        </w:rPr>
      </w:pPr>
      <w:r w:rsidRPr="00E75133">
        <w:rPr>
          <w:sz w:val="20"/>
          <w:szCs w:val="20"/>
          <w:lang w:val="fr-CA"/>
        </w:rPr>
        <w:t xml:space="preserve">Coram: </w:t>
      </w:r>
      <w:r w:rsidRPr="00E75133">
        <w:rPr>
          <w:sz w:val="20"/>
          <w:szCs w:val="20"/>
          <w:lang w:val="fr-CA"/>
        </w:rPr>
        <w:tab/>
      </w:r>
      <w:r w:rsidRPr="00E75133">
        <w:rPr>
          <w:sz w:val="20"/>
          <w:szCs w:val="20"/>
          <w:u w:val="single"/>
          <w:lang w:val="fr-CA"/>
        </w:rPr>
        <w:t xml:space="preserve">La juge en chef McLachlin et les juges Abella, </w:t>
      </w:r>
      <w:r w:rsidR="00E61934">
        <w:rPr>
          <w:sz w:val="20"/>
          <w:szCs w:val="20"/>
          <w:u w:val="single"/>
          <w:lang w:val="fr-CA"/>
        </w:rPr>
        <w:t>Cromwell</w:t>
      </w:r>
      <w:r w:rsidRPr="00E75133">
        <w:rPr>
          <w:sz w:val="20"/>
          <w:szCs w:val="20"/>
          <w:u w:val="single"/>
          <w:lang w:val="fr-CA"/>
        </w:rPr>
        <w:t>, Moldaver, Karakatsanis</w:t>
      </w:r>
      <w:r w:rsidR="00E61934">
        <w:rPr>
          <w:sz w:val="20"/>
          <w:szCs w:val="20"/>
          <w:u w:val="single"/>
          <w:lang w:val="fr-CA"/>
        </w:rPr>
        <w:t>,</w:t>
      </w:r>
      <w:r w:rsidRPr="00E75133">
        <w:rPr>
          <w:sz w:val="20"/>
          <w:szCs w:val="20"/>
          <w:u w:val="single"/>
          <w:lang w:val="fr-CA"/>
        </w:rPr>
        <w:t xml:space="preserve"> Wagner</w:t>
      </w:r>
      <w:r w:rsidR="00E61934">
        <w:rPr>
          <w:sz w:val="20"/>
          <w:szCs w:val="20"/>
          <w:u w:val="single"/>
          <w:lang w:val="fr-CA"/>
        </w:rPr>
        <w:t>, Gascon, Côté et Brown</w:t>
      </w:r>
    </w:p>
    <w:p w:rsidR="007C47C2" w:rsidRPr="00C97437" w:rsidRDefault="007C47C2" w:rsidP="007C47C2">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410"/>
        <w:gridCol w:w="690"/>
        <w:gridCol w:w="4380"/>
      </w:tblGrid>
      <w:tr w:rsidR="007C47C2" w:rsidRPr="001A10F4" w:rsidTr="00E61934">
        <w:tc>
          <w:tcPr>
            <w:tcW w:w="4410" w:type="dxa"/>
            <w:tcMar>
              <w:left w:w="0" w:type="dxa"/>
              <w:right w:w="0" w:type="dxa"/>
            </w:tcMar>
          </w:tcPr>
          <w:p w:rsidR="007C47C2" w:rsidRPr="00E61934" w:rsidRDefault="00E61934" w:rsidP="006820B1">
            <w:pPr>
              <w:widowControl w:val="0"/>
              <w:rPr>
                <w:b/>
                <w:sz w:val="20"/>
                <w:szCs w:val="20"/>
                <w:lang w:val="fr-CA"/>
              </w:rPr>
            </w:pPr>
            <w:r w:rsidRPr="00E61934">
              <w:rPr>
                <w:b/>
                <w:sz w:val="20"/>
                <w:szCs w:val="20"/>
                <w:lang w:val="fr-CA"/>
              </w:rPr>
              <w:t>Jean-François Morasse</w:t>
            </w:r>
          </w:p>
          <w:p w:rsidR="00E61934" w:rsidRPr="00E61934" w:rsidRDefault="00E61934" w:rsidP="006820B1">
            <w:pPr>
              <w:widowControl w:val="0"/>
              <w:rPr>
                <w:b/>
                <w:sz w:val="20"/>
                <w:szCs w:val="20"/>
                <w:lang w:val="fr-CA"/>
              </w:rPr>
            </w:pPr>
          </w:p>
          <w:p w:rsidR="00E61934" w:rsidRPr="00E61934" w:rsidRDefault="00E61934" w:rsidP="006820B1">
            <w:pPr>
              <w:widowControl w:val="0"/>
              <w:rPr>
                <w:b/>
                <w:sz w:val="20"/>
                <w:szCs w:val="20"/>
                <w:lang w:val="fr-CA"/>
              </w:rPr>
            </w:pPr>
            <w:r w:rsidRPr="00E61934">
              <w:rPr>
                <w:b/>
                <w:sz w:val="20"/>
                <w:szCs w:val="20"/>
                <w:lang w:val="fr-CA"/>
              </w:rPr>
              <w:tab/>
              <w:t>c. (36351)</w:t>
            </w:r>
          </w:p>
          <w:p w:rsidR="00E61934" w:rsidRPr="00E61934" w:rsidRDefault="00E61934" w:rsidP="006820B1">
            <w:pPr>
              <w:widowControl w:val="0"/>
              <w:rPr>
                <w:b/>
                <w:sz w:val="20"/>
                <w:szCs w:val="20"/>
                <w:lang w:val="fr-CA"/>
              </w:rPr>
            </w:pPr>
          </w:p>
          <w:p w:rsidR="00E61934" w:rsidRPr="00EA0658" w:rsidRDefault="00E61934" w:rsidP="001A10F4">
            <w:pPr>
              <w:widowControl w:val="0"/>
              <w:rPr>
                <w:sz w:val="20"/>
                <w:szCs w:val="20"/>
                <w:lang w:val="fr-CA"/>
              </w:rPr>
            </w:pPr>
            <w:r w:rsidRPr="00E61934">
              <w:rPr>
                <w:b/>
                <w:sz w:val="20"/>
                <w:szCs w:val="20"/>
                <w:lang w:val="fr-CA"/>
              </w:rPr>
              <w:t>Gabriel Nadeau-Dubois</w:t>
            </w:r>
            <w:r w:rsidR="001A10F4">
              <w:rPr>
                <w:b/>
                <w:sz w:val="20"/>
                <w:szCs w:val="20"/>
                <w:lang w:val="fr-CA"/>
              </w:rPr>
              <w:t xml:space="preserve"> </w:t>
            </w:r>
            <w:r w:rsidRPr="00E61934">
              <w:rPr>
                <w:b/>
                <w:sz w:val="20"/>
                <w:szCs w:val="20"/>
                <w:lang w:val="fr-CA"/>
              </w:rPr>
              <w:t>(Qc) (Civile) (Autorisation)</w:t>
            </w:r>
          </w:p>
        </w:tc>
        <w:tc>
          <w:tcPr>
            <w:tcW w:w="690" w:type="dxa"/>
            <w:tcMar>
              <w:left w:w="0" w:type="dxa"/>
              <w:right w:w="0" w:type="dxa"/>
            </w:tcMar>
          </w:tcPr>
          <w:p w:rsidR="007C47C2" w:rsidRPr="00EA0658" w:rsidRDefault="007C47C2" w:rsidP="006820B1">
            <w:pPr>
              <w:widowControl w:val="0"/>
              <w:jc w:val="center"/>
              <w:rPr>
                <w:sz w:val="20"/>
                <w:szCs w:val="20"/>
                <w:lang w:val="fr-CA"/>
              </w:rPr>
            </w:pPr>
          </w:p>
        </w:tc>
        <w:tc>
          <w:tcPr>
            <w:tcW w:w="4380" w:type="dxa"/>
            <w:tcMar>
              <w:left w:w="0" w:type="dxa"/>
              <w:right w:w="0" w:type="dxa"/>
            </w:tcMar>
          </w:tcPr>
          <w:p w:rsidR="001A10F4" w:rsidRPr="00487F74" w:rsidRDefault="001A10F4" w:rsidP="00D87C9A">
            <w:pPr>
              <w:tabs>
                <w:tab w:val="left" w:pos="-2970"/>
              </w:tabs>
              <w:jc w:val="both"/>
              <w:rPr>
                <w:sz w:val="20"/>
                <w:szCs w:val="20"/>
                <w:lang w:val="fr-CA"/>
              </w:rPr>
            </w:pPr>
            <w:r w:rsidRPr="00487F74">
              <w:rPr>
                <w:sz w:val="20"/>
                <w:szCs w:val="20"/>
                <w:lang w:val="fr-CA"/>
              </w:rPr>
              <w:t>Maxime Roy, Vincent Rochette et Ariane Gagnon-Rocque pour l’appelant.</w:t>
            </w:r>
          </w:p>
          <w:p w:rsidR="001A10F4" w:rsidRPr="00487F74" w:rsidRDefault="001A10F4" w:rsidP="00D87C9A">
            <w:pPr>
              <w:tabs>
                <w:tab w:val="left" w:pos="-2970"/>
              </w:tabs>
              <w:jc w:val="both"/>
              <w:rPr>
                <w:sz w:val="20"/>
                <w:szCs w:val="20"/>
                <w:lang w:val="fr-CA"/>
              </w:rPr>
            </w:pPr>
          </w:p>
          <w:p w:rsidR="001A10F4" w:rsidRPr="00487F74" w:rsidRDefault="001A10F4" w:rsidP="00D87C9A">
            <w:pPr>
              <w:tabs>
                <w:tab w:val="left" w:pos="-2970"/>
              </w:tabs>
              <w:jc w:val="both"/>
              <w:rPr>
                <w:sz w:val="20"/>
                <w:szCs w:val="20"/>
                <w:lang w:val="fr-CA"/>
              </w:rPr>
            </w:pPr>
            <w:r w:rsidRPr="00487F74">
              <w:rPr>
                <w:sz w:val="20"/>
                <w:szCs w:val="20"/>
                <w:lang w:val="fr-CA"/>
              </w:rPr>
              <w:t>Giuseppe Sciortino, Sibel Ataogul et Félix-Antoine Michaud pour l’intimé.</w:t>
            </w:r>
          </w:p>
          <w:p w:rsidR="001A10F4" w:rsidRPr="00487F74" w:rsidRDefault="001A10F4" w:rsidP="00D87C9A">
            <w:pPr>
              <w:jc w:val="both"/>
              <w:rPr>
                <w:sz w:val="20"/>
                <w:szCs w:val="20"/>
                <w:lang w:val="fr-CA"/>
              </w:rPr>
            </w:pPr>
          </w:p>
          <w:p w:rsidR="001A10F4" w:rsidRPr="00487F74" w:rsidRDefault="001A10F4" w:rsidP="00D87C9A">
            <w:pPr>
              <w:tabs>
                <w:tab w:val="left" w:pos="-2970"/>
              </w:tabs>
              <w:jc w:val="both"/>
              <w:rPr>
                <w:sz w:val="20"/>
                <w:szCs w:val="20"/>
                <w:lang w:val="fr-CA"/>
              </w:rPr>
            </w:pPr>
            <w:r w:rsidRPr="00487F74">
              <w:rPr>
                <w:sz w:val="20"/>
                <w:szCs w:val="20"/>
                <w:lang w:val="fr-CA"/>
              </w:rPr>
              <w:t>François Larocque et Maxine Vincelette pour l’intervenant Amnistie Internationale, Section Canada francophone</w:t>
            </w:r>
            <w:r w:rsidR="00B56CC4">
              <w:rPr>
                <w:sz w:val="20"/>
                <w:szCs w:val="20"/>
                <w:lang w:val="fr-CA"/>
              </w:rPr>
              <w:t>.</w:t>
            </w:r>
          </w:p>
          <w:p w:rsidR="001A10F4" w:rsidRPr="00487F74" w:rsidRDefault="001A10F4" w:rsidP="00D87C9A">
            <w:pPr>
              <w:jc w:val="both"/>
              <w:rPr>
                <w:sz w:val="20"/>
                <w:szCs w:val="20"/>
                <w:lang w:val="fr-CA"/>
              </w:rPr>
            </w:pPr>
          </w:p>
          <w:p w:rsidR="001A10F4" w:rsidRPr="00487F74" w:rsidRDefault="001A10F4" w:rsidP="00D87C9A">
            <w:pPr>
              <w:jc w:val="both"/>
              <w:rPr>
                <w:sz w:val="20"/>
                <w:szCs w:val="20"/>
              </w:rPr>
            </w:pPr>
            <w:r w:rsidRPr="00487F74">
              <w:rPr>
                <w:sz w:val="20"/>
                <w:szCs w:val="20"/>
              </w:rPr>
              <w:t>Ranjan K. Agarwal, Faiz M. Lalani</w:t>
            </w:r>
            <w:r w:rsidRPr="00487F74">
              <w:rPr>
                <w:sz w:val="20"/>
                <w:szCs w:val="20"/>
              </w:rPr>
              <w:tab/>
              <w:t xml:space="preserve"> and Avnish Nanda for the intervener Alberta Public Interest Research Group.</w:t>
            </w:r>
          </w:p>
          <w:p w:rsidR="001A10F4" w:rsidRPr="00487F74" w:rsidRDefault="001A10F4" w:rsidP="00D87C9A">
            <w:pPr>
              <w:jc w:val="both"/>
              <w:rPr>
                <w:sz w:val="20"/>
                <w:szCs w:val="20"/>
              </w:rPr>
            </w:pPr>
          </w:p>
          <w:p w:rsidR="001A10F4" w:rsidRPr="00487F74" w:rsidRDefault="001A10F4" w:rsidP="00D87C9A">
            <w:pPr>
              <w:tabs>
                <w:tab w:val="left" w:pos="-2970"/>
              </w:tabs>
              <w:jc w:val="both"/>
              <w:rPr>
                <w:sz w:val="20"/>
                <w:szCs w:val="20"/>
              </w:rPr>
            </w:pPr>
            <w:r w:rsidRPr="00487F74">
              <w:rPr>
                <w:sz w:val="20"/>
                <w:szCs w:val="20"/>
              </w:rPr>
              <w:t>No one appearing for the intervener Canadian Civil Liberties Association (written submissions only)</w:t>
            </w:r>
            <w:r>
              <w:rPr>
                <w:sz w:val="20"/>
                <w:szCs w:val="20"/>
              </w:rPr>
              <w:t>.</w:t>
            </w:r>
          </w:p>
          <w:p w:rsidR="007C47C2" w:rsidRPr="001A10F4" w:rsidRDefault="007C47C2" w:rsidP="006820B1">
            <w:pPr>
              <w:widowControl w:val="0"/>
              <w:jc w:val="both"/>
              <w:rPr>
                <w:sz w:val="20"/>
                <w:szCs w:val="20"/>
              </w:rPr>
            </w:pPr>
          </w:p>
        </w:tc>
      </w:tr>
    </w:tbl>
    <w:p w:rsidR="007C47C2" w:rsidRPr="001A10F4" w:rsidRDefault="007C47C2" w:rsidP="007C47C2">
      <w:pPr>
        <w:widowControl w:val="0"/>
        <w:rPr>
          <w:sz w:val="20"/>
          <w:szCs w:val="20"/>
        </w:rPr>
      </w:pPr>
    </w:p>
    <w:p w:rsidR="007C47C2" w:rsidRPr="0085476B" w:rsidRDefault="007C47C2" w:rsidP="007C47C2">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7C47C2" w:rsidRDefault="007C47C2" w:rsidP="007C47C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D75D0F" w:rsidTr="006820B1">
        <w:tc>
          <w:tcPr>
            <w:tcW w:w="4380" w:type="dxa"/>
            <w:tcMar>
              <w:left w:w="0" w:type="dxa"/>
              <w:right w:w="0" w:type="dxa"/>
            </w:tcMar>
          </w:tcPr>
          <w:p w:rsidR="007C47C2" w:rsidRPr="001A10F4" w:rsidRDefault="007C47C2" w:rsidP="006820B1">
            <w:pPr>
              <w:widowControl w:val="0"/>
              <w:jc w:val="both"/>
              <w:rPr>
                <w:b/>
                <w:sz w:val="20"/>
                <w:szCs w:val="20"/>
                <w:u w:val="single"/>
              </w:rPr>
            </w:pPr>
            <w:r w:rsidRPr="001A10F4">
              <w:rPr>
                <w:b/>
                <w:sz w:val="20"/>
                <w:szCs w:val="20"/>
                <w:u w:val="single"/>
              </w:rPr>
              <w:t>Nature of the case:</w:t>
            </w:r>
          </w:p>
          <w:p w:rsidR="007C47C2" w:rsidRPr="001A10F4" w:rsidRDefault="007C47C2" w:rsidP="006820B1">
            <w:pPr>
              <w:widowControl w:val="0"/>
              <w:jc w:val="both"/>
              <w:rPr>
                <w:b/>
                <w:sz w:val="20"/>
                <w:szCs w:val="20"/>
              </w:rPr>
            </w:pPr>
          </w:p>
          <w:p w:rsidR="007C47C2" w:rsidRPr="001A10F4" w:rsidRDefault="001A10F4" w:rsidP="00D87C9A">
            <w:pPr>
              <w:jc w:val="both"/>
              <w:rPr>
                <w:b/>
                <w:sz w:val="20"/>
                <w:szCs w:val="20"/>
              </w:rPr>
            </w:pPr>
            <w:r w:rsidRPr="001A10F4">
              <w:rPr>
                <w:sz w:val="20"/>
                <w:szCs w:val="20"/>
              </w:rPr>
              <w:t xml:space="preserve">Civil procedure - Contempt of court - Injunction - Knowledge of order - Proof beyond reasonable doubt of knowledge of order and </w:t>
            </w:r>
            <w:r w:rsidRPr="001A10F4">
              <w:rPr>
                <w:i/>
                <w:sz w:val="20"/>
                <w:szCs w:val="20"/>
              </w:rPr>
              <w:t xml:space="preserve">actus reus </w:t>
            </w:r>
            <w:r w:rsidRPr="001A10F4">
              <w:rPr>
                <w:sz w:val="20"/>
                <w:szCs w:val="20"/>
              </w:rPr>
              <w:t xml:space="preserve">- Whether Court of Appeal erred in law in analyzing article 50 </w:t>
            </w:r>
            <w:r w:rsidRPr="001A10F4">
              <w:rPr>
                <w:i/>
                <w:sz w:val="20"/>
                <w:szCs w:val="20"/>
              </w:rPr>
              <w:t>C.C.P.</w:t>
            </w:r>
            <w:r w:rsidRPr="001A10F4">
              <w:rPr>
                <w:sz w:val="20"/>
                <w:szCs w:val="20"/>
              </w:rPr>
              <w:t xml:space="preserve"> - Whether Court of Appeal erred in law in failing to consider contempt of court where person acting in such way as to impair authority of court - Whether Court of Appeal erred in law in allowing defence based on freedom of expression when no constitutional argument to this effect had been made - Whether sentence imposed by trial judge is reasonable - </w:t>
            </w:r>
            <w:r w:rsidRPr="001A10F4">
              <w:rPr>
                <w:i/>
                <w:sz w:val="20"/>
                <w:szCs w:val="20"/>
              </w:rPr>
              <w:t>Code of Civil Procedure</w:t>
            </w:r>
            <w:r w:rsidRPr="001A10F4">
              <w:rPr>
                <w:sz w:val="20"/>
                <w:szCs w:val="20"/>
              </w:rPr>
              <w:t>, CQLR, c. C-25, art. 50.</w:t>
            </w:r>
          </w:p>
        </w:tc>
        <w:tc>
          <w:tcPr>
            <w:tcW w:w="720" w:type="dxa"/>
            <w:tcMar>
              <w:left w:w="0" w:type="dxa"/>
              <w:right w:w="0" w:type="dxa"/>
            </w:tcMar>
          </w:tcPr>
          <w:p w:rsidR="007C47C2" w:rsidRPr="001A10F4" w:rsidRDefault="007C47C2" w:rsidP="006820B1">
            <w:pPr>
              <w:widowControl w:val="0"/>
              <w:jc w:val="center"/>
              <w:rPr>
                <w:sz w:val="20"/>
                <w:szCs w:val="20"/>
              </w:rPr>
            </w:pPr>
          </w:p>
        </w:tc>
        <w:tc>
          <w:tcPr>
            <w:tcW w:w="4380" w:type="dxa"/>
            <w:tcMar>
              <w:left w:w="0" w:type="dxa"/>
              <w:right w:w="0" w:type="dxa"/>
            </w:tcMar>
          </w:tcPr>
          <w:p w:rsidR="007C47C2" w:rsidRPr="001A10F4" w:rsidRDefault="007C47C2" w:rsidP="006820B1">
            <w:pPr>
              <w:widowControl w:val="0"/>
              <w:jc w:val="both"/>
              <w:rPr>
                <w:b/>
                <w:sz w:val="20"/>
                <w:szCs w:val="20"/>
                <w:u w:val="single"/>
                <w:lang w:val="fr-CA"/>
              </w:rPr>
            </w:pPr>
            <w:r w:rsidRPr="001A10F4">
              <w:rPr>
                <w:b/>
                <w:sz w:val="20"/>
                <w:szCs w:val="20"/>
                <w:u w:val="single"/>
                <w:lang w:val="fr-CA"/>
              </w:rPr>
              <w:t>Nature de la cause :</w:t>
            </w:r>
          </w:p>
          <w:p w:rsidR="007C47C2" w:rsidRPr="001A10F4" w:rsidRDefault="007C47C2" w:rsidP="006820B1">
            <w:pPr>
              <w:widowControl w:val="0"/>
              <w:jc w:val="both"/>
              <w:rPr>
                <w:sz w:val="20"/>
                <w:szCs w:val="20"/>
                <w:lang w:val="fr-CA"/>
              </w:rPr>
            </w:pPr>
          </w:p>
          <w:p w:rsidR="007C47C2" w:rsidRDefault="001A10F4" w:rsidP="00D87C9A">
            <w:pPr>
              <w:jc w:val="both"/>
              <w:rPr>
                <w:sz w:val="20"/>
                <w:szCs w:val="20"/>
                <w:lang w:val="fr-CA"/>
              </w:rPr>
            </w:pPr>
            <w:r w:rsidRPr="001A10F4">
              <w:rPr>
                <w:sz w:val="20"/>
                <w:szCs w:val="20"/>
                <w:lang w:val="fr-CA"/>
              </w:rPr>
              <w:t>Procédure civile - Outrage au tribunal - Injonction - Connaissance de l’ordonnance - Preuve hors de tout doute raisonnable de la connaissance de l’ordonnance et de l’</w:t>
            </w:r>
            <w:r w:rsidRPr="001A10F4">
              <w:rPr>
                <w:i/>
                <w:sz w:val="20"/>
                <w:szCs w:val="20"/>
                <w:lang w:val="fr-CA"/>
              </w:rPr>
              <w:t xml:space="preserve">actus reus </w:t>
            </w:r>
            <w:r w:rsidRPr="001A10F4">
              <w:rPr>
                <w:sz w:val="20"/>
                <w:szCs w:val="20"/>
                <w:lang w:val="fr-CA"/>
              </w:rPr>
              <w:t xml:space="preserve">- La Cour d’appel a-t-elle erré en droit dans son analyse de l’article 50 </w:t>
            </w:r>
            <w:r w:rsidRPr="001A10F4">
              <w:rPr>
                <w:i/>
                <w:sz w:val="20"/>
                <w:szCs w:val="20"/>
                <w:lang w:val="fr-CA"/>
              </w:rPr>
              <w:t>C.p.c</w:t>
            </w:r>
            <w:r w:rsidRPr="001A10F4">
              <w:rPr>
                <w:sz w:val="20"/>
                <w:szCs w:val="20"/>
                <w:lang w:val="fr-CA"/>
              </w:rPr>
              <w:t xml:space="preserve">.? - La Cour d’appel a-t-elle erré en droit en en omettant de traiter de l’outrage au tribunal lorsqu’une personne agit de manière à porter atteinte à l’autorité du tribunal? - La Cour d’appel a-t-elle erré en droit en donnant ouverture à un moyen de défense fondé sur la liberté d’expression en l’absence d’argument constitutionnel présenté à cet effet? - La peine par le juge de première instance est-elle raisonnable? - </w:t>
            </w:r>
            <w:r w:rsidRPr="001A10F4">
              <w:rPr>
                <w:i/>
                <w:sz w:val="20"/>
                <w:szCs w:val="20"/>
                <w:lang w:val="fr-CA"/>
              </w:rPr>
              <w:t>Code de procédure civile</w:t>
            </w:r>
            <w:r w:rsidRPr="001A10F4">
              <w:rPr>
                <w:sz w:val="20"/>
                <w:szCs w:val="20"/>
                <w:lang w:val="fr-CA"/>
              </w:rPr>
              <w:t>, RLRQ c. C-25, art. 50.</w:t>
            </w:r>
          </w:p>
          <w:p w:rsidR="00B56CC4" w:rsidRPr="001A10F4" w:rsidRDefault="00B56CC4" w:rsidP="00D87C9A">
            <w:pPr>
              <w:jc w:val="both"/>
              <w:rPr>
                <w:sz w:val="20"/>
                <w:szCs w:val="20"/>
                <w:lang w:val="fr-CA"/>
              </w:rPr>
            </w:pPr>
          </w:p>
        </w:tc>
      </w:tr>
    </w:tbl>
    <w:p w:rsidR="002A27D1" w:rsidRDefault="00D75D0F" w:rsidP="002A27D1">
      <w:pPr>
        <w:widowControl w:val="0"/>
        <w:rPr>
          <w:sz w:val="20"/>
          <w:szCs w:val="20"/>
        </w:rPr>
      </w:pPr>
      <w:r>
        <w:rPr>
          <w:sz w:val="20"/>
          <w:szCs w:val="20"/>
          <w:lang w:val="fr-CA"/>
        </w:rPr>
        <w:pict>
          <v:rect id="_x0000_i1057" style="width:2in;height:1pt" o:hrpct="0" o:hralign="center" o:hrstd="t" o:hrnoshade="t" o:hr="t" fillcolor="black [3213]" stroked="f"/>
        </w:pict>
      </w:r>
    </w:p>
    <w:p w:rsidR="007C47C2" w:rsidRPr="005E31A3" w:rsidRDefault="007C47C2" w:rsidP="007C47C2">
      <w:pPr>
        <w:rPr>
          <w:sz w:val="20"/>
          <w:szCs w:val="20"/>
          <w:lang w:val="fr-CA"/>
        </w:rPr>
      </w:pPr>
    </w:p>
    <w:p w:rsidR="003620F1" w:rsidRDefault="003620F1">
      <w:pPr>
        <w:rPr>
          <w:sz w:val="20"/>
          <w:szCs w:val="20"/>
          <w:lang w:val="fr-CA"/>
        </w:rPr>
      </w:pPr>
      <w:r>
        <w:rPr>
          <w:sz w:val="20"/>
          <w:szCs w:val="20"/>
          <w:lang w:val="fr-CA"/>
        </w:rPr>
        <w:br w:type="page"/>
      </w:r>
    </w:p>
    <w:p w:rsidR="003620F1" w:rsidRPr="008B6D36" w:rsidRDefault="003620F1" w:rsidP="003620F1">
      <w:pPr>
        <w:widowControl w:val="0"/>
        <w:rPr>
          <w:sz w:val="20"/>
          <w:szCs w:val="20"/>
        </w:rPr>
      </w:pPr>
      <w:r w:rsidRPr="008B6D36">
        <w:rPr>
          <w:sz w:val="20"/>
          <w:szCs w:val="20"/>
        </w:rPr>
        <w:t>25.04.2016</w:t>
      </w:r>
    </w:p>
    <w:p w:rsidR="003620F1" w:rsidRPr="008B6D36" w:rsidRDefault="003620F1" w:rsidP="003620F1">
      <w:pPr>
        <w:widowControl w:val="0"/>
        <w:rPr>
          <w:sz w:val="20"/>
          <w:szCs w:val="20"/>
        </w:rPr>
      </w:pPr>
    </w:p>
    <w:p w:rsidR="003620F1" w:rsidRPr="003620F1" w:rsidRDefault="003620F1" w:rsidP="003620F1">
      <w:pPr>
        <w:widowControl w:val="0"/>
        <w:ind w:left="720" w:hanging="720"/>
        <w:rPr>
          <w:sz w:val="20"/>
          <w:szCs w:val="20"/>
          <w:u w:val="single"/>
        </w:rPr>
      </w:pPr>
      <w:r w:rsidRPr="003620F1">
        <w:rPr>
          <w:sz w:val="20"/>
          <w:szCs w:val="20"/>
        </w:rPr>
        <w:t xml:space="preserve">Coram: </w:t>
      </w:r>
      <w:r w:rsidRPr="003620F1">
        <w:rPr>
          <w:sz w:val="20"/>
          <w:szCs w:val="20"/>
        </w:rPr>
        <w:tab/>
      </w:r>
      <w:r w:rsidRPr="003620F1">
        <w:rPr>
          <w:sz w:val="20"/>
          <w:szCs w:val="20"/>
          <w:u w:val="single"/>
        </w:rPr>
        <w:t xml:space="preserve">Chief Justice McLachlin and Abella, Cromwell, Moldaver, Karakatsanis, Wagner, Gascon, Côté </w:t>
      </w:r>
      <w:r>
        <w:rPr>
          <w:sz w:val="20"/>
          <w:szCs w:val="20"/>
          <w:u w:val="single"/>
        </w:rPr>
        <w:t>and</w:t>
      </w:r>
      <w:r w:rsidRPr="003620F1">
        <w:rPr>
          <w:sz w:val="20"/>
          <w:szCs w:val="20"/>
          <w:u w:val="single"/>
        </w:rPr>
        <w:t xml:space="preserve"> Brown</w:t>
      </w:r>
      <w:r>
        <w:rPr>
          <w:sz w:val="20"/>
          <w:szCs w:val="20"/>
          <w:u w:val="single"/>
        </w:rPr>
        <w:t xml:space="preserve"> JJ.</w:t>
      </w:r>
    </w:p>
    <w:p w:rsidR="003620F1" w:rsidRPr="003620F1" w:rsidRDefault="003620F1" w:rsidP="003620F1">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410"/>
        <w:gridCol w:w="690"/>
        <w:gridCol w:w="4380"/>
      </w:tblGrid>
      <w:tr w:rsidR="003620F1" w:rsidRPr="000102B3" w:rsidTr="008B6D36">
        <w:tc>
          <w:tcPr>
            <w:tcW w:w="4410" w:type="dxa"/>
            <w:tcMar>
              <w:left w:w="0" w:type="dxa"/>
              <w:right w:w="0" w:type="dxa"/>
            </w:tcMar>
          </w:tcPr>
          <w:p w:rsidR="003620F1" w:rsidRDefault="003620F1" w:rsidP="008B6D36">
            <w:pPr>
              <w:widowControl w:val="0"/>
              <w:rPr>
                <w:b/>
                <w:sz w:val="20"/>
                <w:szCs w:val="20"/>
              </w:rPr>
            </w:pPr>
            <w:r>
              <w:rPr>
                <w:b/>
                <w:sz w:val="20"/>
                <w:szCs w:val="20"/>
              </w:rPr>
              <w:t xml:space="preserve">Her Majesty the Queen </w:t>
            </w:r>
          </w:p>
          <w:p w:rsidR="003620F1" w:rsidRDefault="003620F1" w:rsidP="008B6D36">
            <w:pPr>
              <w:widowControl w:val="0"/>
              <w:rPr>
                <w:b/>
                <w:sz w:val="20"/>
                <w:szCs w:val="20"/>
              </w:rPr>
            </w:pPr>
          </w:p>
          <w:p w:rsidR="003620F1" w:rsidRDefault="003620F1" w:rsidP="008B6D36">
            <w:pPr>
              <w:widowControl w:val="0"/>
              <w:rPr>
                <w:b/>
                <w:sz w:val="20"/>
                <w:szCs w:val="20"/>
              </w:rPr>
            </w:pPr>
            <w:r>
              <w:rPr>
                <w:b/>
                <w:sz w:val="20"/>
                <w:szCs w:val="20"/>
              </w:rPr>
              <w:tab/>
              <w:t>v. (36466)</w:t>
            </w:r>
          </w:p>
          <w:p w:rsidR="003620F1" w:rsidRDefault="003620F1" w:rsidP="008B6D36">
            <w:pPr>
              <w:widowControl w:val="0"/>
              <w:rPr>
                <w:b/>
                <w:sz w:val="20"/>
                <w:szCs w:val="20"/>
              </w:rPr>
            </w:pPr>
          </w:p>
          <w:p w:rsidR="003620F1" w:rsidRPr="003620F1" w:rsidRDefault="003620F1" w:rsidP="008B6D36">
            <w:pPr>
              <w:widowControl w:val="0"/>
              <w:rPr>
                <w:b/>
                <w:sz w:val="20"/>
                <w:szCs w:val="20"/>
              </w:rPr>
            </w:pPr>
            <w:r>
              <w:rPr>
                <w:b/>
                <w:sz w:val="20"/>
                <w:szCs w:val="20"/>
              </w:rPr>
              <w:t>Ordinary Seaman Cawthorne (C.M.A.C.) (Crim.) (As of Right)</w:t>
            </w:r>
          </w:p>
        </w:tc>
        <w:tc>
          <w:tcPr>
            <w:tcW w:w="690" w:type="dxa"/>
            <w:tcMar>
              <w:left w:w="0" w:type="dxa"/>
              <w:right w:w="0" w:type="dxa"/>
            </w:tcMar>
          </w:tcPr>
          <w:p w:rsidR="003620F1" w:rsidRPr="003620F1" w:rsidRDefault="003620F1" w:rsidP="008B6D36">
            <w:pPr>
              <w:widowControl w:val="0"/>
              <w:jc w:val="center"/>
              <w:rPr>
                <w:sz w:val="20"/>
                <w:szCs w:val="20"/>
              </w:rPr>
            </w:pPr>
          </w:p>
        </w:tc>
        <w:tc>
          <w:tcPr>
            <w:tcW w:w="4380" w:type="dxa"/>
            <w:tcMar>
              <w:left w:w="0" w:type="dxa"/>
              <w:right w:w="0" w:type="dxa"/>
            </w:tcMar>
          </w:tcPr>
          <w:p w:rsidR="003620F1" w:rsidRDefault="000102B3" w:rsidP="00D87C9A">
            <w:pPr>
              <w:tabs>
                <w:tab w:val="left" w:pos="-2970"/>
              </w:tabs>
              <w:jc w:val="both"/>
              <w:rPr>
                <w:sz w:val="20"/>
                <w:szCs w:val="20"/>
              </w:rPr>
            </w:pPr>
            <w:r>
              <w:rPr>
                <w:sz w:val="20"/>
                <w:szCs w:val="20"/>
              </w:rPr>
              <w:t>Lieutenant-Colonel David Antonyshyn, Major Dylan Kerr and Colonel B. W. MacGregor for the appellant.</w:t>
            </w:r>
          </w:p>
          <w:p w:rsidR="000102B3" w:rsidRDefault="000102B3" w:rsidP="00D87C9A">
            <w:pPr>
              <w:tabs>
                <w:tab w:val="left" w:pos="-2970"/>
              </w:tabs>
              <w:jc w:val="both"/>
              <w:rPr>
                <w:sz w:val="20"/>
                <w:szCs w:val="20"/>
              </w:rPr>
            </w:pPr>
          </w:p>
          <w:p w:rsidR="000102B3" w:rsidRPr="000102B3" w:rsidRDefault="000102B3" w:rsidP="00D87C9A">
            <w:pPr>
              <w:tabs>
                <w:tab w:val="left" w:pos="-2970"/>
              </w:tabs>
              <w:jc w:val="both"/>
              <w:rPr>
                <w:sz w:val="20"/>
                <w:szCs w:val="20"/>
                <w:lang w:val="fr-CA"/>
              </w:rPr>
            </w:pPr>
            <w:r w:rsidRPr="000102B3">
              <w:rPr>
                <w:sz w:val="20"/>
                <w:szCs w:val="20"/>
                <w:lang w:val="fr-CA"/>
              </w:rPr>
              <w:t>François Lacasse et Ginette Gobeil pour l’intervenant Procureur général du Canada.</w:t>
            </w:r>
          </w:p>
          <w:p w:rsidR="000102B3" w:rsidRDefault="000102B3" w:rsidP="00D87C9A">
            <w:pPr>
              <w:tabs>
                <w:tab w:val="left" w:pos="-2970"/>
              </w:tabs>
              <w:jc w:val="both"/>
              <w:rPr>
                <w:sz w:val="20"/>
                <w:szCs w:val="20"/>
                <w:lang w:val="fr-CA"/>
              </w:rPr>
            </w:pPr>
          </w:p>
          <w:p w:rsidR="000102B3" w:rsidRPr="000102B3" w:rsidRDefault="000102B3" w:rsidP="00D87C9A">
            <w:pPr>
              <w:tabs>
                <w:tab w:val="left" w:pos="-2970"/>
              </w:tabs>
              <w:jc w:val="both"/>
              <w:rPr>
                <w:sz w:val="20"/>
                <w:szCs w:val="20"/>
              </w:rPr>
            </w:pPr>
            <w:r w:rsidRPr="000102B3">
              <w:rPr>
                <w:sz w:val="20"/>
                <w:szCs w:val="20"/>
              </w:rPr>
              <w:t xml:space="preserve">Patrick J. Monahan and Jamie Klukach for the Intervener </w:t>
            </w:r>
            <w:r>
              <w:rPr>
                <w:sz w:val="20"/>
                <w:szCs w:val="20"/>
              </w:rPr>
              <w:t>Attorney General</w:t>
            </w:r>
            <w:r w:rsidRPr="000102B3">
              <w:rPr>
                <w:sz w:val="20"/>
                <w:szCs w:val="20"/>
              </w:rPr>
              <w:t xml:space="preserve"> of Ontario.</w:t>
            </w:r>
          </w:p>
          <w:p w:rsidR="000102B3" w:rsidRDefault="000102B3" w:rsidP="00D87C9A">
            <w:pPr>
              <w:tabs>
                <w:tab w:val="left" w:pos="-2970"/>
              </w:tabs>
              <w:jc w:val="both"/>
              <w:rPr>
                <w:sz w:val="20"/>
                <w:szCs w:val="20"/>
              </w:rPr>
            </w:pPr>
          </w:p>
          <w:p w:rsidR="000102B3" w:rsidRPr="000102B3" w:rsidRDefault="000102B3" w:rsidP="00D87C9A">
            <w:pPr>
              <w:tabs>
                <w:tab w:val="left" w:pos="-2970"/>
              </w:tabs>
              <w:jc w:val="both"/>
              <w:rPr>
                <w:sz w:val="20"/>
                <w:szCs w:val="20"/>
                <w:lang w:val="fr-CA"/>
              </w:rPr>
            </w:pPr>
            <w:r w:rsidRPr="000102B3">
              <w:rPr>
                <w:sz w:val="20"/>
                <w:szCs w:val="20"/>
                <w:lang w:val="fr-CA"/>
              </w:rPr>
              <w:t>Sylvain Leboeuf pour l’intervenante Procureur générale du Québec.</w:t>
            </w:r>
          </w:p>
          <w:p w:rsidR="000102B3" w:rsidRDefault="000102B3" w:rsidP="00D87C9A">
            <w:pPr>
              <w:tabs>
                <w:tab w:val="left" w:pos="-2970"/>
              </w:tabs>
              <w:jc w:val="both"/>
              <w:rPr>
                <w:sz w:val="20"/>
                <w:szCs w:val="20"/>
                <w:lang w:val="fr-CA"/>
              </w:rPr>
            </w:pPr>
          </w:p>
          <w:p w:rsidR="000102B3" w:rsidRPr="000102B3" w:rsidRDefault="000102B3" w:rsidP="00D87C9A">
            <w:pPr>
              <w:tabs>
                <w:tab w:val="left" w:pos="-2970"/>
              </w:tabs>
              <w:jc w:val="both"/>
              <w:rPr>
                <w:sz w:val="20"/>
                <w:szCs w:val="20"/>
              </w:rPr>
            </w:pPr>
            <w:r w:rsidRPr="000102B3">
              <w:rPr>
                <w:sz w:val="20"/>
                <w:szCs w:val="20"/>
              </w:rPr>
              <w:t>Joyce DeWitt-Van Oosten, Q.C. for the intervener Attorney General of British Columbia.</w:t>
            </w:r>
          </w:p>
          <w:p w:rsidR="000102B3" w:rsidRDefault="000102B3" w:rsidP="00D87C9A">
            <w:pPr>
              <w:tabs>
                <w:tab w:val="left" w:pos="-2970"/>
              </w:tabs>
              <w:jc w:val="both"/>
              <w:rPr>
                <w:sz w:val="20"/>
                <w:szCs w:val="20"/>
              </w:rPr>
            </w:pPr>
          </w:p>
          <w:p w:rsidR="000102B3" w:rsidRPr="000102B3" w:rsidRDefault="000102B3" w:rsidP="00D87C9A">
            <w:pPr>
              <w:tabs>
                <w:tab w:val="left" w:pos="-2970"/>
              </w:tabs>
              <w:jc w:val="both"/>
              <w:rPr>
                <w:sz w:val="20"/>
                <w:szCs w:val="20"/>
                <w:lang w:val="fr-CA"/>
              </w:rPr>
            </w:pPr>
            <w:r w:rsidRPr="000102B3">
              <w:rPr>
                <w:sz w:val="20"/>
                <w:szCs w:val="20"/>
                <w:lang w:val="fr-CA"/>
              </w:rPr>
              <w:t>Joanne Marceau et Patrick Michel pour l’intervenant Directeur des poursuites criminelles et pénales du Québec.</w:t>
            </w:r>
          </w:p>
          <w:p w:rsidR="000102B3" w:rsidRDefault="000102B3" w:rsidP="00D87C9A">
            <w:pPr>
              <w:tabs>
                <w:tab w:val="left" w:pos="-2970"/>
              </w:tabs>
              <w:jc w:val="both"/>
              <w:rPr>
                <w:sz w:val="20"/>
                <w:szCs w:val="20"/>
                <w:lang w:val="fr-CA"/>
              </w:rPr>
            </w:pPr>
          </w:p>
          <w:p w:rsidR="003620F1" w:rsidRPr="000102B3" w:rsidRDefault="000102B3" w:rsidP="00D87C9A">
            <w:pPr>
              <w:tabs>
                <w:tab w:val="left" w:pos="-2970"/>
              </w:tabs>
              <w:jc w:val="both"/>
              <w:rPr>
                <w:sz w:val="20"/>
                <w:szCs w:val="20"/>
                <w:lang w:val="fr-CA"/>
              </w:rPr>
            </w:pPr>
            <w:r>
              <w:rPr>
                <w:sz w:val="20"/>
                <w:szCs w:val="20"/>
                <w:lang w:val="fr-CA"/>
              </w:rPr>
              <w:t>Lieutenant-Commander</w:t>
            </w:r>
            <w:r w:rsidR="0070455F">
              <w:rPr>
                <w:sz w:val="20"/>
                <w:szCs w:val="20"/>
                <w:lang w:val="fr-CA"/>
              </w:rPr>
              <w:t xml:space="preserve"> Mark Létourneau and Lieutenant-Colonel Jean-Bruno Cloutier</w:t>
            </w:r>
            <w:r w:rsidR="00BF47C1">
              <w:rPr>
                <w:sz w:val="20"/>
                <w:szCs w:val="20"/>
                <w:lang w:val="fr-CA"/>
              </w:rPr>
              <w:t xml:space="preserve"> for the respondents.</w:t>
            </w:r>
          </w:p>
        </w:tc>
      </w:tr>
    </w:tbl>
    <w:p w:rsidR="003620F1" w:rsidRPr="000102B3" w:rsidRDefault="003620F1" w:rsidP="003620F1">
      <w:pPr>
        <w:widowControl w:val="0"/>
        <w:rPr>
          <w:sz w:val="20"/>
          <w:szCs w:val="20"/>
          <w:lang w:val="fr-CA"/>
        </w:rPr>
      </w:pPr>
    </w:p>
    <w:p w:rsidR="003620F1" w:rsidRPr="0085476B" w:rsidRDefault="003620F1" w:rsidP="003620F1">
      <w:pPr>
        <w:widowControl w:val="0"/>
        <w:rPr>
          <w:sz w:val="20"/>
          <w:szCs w:val="20"/>
        </w:rPr>
      </w:pPr>
      <w:r>
        <w:rPr>
          <w:b/>
          <w:sz w:val="20"/>
          <w:szCs w:val="20"/>
        </w:rPr>
        <w:t>RESERV</w:t>
      </w:r>
      <w:r w:rsidRPr="0085476B">
        <w:rPr>
          <w:b/>
          <w:sz w:val="20"/>
          <w:szCs w:val="20"/>
        </w:rPr>
        <w:t xml:space="preserve">ED / </w:t>
      </w:r>
      <w:r w:rsidRPr="000102B3">
        <w:rPr>
          <w:b/>
          <w:sz w:val="20"/>
          <w:szCs w:val="20"/>
        </w:rPr>
        <w:t>EN DÉLIBÉRÉ</w:t>
      </w:r>
    </w:p>
    <w:p w:rsidR="003620F1" w:rsidRDefault="003620F1" w:rsidP="003620F1"/>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3620F1" w:rsidRPr="00D75D0F" w:rsidTr="008B6D36">
        <w:tc>
          <w:tcPr>
            <w:tcW w:w="4380" w:type="dxa"/>
            <w:tcMar>
              <w:left w:w="0" w:type="dxa"/>
              <w:right w:w="0" w:type="dxa"/>
            </w:tcMar>
          </w:tcPr>
          <w:p w:rsidR="003620F1" w:rsidRPr="00F96CEB" w:rsidRDefault="003620F1" w:rsidP="008B6D36">
            <w:pPr>
              <w:widowControl w:val="0"/>
              <w:jc w:val="both"/>
              <w:rPr>
                <w:b/>
                <w:sz w:val="20"/>
                <w:szCs w:val="20"/>
                <w:u w:val="single"/>
              </w:rPr>
            </w:pPr>
            <w:r w:rsidRPr="00F96CEB">
              <w:rPr>
                <w:b/>
                <w:sz w:val="20"/>
                <w:szCs w:val="20"/>
                <w:u w:val="single"/>
              </w:rPr>
              <w:t>Nature of the case:</w:t>
            </w:r>
          </w:p>
          <w:p w:rsidR="003620F1" w:rsidRPr="00F96CEB" w:rsidRDefault="003620F1" w:rsidP="008B6D36">
            <w:pPr>
              <w:widowControl w:val="0"/>
              <w:jc w:val="both"/>
              <w:rPr>
                <w:b/>
                <w:sz w:val="20"/>
                <w:szCs w:val="20"/>
              </w:rPr>
            </w:pPr>
          </w:p>
          <w:p w:rsidR="00F96CEB" w:rsidRPr="00F96CEB" w:rsidRDefault="00F96CEB" w:rsidP="00F96CEB">
            <w:pPr>
              <w:widowControl w:val="0"/>
              <w:jc w:val="both"/>
              <w:rPr>
                <w:sz w:val="20"/>
                <w:szCs w:val="20"/>
              </w:rPr>
            </w:pPr>
            <w:r w:rsidRPr="00F96CEB">
              <w:rPr>
                <w:sz w:val="20"/>
                <w:szCs w:val="20"/>
              </w:rPr>
              <w:t>Criminal law - Accessing child pornography - Possession of child pornography - Mistrials - Whether the military judge erred when he exercised his discretion to dismiss the motion for mistrial.</w:t>
            </w:r>
          </w:p>
          <w:p w:rsidR="003620F1" w:rsidRPr="00F96CEB" w:rsidRDefault="003620F1" w:rsidP="008B6D36">
            <w:pPr>
              <w:rPr>
                <w:b/>
                <w:sz w:val="20"/>
                <w:szCs w:val="20"/>
              </w:rPr>
            </w:pPr>
          </w:p>
        </w:tc>
        <w:tc>
          <w:tcPr>
            <w:tcW w:w="720" w:type="dxa"/>
            <w:tcMar>
              <w:left w:w="0" w:type="dxa"/>
              <w:right w:w="0" w:type="dxa"/>
            </w:tcMar>
          </w:tcPr>
          <w:p w:rsidR="003620F1" w:rsidRPr="001A10F4" w:rsidRDefault="003620F1" w:rsidP="008B6D36">
            <w:pPr>
              <w:widowControl w:val="0"/>
              <w:jc w:val="center"/>
              <w:rPr>
                <w:sz w:val="20"/>
                <w:szCs w:val="20"/>
              </w:rPr>
            </w:pPr>
          </w:p>
        </w:tc>
        <w:tc>
          <w:tcPr>
            <w:tcW w:w="4380" w:type="dxa"/>
            <w:tcMar>
              <w:left w:w="0" w:type="dxa"/>
              <w:right w:w="0" w:type="dxa"/>
            </w:tcMar>
          </w:tcPr>
          <w:p w:rsidR="003620F1" w:rsidRPr="008B6D36" w:rsidRDefault="003620F1" w:rsidP="008B6D36">
            <w:pPr>
              <w:widowControl w:val="0"/>
              <w:jc w:val="both"/>
              <w:rPr>
                <w:b/>
                <w:sz w:val="20"/>
                <w:szCs w:val="20"/>
                <w:u w:val="single"/>
                <w:lang w:val="fr-CA"/>
              </w:rPr>
            </w:pPr>
            <w:r w:rsidRPr="008B6D36">
              <w:rPr>
                <w:b/>
                <w:sz w:val="20"/>
                <w:szCs w:val="20"/>
                <w:u w:val="single"/>
                <w:lang w:val="fr-CA"/>
              </w:rPr>
              <w:t>Nature de la cause :</w:t>
            </w:r>
          </w:p>
          <w:p w:rsidR="003620F1" w:rsidRPr="008B6D36" w:rsidRDefault="003620F1" w:rsidP="008B6D36">
            <w:pPr>
              <w:widowControl w:val="0"/>
              <w:jc w:val="both"/>
              <w:rPr>
                <w:sz w:val="20"/>
                <w:szCs w:val="20"/>
                <w:lang w:val="fr-CA"/>
              </w:rPr>
            </w:pPr>
          </w:p>
          <w:p w:rsidR="003620F1" w:rsidRDefault="00F96CEB" w:rsidP="00F96CEB">
            <w:pPr>
              <w:widowControl w:val="0"/>
              <w:jc w:val="both"/>
              <w:rPr>
                <w:sz w:val="20"/>
                <w:szCs w:val="20"/>
                <w:lang w:val="fr-CA"/>
              </w:rPr>
            </w:pPr>
            <w:r w:rsidRPr="00F96CEB">
              <w:rPr>
                <w:sz w:val="20"/>
                <w:szCs w:val="20"/>
                <w:lang w:val="fr-CA"/>
              </w:rPr>
              <w:t>Droit criminel - Accès à la pornographie juvénile - Possession de pornographie juvénile - Procès nuls - Le juge militaire a-t-il commis une erreur lorsqu’il a exercé son pouvoir discrétionnaire de rejeter la requête en nullité du procès?</w:t>
            </w:r>
          </w:p>
          <w:p w:rsidR="00BF47C1" w:rsidRPr="00F96CEB" w:rsidRDefault="00BF47C1" w:rsidP="00F96CEB">
            <w:pPr>
              <w:widowControl w:val="0"/>
              <w:jc w:val="both"/>
              <w:rPr>
                <w:sz w:val="20"/>
                <w:szCs w:val="20"/>
                <w:lang w:val="fr-CA"/>
              </w:rPr>
            </w:pPr>
          </w:p>
        </w:tc>
      </w:tr>
    </w:tbl>
    <w:p w:rsidR="003620F1" w:rsidRDefault="00D75D0F" w:rsidP="003620F1">
      <w:pPr>
        <w:widowControl w:val="0"/>
        <w:rPr>
          <w:sz w:val="20"/>
          <w:szCs w:val="20"/>
        </w:rPr>
      </w:pPr>
      <w:r>
        <w:rPr>
          <w:sz w:val="20"/>
          <w:szCs w:val="20"/>
          <w:lang w:val="fr-CA"/>
        </w:rPr>
        <w:pict>
          <v:rect id="_x0000_i1058" style="width:2in;height:1pt" o:hrpct="0" o:hralign="center" o:hrstd="t" o:hrnoshade="t" o:hr="t" fillcolor="black [3213]" stroked="f"/>
        </w:pict>
      </w:r>
    </w:p>
    <w:p w:rsidR="00D004FC" w:rsidRDefault="00D004FC" w:rsidP="00732DB7">
      <w:pPr>
        <w:widowControl w:val="0"/>
        <w:rPr>
          <w:sz w:val="20"/>
          <w:szCs w:val="20"/>
        </w:rPr>
      </w:pPr>
    </w:p>
    <w:p w:rsidR="00C854BC" w:rsidRDefault="00C854BC">
      <w:pPr>
        <w:rPr>
          <w:sz w:val="20"/>
          <w:szCs w:val="20"/>
        </w:rPr>
      </w:pPr>
      <w:r>
        <w:rPr>
          <w:sz w:val="20"/>
          <w:szCs w:val="20"/>
        </w:rPr>
        <w:br w:type="page"/>
      </w:r>
    </w:p>
    <w:p w:rsidR="00BF47C1" w:rsidRPr="00BF47C1" w:rsidRDefault="00BF47C1" w:rsidP="00BF47C1">
      <w:pPr>
        <w:widowControl w:val="0"/>
        <w:rPr>
          <w:sz w:val="20"/>
          <w:szCs w:val="20"/>
        </w:rPr>
      </w:pPr>
      <w:r w:rsidRPr="00BF47C1">
        <w:rPr>
          <w:sz w:val="20"/>
          <w:szCs w:val="20"/>
        </w:rPr>
        <w:t>25.04.2016</w:t>
      </w:r>
    </w:p>
    <w:p w:rsidR="00BF47C1" w:rsidRPr="00BF47C1" w:rsidRDefault="00BF47C1" w:rsidP="00BF47C1">
      <w:pPr>
        <w:widowControl w:val="0"/>
        <w:rPr>
          <w:sz w:val="20"/>
          <w:szCs w:val="20"/>
        </w:rPr>
      </w:pPr>
    </w:p>
    <w:p w:rsidR="00BF47C1" w:rsidRPr="003620F1" w:rsidRDefault="00BF47C1" w:rsidP="00BF47C1">
      <w:pPr>
        <w:widowControl w:val="0"/>
        <w:ind w:left="720" w:hanging="720"/>
        <w:rPr>
          <w:sz w:val="20"/>
          <w:szCs w:val="20"/>
          <w:u w:val="single"/>
        </w:rPr>
      </w:pPr>
      <w:r w:rsidRPr="003620F1">
        <w:rPr>
          <w:sz w:val="20"/>
          <w:szCs w:val="20"/>
        </w:rPr>
        <w:t xml:space="preserve">Coram: </w:t>
      </w:r>
      <w:r w:rsidRPr="003620F1">
        <w:rPr>
          <w:sz w:val="20"/>
          <w:szCs w:val="20"/>
        </w:rPr>
        <w:tab/>
      </w:r>
      <w:r w:rsidRPr="003620F1">
        <w:rPr>
          <w:sz w:val="20"/>
          <w:szCs w:val="20"/>
          <w:u w:val="single"/>
        </w:rPr>
        <w:t xml:space="preserve">Chief Justice McLachlin and Abella, Cromwell, Moldaver, Karakatsanis, Wagner, Gascon, Côté </w:t>
      </w:r>
      <w:r>
        <w:rPr>
          <w:sz w:val="20"/>
          <w:szCs w:val="20"/>
          <w:u w:val="single"/>
        </w:rPr>
        <w:t>and</w:t>
      </w:r>
      <w:r w:rsidRPr="003620F1">
        <w:rPr>
          <w:sz w:val="20"/>
          <w:szCs w:val="20"/>
          <w:u w:val="single"/>
        </w:rPr>
        <w:t xml:space="preserve"> Brown</w:t>
      </w:r>
      <w:r>
        <w:rPr>
          <w:sz w:val="20"/>
          <w:szCs w:val="20"/>
          <w:u w:val="single"/>
        </w:rPr>
        <w:t xml:space="preserve"> JJ.</w:t>
      </w:r>
    </w:p>
    <w:p w:rsidR="00BF47C1" w:rsidRPr="003620F1" w:rsidRDefault="00BF47C1" w:rsidP="00BF47C1">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410"/>
        <w:gridCol w:w="690"/>
        <w:gridCol w:w="4380"/>
      </w:tblGrid>
      <w:tr w:rsidR="00BF47C1" w:rsidRPr="00D75D0F" w:rsidTr="008B6D36">
        <w:tc>
          <w:tcPr>
            <w:tcW w:w="4410" w:type="dxa"/>
            <w:tcMar>
              <w:left w:w="0" w:type="dxa"/>
              <w:right w:w="0" w:type="dxa"/>
            </w:tcMar>
          </w:tcPr>
          <w:p w:rsidR="00BF47C1" w:rsidRPr="008B6D36" w:rsidRDefault="00BF47C1" w:rsidP="008B6D36">
            <w:pPr>
              <w:widowControl w:val="0"/>
              <w:rPr>
                <w:b/>
                <w:sz w:val="20"/>
                <w:szCs w:val="20"/>
                <w:lang w:val="fr-CA"/>
              </w:rPr>
            </w:pPr>
            <w:r w:rsidRPr="008B6D36">
              <w:rPr>
                <w:b/>
                <w:sz w:val="20"/>
                <w:szCs w:val="20"/>
                <w:lang w:val="fr-CA"/>
              </w:rPr>
              <w:t>Sa Majesté la Reine</w:t>
            </w:r>
          </w:p>
          <w:p w:rsidR="00BF47C1" w:rsidRPr="008B6D36" w:rsidRDefault="00BF47C1" w:rsidP="008B6D36">
            <w:pPr>
              <w:widowControl w:val="0"/>
              <w:rPr>
                <w:b/>
                <w:sz w:val="20"/>
                <w:szCs w:val="20"/>
                <w:lang w:val="fr-CA"/>
              </w:rPr>
            </w:pPr>
          </w:p>
          <w:p w:rsidR="00BF47C1" w:rsidRPr="008B6D36" w:rsidRDefault="00BF47C1" w:rsidP="008B6D36">
            <w:pPr>
              <w:widowControl w:val="0"/>
              <w:rPr>
                <w:b/>
                <w:sz w:val="20"/>
                <w:szCs w:val="20"/>
                <w:lang w:val="fr-CA"/>
              </w:rPr>
            </w:pPr>
            <w:r w:rsidRPr="008B6D36">
              <w:rPr>
                <w:b/>
                <w:sz w:val="20"/>
                <w:szCs w:val="20"/>
                <w:lang w:val="fr-CA"/>
              </w:rPr>
              <w:tab/>
              <w:t>c. (36844)</w:t>
            </w:r>
          </w:p>
          <w:p w:rsidR="00BF47C1" w:rsidRPr="008B6D36" w:rsidRDefault="00BF47C1" w:rsidP="008B6D36">
            <w:pPr>
              <w:widowControl w:val="0"/>
              <w:rPr>
                <w:b/>
                <w:sz w:val="20"/>
                <w:szCs w:val="20"/>
                <w:lang w:val="fr-CA"/>
              </w:rPr>
            </w:pPr>
          </w:p>
          <w:p w:rsidR="00BF47C1" w:rsidRPr="003620F1" w:rsidRDefault="00BF47C1" w:rsidP="00BF47C1">
            <w:pPr>
              <w:widowControl w:val="0"/>
              <w:rPr>
                <w:b/>
                <w:sz w:val="20"/>
                <w:szCs w:val="20"/>
              </w:rPr>
            </w:pPr>
            <w:r w:rsidRPr="00BF47C1">
              <w:rPr>
                <w:b/>
                <w:sz w:val="20"/>
                <w:szCs w:val="20"/>
                <w:lang w:val="fr-CA"/>
              </w:rPr>
              <w:t>Adjudant J.G.A.</w:t>
            </w:r>
            <w:r>
              <w:rPr>
                <w:b/>
                <w:sz w:val="20"/>
                <w:szCs w:val="20"/>
                <w:lang w:val="fr-CA"/>
              </w:rPr>
              <w:t xml:space="preserve"> Gagnon et autres</w:t>
            </w:r>
            <w:r w:rsidRPr="00BF47C1">
              <w:rPr>
                <w:b/>
                <w:sz w:val="20"/>
                <w:szCs w:val="20"/>
                <w:lang w:val="fr-CA"/>
              </w:rPr>
              <w:t xml:space="preserve"> (</w:t>
            </w:r>
            <w:r>
              <w:rPr>
                <w:b/>
                <w:sz w:val="20"/>
                <w:szCs w:val="20"/>
                <w:lang w:val="fr-CA"/>
              </w:rPr>
              <w:t>C.A.C.M.</w:t>
            </w:r>
            <w:r w:rsidRPr="00BF47C1">
              <w:rPr>
                <w:b/>
                <w:sz w:val="20"/>
                <w:szCs w:val="20"/>
                <w:lang w:val="fr-CA"/>
              </w:rPr>
              <w:t xml:space="preserve">) </w:t>
            </w:r>
            <w:r>
              <w:rPr>
                <w:b/>
                <w:sz w:val="20"/>
                <w:szCs w:val="20"/>
              </w:rPr>
              <w:t>(Crim.) (Autorisation)</w:t>
            </w:r>
          </w:p>
        </w:tc>
        <w:tc>
          <w:tcPr>
            <w:tcW w:w="690" w:type="dxa"/>
            <w:tcMar>
              <w:left w:w="0" w:type="dxa"/>
              <w:right w:w="0" w:type="dxa"/>
            </w:tcMar>
          </w:tcPr>
          <w:p w:rsidR="00BF47C1" w:rsidRPr="003620F1" w:rsidRDefault="00BF47C1" w:rsidP="008B6D36">
            <w:pPr>
              <w:widowControl w:val="0"/>
              <w:jc w:val="center"/>
              <w:rPr>
                <w:sz w:val="20"/>
                <w:szCs w:val="20"/>
              </w:rPr>
            </w:pPr>
          </w:p>
        </w:tc>
        <w:tc>
          <w:tcPr>
            <w:tcW w:w="4380" w:type="dxa"/>
            <w:tcMar>
              <w:left w:w="0" w:type="dxa"/>
              <w:right w:w="0" w:type="dxa"/>
            </w:tcMar>
          </w:tcPr>
          <w:p w:rsidR="00BF47C1" w:rsidRPr="008B6D36" w:rsidRDefault="00BF47C1" w:rsidP="00D87C9A">
            <w:pPr>
              <w:tabs>
                <w:tab w:val="left" w:pos="-2970"/>
              </w:tabs>
              <w:jc w:val="both"/>
              <w:rPr>
                <w:sz w:val="20"/>
                <w:szCs w:val="20"/>
                <w:lang w:val="fr-CA"/>
              </w:rPr>
            </w:pPr>
            <w:r w:rsidRPr="008B6D36">
              <w:rPr>
                <w:sz w:val="20"/>
                <w:szCs w:val="20"/>
                <w:lang w:val="fr-CA"/>
              </w:rPr>
              <w:t>Lieutenant colonel David Antonyshyn, Major Dylan Kerr et Colonel B. W. MacGregor pour l’appelant.</w:t>
            </w:r>
          </w:p>
          <w:p w:rsidR="00BF47C1" w:rsidRPr="008B6D36" w:rsidRDefault="00BF47C1" w:rsidP="00D87C9A">
            <w:pPr>
              <w:tabs>
                <w:tab w:val="left" w:pos="-2970"/>
              </w:tabs>
              <w:jc w:val="both"/>
              <w:rPr>
                <w:sz w:val="20"/>
                <w:szCs w:val="20"/>
                <w:lang w:val="fr-CA"/>
              </w:rPr>
            </w:pPr>
          </w:p>
          <w:p w:rsidR="00BF47C1" w:rsidRPr="000102B3" w:rsidRDefault="00BF47C1" w:rsidP="00D87C9A">
            <w:pPr>
              <w:tabs>
                <w:tab w:val="left" w:pos="-2970"/>
              </w:tabs>
              <w:jc w:val="both"/>
              <w:rPr>
                <w:sz w:val="20"/>
                <w:szCs w:val="20"/>
                <w:lang w:val="fr-CA"/>
              </w:rPr>
            </w:pPr>
            <w:r w:rsidRPr="008B6D36">
              <w:rPr>
                <w:sz w:val="20"/>
                <w:szCs w:val="20"/>
                <w:lang w:val="fr-CA"/>
              </w:rPr>
              <w:t>François Lacass</w:t>
            </w:r>
            <w:r w:rsidRPr="000102B3">
              <w:rPr>
                <w:sz w:val="20"/>
                <w:szCs w:val="20"/>
                <w:lang w:val="fr-CA"/>
              </w:rPr>
              <w:t>e et Ginette Gobeil pour l’intervenant Procureur général du Canada.</w:t>
            </w:r>
          </w:p>
          <w:p w:rsidR="00BF47C1" w:rsidRDefault="00BF47C1" w:rsidP="00D87C9A">
            <w:pPr>
              <w:tabs>
                <w:tab w:val="left" w:pos="-2970"/>
              </w:tabs>
              <w:jc w:val="both"/>
              <w:rPr>
                <w:sz w:val="20"/>
                <w:szCs w:val="20"/>
                <w:lang w:val="fr-CA"/>
              </w:rPr>
            </w:pPr>
          </w:p>
          <w:p w:rsidR="00BF47C1" w:rsidRPr="000102B3" w:rsidRDefault="00BF47C1" w:rsidP="00D87C9A">
            <w:pPr>
              <w:tabs>
                <w:tab w:val="left" w:pos="-2970"/>
              </w:tabs>
              <w:jc w:val="both"/>
              <w:rPr>
                <w:sz w:val="20"/>
                <w:szCs w:val="20"/>
              </w:rPr>
            </w:pPr>
            <w:r w:rsidRPr="000102B3">
              <w:rPr>
                <w:sz w:val="20"/>
                <w:szCs w:val="20"/>
              </w:rPr>
              <w:t xml:space="preserve">Patrick J. Monahan and Jamie Klukach for the Intervener </w:t>
            </w:r>
            <w:r>
              <w:rPr>
                <w:sz w:val="20"/>
                <w:szCs w:val="20"/>
              </w:rPr>
              <w:t>Attorney General</w:t>
            </w:r>
            <w:r w:rsidRPr="000102B3">
              <w:rPr>
                <w:sz w:val="20"/>
                <w:szCs w:val="20"/>
              </w:rPr>
              <w:t xml:space="preserve"> of Ontario.</w:t>
            </w:r>
          </w:p>
          <w:p w:rsidR="00BF47C1" w:rsidRDefault="00BF47C1" w:rsidP="00D87C9A">
            <w:pPr>
              <w:tabs>
                <w:tab w:val="left" w:pos="-2970"/>
              </w:tabs>
              <w:jc w:val="both"/>
              <w:rPr>
                <w:sz w:val="20"/>
                <w:szCs w:val="20"/>
              </w:rPr>
            </w:pPr>
          </w:p>
          <w:p w:rsidR="00653395" w:rsidRDefault="00BF47C1" w:rsidP="00D87C9A">
            <w:pPr>
              <w:tabs>
                <w:tab w:val="left" w:pos="-2970"/>
              </w:tabs>
              <w:jc w:val="both"/>
              <w:rPr>
                <w:sz w:val="20"/>
                <w:szCs w:val="20"/>
                <w:lang w:val="fr-CA"/>
              </w:rPr>
            </w:pPr>
            <w:r w:rsidRPr="000102B3">
              <w:rPr>
                <w:sz w:val="20"/>
                <w:szCs w:val="20"/>
                <w:lang w:val="fr-CA"/>
              </w:rPr>
              <w:t>Sylvain Leboeuf pour l’intervenante Procureur générale du Québec.</w:t>
            </w:r>
          </w:p>
          <w:p w:rsidR="00653395" w:rsidRDefault="00653395" w:rsidP="008B6D36">
            <w:pPr>
              <w:tabs>
                <w:tab w:val="left" w:pos="-2970"/>
              </w:tabs>
              <w:rPr>
                <w:sz w:val="20"/>
                <w:szCs w:val="20"/>
                <w:lang w:val="fr-CA"/>
              </w:rPr>
            </w:pPr>
          </w:p>
          <w:p w:rsidR="00BF47C1" w:rsidRPr="000102B3" w:rsidRDefault="00BF47C1" w:rsidP="00D87C9A">
            <w:pPr>
              <w:tabs>
                <w:tab w:val="left" w:pos="-2970"/>
              </w:tabs>
              <w:jc w:val="both"/>
              <w:rPr>
                <w:sz w:val="20"/>
                <w:szCs w:val="20"/>
              </w:rPr>
            </w:pPr>
            <w:r w:rsidRPr="000102B3">
              <w:rPr>
                <w:sz w:val="20"/>
                <w:szCs w:val="20"/>
              </w:rPr>
              <w:t>Joyce DeWitt-Van Oosten, Q.C. for the intervener Attorney General of British Columbia.</w:t>
            </w:r>
          </w:p>
          <w:p w:rsidR="00BF47C1" w:rsidRDefault="00BF47C1" w:rsidP="00D87C9A">
            <w:pPr>
              <w:tabs>
                <w:tab w:val="left" w:pos="-2970"/>
              </w:tabs>
              <w:jc w:val="both"/>
              <w:rPr>
                <w:sz w:val="20"/>
                <w:szCs w:val="20"/>
              </w:rPr>
            </w:pPr>
          </w:p>
          <w:p w:rsidR="00BF47C1" w:rsidRPr="000102B3" w:rsidRDefault="00BF47C1" w:rsidP="00D87C9A">
            <w:pPr>
              <w:tabs>
                <w:tab w:val="left" w:pos="-2970"/>
              </w:tabs>
              <w:jc w:val="both"/>
              <w:rPr>
                <w:sz w:val="20"/>
                <w:szCs w:val="20"/>
                <w:lang w:val="fr-CA"/>
              </w:rPr>
            </w:pPr>
            <w:r>
              <w:rPr>
                <w:sz w:val="20"/>
                <w:szCs w:val="20"/>
                <w:lang w:val="fr-CA"/>
              </w:rPr>
              <w:t>Capitaine-corvette Mark Létourneau et Lieutenant colonel Jean-Bruno Cloutier pour les intimés.</w:t>
            </w:r>
          </w:p>
        </w:tc>
      </w:tr>
    </w:tbl>
    <w:p w:rsidR="00BF47C1" w:rsidRPr="000102B3" w:rsidRDefault="00BF47C1" w:rsidP="00BF47C1">
      <w:pPr>
        <w:widowControl w:val="0"/>
        <w:rPr>
          <w:sz w:val="20"/>
          <w:szCs w:val="20"/>
          <w:lang w:val="fr-CA"/>
        </w:rPr>
      </w:pPr>
    </w:p>
    <w:p w:rsidR="00BF47C1" w:rsidRPr="0085476B" w:rsidRDefault="00BF47C1" w:rsidP="00BF47C1">
      <w:pPr>
        <w:widowControl w:val="0"/>
        <w:rPr>
          <w:sz w:val="20"/>
          <w:szCs w:val="20"/>
        </w:rPr>
      </w:pPr>
      <w:r>
        <w:rPr>
          <w:b/>
          <w:sz w:val="20"/>
          <w:szCs w:val="20"/>
        </w:rPr>
        <w:t>RESERV</w:t>
      </w:r>
      <w:r w:rsidRPr="0085476B">
        <w:rPr>
          <w:b/>
          <w:sz w:val="20"/>
          <w:szCs w:val="20"/>
        </w:rPr>
        <w:t xml:space="preserve">ED / </w:t>
      </w:r>
      <w:r w:rsidRPr="000102B3">
        <w:rPr>
          <w:b/>
          <w:sz w:val="20"/>
          <w:szCs w:val="20"/>
        </w:rPr>
        <w:t>EN DÉLIBÉRÉ</w:t>
      </w:r>
    </w:p>
    <w:p w:rsidR="00BF47C1" w:rsidRDefault="00BF47C1" w:rsidP="00BF47C1"/>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BF47C1" w:rsidRPr="00D75D0F" w:rsidTr="008B6D36">
        <w:tc>
          <w:tcPr>
            <w:tcW w:w="4380" w:type="dxa"/>
            <w:tcMar>
              <w:left w:w="0" w:type="dxa"/>
              <w:right w:w="0" w:type="dxa"/>
            </w:tcMar>
          </w:tcPr>
          <w:p w:rsidR="00BF47C1" w:rsidRPr="00653395" w:rsidRDefault="00BF47C1" w:rsidP="008B6D36">
            <w:pPr>
              <w:widowControl w:val="0"/>
              <w:jc w:val="both"/>
              <w:rPr>
                <w:b/>
                <w:sz w:val="20"/>
                <w:szCs w:val="20"/>
                <w:u w:val="single"/>
              </w:rPr>
            </w:pPr>
            <w:r w:rsidRPr="00653395">
              <w:rPr>
                <w:b/>
                <w:sz w:val="20"/>
                <w:szCs w:val="20"/>
                <w:u w:val="single"/>
              </w:rPr>
              <w:t>Nature of the case:</w:t>
            </w:r>
          </w:p>
          <w:p w:rsidR="00BF47C1" w:rsidRPr="00653395" w:rsidRDefault="00BF47C1" w:rsidP="008B6D36">
            <w:pPr>
              <w:widowControl w:val="0"/>
              <w:jc w:val="both"/>
              <w:rPr>
                <w:b/>
                <w:sz w:val="20"/>
                <w:szCs w:val="20"/>
              </w:rPr>
            </w:pPr>
          </w:p>
          <w:p w:rsidR="00BF47C1" w:rsidRPr="00653395" w:rsidRDefault="00653395" w:rsidP="00653395">
            <w:pPr>
              <w:jc w:val="both"/>
              <w:rPr>
                <w:b/>
                <w:sz w:val="20"/>
                <w:szCs w:val="20"/>
              </w:rPr>
            </w:pPr>
            <w:r w:rsidRPr="00653395">
              <w:rPr>
                <w:i/>
                <w:sz w:val="20"/>
                <w:szCs w:val="20"/>
              </w:rPr>
              <w:t xml:space="preserve">Charter of Rights </w:t>
            </w:r>
            <w:r w:rsidRPr="00653395">
              <w:rPr>
                <w:sz w:val="20"/>
                <w:szCs w:val="20"/>
              </w:rPr>
              <w:t>- Fundamental justice - Prosecutorial independence - Appeals - Courts - Jurisdiction</w:t>
            </w:r>
            <w:r w:rsidRPr="00653395">
              <w:rPr>
                <w:i/>
                <w:sz w:val="20"/>
                <w:szCs w:val="20"/>
              </w:rPr>
              <w:t xml:space="preserve"> </w:t>
            </w:r>
            <w:r w:rsidRPr="00653395">
              <w:rPr>
                <w:sz w:val="20"/>
                <w:szCs w:val="20"/>
              </w:rPr>
              <w:t xml:space="preserve">- Judgments and orders - Stay of execution - Whether s. 230.1 of </w:t>
            </w:r>
            <w:r w:rsidRPr="00653395">
              <w:rPr>
                <w:i/>
                <w:sz w:val="20"/>
                <w:szCs w:val="20"/>
              </w:rPr>
              <w:t>National Defence Act</w:t>
            </w:r>
            <w:r w:rsidRPr="00653395">
              <w:rPr>
                <w:sz w:val="20"/>
                <w:szCs w:val="20"/>
              </w:rPr>
              <w:t xml:space="preserve">, R.S.C. 1985, c. N-5, infringes s. 7 of </w:t>
            </w:r>
            <w:r w:rsidRPr="00653395">
              <w:rPr>
                <w:i/>
                <w:sz w:val="20"/>
                <w:szCs w:val="20"/>
              </w:rPr>
              <w:t>Canadian Charter of Rights and Freedoms</w:t>
            </w:r>
            <w:r w:rsidRPr="00653395">
              <w:rPr>
                <w:sz w:val="20"/>
                <w:szCs w:val="20"/>
              </w:rPr>
              <w:t xml:space="preserve"> - If so, whether infringement is reasonable limit prescribed by law that can be demonstrably justified in free and democratic society under s. 1 of </w:t>
            </w:r>
            <w:r w:rsidRPr="00653395">
              <w:rPr>
                <w:i/>
                <w:sz w:val="20"/>
                <w:szCs w:val="20"/>
              </w:rPr>
              <w:t>Charter</w:t>
            </w:r>
            <w:r w:rsidRPr="00653395">
              <w:rPr>
                <w:sz w:val="20"/>
                <w:szCs w:val="20"/>
              </w:rPr>
              <w:t xml:space="preserve"> - Whether s. 230.1 of </w:t>
            </w:r>
            <w:r w:rsidRPr="00653395">
              <w:rPr>
                <w:i/>
                <w:sz w:val="20"/>
                <w:szCs w:val="20"/>
              </w:rPr>
              <w:t>National Defence Act</w:t>
            </w:r>
            <w:r w:rsidRPr="00653395">
              <w:rPr>
                <w:sz w:val="20"/>
                <w:szCs w:val="20"/>
              </w:rPr>
              <w:t xml:space="preserve"> infringes s. 11(</w:t>
            </w:r>
            <w:r w:rsidRPr="00653395">
              <w:rPr>
                <w:i/>
                <w:sz w:val="20"/>
                <w:szCs w:val="20"/>
              </w:rPr>
              <w:t>d</w:t>
            </w:r>
            <w:r w:rsidRPr="00653395">
              <w:rPr>
                <w:sz w:val="20"/>
                <w:szCs w:val="20"/>
              </w:rPr>
              <w:t xml:space="preserve">) of </w:t>
            </w:r>
            <w:r w:rsidRPr="00653395">
              <w:rPr>
                <w:i/>
                <w:sz w:val="20"/>
                <w:szCs w:val="20"/>
              </w:rPr>
              <w:t>Charter</w:t>
            </w:r>
            <w:r w:rsidRPr="00653395">
              <w:rPr>
                <w:sz w:val="20"/>
                <w:szCs w:val="20"/>
              </w:rPr>
              <w:t xml:space="preserve"> - If so, whether infringement is reasonable limit prescribed by law that can be demonstrably justified in free and democratic society under s. 1 of </w:t>
            </w:r>
            <w:r w:rsidRPr="00653395">
              <w:rPr>
                <w:i/>
                <w:sz w:val="20"/>
                <w:szCs w:val="20"/>
              </w:rPr>
              <w:t>Charter</w:t>
            </w:r>
            <w:r w:rsidRPr="00653395">
              <w:rPr>
                <w:sz w:val="20"/>
                <w:szCs w:val="20"/>
              </w:rPr>
              <w:t xml:space="preserve"> - Whether stay of execution of Court of Appeal’s declaration of invalidity should be ordered pending this Court’s decision on constitutional questions raised in this case.</w:t>
            </w:r>
          </w:p>
        </w:tc>
        <w:tc>
          <w:tcPr>
            <w:tcW w:w="720" w:type="dxa"/>
            <w:tcMar>
              <w:left w:w="0" w:type="dxa"/>
              <w:right w:w="0" w:type="dxa"/>
            </w:tcMar>
          </w:tcPr>
          <w:p w:rsidR="00BF47C1" w:rsidRPr="001A10F4" w:rsidRDefault="00BF47C1" w:rsidP="008B6D36">
            <w:pPr>
              <w:widowControl w:val="0"/>
              <w:jc w:val="center"/>
              <w:rPr>
                <w:sz w:val="20"/>
                <w:szCs w:val="20"/>
              </w:rPr>
            </w:pPr>
          </w:p>
        </w:tc>
        <w:tc>
          <w:tcPr>
            <w:tcW w:w="4380" w:type="dxa"/>
            <w:tcMar>
              <w:left w:w="0" w:type="dxa"/>
              <w:right w:w="0" w:type="dxa"/>
            </w:tcMar>
          </w:tcPr>
          <w:p w:rsidR="00BF47C1" w:rsidRPr="007D61EC" w:rsidRDefault="00BF47C1" w:rsidP="008B6D36">
            <w:pPr>
              <w:widowControl w:val="0"/>
              <w:jc w:val="both"/>
              <w:rPr>
                <w:b/>
                <w:sz w:val="20"/>
                <w:szCs w:val="20"/>
                <w:u w:val="single"/>
                <w:lang w:val="fr-CA"/>
              </w:rPr>
            </w:pPr>
            <w:r w:rsidRPr="007D61EC">
              <w:rPr>
                <w:b/>
                <w:sz w:val="20"/>
                <w:szCs w:val="20"/>
                <w:u w:val="single"/>
                <w:lang w:val="fr-CA"/>
              </w:rPr>
              <w:t>Nature de la cause :</w:t>
            </w:r>
          </w:p>
          <w:p w:rsidR="00653395" w:rsidRPr="007D61EC" w:rsidRDefault="00653395" w:rsidP="00653395">
            <w:pPr>
              <w:jc w:val="both"/>
              <w:rPr>
                <w:i/>
                <w:sz w:val="20"/>
                <w:szCs w:val="20"/>
                <w:lang w:val="fr-CA"/>
              </w:rPr>
            </w:pPr>
          </w:p>
          <w:p w:rsidR="00653395" w:rsidRDefault="00653395" w:rsidP="007D61EC">
            <w:pPr>
              <w:jc w:val="both"/>
              <w:rPr>
                <w:sz w:val="20"/>
                <w:szCs w:val="20"/>
                <w:lang w:val="fr-CA"/>
              </w:rPr>
            </w:pPr>
            <w:r w:rsidRPr="007D61EC">
              <w:rPr>
                <w:i/>
                <w:sz w:val="20"/>
                <w:szCs w:val="20"/>
                <w:lang w:val="fr-CA"/>
              </w:rPr>
              <w:t>Charte des droits</w:t>
            </w:r>
            <w:r w:rsidRPr="007D61EC">
              <w:rPr>
                <w:sz w:val="20"/>
                <w:szCs w:val="20"/>
                <w:lang w:val="fr-CA"/>
              </w:rPr>
              <w:t xml:space="preserve"> - Justice fondamentale - Indépendance du poursuivant - Appels - Tribunaux - Compétence - Jugements et ordonnances - Sursis à l’exécution - L’article 230.1 de la </w:t>
            </w:r>
            <w:r w:rsidRPr="007D61EC">
              <w:rPr>
                <w:i/>
                <w:sz w:val="20"/>
                <w:szCs w:val="20"/>
                <w:lang w:val="fr-CA"/>
              </w:rPr>
              <w:t>Loi sur la défense nationale</w:t>
            </w:r>
            <w:r w:rsidRPr="007D61EC">
              <w:rPr>
                <w:sz w:val="20"/>
                <w:szCs w:val="20"/>
                <w:lang w:val="fr-CA"/>
              </w:rPr>
              <w:t xml:space="preserve">, L.R.C. 1985, c. N-5, viole-t-il l’art. 7 de la </w:t>
            </w:r>
            <w:r w:rsidRPr="007D61EC">
              <w:rPr>
                <w:i/>
                <w:sz w:val="20"/>
                <w:szCs w:val="20"/>
                <w:lang w:val="fr-CA"/>
              </w:rPr>
              <w:t>Charte canadienne des droits et libertés</w:t>
            </w:r>
            <w:r w:rsidRPr="007D61EC">
              <w:rPr>
                <w:sz w:val="20"/>
                <w:szCs w:val="20"/>
                <w:lang w:val="fr-CA"/>
              </w:rPr>
              <w:t xml:space="preserve">? - Dans l’affirmative, cette atteinte constitue-t-elle une limite raisonnable prescrite par une règle de droit dont la justification peut se démontrer dans le cadre d’une société libre et démocratique suivant l’article premier de la </w:t>
            </w:r>
            <w:r w:rsidRPr="007D61EC">
              <w:rPr>
                <w:i/>
                <w:sz w:val="20"/>
                <w:szCs w:val="20"/>
                <w:lang w:val="fr-CA"/>
              </w:rPr>
              <w:t>Charte</w:t>
            </w:r>
            <w:r w:rsidRPr="007D61EC">
              <w:rPr>
                <w:sz w:val="20"/>
                <w:szCs w:val="20"/>
                <w:lang w:val="fr-CA"/>
              </w:rPr>
              <w:t xml:space="preserve">? - L’article 230.1 de la </w:t>
            </w:r>
            <w:r w:rsidRPr="007D61EC">
              <w:rPr>
                <w:i/>
                <w:sz w:val="20"/>
                <w:szCs w:val="20"/>
                <w:lang w:val="fr-CA"/>
              </w:rPr>
              <w:t>Loi sur la défense nationale</w:t>
            </w:r>
            <w:r w:rsidRPr="007D61EC">
              <w:rPr>
                <w:sz w:val="20"/>
                <w:szCs w:val="20"/>
                <w:lang w:val="fr-CA"/>
              </w:rPr>
              <w:t xml:space="preserve"> viole-t-il l’al. 11</w:t>
            </w:r>
            <w:r w:rsidRPr="007D61EC">
              <w:rPr>
                <w:i/>
                <w:sz w:val="20"/>
                <w:szCs w:val="20"/>
                <w:lang w:val="fr-CA"/>
              </w:rPr>
              <w:t>d</w:t>
            </w:r>
            <w:r w:rsidRPr="007D61EC">
              <w:rPr>
                <w:sz w:val="20"/>
                <w:szCs w:val="20"/>
                <w:lang w:val="fr-CA"/>
              </w:rPr>
              <w:t xml:space="preserve">) de la </w:t>
            </w:r>
            <w:r w:rsidRPr="007D61EC">
              <w:rPr>
                <w:i/>
                <w:sz w:val="20"/>
                <w:szCs w:val="20"/>
                <w:lang w:val="fr-CA"/>
              </w:rPr>
              <w:t>Charte</w:t>
            </w:r>
            <w:r w:rsidRPr="007D61EC">
              <w:rPr>
                <w:sz w:val="20"/>
                <w:szCs w:val="20"/>
                <w:lang w:val="fr-CA"/>
              </w:rPr>
              <w:t xml:space="preserve">? - Dans l’affirmative, cette atteinte constitue-t-elle une limite raisonnable prescrite par une règle de droit dont la justification peut se démontrer dans le cadre d’une société libre et démocratique suivant l’article premier de la </w:t>
            </w:r>
            <w:r w:rsidRPr="007D61EC">
              <w:rPr>
                <w:i/>
                <w:sz w:val="20"/>
                <w:szCs w:val="20"/>
                <w:lang w:val="fr-CA"/>
              </w:rPr>
              <w:t>Charte</w:t>
            </w:r>
            <w:r w:rsidRPr="007D61EC">
              <w:rPr>
                <w:sz w:val="20"/>
                <w:szCs w:val="20"/>
                <w:lang w:val="fr-CA"/>
              </w:rPr>
              <w:t>? - Un sursis d’exécution de la déclaration d’invalidité prononcée par la Cour d’appel devrait-il être ordonné jusqu’à ce que cette Cour ait rendu son jugement sur les questions constitutionnelles soulevées dans ce dossier?</w:t>
            </w:r>
          </w:p>
          <w:p w:rsidR="00B56CC4" w:rsidRPr="007D61EC" w:rsidRDefault="00B56CC4" w:rsidP="007D61EC">
            <w:pPr>
              <w:jc w:val="both"/>
              <w:rPr>
                <w:sz w:val="20"/>
                <w:szCs w:val="20"/>
                <w:lang w:val="fr-CA"/>
              </w:rPr>
            </w:pPr>
          </w:p>
        </w:tc>
      </w:tr>
    </w:tbl>
    <w:p w:rsidR="00BF47C1" w:rsidRPr="00BF47C1" w:rsidRDefault="00D75D0F" w:rsidP="00732DB7">
      <w:pPr>
        <w:widowControl w:val="0"/>
        <w:rPr>
          <w:sz w:val="20"/>
          <w:szCs w:val="20"/>
          <w:lang w:val="fr-CA"/>
        </w:rPr>
      </w:pPr>
      <w:r>
        <w:rPr>
          <w:sz w:val="20"/>
          <w:szCs w:val="20"/>
          <w:lang w:val="fr-CA"/>
        </w:rPr>
        <w:pict>
          <v:rect id="_x0000_i1059" style="width:2in;height:1pt" o:hrpct="0" o:hralign="center" o:hrstd="t" o:hrnoshade="t" o:hr="t" fillcolor="black [3213]" stroked="f"/>
        </w:pict>
      </w:r>
    </w:p>
    <w:p w:rsidR="00C854BC" w:rsidRDefault="00C854BC">
      <w:pPr>
        <w:rPr>
          <w:sz w:val="20"/>
          <w:szCs w:val="20"/>
        </w:rPr>
      </w:pPr>
      <w:r>
        <w:rPr>
          <w:sz w:val="20"/>
          <w:szCs w:val="20"/>
        </w:rPr>
        <w:br w:type="page"/>
      </w:r>
    </w:p>
    <w:p w:rsidR="00D87C9A" w:rsidRPr="00BF47C1" w:rsidRDefault="00D87C9A" w:rsidP="00D87C9A">
      <w:pPr>
        <w:widowControl w:val="0"/>
        <w:rPr>
          <w:sz w:val="20"/>
          <w:szCs w:val="20"/>
        </w:rPr>
      </w:pPr>
      <w:r w:rsidRPr="00BF47C1">
        <w:rPr>
          <w:sz w:val="20"/>
          <w:szCs w:val="20"/>
        </w:rPr>
        <w:t>2</w:t>
      </w:r>
      <w:r w:rsidR="004514F3">
        <w:rPr>
          <w:sz w:val="20"/>
          <w:szCs w:val="20"/>
        </w:rPr>
        <w:t>6</w:t>
      </w:r>
      <w:r w:rsidRPr="00BF47C1">
        <w:rPr>
          <w:sz w:val="20"/>
          <w:szCs w:val="20"/>
        </w:rPr>
        <w:t>.04.2016</w:t>
      </w:r>
    </w:p>
    <w:p w:rsidR="00D87C9A" w:rsidRPr="00BF47C1" w:rsidRDefault="00D87C9A" w:rsidP="00D87C9A">
      <w:pPr>
        <w:widowControl w:val="0"/>
        <w:rPr>
          <w:sz w:val="20"/>
          <w:szCs w:val="20"/>
        </w:rPr>
      </w:pPr>
    </w:p>
    <w:p w:rsidR="00D87C9A" w:rsidRPr="003620F1" w:rsidRDefault="00D87C9A" w:rsidP="00D87C9A">
      <w:pPr>
        <w:widowControl w:val="0"/>
        <w:ind w:left="720" w:hanging="720"/>
        <w:rPr>
          <w:sz w:val="20"/>
          <w:szCs w:val="20"/>
          <w:u w:val="single"/>
        </w:rPr>
      </w:pPr>
      <w:r w:rsidRPr="003620F1">
        <w:rPr>
          <w:sz w:val="20"/>
          <w:szCs w:val="20"/>
        </w:rPr>
        <w:t xml:space="preserve">Coram: </w:t>
      </w:r>
      <w:r w:rsidRPr="003620F1">
        <w:rPr>
          <w:sz w:val="20"/>
          <w:szCs w:val="20"/>
        </w:rPr>
        <w:tab/>
      </w:r>
      <w:r w:rsidRPr="003620F1">
        <w:rPr>
          <w:sz w:val="20"/>
          <w:szCs w:val="20"/>
          <w:u w:val="single"/>
        </w:rPr>
        <w:t xml:space="preserve">Chief Justice McLachlin and Cromwell, Moldaver, Karakatsanis, Wagner, Côté </w:t>
      </w:r>
      <w:r>
        <w:rPr>
          <w:sz w:val="20"/>
          <w:szCs w:val="20"/>
          <w:u w:val="single"/>
        </w:rPr>
        <w:t>and</w:t>
      </w:r>
      <w:r w:rsidRPr="003620F1">
        <w:rPr>
          <w:sz w:val="20"/>
          <w:szCs w:val="20"/>
          <w:u w:val="single"/>
        </w:rPr>
        <w:t xml:space="preserve"> Brown</w:t>
      </w:r>
      <w:r>
        <w:rPr>
          <w:sz w:val="20"/>
          <w:szCs w:val="20"/>
          <w:u w:val="single"/>
        </w:rPr>
        <w:t xml:space="preserve"> JJ.</w:t>
      </w:r>
    </w:p>
    <w:p w:rsidR="00D87C9A" w:rsidRPr="003620F1" w:rsidRDefault="00D87C9A" w:rsidP="00D87C9A">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410"/>
        <w:gridCol w:w="690"/>
        <w:gridCol w:w="4380"/>
      </w:tblGrid>
      <w:tr w:rsidR="00D87C9A" w:rsidRPr="00D87C9A" w:rsidTr="008B6D36">
        <w:tc>
          <w:tcPr>
            <w:tcW w:w="4410" w:type="dxa"/>
            <w:tcMar>
              <w:left w:w="0" w:type="dxa"/>
              <w:right w:w="0" w:type="dxa"/>
            </w:tcMar>
          </w:tcPr>
          <w:p w:rsidR="00D87C9A" w:rsidRDefault="00D87C9A" w:rsidP="008B6D36">
            <w:pPr>
              <w:widowControl w:val="0"/>
              <w:rPr>
                <w:b/>
                <w:sz w:val="20"/>
                <w:szCs w:val="20"/>
              </w:rPr>
            </w:pPr>
            <w:r>
              <w:rPr>
                <w:b/>
                <w:sz w:val="20"/>
                <w:szCs w:val="20"/>
              </w:rPr>
              <w:t>Musqueam Indian Band</w:t>
            </w:r>
          </w:p>
          <w:p w:rsidR="00D87C9A" w:rsidRDefault="00D87C9A" w:rsidP="008B6D36">
            <w:pPr>
              <w:widowControl w:val="0"/>
              <w:rPr>
                <w:b/>
                <w:sz w:val="20"/>
                <w:szCs w:val="20"/>
              </w:rPr>
            </w:pPr>
          </w:p>
          <w:p w:rsidR="00D87C9A" w:rsidRDefault="00D87C9A" w:rsidP="008B6D36">
            <w:pPr>
              <w:widowControl w:val="0"/>
              <w:rPr>
                <w:b/>
                <w:sz w:val="20"/>
                <w:szCs w:val="20"/>
              </w:rPr>
            </w:pPr>
            <w:r>
              <w:rPr>
                <w:b/>
                <w:sz w:val="20"/>
                <w:szCs w:val="20"/>
              </w:rPr>
              <w:tab/>
              <w:t>v. (36478)</w:t>
            </w:r>
          </w:p>
          <w:p w:rsidR="00D87C9A" w:rsidRDefault="00D87C9A" w:rsidP="008B6D36">
            <w:pPr>
              <w:widowControl w:val="0"/>
              <w:rPr>
                <w:b/>
                <w:sz w:val="20"/>
                <w:szCs w:val="20"/>
              </w:rPr>
            </w:pPr>
          </w:p>
          <w:p w:rsidR="00D87C9A" w:rsidRPr="003620F1" w:rsidRDefault="00D87C9A" w:rsidP="008B6D36">
            <w:pPr>
              <w:widowControl w:val="0"/>
              <w:rPr>
                <w:b/>
                <w:sz w:val="20"/>
                <w:szCs w:val="20"/>
              </w:rPr>
            </w:pPr>
            <w:r>
              <w:rPr>
                <w:b/>
                <w:sz w:val="20"/>
                <w:szCs w:val="20"/>
              </w:rPr>
              <w:t>Musqueam Indian Band Board of Review et al. (B.C.) (Civil) (By Leave)</w:t>
            </w:r>
          </w:p>
        </w:tc>
        <w:tc>
          <w:tcPr>
            <w:tcW w:w="690" w:type="dxa"/>
            <w:tcMar>
              <w:left w:w="0" w:type="dxa"/>
              <w:right w:w="0" w:type="dxa"/>
            </w:tcMar>
          </w:tcPr>
          <w:p w:rsidR="00D87C9A" w:rsidRPr="003620F1" w:rsidRDefault="00D87C9A" w:rsidP="008B6D36">
            <w:pPr>
              <w:widowControl w:val="0"/>
              <w:jc w:val="center"/>
              <w:rPr>
                <w:sz w:val="20"/>
                <w:szCs w:val="20"/>
              </w:rPr>
            </w:pPr>
          </w:p>
        </w:tc>
        <w:tc>
          <w:tcPr>
            <w:tcW w:w="4380" w:type="dxa"/>
            <w:tcMar>
              <w:left w:w="0" w:type="dxa"/>
              <w:right w:w="0" w:type="dxa"/>
            </w:tcMar>
          </w:tcPr>
          <w:p w:rsidR="00D87C9A" w:rsidRPr="00AF06F4" w:rsidRDefault="00D87C9A" w:rsidP="00D87C9A">
            <w:pPr>
              <w:tabs>
                <w:tab w:val="left" w:pos="-2970"/>
              </w:tabs>
              <w:jc w:val="both"/>
              <w:rPr>
                <w:sz w:val="20"/>
                <w:szCs w:val="20"/>
              </w:rPr>
            </w:pPr>
            <w:r w:rsidRPr="00AF06F4">
              <w:rPr>
                <w:sz w:val="20"/>
                <w:szCs w:val="20"/>
              </w:rPr>
              <w:t>Maria Morellato, Q.C., James I. Reynolds and Aaron Wilson for the appellant.</w:t>
            </w:r>
          </w:p>
          <w:p w:rsidR="00D87C9A" w:rsidRPr="00AF06F4" w:rsidRDefault="00D87C9A" w:rsidP="00D87C9A">
            <w:pPr>
              <w:jc w:val="both"/>
              <w:rPr>
                <w:sz w:val="20"/>
                <w:szCs w:val="20"/>
              </w:rPr>
            </w:pPr>
          </w:p>
          <w:p w:rsidR="00D87C9A" w:rsidRPr="00AF06F4" w:rsidRDefault="00D87C9A" w:rsidP="00D87C9A">
            <w:pPr>
              <w:tabs>
                <w:tab w:val="left" w:pos="-2970"/>
              </w:tabs>
              <w:jc w:val="both"/>
              <w:rPr>
                <w:sz w:val="20"/>
                <w:szCs w:val="20"/>
              </w:rPr>
            </w:pPr>
            <w:r w:rsidRPr="00AF06F4">
              <w:rPr>
                <w:sz w:val="20"/>
                <w:szCs w:val="20"/>
              </w:rPr>
              <w:t>R. Bruce E. Hallsor and Greer Jacks for the respondent Assessor for the Musqueam Indian Band.</w:t>
            </w:r>
          </w:p>
          <w:p w:rsidR="00D87C9A" w:rsidRPr="00AF06F4" w:rsidRDefault="00D87C9A" w:rsidP="00D87C9A">
            <w:pPr>
              <w:jc w:val="both"/>
              <w:rPr>
                <w:sz w:val="20"/>
                <w:szCs w:val="20"/>
              </w:rPr>
            </w:pPr>
          </w:p>
          <w:p w:rsidR="00D87C9A" w:rsidRPr="00AF06F4" w:rsidRDefault="00D87C9A" w:rsidP="00D87C9A">
            <w:pPr>
              <w:tabs>
                <w:tab w:val="left" w:pos="-2970"/>
              </w:tabs>
              <w:jc w:val="both"/>
              <w:rPr>
                <w:sz w:val="20"/>
                <w:szCs w:val="20"/>
              </w:rPr>
            </w:pPr>
            <w:r w:rsidRPr="00AF06F4">
              <w:rPr>
                <w:sz w:val="20"/>
                <w:szCs w:val="20"/>
              </w:rPr>
              <w:t xml:space="preserve">John J.L. Hunter, Q.C. and Ludmila B. Herbst, Q.C for the respondent Shaughnessy Golf and Country Club. </w:t>
            </w:r>
          </w:p>
          <w:p w:rsidR="00D87C9A" w:rsidRPr="00AF06F4" w:rsidRDefault="00D87C9A" w:rsidP="00D87C9A">
            <w:pPr>
              <w:tabs>
                <w:tab w:val="left" w:pos="-2970"/>
              </w:tabs>
              <w:jc w:val="both"/>
              <w:rPr>
                <w:sz w:val="20"/>
                <w:szCs w:val="20"/>
              </w:rPr>
            </w:pPr>
          </w:p>
          <w:p w:rsidR="00D87C9A" w:rsidRPr="00AF06F4" w:rsidRDefault="00D87C9A" w:rsidP="00D87C9A">
            <w:pPr>
              <w:tabs>
                <w:tab w:val="left" w:pos="-2970"/>
              </w:tabs>
              <w:jc w:val="both"/>
              <w:rPr>
                <w:sz w:val="20"/>
                <w:szCs w:val="20"/>
              </w:rPr>
            </w:pPr>
            <w:r w:rsidRPr="00AF06F4">
              <w:rPr>
                <w:sz w:val="20"/>
                <w:szCs w:val="20"/>
              </w:rPr>
              <w:t>No one appearing for the respondent Musqueam Indian Band Board of Review.</w:t>
            </w:r>
          </w:p>
          <w:p w:rsidR="00D87C9A" w:rsidRPr="00AF06F4" w:rsidRDefault="00D87C9A" w:rsidP="00D87C9A">
            <w:pPr>
              <w:tabs>
                <w:tab w:val="left" w:pos="-2970"/>
              </w:tabs>
              <w:jc w:val="both"/>
              <w:rPr>
                <w:sz w:val="20"/>
                <w:szCs w:val="20"/>
              </w:rPr>
            </w:pPr>
          </w:p>
          <w:p w:rsidR="00D87C9A" w:rsidRPr="00AF06F4" w:rsidRDefault="00D87C9A" w:rsidP="00D87C9A">
            <w:pPr>
              <w:tabs>
                <w:tab w:val="left" w:pos="-2970"/>
              </w:tabs>
              <w:jc w:val="both"/>
              <w:rPr>
                <w:sz w:val="20"/>
                <w:szCs w:val="20"/>
              </w:rPr>
            </w:pPr>
            <w:r w:rsidRPr="00AF06F4">
              <w:rPr>
                <w:sz w:val="20"/>
                <w:szCs w:val="20"/>
              </w:rPr>
              <w:t>No one appearing for the intervener Council for the Advancement of Native Development Officers (Written submissions only).</w:t>
            </w:r>
          </w:p>
          <w:p w:rsidR="00D87C9A" w:rsidRPr="00D87C9A" w:rsidRDefault="00D87C9A" w:rsidP="008B6D36">
            <w:pPr>
              <w:tabs>
                <w:tab w:val="left" w:pos="-2970"/>
              </w:tabs>
              <w:rPr>
                <w:sz w:val="20"/>
                <w:szCs w:val="20"/>
              </w:rPr>
            </w:pPr>
          </w:p>
        </w:tc>
      </w:tr>
    </w:tbl>
    <w:p w:rsidR="00D87C9A" w:rsidRPr="00D87C9A" w:rsidRDefault="00D87C9A" w:rsidP="00D87C9A">
      <w:pPr>
        <w:widowControl w:val="0"/>
        <w:rPr>
          <w:sz w:val="20"/>
          <w:szCs w:val="20"/>
        </w:rPr>
      </w:pPr>
    </w:p>
    <w:p w:rsidR="00D87C9A" w:rsidRPr="0085476B" w:rsidRDefault="00D87C9A" w:rsidP="00D87C9A">
      <w:pPr>
        <w:widowControl w:val="0"/>
        <w:rPr>
          <w:sz w:val="20"/>
          <w:szCs w:val="20"/>
        </w:rPr>
      </w:pPr>
      <w:r>
        <w:rPr>
          <w:b/>
          <w:sz w:val="20"/>
          <w:szCs w:val="20"/>
        </w:rPr>
        <w:t>RESERV</w:t>
      </w:r>
      <w:r w:rsidRPr="0085476B">
        <w:rPr>
          <w:b/>
          <w:sz w:val="20"/>
          <w:szCs w:val="20"/>
        </w:rPr>
        <w:t xml:space="preserve">ED / </w:t>
      </w:r>
      <w:r w:rsidRPr="000102B3">
        <w:rPr>
          <w:b/>
          <w:sz w:val="20"/>
          <w:szCs w:val="20"/>
        </w:rPr>
        <w:t>EN DÉLIBÉRÉ</w:t>
      </w:r>
    </w:p>
    <w:p w:rsidR="00D87C9A" w:rsidRDefault="00D87C9A" w:rsidP="00D87C9A"/>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87C9A" w:rsidRPr="00D75D0F" w:rsidTr="008B6D36">
        <w:tc>
          <w:tcPr>
            <w:tcW w:w="4380" w:type="dxa"/>
            <w:tcMar>
              <w:left w:w="0" w:type="dxa"/>
              <w:right w:w="0" w:type="dxa"/>
            </w:tcMar>
          </w:tcPr>
          <w:p w:rsidR="00D87C9A" w:rsidRPr="00D87C9A" w:rsidRDefault="00D87C9A" w:rsidP="008B6D36">
            <w:pPr>
              <w:widowControl w:val="0"/>
              <w:jc w:val="both"/>
              <w:rPr>
                <w:b/>
                <w:sz w:val="20"/>
                <w:szCs w:val="20"/>
                <w:u w:val="single"/>
              </w:rPr>
            </w:pPr>
            <w:r w:rsidRPr="00D87C9A">
              <w:rPr>
                <w:b/>
                <w:sz w:val="20"/>
                <w:szCs w:val="20"/>
                <w:u w:val="single"/>
              </w:rPr>
              <w:t>Nature of the case:</w:t>
            </w:r>
          </w:p>
          <w:p w:rsidR="00D87C9A" w:rsidRPr="00D87C9A" w:rsidRDefault="00D87C9A" w:rsidP="008B6D36">
            <w:pPr>
              <w:widowControl w:val="0"/>
              <w:jc w:val="both"/>
              <w:rPr>
                <w:b/>
                <w:sz w:val="20"/>
                <w:szCs w:val="20"/>
              </w:rPr>
            </w:pPr>
          </w:p>
          <w:p w:rsidR="00D87C9A" w:rsidRPr="00D87C9A" w:rsidRDefault="00D87C9A" w:rsidP="00D87C9A">
            <w:pPr>
              <w:jc w:val="both"/>
              <w:rPr>
                <w:sz w:val="20"/>
                <w:szCs w:val="20"/>
              </w:rPr>
            </w:pPr>
            <w:r w:rsidRPr="005A0D3C">
              <w:rPr>
                <w:sz w:val="20"/>
                <w:szCs w:val="20"/>
              </w:rPr>
              <w:t>Aboriginal law - Indian Reserves - Indian Band By-laws - Taxation - Property Assessments - Interpretation - Taxation Legislation - Golf course operating on Indian Reserve and paying rent and taxes to Indian Band - Band challenging property tax assessment on the basis that the property’s highest and best use should reflect its potential residential use - Whether Court of Appeal erred in its interpretation and application of Band’s property assessment Bylaw - Whether Court of Appeal erred in concluding that use of property in question as golf and country club, as provided in lease with Crown, was a “restriction” that was “placed… by the band” and could therefore be considered in determining property’s actual value for assessment and taxation purposes - Whether Court of Appeal erred by reading in words to Bylaw, by disregarding relevant facts and conflating knowledge of proposed use with placement of restriction, by not applying general principle of assessment law reflected in Bylaw, and by disregarding annual nature of assessments and appeals</w:t>
            </w:r>
            <w:r>
              <w:rPr>
                <w:sz w:val="20"/>
                <w:szCs w:val="20"/>
              </w:rPr>
              <w:t>?</w:t>
            </w:r>
          </w:p>
        </w:tc>
        <w:tc>
          <w:tcPr>
            <w:tcW w:w="720" w:type="dxa"/>
            <w:tcMar>
              <w:left w:w="0" w:type="dxa"/>
              <w:right w:w="0" w:type="dxa"/>
            </w:tcMar>
          </w:tcPr>
          <w:p w:rsidR="00D87C9A" w:rsidRPr="00D87C9A" w:rsidRDefault="00D87C9A" w:rsidP="008B6D36">
            <w:pPr>
              <w:widowControl w:val="0"/>
              <w:jc w:val="center"/>
              <w:rPr>
                <w:sz w:val="20"/>
                <w:szCs w:val="20"/>
              </w:rPr>
            </w:pPr>
          </w:p>
        </w:tc>
        <w:tc>
          <w:tcPr>
            <w:tcW w:w="4380" w:type="dxa"/>
            <w:tcMar>
              <w:left w:w="0" w:type="dxa"/>
              <w:right w:w="0" w:type="dxa"/>
            </w:tcMar>
          </w:tcPr>
          <w:p w:rsidR="00D87C9A" w:rsidRPr="00D87C9A" w:rsidRDefault="00D87C9A" w:rsidP="008B6D36">
            <w:pPr>
              <w:widowControl w:val="0"/>
              <w:jc w:val="both"/>
              <w:rPr>
                <w:b/>
                <w:sz w:val="20"/>
                <w:szCs w:val="20"/>
                <w:u w:val="single"/>
                <w:lang w:val="fr-CA"/>
              </w:rPr>
            </w:pPr>
            <w:r w:rsidRPr="00D87C9A">
              <w:rPr>
                <w:b/>
                <w:sz w:val="20"/>
                <w:szCs w:val="20"/>
                <w:u w:val="single"/>
                <w:lang w:val="fr-CA"/>
              </w:rPr>
              <w:t>Nature de la cause :</w:t>
            </w:r>
          </w:p>
          <w:p w:rsidR="00D87C9A" w:rsidRPr="00D87C9A" w:rsidRDefault="00D87C9A" w:rsidP="008B6D36">
            <w:pPr>
              <w:jc w:val="both"/>
              <w:rPr>
                <w:i/>
                <w:sz w:val="20"/>
                <w:szCs w:val="20"/>
                <w:lang w:val="fr-CA"/>
              </w:rPr>
            </w:pPr>
          </w:p>
          <w:p w:rsidR="00D87C9A" w:rsidRDefault="00D87C9A" w:rsidP="00B56CC4">
            <w:pPr>
              <w:jc w:val="both"/>
              <w:rPr>
                <w:sz w:val="20"/>
                <w:szCs w:val="20"/>
                <w:lang w:val="fr-CA"/>
              </w:rPr>
            </w:pPr>
            <w:r w:rsidRPr="00B828B6">
              <w:rPr>
                <w:sz w:val="20"/>
                <w:szCs w:val="20"/>
                <w:lang w:val="fr-CA"/>
              </w:rPr>
              <w:t xml:space="preserve">Droit des autochtones - Réserves indiennes - Règlements pris par une bande indienne - Fiscalité - Évaluation foncière - Interprétation - Lois fiscales - Terrain de golf exploité sur une réserve indienne et payant un loyer et des taxes à la bande indienne - La bande conteste la cotisation de taxes foncières, car selon elle, l’utilisation optimale du bien-fonds doit correspondre à son utilisation éventuelle à des fins résidentielles - La Cour d’appel a-t-elle commis une erreur dans son interprétation et son application du règlement d’évaluation foncière de la bande? - La Cour d’appel a-t-elle commis une erreur en concluant que l’utilisation du bien-fonds comme terrain de golf, prévue dans le bail conclu avec la Couronne, constituait une « restriction imposée [. . .] par la bande » dont on pouvait tenir compte pour déterminer la valeur réelle du bien-fonds aux fins d’évaluation et d’imposition? La Cour d’appel a-t-elle commis une erreur en interprétant largement le règlement, en faisant fi de faits pertinents, en confondant la connaissance de l’utilisation proposée avec l’imposition d’une restriction, en n’appliquant pas le principe général régissant les évaluations repris dans le règlement et en ne tenant pas compte du caractère annuel des évaluations et des appels? </w:t>
            </w:r>
          </w:p>
          <w:p w:rsidR="00B56CC4" w:rsidRPr="00D87C9A" w:rsidRDefault="00B56CC4" w:rsidP="00D87C9A">
            <w:pPr>
              <w:rPr>
                <w:sz w:val="20"/>
                <w:szCs w:val="20"/>
                <w:lang w:val="fr-CA"/>
              </w:rPr>
            </w:pPr>
          </w:p>
        </w:tc>
      </w:tr>
    </w:tbl>
    <w:p w:rsidR="00D87C9A" w:rsidRPr="00BF47C1" w:rsidRDefault="00D75D0F" w:rsidP="00D87C9A">
      <w:pPr>
        <w:widowControl w:val="0"/>
        <w:rPr>
          <w:sz w:val="20"/>
          <w:szCs w:val="20"/>
          <w:lang w:val="fr-CA"/>
        </w:rPr>
      </w:pPr>
      <w:r>
        <w:rPr>
          <w:sz w:val="20"/>
          <w:szCs w:val="20"/>
          <w:lang w:val="fr-CA"/>
        </w:rPr>
        <w:pict>
          <v:rect id="_x0000_i1060" style="width:2in;height:1pt" o:hrpct="0" o:hralign="center" o:hrstd="t" o:hrnoshade="t" o:hr="t" fillcolor="black [3213]" stroked="f"/>
        </w:pict>
      </w:r>
    </w:p>
    <w:p w:rsidR="00D87C9A" w:rsidRDefault="00D87C9A" w:rsidP="00D87C9A">
      <w:pPr>
        <w:widowControl w:val="0"/>
        <w:rPr>
          <w:sz w:val="20"/>
          <w:szCs w:val="20"/>
          <w:lang w:val="fr-CA"/>
        </w:rPr>
      </w:pPr>
    </w:p>
    <w:p w:rsidR="00C854BC" w:rsidRDefault="00C854BC">
      <w:pPr>
        <w:rPr>
          <w:sz w:val="20"/>
          <w:szCs w:val="20"/>
        </w:rPr>
      </w:pPr>
      <w:r>
        <w:rPr>
          <w:sz w:val="20"/>
          <w:szCs w:val="20"/>
        </w:rPr>
        <w:br w:type="page"/>
      </w:r>
    </w:p>
    <w:p w:rsidR="00A53E1B" w:rsidRPr="00BF47C1" w:rsidRDefault="00A53E1B" w:rsidP="00A53E1B">
      <w:pPr>
        <w:widowControl w:val="0"/>
        <w:rPr>
          <w:sz w:val="20"/>
          <w:szCs w:val="20"/>
        </w:rPr>
      </w:pPr>
      <w:r w:rsidRPr="00BF47C1">
        <w:rPr>
          <w:sz w:val="20"/>
          <w:szCs w:val="20"/>
        </w:rPr>
        <w:t>2</w:t>
      </w:r>
      <w:r>
        <w:rPr>
          <w:sz w:val="20"/>
          <w:szCs w:val="20"/>
        </w:rPr>
        <w:t>7</w:t>
      </w:r>
      <w:r w:rsidRPr="00BF47C1">
        <w:rPr>
          <w:sz w:val="20"/>
          <w:szCs w:val="20"/>
        </w:rPr>
        <w:t>.04.2016</w:t>
      </w:r>
    </w:p>
    <w:p w:rsidR="00A53E1B" w:rsidRPr="00BF47C1" w:rsidRDefault="00A53E1B" w:rsidP="00A53E1B">
      <w:pPr>
        <w:widowControl w:val="0"/>
        <w:rPr>
          <w:sz w:val="20"/>
          <w:szCs w:val="20"/>
        </w:rPr>
      </w:pPr>
    </w:p>
    <w:p w:rsidR="00A53E1B" w:rsidRPr="003620F1" w:rsidRDefault="00A53E1B" w:rsidP="00A53E1B">
      <w:pPr>
        <w:widowControl w:val="0"/>
        <w:ind w:left="720" w:hanging="720"/>
        <w:rPr>
          <w:sz w:val="20"/>
          <w:szCs w:val="20"/>
          <w:u w:val="single"/>
        </w:rPr>
      </w:pPr>
      <w:r w:rsidRPr="003620F1">
        <w:rPr>
          <w:sz w:val="20"/>
          <w:szCs w:val="20"/>
        </w:rPr>
        <w:t xml:space="preserve">Coram: </w:t>
      </w:r>
      <w:r w:rsidRPr="003620F1">
        <w:rPr>
          <w:sz w:val="20"/>
          <w:szCs w:val="20"/>
        </w:rPr>
        <w:tab/>
      </w:r>
      <w:r w:rsidRPr="003620F1">
        <w:rPr>
          <w:sz w:val="20"/>
          <w:szCs w:val="20"/>
          <w:u w:val="single"/>
        </w:rPr>
        <w:t xml:space="preserve">Chief Justice McLachlin and Abella, Cromwell, Moldaver, Karakatsanis, Wagner, Gascon, Côté </w:t>
      </w:r>
      <w:r>
        <w:rPr>
          <w:sz w:val="20"/>
          <w:szCs w:val="20"/>
          <w:u w:val="single"/>
        </w:rPr>
        <w:t>and</w:t>
      </w:r>
      <w:r w:rsidRPr="003620F1">
        <w:rPr>
          <w:sz w:val="20"/>
          <w:szCs w:val="20"/>
          <w:u w:val="single"/>
        </w:rPr>
        <w:t xml:space="preserve"> Brown</w:t>
      </w:r>
      <w:r>
        <w:rPr>
          <w:sz w:val="20"/>
          <w:szCs w:val="20"/>
          <w:u w:val="single"/>
        </w:rPr>
        <w:t xml:space="preserve"> JJ.</w:t>
      </w:r>
    </w:p>
    <w:p w:rsidR="00A53E1B" w:rsidRPr="003620F1" w:rsidRDefault="00A53E1B" w:rsidP="00A53E1B">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410"/>
        <w:gridCol w:w="690"/>
        <w:gridCol w:w="4380"/>
      </w:tblGrid>
      <w:tr w:rsidR="00A53E1B" w:rsidRPr="00A53E1B" w:rsidTr="008B6D36">
        <w:tc>
          <w:tcPr>
            <w:tcW w:w="4410" w:type="dxa"/>
            <w:tcMar>
              <w:left w:w="0" w:type="dxa"/>
              <w:right w:w="0" w:type="dxa"/>
            </w:tcMar>
          </w:tcPr>
          <w:p w:rsidR="00A53E1B" w:rsidRDefault="00A53E1B" w:rsidP="008B6D36">
            <w:pPr>
              <w:widowControl w:val="0"/>
              <w:rPr>
                <w:b/>
                <w:sz w:val="20"/>
                <w:szCs w:val="20"/>
              </w:rPr>
            </w:pPr>
            <w:r>
              <w:rPr>
                <w:b/>
                <w:sz w:val="20"/>
                <w:szCs w:val="20"/>
              </w:rPr>
              <w:t>Royal Bank of Canada</w:t>
            </w:r>
          </w:p>
          <w:p w:rsidR="00A53E1B" w:rsidRDefault="00A53E1B" w:rsidP="008B6D36">
            <w:pPr>
              <w:widowControl w:val="0"/>
              <w:rPr>
                <w:b/>
                <w:sz w:val="20"/>
                <w:szCs w:val="20"/>
              </w:rPr>
            </w:pPr>
          </w:p>
          <w:p w:rsidR="00A53E1B" w:rsidRDefault="00A53E1B" w:rsidP="008B6D36">
            <w:pPr>
              <w:widowControl w:val="0"/>
              <w:rPr>
                <w:b/>
                <w:sz w:val="20"/>
                <w:szCs w:val="20"/>
              </w:rPr>
            </w:pPr>
            <w:r>
              <w:rPr>
                <w:b/>
                <w:sz w:val="20"/>
                <w:szCs w:val="20"/>
              </w:rPr>
              <w:tab/>
              <w:t>v. (36296)</w:t>
            </w:r>
          </w:p>
          <w:p w:rsidR="00A53E1B" w:rsidRDefault="00A53E1B" w:rsidP="008B6D36">
            <w:pPr>
              <w:widowControl w:val="0"/>
              <w:rPr>
                <w:b/>
                <w:sz w:val="20"/>
                <w:szCs w:val="20"/>
              </w:rPr>
            </w:pPr>
          </w:p>
          <w:p w:rsidR="00A53E1B" w:rsidRPr="008B6D36" w:rsidRDefault="00A53E1B" w:rsidP="008B6D36">
            <w:pPr>
              <w:widowControl w:val="0"/>
              <w:rPr>
                <w:b/>
                <w:sz w:val="20"/>
                <w:szCs w:val="20"/>
              </w:rPr>
            </w:pPr>
            <w:r w:rsidRPr="008B6D36">
              <w:rPr>
                <w:b/>
                <w:sz w:val="20"/>
                <w:szCs w:val="20"/>
              </w:rPr>
              <w:t>Phat Trang, Phuong Trang a.k.a. Phuong Thi Trang et al. (Ont.) (Civil) (By Leave)</w:t>
            </w:r>
          </w:p>
        </w:tc>
        <w:tc>
          <w:tcPr>
            <w:tcW w:w="690" w:type="dxa"/>
            <w:tcMar>
              <w:left w:w="0" w:type="dxa"/>
              <w:right w:w="0" w:type="dxa"/>
            </w:tcMar>
          </w:tcPr>
          <w:p w:rsidR="00A53E1B" w:rsidRPr="008B6D36" w:rsidRDefault="00A53E1B" w:rsidP="008B6D36">
            <w:pPr>
              <w:widowControl w:val="0"/>
              <w:jc w:val="center"/>
              <w:rPr>
                <w:sz w:val="20"/>
                <w:szCs w:val="20"/>
              </w:rPr>
            </w:pPr>
          </w:p>
        </w:tc>
        <w:tc>
          <w:tcPr>
            <w:tcW w:w="4380" w:type="dxa"/>
            <w:tcMar>
              <w:left w:w="0" w:type="dxa"/>
              <w:right w:w="0" w:type="dxa"/>
            </w:tcMar>
          </w:tcPr>
          <w:p w:rsidR="00A53E1B" w:rsidRDefault="00A53E1B" w:rsidP="008B6D36">
            <w:pPr>
              <w:tabs>
                <w:tab w:val="left" w:pos="-2970"/>
              </w:tabs>
              <w:jc w:val="both"/>
              <w:rPr>
                <w:sz w:val="20"/>
                <w:szCs w:val="20"/>
              </w:rPr>
            </w:pPr>
            <w:r w:rsidRPr="00A53E1B">
              <w:rPr>
                <w:sz w:val="20"/>
                <w:szCs w:val="20"/>
              </w:rPr>
              <w:t>Catherine Beagan Flood, Peter W. Hogg, Q.C., Pamela Huff and Nickolas Tzoulas for the appellant.</w:t>
            </w:r>
          </w:p>
          <w:p w:rsidR="00A53E1B" w:rsidRDefault="00A53E1B" w:rsidP="008B6D36">
            <w:pPr>
              <w:tabs>
                <w:tab w:val="left" w:pos="-2970"/>
              </w:tabs>
              <w:jc w:val="both"/>
              <w:rPr>
                <w:sz w:val="20"/>
                <w:szCs w:val="20"/>
              </w:rPr>
            </w:pPr>
          </w:p>
          <w:p w:rsidR="00A53E1B" w:rsidRPr="00A53E1B" w:rsidRDefault="00A53E1B" w:rsidP="008B6D36">
            <w:pPr>
              <w:tabs>
                <w:tab w:val="left" w:pos="-2970"/>
              </w:tabs>
              <w:jc w:val="both"/>
              <w:rPr>
                <w:sz w:val="20"/>
                <w:szCs w:val="20"/>
              </w:rPr>
            </w:pPr>
            <w:r>
              <w:rPr>
                <w:sz w:val="20"/>
                <w:szCs w:val="20"/>
              </w:rPr>
              <w:t xml:space="preserve">Barbara McIsaac, Q.C. and Kate Wilson for the Amicus Curiae. </w:t>
            </w:r>
          </w:p>
        </w:tc>
      </w:tr>
    </w:tbl>
    <w:p w:rsidR="00A53E1B" w:rsidRPr="00A53E1B" w:rsidRDefault="00A53E1B" w:rsidP="00A53E1B">
      <w:pPr>
        <w:widowControl w:val="0"/>
        <w:rPr>
          <w:sz w:val="20"/>
          <w:szCs w:val="20"/>
        </w:rPr>
      </w:pPr>
    </w:p>
    <w:p w:rsidR="00A53E1B" w:rsidRPr="00A53E1B" w:rsidRDefault="00A53E1B" w:rsidP="00A53E1B">
      <w:pPr>
        <w:widowControl w:val="0"/>
        <w:rPr>
          <w:sz w:val="20"/>
          <w:szCs w:val="20"/>
          <w:lang w:val="fr-CA"/>
        </w:rPr>
      </w:pPr>
      <w:r w:rsidRPr="00A53E1B">
        <w:rPr>
          <w:b/>
          <w:sz w:val="20"/>
          <w:szCs w:val="20"/>
          <w:lang w:val="fr-CA"/>
        </w:rPr>
        <w:t>RESERVED / EN DÉLIBÉRÉ</w:t>
      </w:r>
    </w:p>
    <w:p w:rsidR="00A53E1B" w:rsidRPr="00A53E1B" w:rsidRDefault="00A53E1B" w:rsidP="00A53E1B">
      <w:pPr>
        <w:rPr>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A53E1B" w:rsidRPr="00D75D0F" w:rsidTr="008B6D36">
        <w:tc>
          <w:tcPr>
            <w:tcW w:w="4380" w:type="dxa"/>
            <w:tcMar>
              <w:left w:w="0" w:type="dxa"/>
              <w:right w:w="0" w:type="dxa"/>
            </w:tcMar>
          </w:tcPr>
          <w:p w:rsidR="00A53E1B" w:rsidRPr="00A53E1B" w:rsidRDefault="00A53E1B" w:rsidP="008B6D36">
            <w:pPr>
              <w:widowControl w:val="0"/>
              <w:jc w:val="both"/>
              <w:rPr>
                <w:b/>
                <w:sz w:val="20"/>
                <w:szCs w:val="20"/>
                <w:u w:val="single"/>
              </w:rPr>
            </w:pPr>
            <w:r w:rsidRPr="00A53E1B">
              <w:rPr>
                <w:b/>
                <w:sz w:val="20"/>
                <w:szCs w:val="20"/>
                <w:u w:val="single"/>
              </w:rPr>
              <w:t>Nature of the case:</w:t>
            </w:r>
          </w:p>
          <w:p w:rsidR="00A53E1B" w:rsidRPr="00A53E1B" w:rsidRDefault="00A53E1B" w:rsidP="008B6D36">
            <w:pPr>
              <w:widowControl w:val="0"/>
              <w:jc w:val="both"/>
              <w:rPr>
                <w:b/>
                <w:sz w:val="20"/>
                <w:szCs w:val="20"/>
              </w:rPr>
            </w:pPr>
          </w:p>
          <w:p w:rsidR="00A53E1B" w:rsidRPr="00A53E1B" w:rsidRDefault="00A53E1B" w:rsidP="00A53E1B">
            <w:pPr>
              <w:widowControl w:val="0"/>
              <w:jc w:val="both"/>
              <w:rPr>
                <w:sz w:val="20"/>
                <w:szCs w:val="20"/>
              </w:rPr>
            </w:pPr>
            <w:r w:rsidRPr="00B62149">
              <w:rPr>
                <w:sz w:val="20"/>
                <w:szCs w:val="20"/>
              </w:rPr>
              <w:t xml:space="preserve">Privacy - Protection of personal information - Creditor and debtor - Civil Procedure - How is implied consent under the </w:t>
            </w:r>
            <w:r w:rsidRPr="00B62149">
              <w:rPr>
                <w:i/>
                <w:sz w:val="20"/>
                <w:szCs w:val="20"/>
              </w:rPr>
              <w:t>Personal Information Protection and Electronic Documents Act</w:t>
            </w:r>
            <w:r w:rsidRPr="00B62149">
              <w:rPr>
                <w:sz w:val="20"/>
                <w:szCs w:val="20"/>
              </w:rPr>
              <w:t xml:space="preserve">, S.C. 2000 (“PIPEDA”) assessed? - Can consent of the Trangs to disclosure of their discharge statement to Royal Bank of Canada (“RBC”) be implied? - Given the exception in s. 7(3)(i) of PIPEDA for disclosure without consent where “required by law”, and the exception in s. 7(3)(b) for disclosure “for the purpose of collecting a debt owed by the individual to the organization”, could Scotiabank have disclosed a mortgage discharge statement to RBC after RBC filed its writ of seizure and sale, on the basis that Scotiabank had a right to be repaid from that sale? - Given  the “required by law” exception in s. 7(3)(i), could Scotiabank have disclosed the discharge statement to RBC without consent after the Trangs failed to attend an examination at which they were required by the </w:t>
            </w:r>
            <w:r w:rsidRPr="00B62149">
              <w:rPr>
                <w:i/>
                <w:sz w:val="20"/>
                <w:szCs w:val="20"/>
              </w:rPr>
              <w:t>Rules of Civil Procedure</w:t>
            </w:r>
            <w:r w:rsidRPr="00B62149">
              <w:rPr>
                <w:sz w:val="20"/>
                <w:szCs w:val="20"/>
              </w:rPr>
              <w:t xml:space="preserve"> to produce that personal information to RBC? - What effect, if any, does s. 7(3)(c) of PIPEDA have on the power of the courts to issue orders for production of personal information? - Could the courts below have issued an order that Scotiabank produce the mortgage discharge statement? - </w:t>
            </w:r>
            <w:r w:rsidRPr="00B62149">
              <w:rPr>
                <w:i/>
                <w:sz w:val="20"/>
                <w:szCs w:val="20"/>
              </w:rPr>
              <w:t>Personal Information Protection and Electronic Documents Act</w:t>
            </w:r>
            <w:r w:rsidRPr="00B62149">
              <w:rPr>
                <w:sz w:val="20"/>
                <w:szCs w:val="20"/>
              </w:rPr>
              <w:t>, S.C. 2000 (“</w:t>
            </w:r>
            <w:r w:rsidRPr="00B62149">
              <w:rPr>
                <w:i/>
                <w:sz w:val="20"/>
                <w:szCs w:val="20"/>
              </w:rPr>
              <w:t>PIPEDA</w:t>
            </w:r>
            <w:r w:rsidRPr="00B62149">
              <w:rPr>
                <w:sz w:val="20"/>
                <w:szCs w:val="20"/>
              </w:rPr>
              <w:t>”), c. 5, ss. 3, 7, and cl. 4.3.6 of Schedule 1.</w:t>
            </w:r>
          </w:p>
        </w:tc>
        <w:tc>
          <w:tcPr>
            <w:tcW w:w="720" w:type="dxa"/>
            <w:tcMar>
              <w:left w:w="0" w:type="dxa"/>
              <w:right w:w="0" w:type="dxa"/>
            </w:tcMar>
          </w:tcPr>
          <w:p w:rsidR="00A53E1B" w:rsidRPr="00A53E1B" w:rsidRDefault="00A53E1B" w:rsidP="008B6D36">
            <w:pPr>
              <w:widowControl w:val="0"/>
              <w:jc w:val="center"/>
              <w:rPr>
                <w:sz w:val="20"/>
                <w:szCs w:val="20"/>
              </w:rPr>
            </w:pPr>
          </w:p>
        </w:tc>
        <w:tc>
          <w:tcPr>
            <w:tcW w:w="4380" w:type="dxa"/>
            <w:tcMar>
              <w:left w:w="0" w:type="dxa"/>
              <w:right w:w="0" w:type="dxa"/>
            </w:tcMar>
          </w:tcPr>
          <w:p w:rsidR="00A53E1B" w:rsidRPr="007D61EC" w:rsidRDefault="00A53E1B" w:rsidP="008B6D36">
            <w:pPr>
              <w:widowControl w:val="0"/>
              <w:jc w:val="both"/>
              <w:rPr>
                <w:b/>
                <w:sz w:val="20"/>
                <w:szCs w:val="20"/>
                <w:u w:val="single"/>
                <w:lang w:val="fr-CA"/>
              </w:rPr>
            </w:pPr>
            <w:r w:rsidRPr="007D61EC">
              <w:rPr>
                <w:b/>
                <w:sz w:val="20"/>
                <w:szCs w:val="20"/>
                <w:u w:val="single"/>
                <w:lang w:val="fr-CA"/>
              </w:rPr>
              <w:t>Nature de la cause :</w:t>
            </w:r>
          </w:p>
          <w:p w:rsidR="00A53E1B" w:rsidRPr="007D61EC" w:rsidRDefault="00A53E1B" w:rsidP="008B6D36">
            <w:pPr>
              <w:jc w:val="both"/>
              <w:rPr>
                <w:i/>
                <w:sz w:val="20"/>
                <w:szCs w:val="20"/>
                <w:lang w:val="fr-CA"/>
              </w:rPr>
            </w:pPr>
          </w:p>
          <w:p w:rsidR="00A53E1B" w:rsidRPr="007D61EC" w:rsidRDefault="00A53E1B" w:rsidP="008B6D36">
            <w:pPr>
              <w:jc w:val="both"/>
              <w:rPr>
                <w:sz w:val="20"/>
                <w:szCs w:val="20"/>
                <w:lang w:val="fr-CA"/>
              </w:rPr>
            </w:pPr>
            <w:r w:rsidRPr="0079219F">
              <w:rPr>
                <w:sz w:val="20"/>
                <w:szCs w:val="20"/>
                <w:lang w:val="fr-CA"/>
              </w:rPr>
              <w:t xml:space="preserve">Protection des renseignements personnels - Créancier et débiteur - Procédure civile - Comment détermine-t-on s’il y a consentement implicite au sens de la </w:t>
            </w:r>
            <w:r w:rsidRPr="0079219F">
              <w:rPr>
                <w:i/>
                <w:sz w:val="20"/>
                <w:szCs w:val="20"/>
                <w:lang w:val="fr-CA"/>
              </w:rPr>
              <w:t>Loi sur la protection des renseignements personnels et les documents électroniques</w:t>
            </w:r>
            <w:r w:rsidRPr="0079219F">
              <w:rPr>
                <w:sz w:val="20"/>
                <w:szCs w:val="20"/>
                <w:lang w:val="fr-CA"/>
              </w:rPr>
              <w:t>, L.C. 2000 (« </w:t>
            </w:r>
            <w:r w:rsidRPr="0079219F">
              <w:rPr>
                <w:i/>
                <w:sz w:val="20"/>
                <w:szCs w:val="20"/>
                <w:lang w:val="fr-CA"/>
              </w:rPr>
              <w:t>LPRPDÉ</w:t>
            </w:r>
            <w:r w:rsidRPr="0079219F">
              <w:rPr>
                <w:sz w:val="20"/>
                <w:szCs w:val="20"/>
                <w:lang w:val="fr-CA"/>
              </w:rPr>
              <w:t> »)? - Les Trang peuvent-ils consentir implicitement à la communication de leur déclaration de quittance hypothécaire à la Banque Royale du Canada (« RBC »)? - Vu l’exception prévue à l’al. 7(3)</w:t>
            </w:r>
            <w:r w:rsidRPr="0079219F">
              <w:rPr>
                <w:i/>
                <w:sz w:val="20"/>
                <w:szCs w:val="20"/>
                <w:lang w:val="fr-CA"/>
              </w:rPr>
              <w:t>i</w:t>
            </w:r>
            <w:r w:rsidRPr="0079219F">
              <w:rPr>
                <w:sz w:val="20"/>
                <w:szCs w:val="20"/>
                <w:lang w:val="fr-CA"/>
              </w:rPr>
              <w:t xml:space="preserve">) de la </w:t>
            </w:r>
            <w:r w:rsidRPr="0079219F">
              <w:rPr>
                <w:i/>
                <w:sz w:val="20"/>
                <w:szCs w:val="20"/>
                <w:lang w:val="fr-CA"/>
              </w:rPr>
              <w:t>LPRPDÉ</w:t>
            </w:r>
            <w:r w:rsidRPr="0079219F">
              <w:rPr>
                <w:sz w:val="20"/>
                <w:szCs w:val="20"/>
                <w:lang w:val="fr-CA"/>
              </w:rPr>
              <w:t xml:space="preserve"> permettant de communiquer un renseignement personnel sans le consentement de l’intéressé lorsque la communication est « exigée par la loi » et l’exception prévue à l’al. 7(3)</w:t>
            </w:r>
            <w:r w:rsidRPr="0079219F">
              <w:rPr>
                <w:i/>
                <w:sz w:val="20"/>
                <w:szCs w:val="20"/>
                <w:lang w:val="fr-CA"/>
              </w:rPr>
              <w:t>b</w:t>
            </w:r>
            <w:r w:rsidRPr="0079219F">
              <w:rPr>
                <w:sz w:val="20"/>
                <w:szCs w:val="20"/>
                <w:lang w:val="fr-CA"/>
              </w:rPr>
              <w:t>) qui autorise la communication d’un renseignement personnel faite « en vue du recouvrement d’une créance que [l’organisation] a contre l’intéressé », la Banque Scotia aurait-elle pu communiquer à RBC une déclaration de quittance hypothécaire après que RBC eut déposé son bref de saisie et de vente, au motif que la Banque Scotia avait le droit de se faire rembourser à même cette vente? - Étant donné l’exception prévue à l’al. 7(3)</w:t>
            </w:r>
            <w:r w:rsidRPr="0079219F">
              <w:rPr>
                <w:i/>
                <w:sz w:val="20"/>
                <w:szCs w:val="20"/>
                <w:lang w:val="fr-CA"/>
              </w:rPr>
              <w:t>i</w:t>
            </w:r>
            <w:r w:rsidRPr="0079219F">
              <w:rPr>
                <w:sz w:val="20"/>
                <w:szCs w:val="20"/>
                <w:lang w:val="fr-CA"/>
              </w:rPr>
              <w:t xml:space="preserve">) visant la communication « exigée par la loi », la Banque Scotia aurait-elle pu communiquer la déclaration de quittance hypothécaire à RBC sans le consentement des Trang après que ces derniers ne se soient pas présentés à un interrogatoire auquel ils étaient tenus de comparaître selon les </w:t>
            </w:r>
            <w:r w:rsidRPr="0079219F">
              <w:rPr>
                <w:i/>
                <w:sz w:val="20"/>
                <w:szCs w:val="20"/>
                <w:lang w:val="fr-CA"/>
              </w:rPr>
              <w:t xml:space="preserve">Règles de procédure civile </w:t>
            </w:r>
            <w:r w:rsidRPr="0079219F">
              <w:rPr>
                <w:sz w:val="20"/>
                <w:szCs w:val="20"/>
                <w:lang w:val="fr-CA"/>
              </w:rPr>
              <w:t>pour remettre ces renseignements personnels à RBC? - Quel effet, s’il en est, l’al. 7(3)</w:t>
            </w:r>
            <w:r w:rsidRPr="0079219F">
              <w:rPr>
                <w:i/>
                <w:sz w:val="20"/>
                <w:szCs w:val="20"/>
                <w:lang w:val="fr-CA"/>
              </w:rPr>
              <w:t>c</w:t>
            </w:r>
            <w:r w:rsidRPr="0079219F">
              <w:rPr>
                <w:sz w:val="20"/>
                <w:szCs w:val="20"/>
                <w:lang w:val="fr-CA"/>
              </w:rPr>
              <w:t xml:space="preserve">) de la </w:t>
            </w:r>
            <w:r w:rsidRPr="0079219F">
              <w:rPr>
                <w:i/>
                <w:sz w:val="20"/>
                <w:szCs w:val="20"/>
                <w:lang w:val="fr-CA"/>
              </w:rPr>
              <w:t>LPRPDÉ</w:t>
            </w:r>
            <w:r w:rsidRPr="0079219F">
              <w:rPr>
                <w:sz w:val="20"/>
                <w:szCs w:val="20"/>
                <w:lang w:val="fr-CA"/>
              </w:rPr>
              <w:t xml:space="preserve"> a-t-il sur le pouvoir des tribunaux de rendre des ordonnances de production de renseignements personnels? - Les juridictions inférieures auraient-elles pu enjoindre par ordonnance à la Banque Scotia de produire la déclaration de quittance hypothécaire? - </w:t>
            </w:r>
            <w:r w:rsidRPr="0079219F">
              <w:rPr>
                <w:i/>
                <w:sz w:val="20"/>
                <w:szCs w:val="20"/>
                <w:lang w:val="fr-CA"/>
              </w:rPr>
              <w:t>Loi sur la protection des renseignements personnels et les documents électroniques</w:t>
            </w:r>
            <w:r w:rsidRPr="0079219F">
              <w:rPr>
                <w:sz w:val="20"/>
                <w:szCs w:val="20"/>
                <w:lang w:val="fr-CA"/>
              </w:rPr>
              <w:t>, L.C. 2000, c. 5, art. 3, 7 et cl. 4.3.6 de l’annexe 1.</w:t>
            </w:r>
          </w:p>
        </w:tc>
      </w:tr>
    </w:tbl>
    <w:p w:rsidR="00653395" w:rsidRDefault="00D75D0F" w:rsidP="00732DB7">
      <w:pPr>
        <w:widowControl w:val="0"/>
        <w:rPr>
          <w:sz w:val="20"/>
          <w:szCs w:val="20"/>
          <w:lang w:val="fr-CA"/>
        </w:rPr>
      </w:pPr>
      <w:r>
        <w:rPr>
          <w:sz w:val="20"/>
          <w:szCs w:val="20"/>
          <w:lang w:val="fr-CA"/>
        </w:rPr>
        <w:pict>
          <v:rect id="_x0000_i1061" style="width:2in;height:1pt" o:hrpct="0" o:hralign="center" o:hrstd="t" o:hrnoshade="t" o:hr="t" fillcolor="black [3213]" stroked="f"/>
        </w:pict>
      </w:r>
    </w:p>
    <w:p w:rsidR="00653395" w:rsidRDefault="00653395" w:rsidP="00732DB7">
      <w:pPr>
        <w:widowControl w:val="0"/>
        <w:rPr>
          <w:sz w:val="20"/>
          <w:szCs w:val="20"/>
          <w:lang w:val="fr-CA"/>
        </w:rPr>
      </w:pPr>
    </w:p>
    <w:p w:rsidR="00655706" w:rsidRPr="00BF47C1" w:rsidRDefault="00655706" w:rsidP="00655706">
      <w:pPr>
        <w:widowControl w:val="0"/>
        <w:rPr>
          <w:sz w:val="20"/>
          <w:szCs w:val="20"/>
        </w:rPr>
      </w:pPr>
      <w:r w:rsidRPr="00BF47C1">
        <w:rPr>
          <w:sz w:val="20"/>
          <w:szCs w:val="20"/>
        </w:rPr>
        <w:t>2</w:t>
      </w:r>
      <w:r>
        <w:rPr>
          <w:sz w:val="20"/>
          <w:szCs w:val="20"/>
        </w:rPr>
        <w:t>8</w:t>
      </w:r>
      <w:r w:rsidRPr="00BF47C1">
        <w:rPr>
          <w:sz w:val="20"/>
          <w:szCs w:val="20"/>
        </w:rPr>
        <w:t>.04.2016</w:t>
      </w:r>
    </w:p>
    <w:p w:rsidR="00655706" w:rsidRPr="00BF47C1" w:rsidRDefault="00655706" w:rsidP="00655706">
      <w:pPr>
        <w:widowControl w:val="0"/>
        <w:rPr>
          <w:sz w:val="20"/>
          <w:szCs w:val="20"/>
        </w:rPr>
      </w:pPr>
    </w:p>
    <w:p w:rsidR="00655706" w:rsidRPr="003620F1" w:rsidRDefault="00655706" w:rsidP="00655706">
      <w:pPr>
        <w:widowControl w:val="0"/>
        <w:ind w:left="720" w:hanging="720"/>
        <w:rPr>
          <w:sz w:val="20"/>
          <w:szCs w:val="20"/>
          <w:u w:val="single"/>
        </w:rPr>
      </w:pPr>
      <w:r w:rsidRPr="003620F1">
        <w:rPr>
          <w:sz w:val="20"/>
          <w:szCs w:val="20"/>
        </w:rPr>
        <w:t xml:space="preserve">Coram: </w:t>
      </w:r>
      <w:r w:rsidRPr="003620F1">
        <w:rPr>
          <w:sz w:val="20"/>
          <w:szCs w:val="20"/>
        </w:rPr>
        <w:tab/>
      </w:r>
      <w:r w:rsidRPr="003620F1">
        <w:rPr>
          <w:sz w:val="20"/>
          <w:szCs w:val="20"/>
          <w:u w:val="single"/>
        </w:rPr>
        <w:t xml:space="preserve">Chief Justice McLachlin and Abella, Karakatsanis, Wagner, Gascon, Côté </w:t>
      </w:r>
      <w:r>
        <w:rPr>
          <w:sz w:val="20"/>
          <w:szCs w:val="20"/>
          <w:u w:val="single"/>
        </w:rPr>
        <w:t>and</w:t>
      </w:r>
      <w:r w:rsidRPr="003620F1">
        <w:rPr>
          <w:sz w:val="20"/>
          <w:szCs w:val="20"/>
          <w:u w:val="single"/>
        </w:rPr>
        <w:t xml:space="preserve"> Brown</w:t>
      </w:r>
      <w:r>
        <w:rPr>
          <w:sz w:val="20"/>
          <w:szCs w:val="20"/>
          <w:u w:val="single"/>
        </w:rPr>
        <w:t xml:space="preserve"> JJ.</w:t>
      </w:r>
    </w:p>
    <w:p w:rsidR="00655706" w:rsidRPr="003620F1" w:rsidRDefault="00655706" w:rsidP="00655706">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410"/>
        <w:gridCol w:w="690"/>
        <w:gridCol w:w="4380"/>
      </w:tblGrid>
      <w:tr w:rsidR="00655706" w:rsidRPr="00A53E1B" w:rsidTr="00C1054E">
        <w:tc>
          <w:tcPr>
            <w:tcW w:w="4410" w:type="dxa"/>
            <w:tcMar>
              <w:left w:w="0" w:type="dxa"/>
              <w:right w:w="0" w:type="dxa"/>
            </w:tcMar>
          </w:tcPr>
          <w:p w:rsidR="00655706" w:rsidRPr="00C1054E" w:rsidRDefault="00655706" w:rsidP="00C1054E">
            <w:pPr>
              <w:widowControl w:val="0"/>
              <w:rPr>
                <w:b/>
                <w:sz w:val="20"/>
                <w:szCs w:val="20"/>
                <w:lang w:val="fr-CA"/>
              </w:rPr>
            </w:pPr>
            <w:r w:rsidRPr="00C1054E">
              <w:rPr>
                <w:b/>
                <w:sz w:val="20"/>
                <w:szCs w:val="20"/>
                <w:lang w:val="fr-CA"/>
              </w:rPr>
              <w:t>Albert Benhaim et al.</w:t>
            </w:r>
          </w:p>
          <w:p w:rsidR="00655706" w:rsidRPr="00C1054E" w:rsidRDefault="00655706" w:rsidP="00C1054E">
            <w:pPr>
              <w:widowControl w:val="0"/>
              <w:rPr>
                <w:b/>
                <w:sz w:val="20"/>
                <w:szCs w:val="20"/>
                <w:lang w:val="fr-CA"/>
              </w:rPr>
            </w:pPr>
          </w:p>
          <w:p w:rsidR="00655706" w:rsidRPr="00C1054E" w:rsidRDefault="00655706" w:rsidP="00C1054E">
            <w:pPr>
              <w:widowControl w:val="0"/>
              <w:rPr>
                <w:b/>
                <w:sz w:val="20"/>
                <w:szCs w:val="20"/>
                <w:lang w:val="fr-CA"/>
              </w:rPr>
            </w:pPr>
            <w:r w:rsidRPr="00C1054E">
              <w:rPr>
                <w:b/>
                <w:sz w:val="20"/>
                <w:szCs w:val="20"/>
                <w:lang w:val="fr-CA"/>
              </w:rPr>
              <w:tab/>
              <w:t>v. (36291)</w:t>
            </w:r>
          </w:p>
          <w:p w:rsidR="00655706" w:rsidRPr="00C1054E" w:rsidRDefault="00655706" w:rsidP="00C1054E">
            <w:pPr>
              <w:widowControl w:val="0"/>
              <w:rPr>
                <w:b/>
                <w:sz w:val="20"/>
                <w:szCs w:val="20"/>
                <w:lang w:val="fr-CA"/>
              </w:rPr>
            </w:pPr>
          </w:p>
          <w:p w:rsidR="00655706" w:rsidRPr="008B6D36" w:rsidRDefault="00655706" w:rsidP="00C1054E">
            <w:pPr>
              <w:widowControl w:val="0"/>
              <w:rPr>
                <w:b/>
                <w:sz w:val="20"/>
                <w:szCs w:val="20"/>
              </w:rPr>
            </w:pPr>
            <w:r>
              <w:rPr>
                <w:b/>
                <w:sz w:val="20"/>
                <w:szCs w:val="20"/>
              </w:rPr>
              <w:t>Cathie St-Germain, personally and in her capacity as tutor to her minor son, whose name is being kept confidential, and in her capacity as universal legatee of the late Marc Émond (Que.) (Civil) (By Leave)</w:t>
            </w:r>
          </w:p>
        </w:tc>
        <w:tc>
          <w:tcPr>
            <w:tcW w:w="690" w:type="dxa"/>
            <w:tcMar>
              <w:left w:w="0" w:type="dxa"/>
              <w:right w:w="0" w:type="dxa"/>
            </w:tcMar>
          </w:tcPr>
          <w:p w:rsidR="00655706" w:rsidRPr="008B6D36" w:rsidRDefault="00655706" w:rsidP="00C1054E">
            <w:pPr>
              <w:widowControl w:val="0"/>
              <w:jc w:val="center"/>
              <w:rPr>
                <w:sz w:val="20"/>
                <w:szCs w:val="20"/>
              </w:rPr>
            </w:pPr>
          </w:p>
        </w:tc>
        <w:tc>
          <w:tcPr>
            <w:tcW w:w="4380" w:type="dxa"/>
            <w:tcMar>
              <w:left w:w="0" w:type="dxa"/>
              <w:right w:w="0" w:type="dxa"/>
            </w:tcMar>
          </w:tcPr>
          <w:p w:rsidR="000C0793" w:rsidRPr="00BE2B97" w:rsidRDefault="000C0793" w:rsidP="0082555B">
            <w:pPr>
              <w:jc w:val="both"/>
              <w:rPr>
                <w:sz w:val="20"/>
                <w:szCs w:val="20"/>
              </w:rPr>
            </w:pPr>
            <w:r w:rsidRPr="00BE2B97">
              <w:rPr>
                <w:sz w:val="20"/>
                <w:szCs w:val="20"/>
              </w:rPr>
              <w:t>David E. Platts and Élisabeth Brousseau for the appellants.</w:t>
            </w:r>
          </w:p>
          <w:p w:rsidR="000C0793" w:rsidRPr="00BE2B97" w:rsidRDefault="000C0793" w:rsidP="0082555B">
            <w:pPr>
              <w:jc w:val="both"/>
              <w:rPr>
                <w:sz w:val="20"/>
                <w:szCs w:val="20"/>
              </w:rPr>
            </w:pPr>
          </w:p>
          <w:p w:rsidR="000C0793" w:rsidRPr="00BE2B97" w:rsidRDefault="000C0793" w:rsidP="0082555B">
            <w:pPr>
              <w:jc w:val="both"/>
              <w:rPr>
                <w:sz w:val="20"/>
                <w:szCs w:val="20"/>
              </w:rPr>
            </w:pPr>
            <w:r w:rsidRPr="00BE2B97">
              <w:rPr>
                <w:sz w:val="20"/>
                <w:szCs w:val="20"/>
              </w:rPr>
              <w:t xml:space="preserve">Gordon Kugler and Stuart Kugler for the respondent. </w:t>
            </w:r>
          </w:p>
          <w:p w:rsidR="00655706" w:rsidRPr="00A53E1B" w:rsidRDefault="00655706" w:rsidP="00C1054E">
            <w:pPr>
              <w:tabs>
                <w:tab w:val="left" w:pos="-2970"/>
              </w:tabs>
              <w:jc w:val="both"/>
              <w:rPr>
                <w:sz w:val="20"/>
                <w:szCs w:val="20"/>
              </w:rPr>
            </w:pPr>
          </w:p>
        </w:tc>
      </w:tr>
    </w:tbl>
    <w:p w:rsidR="00655706" w:rsidRPr="00A53E1B" w:rsidRDefault="00655706" w:rsidP="00655706">
      <w:pPr>
        <w:widowControl w:val="0"/>
        <w:rPr>
          <w:sz w:val="20"/>
          <w:szCs w:val="20"/>
        </w:rPr>
      </w:pPr>
    </w:p>
    <w:p w:rsidR="00655706" w:rsidRPr="00A53E1B" w:rsidRDefault="00655706" w:rsidP="00655706">
      <w:pPr>
        <w:widowControl w:val="0"/>
        <w:rPr>
          <w:sz w:val="20"/>
          <w:szCs w:val="20"/>
          <w:lang w:val="fr-CA"/>
        </w:rPr>
      </w:pPr>
      <w:r w:rsidRPr="00A53E1B">
        <w:rPr>
          <w:b/>
          <w:sz w:val="20"/>
          <w:szCs w:val="20"/>
          <w:lang w:val="fr-CA"/>
        </w:rPr>
        <w:t>RESERVED / EN DÉLIBÉRÉ</w:t>
      </w:r>
    </w:p>
    <w:p w:rsidR="00655706" w:rsidRPr="00A53E1B" w:rsidRDefault="00655706" w:rsidP="00655706">
      <w:pPr>
        <w:rPr>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55706" w:rsidRPr="00D75D0F" w:rsidTr="00C1054E">
        <w:tc>
          <w:tcPr>
            <w:tcW w:w="4380" w:type="dxa"/>
            <w:tcMar>
              <w:left w:w="0" w:type="dxa"/>
              <w:right w:w="0" w:type="dxa"/>
            </w:tcMar>
          </w:tcPr>
          <w:p w:rsidR="00655706" w:rsidRPr="00A53E1B" w:rsidRDefault="00655706" w:rsidP="00C1054E">
            <w:pPr>
              <w:widowControl w:val="0"/>
              <w:jc w:val="both"/>
              <w:rPr>
                <w:b/>
                <w:sz w:val="20"/>
                <w:szCs w:val="20"/>
                <w:u w:val="single"/>
              </w:rPr>
            </w:pPr>
            <w:r w:rsidRPr="00A53E1B">
              <w:rPr>
                <w:b/>
                <w:sz w:val="20"/>
                <w:szCs w:val="20"/>
                <w:u w:val="single"/>
              </w:rPr>
              <w:t>Nature of the case:</w:t>
            </w:r>
          </w:p>
          <w:p w:rsidR="00655706" w:rsidRPr="00A53E1B" w:rsidRDefault="00655706" w:rsidP="00C1054E">
            <w:pPr>
              <w:widowControl w:val="0"/>
              <w:jc w:val="both"/>
              <w:rPr>
                <w:b/>
                <w:sz w:val="20"/>
                <w:szCs w:val="20"/>
              </w:rPr>
            </w:pPr>
          </w:p>
          <w:p w:rsidR="00655706" w:rsidRPr="00A53E1B" w:rsidRDefault="000C0793" w:rsidP="000C0793">
            <w:pPr>
              <w:jc w:val="both"/>
              <w:rPr>
                <w:sz w:val="20"/>
                <w:szCs w:val="20"/>
              </w:rPr>
            </w:pPr>
            <w:r w:rsidRPr="00EB4DE6">
              <w:rPr>
                <w:sz w:val="20"/>
                <w:szCs w:val="20"/>
              </w:rPr>
              <w:t>Civil liability - Medical malpractice - Causation - Evidence - Presumptions - Negative inference - Absence of direct evidence enabling complainants to prove causation because of fault of physicians - Should the trial judge’s factual conclusion that there was no causation stand? - Whether the decision to draw an inference or not is a question of fact or of law? - Whether the Court of Appeal improperly intervened?</w:t>
            </w:r>
          </w:p>
        </w:tc>
        <w:tc>
          <w:tcPr>
            <w:tcW w:w="720" w:type="dxa"/>
            <w:tcMar>
              <w:left w:w="0" w:type="dxa"/>
              <w:right w:w="0" w:type="dxa"/>
            </w:tcMar>
          </w:tcPr>
          <w:p w:rsidR="00655706" w:rsidRPr="00A53E1B" w:rsidRDefault="00655706" w:rsidP="00C1054E">
            <w:pPr>
              <w:widowControl w:val="0"/>
              <w:jc w:val="center"/>
              <w:rPr>
                <w:sz w:val="20"/>
                <w:szCs w:val="20"/>
              </w:rPr>
            </w:pPr>
          </w:p>
        </w:tc>
        <w:tc>
          <w:tcPr>
            <w:tcW w:w="4380" w:type="dxa"/>
            <w:tcMar>
              <w:left w:w="0" w:type="dxa"/>
              <w:right w:w="0" w:type="dxa"/>
            </w:tcMar>
          </w:tcPr>
          <w:p w:rsidR="00655706" w:rsidRPr="000C0793" w:rsidRDefault="00655706" w:rsidP="00C1054E">
            <w:pPr>
              <w:widowControl w:val="0"/>
              <w:jc w:val="both"/>
              <w:rPr>
                <w:b/>
                <w:sz w:val="20"/>
                <w:szCs w:val="20"/>
                <w:u w:val="single"/>
                <w:lang w:val="fr-CA"/>
              </w:rPr>
            </w:pPr>
            <w:r w:rsidRPr="000C0793">
              <w:rPr>
                <w:b/>
                <w:sz w:val="20"/>
                <w:szCs w:val="20"/>
                <w:u w:val="single"/>
                <w:lang w:val="fr-CA"/>
              </w:rPr>
              <w:t>Nature de la cause :</w:t>
            </w:r>
          </w:p>
          <w:p w:rsidR="00655706" w:rsidRPr="000C0793" w:rsidRDefault="00655706" w:rsidP="00C1054E">
            <w:pPr>
              <w:jc w:val="both"/>
              <w:rPr>
                <w:i/>
                <w:sz w:val="20"/>
                <w:szCs w:val="20"/>
                <w:lang w:val="fr-CA"/>
              </w:rPr>
            </w:pPr>
          </w:p>
          <w:p w:rsidR="00655706" w:rsidRPr="000C0793" w:rsidRDefault="000C0793" w:rsidP="000C0793">
            <w:pPr>
              <w:jc w:val="both"/>
              <w:rPr>
                <w:sz w:val="20"/>
                <w:szCs w:val="20"/>
                <w:lang w:val="fr-CA"/>
              </w:rPr>
            </w:pPr>
            <w:r w:rsidRPr="000C0793">
              <w:rPr>
                <w:sz w:val="20"/>
                <w:szCs w:val="20"/>
                <w:lang w:val="fr-CA"/>
              </w:rPr>
              <w:t>Responsabilité civile - Responsabilité médicale - Lien de causalité - Preuve - Présomptions - Inférence défavorable - Absence de preuve directe permettant aux plaignants de faire la preuve du lien de causalité en raison de la faute des médecins - Y a-t-il lieu de confirmer la conclusion factuelle du juge de première instance quant à l’absence de lien de causalité? - La décision de tirer ou non une inférence est-elle une question de fait ou de droit? - La Cour d’appel</w:t>
            </w:r>
            <w:r>
              <w:rPr>
                <w:sz w:val="20"/>
                <w:szCs w:val="20"/>
                <w:lang w:val="fr-CA"/>
              </w:rPr>
              <w:t xml:space="preserve"> est-elle intervenue indûment?</w:t>
            </w:r>
          </w:p>
        </w:tc>
      </w:tr>
    </w:tbl>
    <w:p w:rsidR="00655706" w:rsidRDefault="00D75D0F" w:rsidP="00655706">
      <w:pPr>
        <w:widowControl w:val="0"/>
        <w:rPr>
          <w:sz w:val="20"/>
          <w:szCs w:val="20"/>
          <w:lang w:val="fr-CA"/>
        </w:rPr>
      </w:pPr>
      <w:r>
        <w:rPr>
          <w:sz w:val="20"/>
          <w:szCs w:val="20"/>
          <w:lang w:val="fr-CA"/>
        </w:rPr>
        <w:pict>
          <v:rect id="_x0000_i1062" style="width:2in;height:1pt" o:hrpct="0" o:hralign="center" o:hrstd="t" o:hrnoshade="t" o:hr="t" fillcolor="black [3213]" stroked="f"/>
        </w:pict>
      </w:r>
    </w:p>
    <w:p w:rsidR="00653395" w:rsidRDefault="00653395" w:rsidP="00732DB7">
      <w:pPr>
        <w:widowControl w:val="0"/>
        <w:rPr>
          <w:sz w:val="20"/>
          <w:szCs w:val="20"/>
          <w:lang w:val="fr-CA"/>
        </w:rPr>
      </w:pPr>
    </w:p>
    <w:p w:rsidR="00653395" w:rsidRPr="00BF47C1" w:rsidRDefault="00653395" w:rsidP="00732DB7">
      <w:pPr>
        <w:widowControl w:val="0"/>
        <w:rPr>
          <w:sz w:val="20"/>
          <w:szCs w:val="20"/>
          <w:lang w:val="fr-CA"/>
        </w:rPr>
      </w:pPr>
    </w:p>
    <w:p w:rsidR="00732DB7" w:rsidRPr="00BF47C1" w:rsidRDefault="00732DB7" w:rsidP="00732DB7">
      <w:pPr>
        <w:widowControl w:val="0"/>
        <w:rPr>
          <w:sz w:val="20"/>
          <w:szCs w:val="20"/>
          <w:lang w:val="fr-CA"/>
        </w:rPr>
        <w:sectPr w:rsidR="00732DB7" w:rsidRPr="00BF47C1" w:rsidSect="00732DB7">
          <w:headerReference w:type="even" r:id="rId45"/>
          <w:headerReference w:type="default" r:id="rId46"/>
          <w:footerReference w:type="even" r:id="rId47"/>
          <w:footerReference w:type="default" r:id="rId48"/>
          <w:headerReference w:type="first" r:id="rId49"/>
          <w:footerReference w:type="first" r:id="rId50"/>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D75D0F"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8B6D36">
              <w:rPr>
                <w:b/>
                <w:szCs w:val="24"/>
              </w:rPr>
              <w:t>PRONOUNCEMENTS O</w:t>
            </w:r>
            <w:r w:rsidRPr="00C1697B">
              <w:rPr>
                <w:b/>
                <w:szCs w:val="24"/>
              </w:rPr>
              <w:t>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DA38E5" w:rsidRDefault="00DA38E5" w:rsidP="0052229C">
      <w:pPr>
        <w:rPr>
          <w:b/>
          <w:sz w:val="20"/>
          <w:szCs w:val="20"/>
        </w:rPr>
      </w:pPr>
      <w:r w:rsidRPr="00DA38E5">
        <w:rPr>
          <w:b/>
          <w:sz w:val="20"/>
          <w:szCs w:val="20"/>
        </w:rPr>
        <w:t>APRIL 29</w:t>
      </w:r>
      <w:r w:rsidR="0052229C" w:rsidRPr="00DA38E5">
        <w:rPr>
          <w:b/>
          <w:sz w:val="20"/>
          <w:szCs w:val="20"/>
        </w:rPr>
        <w:t>, 201</w:t>
      </w:r>
      <w:r w:rsidRPr="00DA38E5">
        <w:rPr>
          <w:b/>
          <w:sz w:val="20"/>
          <w:szCs w:val="20"/>
        </w:rPr>
        <w:t>6</w:t>
      </w:r>
      <w:r w:rsidR="0052229C" w:rsidRPr="00DA38E5">
        <w:rPr>
          <w:b/>
          <w:sz w:val="20"/>
          <w:szCs w:val="20"/>
        </w:rPr>
        <w:t xml:space="preserve"> / LE </w:t>
      </w:r>
      <w:r w:rsidRPr="00DA38E5">
        <w:rPr>
          <w:b/>
          <w:sz w:val="20"/>
          <w:szCs w:val="20"/>
        </w:rPr>
        <w:t>29 AVRIL</w:t>
      </w:r>
      <w:r w:rsidR="0052229C" w:rsidRPr="00DA38E5">
        <w:rPr>
          <w:b/>
          <w:sz w:val="20"/>
          <w:szCs w:val="20"/>
        </w:rPr>
        <w:t xml:space="preserve"> 201</w:t>
      </w:r>
      <w:r w:rsidRPr="00DA38E5">
        <w:rPr>
          <w:b/>
          <w:sz w:val="20"/>
          <w:szCs w:val="20"/>
        </w:rPr>
        <w:t>6</w:t>
      </w:r>
    </w:p>
    <w:p w:rsidR="0052229C" w:rsidRPr="00DA38E5" w:rsidRDefault="0052229C" w:rsidP="0052229C">
      <w:pPr>
        <w:rPr>
          <w:sz w:val="20"/>
          <w:szCs w:val="20"/>
        </w:rPr>
      </w:pPr>
    </w:p>
    <w:p w:rsidR="0052229C" w:rsidRPr="00DA38E5" w:rsidRDefault="000E27A5" w:rsidP="0052229C">
      <w:pPr>
        <w:ind w:left="1440" w:hanging="1440"/>
        <w:jc w:val="both"/>
        <w:rPr>
          <w:sz w:val="20"/>
        </w:rPr>
      </w:pPr>
      <w:r w:rsidRPr="00202C5F">
        <w:rPr>
          <w:b/>
          <w:sz w:val="20"/>
        </w:rPr>
        <w:fldChar w:fldCharType="begin"/>
      </w:r>
      <w:r w:rsidR="0052229C" w:rsidRPr="00DA38E5">
        <w:rPr>
          <w:b/>
          <w:sz w:val="20"/>
        </w:rPr>
        <w:instrText xml:space="preserve"> SEQ CHAPTER \h \r 1</w:instrText>
      </w:r>
      <w:r w:rsidRPr="00202C5F">
        <w:rPr>
          <w:b/>
          <w:sz w:val="20"/>
        </w:rPr>
        <w:fldChar w:fldCharType="end"/>
      </w:r>
      <w:r w:rsidR="00C94C4F">
        <w:rPr>
          <w:b/>
          <w:sz w:val="20"/>
        </w:rPr>
        <w:t>36315</w:t>
      </w:r>
      <w:r w:rsidR="0052229C" w:rsidRPr="00DA38E5">
        <w:rPr>
          <w:sz w:val="20"/>
        </w:rPr>
        <w:tab/>
      </w:r>
      <w:r w:rsidR="00DA38E5" w:rsidRPr="00DA38E5">
        <w:rPr>
          <w:b/>
          <w:sz w:val="20"/>
          <w:u w:val="single"/>
        </w:rPr>
        <w:t xml:space="preserve">World Bank Group v. Kevin Wallace, Zulfiquar Bhuiyan, Ramesh Shah, Mohammad Ismail and Her Majesty The Queen in Right of Canada - and - Criminal Lawyers’ Association (Ontario),  Transparency International Canada Inc., Transparency International e.V., British Columbia Civil Liberties Association, European Bank for Reconstruction and Development, Organisation for Economic Co-operation and Development, African Development Bank Group, Asian Development Bank, Inter-American Development Bank and Nordic Investment Bank </w:t>
      </w:r>
      <w:r w:rsidR="0052229C" w:rsidRPr="00DA38E5">
        <w:rPr>
          <w:iCs/>
          <w:sz w:val="20"/>
        </w:rPr>
        <w:t>(</w:t>
      </w:r>
      <w:r w:rsidR="00DA38E5">
        <w:rPr>
          <w:iCs/>
          <w:sz w:val="20"/>
        </w:rPr>
        <w:t>Ont.</w:t>
      </w:r>
      <w:r w:rsidR="0052229C" w:rsidRPr="00DA38E5">
        <w:rPr>
          <w:iCs/>
          <w:sz w:val="20"/>
        </w:rPr>
        <w:t>)</w:t>
      </w:r>
      <w:r w:rsidR="00DA38E5">
        <w:rPr>
          <w:iCs/>
          <w:sz w:val="20"/>
        </w:rPr>
        <w:t xml:space="preserve"> (Crim.)</w:t>
      </w:r>
    </w:p>
    <w:p w:rsidR="0052229C" w:rsidRPr="00DA38E5" w:rsidRDefault="00DA38E5"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DA38E5">
        <w:rPr>
          <w:b/>
          <w:sz w:val="20"/>
        </w:rPr>
        <w:t>2016</w:t>
      </w:r>
      <w:r w:rsidR="0052229C" w:rsidRPr="00DA38E5">
        <w:rPr>
          <w:b/>
          <w:sz w:val="20"/>
        </w:rPr>
        <w:t xml:space="preserve"> SCC 1</w:t>
      </w:r>
      <w:r w:rsidRPr="00DA38E5">
        <w:rPr>
          <w:b/>
          <w:sz w:val="20"/>
        </w:rPr>
        <w:t>5</w:t>
      </w:r>
      <w:r w:rsidR="0052229C" w:rsidRPr="00DA38E5">
        <w:rPr>
          <w:b/>
          <w:sz w:val="20"/>
        </w:rPr>
        <w:t xml:space="preserve"> / 201</w:t>
      </w:r>
      <w:r w:rsidRPr="00DA38E5">
        <w:rPr>
          <w:b/>
          <w:sz w:val="20"/>
        </w:rPr>
        <w:t>6</w:t>
      </w:r>
      <w:r w:rsidR="0052229C" w:rsidRPr="00DA38E5">
        <w:rPr>
          <w:b/>
          <w:sz w:val="20"/>
        </w:rPr>
        <w:t xml:space="preserve"> CSC 1</w:t>
      </w:r>
      <w:r w:rsidRPr="00DA38E5">
        <w:rPr>
          <w:b/>
          <w:sz w:val="20"/>
        </w:rPr>
        <w:t>5</w:t>
      </w:r>
    </w:p>
    <w:p w:rsidR="0052229C" w:rsidRPr="00DA38E5"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2229C" w:rsidRPr="00DA38E5" w:rsidRDefault="0052229C" w:rsidP="0052229C">
      <w:pPr>
        <w:ind w:left="1440" w:hanging="1440"/>
        <w:rPr>
          <w:sz w:val="20"/>
          <w:u w:val="single"/>
        </w:rPr>
      </w:pPr>
      <w:r w:rsidRPr="00DA38E5">
        <w:rPr>
          <w:sz w:val="20"/>
        </w:rPr>
        <w:t>Coram:</w:t>
      </w:r>
      <w:r w:rsidRPr="00DA38E5">
        <w:rPr>
          <w:sz w:val="20"/>
        </w:rPr>
        <w:tab/>
      </w:r>
      <w:r w:rsidR="00DA38E5" w:rsidRPr="00DA38E5">
        <w:rPr>
          <w:sz w:val="20"/>
          <w:u w:val="single"/>
        </w:rPr>
        <w:t>McLachlin C.J. and Abella, Cromwell, Moldaver, Karakatsanis, Wagner, Gascon, Côté and Brown JJ.</w:t>
      </w:r>
    </w:p>
    <w:p w:rsidR="0052229C" w:rsidRPr="00DA38E5" w:rsidRDefault="0052229C" w:rsidP="0052229C">
      <w:pPr>
        <w:ind w:left="1440" w:hanging="1440"/>
        <w:rPr>
          <w:sz w:val="16"/>
          <w:u w:val="single"/>
        </w:rPr>
      </w:pPr>
      <w:r w:rsidRPr="00DA38E5">
        <w:rPr>
          <w:sz w:val="20"/>
          <w:u w:val="single"/>
        </w:rPr>
        <w:t xml:space="preserve"> </w:t>
      </w:r>
    </w:p>
    <w:p w:rsidR="0052229C" w:rsidRDefault="00DA38E5" w:rsidP="00A124B0">
      <w:pPr>
        <w:jc w:val="both"/>
        <w:rPr>
          <w:rFonts w:eastAsia="Calibri"/>
          <w:sz w:val="20"/>
        </w:rPr>
      </w:pPr>
      <w:r w:rsidRPr="00DA38E5">
        <w:rPr>
          <w:rFonts w:eastAsia="Calibri"/>
          <w:sz w:val="20"/>
        </w:rPr>
        <w:t>The appeal from the decision of the Ontario Superior Court of Justice, Number CR-13-90000727, 2014 ONSC 7449, dated December 23, 2014, heard on November 6, 2015, is allowed and the production order is set aside. The respondents’ motion to strike is dismissed. There is no order as to costs.</w:t>
      </w:r>
    </w:p>
    <w:p w:rsidR="00DA38E5" w:rsidRPr="00DA38E5" w:rsidRDefault="00DA38E5" w:rsidP="00A124B0">
      <w:pPr>
        <w:jc w:val="both"/>
        <w:rPr>
          <w:rFonts w:eastAsia="Calibri"/>
          <w:sz w:val="20"/>
        </w:rPr>
      </w:pPr>
    </w:p>
    <w:p w:rsidR="0052229C" w:rsidRDefault="00C94C4F" w:rsidP="00A124B0">
      <w:pPr>
        <w:jc w:val="both"/>
        <w:rPr>
          <w:sz w:val="20"/>
          <w:szCs w:val="20"/>
          <w:lang w:val="fr-CA"/>
        </w:rPr>
      </w:pPr>
      <w:r w:rsidRPr="00022C6A">
        <w:rPr>
          <w:sz w:val="20"/>
          <w:szCs w:val="20"/>
          <w:lang w:val="fr-CA"/>
        </w:rPr>
        <w:t>L’appel interjeté contre la décision de la Cour supérieure de justice de l’Ontario, numéro CR-13-90000727, 2014 ONSC 7449, en date du 23 décembre 2014, entendu le 6 novembre 2015, est accueilli et l’ordonnance de communication est annulée. La requête en radiation des intimés est rejetée. Il n’y a aucune ordonnance relative aux dépens.</w:t>
      </w:r>
    </w:p>
    <w:p w:rsidR="00C94C4F" w:rsidRPr="00C94C4F" w:rsidRDefault="00C94C4F" w:rsidP="0052229C">
      <w:pPr>
        <w:rPr>
          <w:sz w:val="20"/>
          <w:szCs w:val="20"/>
          <w:lang w:val="fr-CA"/>
        </w:rPr>
      </w:pPr>
    </w:p>
    <w:p w:rsidR="0052229C" w:rsidRPr="003B3977" w:rsidRDefault="00D75D0F" w:rsidP="0052229C">
      <w:pPr>
        <w:spacing w:line="0" w:lineRule="atLeast"/>
        <w:rPr>
          <w:sz w:val="20"/>
          <w:szCs w:val="20"/>
        </w:rPr>
      </w:pPr>
      <w:r>
        <w:rPr>
          <w:b/>
          <w:sz w:val="20"/>
          <w:szCs w:val="20"/>
        </w:rPr>
        <w:pict>
          <v:rect id="_x0000_i1065"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51"/>
          <w:headerReference w:type="default" r:id="rId52"/>
          <w:footerReference w:type="even" r:id="rId53"/>
          <w:footerReference w:type="default" r:id="rId54"/>
          <w:headerReference w:type="first" r:id="rId55"/>
          <w:footerReference w:type="first" r:id="rId56"/>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2229C" w:rsidRPr="00C1054E" w:rsidRDefault="00C1054E" w:rsidP="0052229C">
      <w:pPr>
        <w:ind w:left="1440" w:hanging="1440"/>
        <w:jc w:val="both"/>
        <w:rPr>
          <w:sz w:val="20"/>
          <w:szCs w:val="20"/>
        </w:rPr>
      </w:pPr>
      <w:r w:rsidRPr="00C1054E">
        <w:rPr>
          <w:rFonts w:eastAsia="Calibri"/>
          <w:i/>
          <w:sz w:val="20"/>
          <w:szCs w:val="20"/>
        </w:rPr>
        <w:t>World Bank Group v.</w:t>
      </w:r>
      <w:r>
        <w:rPr>
          <w:rFonts w:eastAsia="Calibri"/>
          <w:i/>
          <w:sz w:val="20"/>
          <w:szCs w:val="20"/>
        </w:rPr>
        <w:t xml:space="preserve"> Kevin Wallace et al.</w:t>
      </w:r>
      <w:r w:rsidR="0052229C" w:rsidRPr="00C1054E">
        <w:rPr>
          <w:sz w:val="20"/>
          <w:szCs w:val="20"/>
        </w:rPr>
        <w:t xml:space="preserve"> (</w:t>
      </w:r>
      <w:r>
        <w:rPr>
          <w:sz w:val="20"/>
          <w:szCs w:val="20"/>
        </w:rPr>
        <w:t>Ont.</w:t>
      </w:r>
      <w:r w:rsidR="0052229C" w:rsidRPr="00C1054E">
        <w:rPr>
          <w:sz w:val="20"/>
          <w:szCs w:val="20"/>
        </w:rPr>
        <w:t>) (</w:t>
      </w:r>
      <w:hyperlink r:id="rId57" w:history="1">
        <w:r w:rsidR="0052229C" w:rsidRPr="00C1054E">
          <w:rPr>
            <w:rStyle w:val="Hyperlink"/>
            <w:sz w:val="20"/>
            <w:szCs w:val="20"/>
          </w:rPr>
          <w:t>3</w:t>
        </w:r>
        <w:r>
          <w:rPr>
            <w:rStyle w:val="Hyperlink"/>
            <w:sz w:val="20"/>
            <w:szCs w:val="20"/>
          </w:rPr>
          <w:t>6315</w:t>
        </w:r>
      </w:hyperlink>
      <w:r w:rsidR="0052229C" w:rsidRPr="00C1054E">
        <w:rPr>
          <w:sz w:val="20"/>
          <w:szCs w:val="20"/>
        </w:rPr>
        <w:t>)</w:t>
      </w:r>
    </w:p>
    <w:p w:rsidR="00C1054E" w:rsidRPr="00D75D0F" w:rsidRDefault="00C1054E" w:rsidP="00C1054E">
      <w:pPr>
        <w:jc w:val="both"/>
        <w:rPr>
          <w:b/>
          <w:sz w:val="20"/>
          <w:szCs w:val="20"/>
        </w:rPr>
      </w:pPr>
      <w:r w:rsidRPr="00D75D0F">
        <w:rPr>
          <w:b/>
          <w:sz w:val="20"/>
          <w:szCs w:val="20"/>
        </w:rPr>
        <w:t xml:space="preserve">Indexed as: </w:t>
      </w:r>
      <w:r w:rsidRPr="00D75D0F">
        <w:rPr>
          <w:rStyle w:val="SCCAppellantForIndexChar"/>
          <w:rFonts w:eastAsiaTheme="minorHAnsi"/>
          <w:sz w:val="20"/>
          <w:lang w:val="en-CA"/>
        </w:rPr>
        <w:t>World Bank Group</w:t>
      </w:r>
      <w:r w:rsidRPr="00D75D0F">
        <w:rPr>
          <w:b/>
          <w:sz w:val="20"/>
          <w:szCs w:val="20"/>
        </w:rPr>
        <w:t xml:space="preserve"> </w:t>
      </w:r>
      <w:r w:rsidRPr="00D75D0F">
        <w:rPr>
          <w:b/>
          <w:i/>
          <w:sz w:val="20"/>
          <w:szCs w:val="20"/>
        </w:rPr>
        <w:t>v.</w:t>
      </w:r>
      <w:r w:rsidRPr="00D75D0F">
        <w:rPr>
          <w:b/>
          <w:sz w:val="20"/>
          <w:szCs w:val="20"/>
        </w:rPr>
        <w:t xml:space="preserve"> </w:t>
      </w:r>
      <w:r w:rsidRPr="00D75D0F">
        <w:rPr>
          <w:rStyle w:val="SCCRespondentForIndexChar"/>
          <w:rFonts w:eastAsiaTheme="minorHAnsi"/>
          <w:sz w:val="20"/>
        </w:rPr>
        <w:t xml:space="preserve">Wallace </w:t>
      </w:r>
      <w:r w:rsidR="0052229C" w:rsidRPr="00D75D0F">
        <w:rPr>
          <w:rStyle w:val="SCCRespondentForIndexChar"/>
          <w:rFonts w:eastAsiaTheme="minorHAnsi"/>
          <w:sz w:val="20"/>
        </w:rPr>
        <w:t xml:space="preserve">/ </w:t>
      </w:r>
      <w:r w:rsidRPr="00D75D0F">
        <w:rPr>
          <w:b/>
          <w:sz w:val="20"/>
          <w:szCs w:val="20"/>
        </w:rPr>
        <w:t>Répertorié : </w:t>
      </w:r>
      <w:r w:rsidRPr="00D75D0F">
        <w:rPr>
          <w:rStyle w:val="SCCAppellantForIndexChar"/>
          <w:rFonts w:eastAsiaTheme="minorHAnsi"/>
          <w:sz w:val="20"/>
          <w:lang w:val="en-CA"/>
        </w:rPr>
        <w:t>Groupe de la Banque mondiale</w:t>
      </w:r>
      <w:r w:rsidRPr="00D75D0F">
        <w:rPr>
          <w:b/>
          <w:sz w:val="20"/>
          <w:szCs w:val="20"/>
        </w:rPr>
        <w:t xml:space="preserve"> </w:t>
      </w:r>
      <w:r w:rsidRPr="00D75D0F">
        <w:rPr>
          <w:b/>
          <w:i/>
          <w:sz w:val="20"/>
          <w:szCs w:val="20"/>
        </w:rPr>
        <w:t>c.</w:t>
      </w:r>
      <w:r w:rsidRPr="00D75D0F">
        <w:rPr>
          <w:b/>
          <w:sz w:val="20"/>
          <w:szCs w:val="20"/>
        </w:rPr>
        <w:t xml:space="preserve"> </w:t>
      </w:r>
      <w:r w:rsidRPr="00D75D0F">
        <w:rPr>
          <w:rStyle w:val="SCCRespondentForIndexChar"/>
          <w:rFonts w:eastAsiaTheme="minorHAnsi"/>
          <w:sz w:val="20"/>
        </w:rPr>
        <w:t>Wallace</w:t>
      </w:r>
    </w:p>
    <w:p w:rsidR="0052229C" w:rsidRPr="00D75D0F" w:rsidRDefault="0052229C" w:rsidP="0052229C">
      <w:pPr>
        <w:pStyle w:val="SCCSystemYear"/>
        <w:jc w:val="both"/>
        <w:rPr>
          <w:sz w:val="20"/>
          <w:lang w:val="en-CA"/>
        </w:rPr>
      </w:pPr>
      <w:r w:rsidRPr="00D75D0F">
        <w:rPr>
          <w:sz w:val="20"/>
          <w:lang w:val="en-CA"/>
        </w:rPr>
        <w:t xml:space="preserve">Neutral citation:  </w:t>
      </w:r>
      <w:r w:rsidR="0030050B" w:rsidRPr="00D75D0F">
        <w:rPr>
          <w:sz w:val="20"/>
          <w:lang w:val="en-CA"/>
        </w:rPr>
        <w:t>2016</w:t>
      </w:r>
      <w:r w:rsidRPr="00D75D0F">
        <w:rPr>
          <w:sz w:val="20"/>
          <w:lang w:val="en-CA"/>
        </w:rPr>
        <w:t xml:space="preserve"> SCC 1 / Référence neutre : </w:t>
      </w:r>
      <w:r w:rsidR="0030050B" w:rsidRPr="00D75D0F">
        <w:rPr>
          <w:sz w:val="20"/>
          <w:lang w:val="en-CA"/>
        </w:rPr>
        <w:t>2016</w:t>
      </w:r>
      <w:r w:rsidRPr="00D75D0F">
        <w:rPr>
          <w:sz w:val="20"/>
          <w:lang w:val="en-CA"/>
        </w:rPr>
        <w:t xml:space="preserve"> CSC 1</w:t>
      </w:r>
    </w:p>
    <w:p w:rsidR="0052229C" w:rsidRPr="00C1054E" w:rsidRDefault="0052229C" w:rsidP="0052229C">
      <w:pPr>
        <w:rPr>
          <w:rFonts w:cs="Times New Roman"/>
          <w:sz w:val="20"/>
          <w:szCs w:val="20"/>
          <w:lang w:val="fr-CA"/>
        </w:rPr>
      </w:pPr>
      <w:r w:rsidRPr="00C1054E">
        <w:rPr>
          <w:rFonts w:cs="Times New Roman"/>
          <w:sz w:val="20"/>
          <w:szCs w:val="20"/>
          <w:lang w:val="fr-CA"/>
        </w:rPr>
        <w:t xml:space="preserve">Hearing:  </w:t>
      </w:r>
      <w:r w:rsidR="00C1054E">
        <w:rPr>
          <w:rFonts w:cs="Times New Roman"/>
          <w:sz w:val="20"/>
          <w:szCs w:val="20"/>
          <w:lang w:val="fr-CA"/>
        </w:rPr>
        <w:t>November 6</w:t>
      </w:r>
      <w:r w:rsidRPr="00C1054E">
        <w:rPr>
          <w:rFonts w:cs="Times New Roman"/>
          <w:sz w:val="20"/>
          <w:szCs w:val="20"/>
          <w:lang w:val="fr-CA"/>
        </w:rPr>
        <w:t>, 201</w:t>
      </w:r>
      <w:r w:rsidR="00C1054E">
        <w:rPr>
          <w:rFonts w:cs="Times New Roman"/>
          <w:sz w:val="20"/>
          <w:szCs w:val="20"/>
          <w:lang w:val="fr-CA"/>
        </w:rPr>
        <w:t>5</w:t>
      </w:r>
      <w:r w:rsidRPr="00C1054E">
        <w:rPr>
          <w:rFonts w:cs="Times New Roman"/>
          <w:sz w:val="20"/>
          <w:szCs w:val="20"/>
          <w:lang w:val="fr-CA"/>
        </w:rPr>
        <w:t xml:space="preserve"> / Judgment:  </w:t>
      </w:r>
      <w:r w:rsidR="00C1054E">
        <w:rPr>
          <w:rFonts w:cs="Times New Roman"/>
          <w:sz w:val="20"/>
          <w:szCs w:val="20"/>
          <w:lang w:val="fr-CA"/>
        </w:rPr>
        <w:t>April 29</w:t>
      </w:r>
      <w:r w:rsidRPr="00C1054E">
        <w:rPr>
          <w:rFonts w:cs="Times New Roman"/>
          <w:sz w:val="20"/>
          <w:szCs w:val="20"/>
          <w:lang w:val="fr-CA"/>
        </w:rPr>
        <w:t xml:space="preserve">, </w:t>
      </w:r>
      <w:r w:rsidR="0030050B" w:rsidRPr="00C1054E">
        <w:rPr>
          <w:rFonts w:cs="Times New Roman"/>
          <w:sz w:val="20"/>
          <w:szCs w:val="20"/>
          <w:lang w:val="fr-CA"/>
        </w:rPr>
        <w:t>2016</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sidR="00C1054E">
        <w:rPr>
          <w:rFonts w:cs="Times New Roman"/>
          <w:sz w:val="20"/>
          <w:szCs w:val="20"/>
          <w:lang w:val="fr-CA"/>
        </w:rPr>
        <w:t>6 novembre 2016</w:t>
      </w:r>
      <w:r w:rsidRPr="003B3977">
        <w:rPr>
          <w:rFonts w:cs="Times New Roman"/>
          <w:sz w:val="20"/>
          <w:szCs w:val="20"/>
          <w:lang w:val="fr-CA"/>
        </w:rPr>
        <w:t xml:space="preserve"> / Jugement : Le </w:t>
      </w:r>
      <w:r w:rsidR="00C1054E">
        <w:rPr>
          <w:rFonts w:cs="Times New Roman"/>
          <w:sz w:val="20"/>
          <w:szCs w:val="20"/>
          <w:lang w:val="fr-CA"/>
        </w:rPr>
        <w:t>29 avril</w:t>
      </w:r>
      <w:r w:rsidRPr="003B3977">
        <w:rPr>
          <w:rFonts w:cs="Times New Roman"/>
          <w:sz w:val="20"/>
          <w:szCs w:val="20"/>
          <w:lang w:val="fr-CA"/>
        </w:rPr>
        <w:t xml:space="preserve"> </w:t>
      </w:r>
      <w:r w:rsidR="0030050B">
        <w:rPr>
          <w:rFonts w:cs="Times New Roman"/>
          <w:sz w:val="20"/>
          <w:szCs w:val="20"/>
          <w:lang w:val="fr-CA"/>
        </w:rPr>
        <w:t>2016</w:t>
      </w:r>
    </w:p>
    <w:p w:rsidR="005C6840" w:rsidRPr="003B3977" w:rsidRDefault="00D75D0F" w:rsidP="005C6840">
      <w:pPr>
        <w:rPr>
          <w:rFonts w:cs="Times New Roman"/>
          <w:sz w:val="20"/>
          <w:szCs w:val="20"/>
          <w:lang w:val="fr-CA"/>
        </w:rPr>
      </w:pPr>
      <w:r>
        <w:rPr>
          <w:rFonts w:cs="Times New Roman"/>
          <w:i/>
          <w:sz w:val="20"/>
          <w:szCs w:val="20"/>
        </w:rPr>
        <w:pict>
          <v:rect id="_x0000_i1068" style="width:480.95pt;height:1pt" o:hralign="center" o:hrstd="t" o:hrnoshade="t" o:hr="t" fillcolor="black [3213]" stroked="f"/>
        </w:pict>
      </w:r>
    </w:p>
    <w:p w:rsidR="00AE0018" w:rsidRDefault="00AE0018" w:rsidP="00AE0018">
      <w:pPr>
        <w:jc w:val="both"/>
        <w:rPr>
          <w:sz w:val="20"/>
          <w:szCs w:val="20"/>
        </w:rPr>
      </w:pPr>
    </w:p>
    <w:p w:rsidR="001B2D1B" w:rsidRDefault="001B2D1B" w:rsidP="001B2D1B">
      <w:pPr>
        <w:jc w:val="both"/>
        <w:rPr>
          <w:sz w:val="20"/>
        </w:rPr>
      </w:pPr>
      <w:r w:rsidRPr="00854622">
        <w:rPr>
          <w:sz w:val="20"/>
          <w:szCs w:val="20"/>
        </w:rPr>
        <w:t>Present: McLachlin C.J. and Abella, Cromwell, Moldaver, Karakatsanis, Wagner, Gascon, Côté and Brown JJ.</w:t>
      </w:r>
    </w:p>
    <w:p w:rsidR="001B2D1B" w:rsidRPr="00854622" w:rsidRDefault="001B2D1B" w:rsidP="001B2D1B">
      <w:pPr>
        <w:jc w:val="both"/>
        <w:rPr>
          <w:sz w:val="20"/>
          <w:szCs w:val="20"/>
        </w:rPr>
      </w:pPr>
    </w:p>
    <w:p w:rsidR="001B2D1B" w:rsidRPr="00AE0018" w:rsidRDefault="001B2D1B" w:rsidP="001B2D1B">
      <w:pPr>
        <w:pStyle w:val="ParaNoNdepar-AltN"/>
        <w:numPr>
          <w:ilvl w:val="0"/>
          <w:numId w:val="0"/>
        </w:numPr>
        <w:spacing w:before="0" w:after="0" w:line="240" w:lineRule="auto"/>
        <w:rPr>
          <w:rFonts w:cs="Times New Roman"/>
          <w:i/>
          <w:sz w:val="20"/>
          <w:szCs w:val="20"/>
          <w:lang w:val="en-CA"/>
        </w:rPr>
      </w:pPr>
      <w:r w:rsidRPr="00AE0018">
        <w:rPr>
          <w:rFonts w:cs="Times New Roman"/>
          <w:sz w:val="20"/>
          <w:szCs w:val="20"/>
          <w:lang w:val="en-CA"/>
        </w:rPr>
        <w:tab/>
      </w:r>
      <w:r w:rsidRPr="00854622">
        <w:rPr>
          <w:rFonts w:cs="Times New Roman"/>
          <w:i/>
          <w:iCs/>
          <w:sz w:val="20"/>
          <w:szCs w:val="20"/>
          <w:lang w:val="en"/>
        </w:rPr>
        <w:t xml:space="preserve">Public international law — Jurisdictional immunity — International organizations — Financial institutions — Accused in Canadian criminal proceedings applying for third party production order to compel senior investigators of international financial organization to appear before court and produce documents — International financial organization claiming archival and personnel immunities under its Articles of Agreement — Whether claimed immunities apply to international financial organization — </w:t>
      </w:r>
      <w:r w:rsidRPr="00AE0018">
        <w:rPr>
          <w:rFonts w:cs="Times New Roman"/>
          <w:i/>
          <w:sz w:val="20"/>
          <w:szCs w:val="20"/>
          <w:lang w:val="en-CA"/>
        </w:rPr>
        <w:t>Bretton Woods and Related Agreements Act, R.S.C. 1985, c. B</w:t>
      </w:r>
      <w:r w:rsidRPr="00AE0018">
        <w:rPr>
          <w:rFonts w:cs="Times New Roman"/>
          <w:i/>
          <w:sz w:val="20"/>
          <w:szCs w:val="20"/>
          <w:lang w:val="en-CA"/>
        </w:rPr>
        <w:noBreakHyphen/>
        <w:t>7, sch. II, arts. I, III, s. 5(b), art. VII, ss. 1, 3, 5, 6, 8, sch. III, arts. I, V, s. 1(g), (h), art. VIII, ss. 1, 3, 5, 6, 8.</w:t>
      </w:r>
    </w:p>
    <w:p w:rsidR="001B2D1B" w:rsidRPr="00AE0018" w:rsidRDefault="001B2D1B" w:rsidP="001B2D1B">
      <w:pPr>
        <w:pStyle w:val="ParaNoNdepar-AltN"/>
        <w:numPr>
          <w:ilvl w:val="0"/>
          <w:numId w:val="0"/>
        </w:numPr>
        <w:spacing w:before="0" w:after="0" w:line="240" w:lineRule="auto"/>
        <w:rPr>
          <w:rFonts w:cs="Times New Roman"/>
          <w:i/>
          <w:sz w:val="20"/>
          <w:szCs w:val="20"/>
          <w:lang w:val="en-CA"/>
        </w:rPr>
      </w:pPr>
    </w:p>
    <w:p w:rsidR="001B2D1B" w:rsidRDefault="001B2D1B" w:rsidP="001B2D1B">
      <w:pPr>
        <w:pStyle w:val="ParaNoNdepar-AltN"/>
        <w:numPr>
          <w:ilvl w:val="0"/>
          <w:numId w:val="0"/>
        </w:numPr>
        <w:spacing w:before="0" w:after="0" w:line="240" w:lineRule="auto"/>
        <w:rPr>
          <w:rFonts w:cs="Times New Roman"/>
          <w:i/>
          <w:iCs/>
          <w:sz w:val="20"/>
          <w:szCs w:val="20"/>
          <w:lang w:val="en"/>
        </w:rPr>
      </w:pPr>
      <w:r w:rsidRPr="00AE0018">
        <w:rPr>
          <w:rFonts w:cs="Times New Roman"/>
          <w:sz w:val="20"/>
          <w:szCs w:val="20"/>
          <w:lang w:val="en-CA"/>
        </w:rPr>
        <w:tab/>
      </w:r>
      <w:r w:rsidRPr="00AE0018">
        <w:rPr>
          <w:rFonts w:cs="Times New Roman"/>
          <w:i/>
          <w:sz w:val="20"/>
          <w:szCs w:val="20"/>
          <w:lang w:val="en-CA"/>
        </w:rPr>
        <w:t xml:space="preserve">Criminal law </w:t>
      </w:r>
      <w:r w:rsidRPr="00854622">
        <w:rPr>
          <w:rFonts w:cs="Times New Roman"/>
          <w:i/>
          <w:iCs/>
          <w:sz w:val="20"/>
          <w:szCs w:val="20"/>
          <w:lang w:val="en"/>
        </w:rPr>
        <w:t>— Evidence — Disclosure — Interception of communications — Accused charged with bribing foreign public officials — Accused challenging wiretap authorizations on Garofoli application — Accused seeking production of documents held by third party international financial organization and validation of subpoenas to organization’s personnel in support of application — Whether documents sought by accused are relevant to Garofoli application — Proper threshold for third party production on a Garofoli application.</w:t>
      </w:r>
    </w:p>
    <w:p w:rsidR="001B2D1B" w:rsidRPr="00AE0018" w:rsidRDefault="001B2D1B" w:rsidP="001B2D1B">
      <w:pPr>
        <w:pStyle w:val="ParaNoNdepar-AltN"/>
        <w:numPr>
          <w:ilvl w:val="0"/>
          <w:numId w:val="0"/>
        </w:numPr>
        <w:spacing w:before="0" w:after="0" w:line="240" w:lineRule="auto"/>
        <w:rPr>
          <w:rFonts w:cs="Times New Roman"/>
          <w:sz w:val="20"/>
          <w:szCs w:val="20"/>
          <w:lang w:val="en-CA"/>
        </w:rPr>
      </w:pPr>
    </w:p>
    <w:p w:rsidR="001B2D1B" w:rsidRPr="00AE0018" w:rsidRDefault="001B2D1B" w:rsidP="001B2D1B">
      <w:pPr>
        <w:pStyle w:val="ParaNoNdepar-AltN"/>
        <w:numPr>
          <w:ilvl w:val="0"/>
          <w:numId w:val="0"/>
        </w:numPr>
        <w:spacing w:before="0" w:after="0" w:line="240" w:lineRule="auto"/>
        <w:rPr>
          <w:rFonts w:cs="Times New Roman"/>
          <w:sz w:val="20"/>
          <w:szCs w:val="20"/>
          <w:lang w:val="en-CA"/>
        </w:rPr>
      </w:pPr>
      <w:r w:rsidRPr="00AE0018">
        <w:rPr>
          <w:rFonts w:cs="Times New Roman"/>
          <w:sz w:val="20"/>
          <w:szCs w:val="20"/>
          <w:lang w:val="en-CA"/>
        </w:rPr>
        <w:tab/>
        <w:t xml:space="preserve">The World Bank Group is an international organization headquartered in Washington, D.C. composed of five separate organizations, including the International Bank for Reconstruction and Development (“IBRD”) and the International Development Association (“IDA”). Each constituent organization has its own set of governing documents which set out the immunities and privileges the organization is to enjoy in the territory of each member state. </w:t>
      </w:r>
    </w:p>
    <w:p w:rsidR="001B2D1B" w:rsidRPr="00AE0018" w:rsidRDefault="001B2D1B" w:rsidP="001B2D1B">
      <w:pPr>
        <w:pStyle w:val="ParaNoNdepar-AltN"/>
        <w:numPr>
          <w:ilvl w:val="0"/>
          <w:numId w:val="0"/>
        </w:numPr>
        <w:spacing w:before="0" w:after="0" w:line="240" w:lineRule="auto"/>
        <w:rPr>
          <w:rFonts w:cs="Times New Roman"/>
          <w:sz w:val="20"/>
          <w:szCs w:val="20"/>
          <w:lang w:val="en-CA"/>
        </w:rPr>
      </w:pPr>
    </w:p>
    <w:p w:rsidR="001B2D1B" w:rsidRPr="00AE0018" w:rsidRDefault="001B2D1B" w:rsidP="001B2D1B">
      <w:pPr>
        <w:pStyle w:val="ParaNoNdepar-AltN"/>
        <w:numPr>
          <w:ilvl w:val="0"/>
          <w:numId w:val="0"/>
        </w:numPr>
        <w:spacing w:before="0" w:after="0" w:line="240" w:lineRule="auto"/>
        <w:rPr>
          <w:rFonts w:cs="Times New Roman"/>
          <w:sz w:val="20"/>
          <w:szCs w:val="20"/>
          <w:lang w:val="en-CA"/>
        </w:rPr>
      </w:pPr>
      <w:r w:rsidRPr="00AE0018">
        <w:rPr>
          <w:rFonts w:cs="Times New Roman"/>
          <w:sz w:val="20"/>
          <w:szCs w:val="20"/>
          <w:lang w:val="en-CA"/>
        </w:rPr>
        <w:tab/>
        <w:t>The World Bank Group provides loans, guarantees, credits and grants for development projects and programs in developing countries. The World Bank Group was originally one of the primary lenders for the project at the heart of this case, the Padma Multipurpose Bridge in Bangladesh. SNC</w:t>
      </w:r>
      <w:r w:rsidRPr="00AE0018">
        <w:rPr>
          <w:rFonts w:cs="Times New Roman"/>
          <w:sz w:val="20"/>
          <w:szCs w:val="20"/>
          <w:lang w:val="en-CA"/>
        </w:rPr>
        <w:noBreakHyphen/>
        <w:t>Lavalin Inc. was one of several companies bidding for a contract to supervise the construction of the bridge. The four individual respondents — three former employees of SNC</w:t>
      </w:r>
      <w:r w:rsidRPr="00AE0018">
        <w:rPr>
          <w:rFonts w:cs="Times New Roman"/>
          <w:sz w:val="20"/>
          <w:szCs w:val="20"/>
          <w:lang w:val="en-CA"/>
        </w:rPr>
        <w:noBreakHyphen/>
        <w:t>Lavalin and one representative of a Bangladeshi official — allegedly conspired to bribe Bangladeshi officials to award the contract to SNC</w:t>
      </w:r>
      <w:r w:rsidRPr="00AE0018">
        <w:rPr>
          <w:rFonts w:cs="Times New Roman"/>
          <w:sz w:val="20"/>
          <w:szCs w:val="20"/>
          <w:lang w:val="en-CA"/>
        </w:rPr>
        <w:noBreakHyphen/>
        <w:t xml:space="preserve">Lavalin. They are all charged with an offence under the Canadian </w:t>
      </w:r>
      <w:r w:rsidRPr="00AE0018">
        <w:rPr>
          <w:rFonts w:cs="Times New Roman"/>
          <w:i/>
          <w:sz w:val="20"/>
          <w:szCs w:val="20"/>
          <w:lang w:val="en-CA"/>
        </w:rPr>
        <w:t>Corruption of Foreign Public Officials Act</w:t>
      </w:r>
      <w:r w:rsidRPr="00AE0018">
        <w:rPr>
          <w:rFonts w:cs="Times New Roman"/>
          <w:sz w:val="20"/>
          <w:szCs w:val="20"/>
          <w:lang w:val="en-CA"/>
        </w:rPr>
        <w:t>.</w:t>
      </w:r>
    </w:p>
    <w:p w:rsidR="001B2D1B" w:rsidRPr="00AE0018" w:rsidRDefault="001B2D1B" w:rsidP="001B2D1B">
      <w:pPr>
        <w:pStyle w:val="ParaNoNdepar-AltN"/>
        <w:numPr>
          <w:ilvl w:val="0"/>
          <w:numId w:val="0"/>
        </w:numPr>
        <w:spacing w:before="0" w:after="0" w:line="240" w:lineRule="auto"/>
        <w:rPr>
          <w:rFonts w:cs="Times New Roman"/>
          <w:sz w:val="20"/>
          <w:szCs w:val="20"/>
          <w:lang w:val="en-CA"/>
        </w:rPr>
      </w:pPr>
    </w:p>
    <w:p w:rsidR="001B2D1B" w:rsidRPr="00AE0018" w:rsidRDefault="001B2D1B" w:rsidP="001B2D1B">
      <w:pPr>
        <w:pStyle w:val="ParaNoNdepar-AltN"/>
        <w:numPr>
          <w:ilvl w:val="0"/>
          <w:numId w:val="0"/>
        </w:numPr>
        <w:spacing w:before="0" w:after="0" w:line="240" w:lineRule="auto"/>
        <w:rPr>
          <w:rFonts w:cs="Times New Roman"/>
          <w:sz w:val="20"/>
          <w:szCs w:val="20"/>
          <w:lang w:val="en-CA"/>
        </w:rPr>
      </w:pPr>
      <w:r w:rsidRPr="00AE0018">
        <w:rPr>
          <w:rFonts w:cs="Times New Roman"/>
          <w:sz w:val="20"/>
          <w:szCs w:val="20"/>
          <w:lang w:val="en-CA"/>
        </w:rPr>
        <w:tab/>
        <w:t>The Integrity Vice Presidency (“INT”) is an independent unit within the World Bank Group responsible for investigating allegations of fraud, corruption and collusion in relation to projects financed by the World Bank Group. It was the INT that had initially received a series of emails from tipsters suggesting there was corruption in the process for awarding the supervision contract, involving SNC</w:t>
      </w:r>
      <w:r w:rsidRPr="00AE0018">
        <w:rPr>
          <w:rFonts w:cs="Times New Roman"/>
          <w:sz w:val="20"/>
          <w:szCs w:val="20"/>
          <w:lang w:val="en-CA"/>
        </w:rPr>
        <w:noBreakHyphen/>
        <w:t>Lavalin employees. The INT later shared the tipsters’ emails, its own investigative reports and other documents with the Royal Canadian Mounted Police (“RCMP”).</w:t>
      </w:r>
    </w:p>
    <w:p w:rsidR="001B2D1B" w:rsidRPr="00AE0018" w:rsidRDefault="001B2D1B" w:rsidP="001B2D1B">
      <w:pPr>
        <w:pStyle w:val="ParaNoNdepar-AltN"/>
        <w:numPr>
          <w:ilvl w:val="0"/>
          <w:numId w:val="0"/>
        </w:numPr>
        <w:spacing w:before="0" w:after="0" w:line="240" w:lineRule="auto"/>
        <w:rPr>
          <w:rFonts w:cs="Times New Roman"/>
          <w:sz w:val="20"/>
          <w:szCs w:val="20"/>
          <w:lang w:val="en-CA"/>
        </w:rPr>
      </w:pPr>
    </w:p>
    <w:p w:rsidR="001B2D1B" w:rsidRDefault="001B2D1B" w:rsidP="001B2D1B">
      <w:pPr>
        <w:pStyle w:val="ParaNoNdepar-AltN"/>
        <w:numPr>
          <w:ilvl w:val="0"/>
          <w:numId w:val="0"/>
        </w:numPr>
        <w:spacing w:before="0" w:after="0" w:line="240" w:lineRule="auto"/>
        <w:rPr>
          <w:rFonts w:cs="Times New Roman"/>
          <w:sz w:val="20"/>
          <w:szCs w:val="20"/>
          <w:lang w:val="en-US"/>
        </w:rPr>
      </w:pPr>
      <w:r w:rsidRPr="00AE0018">
        <w:rPr>
          <w:rFonts w:cs="Times New Roman"/>
          <w:sz w:val="20"/>
          <w:szCs w:val="20"/>
          <w:lang w:val="en-CA"/>
        </w:rPr>
        <w:tab/>
        <w:t>The RCMP then sought and obtained authorizations to intercept private communications in order to obtain direct evidence of the accused’s participation in corruption, as well as a search warrant. Sgt. D was assigned to prepare affidavits for the application. He largely relied on information the INT shared based on its communications with the tipsters, as well as knowledge of the bidding process of a senior investigator with INT. Sgt. D also spoke directly to one of the tipsters. Sgt. D did not make any handwritten notes of his work as affiant. All of his emails for the period of the investigation were lost because of a computer problem, though many were recovered through other sources</w:t>
      </w:r>
      <w:r w:rsidRPr="00854622">
        <w:rPr>
          <w:rFonts w:cs="Times New Roman"/>
          <w:sz w:val="20"/>
          <w:szCs w:val="20"/>
          <w:lang w:val="en-US"/>
        </w:rPr>
        <w:t xml:space="preserve">. </w:t>
      </w:r>
    </w:p>
    <w:p w:rsidR="001B2D1B" w:rsidRPr="00AE0018" w:rsidRDefault="001B2D1B" w:rsidP="001B2D1B">
      <w:pPr>
        <w:pStyle w:val="ParaNoNdepar-AltN"/>
        <w:numPr>
          <w:ilvl w:val="0"/>
          <w:numId w:val="0"/>
        </w:numPr>
        <w:spacing w:before="0" w:after="0" w:line="240" w:lineRule="auto"/>
        <w:rPr>
          <w:rFonts w:cs="Times New Roman"/>
          <w:sz w:val="20"/>
          <w:szCs w:val="20"/>
          <w:lang w:val="en-CA"/>
        </w:rPr>
      </w:pPr>
    </w:p>
    <w:p w:rsidR="001B2D1B" w:rsidRPr="00AE0018" w:rsidRDefault="001B2D1B" w:rsidP="001B2D1B">
      <w:pPr>
        <w:pStyle w:val="ParaNoNdepar-AltN"/>
        <w:numPr>
          <w:ilvl w:val="0"/>
          <w:numId w:val="0"/>
        </w:numPr>
        <w:spacing w:before="0" w:after="0" w:line="240" w:lineRule="auto"/>
        <w:rPr>
          <w:rFonts w:cs="Times New Roman"/>
          <w:sz w:val="20"/>
          <w:szCs w:val="20"/>
          <w:lang w:val="en-CA"/>
        </w:rPr>
      </w:pPr>
      <w:r w:rsidRPr="00854622">
        <w:rPr>
          <w:rFonts w:cs="Times New Roman"/>
          <w:sz w:val="20"/>
          <w:szCs w:val="20"/>
          <w:lang w:val="en-US"/>
        </w:rPr>
        <w:tab/>
      </w:r>
      <w:r w:rsidRPr="00AE0018">
        <w:rPr>
          <w:rFonts w:cs="Times New Roman"/>
          <w:sz w:val="20"/>
          <w:szCs w:val="20"/>
          <w:lang w:val="en-CA"/>
        </w:rPr>
        <w:t xml:space="preserve">The Crown charged the four accused under the </w:t>
      </w:r>
      <w:r w:rsidRPr="00AE0018">
        <w:rPr>
          <w:rFonts w:cs="Times New Roman"/>
          <w:i/>
          <w:sz w:val="20"/>
          <w:szCs w:val="20"/>
          <w:lang w:val="en-CA"/>
        </w:rPr>
        <w:t>Corruption of Foreign Public Officials Act</w:t>
      </w:r>
      <w:r w:rsidRPr="00AE0018">
        <w:rPr>
          <w:rFonts w:cs="Times New Roman"/>
          <w:sz w:val="20"/>
          <w:szCs w:val="20"/>
          <w:lang w:val="en-CA"/>
        </w:rPr>
        <w:t xml:space="preserve"> and joined their proceedings by direct indictment. The Crown intends to present intercepted communications at trial. For their part, the accused seek to challenge the wiretap authorizations pursuant to </w:t>
      </w:r>
      <w:r w:rsidRPr="00AE0018">
        <w:rPr>
          <w:rFonts w:cs="Times New Roman"/>
          <w:i/>
          <w:sz w:val="20"/>
          <w:szCs w:val="20"/>
          <w:lang w:val="en-CA"/>
        </w:rPr>
        <w:t>R. v. Garofoli</w:t>
      </w:r>
      <w:r w:rsidRPr="00AE0018">
        <w:rPr>
          <w:rFonts w:cs="Times New Roman"/>
          <w:sz w:val="20"/>
          <w:szCs w:val="20"/>
          <w:lang w:val="en-CA"/>
        </w:rPr>
        <w:t xml:space="preserve">, [1990] 2 S.C.R. 1421. In support of their application, the accused sought an order requiring production of certain INT records, as well as the validation of two subpoenas issued to the investigators of the INT. </w:t>
      </w:r>
    </w:p>
    <w:p w:rsidR="001B2D1B" w:rsidRDefault="001B2D1B" w:rsidP="001B2D1B">
      <w:pPr>
        <w:pStyle w:val="ParaNoNdepar-AltN"/>
        <w:numPr>
          <w:ilvl w:val="0"/>
          <w:numId w:val="0"/>
        </w:numPr>
        <w:spacing w:before="0" w:after="0" w:line="240" w:lineRule="auto"/>
        <w:rPr>
          <w:rFonts w:cs="Times New Roman"/>
          <w:sz w:val="20"/>
          <w:szCs w:val="20"/>
          <w:lang w:val="en-CA"/>
        </w:rPr>
      </w:pPr>
    </w:p>
    <w:p w:rsidR="001B2D1B" w:rsidRPr="00AE0018" w:rsidRDefault="001B2D1B" w:rsidP="001B2D1B">
      <w:pPr>
        <w:pStyle w:val="ParaNoNdepar-AltN"/>
        <w:numPr>
          <w:ilvl w:val="0"/>
          <w:numId w:val="0"/>
        </w:numPr>
        <w:spacing w:before="0" w:after="0" w:line="240" w:lineRule="auto"/>
        <w:rPr>
          <w:rFonts w:cs="Times New Roman"/>
          <w:sz w:val="20"/>
          <w:szCs w:val="20"/>
          <w:lang w:val="en-CA"/>
        </w:rPr>
      </w:pPr>
      <w:r w:rsidRPr="00AE0018">
        <w:rPr>
          <w:rFonts w:cs="Times New Roman"/>
          <w:sz w:val="20"/>
          <w:szCs w:val="20"/>
          <w:lang w:val="en-CA"/>
        </w:rPr>
        <w:tab/>
        <w:t xml:space="preserve">However, the Articles of Agreement of the IBRD and the IDA provide that their archives shall be inviolable. In addition, the Articles of Agreement provide that all officers and employees shall be immune from legal process with respect to acts performed by them in their official capacity, except when the IBRD or the IDA waives this immunity. These immunities have been implemented in Canadian law by two Orders in Council, and the Articles of Agreement of the IBRD and the IDA have been approved by Parliament in their entirety through the </w:t>
      </w:r>
      <w:r w:rsidRPr="00AE0018">
        <w:rPr>
          <w:rFonts w:cs="Times New Roman"/>
          <w:i/>
          <w:sz w:val="20"/>
          <w:szCs w:val="20"/>
          <w:lang w:val="en-CA"/>
        </w:rPr>
        <w:t>Bretton Woods and Related Agreements Act</w:t>
      </w:r>
      <w:r w:rsidRPr="00AE0018">
        <w:rPr>
          <w:rFonts w:cs="Times New Roman"/>
          <w:sz w:val="20"/>
          <w:szCs w:val="20"/>
          <w:lang w:val="en-CA"/>
        </w:rPr>
        <w:t xml:space="preserve">. </w:t>
      </w:r>
    </w:p>
    <w:p w:rsidR="001B2D1B" w:rsidRPr="00AE0018" w:rsidRDefault="001B2D1B" w:rsidP="001B2D1B">
      <w:pPr>
        <w:pStyle w:val="ParaNoNdepar-AltN"/>
        <w:numPr>
          <w:ilvl w:val="0"/>
          <w:numId w:val="0"/>
        </w:numPr>
        <w:spacing w:before="0" w:after="0" w:line="240" w:lineRule="auto"/>
        <w:rPr>
          <w:rFonts w:cs="Times New Roman"/>
          <w:sz w:val="20"/>
          <w:szCs w:val="20"/>
          <w:lang w:val="en-CA"/>
        </w:rPr>
      </w:pPr>
    </w:p>
    <w:p w:rsidR="001B2D1B" w:rsidRPr="00AE0018" w:rsidRDefault="001B2D1B" w:rsidP="001B2D1B">
      <w:pPr>
        <w:pStyle w:val="ParaNoNdepar-AltN"/>
        <w:numPr>
          <w:ilvl w:val="0"/>
          <w:numId w:val="0"/>
        </w:numPr>
        <w:spacing w:before="0" w:after="0" w:line="240" w:lineRule="auto"/>
        <w:rPr>
          <w:rFonts w:cs="Times New Roman"/>
          <w:sz w:val="20"/>
          <w:szCs w:val="20"/>
          <w:lang w:val="en-CA"/>
        </w:rPr>
      </w:pPr>
      <w:r w:rsidRPr="00AE0018">
        <w:rPr>
          <w:rFonts w:cs="Times New Roman"/>
          <w:sz w:val="20"/>
          <w:szCs w:val="20"/>
          <w:lang w:val="en-CA"/>
        </w:rPr>
        <w:tab/>
        <w:t xml:space="preserve">Two issues were raised on the application: (1) whether the World Bank Group could be subject to a production order issued by a Canadian court given the immunities accorded to the IBRD and the IDA, and (2) if so, whether in the context of a challenge to the wiretap authorizations pursuant to </w:t>
      </w:r>
      <w:r w:rsidRPr="00AE0018">
        <w:rPr>
          <w:rFonts w:cs="Times New Roman"/>
          <w:i/>
          <w:sz w:val="20"/>
          <w:szCs w:val="20"/>
          <w:lang w:val="en-CA"/>
        </w:rPr>
        <w:t>R. v. Garofoli</w:t>
      </w:r>
      <w:r w:rsidRPr="00AE0018">
        <w:rPr>
          <w:rFonts w:cs="Times New Roman"/>
          <w:sz w:val="20"/>
          <w:szCs w:val="20"/>
          <w:lang w:val="en-CA"/>
        </w:rPr>
        <w:t>, the documents sought met the test for relevance.</w:t>
      </w:r>
    </w:p>
    <w:p w:rsidR="001B2D1B" w:rsidRPr="00AE0018" w:rsidRDefault="001B2D1B" w:rsidP="001B2D1B">
      <w:pPr>
        <w:pStyle w:val="ParaNoNdepar-AltN"/>
        <w:numPr>
          <w:ilvl w:val="0"/>
          <w:numId w:val="0"/>
        </w:numPr>
        <w:spacing w:before="0" w:after="0" w:line="240" w:lineRule="auto"/>
        <w:rPr>
          <w:rFonts w:cs="Times New Roman"/>
          <w:sz w:val="20"/>
          <w:szCs w:val="20"/>
          <w:lang w:val="en-CA"/>
        </w:rPr>
      </w:pPr>
    </w:p>
    <w:p w:rsidR="001B2D1B" w:rsidRPr="00AE0018" w:rsidRDefault="001B2D1B" w:rsidP="001B2D1B">
      <w:pPr>
        <w:pStyle w:val="ParaNoNdepar-AltN"/>
        <w:numPr>
          <w:ilvl w:val="0"/>
          <w:numId w:val="0"/>
        </w:numPr>
        <w:spacing w:before="0" w:after="0" w:line="240" w:lineRule="auto"/>
        <w:rPr>
          <w:rFonts w:cs="Times New Roman"/>
          <w:sz w:val="20"/>
          <w:szCs w:val="20"/>
          <w:lang w:val="en-CA"/>
        </w:rPr>
      </w:pPr>
      <w:r w:rsidRPr="00AE0018">
        <w:rPr>
          <w:rFonts w:cs="Times New Roman"/>
          <w:sz w:val="20"/>
          <w:szCs w:val="20"/>
          <w:lang w:val="en-CA"/>
        </w:rPr>
        <w:tab/>
        <w:t xml:space="preserve">With respect to the first issue, the trial judge found that the immunities and privileges claimed were </w:t>
      </w:r>
      <w:r w:rsidRPr="00AE0018">
        <w:rPr>
          <w:rFonts w:cs="Times New Roman"/>
          <w:i/>
          <w:sz w:val="20"/>
          <w:szCs w:val="20"/>
          <w:lang w:val="en-CA"/>
        </w:rPr>
        <w:t xml:space="preserve">prima facie </w:t>
      </w:r>
      <w:r w:rsidRPr="00AE0018">
        <w:rPr>
          <w:rFonts w:cs="Times New Roman"/>
          <w:sz w:val="20"/>
          <w:szCs w:val="20"/>
          <w:lang w:val="en-CA"/>
        </w:rPr>
        <w:t xml:space="preserve">applicable to the archives and personnel of the INT. However, he determined that the World Bank Group had waived these immunities by participating in the RCMP investigation. In any event, he was not persuaded that the documents at issue were “archives”. Moreover, in his view, the term “inviolable” in the Articles of Agreement connoted protection from search and seizure or confiscation, but not from production for inspection. On the second issue, the trial judge concluded that the documents were likely relevant to issues that would arise on a </w:t>
      </w:r>
      <w:r w:rsidRPr="00AE0018">
        <w:rPr>
          <w:rFonts w:cs="Times New Roman"/>
          <w:i/>
          <w:sz w:val="20"/>
          <w:szCs w:val="20"/>
          <w:lang w:val="en-CA"/>
        </w:rPr>
        <w:t xml:space="preserve">Garofoli </w:t>
      </w:r>
      <w:r w:rsidRPr="00AE0018">
        <w:rPr>
          <w:rFonts w:cs="Times New Roman"/>
          <w:sz w:val="20"/>
          <w:szCs w:val="20"/>
          <w:lang w:val="en-CA"/>
        </w:rPr>
        <w:t>application. Accordingly, he ordered that the documents be produced for review by the court.</w:t>
      </w:r>
    </w:p>
    <w:p w:rsidR="001B2D1B" w:rsidRPr="00AE0018" w:rsidRDefault="001B2D1B" w:rsidP="001B2D1B">
      <w:pPr>
        <w:pStyle w:val="ParaNoNdepar-AltN"/>
        <w:numPr>
          <w:ilvl w:val="0"/>
          <w:numId w:val="0"/>
        </w:numPr>
        <w:spacing w:before="0" w:after="0" w:line="240" w:lineRule="auto"/>
        <w:rPr>
          <w:rFonts w:cs="Times New Roman"/>
          <w:sz w:val="20"/>
          <w:szCs w:val="20"/>
          <w:lang w:val="en-CA"/>
        </w:rPr>
      </w:pPr>
    </w:p>
    <w:p w:rsidR="001B2D1B" w:rsidRDefault="001B2D1B" w:rsidP="001B2D1B">
      <w:pPr>
        <w:pStyle w:val="SCCNormalDoubleSpacing"/>
        <w:spacing w:line="240" w:lineRule="auto"/>
        <w:rPr>
          <w:sz w:val="20"/>
        </w:rPr>
      </w:pPr>
      <w:r w:rsidRPr="00854622">
        <w:rPr>
          <w:sz w:val="20"/>
        </w:rPr>
        <w:tab/>
      </w:r>
      <w:r w:rsidRPr="00854622">
        <w:rPr>
          <w:rStyle w:val="QuoteChar"/>
          <w:sz w:val="20"/>
        </w:rPr>
        <w:t>Held:</w:t>
      </w:r>
      <w:r w:rsidRPr="00854622">
        <w:rPr>
          <w:sz w:val="20"/>
        </w:rPr>
        <w:t xml:space="preserve"> The appeal should be allowed and the production order set aside. </w:t>
      </w:r>
    </w:p>
    <w:p w:rsidR="001B2D1B" w:rsidRPr="00854622" w:rsidRDefault="001B2D1B" w:rsidP="001B2D1B">
      <w:pPr>
        <w:pStyle w:val="SCCNormalDoubleSpacing"/>
        <w:spacing w:line="240" w:lineRule="auto"/>
        <w:rPr>
          <w:sz w:val="20"/>
        </w:rPr>
      </w:pPr>
    </w:p>
    <w:p w:rsidR="001B2D1B" w:rsidRPr="00AE0018" w:rsidRDefault="001B2D1B" w:rsidP="001B2D1B">
      <w:pPr>
        <w:pStyle w:val="ParaNoNdepar-AltN"/>
        <w:numPr>
          <w:ilvl w:val="0"/>
          <w:numId w:val="0"/>
        </w:numPr>
        <w:spacing w:before="0" w:after="0" w:line="240" w:lineRule="auto"/>
        <w:rPr>
          <w:rFonts w:cs="Times New Roman"/>
          <w:sz w:val="20"/>
          <w:szCs w:val="20"/>
          <w:lang w:val="en-CA"/>
        </w:rPr>
      </w:pPr>
      <w:r w:rsidRPr="00AE0018">
        <w:rPr>
          <w:rFonts w:cs="Times New Roman"/>
          <w:sz w:val="20"/>
          <w:szCs w:val="20"/>
          <w:lang w:val="en-CA"/>
        </w:rPr>
        <w:tab/>
        <w:t>Notwithstanding its operational independence, the INT’s documents form part of either the IBRD’s or the IDA’s archives, and the INT’s personnel benefit from legal process immunity for acts performed in an official capacity. Because the Articles of Agreement of the IBRD and the IDA provide the legal foundation for the World Bank Group’s integrity regime, and by extension the INT, the immunities outlined in those Articles of Agreement shield the documents and personnel of the INT.</w:t>
      </w:r>
    </w:p>
    <w:p w:rsidR="001B2D1B" w:rsidRPr="00AE0018" w:rsidRDefault="001B2D1B" w:rsidP="001B2D1B">
      <w:pPr>
        <w:pStyle w:val="ParaNoNdepar-AltN"/>
        <w:numPr>
          <w:ilvl w:val="0"/>
          <w:numId w:val="0"/>
        </w:numPr>
        <w:spacing w:before="0" w:after="0" w:line="240" w:lineRule="auto"/>
        <w:rPr>
          <w:rFonts w:cs="Times New Roman"/>
          <w:sz w:val="20"/>
          <w:szCs w:val="20"/>
          <w:lang w:val="en-CA"/>
        </w:rPr>
      </w:pPr>
    </w:p>
    <w:p w:rsidR="001B2D1B" w:rsidRPr="00AE0018" w:rsidRDefault="001B2D1B" w:rsidP="001B2D1B">
      <w:pPr>
        <w:pStyle w:val="ParaNoNdepar-AltN"/>
        <w:numPr>
          <w:ilvl w:val="0"/>
          <w:numId w:val="0"/>
        </w:numPr>
        <w:spacing w:before="0" w:after="0" w:line="240" w:lineRule="auto"/>
        <w:rPr>
          <w:rFonts w:cs="Times New Roman"/>
          <w:sz w:val="20"/>
          <w:szCs w:val="20"/>
          <w:lang w:val="en-CA"/>
        </w:rPr>
      </w:pPr>
      <w:r w:rsidRPr="00AE0018">
        <w:rPr>
          <w:rFonts w:cs="Times New Roman"/>
          <w:sz w:val="20"/>
          <w:szCs w:val="20"/>
          <w:lang w:val="en-CA"/>
        </w:rPr>
        <w:tab/>
        <w:t xml:space="preserve">Section 3 of Articles VII and VIII of the IBRD’s and the IDA’s Articles of Agreement, respectively, which confirms that the IBRD and the IDA can be the subject of a lawsuit in a court of competent jurisdiction, is not engaged in the present appeal. The present appeal involves a request for document production directed at personnel of the INT in the context of criminal charges. It is not the kind of action contemplated by s. 3. </w:t>
      </w:r>
    </w:p>
    <w:p w:rsidR="001B2D1B" w:rsidRPr="00AE0018" w:rsidRDefault="001B2D1B" w:rsidP="001B2D1B">
      <w:pPr>
        <w:pStyle w:val="ParaNoNdepar-AltN"/>
        <w:numPr>
          <w:ilvl w:val="0"/>
          <w:numId w:val="0"/>
        </w:numPr>
        <w:spacing w:before="0" w:after="0" w:line="240" w:lineRule="auto"/>
        <w:rPr>
          <w:rFonts w:cs="Times New Roman"/>
          <w:sz w:val="20"/>
          <w:szCs w:val="20"/>
          <w:lang w:val="en-CA"/>
        </w:rPr>
      </w:pPr>
    </w:p>
    <w:p w:rsidR="001B2D1B" w:rsidRPr="00AE0018" w:rsidRDefault="001B2D1B" w:rsidP="001B2D1B">
      <w:pPr>
        <w:pStyle w:val="ParaNoNdepar-AltN"/>
        <w:numPr>
          <w:ilvl w:val="0"/>
          <w:numId w:val="0"/>
        </w:numPr>
        <w:spacing w:before="0" w:after="0" w:line="240" w:lineRule="auto"/>
        <w:rPr>
          <w:rFonts w:cs="Times New Roman"/>
          <w:sz w:val="20"/>
          <w:szCs w:val="20"/>
          <w:lang w:val="en-CA"/>
        </w:rPr>
      </w:pPr>
      <w:r w:rsidRPr="00AE0018">
        <w:rPr>
          <w:rFonts w:cs="Times New Roman"/>
          <w:sz w:val="20"/>
          <w:szCs w:val="20"/>
          <w:lang w:val="en-CA"/>
        </w:rPr>
        <w:tab/>
        <w:t xml:space="preserve">Nor are the immunities outlined in ss. 5 and 8 of Articles VII and VIII, respectively, “functional” in the sense that the immunities only apply where it has been demonstrated that their application is necessary for the organization to carry out its operations and responsibilities. The signatory states of the Articles of Agreement set out, in advance, the specific immunities that enable the IBRD and the IDA to fulfill their responsibilities. The very wording of s. 1 of Articles VII and VIII suggests that this was an explicit choice. To import an added condition of functional necessity would undermine what appears to be a conscious choice to enumerate specific immunities rather than to rely on a broad, functional grant of immunity. </w:t>
      </w:r>
    </w:p>
    <w:p w:rsidR="001B2D1B" w:rsidRPr="00AE0018" w:rsidRDefault="001B2D1B" w:rsidP="001B2D1B">
      <w:pPr>
        <w:pStyle w:val="ParaNoNdepar-AltN"/>
        <w:numPr>
          <w:ilvl w:val="0"/>
          <w:numId w:val="0"/>
        </w:numPr>
        <w:spacing w:before="0" w:after="0" w:line="240" w:lineRule="auto"/>
        <w:rPr>
          <w:rFonts w:cs="Times New Roman"/>
          <w:sz w:val="20"/>
          <w:szCs w:val="20"/>
          <w:lang w:val="en-CA"/>
        </w:rPr>
      </w:pPr>
    </w:p>
    <w:p w:rsidR="001B2D1B" w:rsidRPr="00AE0018" w:rsidRDefault="001B2D1B" w:rsidP="001B2D1B">
      <w:pPr>
        <w:pStyle w:val="ParaNoNdepar-AltN"/>
        <w:numPr>
          <w:ilvl w:val="0"/>
          <w:numId w:val="0"/>
        </w:numPr>
        <w:spacing w:before="0" w:after="0" w:line="240" w:lineRule="auto"/>
        <w:rPr>
          <w:rFonts w:cs="Times New Roman"/>
          <w:sz w:val="20"/>
          <w:szCs w:val="20"/>
          <w:lang w:val="en-CA"/>
        </w:rPr>
      </w:pPr>
      <w:r w:rsidRPr="00AE0018">
        <w:rPr>
          <w:rFonts w:cs="Times New Roman"/>
          <w:sz w:val="20"/>
          <w:szCs w:val="20"/>
          <w:lang w:val="en-CA"/>
        </w:rPr>
        <w:tab/>
        <w:t xml:space="preserve">As regards the inviolability of the organization’s archives, the trial judge erred in construing so narrowly an immunity that is integral to the independent functioning of international organizations. The immunity outlined in s. 5 shields the entire collection of stored documents of the IBRD and the IDA from both search and seizure and from compelled production. This broader interpretation is consistent with the plain and ordinary meaning of the terms of s. 5 and is in harmony with its object and purpose. Partial voluntary disclosure of some documents by the World Bank Group does not amount to a waiver of this immunity. Indeed, the archival immunity is not subject to waiver. </w:t>
      </w:r>
    </w:p>
    <w:p w:rsidR="001B2D1B" w:rsidRPr="00AE0018" w:rsidRDefault="001B2D1B" w:rsidP="001B2D1B">
      <w:pPr>
        <w:pStyle w:val="ParaNoNdepar-AltN"/>
        <w:numPr>
          <w:ilvl w:val="0"/>
          <w:numId w:val="0"/>
        </w:numPr>
        <w:spacing w:before="0" w:after="0" w:line="240" w:lineRule="auto"/>
        <w:rPr>
          <w:rFonts w:cs="Times New Roman"/>
          <w:sz w:val="20"/>
          <w:szCs w:val="20"/>
          <w:lang w:val="en-CA"/>
        </w:rPr>
      </w:pPr>
    </w:p>
    <w:p w:rsidR="001B2D1B" w:rsidRPr="00AE0018" w:rsidRDefault="001B2D1B" w:rsidP="001B2D1B">
      <w:pPr>
        <w:pStyle w:val="ParaNoNdepar-AltN"/>
        <w:numPr>
          <w:ilvl w:val="0"/>
          <w:numId w:val="0"/>
        </w:numPr>
        <w:spacing w:before="0" w:after="0" w:line="240" w:lineRule="auto"/>
        <w:rPr>
          <w:rFonts w:cs="Times New Roman"/>
          <w:sz w:val="20"/>
          <w:szCs w:val="20"/>
          <w:lang w:val="en-CA"/>
        </w:rPr>
      </w:pPr>
      <w:r w:rsidRPr="00AE0018">
        <w:rPr>
          <w:rFonts w:cs="Times New Roman"/>
          <w:sz w:val="20"/>
          <w:szCs w:val="20"/>
          <w:lang w:val="en-CA"/>
        </w:rPr>
        <w:tab/>
        <w:t xml:space="preserve">The personnel immunity also applies since the challenged subpoenas required Mr. Haynes and Mr. Kim to give evidence. It is uncontested that the INT personnel were performing acts in their official capacity when they obtained the information that the accused now seek. It is also undisputed that the scope of the legal process immunity in s. 8 of Articles VII and VIII shields employees acting in an official capacity from not only civil suit and prosecution, but from legal processes such as subpoenas. While this personnel immunity can be waived, the object and purpose of the treaty favour an express waiver requirement. Given the absence of such express waiver, the trial judge erred in his finding that the World Bank Group waived this immunity. </w:t>
      </w:r>
    </w:p>
    <w:p w:rsidR="001B2D1B" w:rsidRPr="00AE0018" w:rsidRDefault="001B2D1B" w:rsidP="001B2D1B">
      <w:pPr>
        <w:pStyle w:val="ParaNoNdepar-AltN"/>
        <w:numPr>
          <w:ilvl w:val="0"/>
          <w:numId w:val="0"/>
        </w:numPr>
        <w:spacing w:before="0" w:after="0" w:line="240" w:lineRule="auto"/>
        <w:rPr>
          <w:rFonts w:cs="Times New Roman"/>
          <w:sz w:val="20"/>
          <w:szCs w:val="20"/>
          <w:lang w:val="en-CA"/>
        </w:rPr>
      </w:pPr>
    </w:p>
    <w:p w:rsidR="001B2D1B" w:rsidRPr="00AE0018" w:rsidRDefault="001B2D1B" w:rsidP="001B2D1B">
      <w:pPr>
        <w:pStyle w:val="ParaNoNdepar-AltN"/>
        <w:numPr>
          <w:ilvl w:val="0"/>
          <w:numId w:val="0"/>
        </w:numPr>
        <w:spacing w:before="0" w:after="0" w:line="240" w:lineRule="auto"/>
        <w:rPr>
          <w:rFonts w:cs="Times New Roman"/>
          <w:sz w:val="20"/>
          <w:szCs w:val="20"/>
          <w:lang w:val="en-CA"/>
        </w:rPr>
      </w:pPr>
      <w:r w:rsidRPr="00AE0018">
        <w:rPr>
          <w:rFonts w:cs="Times New Roman"/>
          <w:sz w:val="20"/>
          <w:szCs w:val="20"/>
          <w:lang w:val="en-CA"/>
        </w:rPr>
        <w:tab/>
        <w:t xml:space="preserve">Even if the World Bank Group did not possess any of the immunities identified in the Articles of Agreement, the production order should not have been issued under the framework for third party production set out in </w:t>
      </w:r>
      <w:r w:rsidRPr="00AE0018">
        <w:rPr>
          <w:rFonts w:cs="Times New Roman"/>
          <w:i/>
          <w:sz w:val="20"/>
          <w:szCs w:val="20"/>
          <w:lang w:val="en-CA"/>
        </w:rPr>
        <w:t>R. v. O’Connor</w:t>
      </w:r>
      <w:r w:rsidRPr="00AE0018">
        <w:rPr>
          <w:rFonts w:cs="Times New Roman"/>
          <w:sz w:val="20"/>
          <w:szCs w:val="20"/>
          <w:lang w:val="en-CA"/>
        </w:rPr>
        <w:t xml:space="preserve">, [1995] 4 S.C.R. 411. A </w:t>
      </w:r>
      <w:r w:rsidRPr="00AE0018">
        <w:rPr>
          <w:rFonts w:cs="Times New Roman"/>
          <w:i/>
          <w:sz w:val="20"/>
          <w:szCs w:val="20"/>
          <w:lang w:val="en-CA"/>
        </w:rPr>
        <w:t>Garofoli</w:t>
      </w:r>
      <w:r w:rsidRPr="00AE0018">
        <w:rPr>
          <w:rFonts w:cs="Times New Roman"/>
          <w:sz w:val="20"/>
          <w:szCs w:val="20"/>
          <w:lang w:val="en-CA"/>
        </w:rPr>
        <w:t xml:space="preserve"> application is more limited in scope than a typical </w:t>
      </w:r>
      <w:r w:rsidRPr="00AE0018">
        <w:rPr>
          <w:rFonts w:cs="Times New Roman"/>
          <w:i/>
          <w:sz w:val="20"/>
          <w:szCs w:val="20"/>
          <w:lang w:val="en-CA"/>
        </w:rPr>
        <w:t>O’Connor</w:t>
      </w:r>
      <w:r w:rsidRPr="00AE0018">
        <w:rPr>
          <w:rFonts w:cs="Times New Roman"/>
          <w:sz w:val="20"/>
          <w:szCs w:val="20"/>
          <w:lang w:val="en-CA"/>
        </w:rPr>
        <w:t xml:space="preserve"> application, relating as it does to the admissibility of evidence, namely intercepted communications. An </w:t>
      </w:r>
      <w:r w:rsidRPr="00AE0018">
        <w:rPr>
          <w:rFonts w:cs="Times New Roman"/>
          <w:i/>
          <w:sz w:val="20"/>
          <w:szCs w:val="20"/>
          <w:lang w:val="en-CA"/>
        </w:rPr>
        <w:t>O’Connor</w:t>
      </w:r>
      <w:r w:rsidRPr="00AE0018">
        <w:rPr>
          <w:rFonts w:cs="Times New Roman"/>
          <w:sz w:val="20"/>
          <w:szCs w:val="20"/>
          <w:lang w:val="en-CA"/>
        </w:rPr>
        <w:t xml:space="preserve"> application made in the context of a </w:t>
      </w:r>
      <w:r w:rsidRPr="00AE0018">
        <w:rPr>
          <w:rFonts w:cs="Times New Roman"/>
          <w:i/>
          <w:sz w:val="20"/>
          <w:szCs w:val="20"/>
          <w:lang w:val="en-CA"/>
        </w:rPr>
        <w:t xml:space="preserve">Garofoli </w:t>
      </w:r>
      <w:r w:rsidRPr="00AE0018">
        <w:rPr>
          <w:rFonts w:cs="Times New Roman"/>
          <w:sz w:val="20"/>
          <w:szCs w:val="20"/>
          <w:lang w:val="en-CA"/>
        </w:rPr>
        <w:t xml:space="preserve">application must be confined to the narrow issues that a </w:t>
      </w:r>
      <w:r w:rsidRPr="00AE0018">
        <w:rPr>
          <w:rFonts w:cs="Times New Roman"/>
          <w:i/>
          <w:sz w:val="20"/>
          <w:szCs w:val="20"/>
          <w:lang w:val="en-CA"/>
        </w:rPr>
        <w:t xml:space="preserve">Garofoli </w:t>
      </w:r>
      <w:r w:rsidRPr="00AE0018">
        <w:rPr>
          <w:rFonts w:cs="Times New Roman"/>
          <w:sz w:val="20"/>
          <w:szCs w:val="20"/>
          <w:lang w:val="en-CA"/>
        </w:rPr>
        <w:t xml:space="preserve">application is meant to address. The </w:t>
      </w:r>
      <w:r w:rsidRPr="00AE0018">
        <w:rPr>
          <w:rFonts w:cs="Times New Roman"/>
          <w:i/>
          <w:sz w:val="20"/>
          <w:szCs w:val="20"/>
          <w:lang w:val="en-CA"/>
        </w:rPr>
        <w:t xml:space="preserve">Garofoli </w:t>
      </w:r>
      <w:r w:rsidRPr="00AE0018">
        <w:rPr>
          <w:rFonts w:cs="Times New Roman"/>
          <w:sz w:val="20"/>
          <w:szCs w:val="20"/>
          <w:lang w:val="en-CA"/>
        </w:rPr>
        <w:t xml:space="preserve">framework assesses the reasonableness of a search when wiretaps are used to intercept private communications. A search will be reasonable if the statutory preconditions for a wiretap authorization have been met. A </w:t>
      </w:r>
      <w:r w:rsidRPr="00AE0018">
        <w:rPr>
          <w:rFonts w:cs="Times New Roman"/>
          <w:i/>
          <w:sz w:val="20"/>
          <w:szCs w:val="20"/>
          <w:lang w:val="en-CA"/>
        </w:rPr>
        <w:t xml:space="preserve">Garofoli </w:t>
      </w:r>
      <w:r w:rsidRPr="00AE0018">
        <w:rPr>
          <w:rFonts w:cs="Times New Roman"/>
          <w:sz w:val="20"/>
          <w:szCs w:val="20"/>
          <w:lang w:val="en-CA"/>
        </w:rPr>
        <w:t xml:space="preserve">application does not determine whether the allegations underlying the wiretap application are ultimately true — a matter to be decided at trial — but rather whether the affiant had a reasonable belief in the existence of the requisite statutory grounds. What matters is what the affiant knew or ought to have known at the time the affidavit in support of the wiretap authorization was sworn. </w:t>
      </w:r>
    </w:p>
    <w:p w:rsidR="001B2D1B" w:rsidRPr="00AE0018" w:rsidRDefault="001B2D1B" w:rsidP="001B2D1B">
      <w:pPr>
        <w:pStyle w:val="ParaNoNdepar-AltN"/>
        <w:numPr>
          <w:ilvl w:val="0"/>
          <w:numId w:val="0"/>
        </w:numPr>
        <w:spacing w:before="0" w:after="0" w:line="240" w:lineRule="auto"/>
        <w:rPr>
          <w:rFonts w:cs="Times New Roman"/>
          <w:sz w:val="20"/>
          <w:szCs w:val="20"/>
          <w:lang w:val="en-CA"/>
        </w:rPr>
      </w:pPr>
    </w:p>
    <w:p w:rsidR="001B2D1B" w:rsidRPr="00AE0018" w:rsidRDefault="001B2D1B" w:rsidP="001B2D1B">
      <w:pPr>
        <w:pStyle w:val="ParaNoNdepar-AltN"/>
        <w:numPr>
          <w:ilvl w:val="0"/>
          <w:numId w:val="0"/>
        </w:numPr>
        <w:spacing w:before="0" w:after="0" w:line="240" w:lineRule="auto"/>
        <w:rPr>
          <w:rFonts w:cs="Times New Roman"/>
          <w:sz w:val="20"/>
          <w:szCs w:val="20"/>
          <w:lang w:val="en-CA"/>
        </w:rPr>
      </w:pPr>
      <w:r w:rsidRPr="00AE0018">
        <w:rPr>
          <w:rFonts w:cs="Times New Roman"/>
          <w:sz w:val="20"/>
          <w:szCs w:val="20"/>
          <w:lang w:val="en-CA"/>
        </w:rPr>
        <w:tab/>
        <w:t xml:space="preserve">While the </w:t>
      </w:r>
      <w:r w:rsidRPr="00AE0018">
        <w:rPr>
          <w:rFonts w:cs="Times New Roman"/>
          <w:i/>
          <w:sz w:val="20"/>
          <w:szCs w:val="20"/>
          <w:lang w:val="en-CA"/>
        </w:rPr>
        <w:t xml:space="preserve">O’Connor </w:t>
      </w:r>
      <w:r w:rsidRPr="00AE0018">
        <w:rPr>
          <w:rFonts w:cs="Times New Roman"/>
          <w:sz w:val="20"/>
          <w:szCs w:val="20"/>
          <w:lang w:val="en-CA"/>
        </w:rPr>
        <w:t xml:space="preserve">process may be used to obtain records for purposes of a </w:t>
      </w:r>
      <w:r w:rsidRPr="00AE0018">
        <w:rPr>
          <w:rFonts w:cs="Times New Roman"/>
          <w:i/>
          <w:sz w:val="20"/>
          <w:szCs w:val="20"/>
          <w:lang w:val="en-CA"/>
        </w:rPr>
        <w:t xml:space="preserve">Garofoli </w:t>
      </w:r>
      <w:r w:rsidRPr="00AE0018">
        <w:rPr>
          <w:rFonts w:cs="Times New Roman"/>
          <w:sz w:val="20"/>
          <w:szCs w:val="20"/>
          <w:lang w:val="en-CA"/>
        </w:rPr>
        <w:t xml:space="preserve">application, the relevance threshold applicable to such an application is narrower than that on a typical </w:t>
      </w:r>
      <w:r w:rsidRPr="00AE0018">
        <w:rPr>
          <w:rFonts w:cs="Times New Roman"/>
          <w:i/>
          <w:sz w:val="20"/>
          <w:szCs w:val="20"/>
          <w:lang w:val="en-CA"/>
        </w:rPr>
        <w:t xml:space="preserve">O’Connor </w:t>
      </w:r>
      <w:r w:rsidRPr="00AE0018">
        <w:rPr>
          <w:rFonts w:cs="Times New Roman"/>
          <w:sz w:val="20"/>
          <w:szCs w:val="20"/>
          <w:lang w:val="en-CA"/>
        </w:rPr>
        <w:t xml:space="preserve">application. To obtain third party records in a </w:t>
      </w:r>
      <w:r w:rsidRPr="00AE0018">
        <w:rPr>
          <w:rFonts w:cs="Times New Roman"/>
          <w:i/>
          <w:sz w:val="20"/>
          <w:szCs w:val="20"/>
          <w:lang w:val="en-CA"/>
        </w:rPr>
        <w:t xml:space="preserve">Garofoli </w:t>
      </w:r>
      <w:r w:rsidRPr="00AE0018">
        <w:rPr>
          <w:rFonts w:cs="Times New Roman"/>
          <w:sz w:val="20"/>
          <w:szCs w:val="20"/>
          <w:lang w:val="en-CA"/>
        </w:rPr>
        <w:t xml:space="preserve">application an accused must show a reasonable likelihood that the records will be of probative value to the narrow issues in play on such an application. This test for third party production is also consistent with another form of discovery on a </w:t>
      </w:r>
      <w:r w:rsidRPr="00AE0018">
        <w:rPr>
          <w:rFonts w:cs="Times New Roman"/>
          <w:i/>
          <w:sz w:val="20"/>
          <w:szCs w:val="20"/>
          <w:lang w:val="en-CA"/>
        </w:rPr>
        <w:t xml:space="preserve">Garofoli </w:t>
      </w:r>
      <w:r w:rsidRPr="00AE0018">
        <w:rPr>
          <w:rFonts w:cs="Times New Roman"/>
          <w:sz w:val="20"/>
          <w:szCs w:val="20"/>
          <w:lang w:val="en-CA"/>
        </w:rPr>
        <w:t>application: cross</w:t>
      </w:r>
      <w:r w:rsidRPr="00AE0018">
        <w:rPr>
          <w:rFonts w:cs="Times New Roman"/>
          <w:sz w:val="20"/>
          <w:szCs w:val="20"/>
          <w:lang w:val="en-CA"/>
        </w:rPr>
        <w:noBreakHyphen/>
        <w:t>examination of the affiant. Both forms of discovery serve similar purposes and engage similar policy concerns. The justifications that warrant limiting cross</w:t>
      </w:r>
      <w:r w:rsidRPr="00AE0018">
        <w:rPr>
          <w:rFonts w:cs="Times New Roman"/>
          <w:sz w:val="20"/>
          <w:szCs w:val="20"/>
          <w:lang w:val="en-CA"/>
        </w:rPr>
        <w:noBreakHyphen/>
        <w:t xml:space="preserve">examination of the affiant apply with equal force to third party production applications. The “reasonable likelihood” threshold is appropriate to the </w:t>
      </w:r>
      <w:r w:rsidRPr="00AE0018">
        <w:rPr>
          <w:rFonts w:cs="Times New Roman"/>
          <w:i/>
          <w:sz w:val="20"/>
          <w:szCs w:val="20"/>
          <w:lang w:val="en-CA"/>
        </w:rPr>
        <w:t>Garofoli</w:t>
      </w:r>
      <w:r w:rsidRPr="00AE0018">
        <w:rPr>
          <w:rFonts w:cs="Times New Roman"/>
          <w:sz w:val="20"/>
          <w:szCs w:val="20"/>
          <w:lang w:val="en-CA"/>
        </w:rPr>
        <w:t xml:space="preserve"> context and fair to the accused. </w:t>
      </w:r>
    </w:p>
    <w:p w:rsidR="001B2D1B" w:rsidRPr="00AE0018" w:rsidRDefault="001B2D1B" w:rsidP="001B2D1B">
      <w:pPr>
        <w:pStyle w:val="ParaNoNdepar-AltN"/>
        <w:numPr>
          <w:ilvl w:val="0"/>
          <w:numId w:val="0"/>
        </w:numPr>
        <w:spacing w:before="0" w:after="0" w:line="240" w:lineRule="auto"/>
        <w:rPr>
          <w:rFonts w:cs="Times New Roman"/>
          <w:sz w:val="20"/>
          <w:szCs w:val="20"/>
          <w:lang w:val="en-CA"/>
        </w:rPr>
      </w:pPr>
    </w:p>
    <w:p w:rsidR="001B2D1B" w:rsidRPr="00AE0018" w:rsidRDefault="001B2D1B" w:rsidP="001B2D1B">
      <w:pPr>
        <w:pStyle w:val="ParaNoNdepar-AltN"/>
        <w:numPr>
          <w:ilvl w:val="0"/>
          <w:numId w:val="0"/>
        </w:numPr>
        <w:spacing w:before="0" w:after="0" w:line="240" w:lineRule="auto"/>
        <w:rPr>
          <w:rFonts w:cs="Times New Roman"/>
          <w:sz w:val="20"/>
          <w:szCs w:val="20"/>
          <w:lang w:val="en-CA"/>
        </w:rPr>
      </w:pPr>
      <w:r w:rsidRPr="00AE0018">
        <w:rPr>
          <w:rFonts w:cs="Times New Roman"/>
          <w:sz w:val="20"/>
          <w:szCs w:val="20"/>
          <w:lang w:val="en-CA"/>
        </w:rPr>
        <w:tab/>
        <w:t xml:space="preserve">The trial judge erred in assessing the accused’s arguments. Although he correctly placed the burden on the accused, he did not properly assess the relevance of the documents being sought. In particular, he blurred the distinction in a </w:t>
      </w:r>
      <w:r w:rsidRPr="00AE0018">
        <w:rPr>
          <w:rFonts w:cs="Times New Roman"/>
          <w:i/>
          <w:sz w:val="20"/>
          <w:szCs w:val="20"/>
          <w:lang w:val="en-CA"/>
        </w:rPr>
        <w:t xml:space="preserve">Garofoli </w:t>
      </w:r>
      <w:r w:rsidRPr="00AE0018">
        <w:rPr>
          <w:rFonts w:cs="Times New Roman"/>
          <w:sz w:val="20"/>
          <w:szCs w:val="20"/>
          <w:lang w:val="en-CA"/>
        </w:rPr>
        <w:t xml:space="preserve">application between the affiant’s knowledge and the knowledge of others involved in the investigation. In this case, that distinction is crucial. While the documents sought may be relevant to the ultimate truth of the allegations in the affidavits, they are not reasonably likely to be of probative value to what Sgt. D knew or ought to have known since he did not consult them. The accused have not shown that it was unreasonable for him to rely on the information he received from the INT and other officers. Furthermore, accepting the argument that the INT’s records should be presumed relevant because first party documents were lost or not created, would require a significant change to the </w:t>
      </w:r>
      <w:r w:rsidRPr="00AE0018">
        <w:rPr>
          <w:rFonts w:cs="Times New Roman"/>
          <w:i/>
          <w:sz w:val="20"/>
          <w:szCs w:val="20"/>
          <w:lang w:val="en-CA"/>
        </w:rPr>
        <w:t xml:space="preserve">O’Connor </w:t>
      </w:r>
      <w:r w:rsidRPr="00AE0018">
        <w:rPr>
          <w:rFonts w:cs="Times New Roman"/>
          <w:sz w:val="20"/>
          <w:szCs w:val="20"/>
          <w:lang w:val="en-CA"/>
        </w:rPr>
        <w:t xml:space="preserve">framework. Such a change is not necessary. Any loss of information must be addressed through the remedial framework set forth in </w:t>
      </w:r>
      <w:r w:rsidRPr="00AE0018">
        <w:rPr>
          <w:rFonts w:cs="Times New Roman"/>
          <w:i/>
          <w:sz w:val="20"/>
          <w:szCs w:val="20"/>
          <w:lang w:val="en-CA"/>
        </w:rPr>
        <w:t>R. v. La</w:t>
      </w:r>
      <w:r w:rsidRPr="00AE0018">
        <w:rPr>
          <w:rFonts w:cs="Times New Roman"/>
          <w:sz w:val="20"/>
          <w:szCs w:val="20"/>
          <w:lang w:val="en-CA"/>
        </w:rPr>
        <w:t>, [1997] 2 S.C.R. 680, which may well be the appropriate framework for addressing any prejudice resulting from the World Bank Group’s assertion of its immunities. The accused did not argue these issues on this appeal, and they are best left to the trial judge.</w:t>
      </w:r>
    </w:p>
    <w:p w:rsidR="001B2D1B" w:rsidRPr="00AE0018" w:rsidRDefault="001B2D1B" w:rsidP="001B2D1B">
      <w:pPr>
        <w:pStyle w:val="ParaNoNdepar-AltN"/>
        <w:numPr>
          <w:ilvl w:val="0"/>
          <w:numId w:val="0"/>
        </w:numPr>
        <w:spacing w:before="0" w:after="0" w:line="240" w:lineRule="auto"/>
        <w:rPr>
          <w:rFonts w:cs="Times New Roman"/>
          <w:sz w:val="20"/>
          <w:szCs w:val="20"/>
          <w:lang w:val="en-CA"/>
        </w:rPr>
      </w:pPr>
    </w:p>
    <w:p w:rsidR="001B2D1B" w:rsidRDefault="001B2D1B" w:rsidP="001B2D1B">
      <w:pPr>
        <w:pStyle w:val="SCCNormalDoubleSpacing"/>
        <w:spacing w:line="240" w:lineRule="auto"/>
        <w:rPr>
          <w:sz w:val="20"/>
        </w:rPr>
      </w:pPr>
      <w:r w:rsidRPr="00854622">
        <w:rPr>
          <w:sz w:val="20"/>
        </w:rPr>
        <w:tab/>
        <w:t>APPEAL from a decision of the Ontario Superior Court of Justice (Nordheimer J.), 2014 ONSC 7449, [2014] O.J. No. 6534 (QL), granting in part an application by the accused seeking an order for the validation of subpoenas and compelling the production of documents. Appeal allowed.</w:t>
      </w:r>
    </w:p>
    <w:p w:rsidR="001B2D1B" w:rsidRPr="00854622" w:rsidRDefault="001B2D1B" w:rsidP="001B2D1B">
      <w:pPr>
        <w:pStyle w:val="SCCNormalDoubleSpacing"/>
        <w:spacing w:line="240" w:lineRule="auto"/>
        <w:rPr>
          <w:sz w:val="20"/>
        </w:rPr>
      </w:pPr>
    </w:p>
    <w:p w:rsidR="001B2D1B" w:rsidRDefault="001B2D1B" w:rsidP="001B2D1B">
      <w:pPr>
        <w:pStyle w:val="SCCNormalDoubleSpacing"/>
        <w:spacing w:line="240" w:lineRule="auto"/>
        <w:rPr>
          <w:rStyle w:val="SCCCounselPartyRoleChar"/>
          <w:sz w:val="20"/>
        </w:rPr>
      </w:pPr>
      <w:r w:rsidRPr="00854622">
        <w:rPr>
          <w:rStyle w:val="SCCCounselNameChar"/>
          <w:sz w:val="20"/>
        </w:rPr>
        <w:tab/>
        <w:t>Alan J. Lenczner, Q.C.</w:t>
      </w:r>
      <w:r w:rsidRPr="00AE0018">
        <w:rPr>
          <w:rStyle w:val="SCCCounselSeparatorChar"/>
          <w:sz w:val="20"/>
          <w:lang w:val="en-CA"/>
        </w:rPr>
        <w:t xml:space="preserve">, </w:t>
      </w:r>
      <w:r w:rsidRPr="00854622">
        <w:rPr>
          <w:rStyle w:val="SCCCounselNameChar"/>
          <w:sz w:val="20"/>
        </w:rPr>
        <w:t>Scott Rollwagen</w:t>
      </w:r>
      <w:r w:rsidRPr="00854622">
        <w:rPr>
          <w:rStyle w:val="SCCCounselPartyRoleChar"/>
          <w:sz w:val="20"/>
        </w:rPr>
        <w:t xml:space="preserve"> and </w:t>
      </w:r>
      <w:r w:rsidRPr="00854622">
        <w:rPr>
          <w:rStyle w:val="SCCCounselPartyRoleChar"/>
          <w:i/>
          <w:sz w:val="20"/>
        </w:rPr>
        <w:t>Chris Kinnear</w:t>
      </w:r>
      <w:r w:rsidRPr="00854622">
        <w:rPr>
          <w:rStyle w:val="SCCCounselPartyRoleChar"/>
          <w:i/>
          <w:sz w:val="20"/>
        </w:rPr>
        <w:noBreakHyphen/>
        <w:t>Hunter</w:t>
      </w:r>
      <w:r w:rsidRPr="00854622">
        <w:rPr>
          <w:rStyle w:val="SCCCounselPartyRoleChar"/>
          <w:sz w:val="20"/>
        </w:rPr>
        <w:t>, for the appellant.</w:t>
      </w:r>
    </w:p>
    <w:p w:rsidR="001B2D1B" w:rsidRPr="00854622" w:rsidRDefault="001B2D1B" w:rsidP="001B2D1B">
      <w:pPr>
        <w:pStyle w:val="SCCNormalDoubleSpacing"/>
        <w:spacing w:line="240" w:lineRule="auto"/>
        <w:rPr>
          <w:sz w:val="20"/>
        </w:rPr>
      </w:pPr>
    </w:p>
    <w:p w:rsidR="001B2D1B" w:rsidRDefault="001B2D1B" w:rsidP="001B2D1B">
      <w:pPr>
        <w:pStyle w:val="SCCNormalDoubleSpacing"/>
        <w:spacing w:line="240" w:lineRule="auto"/>
        <w:rPr>
          <w:rStyle w:val="SCCCounselPartyRoleChar"/>
          <w:sz w:val="20"/>
        </w:rPr>
      </w:pPr>
      <w:r w:rsidRPr="00854622">
        <w:rPr>
          <w:rStyle w:val="SCCCounselNameChar"/>
          <w:sz w:val="20"/>
        </w:rPr>
        <w:tab/>
        <w:t>Scott K. Fenton</w:t>
      </w:r>
      <w:r w:rsidRPr="00AE0018">
        <w:rPr>
          <w:rStyle w:val="SCCCounselSeparatorChar"/>
          <w:sz w:val="20"/>
          <w:lang w:val="en-CA"/>
        </w:rPr>
        <w:t xml:space="preserve"> and </w:t>
      </w:r>
      <w:r w:rsidRPr="00854622">
        <w:rPr>
          <w:rStyle w:val="SCCCounselNameChar"/>
          <w:sz w:val="20"/>
        </w:rPr>
        <w:t>Lynda E. Morgan</w:t>
      </w:r>
      <w:r w:rsidRPr="00854622">
        <w:rPr>
          <w:rStyle w:val="SCCCounselPartyRoleChar"/>
          <w:sz w:val="20"/>
        </w:rPr>
        <w:t>, for the respondent Kevin Wallace.</w:t>
      </w:r>
    </w:p>
    <w:p w:rsidR="001B2D1B" w:rsidRPr="00854622" w:rsidRDefault="001B2D1B" w:rsidP="001B2D1B">
      <w:pPr>
        <w:pStyle w:val="SCCNormalDoubleSpacing"/>
        <w:spacing w:line="240" w:lineRule="auto"/>
        <w:rPr>
          <w:sz w:val="20"/>
        </w:rPr>
      </w:pPr>
    </w:p>
    <w:p w:rsidR="001B2D1B" w:rsidRDefault="001B2D1B" w:rsidP="001B2D1B">
      <w:pPr>
        <w:pStyle w:val="SCCNormalDoubleSpacing"/>
        <w:spacing w:line="240" w:lineRule="auto"/>
        <w:rPr>
          <w:rStyle w:val="SCCCounselPartyRoleChar"/>
          <w:sz w:val="20"/>
        </w:rPr>
      </w:pPr>
      <w:r w:rsidRPr="00854622">
        <w:rPr>
          <w:rStyle w:val="SCCCounselNameChar"/>
          <w:sz w:val="20"/>
        </w:rPr>
        <w:tab/>
        <w:t>Frank Addario</w:t>
      </w:r>
      <w:r w:rsidRPr="00AE0018">
        <w:rPr>
          <w:rStyle w:val="SCCCounselSeparatorChar"/>
          <w:sz w:val="20"/>
          <w:lang w:val="en-CA"/>
        </w:rPr>
        <w:t xml:space="preserve"> and </w:t>
      </w:r>
      <w:r w:rsidRPr="00854622">
        <w:rPr>
          <w:rStyle w:val="SCCCounselNameChar"/>
          <w:sz w:val="20"/>
        </w:rPr>
        <w:t>Megan Savard</w:t>
      </w:r>
      <w:r w:rsidRPr="00854622">
        <w:rPr>
          <w:rStyle w:val="SCCCounselPartyRoleChar"/>
          <w:sz w:val="20"/>
        </w:rPr>
        <w:t xml:space="preserve">, for the respondent </w:t>
      </w:r>
      <w:r w:rsidRPr="00854622">
        <w:rPr>
          <w:sz w:val="20"/>
        </w:rPr>
        <w:t>Zulfiquar Bhuiyan</w:t>
      </w:r>
      <w:r w:rsidRPr="00854622">
        <w:rPr>
          <w:rStyle w:val="SCCCounselPartyRoleChar"/>
          <w:sz w:val="20"/>
        </w:rPr>
        <w:t>.</w:t>
      </w:r>
    </w:p>
    <w:p w:rsidR="001B2D1B" w:rsidRPr="00854622" w:rsidRDefault="001B2D1B" w:rsidP="001B2D1B">
      <w:pPr>
        <w:pStyle w:val="SCCNormalDoubleSpacing"/>
        <w:spacing w:line="240" w:lineRule="auto"/>
        <w:rPr>
          <w:sz w:val="20"/>
        </w:rPr>
      </w:pPr>
    </w:p>
    <w:p w:rsidR="001B2D1B" w:rsidRDefault="001B2D1B" w:rsidP="001B2D1B">
      <w:pPr>
        <w:pStyle w:val="SCCNormalDoubleSpacing"/>
        <w:spacing w:line="240" w:lineRule="auto"/>
        <w:rPr>
          <w:rStyle w:val="SCCCounselPartyRoleChar"/>
          <w:sz w:val="20"/>
        </w:rPr>
      </w:pPr>
      <w:r w:rsidRPr="00854622">
        <w:rPr>
          <w:rStyle w:val="SCCCounselNameChar"/>
          <w:sz w:val="20"/>
        </w:rPr>
        <w:tab/>
        <w:t>David Cousins</w:t>
      </w:r>
      <w:r w:rsidRPr="00854622">
        <w:rPr>
          <w:rStyle w:val="SCCCounselPartyRoleChar"/>
          <w:sz w:val="20"/>
        </w:rPr>
        <w:t xml:space="preserve">, for the respondent </w:t>
      </w:r>
      <w:r w:rsidRPr="00854622">
        <w:rPr>
          <w:sz w:val="20"/>
        </w:rPr>
        <w:t>Ramesh Shah</w:t>
      </w:r>
      <w:r w:rsidRPr="00854622">
        <w:rPr>
          <w:rStyle w:val="SCCCounselPartyRoleChar"/>
          <w:sz w:val="20"/>
        </w:rPr>
        <w:t>.</w:t>
      </w:r>
    </w:p>
    <w:p w:rsidR="001B2D1B" w:rsidRPr="00854622" w:rsidRDefault="001B2D1B" w:rsidP="001B2D1B">
      <w:pPr>
        <w:pStyle w:val="SCCNormalDoubleSpacing"/>
        <w:spacing w:line="240" w:lineRule="auto"/>
        <w:rPr>
          <w:sz w:val="20"/>
        </w:rPr>
      </w:pPr>
    </w:p>
    <w:p w:rsidR="001B2D1B" w:rsidRDefault="001B2D1B" w:rsidP="001B2D1B">
      <w:pPr>
        <w:pStyle w:val="SCCNormalDoubleSpacing"/>
        <w:spacing w:line="240" w:lineRule="auto"/>
        <w:rPr>
          <w:rStyle w:val="SCCCounselPartyRoleChar"/>
          <w:sz w:val="20"/>
        </w:rPr>
      </w:pPr>
      <w:r w:rsidRPr="00854622">
        <w:rPr>
          <w:rStyle w:val="SCCCounselNameChar"/>
          <w:sz w:val="20"/>
        </w:rPr>
        <w:tab/>
        <w:t>Kathryn Wells</w:t>
      </w:r>
      <w:r w:rsidRPr="00854622">
        <w:rPr>
          <w:rStyle w:val="SCCCounselPartyRoleChar"/>
          <w:sz w:val="20"/>
        </w:rPr>
        <w:t xml:space="preserve">, for the respondent </w:t>
      </w:r>
      <w:r w:rsidRPr="00854622">
        <w:rPr>
          <w:sz w:val="20"/>
        </w:rPr>
        <w:t>Mohammad Ismail</w:t>
      </w:r>
      <w:r w:rsidRPr="00854622">
        <w:rPr>
          <w:rStyle w:val="SCCCounselPartyRoleChar"/>
          <w:sz w:val="20"/>
        </w:rPr>
        <w:t>.</w:t>
      </w:r>
    </w:p>
    <w:p w:rsidR="001B2D1B" w:rsidRPr="00854622" w:rsidRDefault="001B2D1B" w:rsidP="001B2D1B">
      <w:pPr>
        <w:pStyle w:val="SCCNormalDoubleSpacing"/>
        <w:spacing w:line="240" w:lineRule="auto"/>
        <w:rPr>
          <w:sz w:val="20"/>
        </w:rPr>
      </w:pPr>
    </w:p>
    <w:p w:rsidR="001B2D1B" w:rsidRDefault="001B2D1B" w:rsidP="001B2D1B">
      <w:pPr>
        <w:pStyle w:val="SCCNormalDoubleSpacing"/>
        <w:spacing w:line="240" w:lineRule="auto"/>
        <w:rPr>
          <w:rStyle w:val="SCCCounselPartyRoleChar"/>
          <w:sz w:val="20"/>
        </w:rPr>
      </w:pPr>
      <w:r w:rsidRPr="00854622">
        <w:rPr>
          <w:rStyle w:val="SCCCounselNameChar"/>
          <w:sz w:val="20"/>
        </w:rPr>
        <w:tab/>
        <w:t>Nicholas E. Devlin</w:t>
      </w:r>
      <w:r w:rsidRPr="00854622">
        <w:rPr>
          <w:rStyle w:val="SCCCounselPartyRoleChar"/>
          <w:sz w:val="20"/>
        </w:rPr>
        <w:t xml:space="preserve"> and </w:t>
      </w:r>
      <w:r w:rsidRPr="00854622">
        <w:rPr>
          <w:rStyle w:val="SCCCounselPartyRoleChar"/>
          <w:i/>
          <w:sz w:val="20"/>
        </w:rPr>
        <w:t>François Lacasse</w:t>
      </w:r>
      <w:r w:rsidRPr="00854622">
        <w:rPr>
          <w:rStyle w:val="SCCCounselPartyRoleChar"/>
          <w:sz w:val="20"/>
        </w:rPr>
        <w:t xml:space="preserve">, for the respondent </w:t>
      </w:r>
      <w:r w:rsidRPr="00854622">
        <w:rPr>
          <w:sz w:val="20"/>
        </w:rPr>
        <w:t>Her Majesty the Queen in Right of Canada</w:t>
      </w:r>
      <w:r w:rsidRPr="00854622">
        <w:rPr>
          <w:rStyle w:val="SCCCounselPartyRoleChar"/>
          <w:sz w:val="20"/>
        </w:rPr>
        <w:t>.</w:t>
      </w:r>
    </w:p>
    <w:p w:rsidR="001B2D1B" w:rsidRPr="00854622" w:rsidRDefault="001B2D1B" w:rsidP="001B2D1B">
      <w:pPr>
        <w:pStyle w:val="SCCNormalDoubleSpacing"/>
        <w:spacing w:line="240" w:lineRule="auto"/>
        <w:rPr>
          <w:sz w:val="20"/>
        </w:rPr>
      </w:pPr>
    </w:p>
    <w:p w:rsidR="001B2D1B" w:rsidRDefault="001B2D1B" w:rsidP="001B2D1B">
      <w:pPr>
        <w:pStyle w:val="SCCNormalDoubleSpacing"/>
        <w:spacing w:line="240" w:lineRule="auto"/>
        <w:rPr>
          <w:rStyle w:val="SCCCounselPartyRoleChar"/>
          <w:sz w:val="20"/>
        </w:rPr>
      </w:pPr>
      <w:r w:rsidRPr="00854622">
        <w:rPr>
          <w:rStyle w:val="SCCCounselNameChar"/>
          <w:sz w:val="20"/>
        </w:rPr>
        <w:tab/>
        <w:t>Scott C. Hutchison</w:t>
      </w:r>
      <w:r w:rsidRPr="00AE0018">
        <w:rPr>
          <w:rStyle w:val="SCCCounselSeparatorChar"/>
          <w:sz w:val="20"/>
          <w:lang w:val="en-CA"/>
        </w:rPr>
        <w:t xml:space="preserve"> and </w:t>
      </w:r>
      <w:r w:rsidRPr="00854622">
        <w:rPr>
          <w:rStyle w:val="SCCCounselNameChar"/>
          <w:sz w:val="20"/>
        </w:rPr>
        <w:t>Samuel Walker</w:t>
      </w:r>
      <w:r w:rsidRPr="00854622">
        <w:rPr>
          <w:rStyle w:val="SCCCounselPartyRoleChar"/>
          <w:sz w:val="20"/>
        </w:rPr>
        <w:t>, for the intervener the Criminal Lawyers’ Association (Ontario).</w:t>
      </w:r>
    </w:p>
    <w:p w:rsidR="001B2D1B" w:rsidRPr="00854622" w:rsidRDefault="001B2D1B" w:rsidP="001B2D1B">
      <w:pPr>
        <w:pStyle w:val="SCCNormalDoubleSpacing"/>
        <w:spacing w:line="240" w:lineRule="auto"/>
        <w:rPr>
          <w:sz w:val="20"/>
        </w:rPr>
      </w:pPr>
    </w:p>
    <w:p w:rsidR="001B2D1B" w:rsidRDefault="001B2D1B" w:rsidP="001B2D1B">
      <w:pPr>
        <w:pStyle w:val="SCCNormalDoubleSpacing"/>
        <w:spacing w:line="240" w:lineRule="auto"/>
        <w:rPr>
          <w:rStyle w:val="SCCCounselPartyRoleChar"/>
          <w:sz w:val="20"/>
        </w:rPr>
      </w:pPr>
      <w:r w:rsidRPr="00854622">
        <w:rPr>
          <w:rStyle w:val="SCCCounselNameChar"/>
          <w:sz w:val="20"/>
        </w:rPr>
        <w:tab/>
        <w:t>Mark A. Gelowitz</w:t>
      </w:r>
      <w:r w:rsidRPr="00AE0018">
        <w:rPr>
          <w:rStyle w:val="SCCCounselSeparatorChar"/>
          <w:sz w:val="20"/>
          <w:lang w:val="en-CA"/>
        </w:rPr>
        <w:t xml:space="preserve"> and </w:t>
      </w:r>
      <w:r w:rsidRPr="00854622">
        <w:rPr>
          <w:rStyle w:val="SCCCounselNameChar"/>
          <w:sz w:val="20"/>
        </w:rPr>
        <w:t>Geoffrey Grove</w:t>
      </w:r>
      <w:r w:rsidRPr="00854622">
        <w:rPr>
          <w:rStyle w:val="SCCCounselPartyRoleChar"/>
          <w:sz w:val="20"/>
        </w:rPr>
        <w:t>, for the interveners Transparency International Canada Inc. and Transparency International e.V.</w:t>
      </w:r>
    </w:p>
    <w:p w:rsidR="001B2D1B" w:rsidRPr="00854622" w:rsidRDefault="001B2D1B" w:rsidP="0082555B">
      <w:pPr>
        <w:pStyle w:val="SCCNormalDoubleSpacing"/>
        <w:spacing w:line="240" w:lineRule="auto"/>
        <w:rPr>
          <w:sz w:val="20"/>
        </w:rPr>
      </w:pPr>
    </w:p>
    <w:p w:rsidR="001B2D1B" w:rsidRDefault="001B2D1B" w:rsidP="0082555B">
      <w:pPr>
        <w:pStyle w:val="SCCNormalDoubleSpacing"/>
        <w:spacing w:line="240" w:lineRule="auto"/>
        <w:rPr>
          <w:rStyle w:val="SCCCounselPartyRoleChar"/>
          <w:sz w:val="20"/>
        </w:rPr>
      </w:pPr>
      <w:r w:rsidRPr="00854622">
        <w:rPr>
          <w:rStyle w:val="SCCCounselNameChar"/>
          <w:sz w:val="20"/>
        </w:rPr>
        <w:tab/>
        <w:t>Gerald Chan</w:t>
      </w:r>
      <w:r w:rsidRPr="00AE0018">
        <w:rPr>
          <w:rStyle w:val="SCCCounselSeparatorChar"/>
          <w:sz w:val="20"/>
          <w:lang w:val="en-CA"/>
        </w:rPr>
        <w:t xml:space="preserve"> and </w:t>
      </w:r>
      <w:r w:rsidRPr="00854622">
        <w:rPr>
          <w:rStyle w:val="SCCCounselNameChar"/>
          <w:sz w:val="20"/>
        </w:rPr>
        <w:t>Nader R. Hasan</w:t>
      </w:r>
      <w:r w:rsidRPr="00AE0018">
        <w:rPr>
          <w:rStyle w:val="SCCCounselSeparatorChar"/>
          <w:sz w:val="20"/>
          <w:lang w:val="en-CA"/>
        </w:rPr>
        <w:t xml:space="preserve">, </w:t>
      </w:r>
      <w:r w:rsidRPr="00854622">
        <w:rPr>
          <w:rStyle w:val="SCCCounselPartyRoleChar"/>
          <w:sz w:val="20"/>
        </w:rPr>
        <w:t>for the intervener the British Columbia Civil Liberties Association.</w:t>
      </w:r>
    </w:p>
    <w:p w:rsidR="001B2D1B" w:rsidRPr="00854622" w:rsidRDefault="001B2D1B" w:rsidP="0082555B">
      <w:pPr>
        <w:pStyle w:val="SCCNormalDoubleSpacing"/>
        <w:spacing w:line="240" w:lineRule="auto"/>
        <w:rPr>
          <w:sz w:val="20"/>
        </w:rPr>
      </w:pPr>
    </w:p>
    <w:p w:rsidR="001B2D1B" w:rsidRPr="00854622" w:rsidRDefault="001B2D1B" w:rsidP="0082555B">
      <w:pPr>
        <w:pStyle w:val="SCCNormalDoubleSpacing"/>
        <w:spacing w:line="240" w:lineRule="auto"/>
        <w:rPr>
          <w:rStyle w:val="SCCCounselPartyRoleChar"/>
          <w:sz w:val="20"/>
        </w:rPr>
      </w:pPr>
      <w:r w:rsidRPr="00854622">
        <w:rPr>
          <w:rStyle w:val="SCCCounselNameChar"/>
          <w:sz w:val="20"/>
        </w:rPr>
        <w:tab/>
        <w:t>Guy J. Pratte</w:t>
      </w:r>
      <w:r w:rsidRPr="00AE0018">
        <w:rPr>
          <w:rStyle w:val="SCCCounselSeparatorChar"/>
          <w:sz w:val="20"/>
          <w:lang w:val="en-CA"/>
        </w:rPr>
        <w:t xml:space="preserve"> and </w:t>
      </w:r>
      <w:r w:rsidRPr="00854622">
        <w:rPr>
          <w:rStyle w:val="SCCCounselNameChar"/>
          <w:sz w:val="20"/>
        </w:rPr>
        <w:t>Nadia Effendi</w:t>
      </w:r>
      <w:r w:rsidRPr="00854622">
        <w:rPr>
          <w:rStyle w:val="SCCCounselPartyRoleChar"/>
          <w:sz w:val="20"/>
        </w:rPr>
        <w:t>, for the interveners the European Bank for Reconstruction and Development, the Organisation for Economic Co</w:t>
      </w:r>
      <w:r w:rsidRPr="00854622">
        <w:rPr>
          <w:rStyle w:val="SCCCounselPartyRoleChar"/>
          <w:sz w:val="20"/>
        </w:rPr>
        <w:noBreakHyphen/>
        <w:t>operation and Development, the African Development Bank Group, the Asian Development Bank, the Inter</w:t>
      </w:r>
      <w:r w:rsidRPr="00854622">
        <w:rPr>
          <w:rStyle w:val="SCCCounselPartyRoleChar"/>
          <w:sz w:val="20"/>
        </w:rPr>
        <w:noBreakHyphen/>
        <w:t>American Development Bank and the Nordic Investment Bank.</w:t>
      </w:r>
    </w:p>
    <w:p w:rsidR="001B2D1B" w:rsidRPr="00854622" w:rsidRDefault="001B2D1B" w:rsidP="0082555B">
      <w:pPr>
        <w:jc w:val="both"/>
        <w:rPr>
          <w:sz w:val="20"/>
          <w:szCs w:val="20"/>
        </w:rPr>
      </w:pPr>
    </w:p>
    <w:p w:rsidR="001B2D1B" w:rsidRPr="00854622" w:rsidRDefault="001B2D1B" w:rsidP="0082555B">
      <w:pPr>
        <w:jc w:val="both"/>
        <w:rPr>
          <w:i/>
          <w:sz w:val="20"/>
          <w:szCs w:val="20"/>
        </w:rPr>
      </w:pPr>
      <w:r w:rsidRPr="00854622">
        <w:rPr>
          <w:i/>
          <w:sz w:val="20"/>
          <w:szCs w:val="20"/>
        </w:rPr>
        <w:tab/>
        <w:t>Solicitors for the appellant: Lenczner Slaght Royce Smith Griffin, Toronto.</w:t>
      </w:r>
    </w:p>
    <w:p w:rsidR="001B2D1B" w:rsidRPr="00854622" w:rsidRDefault="001B2D1B" w:rsidP="0082555B">
      <w:pPr>
        <w:jc w:val="both"/>
        <w:rPr>
          <w:i/>
          <w:sz w:val="20"/>
          <w:szCs w:val="20"/>
        </w:rPr>
      </w:pPr>
    </w:p>
    <w:p w:rsidR="001B2D1B" w:rsidRDefault="001B2D1B" w:rsidP="0082555B">
      <w:pPr>
        <w:jc w:val="both"/>
        <w:rPr>
          <w:i/>
          <w:sz w:val="20"/>
        </w:rPr>
      </w:pPr>
      <w:r w:rsidRPr="00854622">
        <w:rPr>
          <w:i/>
          <w:sz w:val="20"/>
          <w:szCs w:val="20"/>
        </w:rPr>
        <w:tab/>
        <w:t>Solicitors for the respondent Kevin Wallace: Fenton, Smith, Toronto.</w:t>
      </w:r>
    </w:p>
    <w:p w:rsidR="001B2D1B" w:rsidRPr="00854622" w:rsidRDefault="001B2D1B" w:rsidP="0082555B">
      <w:pPr>
        <w:jc w:val="both"/>
        <w:rPr>
          <w:i/>
          <w:sz w:val="20"/>
          <w:szCs w:val="20"/>
        </w:rPr>
      </w:pPr>
    </w:p>
    <w:p w:rsidR="001B2D1B" w:rsidRDefault="001B2D1B" w:rsidP="0082555B">
      <w:pPr>
        <w:jc w:val="both"/>
        <w:rPr>
          <w:i/>
          <w:sz w:val="20"/>
        </w:rPr>
      </w:pPr>
      <w:r w:rsidRPr="00854622">
        <w:rPr>
          <w:i/>
          <w:sz w:val="20"/>
          <w:szCs w:val="20"/>
        </w:rPr>
        <w:tab/>
        <w:t>Solicitors for the respondent Zulfiquar Bhuiyan: Addario Law Group, Toronto.</w:t>
      </w:r>
    </w:p>
    <w:p w:rsidR="001B2D1B" w:rsidRPr="00854622" w:rsidRDefault="001B2D1B" w:rsidP="0082555B">
      <w:pPr>
        <w:jc w:val="both"/>
        <w:rPr>
          <w:i/>
          <w:sz w:val="20"/>
          <w:szCs w:val="20"/>
        </w:rPr>
      </w:pPr>
    </w:p>
    <w:p w:rsidR="001B2D1B" w:rsidRDefault="001B2D1B" w:rsidP="0082555B">
      <w:pPr>
        <w:jc w:val="both"/>
        <w:rPr>
          <w:i/>
          <w:sz w:val="20"/>
        </w:rPr>
      </w:pPr>
      <w:r w:rsidRPr="00854622">
        <w:rPr>
          <w:i/>
          <w:sz w:val="20"/>
          <w:szCs w:val="20"/>
        </w:rPr>
        <w:tab/>
        <w:t>Solicitor for the respondent Ramesh Shah: David B. Cousins, Toronto.</w:t>
      </w:r>
    </w:p>
    <w:p w:rsidR="001B2D1B" w:rsidRPr="00854622" w:rsidRDefault="001B2D1B" w:rsidP="0082555B">
      <w:pPr>
        <w:jc w:val="both"/>
        <w:rPr>
          <w:i/>
          <w:sz w:val="20"/>
          <w:szCs w:val="20"/>
        </w:rPr>
      </w:pPr>
    </w:p>
    <w:p w:rsidR="001B2D1B" w:rsidRDefault="001B2D1B" w:rsidP="0082555B">
      <w:pPr>
        <w:jc w:val="both"/>
        <w:rPr>
          <w:i/>
          <w:sz w:val="20"/>
        </w:rPr>
      </w:pPr>
      <w:r w:rsidRPr="00854622">
        <w:rPr>
          <w:i/>
          <w:sz w:val="20"/>
          <w:szCs w:val="20"/>
        </w:rPr>
        <w:tab/>
        <w:t>Solicitors for the respondent Mohammad Ismail: Wells Criminal Law, Toronto.</w:t>
      </w:r>
    </w:p>
    <w:p w:rsidR="001B2D1B" w:rsidRPr="00854622" w:rsidRDefault="001B2D1B" w:rsidP="0082555B">
      <w:pPr>
        <w:jc w:val="both"/>
        <w:rPr>
          <w:i/>
          <w:sz w:val="20"/>
          <w:szCs w:val="20"/>
        </w:rPr>
      </w:pPr>
    </w:p>
    <w:p w:rsidR="001B2D1B" w:rsidRDefault="001B2D1B" w:rsidP="0082555B">
      <w:pPr>
        <w:jc w:val="both"/>
        <w:rPr>
          <w:i/>
          <w:sz w:val="20"/>
        </w:rPr>
      </w:pPr>
      <w:r w:rsidRPr="00854622">
        <w:rPr>
          <w:i/>
          <w:sz w:val="20"/>
          <w:szCs w:val="20"/>
        </w:rPr>
        <w:tab/>
        <w:t>Solicitor for the respondent Her Majesty the Queen in Right of Canada: Public Prosecution Service of Canada, Toronto.</w:t>
      </w:r>
    </w:p>
    <w:p w:rsidR="001B2D1B" w:rsidRPr="00854622" w:rsidRDefault="001B2D1B" w:rsidP="0082555B">
      <w:pPr>
        <w:jc w:val="both"/>
        <w:rPr>
          <w:i/>
          <w:sz w:val="20"/>
          <w:szCs w:val="20"/>
        </w:rPr>
      </w:pPr>
    </w:p>
    <w:p w:rsidR="001B2D1B" w:rsidRDefault="001B2D1B" w:rsidP="0082555B">
      <w:pPr>
        <w:jc w:val="both"/>
        <w:rPr>
          <w:i/>
          <w:sz w:val="20"/>
        </w:rPr>
      </w:pPr>
      <w:r w:rsidRPr="00854622">
        <w:rPr>
          <w:i/>
          <w:sz w:val="20"/>
          <w:szCs w:val="20"/>
        </w:rPr>
        <w:tab/>
        <w:t>Solicitors for the intervener the Criminal Lawyers’ Association (Ontario): Henein Hutchison, Toronto.</w:t>
      </w:r>
    </w:p>
    <w:p w:rsidR="001B2D1B" w:rsidRPr="00854622" w:rsidRDefault="001B2D1B" w:rsidP="0082555B">
      <w:pPr>
        <w:jc w:val="both"/>
        <w:rPr>
          <w:i/>
          <w:sz w:val="20"/>
          <w:szCs w:val="20"/>
        </w:rPr>
      </w:pPr>
    </w:p>
    <w:p w:rsidR="001B2D1B" w:rsidRDefault="001B2D1B" w:rsidP="0082555B">
      <w:pPr>
        <w:jc w:val="both"/>
        <w:rPr>
          <w:i/>
          <w:sz w:val="20"/>
        </w:rPr>
      </w:pPr>
      <w:r w:rsidRPr="00854622">
        <w:rPr>
          <w:i/>
          <w:sz w:val="20"/>
          <w:szCs w:val="20"/>
        </w:rPr>
        <w:tab/>
        <w:t>Solicitors for the interveners Transparency International Canada Inc. and Transparency International e.V.: Osler, Hoskin &amp; Harcourt, Toronto.</w:t>
      </w:r>
    </w:p>
    <w:p w:rsidR="001B2D1B" w:rsidRPr="00854622" w:rsidRDefault="001B2D1B" w:rsidP="0082555B">
      <w:pPr>
        <w:jc w:val="both"/>
        <w:rPr>
          <w:i/>
          <w:sz w:val="20"/>
          <w:szCs w:val="20"/>
        </w:rPr>
      </w:pPr>
    </w:p>
    <w:p w:rsidR="001B2D1B" w:rsidRDefault="001B2D1B" w:rsidP="0082555B">
      <w:pPr>
        <w:jc w:val="both"/>
        <w:rPr>
          <w:i/>
          <w:sz w:val="20"/>
        </w:rPr>
      </w:pPr>
      <w:r w:rsidRPr="00854622">
        <w:rPr>
          <w:i/>
          <w:sz w:val="20"/>
          <w:szCs w:val="20"/>
        </w:rPr>
        <w:tab/>
        <w:t>Solicitors for the intervener the British Columbia Civil Liberties Association: Stockwoods, Toronto.</w:t>
      </w:r>
    </w:p>
    <w:p w:rsidR="001B2D1B" w:rsidRPr="00854622" w:rsidRDefault="001B2D1B" w:rsidP="0082555B">
      <w:pPr>
        <w:jc w:val="both"/>
        <w:rPr>
          <w:i/>
          <w:sz w:val="20"/>
          <w:szCs w:val="20"/>
        </w:rPr>
      </w:pPr>
    </w:p>
    <w:p w:rsidR="001B2D1B" w:rsidRDefault="001B2D1B" w:rsidP="0082555B">
      <w:pPr>
        <w:jc w:val="both"/>
        <w:rPr>
          <w:i/>
          <w:sz w:val="20"/>
          <w:szCs w:val="20"/>
        </w:rPr>
      </w:pPr>
      <w:r w:rsidRPr="00854622">
        <w:rPr>
          <w:i/>
          <w:sz w:val="20"/>
          <w:szCs w:val="20"/>
        </w:rPr>
        <w:tab/>
        <w:t>Solicitors for the interveners the European Bank for Reconstruction and Development, the Organisation for Economic Co</w:t>
      </w:r>
      <w:r w:rsidRPr="00854622">
        <w:rPr>
          <w:i/>
          <w:sz w:val="20"/>
          <w:szCs w:val="20"/>
        </w:rPr>
        <w:noBreakHyphen/>
        <w:t>operation and Development, the African Development Bank Group, the Asian Development Bank, the Inter</w:t>
      </w:r>
      <w:r w:rsidRPr="00854622">
        <w:rPr>
          <w:i/>
          <w:sz w:val="20"/>
          <w:szCs w:val="20"/>
        </w:rPr>
        <w:noBreakHyphen/>
        <w:t>American Development Bank and the Nordic Investment Bank: Borden Ladner Gervais, Ottawa.</w:t>
      </w:r>
    </w:p>
    <w:p w:rsidR="002455C8" w:rsidRPr="00854622" w:rsidRDefault="002455C8" w:rsidP="0082555B">
      <w:pPr>
        <w:jc w:val="both"/>
        <w:rPr>
          <w:i/>
          <w:sz w:val="20"/>
          <w:szCs w:val="20"/>
        </w:rPr>
      </w:pPr>
    </w:p>
    <w:p w:rsidR="002455C8" w:rsidRPr="002455C8" w:rsidRDefault="002455C8" w:rsidP="0052229C">
      <w:pPr>
        <w:rPr>
          <w:rFonts w:cs="Times New Roman"/>
          <w:sz w:val="20"/>
          <w:szCs w:val="20"/>
          <w:lang w:val="fr-CA"/>
        </w:rPr>
      </w:pPr>
      <w:r w:rsidRPr="002455C8">
        <w:rPr>
          <w:rFonts w:cs="Times New Roman"/>
          <w:sz w:val="20"/>
          <w:szCs w:val="20"/>
          <w:lang w:val="fr-CA"/>
        </w:rPr>
        <w:t>_______________</w:t>
      </w:r>
    </w:p>
    <w:p w:rsidR="002455C8" w:rsidRPr="002455C8" w:rsidRDefault="002455C8" w:rsidP="0052229C">
      <w:pPr>
        <w:rPr>
          <w:rFonts w:cs="Times New Roman"/>
          <w:sz w:val="20"/>
          <w:szCs w:val="20"/>
          <w:lang w:val="fr-CA"/>
        </w:rPr>
      </w:pPr>
    </w:p>
    <w:p w:rsidR="002455C8" w:rsidRDefault="002455C8" w:rsidP="002455C8">
      <w:pPr>
        <w:jc w:val="both"/>
        <w:rPr>
          <w:sz w:val="20"/>
          <w:lang w:val="fr-CA"/>
        </w:rPr>
      </w:pPr>
      <w:r w:rsidRPr="003E07FF">
        <w:rPr>
          <w:sz w:val="20"/>
          <w:szCs w:val="20"/>
          <w:lang w:val="fr-CA"/>
        </w:rPr>
        <w:t>Présents : La juge en chef McLachlin et les juges Abella, Cromwell, Moldaver, Karakatsanis, Wagner, Gascon, Côté et Brown.</w:t>
      </w:r>
    </w:p>
    <w:p w:rsidR="002455C8" w:rsidRPr="003E07FF" w:rsidRDefault="002455C8" w:rsidP="002455C8">
      <w:pPr>
        <w:jc w:val="both"/>
        <w:rPr>
          <w:smallCaps/>
          <w:sz w:val="20"/>
          <w:szCs w:val="20"/>
          <w:lang w:val="fr-CA"/>
        </w:rPr>
      </w:pPr>
    </w:p>
    <w:p w:rsidR="002455C8" w:rsidRDefault="002455C8" w:rsidP="002455C8">
      <w:pPr>
        <w:pStyle w:val="ParaNoNdepar-AltN"/>
        <w:numPr>
          <w:ilvl w:val="0"/>
          <w:numId w:val="0"/>
        </w:numPr>
        <w:spacing w:before="0" w:after="0" w:line="240" w:lineRule="auto"/>
        <w:rPr>
          <w:i/>
          <w:iCs/>
          <w:sz w:val="20"/>
          <w:szCs w:val="20"/>
        </w:rPr>
      </w:pPr>
      <w:r w:rsidRPr="003E07FF">
        <w:rPr>
          <w:sz w:val="20"/>
          <w:szCs w:val="20"/>
        </w:rPr>
        <w:tab/>
      </w:r>
      <w:r w:rsidRPr="003E07FF">
        <w:rPr>
          <w:i/>
          <w:sz w:val="20"/>
          <w:szCs w:val="20"/>
        </w:rPr>
        <w:t>Droit international public</w:t>
      </w:r>
      <w:r w:rsidRPr="003E07FF">
        <w:rPr>
          <w:i/>
          <w:iCs/>
          <w:sz w:val="20"/>
          <w:szCs w:val="20"/>
        </w:rPr>
        <w:t xml:space="preserve"> — Immunité de juridiction — Organisations internationales — Institutions financières — Demande de communication par des tiers présentée par des inculpés dans une poursuite criminelle au Canada en vue d’obtenir que des enquêteurs seniors d’une organisation financière internationale comparaissent devant les tribunaux canadiens et communiquent des documents — Inviolabilité de ses archives et immunité de son personnel invoquées par l’organisation financière internationale en vertu de ses statuts — Les immunités invoquées s’appliquent</w:t>
      </w:r>
      <w:r w:rsidRPr="003E07FF">
        <w:rPr>
          <w:i/>
          <w:iCs/>
          <w:sz w:val="20"/>
          <w:szCs w:val="20"/>
        </w:rPr>
        <w:noBreakHyphen/>
        <w:t>elles à l’organisation financière internationale? — Loi sur les accords de Bretton Woods et des accords connexes, L.R.C. 1985, c. B</w:t>
      </w:r>
      <w:r w:rsidRPr="003E07FF">
        <w:rPr>
          <w:i/>
          <w:iCs/>
          <w:sz w:val="20"/>
          <w:szCs w:val="20"/>
        </w:rPr>
        <w:noBreakHyphen/>
        <w:t>7, ann. </w:t>
      </w:r>
      <w:r w:rsidRPr="003E07FF">
        <w:rPr>
          <w:i/>
          <w:iCs/>
          <w:sz w:val="20"/>
          <w:szCs w:val="20"/>
          <w:lang w:val="en-US"/>
        </w:rPr>
        <w:t>II, art. I, III, s. 5b), art. VII, s. 1, 3, 5, 6, 8, ann. </w:t>
      </w:r>
      <w:r w:rsidRPr="003E07FF">
        <w:rPr>
          <w:i/>
          <w:iCs/>
          <w:sz w:val="20"/>
          <w:szCs w:val="20"/>
        </w:rPr>
        <w:t>III, art. I, V, s. 1g), h), art. VIII, s. 1, 3, 5, 6, 8.</w:t>
      </w:r>
    </w:p>
    <w:p w:rsidR="002455C8" w:rsidRPr="003E07FF" w:rsidRDefault="002455C8" w:rsidP="002455C8">
      <w:pPr>
        <w:pStyle w:val="ParaNoNdepar-AltN"/>
        <w:numPr>
          <w:ilvl w:val="0"/>
          <w:numId w:val="0"/>
        </w:numPr>
        <w:spacing w:before="0" w:after="0" w:line="240" w:lineRule="auto"/>
        <w:rPr>
          <w:i/>
          <w:sz w:val="20"/>
          <w:szCs w:val="20"/>
        </w:rPr>
      </w:pPr>
    </w:p>
    <w:p w:rsidR="002455C8" w:rsidRDefault="002455C8" w:rsidP="002455C8">
      <w:pPr>
        <w:pStyle w:val="ParaNoNdepar-AltN"/>
        <w:numPr>
          <w:ilvl w:val="0"/>
          <w:numId w:val="0"/>
        </w:numPr>
        <w:spacing w:before="0" w:after="0" w:line="240" w:lineRule="auto"/>
        <w:rPr>
          <w:i/>
          <w:iCs/>
          <w:sz w:val="20"/>
          <w:szCs w:val="20"/>
        </w:rPr>
      </w:pPr>
      <w:r w:rsidRPr="003E07FF">
        <w:rPr>
          <w:sz w:val="20"/>
          <w:szCs w:val="20"/>
        </w:rPr>
        <w:tab/>
      </w:r>
      <w:r w:rsidRPr="003E07FF">
        <w:rPr>
          <w:i/>
          <w:sz w:val="20"/>
          <w:szCs w:val="20"/>
        </w:rPr>
        <w:t xml:space="preserve">Droit criminel </w:t>
      </w:r>
      <w:r w:rsidRPr="003E07FF">
        <w:rPr>
          <w:i/>
          <w:iCs/>
          <w:sz w:val="20"/>
          <w:szCs w:val="20"/>
        </w:rPr>
        <w:t>— Preuve — Communication de la preuve — Interception de communications — Inculpés accusés d’avoir soudoyé des agents publics étrangers — Contestation par les inculpés des autorisations d’écoute électronique par voie d’une demande de type Garofoli — Communication de documents en la possession d’un tiers, une organisation financière internationale, et validation des assignations à comparaître délivrées à l’égard de membres du personnel de l’organisation sollicitées par les inculpés au soutien de la demande — Les documents dont la communication était requise par les inculpés sont</w:t>
      </w:r>
      <w:r w:rsidRPr="003E07FF">
        <w:rPr>
          <w:i/>
          <w:iCs/>
          <w:sz w:val="20"/>
          <w:szCs w:val="20"/>
        </w:rPr>
        <w:noBreakHyphen/>
        <w:t>ils pertinents dans le cadre d’une demande de type Garofoli? — Quel est le critère applicable à la communication par des tiers dans le cadre d’une demande de type Garofoli?</w:t>
      </w:r>
    </w:p>
    <w:p w:rsidR="002455C8" w:rsidRPr="003E07FF" w:rsidRDefault="002455C8" w:rsidP="002455C8">
      <w:pPr>
        <w:pStyle w:val="ParaNoNdepar-AltN"/>
        <w:numPr>
          <w:ilvl w:val="0"/>
          <w:numId w:val="0"/>
        </w:numPr>
        <w:spacing w:before="0" w:after="0" w:line="240" w:lineRule="auto"/>
        <w:rPr>
          <w:rFonts w:cs="Times New Roman"/>
          <w:sz w:val="20"/>
          <w:szCs w:val="20"/>
        </w:rPr>
      </w:pPr>
    </w:p>
    <w:p w:rsidR="002455C8" w:rsidRDefault="002455C8" w:rsidP="002455C8">
      <w:pPr>
        <w:pStyle w:val="ParaNoNdepar-AltN"/>
        <w:numPr>
          <w:ilvl w:val="0"/>
          <w:numId w:val="0"/>
        </w:numPr>
        <w:spacing w:before="0" w:after="0" w:line="240" w:lineRule="auto"/>
        <w:rPr>
          <w:rFonts w:cs="Times New Roman"/>
          <w:sz w:val="20"/>
          <w:szCs w:val="20"/>
        </w:rPr>
      </w:pPr>
      <w:r w:rsidRPr="003E07FF">
        <w:rPr>
          <w:sz w:val="20"/>
          <w:szCs w:val="20"/>
        </w:rPr>
        <w:tab/>
        <w:t xml:space="preserve">Organisation internationale dont le siège social est situé à Washington, le Groupe de la Banque mondiale se compose de cinq organes distincts, dont la </w:t>
      </w:r>
      <w:r w:rsidRPr="003E07FF">
        <w:rPr>
          <w:rFonts w:cs="Times New Roman"/>
          <w:sz w:val="20"/>
          <w:szCs w:val="20"/>
        </w:rPr>
        <w:t>Banque internationale pour la reconstruction et le développement (la « BIRD ») et l’Association internationale de développement (l’« IDA »). Chaque organisation qui le compose est régie par ses propres statuts, lesquels énoncent les immunités et privilèges dont jouit l’organisation sur le territoire de chaque État membre.</w:t>
      </w:r>
    </w:p>
    <w:p w:rsidR="002455C8" w:rsidRDefault="002455C8" w:rsidP="002455C8">
      <w:pPr>
        <w:pStyle w:val="ParaNoNdepar-AltN"/>
        <w:numPr>
          <w:ilvl w:val="0"/>
          <w:numId w:val="0"/>
        </w:numPr>
        <w:spacing w:before="0" w:after="0" w:line="240" w:lineRule="auto"/>
        <w:rPr>
          <w:rFonts w:cs="Times New Roman"/>
          <w:sz w:val="20"/>
          <w:szCs w:val="20"/>
        </w:rPr>
      </w:pPr>
    </w:p>
    <w:p w:rsidR="002455C8" w:rsidRDefault="002455C8" w:rsidP="002455C8">
      <w:pPr>
        <w:pStyle w:val="ParaNoNdepar-AltN"/>
        <w:numPr>
          <w:ilvl w:val="0"/>
          <w:numId w:val="0"/>
        </w:numPr>
        <w:spacing w:before="0" w:after="0" w:line="240" w:lineRule="auto"/>
        <w:rPr>
          <w:rFonts w:cs="Times New Roman"/>
          <w:sz w:val="20"/>
          <w:szCs w:val="20"/>
        </w:rPr>
      </w:pPr>
      <w:r w:rsidRPr="003E07FF">
        <w:rPr>
          <w:rFonts w:cs="Times New Roman"/>
          <w:sz w:val="20"/>
          <w:szCs w:val="20"/>
        </w:rPr>
        <w:tab/>
        <w:t xml:space="preserve">Le Groupe de la Banque mondiale </w:t>
      </w:r>
      <w:r w:rsidRPr="003E07FF">
        <w:rPr>
          <w:sz w:val="20"/>
          <w:szCs w:val="20"/>
        </w:rPr>
        <w:t xml:space="preserve">consent des prêts, des garanties, des crédits et des subventions à l’égard de projets et programmes de développement mis en oeuvre dans des pays en voie de développement. </w:t>
      </w:r>
      <w:r w:rsidRPr="003E07FF">
        <w:rPr>
          <w:rFonts w:cs="Times New Roman"/>
          <w:sz w:val="20"/>
          <w:szCs w:val="20"/>
        </w:rPr>
        <w:t>Le Groupe de la Banque mondiale était à l’origine l’un des principaux prêteurs du projet qui se trouve au coeur du présent litige, le projet de pont polyvalent sur la Padma, au Bangladesh. À l’instar de plusieurs autres sociétés, SNC</w:t>
      </w:r>
      <w:r w:rsidRPr="003E07FF">
        <w:rPr>
          <w:rFonts w:cs="Times New Roman"/>
          <w:sz w:val="20"/>
          <w:szCs w:val="20"/>
        </w:rPr>
        <w:noBreakHyphen/>
        <w:t>Lavalin a soumissionné pour obtenir le contrat de supervision des travaux de construction du pont. Les quatre intimés — trois anciens employés de SNC</w:t>
      </w:r>
      <w:r w:rsidRPr="003E07FF">
        <w:rPr>
          <w:rFonts w:cs="Times New Roman"/>
          <w:sz w:val="20"/>
          <w:szCs w:val="20"/>
        </w:rPr>
        <w:noBreakHyphen/>
        <w:t>Lavalin et un représentant d’un fonctionnaire bangladais — auraient supposément comploté dans le dessein de soudoyer des représentants bangladais afin que le contrat soit accordé à SNC</w:t>
      </w:r>
      <w:r w:rsidRPr="003E07FF">
        <w:rPr>
          <w:rFonts w:cs="Times New Roman"/>
          <w:sz w:val="20"/>
          <w:szCs w:val="20"/>
        </w:rPr>
        <w:noBreakHyphen/>
        <w:t xml:space="preserve">Lavalin. Ils sont accusés d’avoir enfreint la </w:t>
      </w:r>
      <w:r w:rsidRPr="003E07FF">
        <w:rPr>
          <w:rFonts w:cs="Times New Roman"/>
          <w:i/>
          <w:sz w:val="20"/>
          <w:szCs w:val="20"/>
        </w:rPr>
        <w:t>Loi sur la corruption d’agents publics étrangers</w:t>
      </w:r>
      <w:r w:rsidRPr="003E07FF">
        <w:rPr>
          <w:rFonts w:cs="Times New Roman"/>
          <w:sz w:val="20"/>
          <w:szCs w:val="20"/>
        </w:rPr>
        <w:t>, une loi canadienne.</w:t>
      </w:r>
    </w:p>
    <w:p w:rsidR="002455C8" w:rsidRPr="003E07FF" w:rsidRDefault="002455C8" w:rsidP="002455C8">
      <w:pPr>
        <w:pStyle w:val="ParaNoNdepar-AltN"/>
        <w:numPr>
          <w:ilvl w:val="0"/>
          <w:numId w:val="0"/>
        </w:numPr>
        <w:spacing w:before="0" w:after="0" w:line="240" w:lineRule="auto"/>
        <w:rPr>
          <w:rFonts w:cs="Times New Roman"/>
          <w:sz w:val="20"/>
          <w:szCs w:val="20"/>
        </w:rPr>
      </w:pPr>
    </w:p>
    <w:p w:rsidR="002455C8" w:rsidRDefault="002455C8" w:rsidP="002455C8">
      <w:pPr>
        <w:pStyle w:val="ParaNoNdepar-AltN"/>
        <w:numPr>
          <w:ilvl w:val="0"/>
          <w:numId w:val="0"/>
        </w:numPr>
        <w:spacing w:before="0" w:after="0" w:line="240" w:lineRule="auto"/>
        <w:rPr>
          <w:rFonts w:cs="Times New Roman"/>
          <w:sz w:val="20"/>
          <w:szCs w:val="20"/>
        </w:rPr>
      </w:pPr>
      <w:r w:rsidRPr="003E07FF">
        <w:rPr>
          <w:rFonts w:cs="Times New Roman"/>
          <w:sz w:val="20"/>
          <w:szCs w:val="20"/>
        </w:rPr>
        <w:tab/>
        <w:t>La vice</w:t>
      </w:r>
      <w:r w:rsidRPr="003E07FF">
        <w:rPr>
          <w:rFonts w:cs="Times New Roman"/>
          <w:sz w:val="20"/>
          <w:szCs w:val="20"/>
        </w:rPr>
        <w:noBreakHyphen/>
        <w:t>présidence chargée des questions d’intégrité (« INT »), une unité indépendante au sein du Groupe de la Banque mondiale, est chargée d’enquêter sur les allégations de fraude, de corruption et de collusion dans les projets financés par le Groupe. C’est l’INT qui a d’abord reçu une série de courriels provenant d’informateurs suggérant l’existence de corruption dans le processus d’attribution du contrat de supervision impliquant des employés de SNC</w:t>
      </w:r>
      <w:r w:rsidRPr="003E07FF">
        <w:rPr>
          <w:rFonts w:cs="Times New Roman"/>
          <w:sz w:val="20"/>
          <w:szCs w:val="20"/>
        </w:rPr>
        <w:noBreakHyphen/>
        <w:t xml:space="preserve">Lavalin. Par la suite, l’INT a transmis à la GRC les courriels des informateurs, ses propres rapports d’enquêtes et d’autres documents. </w:t>
      </w:r>
    </w:p>
    <w:p w:rsidR="002455C8" w:rsidRPr="003E07FF" w:rsidRDefault="002455C8" w:rsidP="002455C8">
      <w:pPr>
        <w:pStyle w:val="ParaNoNdepar-AltN"/>
        <w:numPr>
          <w:ilvl w:val="0"/>
          <w:numId w:val="0"/>
        </w:numPr>
        <w:spacing w:before="0" w:after="0" w:line="240" w:lineRule="auto"/>
        <w:rPr>
          <w:rFonts w:cs="Times New Roman"/>
          <w:sz w:val="20"/>
          <w:szCs w:val="20"/>
        </w:rPr>
      </w:pPr>
    </w:p>
    <w:p w:rsidR="002455C8" w:rsidRDefault="002455C8" w:rsidP="002455C8">
      <w:pPr>
        <w:pStyle w:val="ParaNoNdepar-AltN"/>
        <w:numPr>
          <w:ilvl w:val="0"/>
          <w:numId w:val="0"/>
        </w:numPr>
        <w:spacing w:before="0" w:after="0" w:line="240" w:lineRule="auto"/>
        <w:rPr>
          <w:rFonts w:cs="Times New Roman"/>
          <w:sz w:val="20"/>
          <w:szCs w:val="20"/>
        </w:rPr>
      </w:pPr>
      <w:r w:rsidRPr="003E07FF">
        <w:rPr>
          <w:rFonts w:cs="Times New Roman"/>
          <w:sz w:val="20"/>
          <w:szCs w:val="20"/>
        </w:rPr>
        <w:tab/>
        <w:t xml:space="preserve">La Gendarmerie royale du Canada (la « GRC ») a alors demandé et obtenu des autorisations d’intercepter des communications privées en vue de recueillir des éléments de preuve directe de la participation des inculpés à la corruption, ainsi qu’un mandat de perquisition. Le sergent D a été chargé de rédiger les affidavits accompagnant la demande. Il s’est appuyé en grande partie sur les renseignements transmis par l’INT, lesquels étaient fondés sur les communications de cette dernière avec les informateurs, et les connaissances d’un enquêteur senior de l’INT quant au processus de soumission. Le sergent D s’est également entretenu directement avec l’un des informateurs. Le sergent D n’a pas pris de notes manuscrites lors de cette tâche. Tous ses courriels pour la période correspondant à l’enquête ont été perdus à cause d’un problème informatique, mais par ailleurs beaucoup ont pu être récupérés d’autres sources. </w:t>
      </w:r>
    </w:p>
    <w:p w:rsidR="002455C8" w:rsidRPr="003E07FF" w:rsidRDefault="002455C8" w:rsidP="002455C8">
      <w:pPr>
        <w:pStyle w:val="ParaNoNdepar-AltN"/>
        <w:numPr>
          <w:ilvl w:val="0"/>
          <w:numId w:val="0"/>
        </w:numPr>
        <w:spacing w:before="0" w:after="0" w:line="240" w:lineRule="auto"/>
        <w:rPr>
          <w:rFonts w:cs="Times New Roman"/>
          <w:sz w:val="20"/>
          <w:szCs w:val="20"/>
        </w:rPr>
      </w:pPr>
    </w:p>
    <w:p w:rsidR="002455C8" w:rsidRDefault="002455C8" w:rsidP="002455C8">
      <w:pPr>
        <w:pStyle w:val="ParaNoNdepar-AltN"/>
        <w:numPr>
          <w:ilvl w:val="0"/>
          <w:numId w:val="0"/>
        </w:numPr>
        <w:spacing w:before="0" w:after="0" w:line="240" w:lineRule="auto"/>
        <w:rPr>
          <w:rFonts w:cs="Times New Roman"/>
          <w:sz w:val="20"/>
          <w:szCs w:val="20"/>
        </w:rPr>
      </w:pPr>
      <w:r w:rsidRPr="003E07FF">
        <w:rPr>
          <w:rFonts w:cs="Times New Roman"/>
          <w:sz w:val="20"/>
          <w:szCs w:val="20"/>
        </w:rPr>
        <w:tab/>
        <w:t xml:space="preserve">La Couronne a accusé les quatre inculpés d’infractions à la </w:t>
      </w:r>
      <w:r w:rsidRPr="003E07FF">
        <w:rPr>
          <w:rFonts w:cs="Times New Roman"/>
          <w:i/>
          <w:sz w:val="20"/>
          <w:szCs w:val="20"/>
        </w:rPr>
        <w:t>Loi sur la corruption d’agents publics étrangers</w:t>
      </w:r>
      <w:r w:rsidRPr="003E07FF">
        <w:rPr>
          <w:rFonts w:cs="Times New Roman"/>
          <w:sz w:val="20"/>
          <w:szCs w:val="20"/>
        </w:rPr>
        <w:t xml:space="preserve">, et a réuni leurs dossiers par voie de mise en accusation directe. Au procès, la Couronne entend introduire en preuve des communications interceptées. Pour leur part, les inculpés cherchent à contester les autorisations d’écoute électronique en se fondant sur l’arrêt </w:t>
      </w:r>
      <w:r w:rsidRPr="003E07FF">
        <w:rPr>
          <w:rFonts w:cs="Times New Roman"/>
          <w:i/>
          <w:sz w:val="20"/>
          <w:szCs w:val="20"/>
        </w:rPr>
        <w:t>R. c.</w:t>
      </w:r>
      <w:r w:rsidRPr="003E07FF">
        <w:rPr>
          <w:rFonts w:cs="Times New Roman"/>
          <w:sz w:val="20"/>
          <w:szCs w:val="20"/>
        </w:rPr>
        <w:t xml:space="preserve"> </w:t>
      </w:r>
      <w:r w:rsidRPr="003E07FF">
        <w:rPr>
          <w:rFonts w:cs="Times New Roman"/>
          <w:i/>
          <w:sz w:val="20"/>
          <w:szCs w:val="20"/>
        </w:rPr>
        <w:t>Garofoli</w:t>
      </w:r>
      <w:r w:rsidRPr="003E07FF">
        <w:rPr>
          <w:rFonts w:cs="Times New Roman"/>
          <w:sz w:val="20"/>
          <w:szCs w:val="20"/>
        </w:rPr>
        <w:t xml:space="preserve">, [1990] 2 R.C.S. 1421. Au soutien de leur demande, ils ont sollicité une ordonnance de communication de certains dossiers en la possession de l’INT et la validation de deux assignations à comparaître délivrées à l’égard des enquêteurs de l’INT. </w:t>
      </w:r>
    </w:p>
    <w:p w:rsidR="002455C8" w:rsidRPr="003E07FF" w:rsidRDefault="002455C8" w:rsidP="002455C8">
      <w:pPr>
        <w:pStyle w:val="ParaNoNdepar-AltN"/>
        <w:numPr>
          <w:ilvl w:val="0"/>
          <w:numId w:val="0"/>
        </w:numPr>
        <w:spacing w:before="0" w:after="0" w:line="240" w:lineRule="auto"/>
        <w:rPr>
          <w:rFonts w:cs="Times New Roman"/>
          <w:sz w:val="20"/>
          <w:szCs w:val="20"/>
        </w:rPr>
      </w:pPr>
    </w:p>
    <w:p w:rsidR="002455C8" w:rsidRDefault="002455C8" w:rsidP="002455C8">
      <w:pPr>
        <w:pStyle w:val="ParaNoNdepar-AltN"/>
        <w:numPr>
          <w:ilvl w:val="0"/>
          <w:numId w:val="0"/>
        </w:numPr>
        <w:spacing w:before="0" w:after="0" w:line="240" w:lineRule="auto"/>
        <w:rPr>
          <w:rFonts w:cs="Times New Roman"/>
          <w:sz w:val="20"/>
          <w:szCs w:val="20"/>
        </w:rPr>
      </w:pPr>
      <w:r w:rsidRPr="003E07FF">
        <w:rPr>
          <w:rFonts w:cs="Times New Roman"/>
          <w:sz w:val="20"/>
          <w:szCs w:val="20"/>
        </w:rPr>
        <w:tab/>
        <w:t xml:space="preserve">Or, l’Accord relatif à la BIRD et les Statuts de l’IDA disposent que leurs archives sont inviolables. En outre, ils prévoient que tous les fonctionnaires et employés de la BIRD ou de l’IDA ne pourront faire l’objet de poursuites à raison des actes accomplis par eux dans l’exercice de leurs fonctions, sauf lorsque la BIRD ou l’IDA aura levé cette immunité. Ces immunités ont été incorporées au droit interne canadien en vertu de deux décrets, et l’Accord relatif à la BIRD et les Statuts de l’IDA ont été approuvés dans leur intégralité par le Parlement canadien, qui les a annexés à la </w:t>
      </w:r>
      <w:r w:rsidRPr="003E07FF">
        <w:rPr>
          <w:rFonts w:cs="Times New Roman"/>
          <w:i/>
          <w:sz w:val="20"/>
          <w:szCs w:val="20"/>
        </w:rPr>
        <w:t>Loi sur les accords de Bretton Woods et des accords connexes</w:t>
      </w:r>
      <w:r w:rsidRPr="003E07FF">
        <w:rPr>
          <w:rFonts w:cs="Times New Roman"/>
          <w:sz w:val="20"/>
          <w:szCs w:val="20"/>
        </w:rPr>
        <w:t xml:space="preserve">. </w:t>
      </w:r>
    </w:p>
    <w:p w:rsidR="002455C8" w:rsidRPr="00C854BC" w:rsidRDefault="002455C8" w:rsidP="002455C8">
      <w:pPr>
        <w:pStyle w:val="ParaNoNdepar-AltN"/>
        <w:numPr>
          <w:ilvl w:val="0"/>
          <w:numId w:val="0"/>
        </w:numPr>
        <w:spacing w:before="0" w:after="0" w:line="240" w:lineRule="auto"/>
        <w:rPr>
          <w:rFonts w:cs="Times New Roman"/>
          <w:sz w:val="20"/>
          <w:szCs w:val="20"/>
        </w:rPr>
      </w:pPr>
    </w:p>
    <w:p w:rsidR="002455C8" w:rsidRPr="00C854BC" w:rsidRDefault="002455C8" w:rsidP="002455C8">
      <w:pPr>
        <w:jc w:val="both"/>
        <w:rPr>
          <w:sz w:val="20"/>
          <w:szCs w:val="20"/>
          <w:lang w:val="fr-CA"/>
        </w:rPr>
      </w:pPr>
      <w:r w:rsidRPr="00C854BC">
        <w:rPr>
          <w:sz w:val="20"/>
          <w:szCs w:val="20"/>
          <w:lang w:val="fr-CA"/>
        </w:rPr>
        <w:tab/>
        <w:t xml:space="preserve">La demande soulevait deux questions, à savoir (1) si le Groupe de la Banque mondiale pouvait être sujet à une ordonnance de communication rendue par un tribunal canadien vu les immunités conférées à la BIRD et à l’IDA et (2), dans l’affirmative, si les documents dont la communication était requise satisfaisaient au critère de la pertinence applicable à une contestation des autorisations d’écoute électronique fondée sur l’arrêt </w:t>
      </w:r>
      <w:r w:rsidRPr="00C854BC">
        <w:rPr>
          <w:i/>
          <w:sz w:val="20"/>
          <w:szCs w:val="20"/>
          <w:lang w:val="fr-CA"/>
        </w:rPr>
        <w:t>R. c.</w:t>
      </w:r>
      <w:r w:rsidRPr="00C854BC">
        <w:rPr>
          <w:sz w:val="20"/>
          <w:szCs w:val="20"/>
          <w:lang w:val="fr-CA"/>
        </w:rPr>
        <w:t xml:space="preserve"> </w:t>
      </w:r>
      <w:r w:rsidRPr="00C854BC">
        <w:rPr>
          <w:i/>
          <w:sz w:val="20"/>
          <w:szCs w:val="20"/>
          <w:lang w:val="fr-CA"/>
        </w:rPr>
        <w:t>Garofoli</w:t>
      </w:r>
      <w:r w:rsidRPr="00C854BC">
        <w:rPr>
          <w:sz w:val="20"/>
          <w:szCs w:val="20"/>
          <w:lang w:val="fr-CA"/>
        </w:rPr>
        <w:t>.</w:t>
      </w:r>
    </w:p>
    <w:p w:rsidR="002455C8" w:rsidRPr="001B2D1B" w:rsidRDefault="002455C8" w:rsidP="002455C8">
      <w:pPr>
        <w:rPr>
          <w:sz w:val="20"/>
          <w:szCs w:val="20"/>
          <w:lang w:val="fr-CA"/>
        </w:rPr>
      </w:pPr>
    </w:p>
    <w:p w:rsidR="002455C8" w:rsidRDefault="002455C8" w:rsidP="002455C8">
      <w:pPr>
        <w:pStyle w:val="ParaNoNdepar-AltN"/>
        <w:numPr>
          <w:ilvl w:val="0"/>
          <w:numId w:val="0"/>
        </w:numPr>
        <w:spacing w:before="0" w:after="0" w:line="240" w:lineRule="auto"/>
        <w:rPr>
          <w:rFonts w:cs="Times New Roman"/>
          <w:sz w:val="20"/>
          <w:szCs w:val="20"/>
        </w:rPr>
      </w:pPr>
      <w:r w:rsidRPr="00C854BC">
        <w:rPr>
          <w:rFonts w:cs="Times New Roman"/>
          <w:sz w:val="20"/>
          <w:szCs w:val="20"/>
        </w:rPr>
        <w:tab/>
        <w:t xml:space="preserve">À propos de la première question, le juge d’instance a exprimé l’avis que les immunités et privilèges invoqués s’appliquaient </w:t>
      </w:r>
      <w:r w:rsidRPr="00C854BC">
        <w:rPr>
          <w:rFonts w:cs="Times New Roman"/>
          <w:i/>
          <w:sz w:val="20"/>
          <w:szCs w:val="20"/>
        </w:rPr>
        <w:t>a priori</w:t>
      </w:r>
      <w:r w:rsidRPr="00C854BC">
        <w:rPr>
          <w:rFonts w:cs="Times New Roman"/>
          <w:sz w:val="20"/>
          <w:szCs w:val="20"/>
        </w:rPr>
        <w:t xml:space="preserve"> aux archives et au personnel de l’INT. Cependant, il est arrivé à la conclusion que le Groupe de la Banque mondiale avait levé ces immunités en participant à l’enquête de la GRC. Quoi qu’il en soit, il n’était pas convaincu que les documents faisant l’objet du litige constituaient des « archives ». En outre, il a estimé que le terme « inviolable » dans l’Accord et dans</w:t>
      </w:r>
      <w:r w:rsidRPr="003E07FF">
        <w:rPr>
          <w:rFonts w:cs="Times New Roman"/>
          <w:sz w:val="20"/>
          <w:szCs w:val="20"/>
        </w:rPr>
        <w:t xml:space="preserve"> les Statuts connotait la protection contre la perquisition, la saisie ou la confiscation plutôt que contre la communication pour examen. À l’égard de la deuxième question, le juge d’instance a conclu à la pertinence probable des documents, dans le contexte d’une demande de type </w:t>
      </w:r>
      <w:r w:rsidRPr="003E07FF">
        <w:rPr>
          <w:rFonts w:cs="Times New Roman"/>
          <w:i/>
          <w:sz w:val="20"/>
          <w:szCs w:val="20"/>
        </w:rPr>
        <w:t>Garofoli</w:t>
      </w:r>
      <w:r w:rsidRPr="003E07FF">
        <w:rPr>
          <w:rFonts w:cs="Times New Roman"/>
          <w:sz w:val="20"/>
          <w:szCs w:val="20"/>
        </w:rPr>
        <w:t>. Par conséquent, le juge a ordonné la communication des documents pour examen par le tribunal.</w:t>
      </w:r>
    </w:p>
    <w:p w:rsidR="002455C8" w:rsidRPr="003E07FF" w:rsidRDefault="002455C8" w:rsidP="002455C8">
      <w:pPr>
        <w:pStyle w:val="ParaNoNdepar-AltN"/>
        <w:numPr>
          <w:ilvl w:val="0"/>
          <w:numId w:val="0"/>
        </w:numPr>
        <w:spacing w:before="0" w:after="0" w:line="240" w:lineRule="auto"/>
        <w:rPr>
          <w:rFonts w:cs="Times New Roman"/>
          <w:sz w:val="20"/>
          <w:szCs w:val="20"/>
        </w:rPr>
      </w:pPr>
    </w:p>
    <w:p w:rsidR="002455C8" w:rsidRDefault="002455C8" w:rsidP="002455C8">
      <w:pPr>
        <w:pStyle w:val="SCCNormalDoubleSpacing"/>
        <w:spacing w:line="240" w:lineRule="auto"/>
        <w:rPr>
          <w:sz w:val="20"/>
          <w:lang w:val="fr-CA"/>
        </w:rPr>
      </w:pPr>
      <w:r w:rsidRPr="003E07FF">
        <w:rPr>
          <w:sz w:val="20"/>
          <w:lang w:val="fr-CA"/>
        </w:rPr>
        <w:tab/>
      </w:r>
      <w:r w:rsidRPr="003E07FF">
        <w:rPr>
          <w:rStyle w:val="QuoteChar"/>
          <w:sz w:val="20"/>
          <w:lang w:val="fr-CA"/>
        </w:rPr>
        <w:t xml:space="preserve">Arrêt : </w:t>
      </w:r>
      <w:r w:rsidRPr="003E07FF">
        <w:rPr>
          <w:sz w:val="20"/>
          <w:lang w:val="fr-CA"/>
        </w:rPr>
        <w:t xml:space="preserve">L’appel est accueilli, et l’ordonnance de communication est annulée. </w:t>
      </w:r>
    </w:p>
    <w:p w:rsidR="002455C8" w:rsidRPr="003E07FF" w:rsidRDefault="002455C8" w:rsidP="002455C8">
      <w:pPr>
        <w:pStyle w:val="SCCNormalDoubleSpacing"/>
        <w:spacing w:line="240" w:lineRule="auto"/>
        <w:rPr>
          <w:sz w:val="20"/>
          <w:lang w:val="fr-CA"/>
        </w:rPr>
      </w:pPr>
    </w:p>
    <w:p w:rsidR="002455C8" w:rsidRDefault="002455C8" w:rsidP="002455C8">
      <w:pPr>
        <w:pStyle w:val="ParaNoNdepar-AltN"/>
        <w:numPr>
          <w:ilvl w:val="0"/>
          <w:numId w:val="0"/>
        </w:numPr>
        <w:spacing w:before="0" w:after="0" w:line="240" w:lineRule="auto"/>
        <w:rPr>
          <w:rFonts w:cs="Times New Roman"/>
          <w:sz w:val="20"/>
          <w:szCs w:val="20"/>
        </w:rPr>
      </w:pPr>
      <w:r w:rsidRPr="003E07FF">
        <w:rPr>
          <w:sz w:val="20"/>
          <w:szCs w:val="20"/>
        </w:rPr>
        <w:tab/>
      </w:r>
      <w:r w:rsidRPr="003E07FF">
        <w:rPr>
          <w:rFonts w:cs="Times New Roman"/>
          <w:sz w:val="20"/>
          <w:szCs w:val="20"/>
        </w:rPr>
        <w:t>En dépit de son indépendance fonctionnelle, les documents de l’INT appartiennent aux archives de la BIRD ou de l’IDA, et les employés de l’INT jouissent de l’immunité des poursuites accordée à l’égard des actes accomplis dans l’exercice de leurs fonctions. L’Accord relatif à la BIRD et les Statuts de l’IDA constituant le fondement juridique du régime d’intégrité du Groupe de la Banque mondiale — et partant l’INT —, les immunités qui y sont prévues s’appliquent aux documents et au personnel de l’INT.</w:t>
      </w:r>
    </w:p>
    <w:p w:rsidR="002455C8" w:rsidRPr="003E07FF" w:rsidRDefault="002455C8" w:rsidP="002455C8">
      <w:pPr>
        <w:pStyle w:val="ParaNoNdepar-AltN"/>
        <w:numPr>
          <w:ilvl w:val="0"/>
          <w:numId w:val="0"/>
        </w:numPr>
        <w:spacing w:before="0" w:after="0" w:line="240" w:lineRule="auto"/>
        <w:rPr>
          <w:rFonts w:cs="Times New Roman"/>
          <w:sz w:val="20"/>
          <w:szCs w:val="20"/>
        </w:rPr>
      </w:pPr>
    </w:p>
    <w:p w:rsidR="002455C8" w:rsidRDefault="002455C8" w:rsidP="002455C8">
      <w:pPr>
        <w:pStyle w:val="ParaNoNdepar-AltN"/>
        <w:numPr>
          <w:ilvl w:val="0"/>
          <w:numId w:val="0"/>
        </w:numPr>
        <w:spacing w:before="0" w:after="0" w:line="240" w:lineRule="auto"/>
        <w:rPr>
          <w:rFonts w:cs="Times New Roman"/>
          <w:sz w:val="20"/>
          <w:szCs w:val="20"/>
        </w:rPr>
      </w:pPr>
      <w:r w:rsidRPr="003E07FF">
        <w:rPr>
          <w:rFonts w:cs="Times New Roman"/>
          <w:sz w:val="20"/>
          <w:szCs w:val="20"/>
        </w:rPr>
        <w:tab/>
      </w:r>
      <w:r w:rsidRPr="003E07FF">
        <w:rPr>
          <w:rStyle w:val="reflex3-block"/>
          <w:rFonts w:cs="Times New Roman"/>
          <w:sz w:val="20"/>
          <w:szCs w:val="20"/>
        </w:rPr>
        <w:t>La section 3 de l’article VII de l’Accord relatif à la BIRD et de l’article VIII des Statuts de l’IDA, qui confirme que la BIRD et l’IDA peuvent être poursuivies devant un tribunal compétent, ne s’applique pas en l’espèce.</w:t>
      </w:r>
      <w:r w:rsidRPr="003E07FF">
        <w:rPr>
          <w:rFonts w:cs="Times New Roman"/>
          <w:sz w:val="20"/>
          <w:szCs w:val="20"/>
        </w:rPr>
        <w:t xml:space="preserve"> </w:t>
      </w:r>
      <w:r w:rsidRPr="003E07FF">
        <w:rPr>
          <w:rStyle w:val="reflex3-block"/>
          <w:rFonts w:cs="Times New Roman"/>
          <w:sz w:val="20"/>
          <w:szCs w:val="20"/>
        </w:rPr>
        <w:t>Le présent pourvoi porte sur une demande de communication de documents visant le personnel de l’INT dans le contexte d’accusations en matière criminelle. Ce n’est pas le genre de poursuite dont il est question à la section 3.</w:t>
      </w:r>
      <w:r w:rsidRPr="003E07FF">
        <w:rPr>
          <w:rFonts w:cs="Times New Roman"/>
          <w:sz w:val="20"/>
          <w:szCs w:val="20"/>
        </w:rPr>
        <w:t xml:space="preserve"> </w:t>
      </w:r>
    </w:p>
    <w:p w:rsidR="002455C8" w:rsidRPr="003E07FF" w:rsidRDefault="002455C8" w:rsidP="002455C8">
      <w:pPr>
        <w:pStyle w:val="ParaNoNdepar-AltN"/>
        <w:numPr>
          <w:ilvl w:val="0"/>
          <w:numId w:val="0"/>
        </w:numPr>
        <w:spacing w:before="0" w:after="0" w:line="240" w:lineRule="auto"/>
        <w:rPr>
          <w:rFonts w:cs="Times New Roman"/>
          <w:sz w:val="20"/>
          <w:szCs w:val="20"/>
        </w:rPr>
      </w:pPr>
    </w:p>
    <w:p w:rsidR="002455C8" w:rsidRDefault="002455C8" w:rsidP="002455C8">
      <w:pPr>
        <w:pStyle w:val="ParaNoNdepar-AltN"/>
        <w:numPr>
          <w:ilvl w:val="0"/>
          <w:numId w:val="0"/>
        </w:numPr>
        <w:spacing w:before="0" w:after="0" w:line="240" w:lineRule="auto"/>
        <w:rPr>
          <w:rFonts w:cs="Times New Roman"/>
          <w:sz w:val="20"/>
          <w:szCs w:val="20"/>
        </w:rPr>
      </w:pPr>
      <w:r w:rsidRPr="003E07FF">
        <w:rPr>
          <w:rFonts w:cs="Times New Roman"/>
          <w:sz w:val="20"/>
          <w:szCs w:val="20"/>
        </w:rPr>
        <w:tab/>
        <w:t>Les immunités énoncées aux sections 5 et 8 des articles VII et VIII, respectivement, ne sont pas non plus « fonctionnelles », c’est</w:t>
      </w:r>
      <w:r w:rsidRPr="003E07FF">
        <w:rPr>
          <w:rFonts w:cs="Times New Roman"/>
          <w:sz w:val="20"/>
          <w:szCs w:val="20"/>
        </w:rPr>
        <w:noBreakHyphen/>
        <w:t>à</w:t>
      </w:r>
      <w:r w:rsidRPr="003E07FF">
        <w:rPr>
          <w:rFonts w:cs="Times New Roman"/>
          <w:sz w:val="20"/>
          <w:szCs w:val="20"/>
        </w:rPr>
        <w:noBreakHyphen/>
        <w:t xml:space="preserve">dire qu’elles </w:t>
      </w:r>
      <w:r w:rsidRPr="003E07FF">
        <w:rPr>
          <w:sz w:val="20"/>
          <w:szCs w:val="20"/>
        </w:rPr>
        <w:t>ne s’appliquent uniquement que si leur nécessité a été expressément démontrée pour l’exercice des opérations et responsabilités de l’organisation.</w:t>
      </w:r>
      <w:r w:rsidRPr="003E07FF">
        <w:rPr>
          <w:rFonts w:cs="Times New Roman"/>
          <w:sz w:val="20"/>
          <w:szCs w:val="20"/>
        </w:rPr>
        <w:t xml:space="preserve"> </w:t>
      </w:r>
      <w:r w:rsidRPr="003E07FF">
        <w:rPr>
          <w:sz w:val="20"/>
          <w:szCs w:val="20"/>
        </w:rPr>
        <w:t>Les États signataires de l’Accord et des Statuts ont défini, à l’avance, les diverses immunités qui permettent à la BIRD et à l’IDA de s’acquitter de leurs responsabilités. Le texte même de la section 1 des articles VII et VIII laisse entendre que c’était un choix délibéré</w:t>
      </w:r>
      <w:r w:rsidRPr="003E07FF">
        <w:rPr>
          <w:rFonts w:cs="Times New Roman"/>
          <w:sz w:val="20"/>
          <w:szCs w:val="20"/>
        </w:rPr>
        <w:t xml:space="preserve">. </w:t>
      </w:r>
      <w:r w:rsidRPr="003E07FF">
        <w:rPr>
          <w:sz w:val="20"/>
          <w:szCs w:val="20"/>
        </w:rPr>
        <w:t>Ajouter une condition de nécessité fonctionnelle minerait ce qui semble être le choix délibéré d’énumérer les diverses immunités plutôt que de prévoir une immunité fonctionnelle générale.</w:t>
      </w:r>
      <w:r w:rsidRPr="003E07FF">
        <w:rPr>
          <w:rFonts w:cs="Times New Roman"/>
          <w:sz w:val="20"/>
          <w:szCs w:val="20"/>
        </w:rPr>
        <w:t xml:space="preserve"> </w:t>
      </w:r>
    </w:p>
    <w:p w:rsidR="002455C8" w:rsidRPr="003E07FF" w:rsidRDefault="002455C8" w:rsidP="002455C8">
      <w:pPr>
        <w:pStyle w:val="ParaNoNdepar-AltN"/>
        <w:numPr>
          <w:ilvl w:val="0"/>
          <w:numId w:val="0"/>
        </w:numPr>
        <w:spacing w:before="0" w:after="0" w:line="240" w:lineRule="auto"/>
        <w:rPr>
          <w:rFonts w:cs="Times New Roman"/>
          <w:sz w:val="20"/>
          <w:szCs w:val="20"/>
        </w:rPr>
      </w:pPr>
    </w:p>
    <w:p w:rsidR="002455C8" w:rsidRDefault="002455C8" w:rsidP="002455C8">
      <w:pPr>
        <w:pStyle w:val="ParaNoNdepar-AltN"/>
        <w:numPr>
          <w:ilvl w:val="0"/>
          <w:numId w:val="0"/>
        </w:numPr>
        <w:spacing w:before="0" w:after="0" w:line="240" w:lineRule="auto"/>
        <w:rPr>
          <w:rFonts w:cs="Times New Roman"/>
          <w:sz w:val="20"/>
          <w:szCs w:val="20"/>
        </w:rPr>
      </w:pPr>
      <w:r w:rsidRPr="003E07FF">
        <w:rPr>
          <w:rFonts w:cs="Times New Roman"/>
          <w:sz w:val="20"/>
          <w:szCs w:val="20"/>
        </w:rPr>
        <w:tab/>
        <w:t xml:space="preserve">À propos de l’inviolabilité des archives de l’organisation, le juge d’instance a commis une erreur en interprétant de façon aussi étroite une immunité intimement liée au fonctionnement indépendant des organisations internationales. L’immunité définie à la section 5 protège l’ensemble de la collection des documents archivés de la BIRD et de l’IDA à la fois contre les fouilles, perquisitions et saisies et contre la communication. Cette interprétation plus large est conforme au sens ordinaire des termes de la section 5 et elle s’harmonise avec l’objet et le but de cette disposition. En communiquant certains documents volontairement, le Groupe de la Banque mondiale n’a pas levé cette immunité. En effet, l’inviolabilité des archives ne peut être levée. </w:t>
      </w:r>
    </w:p>
    <w:p w:rsidR="002455C8" w:rsidRPr="003E07FF" w:rsidRDefault="002455C8" w:rsidP="002455C8">
      <w:pPr>
        <w:pStyle w:val="ParaNoNdepar-AltN"/>
        <w:numPr>
          <w:ilvl w:val="0"/>
          <w:numId w:val="0"/>
        </w:numPr>
        <w:spacing w:before="0" w:after="0" w:line="240" w:lineRule="auto"/>
        <w:rPr>
          <w:rFonts w:cs="Times New Roman"/>
          <w:sz w:val="20"/>
          <w:szCs w:val="20"/>
        </w:rPr>
      </w:pPr>
    </w:p>
    <w:p w:rsidR="002455C8" w:rsidRDefault="002455C8" w:rsidP="002455C8">
      <w:pPr>
        <w:pStyle w:val="ParaNoNdepar-AltN"/>
        <w:numPr>
          <w:ilvl w:val="0"/>
          <w:numId w:val="0"/>
        </w:numPr>
        <w:spacing w:before="0" w:after="0" w:line="240" w:lineRule="auto"/>
        <w:rPr>
          <w:rFonts w:cs="Times New Roman"/>
          <w:sz w:val="20"/>
          <w:szCs w:val="20"/>
        </w:rPr>
      </w:pPr>
      <w:r w:rsidRPr="003E07FF">
        <w:rPr>
          <w:rFonts w:cs="Times New Roman"/>
          <w:sz w:val="20"/>
          <w:szCs w:val="20"/>
        </w:rPr>
        <w:tab/>
        <w:t xml:space="preserve">L’immunité du personnel s’applique aussi, étant donné que les assignations contestées contraignaient également MM. Haynes et Kim à témoigner. </w:t>
      </w:r>
      <w:r w:rsidRPr="003E07FF">
        <w:rPr>
          <w:sz w:val="20"/>
          <w:szCs w:val="20"/>
        </w:rPr>
        <w:t xml:space="preserve">Il est incontesté que le personnel de l’INT accomplissait des actes dans l’exercice de ses fonctions lorsqu’il a obtenu les renseignements sollicités par les inculpés. Il n’est pas contesté non plus que l’immunité contre les poursuites prévue à la section 8 des articles VII et VIII protège les employés </w:t>
      </w:r>
      <w:r w:rsidRPr="003E07FF">
        <w:rPr>
          <w:rFonts w:cs="Times New Roman"/>
          <w:sz w:val="20"/>
          <w:szCs w:val="20"/>
        </w:rPr>
        <w:t>à raison des actes accomplis par eux dans l’exercice de leurs fonctions, non seulement contre les poursuites civiles et pénales, mais aussi contre les sommations judiciaires, telles les assignations à comparaître</w:t>
      </w:r>
      <w:r w:rsidRPr="003E07FF">
        <w:rPr>
          <w:sz w:val="20"/>
          <w:szCs w:val="20"/>
        </w:rPr>
        <w:t>.</w:t>
      </w:r>
      <w:r w:rsidRPr="003E07FF">
        <w:rPr>
          <w:rFonts w:cs="Times New Roman"/>
          <w:sz w:val="20"/>
          <w:szCs w:val="20"/>
        </w:rPr>
        <w:t xml:space="preserve"> Si l’immunité du personnel peut être levée, l’objet et le but du traité militent en faveur de la reconnaissance d’une exigence de renonciation expresse. Vu l’absence d’une renonciation expresse, le juge d’instance a conclu à tort que le Groupe de la Banque mondiale avait renoncé à son immunité. </w:t>
      </w:r>
    </w:p>
    <w:p w:rsidR="002455C8" w:rsidRPr="003E07FF" w:rsidRDefault="002455C8" w:rsidP="002455C8">
      <w:pPr>
        <w:pStyle w:val="ParaNoNdepar-AltN"/>
        <w:numPr>
          <w:ilvl w:val="0"/>
          <w:numId w:val="0"/>
        </w:numPr>
        <w:spacing w:before="0" w:after="0" w:line="240" w:lineRule="auto"/>
        <w:rPr>
          <w:rFonts w:cs="Times New Roman"/>
          <w:sz w:val="20"/>
          <w:szCs w:val="20"/>
        </w:rPr>
      </w:pPr>
    </w:p>
    <w:p w:rsidR="002455C8" w:rsidRDefault="002455C8" w:rsidP="002455C8">
      <w:pPr>
        <w:pStyle w:val="ParaNoNdepar-AltN"/>
        <w:numPr>
          <w:ilvl w:val="0"/>
          <w:numId w:val="0"/>
        </w:numPr>
        <w:spacing w:before="0" w:after="0" w:line="240" w:lineRule="auto"/>
        <w:rPr>
          <w:rFonts w:cs="Times New Roman"/>
          <w:sz w:val="20"/>
          <w:szCs w:val="20"/>
        </w:rPr>
      </w:pPr>
      <w:r w:rsidRPr="003E07FF">
        <w:rPr>
          <w:rFonts w:cs="Times New Roman"/>
          <w:sz w:val="20"/>
          <w:szCs w:val="20"/>
        </w:rPr>
        <w:tab/>
        <w:t xml:space="preserve">Même si le Groupe de la Banque mondiale ne bénéficiait d’aucune des immunités définies dans l’Accord et dans les Statuts, l’ordonnance de communication n’aurait pas dû être rendue conformément au cadre établi dans l’arrêt </w:t>
      </w:r>
      <w:r w:rsidRPr="003E07FF">
        <w:rPr>
          <w:rFonts w:cs="Times New Roman"/>
          <w:i/>
          <w:sz w:val="20"/>
          <w:szCs w:val="20"/>
        </w:rPr>
        <w:t>R. c.</w:t>
      </w:r>
      <w:r w:rsidRPr="003E07FF">
        <w:rPr>
          <w:rFonts w:cs="Times New Roman"/>
          <w:sz w:val="20"/>
          <w:szCs w:val="20"/>
        </w:rPr>
        <w:t xml:space="preserve"> </w:t>
      </w:r>
      <w:r w:rsidRPr="003E07FF">
        <w:rPr>
          <w:rFonts w:cs="Times New Roman"/>
          <w:i/>
          <w:sz w:val="20"/>
          <w:szCs w:val="20"/>
        </w:rPr>
        <w:t>O’Connor</w:t>
      </w:r>
      <w:r w:rsidRPr="003E07FF">
        <w:rPr>
          <w:rFonts w:cs="Times New Roman"/>
          <w:sz w:val="20"/>
          <w:szCs w:val="20"/>
        </w:rPr>
        <w:t xml:space="preserve">, [1995] 4 R.C.S. 411, pour la communication de dossiers en la possession de tiers. La demande de type </w:t>
      </w:r>
      <w:r w:rsidRPr="003E07FF">
        <w:rPr>
          <w:rFonts w:cs="Times New Roman"/>
          <w:i/>
          <w:sz w:val="20"/>
          <w:szCs w:val="20"/>
        </w:rPr>
        <w:t>Garofoli</w:t>
      </w:r>
      <w:r w:rsidRPr="003E07FF">
        <w:rPr>
          <w:rFonts w:cs="Times New Roman"/>
          <w:sz w:val="20"/>
          <w:szCs w:val="20"/>
        </w:rPr>
        <w:t xml:space="preserve"> a une portée plus limitée que la demande classique de type </w:t>
      </w:r>
      <w:r w:rsidRPr="003E07FF">
        <w:rPr>
          <w:rFonts w:cs="Times New Roman"/>
          <w:i/>
          <w:sz w:val="20"/>
          <w:szCs w:val="20"/>
        </w:rPr>
        <w:t>O’Connor</w:t>
      </w:r>
      <w:r w:rsidRPr="003E07FF">
        <w:rPr>
          <w:rFonts w:cs="Times New Roman"/>
          <w:sz w:val="20"/>
          <w:szCs w:val="20"/>
        </w:rPr>
        <w:t xml:space="preserve">, car elle concerne la recevabilité de la preuve, à savoir les communications interceptées. La demande de type </w:t>
      </w:r>
      <w:r w:rsidRPr="003E07FF">
        <w:rPr>
          <w:rFonts w:cs="Times New Roman"/>
          <w:i/>
          <w:sz w:val="20"/>
          <w:szCs w:val="20"/>
        </w:rPr>
        <w:t>O’Connor</w:t>
      </w:r>
      <w:r w:rsidRPr="003E07FF">
        <w:rPr>
          <w:rFonts w:cs="Times New Roman"/>
          <w:sz w:val="20"/>
          <w:szCs w:val="20"/>
        </w:rPr>
        <w:t xml:space="preserve"> présentée dans le cadre d’une demande de type </w:t>
      </w:r>
      <w:r w:rsidRPr="003E07FF">
        <w:rPr>
          <w:rFonts w:cs="Times New Roman"/>
          <w:i/>
          <w:sz w:val="20"/>
          <w:szCs w:val="20"/>
        </w:rPr>
        <w:t>Garofoli</w:t>
      </w:r>
      <w:r w:rsidRPr="003E07FF">
        <w:rPr>
          <w:rFonts w:cs="Times New Roman"/>
          <w:sz w:val="20"/>
          <w:szCs w:val="20"/>
        </w:rPr>
        <w:t xml:space="preserve"> doit être circonscrite aux questions limitées que soulève cette dernière. Le cadre d’analyse établi dans l’arrêt </w:t>
      </w:r>
      <w:r w:rsidRPr="003E07FF">
        <w:rPr>
          <w:rFonts w:cs="Times New Roman"/>
          <w:i/>
          <w:sz w:val="20"/>
          <w:szCs w:val="20"/>
        </w:rPr>
        <w:t xml:space="preserve">Garofoli </w:t>
      </w:r>
      <w:r w:rsidRPr="003E07FF">
        <w:rPr>
          <w:rFonts w:cs="Times New Roman"/>
          <w:sz w:val="20"/>
          <w:szCs w:val="20"/>
        </w:rPr>
        <w:t xml:space="preserve">permet d’apprécier le caractère abusif ou non de la fouille ou perquisition que constitue l’écoute électronique interceptant des communications privées. La fouille ou perquisition n’est pas abusive si les conditions légales préalables à la délivrance de l’autorisation d’écoute électronique ont été respectées. La demande de type </w:t>
      </w:r>
      <w:r w:rsidRPr="003E07FF">
        <w:rPr>
          <w:rFonts w:cs="Times New Roman"/>
          <w:i/>
          <w:sz w:val="20"/>
          <w:szCs w:val="20"/>
        </w:rPr>
        <w:t xml:space="preserve">Garofoli </w:t>
      </w:r>
      <w:r w:rsidRPr="003E07FF">
        <w:rPr>
          <w:rFonts w:cs="Times New Roman"/>
          <w:sz w:val="20"/>
          <w:szCs w:val="20"/>
        </w:rPr>
        <w:t xml:space="preserve">vise, non pas la question de savoir si les affirmations qui fondent la dénonciation en vue d’obtenir l’autorisation d’écoute électronique sont vraies — une question qui sera tranchée au procès —, mais celle de savoir si le déposant a une croyance raisonnable en l’existence des motifs légaux requis. Ce qui importe, c’est ce que le déposant savait ou aurait dû savoir au moment où il a souscrit l’affidavit accompagnant la dénonciation. </w:t>
      </w:r>
    </w:p>
    <w:p w:rsidR="002455C8" w:rsidRPr="003E07FF" w:rsidRDefault="002455C8" w:rsidP="002455C8">
      <w:pPr>
        <w:pStyle w:val="ParaNoNdepar-AltN"/>
        <w:numPr>
          <w:ilvl w:val="0"/>
          <w:numId w:val="0"/>
        </w:numPr>
        <w:spacing w:before="0" w:after="0" w:line="240" w:lineRule="auto"/>
        <w:rPr>
          <w:rFonts w:cs="Times New Roman"/>
          <w:sz w:val="20"/>
          <w:szCs w:val="20"/>
        </w:rPr>
      </w:pPr>
    </w:p>
    <w:p w:rsidR="002455C8" w:rsidRDefault="002455C8" w:rsidP="002455C8">
      <w:pPr>
        <w:pStyle w:val="ParaNoNdepar-AltN"/>
        <w:numPr>
          <w:ilvl w:val="0"/>
          <w:numId w:val="0"/>
        </w:numPr>
        <w:spacing w:before="0" w:after="0" w:line="240" w:lineRule="auto"/>
        <w:rPr>
          <w:rFonts w:cs="Times New Roman"/>
          <w:sz w:val="20"/>
          <w:szCs w:val="20"/>
        </w:rPr>
      </w:pPr>
      <w:r w:rsidRPr="003E07FF">
        <w:rPr>
          <w:rFonts w:cs="Times New Roman"/>
          <w:sz w:val="20"/>
          <w:szCs w:val="20"/>
        </w:rPr>
        <w:tab/>
        <w:t xml:space="preserve">Certes, une personne peut se prévaloir de la procédure de type </w:t>
      </w:r>
      <w:r w:rsidRPr="003E07FF">
        <w:rPr>
          <w:rFonts w:cs="Times New Roman"/>
          <w:i/>
          <w:sz w:val="20"/>
          <w:szCs w:val="20"/>
        </w:rPr>
        <w:t>O’Connor</w:t>
      </w:r>
      <w:r w:rsidRPr="003E07FF">
        <w:rPr>
          <w:rFonts w:cs="Times New Roman"/>
          <w:sz w:val="20"/>
          <w:szCs w:val="20"/>
        </w:rPr>
        <w:t xml:space="preserve"> pour obtenir des documents à l’appui d’une demande de type </w:t>
      </w:r>
      <w:r w:rsidRPr="003E07FF">
        <w:rPr>
          <w:rFonts w:cs="Times New Roman"/>
          <w:i/>
          <w:sz w:val="20"/>
          <w:szCs w:val="20"/>
        </w:rPr>
        <w:t>Garofoli</w:t>
      </w:r>
      <w:r w:rsidRPr="003E07FF">
        <w:rPr>
          <w:rFonts w:cs="Times New Roman"/>
          <w:sz w:val="20"/>
          <w:szCs w:val="20"/>
        </w:rPr>
        <w:t xml:space="preserve">, mais le critère de pertinence dans ce cas est plus restrictif que celui qui s’applique ordinairement à la première. Pour obtenir des documents en la possession de tiers pour sa demande de type </w:t>
      </w:r>
      <w:r w:rsidRPr="003E07FF">
        <w:rPr>
          <w:rFonts w:cs="Times New Roman"/>
          <w:i/>
          <w:sz w:val="20"/>
          <w:szCs w:val="20"/>
        </w:rPr>
        <w:t>Garofoli</w:t>
      </w:r>
      <w:r w:rsidRPr="003E07FF">
        <w:rPr>
          <w:rFonts w:cs="Times New Roman"/>
          <w:sz w:val="20"/>
          <w:szCs w:val="20"/>
        </w:rPr>
        <w:t>,</w:t>
      </w:r>
      <w:r w:rsidRPr="003E07FF">
        <w:rPr>
          <w:rFonts w:cs="Times New Roman"/>
          <w:i/>
          <w:sz w:val="20"/>
          <w:szCs w:val="20"/>
        </w:rPr>
        <w:t xml:space="preserve"> </w:t>
      </w:r>
      <w:r w:rsidRPr="003E07FF">
        <w:rPr>
          <w:rFonts w:cs="Times New Roman"/>
          <w:sz w:val="20"/>
          <w:szCs w:val="20"/>
        </w:rPr>
        <w:t xml:space="preserve">l’accusé doit démontrer qu’il est raisonnablement probable que ces documents auront une valeur probante quant aux questions limitées que soulève sa demande. Ce critère, qui régit la communication de documents par des tiers, s’applique également à une autre forme d’enquête préalable menée dans le cadre d’une demande de type </w:t>
      </w:r>
      <w:r w:rsidRPr="003E07FF">
        <w:rPr>
          <w:rFonts w:cs="Times New Roman"/>
          <w:i/>
          <w:sz w:val="20"/>
          <w:szCs w:val="20"/>
        </w:rPr>
        <w:t>Garofoli </w:t>
      </w:r>
      <w:r w:rsidRPr="003E07FF">
        <w:rPr>
          <w:rFonts w:cs="Times New Roman"/>
          <w:sz w:val="20"/>
          <w:szCs w:val="20"/>
        </w:rPr>
        <w:t>: le contre</w:t>
      </w:r>
      <w:r w:rsidRPr="003E07FF">
        <w:rPr>
          <w:rFonts w:cs="Times New Roman"/>
          <w:sz w:val="20"/>
          <w:szCs w:val="20"/>
        </w:rPr>
        <w:noBreakHyphen/>
        <w:t>interrogatoire du déposant. Les deux formes visent des objets similaires et soulèvent des préoccupations de principe semblables. Les raisons qui justifient de limiter le contre</w:t>
      </w:r>
      <w:r w:rsidRPr="003E07FF">
        <w:rPr>
          <w:rFonts w:cs="Times New Roman"/>
          <w:sz w:val="20"/>
          <w:szCs w:val="20"/>
        </w:rPr>
        <w:noBreakHyphen/>
        <w:t xml:space="preserve">interrogatoire du déposant s’appliquent avec autant de force à la demande de communication par des tiers. Le critère de la « probabilité raisonnable » convient à une demande de type </w:t>
      </w:r>
      <w:r w:rsidRPr="003E07FF">
        <w:rPr>
          <w:rFonts w:cs="Times New Roman"/>
          <w:i/>
          <w:sz w:val="20"/>
          <w:szCs w:val="20"/>
        </w:rPr>
        <w:t>Garofoli</w:t>
      </w:r>
      <w:r w:rsidRPr="003E07FF">
        <w:rPr>
          <w:rFonts w:cs="Times New Roman"/>
          <w:sz w:val="20"/>
          <w:szCs w:val="20"/>
        </w:rPr>
        <w:t xml:space="preserve"> et est équitable pour l’accusé. </w:t>
      </w:r>
    </w:p>
    <w:p w:rsidR="002455C8" w:rsidRPr="003E07FF" w:rsidRDefault="002455C8" w:rsidP="002455C8">
      <w:pPr>
        <w:pStyle w:val="ParaNoNdepar-AltN"/>
        <w:numPr>
          <w:ilvl w:val="0"/>
          <w:numId w:val="0"/>
        </w:numPr>
        <w:spacing w:before="0" w:after="0" w:line="240" w:lineRule="auto"/>
        <w:rPr>
          <w:rFonts w:cs="Times New Roman"/>
          <w:sz w:val="20"/>
          <w:szCs w:val="20"/>
        </w:rPr>
      </w:pPr>
    </w:p>
    <w:p w:rsidR="002455C8" w:rsidRDefault="002455C8" w:rsidP="002455C8">
      <w:pPr>
        <w:pStyle w:val="ParaNoNdepar-AltN"/>
        <w:numPr>
          <w:ilvl w:val="0"/>
          <w:numId w:val="0"/>
        </w:numPr>
        <w:spacing w:before="0" w:after="0" w:line="240" w:lineRule="auto"/>
        <w:rPr>
          <w:rFonts w:cs="Times New Roman"/>
          <w:sz w:val="20"/>
          <w:szCs w:val="20"/>
        </w:rPr>
      </w:pPr>
      <w:r w:rsidRPr="003E07FF">
        <w:rPr>
          <w:rFonts w:cs="Times New Roman"/>
          <w:sz w:val="20"/>
          <w:szCs w:val="20"/>
        </w:rPr>
        <w:tab/>
        <w:t xml:space="preserve">Le juge d’instance a commis une erreur dans son appréciation des arguments des inculpés. Bien qu’il ait à juste titre imposé le fardeau de la preuve aux inculpés, il n’a pas apprécié correctement la pertinence des documents exigés. Tout particulièrement, il a confondu, dans le cadre d’une demande de type </w:t>
      </w:r>
      <w:r w:rsidRPr="003E07FF">
        <w:rPr>
          <w:rFonts w:cs="Times New Roman"/>
          <w:i/>
          <w:sz w:val="20"/>
          <w:szCs w:val="20"/>
        </w:rPr>
        <w:t>Garofoli</w:t>
      </w:r>
      <w:r w:rsidRPr="003E07FF">
        <w:rPr>
          <w:rFonts w:cs="Times New Roman"/>
          <w:sz w:val="20"/>
          <w:szCs w:val="20"/>
        </w:rPr>
        <w:t xml:space="preserve">, la connaissance du déposant et celle des enquêteurs. En l’espèce, cette distinction est cruciale. Si les documents demandés sont susceptibles de permettre d’établir la véracité des affirmations contenues dans les affidavits, il n’est pas raisonnablement probable qu’ils aient une valeur probante lorsqu’il s’agit de déterminer ce que le sergent D savait ou aurait dû savoir puisqu’il ne les a pas consultés. Les inculpés n’ont pas démontré qu’il était déraisonnable de sa part de se fier aux renseignements qu’il avait reçus de l’INT et d’autres agents. En outre, accepter l’argument selon lequel la pertinence des documents de l’INT doit être présumée en raison de la disparition ou de l’absence des documents de la partie principale signifierait un changement important du cadre d’analyse établi dans l’arrêt </w:t>
      </w:r>
      <w:r w:rsidRPr="003E07FF">
        <w:rPr>
          <w:rFonts w:cs="Times New Roman"/>
          <w:i/>
          <w:sz w:val="20"/>
          <w:szCs w:val="20"/>
        </w:rPr>
        <w:t>O’Connor</w:t>
      </w:r>
      <w:r w:rsidRPr="003E07FF">
        <w:rPr>
          <w:rFonts w:cs="Times New Roman"/>
          <w:sz w:val="20"/>
          <w:szCs w:val="20"/>
        </w:rPr>
        <w:t xml:space="preserve">. Un tel changement n’est pas nécessaire. Lorsque des renseignements manquent, il doit être remédié à ce manque selon le cadre établi dans l’arrêt </w:t>
      </w:r>
      <w:r w:rsidRPr="003E07FF">
        <w:rPr>
          <w:rFonts w:cs="Times New Roman"/>
          <w:i/>
          <w:sz w:val="20"/>
          <w:szCs w:val="20"/>
        </w:rPr>
        <w:t>R. c. La</w:t>
      </w:r>
      <w:r w:rsidRPr="003E07FF">
        <w:rPr>
          <w:rFonts w:cs="Times New Roman"/>
          <w:sz w:val="20"/>
          <w:szCs w:val="20"/>
        </w:rPr>
        <w:t>, [1997] 2 R.C.S. 680, et il se pourrait très bien que ce soit le bon moyen de redresser le préjudice, s’il en est, découlant des immunités invoquées par le Groupe de la Banque mondiale. Les inculpés n’ont pas soulevé ces questions devant la Cour, et il convient d’en laisser l’appréciation au juge du procès.</w:t>
      </w:r>
    </w:p>
    <w:p w:rsidR="002455C8" w:rsidRPr="003E07FF" w:rsidRDefault="002455C8" w:rsidP="002455C8">
      <w:pPr>
        <w:pStyle w:val="ParaNoNdepar-AltN"/>
        <w:numPr>
          <w:ilvl w:val="0"/>
          <w:numId w:val="0"/>
        </w:numPr>
        <w:spacing w:before="0" w:after="0" w:line="240" w:lineRule="auto"/>
        <w:rPr>
          <w:rFonts w:cs="Times New Roman"/>
          <w:sz w:val="20"/>
          <w:szCs w:val="20"/>
        </w:rPr>
      </w:pPr>
    </w:p>
    <w:p w:rsidR="002455C8" w:rsidRDefault="002455C8" w:rsidP="002455C8">
      <w:pPr>
        <w:pStyle w:val="SCCNormalDoubleSpacing"/>
        <w:spacing w:line="240" w:lineRule="auto"/>
        <w:rPr>
          <w:sz w:val="20"/>
          <w:lang w:val="fr-CA"/>
        </w:rPr>
      </w:pPr>
      <w:r w:rsidRPr="00AE0018">
        <w:rPr>
          <w:sz w:val="20"/>
          <w:lang w:val="fr-CA"/>
        </w:rPr>
        <w:tab/>
      </w:r>
      <w:r w:rsidRPr="003E07FF">
        <w:rPr>
          <w:sz w:val="20"/>
          <w:lang w:val="fr-CA"/>
        </w:rPr>
        <w:t>POURVOI contre une décision de la Cour supérieure de justice de l’Ontario (le juge Nordheimer), 2014 ONSC 7449, [2014] O.J. No. 6534 (QL), qui a accueilli en partie une demande présentée par les inculpés en vue d’obtenir la validation d’assignations à comparaître et une ordonnance de communication de documents. Pourvoi accueilli.</w:t>
      </w:r>
    </w:p>
    <w:p w:rsidR="002455C8" w:rsidRPr="003E07FF" w:rsidRDefault="002455C8" w:rsidP="002455C8">
      <w:pPr>
        <w:pStyle w:val="SCCNormalDoubleSpacing"/>
        <w:spacing w:line="240" w:lineRule="auto"/>
        <w:rPr>
          <w:sz w:val="20"/>
          <w:lang w:val="fr-CA"/>
        </w:rPr>
      </w:pPr>
    </w:p>
    <w:p w:rsidR="002455C8" w:rsidRPr="00AE0018" w:rsidRDefault="002455C8" w:rsidP="002455C8">
      <w:pPr>
        <w:jc w:val="both"/>
        <w:rPr>
          <w:i/>
          <w:sz w:val="20"/>
          <w:lang w:val="fr-CA"/>
        </w:rPr>
      </w:pPr>
      <w:r w:rsidRPr="003E07FF">
        <w:rPr>
          <w:rStyle w:val="SCCCounselNameChar"/>
          <w:rFonts w:eastAsiaTheme="minorHAnsi"/>
          <w:sz w:val="20"/>
          <w:lang w:val="fr-CA"/>
        </w:rPr>
        <w:tab/>
      </w:r>
      <w:r w:rsidRPr="00AE0018">
        <w:rPr>
          <w:i/>
          <w:sz w:val="20"/>
          <w:szCs w:val="20"/>
          <w:lang w:val="fr-CA"/>
        </w:rPr>
        <w:t>Alan J. Lenczner, c.r., Scott Rollwagen et Chris Kinnear</w:t>
      </w:r>
      <w:r w:rsidRPr="00AE0018">
        <w:rPr>
          <w:i/>
          <w:sz w:val="20"/>
          <w:szCs w:val="20"/>
          <w:lang w:val="fr-CA"/>
        </w:rPr>
        <w:noBreakHyphen/>
        <w:t>Hunter, pour l’appelant.</w:t>
      </w:r>
    </w:p>
    <w:p w:rsidR="002455C8" w:rsidRPr="00AE0018" w:rsidRDefault="002455C8" w:rsidP="002455C8">
      <w:pPr>
        <w:jc w:val="both"/>
        <w:rPr>
          <w:i/>
          <w:sz w:val="20"/>
          <w:szCs w:val="20"/>
          <w:lang w:val="fr-CA"/>
        </w:rPr>
      </w:pPr>
    </w:p>
    <w:p w:rsidR="002455C8" w:rsidRPr="00AE0018" w:rsidRDefault="002455C8" w:rsidP="002455C8">
      <w:pPr>
        <w:jc w:val="both"/>
        <w:rPr>
          <w:i/>
          <w:sz w:val="20"/>
          <w:lang w:val="fr-CA"/>
        </w:rPr>
      </w:pPr>
      <w:r w:rsidRPr="00AE0018">
        <w:rPr>
          <w:i/>
          <w:sz w:val="20"/>
          <w:szCs w:val="20"/>
          <w:lang w:val="fr-CA"/>
        </w:rPr>
        <w:tab/>
        <w:t>Scott K. Fenton et Lynda E. Morgan, pour l’intimé Kevin Wallace.</w:t>
      </w:r>
    </w:p>
    <w:p w:rsidR="002455C8" w:rsidRPr="00AE0018" w:rsidRDefault="002455C8" w:rsidP="002455C8">
      <w:pPr>
        <w:jc w:val="both"/>
        <w:rPr>
          <w:i/>
          <w:sz w:val="20"/>
          <w:szCs w:val="20"/>
          <w:lang w:val="fr-CA"/>
        </w:rPr>
      </w:pPr>
    </w:p>
    <w:p w:rsidR="002455C8" w:rsidRPr="00AE0018" w:rsidRDefault="002455C8" w:rsidP="002455C8">
      <w:pPr>
        <w:jc w:val="both"/>
        <w:rPr>
          <w:i/>
          <w:sz w:val="20"/>
          <w:lang w:val="fr-CA"/>
        </w:rPr>
      </w:pPr>
      <w:r w:rsidRPr="00AE0018">
        <w:rPr>
          <w:i/>
          <w:sz w:val="20"/>
          <w:szCs w:val="20"/>
          <w:lang w:val="fr-CA"/>
        </w:rPr>
        <w:tab/>
        <w:t>Frank Addario et Megan Savard, pour l’intimé Zulfiquar Bhuiyan.</w:t>
      </w:r>
    </w:p>
    <w:p w:rsidR="002455C8" w:rsidRPr="00AE0018" w:rsidRDefault="002455C8" w:rsidP="002455C8">
      <w:pPr>
        <w:jc w:val="both"/>
        <w:rPr>
          <w:i/>
          <w:sz w:val="20"/>
          <w:szCs w:val="20"/>
          <w:lang w:val="fr-CA"/>
        </w:rPr>
      </w:pPr>
    </w:p>
    <w:p w:rsidR="002455C8" w:rsidRPr="00AE0018" w:rsidRDefault="002455C8" w:rsidP="002455C8">
      <w:pPr>
        <w:jc w:val="both"/>
        <w:rPr>
          <w:i/>
          <w:sz w:val="20"/>
          <w:lang w:val="fr-CA"/>
        </w:rPr>
      </w:pPr>
      <w:r w:rsidRPr="00AE0018">
        <w:rPr>
          <w:i/>
          <w:sz w:val="20"/>
          <w:szCs w:val="20"/>
          <w:lang w:val="fr-CA"/>
        </w:rPr>
        <w:tab/>
        <w:t>David Cousins, pour l’intimé Ramesh Shah.</w:t>
      </w:r>
    </w:p>
    <w:p w:rsidR="002455C8" w:rsidRPr="00AE0018" w:rsidRDefault="002455C8" w:rsidP="002455C8">
      <w:pPr>
        <w:jc w:val="both"/>
        <w:rPr>
          <w:i/>
          <w:sz w:val="20"/>
          <w:szCs w:val="20"/>
          <w:lang w:val="fr-CA"/>
        </w:rPr>
      </w:pPr>
    </w:p>
    <w:p w:rsidR="002455C8" w:rsidRPr="00AE0018" w:rsidRDefault="002455C8" w:rsidP="002455C8">
      <w:pPr>
        <w:jc w:val="both"/>
        <w:rPr>
          <w:i/>
          <w:sz w:val="20"/>
          <w:lang w:val="fr-CA"/>
        </w:rPr>
      </w:pPr>
      <w:r w:rsidRPr="00AE0018">
        <w:rPr>
          <w:i/>
          <w:sz w:val="20"/>
          <w:szCs w:val="20"/>
          <w:lang w:val="fr-CA"/>
        </w:rPr>
        <w:tab/>
        <w:t>Kathryn Wells, pour l’intimé Mohammad Ismail.</w:t>
      </w:r>
    </w:p>
    <w:p w:rsidR="002455C8" w:rsidRPr="00AE0018" w:rsidRDefault="002455C8" w:rsidP="002455C8">
      <w:pPr>
        <w:jc w:val="both"/>
        <w:rPr>
          <w:i/>
          <w:sz w:val="20"/>
          <w:szCs w:val="20"/>
          <w:lang w:val="fr-CA"/>
        </w:rPr>
      </w:pPr>
    </w:p>
    <w:p w:rsidR="002455C8" w:rsidRPr="00AE0018" w:rsidRDefault="002455C8" w:rsidP="002455C8">
      <w:pPr>
        <w:jc w:val="both"/>
        <w:rPr>
          <w:i/>
          <w:sz w:val="20"/>
          <w:lang w:val="fr-CA"/>
        </w:rPr>
      </w:pPr>
      <w:r w:rsidRPr="00AE0018">
        <w:rPr>
          <w:i/>
          <w:sz w:val="20"/>
          <w:szCs w:val="20"/>
          <w:lang w:val="fr-CA"/>
        </w:rPr>
        <w:tab/>
        <w:t>Nicholas E. Devlin et François Lacasse, pour l’intimée Sa Majesté la Reine du chef du Canada.</w:t>
      </w:r>
    </w:p>
    <w:p w:rsidR="002455C8" w:rsidRPr="00AE0018" w:rsidRDefault="002455C8" w:rsidP="002455C8">
      <w:pPr>
        <w:jc w:val="both"/>
        <w:rPr>
          <w:i/>
          <w:sz w:val="20"/>
          <w:szCs w:val="20"/>
          <w:lang w:val="fr-CA"/>
        </w:rPr>
      </w:pPr>
    </w:p>
    <w:p w:rsidR="002455C8" w:rsidRPr="00AE0018" w:rsidRDefault="002455C8" w:rsidP="002455C8">
      <w:pPr>
        <w:jc w:val="both"/>
        <w:rPr>
          <w:i/>
          <w:sz w:val="20"/>
          <w:lang w:val="fr-CA"/>
        </w:rPr>
      </w:pPr>
      <w:r w:rsidRPr="00AE0018">
        <w:rPr>
          <w:i/>
          <w:sz w:val="20"/>
          <w:szCs w:val="20"/>
          <w:lang w:val="fr-CA"/>
        </w:rPr>
        <w:tab/>
        <w:t>Scott C. Hutchison et Samuel Walker, pour l’intervenante Criminal Lawyers’ Association (Ontario).</w:t>
      </w:r>
    </w:p>
    <w:p w:rsidR="002455C8" w:rsidRPr="00AE0018" w:rsidRDefault="002455C8" w:rsidP="002455C8">
      <w:pPr>
        <w:jc w:val="both"/>
        <w:rPr>
          <w:i/>
          <w:sz w:val="20"/>
          <w:szCs w:val="20"/>
          <w:lang w:val="fr-CA"/>
        </w:rPr>
      </w:pPr>
    </w:p>
    <w:p w:rsidR="002455C8" w:rsidRPr="00AE0018" w:rsidRDefault="002455C8" w:rsidP="002455C8">
      <w:pPr>
        <w:jc w:val="both"/>
        <w:rPr>
          <w:i/>
          <w:sz w:val="20"/>
          <w:lang w:val="fr-CA"/>
        </w:rPr>
      </w:pPr>
      <w:r w:rsidRPr="00AE0018">
        <w:rPr>
          <w:i/>
          <w:sz w:val="20"/>
          <w:szCs w:val="20"/>
          <w:lang w:val="fr-CA"/>
        </w:rPr>
        <w:tab/>
        <w:t>Mark A. Gelowitz et Geoffrey Grove, pour les intervenantes Transparency International Canada Inc. et Transparency International e.V.</w:t>
      </w:r>
    </w:p>
    <w:p w:rsidR="002455C8" w:rsidRPr="00AE0018" w:rsidRDefault="002455C8" w:rsidP="002455C8">
      <w:pPr>
        <w:jc w:val="both"/>
        <w:rPr>
          <w:i/>
          <w:sz w:val="20"/>
          <w:szCs w:val="20"/>
          <w:lang w:val="fr-CA"/>
        </w:rPr>
      </w:pPr>
    </w:p>
    <w:p w:rsidR="002455C8" w:rsidRPr="00AE0018" w:rsidRDefault="002455C8" w:rsidP="002455C8">
      <w:pPr>
        <w:jc w:val="both"/>
        <w:rPr>
          <w:i/>
          <w:sz w:val="20"/>
          <w:lang w:val="fr-CA"/>
        </w:rPr>
      </w:pPr>
      <w:r w:rsidRPr="00AE0018">
        <w:rPr>
          <w:i/>
          <w:sz w:val="20"/>
          <w:szCs w:val="20"/>
          <w:lang w:val="fr-CA"/>
        </w:rPr>
        <w:tab/>
        <w:t>Gerald Chan et Nader R. Hasan, pour l’intervenante l’Association des libertés civiles de la Colombie</w:t>
      </w:r>
      <w:r w:rsidRPr="00AE0018">
        <w:rPr>
          <w:i/>
          <w:sz w:val="20"/>
          <w:szCs w:val="20"/>
          <w:lang w:val="fr-CA"/>
        </w:rPr>
        <w:noBreakHyphen/>
        <w:t>Britannique.</w:t>
      </w:r>
    </w:p>
    <w:p w:rsidR="002455C8" w:rsidRPr="00AE0018" w:rsidRDefault="002455C8" w:rsidP="002455C8">
      <w:pPr>
        <w:jc w:val="both"/>
        <w:rPr>
          <w:i/>
          <w:sz w:val="20"/>
          <w:szCs w:val="20"/>
          <w:lang w:val="fr-CA"/>
        </w:rPr>
      </w:pPr>
    </w:p>
    <w:p w:rsidR="002455C8" w:rsidRPr="00AE0018" w:rsidRDefault="002455C8" w:rsidP="002455C8">
      <w:pPr>
        <w:jc w:val="both"/>
        <w:rPr>
          <w:i/>
          <w:sz w:val="20"/>
          <w:lang w:val="fr-CA"/>
        </w:rPr>
      </w:pPr>
      <w:r w:rsidRPr="00AE0018">
        <w:rPr>
          <w:i/>
          <w:sz w:val="20"/>
          <w:szCs w:val="20"/>
          <w:lang w:val="fr-CA"/>
        </w:rPr>
        <w:tab/>
        <w:t>Guy J. Pratte et Nadia Effendi, pour les intervenants la Banque européenne pour la reconstruction et le développement, l’Organisation de coopération et de développement économiques, le Groupe de la Banque africaine de développement, Asian Development Bank, la Banque interaméricaine de développement et Nordic Investment Bank.</w:t>
      </w:r>
    </w:p>
    <w:p w:rsidR="002455C8" w:rsidRPr="00AE0018" w:rsidRDefault="002455C8" w:rsidP="002455C8">
      <w:pPr>
        <w:jc w:val="both"/>
        <w:rPr>
          <w:i/>
          <w:sz w:val="20"/>
          <w:szCs w:val="20"/>
          <w:lang w:val="fr-CA"/>
        </w:rPr>
      </w:pPr>
    </w:p>
    <w:p w:rsidR="002455C8" w:rsidRPr="00AE0018" w:rsidRDefault="002455C8" w:rsidP="002455C8">
      <w:pPr>
        <w:jc w:val="both"/>
        <w:rPr>
          <w:i/>
          <w:sz w:val="20"/>
          <w:lang w:val="fr-CA"/>
        </w:rPr>
      </w:pPr>
      <w:r w:rsidRPr="00AE0018">
        <w:rPr>
          <w:i/>
          <w:sz w:val="20"/>
          <w:szCs w:val="20"/>
          <w:lang w:val="fr-CA"/>
        </w:rPr>
        <w:tab/>
        <w:t>Procureurs de l’appelant : Lenczner Slaght Royce Smith Griffin, Toronto.</w:t>
      </w:r>
    </w:p>
    <w:p w:rsidR="002455C8" w:rsidRPr="00AE0018" w:rsidRDefault="002455C8" w:rsidP="002455C8">
      <w:pPr>
        <w:jc w:val="both"/>
        <w:rPr>
          <w:i/>
          <w:sz w:val="20"/>
          <w:szCs w:val="20"/>
          <w:lang w:val="fr-CA"/>
        </w:rPr>
      </w:pPr>
    </w:p>
    <w:p w:rsidR="002455C8" w:rsidRPr="00AE0018" w:rsidRDefault="002455C8" w:rsidP="002455C8">
      <w:pPr>
        <w:jc w:val="both"/>
        <w:rPr>
          <w:i/>
          <w:sz w:val="20"/>
          <w:lang w:val="fr-CA"/>
        </w:rPr>
      </w:pPr>
      <w:r w:rsidRPr="00AE0018">
        <w:rPr>
          <w:i/>
          <w:sz w:val="20"/>
          <w:szCs w:val="20"/>
          <w:lang w:val="fr-CA"/>
        </w:rPr>
        <w:tab/>
        <w:t>Procureurs de l’intimé Kevin Wallace : Fenton, Smith, Toronto.</w:t>
      </w:r>
    </w:p>
    <w:p w:rsidR="002455C8" w:rsidRPr="00AE0018" w:rsidRDefault="002455C8" w:rsidP="002455C8">
      <w:pPr>
        <w:jc w:val="both"/>
        <w:rPr>
          <w:i/>
          <w:sz w:val="20"/>
          <w:szCs w:val="20"/>
          <w:lang w:val="fr-CA"/>
        </w:rPr>
      </w:pPr>
    </w:p>
    <w:p w:rsidR="002455C8" w:rsidRPr="00AE0018" w:rsidRDefault="002455C8" w:rsidP="002455C8">
      <w:pPr>
        <w:jc w:val="both"/>
        <w:rPr>
          <w:i/>
          <w:sz w:val="20"/>
          <w:lang w:val="fr-CA"/>
        </w:rPr>
      </w:pPr>
      <w:r w:rsidRPr="00AE0018">
        <w:rPr>
          <w:i/>
          <w:sz w:val="20"/>
          <w:szCs w:val="20"/>
          <w:lang w:val="fr-CA"/>
        </w:rPr>
        <w:tab/>
        <w:t>Procureurs de l’intimé Zulfiquar Bhuiyan : Addario Law Group, Toronto.</w:t>
      </w:r>
    </w:p>
    <w:p w:rsidR="002455C8" w:rsidRPr="00AE0018" w:rsidRDefault="002455C8" w:rsidP="002455C8">
      <w:pPr>
        <w:jc w:val="both"/>
        <w:rPr>
          <w:i/>
          <w:sz w:val="20"/>
          <w:szCs w:val="20"/>
          <w:lang w:val="fr-CA"/>
        </w:rPr>
      </w:pPr>
    </w:p>
    <w:p w:rsidR="002455C8" w:rsidRPr="00AE0018" w:rsidRDefault="002455C8" w:rsidP="002455C8">
      <w:pPr>
        <w:jc w:val="both"/>
        <w:rPr>
          <w:i/>
          <w:sz w:val="20"/>
          <w:lang w:val="fr-CA"/>
        </w:rPr>
      </w:pPr>
      <w:r w:rsidRPr="00AE0018">
        <w:rPr>
          <w:i/>
          <w:sz w:val="20"/>
          <w:szCs w:val="20"/>
          <w:lang w:val="fr-CA"/>
        </w:rPr>
        <w:tab/>
        <w:t>Procureur de l’intimé Ramesh Shah : David B. Cousins, Toronto.</w:t>
      </w:r>
    </w:p>
    <w:p w:rsidR="002455C8" w:rsidRPr="00AE0018" w:rsidRDefault="002455C8" w:rsidP="002455C8">
      <w:pPr>
        <w:jc w:val="both"/>
        <w:rPr>
          <w:i/>
          <w:sz w:val="20"/>
          <w:szCs w:val="20"/>
          <w:lang w:val="fr-CA"/>
        </w:rPr>
      </w:pPr>
    </w:p>
    <w:p w:rsidR="002455C8" w:rsidRPr="00AE0018" w:rsidRDefault="002455C8" w:rsidP="002455C8">
      <w:pPr>
        <w:jc w:val="both"/>
        <w:rPr>
          <w:i/>
          <w:sz w:val="20"/>
          <w:lang w:val="fr-CA"/>
        </w:rPr>
      </w:pPr>
      <w:r w:rsidRPr="00AE0018">
        <w:rPr>
          <w:i/>
          <w:sz w:val="20"/>
          <w:szCs w:val="20"/>
          <w:lang w:val="fr-CA"/>
        </w:rPr>
        <w:tab/>
        <w:t>Procureurs de l’intimé Mohammad Ismail : Wells Criminal Law, Toronto.</w:t>
      </w:r>
    </w:p>
    <w:p w:rsidR="002455C8" w:rsidRPr="00AE0018" w:rsidRDefault="002455C8" w:rsidP="002455C8">
      <w:pPr>
        <w:jc w:val="both"/>
        <w:rPr>
          <w:i/>
          <w:sz w:val="20"/>
          <w:szCs w:val="20"/>
          <w:lang w:val="fr-CA"/>
        </w:rPr>
      </w:pPr>
    </w:p>
    <w:p w:rsidR="002455C8" w:rsidRPr="00AE0018" w:rsidRDefault="002455C8" w:rsidP="002455C8">
      <w:pPr>
        <w:jc w:val="both"/>
        <w:rPr>
          <w:i/>
          <w:sz w:val="20"/>
          <w:lang w:val="fr-CA"/>
        </w:rPr>
      </w:pPr>
      <w:r w:rsidRPr="00AE0018">
        <w:rPr>
          <w:i/>
          <w:sz w:val="20"/>
          <w:szCs w:val="20"/>
          <w:lang w:val="fr-CA"/>
        </w:rPr>
        <w:tab/>
        <w:t>Procureur de l’intimée Sa Majesté la Reine du chef du Canada : Service des poursuites pénales du Canada, Toronto.</w:t>
      </w:r>
    </w:p>
    <w:p w:rsidR="002455C8" w:rsidRPr="00AE0018" w:rsidRDefault="002455C8" w:rsidP="002455C8">
      <w:pPr>
        <w:jc w:val="both"/>
        <w:rPr>
          <w:i/>
          <w:sz w:val="20"/>
          <w:szCs w:val="20"/>
          <w:lang w:val="fr-CA"/>
        </w:rPr>
      </w:pPr>
    </w:p>
    <w:p w:rsidR="002455C8" w:rsidRPr="00AE0018" w:rsidRDefault="002455C8" w:rsidP="002455C8">
      <w:pPr>
        <w:jc w:val="both"/>
        <w:rPr>
          <w:i/>
          <w:sz w:val="20"/>
          <w:lang w:val="fr-CA"/>
        </w:rPr>
      </w:pPr>
      <w:r w:rsidRPr="00AE0018">
        <w:rPr>
          <w:i/>
          <w:sz w:val="20"/>
          <w:szCs w:val="20"/>
          <w:lang w:val="fr-CA"/>
        </w:rPr>
        <w:tab/>
        <w:t>Procureurs de l’intervenante Criminal Lawyers’ Association (Ontario) : Henein Hutchison, Toronto.</w:t>
      </w:r>
    </w:p>
    <w:p w:rsidR="002455C8" w:rsidRPr="00AE0018" w:rsidRDefault="002455C8" w:rsidP="002455C8">
      <w:pPr>
        <w:jc w:val="both"/>
        <w:rPr>
          <w:i/>
          <w:sz w:val="20"/>
          <w:szCs w:val="20"/>
          <w:lang w:val="fr-CA"/>
        </w:rPr>
      </w:pPr>
    </w:p>
    <w:p w:rsidR="002455C8" w:rsidRPr="00AE0018" w:rsidRDefault="002455C8" w:rsidP="002455C8">
      <w:pPr>
        <w:jc w:val="both"/>
        <w:rPr>
          <w:i/>
          <w:sz w:val="20"/>
          <w:lang w:val="fr-CA"/>
        </w:rPr>
      </w:pPr>
      <w:r w:rsidRPr="00AE0018">
        <w:rPr>
          <w:i/>
          <w:sz w:val="20"/>
          <w:szCs w:val="20"/>
          <w:lang w:val="fr-CA"/>
        </w:rPr>
        <w:tab/>
        <w:t>Procureurs des intervenantes Transparency International Canada Inc. et Transparency International e.V. : Osler, Hoskin &amp; Harcourt, Toronto.</w:t>
      </w:r>
    </w:p>
    <w:p w:rsidR="002455C8" w:rsidRPr="00AE0018" w:rsidRDefault="002455C8" w:rsidP="002455C8">
      <w:pPr>
        <w:jc w:val="both"/>
        <w:rPr>
          <w:i/>
          <w:sz w:val="20"/>
          <w:szCs w:val="20"/>
          <w:lang w:val="fr-CA"/>
        </w:rPr>
      </w:pPr>
    </w:p>
    <w:p w:rsidR="002455C8" w:rsidRPr="00AE0018" w:rsidRDefault="002455C8" w:rsidP="002455C8">
      <w:pPr>
        <w:jc w:val="both"/>
        <w:rPr>
          <w:i/>
          <w:sz w:val="20"/>
          <w:lang w:val="fr-CA"/>
        </w:rPr>
      </w:pPr>
      <w:r w:rsidRPr="00AE0018">
        <w:rPr>
          <w:i/>
          <w:sz w:val="20"/>
          <w:szCs w:val="20"/>
          <w:lang w:val="fr-CA"/>
        </w:rPr>
        <w:tab/>
        <w:t>Procureurs de l’intervenante l’Association des libertés civiles de la Colombie</w:t>
      </w:r>
      <w:r w:rsidRPr="00AE0018">
        <w:rPr>
          <w:i/>
          <w:sz w:val="20"/>
          <w:szCs w:val="20"/>
          <w:lang w:val="fr-CA"/>
        </w:rPr>
        <w:noBreakHyphen/>
        <w:t>Britannique : Stockwoods, Toronto.</w:t>
      </w:r>
    </w:p>
    <w:p w:rsidR="002455C8" w:rsidRPr="00AE0018" w:rsidRDefault="002455C8" w:rsidP="002455C8">
      <w:pPr>
        <w:rPr>
          <w:i/>
          <w:sz w:val="20"/>
          <w:szCs w:val="20"/>
          <w:lang w:val="fr-CA"/>
        </w:rPr>
      </w:pPr>
    </w:p>
    <w:p w:rsidR="002455C8" w:rsidRPr="00AE0018" w:rsidRDefault="002455C8" w:rsidP="002455C8">
      <w:pPr>
        <w:jc w:val="both"/>
        <w:rPr>
          <w:i/>
          <w:sz w:val="20"/>
          <w:szCs w:val="20"/>
          <w:lang w:val="fr-CA"/>
        </w:rPr>
      </w:pPr>
      <w:r w:rsidRPr="00AE0018">
        <w:rPr>
          <w:i/>
          <w:sz w:val="20"/>
          <w:szCs w:val="20"/>
          <w:lang w:val="fr-CA"/>
        </w:rPr>
        <w:tab/>
        <w:t>Procureurs des intervenants la Banque européenne pour la reconstruction et le développement, l’Organisation de coopération et de développement économiques, le Groupe de la Banque africaine de développement, Asian Development Bank, la Banque interaméricaine de développement et Nordic Investment Bank : Borden Ladner Gervais, Ottawa.</w:t>
      </w:r>
    </w:p>
    <w:p w:rsidR="002455C8" w:rsidRPr="008665DE" w:rsidRDefault="002455C8" w:rsidP="0052229C">
      <w:pPr>
        <w:rPr>
          <w:rFonts w:cs="Times New Roman"/>
          <w:sz w:val="20"/>
          <w:szCs w:val="20"/>
          <w:lang w:val="fr-CA"/>
        </w:rPr>
      </w:pPr>
    </w:p>
    <w:p w:rsidR="00C1054E" w:rsidRPr="00AE0018" w:rsidRDefault="00D75D0F" w:rsidP="0052229C">
      <w:pPr>
        <w:rPr>
          <w:rFonts w:cs="Times New Roman"/>
          <w:sz w:val="20"/>
          <w:szCs w:val="20"/>
          <w:lang w:val="fr-CA"/>
        </w:rPr>
      </w:pPr>
      <w:r>
        <w:rPr>
          <w:b/>
          <w:sz w:val="20"/>
          <w:szCs w:val="20"/>
        </w:rPr>
        <w:pict>
          <v:rect id="_x0000_i1069" style="width:144.3pt;height:1pt" o:hrpct="300" o:hralign="center" o:hrstd="t" o:hrnoshade="t" o:hr="t" fillcolor="black [3213]" stroked="f"/>
        </w:pict>
      </w:r>
    </w:p>
    <w:p w:rsidR="0052229C" w:rsidRPr="00AE0018" w:rsidRDefault="0052229C" w:rsidP="0052229C">
      <w:pPr>
        <w:rPr>
          <w:rFonts w:cs="Times New Roman"/>
          <w:sz w:val="20"/>
          <w:szCs w:val="20"/>
          <w:lang w:val="fr-CA"/>
        </w:rPr>
      </w:pPr>
    </w:p>
    <w:p w:rsidR="00102926" w:rsidRPr="00AE0018" w:rsidRDefault="00102926" w:rsidP="00782AE4">
      <w:pPr>
        <w:jc w:val="both"/>
        <w:rPr>
          <w:sz w:val="20"/>
          <w:szCs w:val="20"/>
          <w:lang w:val="fr-CA"/>
        </w:rPr>
        <w:sectPr w:rsidR="00102926" w:rsidRPr="00AE0018" w:rsidSect="00782AE4">
          <w:headerReference w:type="even" r:id="rId58"/>
          <w:headerReference w:type="default" r:id="rId59"/>
          <w:footerReference w:type="even" r:id="rId60"/>
          <w:footerReference w:type="default" r:id="rId61"/>
          <w:headerReference w:type="first" r:id="rId62"/>
          <w:footerReference w:type="first" r:id="rId63"/>
          <w:pgSz w:w="12240" w:h="15840"/>
          <w:pgMar w:top="720" w:right="965" w:bottom="1080" w:left="1656" w:header="576" w:footer="960" w:gutter="0"/>
          <w:cols w:space="720"/>
          <w:titlePg/>
          <w:docGrid w:linePitch="272"/>
        </w:sectPr>
      </w:pPr>
    </w:p>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8902B1" w:rsidRPr="002E0C7E" w:rsidRDefault="008902B1" w:rsidP="008902B1">
      <w:pPr>
        <w:widowControl w:val="0"/>
        <w:spacing w:line="180" w:lineRule="auto"/>
        <w:rPr>
          <w:rFonts w:asciiTheme="minorHAnsi" w:hAnsiTheme="minorHAnsi" w:cstheme="minorHAnsi"/>
          <w:szCs w:val="24"/>
        </w:rPr>
      </w:pPr>
    </w:p>
    <w:p w:rsidR="008902B1" w:rsidRPr="002E0C7E" w:rsidRDefault="008902B1" w:rsidP="008902B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902B1" w:rsidRPr="002E0C7E" w:rsidTr="006820B1">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6820B1">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6820B1">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6820B1">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6820B1">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6820B1">
            <w:pPr>
              <w:widowControl w:val="0"/>
              <w:jc w:val="center"/>
              <w:rPr>
                <w:rFonts w:ascii="Arial" w:hAnsi="Arial"/>
                <w:sz w:val="14"/>
              </w:rPr>
            </w:pPr>
            <w:r w:rsidRPr="002E0C7E">
              <w:rPr>
                <w:rFonts w:ascii="Arial" w:hAnsi="Arial"/>
                <w:b/>
                <w:sz w:val="14"/>
              </w:rPr>
              <w:t>DECEMBER - DÉCEMBRE</w:t>
            </w:r>
          </w:p>
        </w:tc>
      </w:tr>
      <w:tr w:rsidR="008902B1" w:rsidRPr="002E0C7E" w:rsidTr="006820B1">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S</w:t>
            </w:r>
          </w:p>
          <w:p w:rsidR="008902B1" w:rsidRPr="002E0C7E" w:rsidRDefault="008902B1" w:rsidP="006820B1">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M</w:t>
            </w:r>
          </w:p>
          <w:p w:rsidR="008902B1" w:rsidRPr="002E0C7E" w:rsidRDefault="008902B1" w:rsidP="006820B1">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T</w:t>
            </w:r>
          </w:p>
          <w:p w:rsidR="008902B1" w:rsidRPr="002E0C7E" w:rsidRDefault="008902B1" w:rsidP="006820B1">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W</w:t>
            </w:r>
          </w:p>
          <w:p w:rsidR="008902B1" w:rsidRPr="002E0C7E" w:rsidRDefault="008902B1" w:rsidP="006820B1">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T</w:t>
            </w:r>
          </w:p>
          <w:p w:rsidR="008902B1" w:rsidRPr="002E0C7E" w:rsidRDefault="008902B1" w:rsidP="006820B1">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F</w:t>
            </w:r>
          </w:p>
          <w:p w:rsidR="008902B1" w:rsidRPr="002E0C7E" w:rsidRDefault="008902B1" w:rsidP="006820B1">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S</w:t>
            </w:r>
          </w:p>
          <w:p w:rsidR="008902B1" w:rsidRPr="002E0C7E" w:rsidRDefault="008902B1" w:rsidP="006820B1">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S</w:t>
            </w:r>
          </w:p>
          <w:p w:rsidR="008902B1" w:rsidRPr="002E0C7E" w:rsidRDefault="008902B1" w:rsidP="006820B1">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M</w:t>
            </w:r>
          </w:p>
          <w:p w:rsidR="008902B1" w:rsidRPr="002E0C7E" w:rsidRDefault="008902B1" w:rsidP="006820B1">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T</w:t>
            </w:r>
          </w:p>
          <w:p w:rsidR="008902B1" w:rsidRPr="002E0C7E" w:rsidRDefault="008902B1" w:rsidP="006820B1">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W</w:t>
            </w:r>
          </w:p>
          <w:p w:rsidR="008902B1" w:rsidRPr="002E0C7E" w:rsidRDefault="008902B1" w:rsidP="006820B1">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T</w:t>
            </w:r>
          </w:p>
          <w:p w:rsidR="008902B1" w:rsidRPr="002E0C7E" w:rsidRDefault="008902B1" w:rsidP="006820B1">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F</w:t>
            </w:r>
          </w:p>
          <w:p w:rsidR="008902B1" w:rsidRPr="002E0C7E" w:rsidRDefault="008902B1" w:rsidP="006820B1">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S</w:t>
            </w:r>
          </w:p>
          <w:p w:rsidR="008902B1" w:rsidRPr="002E0C7E" w:rsidRDefault="008902B1" w:rsidP="006820B1">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S</w:t>
            </w:r>
          </w:p>
          <w:p w:rsidR="008902B1" w:rsidRPr="002E0C7E" w:rsidRDefault="008902B1" w:rsidP="006820B1">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M</w:t>
            </w:r>
          </w:p>
          <w:p w:rsidR="008902B1" w:rsidRPr="002E0C7E" w:rsidRDefault="008902B1" w:rsidP="006820B1">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T</w:t>
            </w:r>
          </w:p>
          <w:p w:rsidR="008902B1" w:rsidRPr="002E0C7E" w:rsidRDefault="008902B1" w:rsidP="006820B1">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W</w:t>
            </w:r>
          </w:p>
          <w:p w:rsidR="008902B1" w:rsidRPr="002E0C7E" w:rsidRDefault="008902B1" w:rsidP="006820B1">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T</w:t>
            </w:r>
          </w:p>
          <w:p w:rsidR="008902B1" w:rsidRPr="002E0C7E" w:rsidRDefault="008902B1" w:rsidP="006820B1">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F</w:t>
            </w:r>
          </w:p>
          <w:p w:rsidR="008902B1" w:rsidRPr="002E0C7E" w:rsidRDefault="008902B1" w:rsidP="006820B1">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S</w:t>
            </w:r>
          </w:p>
          <w:p w:rsidR="008902B1" w:rsidRPr="002E0C7E" w:rsidRDefault="008902B1" w:rsidP="006820B1">
            <w:pPr>
              <w:widowControl w:val="0"/>
              <w:jc w:val="center"/>
              <w:rPr>
                <w:rFonts w:ascii="Arial" w:hAnsi="Arial"/>
                <w:sz w:val="14"/>
              </w:rPr>
            </w:pPr>
            <w:r w:rsidRPr="002E0C7E">
              <w:rPr>
                <w:rFonts w:ascii="Arial" w:hAnsi="Arial"/>
                <w:sz w:val="14"/>
              </w:rPr>
              <w:t>S</w:t>
            </w:r>
          </w:p>
        </w:tc>
      </w:tr>
      <w:tr w:rsidR="008902B1" w:rsidRPr="002E0C7E" w:rsidTr="006820B1">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b/>
                <w:sz w:val="14"/>
              </w:rPr>
              <w:t>M</w:t>
            </w:r>
          </w:p>
          <w:p w:rsidR="008902B1" w:rsidRPr="002E0C7E" w:rsidRDefault="008902B1" w:rsidP="006820B1">
            <w:pPr>
              <w:widowControl w:val="0"/>
              <w:jc w:val="center"/>
              <w:rPr>
                <w:rFonts w:ascii="Arial" w:hAnsi="Arial"/>
                <w:sz w:val="14"/>
              </w:rPr>
            </w:pP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C411C2"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5</w:t>
            </w:r>
          </w:p>
        </w:tc>
      </w:tr>
      <w:tr w:rsidR="008902B1" w:rsidRPr="002E0C7E" w:rsidTr="006820B1">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0C583B" w:rsidRDefault="008902B1" w:rsidP="006820B1">
            <w:pPr>
              <w:widowControl w:val="0"/>
              <w:jc w:val="center"/>
              <w:rPr>
                <w:rFonts w:ascii="Arial" w:hAnsi="Arial"/>
                <w:b/>
                <w:sz w:val="14"/>
              </w:rPr>
            </w:pPr>
            <w:r>
              <w:rPr>
                <w:rFonts w:ascii="Arial" w:hAnsi="Arial"/>
                <w:b/>
                <w:sz w:val="14"/>
              </w:rPr>
              <w:t>M</w:t>
            </w:r>
          </w:p>
          <w:p w:rsidR="008902B1" w:rsidRPr="002E0C7E" w:rsidRDefault="008902B1" w:rsidP="006820B1">
            <w:pPr>
              <w:widowControl w:val="0"/>
              <w:jc w:val="center"/>
              <w:rPr>
                <w:rFonts w:ascii="Arial" w:hAnsi="Arial"/>
                <w:sz w:val="14"/>
              </w:rPr>
            </w:pPr>
            <w:r>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C583B" w:rsidRDefault="008902B1" w:rsidP="006820B1">
            <w:pPr>
              <w:widowControl w:val="0"/>
              <w:jc w:val="center"/>
              <w:rPr>
                <w:rFonts w:ascii="Arial" w:hAnsi="Arial"/>
                <w:b/>
                <w:sz w:val="14"/>
              </w:rPr>
            </w:pPr>
          </w:p>
          <w:p w:rsidR="008902B1" w:rsidRPr="002E0C7E" w:rsidRDefault="008902B1" w:rsidP="006820B1">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8902B1" w:rsidRPr="002A4724" w:rsidRDefault="008902B1" w:rsidP="006820B1">
            <w:pPr>
              <w:widowControl w:val="0"/>
              <w:jc w:val="center"/>
              <w:rPr>
                <w:rFonts w:ascii="Arial" w:hAnsi="Arial"/>
                <w:b/>
                <w:sz w:val="14"/>
              </w:rPr>
            </w:pPr>
            <w:r w:rsidRPr="002A4724">
              <w:rPr>
                <w:rFonts w:ascii="Arial" w:hAnsi="Arial"/>
                <w:b/>
                <w:sz w:val="14"/>
              </w:rPr>
              <w:t>H</w:t>
            </w:r>
          </w:p>
          <w:p w:rsidR="008902B1" w:rsidRPr="002E0C7E" w:rsidRDefault="008902B1" w:rsidP="006820B1">
            <w:pPr>
              <w:widowControl w:val="0"/>
              <w:jc w:val="center"/>
              <w:rPr>
                <w:rFonts w:ascii="Arial" w:hAnsi="Arial"/>
                <w:sz w:val="14"/>
              </w:rPr>
            </w:pPr>
            <w:r>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12</w:t>
            </w:r>
          </w:p>
        </w:tc>
      </w:tr>
      <w:tr w:rsidR="008902B1" w:rsidRPr="002E0C7E" w:rsidTr="006820B1">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0C583B" w:rsidRDefault="008902B1" w:rsidP="006820B1">
            <w:pPr>
              <w:widowControl w:val="0"/>
              <w:jc w:val="center"/>
              <w:rPr>
                <w:rFonts w:ascii="Arial" w:hAnsi="Arial"/>
                <w:b/>
                <w:sz w:val="14"/>
              </w:rPr>
            </w:pPr>
            <w:r>
              <w:rPr>
                <w:rFonts w:ascii="Arial" w:hAnsi="Arial"/>
                <w:b/>
                <w:sz w:val="14"/>
              </w:rPr>
              <w:t>H</w:t>
            </w:r>
          </w:p>
          <w:p w:rsidR="008902B1" w:rsidRPr="002E0C7E" w:rsidRDefault="008902B1" w:rsidP="006820B1">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C583B"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8902B1" w:rsidRPr="004030BA"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4F066E" w:rsidRDefault="008902B1" w:rsidP="006820B1">
            <w:pPr>
              <w:widowControl w:val="0"/>
              <w:jc w:val="center"/>
              <w:rPr>
                <w:rFonts w:ascii="Arial" w:hAnsi="Arial"/>
                <w:b/>
                <w:sz w:val="14"/>
              </w:rPr>
            </w:pPr>
          </w:p>
          <w:p w:rsidR="008902B1" w:rsidRPr="002E0C7E" w:rsidRDefault="008902B1" w:rsidP="006820B1">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1</w:t>
            </w: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19</w:t>
            </w:r>
          </w:p>
        </w:tc>
      </w:tr>
      <w:tr w:rsidR="008902B1" w:rsidRPr="002E0C7E" w:rsidTr="006820B1">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8902B1" w:rsidRPr="00D23ECF" w:rsidRDefault="008902B1" w:rsidP="006820B1">
            <w:pPr>
              <w:widowControl w:val="0"/>
              <w:jc w:val="center"/>
              <w:rPr>
                <w:rFonts w:ascii="Arial" w:hAnsi="Arial"/>
                <w:b/>
                <w:sz w:val="14"/>
              </w:rPr>
            </w:pPr>
          </w:p>
          <w:p w:rsidR="008902B1" w:rsidRPr="002E0C7E" w:rsidRDefault="008902B1" w:rsidP="006820B1">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8902B1" w:rsidRPr="00D23ECF" w:rsidRDefault="008902B1" w:rsidP="006820B1">
            <w:pPr>
              <w:widowControl w:val="0"/>
              <w:jc w:val="center"/>
              <w:rPr>
                <w:rFonts w:ascii="Arial" w:hAnsi="Arial"/>
                <w:b/>
                <w:sz w:val="14"/>
              </w:rPr>
            </w:pPr>
          </w:p>
          <w:p w:rsidR="008902B1" w:rsidRPr="002E0C7E" w:rsidRDefault="008902B1" w:rsidP="006820B1">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D23ECF" w:rsidRDefault="008902B1" w:rsidP="006820B1">
            <w:pPr>
              <w:widowControl w:val="0"/>
              <w:jc w:val="center"/>
              <w:rPr>
                <w:rFonts w:ascii="Arial" w:hAnsi="Arial"/>
                <w:b/>
                <w:sz w:val="14"/>
              </w:rPr>
            </w:pPr>
            <w:r>
              <w:rPr>
                <w:rFonts w:ascii="Arial" w:hAnsi="Arial"/>
                <w:b/>
                <w:sz w:val="14"/>
              </w:rPr>
              <w:t>H</w:t>
            </w:r>
          </w:p>
          <w:p w:rsidR="008902B1" w:rsidRPr="002E0C7E" w:rsidRDefault="008902B1" w:rsidP="006820B1">
            <w:pPr>
              <w:widowControl w:val="0"/>
              <w:jc w:val="center"/>
              <w:rPr>
                <w:rFonts w:ascii="Arial" w:hAnsi="Arial"/>
                <w:sz w:val="14"/>
              </w:rPr>
            </w:pPr>
            <w:r>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6820B1">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A4724" w:rsidRDefault="008902B1" w:rsidP="006820B1">
            <w:pPr>
              <w:widowControl w:val="0"/>
              <w:jc w:val="center"/>
              <w:rPr>
                <w:rFonts w:ascii="Arial" w:hAnsi="Arial"/>
                <w:b/>
                <w:sz w:val="14"/>
              </w:rPr>
            </w:pPr>
            <w:r w:rsidRPr="002A4724">
              <w:rPr>
                <w:rFonts w:ascii="Arial" w:hAnsi="Arial"/>
                <w:b/>
                <w:sz w:val="14"/>
              </w:rPr>
              <w:t>M</w:t>
            </w:r>
          </w:p>
          <w:p w:rsidR="008902B1" w:rsidRPr="002E0C7E" w:rsidRDefault="008902B1" w:rsidP="006820B1">
            <w:pPr>
              <w:widowControl w:val="0"/>
              <w:jc w:val="center"/>
              <w:rPr>
                <w:rFonts w:ascii="Arial" w:hAnsi="Arial"/>
                <w:sz w:val="14"/>
              </w:rPr>
            </w:pPr>
            <w:r>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158BD" w:rsidRDefault="008902B1" w:rsidP="006820B1">
            <w:pPr>
              <w:widowControl w:val="0"/>
              <w:jc w:val="center"/>
              <w:rPr>
                <w:rFonts w:ascii="Arial" w:hAnsi="Arial"/>
                <w:b/>
                <w:sz w:val="14"/>
              </w:rPr>
            </w:pPr>
            <w:r>
              <w:rPr>
                <w:rFonts w:ascii="Arial" w:hAnsi="Arial"/>
                <w:b/>
                <w:sz w:val="14"/>
              </w:rPr>
              <w:t>H</w:t>
            </w:r>
          </w:p>
          <w:p w:rsidR="008902B1" w:rsidRPr="002E0C7E" w:rsidRDefault="008902B1" w:rsidP="006820B1">
            <w:pPr>
              <w:widowControl w:val="0"/>
              <w:jc w:val="center"/>
              <w:rPr>
                <w:rFonts w:ascii="Arial" w:hAnsi="Arial"/>
                <w:sz w:val="14"/>
              </w:rPr>
            </w:pPr>
            <w:r>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p>
        </w:tc>
      </w:tr>
    </w:tbl>
    <w:p w:rsidR="008902B1" w:rsidRPr="002E0C7E" w:rsidRDefault="008902B1" w:rsidP="008902B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6</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902B1" w:rsidRPr="002E0C7E" w:rsidTr="006820B1">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6820B1">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6820B1">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6820B1">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6820B1">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6820B1">
            <w:pPr>
              <w:widowControl w:val="0"/>
              <w:jc w:val="center"/>
              <w:rPr>
                <w:rFonts w:ascii="Arial" w:hAnsi="Arial"/>
                <w:sz w:val="14"/>
              </w:rPr>
            </w:pPr>
            <w:r w:rsidRPr="002E0C7E">
              <w:rPr>
                <w:rFonts w:ascii="Arial" w:hAnsi="Arial"/>
                <w:b/>
                <w:sz w:val="14"/>
              </w:rPr>
              <w:t>MARCH - MARS</w:t>
            </w:r>
          </w:p>
        </w:tc>
      </w:tr>
      <w:tr w:rsidR="008902B1" w:rsidRPr="002E0C7E" w:rsidTr="006820B1">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S</w:t>
            </w:r>
          </w:p>
          <w:p w:rsidR="008902B1" w:rsidRPr="002E0C7E" w:rsidRDefault="008902B1" w:rsidP="006820B1">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M</w:t>
            </w:r>
          </w:p>
          <w:p w:rsidR="008902B1" w:rsidRPr="002E0C7E" w:rsidRDefault="008902B1" w:rsidP="006820B1">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T</w:t>
            </w:r>
          </w:p>
          <w:p w:rsidR="008902B1" w:rsidRPr="002E0C7E" w:rsidRDefault="008902B1" w:rsidP="006820B1">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W</w:t>
            </w:r>
          </w:p>
          <w:p w:rsidR="008902B1" w:rsidRPr="002E0C7E" w:rsidRDefault="008902B1" w:rsidP="006820B1">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T</w:t>
            </w:r>
          </w:p>
          <w:p w:rsidR="008902B1" w:rsidRPr="002E0C7E" w:rsidRDefault="008902B1" w:rsidP="006820B1">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F</w:t>
            </w:r>
          </w:p>
          <w:p w:rsidR="008902B1" w:rsidRPr="002E0C7E" w:rsidRDefault="008902B1" w:rsidP="006820B1">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S</w:t>
            </w:r>
          </w:p>
          <w:p w:rsidR="008902B1" w:rsidRPr="002E0C7E" w:rsidRDefault="008902B1" w:rsidP="006820B1">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S</w:t>
            </w:r>
          </w:p>
          <w:p w:rsidR="008902B1" w:rsidRPr="002E0C7E" w:rsidRDefault="008902B1" w:rsidP="006820B1">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M</w:t>
            </w:r>
          </w:p>
          <w:p w:rsidR="008902B1" w:rsidRPr="002E0C7E" w:rsidRDefault="008902B1" w:rsidP="006820B1">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T</w:t>
            </w:r>
          </w:p>
          <w:p w:rsidR="008902B1" w:rsidRPr="002E0C7E" w:rsidRDefault="008902B1" w:rsidP="006820B1">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W</w:t>
            </w:r>
          </w:p>
          <w:p w:rsidR="008902B1" w:rsidRPr="002E0C7E" w:rsidRDefault="008902B1" w:rsidP="006820B1">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T</w:t>
            </w:r>
          </w:p>
          <w:p w:rsidR="008902B1" w:rsidRPr="002E0C7E" w:rsidRDefault="008902B1" w:rsidP="006820B1">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F</w:t>
            </w:r>
          </w:p>
          <w:p w:rsidR="008902B1" w:rsidRPr="002E0C7E" w:rsidRDefault="008902B1" w:rsidP="006820B1">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S</w:t>
            </w:r>
          </w:p>
          <w:p w:rsidR="008902B1" w:rsidRPr="002E0C7E" w:rsidRDefault="008902B1" w:rsidP="006820B1">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S</w:t>
            </w:r>
          </w:p>
          <w:p w:rsidR="008902B1" w:rsidRPr="002E0C7E" w:rsidRDefault="008902B1" w:rsidP="006820B1">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M</w:t>
            </w:r>
          </w:p>
          <w:p w:rsidR="008902B1" w:rsidRPr="002E0C7E" w:rsidRDefault="008902B1" w:rsidP="006820B1">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T</w:t>
            </w:r>
          </w:p>
          <w:p w:rsidR="008902B1" w:rsidRPr="002E0C7E" w:rsidRDefault="008902B1" w:rsidP="006820B1">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W</w:t>
            </w:r>
          </w:p>
          <w:p w:rsidR="008902B1" w:rsidRPr="002E0C7E" w:rsidRDefault="008902B1" w:rsidP="006820B1">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T</w:t>
            </w:r>
          </w:p>
          <w:p w:rsidR="008902B1" w:rsidRPr="002E0C7E" w:rsidRDefault="008902B1" w:rsidP="006820B1">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F</w:t>
            </w:r>
          </w:p>
          <w:p w:rsidR="008902B1" w:rsidRPr="002E0C7E" w:rsidRDefault="008902B1" w:rsidP="006820B1">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S</w:t>
            </w:r>
          </w:p>
          <w:p w:rsidR="008902B1" w:rsidRPr="002E0C7E" w:rsidRDefault="008902B1" w:rsidP="006820B1">
            <w:pPr>
              <w:widowControl w:val="0"/>
              <w:jc w:val="center"/>
              <w:rPr>
                <w:rFonts w:ascii="Arial" w:hAnsi="Arial"/>
                <w:sz w:val="14"/>
              </w:rPr>
            </w:pPr>
            <w:r w:rsidRPr="002E0C7E">
              <w:rPr>
                <w:rFonts w:ascii="Arial" w:hAnsi="Arial"/>
                <w:sz w:val="14"/>
              </w:rPr>
              <w:t>S</w:t>
            </w:r>
          </w:p>
        </w:tc>
      </w:tr>
      <w:tr w:rsidR="008902B1" w:rsidRPr="002E0C7E" w:rsidTr="006820B1">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17A69" w:rsidRDefault="008902B1" w:rsidP="006820B1">
            <w:pPr>
              <w:widowControl w:val="0"/>
              <w:jc w:val="center"/>
              <w:rPr>
                <w:rFonts w:ascii="Arial" w:hAnsi="Arial"/>
                <w:b/>
                <w:sz w:val="14"/>
              </w:rPr>
            </w:pPr>
          </w:p>
          <w:p w:rsidR="008902B1" w:rsidRPr="002E0C7E" w:rsidRDefault="008902B1" w:rsidP="006820B1">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8902B1" w:rsidRPr="00D23ECF" w:rsidRDefault="008902B1" w:rsidP="006820B1">
            <w:pPr>
              <w:widowControl w:val="0"/>
              <w:jc w:val="center"/>
              <w:rPr>
                <w:rFonts w:ascii="Arial" w:hAnsi="Arial"/>
                <w:b/>
                <w:sz w:val="14"/>
              </w:rPr>
            </w:pPr>
          </w:p>
          <w:p w:rsidR="008902B1" w:rsidRPr="002E0C7E" w:rsidRDefault="008902B1" w:rsidP="006820B1">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8902B1" w:rsidRPr="004F066E" w:rsidRDefault="008902B1" w:rsidP="006820B1">
            <w:pPr>
              <w:widowControl w:val="0"/>
              <w:jc w:val="center"/>
              <w:rPr>
                <w:rFonts w:ascii="Arial" w:hAnsi="Arial"/>
                <w:b/>
                <w:sz w:val="14"/>
              </w:rPr>
            </w:pPr>
          </w:p>
          <w:p w:rsidR="008902B1" w:rsidRPr="002E0C7E" w:rsidRDefault="008902B1" w:rsidP="006820B1">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CD2D42" w:rsidRDefault="008902B1" w:rsidP="006820B1">
            <w:pPr>
              <w:widowControl w:val="0"/>
              <w:jc w:val="center"/>
              <w:rPr>
                <w:rFonts w:ascii="Arial" w:hAnsi="Arial"/>
                <w:b/>
                <w:sz w:val="14"/>
              </w:rPr>
            </w:pPr>
            <w:r w:rsidRPr="00CD2D42">
              <w:rPr>
                <w:rFonts w:ascii="Arial" w:hAnsi="Arial"/>
                <w:b/>
                <w:sz w:val="14"/>
              </w:rPr>
              <w:t>H</w:t>
            </w:r>
          </w:p>
          <w:p w:rsidR="008902B1" w:rsidRPr="002E0C7E" w:rsidRDefault="008902B1" w:rsidP="006820B1">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5</w:t>
            </w:r>
          </w:p>
        </w:tc>
      </w:tr>
      <w:tr w:rsidR="008902B1" w:rsidRPr="002E0C7E" w:rsidTr="006820B1">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12</w:t>
            </w:r>
          </w:p>
        </w:tc>
      </w:tr>
      <w:tr w:rsidR="008902B1" w:rsidRPr="002E0C7E" w:rsidTr="006820B1">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7255AD" w:rsidRDefault="008902B1" w:rsidP="006820B1">
            <w:pPr>
              <w:widowControl w:val="0"/>
              <w:jc w:val="center"/>
              <w:rPr>
                <w:rFonts w:ascii="Arial" w:hAnsi="Arial"/>
                <w:b/>
                <w:sz w:val="14"/>
              </w:rPr>
            </w:pPr>
            <w:r>
              <w:rPr>
                <w:rFonts w:ascii="Arial" w:hAnsi="Arial"/>
                <w:b/>
                <w:sz w:val="14"/>
              </w:rPr>
              <w:t>M</w:t>
            </w:r>
          </w:p>
          <w:p w:rsidR="008902B1" w:rsidRPr="002E0C7E" w:rsidRDefault="008902B1" w:rsidP="006820B1">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0E2B85" w:rsidRDefault="008902B1" w:rsidP="006820B1">
            <w:pPr>
              <w:widowControl w:val="0"/>
              <w:jc w:val="center"/>
              <w:rPr>
                <w:rFonts w:ascii="Arial" w:hAnsi="Arial"/>
                <w:b/>
                <w:sz w:val="14"/>
              </w:rPr>
            </w:pPr>
            <w:r>
              <w:rPr>
                <w:rFonts w:ascii="Arial" w:hAnsi="Arial"/>
                <w:b/>
                <w:sz w:val="14"/>
              </w:rPr>
              <w:t>M</w:t>
            </w:r>
          </w:p>
          <w:p w:rsidR="008902B1" w:rsidRPr="002E0C7E" w:rsidRDefault="008902B1" w:rsidP="006820B1">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7D4CDA"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1</w:t>
            </w:r>
            <w:r>
              <w:rPr>
                <w:rFonts w:ascii="Arial" w:hAnsi="Arial"/>
                <w:sz w:val="14"/>
              </w:rPr>
              <w:t>9</w:t>
            </w:r>
          </w:p>
        </w:tc>
      </w:tr>
      <w:tr w:rsidR="008902B1" w:rsidRPr="002E0C7E" w:rsidTr="006820B1">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D34238" w:rsidRDefault="008902B1" w:rsidP="006820B1">
            <w:pPr>
              <w:widowControl w:val="0"/>
              <w:jc w:val="center"/>
              <w:rPr>
                <w:rFonts w:ascii="Arial" w:hAnsi="Arial"/>
                <w:b/>
                <w:sz w:val="14"/>
              </w:rPr>
            </w:pPr>
            <w:r>
              <w:rPr>
                <w:rFonts w:ascii="Arial" w:hAnsi="Arial"/>
                <w:b/>
                <w:sz w:val="14"/>
              </w:rPr>
              <w:t>M</w:t>
            </w:r>
          </w:p>
          <w:p w:rsidR="008902B1" w:rsidRPr="002E0C7E" w:rsidRDefault="008902B1" w:rsidP="006820B1">
            <w:pPr>
              <w:widowControl w:val="0"/>
              <w:jc w:val="center"/>
              <w:rPr>
                <w:rFonts w:ascii="Arial" w:hAnsi="Arial"/>
                <w:sz w:val="14"/>
              </w:rPr>
            </w:pPr>
            <w:r>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8670D0" w:rsidRDefault="008902B1" w:rsidP="006820B1">
            <w:pPr>
              <w:widowControl w:val="0"/>
              <w:jc w:val="center"/>
              <w:rPr>
                <w:rFonts w:ascii="Arial" w:hAnsi="Arial"/>
                <w:b/>
                <w:sz w:val="14"/>
              </w:rPr>
            </w:pPr>
            <w:r>
              <w:rPr>
                <w:rFonts w:ascii="Arial" w:hAnsi="Arial"/>
                <w:b/>
                <w:sz w:val="14"/>
              </w:rPr>
              <w:t>H</w:t>
            </w:r>
          </w:p>
          <w:p w:rsidR="008902B1" w:rsidRPr="002E0C7E" w:rsidRDefault="008902B1" w:rsidP="006820B1">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6820B1">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6820B1">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902B1" w:rsidRPr="002E0C7E" w:rsidRDefault="008902B1" w:rsidP="006820B1">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7D4CDA" w:rsidRDefault="008902B1" w:rsidP="006820B1">
            <w:pPr>
              <w:widowControl w:val="0"/>
              <w:jc w:val="center"/>
              <w:rPr>
                <w:rFonts w:ascii="Arial" w:hAnsi="Arial"/>
                <w:b/>
                <w:sz w:val="14"/>
              </w:rPr>
            </w:pPr>
            <w:r>
              <w:rPr>
                <w:rFonts w:ascii="Arial" w:hAnsi="Arial"/>
                <w:b/>
                <w:sz w:val="14"/>
              </w:rPr>
              <w:t>H</w:t>
            </w:r>
          </w:p>
          <w:p w:rsidR="008902B1" w:rsidRPr="002E0C7E" w:rsidRDefault="008902B1" w:rsidP="006820B1">
            <w:pPr>
              <w:widowControl w:val="0"/>
              <w:jc w:val="center"/>
              <w:rPr>
                <w:rFonts w:ascii="Arial" w:hAnsi="Arial"/>
                <w:sz w:val="14"/>
              </w:rPr>
            </w:pPr>
            <w:r>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261B35" w:rsidRDefault="008902B1" w:rsidP="006820B1">
            <w:pPr>
              <w:widowControl w:val="0"/>
              <w:jc w:val="center"/>
              <w:rPr>
                <w:rFonts w:ascii="Arial" w:hAnsi="Arial"/>
                <w:b/>
                <w:sz w:val="14"/>
              </w:rPr>
            </w:pPr>
          </w:p>
          <w:p w:rsidR="008902B1" w:rsidRPr="002E0C7E" w:rsidRDefault="008902B1" w:rsidP="006820B1">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tc>
      </w:tr>
    </w:tbl>
    <w:p w:rsidR="008902B1" w:rsidRPr="002E0C7E" w:rsidRDefault="008902B1" w:rsidP="008902B1">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902B1" w:rsidRPr="002E0C7E" w:rsidTr="006820B1">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6820B1">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6820B1">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6820B1">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6820B1">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6820B1">
            <w:pPr>
              <w:widowControl w:val="0"/>
              <w:jc w:val="center"/>
              <w:rPr>
                <w:rFonts w:ascii="Arial" w:hAnsi="Arial"/>
                <w:sz w:val="14"/>
              </w:rPr>
            </w:pPr>
            <w:r w:rsidRPr="002E0C7E">
              <w:rPr>
                <w:rFonts w:ascii="Arial" w:hAnsi="Arial"/>
                <w:b/>
                <w:sz w:val="14"/>
              </w:rPr>
              <w:t>JUNE - JUIN</w:t>
            </w:r>
          </w:p>
        </w:tc>
      </w:tr>
      <w:tr w:rsidR="008902B1" w:rsidRPr="002E0C7E" w:rsidTr="006820B1">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S</w:t>
            </w:r>
          </w:p>
          <w:p w:rsidR="008902B1" w:rsidRPr="002E0C7E" w:rsidRDefault="008902B1" w:rsidP="006820B1">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M</w:t>
            </w:r>
          </w:p>
          <w:p w:rsidR="008902B1" w:rsidRPr="002E0C7E" w:rsidRDefault="008902B1" w:rsidP="006820B1">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T</w:t>
            </w:r>
          </w:p>
          <w:p w:rsidR="008902B1" w:rsidRPr="002E0C7E" w:rsidRDefault="008902B1" w:rsidP="006820B1">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W</w:t>
            </w:r>
          </w:p>
          <w:p w:rsidR="008902B1" w:rsidRPr="002E0C7E" w:rsidRDefault="008902B1" w:rsidP="006820B1">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T</w:t>
            </w:r>
          </w:p>
          <w:p w:rsidR="008902B1" w:rsidRPr="002E0C7E" w:rsidRDefault="008902B1" w:rsidP="006820B1">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F</w:t>
            </w:r>
          </w:p>
          <w:p w:rsidR="008902B1" w:rsidRPr="002E0C7E" w:rsidRDefault="008902B1" w:rsidP="006820B1">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S</w:t>
            </w:r>
          </w:p>
          <w:p w:rsidR="008902B1" w:rsidRPr="002E0C7E" w:rsidRDefault="008902B1" w:rsidP="006820B1">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S</w:t>
            </w:r>
          </w:p>
          <w:p w:rsidR="008902B1" w:rsidRPr="002E0C7E" w:rsidRDefault="008902B1" w:rsidP="006820B1">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M</w:t>
            </w:r>
          </w:p>
          <w:p w:rsidR="008902B1" w:rsidRPr="002E0C7E" w:rsidRDefault="008902B1" w:rsidP="006820B1">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T</w:t>
            </w:r>
          </w:p>
          <w:p w:rsidR="008902B1" w:rsidRPr="002E0C7E" w:rsidRDefault="008902B1" w:rsidP="006820B1">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W</w:t>
            </w:r>
          </w:p>
          <w:p w:rsidR="008902B1" w:rsidRPr="002E0C7E" w:rsidRDefault="008902B1" w:rsidP="006820B1">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T</w:t>
            </w:r>
          </w:p>
          <w:p w:rsidR="008902B1" w:rsidRPr="002E0C7E" w:rsidRDefault="008902B1" w:rsidP="006820B1">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F</w:t>
            </w:r>
          </w:p>
          <w:p w:rsidR="008902B1" w:rsidRPr="002E0C7E" w:rsidRDefault="008902B1" w:rsidP="006820B1">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S</w:t>
            </w:r>
          </w:p>
          <w:p w:rsidR="008902B1" w:rsidRPr="002E0C7E" w:rsidRDefault="008902B1" w:rsidP="006820B1">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S</w:t>
            </w:r>
          </w:p>
          <w:p w:rsidR="008902B1" w:rsidRPr="002E0C7E" w:rsidRDefault="008902B1" w:rsidP="006820B1">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M</w:t>
            </w:r>
          </w:p>
          <w:p w:rsidR="008902B1" w:rsidRPr="002E0C7E" w:rsidRDefault="008902B1" w:rsidP="006820B1">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T</w:t>
            </w:r>
          </w:p>
          <w:p w:rsidR="008902B1" w:rsidRPr="002E0C7E" w:rsidRDefault="008902B1" w:rsidP="006820B1">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W</w:t>
            </w:r>
          </w:p>
          <w:p w:rsidR="008902B1" w:rsidRPr="002E0C7E" w:rsidRDefault="008902B1" w:rsidP="006820B1">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T</w:t>
            </w:r>
          </w:p>
          <w:p w:rsidR="008902B1" w:rsidRPr="002E0C7E" w:rsidRDefault="008902B1" w:rsidP="006820B1">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sidRPr="002E0C7E">
              <w:rPr>
                <w:rFonts w:ascii="Arial" w:hAnsi="Arial"/>
                <w:sz w:val="14"/>
              </w:rPr>
              <w:t>F</w:t>
            </w:r>
          </w:p>
          <w:p w:rsidR="008902B1" w:rsidRPr="002E0C7E" w:rsidRDefault="008902B1" w:rsidP="006820B1">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r>
              <w:rPr>
                <w:rFonts w:ascii="Arial" w:hAnsi="Arial"/>
                <w:sz w:val="14"/>
              </w:rPr>
              <w:t>S</w:t>
            </w:r>
          </w:p>
          <w:p w:rsidR="008902B1" w:rsidRPr="002E0C7E" w:rsidRDefault="008902B1" w:rsidP="006820B1">
            <w:pPr>
              <w:widowControl w:val="0"/>
              <w:jc w:val="center"/>
              <w:rPr>
                <w:rFonts w:ascii="Arial" w:hAnsi="Arial"/>
                <w:sz w:val="14"/>
              </w:rPr>
            </w:pPr>
            <w:r>
              <w:rPr>
                <w:rFonts w:ascii="Arial" w:hAnsi="Arial"/>
                <w:sz w:val="14"/>
              </w:rPr>
              <w:t>S</w:t>
            </w:r>
          </w:p>
        </w:tc>
      </w:tr>
      <w:tr w:rsidR="008902B1" w:rsidRPr="002E0C7E" w:rsidTr="006820B1">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C4B65"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b/>
                <w:sz w:val="14"/>
              </w:rPr>
            </w:pPr>
          </w:p>
          <w:p w:rsidR="008902B1" w:rsidRPr="002E0C7E" w:rsidRDefault="008902B1" w:rsidP="006820B1">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4</w:t>
            </w:r>
          </w:p>
        </w:tc>
      </w:tr>
      <w:tr w:rsidR="008902B1" w:rsidRPr="002E0C7E" w:rsidTr="006820B1">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C4B65"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931A11"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11</w:t>
            </w:r>
          </w:p>
        </w:tc>
      </w:tr>
      <w:tr w:rsidR="008902B1" w:rsidRPr="002E0C7E" w:rsidTr="006820B1">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BC4B65"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852172" w:rsidRDefault="008902B1" w:rsidP="006820B1">
            <w:pPr>
              <w:widowControl w:val="0"/>
              <w:jc w:val="center"/>
              <w:rPr>
                <w:rFonts w:ascii="Arial" w:hAnsi="Arial"/>
                <w:b/>
                <w:sz w:val="14"/>
              </w:rPr>
            </w:pPr>
          </w:p>
          <w:p w:rsidR="008902B1" w:rsidRPr="002E0C7E" w:rsidRDefault="008902B1" w:rsidP="006820B1">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2453E3" w:rsidRDefault="008902B1" w:rsidP="006820B1">
            <w:pPr>
              <w:widowControl w:val="0"/>
              <w:jc w:val="center"/>
              <w:rPr>
                <w:rFonts w:ascii="Arial" w:hAnsi="Arial"/>
                <w:b/>
                <w:sz w:val="14"/>
              </w:rPr>
            </w:pPr>
            <w:r w:rsidRPr="002453E3">
              <w:rPr>
                <w:rFonts w:ascii="Arial" w:hAnsi="Arial"/>
                <w:b/>
                <w:sz w:val="14"/>
              </w:rPr>
              <w:t>M</w:t>
            </w:r>
          </w:p>
          <w:p w:rsidR="008902B1" w:rsidRPr="002E0C7E" w:rsidRDefault="008902B1" w:rsidP="006820B1">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w:t>
            </w:r>
            <w:r w:rsidRPr="002E0C7E">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371D2F" w:rsidRDefault="008902B1" w:rsidP="006820B1">
            <w:pPr>
              <w:widowControl w:val="0"/>
              <w:jc w:val="center"/>
              <w:rPr>
                <w:rFonts w:ascii="Arial" w:hAnsi="Arial"/>
                <w:b/>
                <w:sz w:val="14"/>
              </w:rPr>
            </w:pPr>
            <w:r>
              <w:rPr>
                <w:rFonts w:ascii="Arial" w:hAnsi="Arial"/>
                <w:b/>
                <w:sz w:val="14"/>
              </w:rPr>
              <w:t>M</w:t>
            </w:r>
          </w:p>
          <w:p w:rsidR="008902B1" w:rsidRPr="002E0C7E" w:rsidRDefault="008902B1" w:rsidP="006820B1">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18</w:t>
            </w:r>
          </w:p>
        </w:tc>
      </w:tr>
      <w:tr w:rsidR="008902B1" w:rsidRPr="002E0C7E" w:rsidTr="006820B1">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8902B1" w:rsidRPr="0049680E" w:rsidRDefault="008902B1" w:rsidP="006820B1">
            <w:pPr>
              <w:widowControl w:val="0"/>
              <w:jc w:val="center"/>
              <w:rPr>
                <w:rFonts w:ascii="Arial" w:hAnsi="Arial"/>
                <w:b/>
                <w:sz w:val="14"/>
              </w:rPr>
            </w:pPr>
            <w:r w:rsidRPr="0049680E">
              <w:rPr>
                <w:rFonts w:ascii="Arial" w:hAnsi="Arial"/>
                <w:b/>
                <w:sz w:val="14"/>
              </w:rPr>
              <w:t>M</w:t>
            </w:r>
          </w:p>
          <w:p w:rsidR="008902B1" w:rsidRPr="002E0C7E" w:rsidRDefault="008902B1" w:rsidP="006820B1">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2453E3" w:rsidRDefault="008902B1" w:rsidP="006820B1">
            <w:pPr>
              <w:widowControl w:val="0"/>
              <w:jc w:val="center"/>
              <w:rPr>
                <w:rFonts w:ascii="Arial" w:hAnsi="Arial"/>
                <w:b/>
                <w:sz w:val="14"/>
              </w:rPr>
            </w:pPr>
            <w:r>
              <w:rPr>
                <w:rFonts w:ascii="Arial" w:hAnsi="Arial"/>
                <w:b/>
                <w:sz w:val="14"/>
              </w:rPr>
              <w:t>H</w:t>
            </w:r>
          </w:p>
          <w:p w:rsidR="008902B1" w:rsidRPr="002E0C7E" w:rsidRDefault="008902B1" w:rsidP="006820B1">
            <w:pPr>
              <w:widowControl w:val="0"/>
              <w:jc w:val="center"/>
              <w:rPr>
                <w:rFonts w:ascii="Arial" w:hAnsi="Arial"/>
                <w:sz w:val="14"/>
              </w:rPr>
            </w:pPr>
            <w:r>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sidRPr="002E0C7E">
              <w:rPr>
                <w:rFonts w:ascii="Arial" w:hAnsi="Arial"/>
                <w:sz w:val="14"/>
              </w:rPr>
              <w:t>2</w:t>
            </w:r>
            <w:r>
              <w:rPr>
                <w:rFonts w:ascii="Arial" w:hAnsi="Arial"/>
                <w:sz w:val="14"/>
              </w:rPr>
              <w:t>5</w:t>
            </w:r>
          </w:p>
        </w:tc>
      </w:tr>
      <w:tr w:rsidR="008902B1" w:rsidRPr="002E0C7E" w:rsidTr="006820B1">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6820B1">
            <w:pPr>
              <w:widowControl w:val="0"/>
              <w:jc w:val="center"/>
              <w:rPr>
                <w:rFonts w:ascii="Arial" w:hAnsi="Arial"/>
                <w:sz w:val="14"/>
              </w:rPr>
            </w:pPr>
          </w:p>
          <w:p w:rsidR="008902B1" w:rsidRPr="002E0C7E" w:rsidRDefault="008902B1" w:rsidP="006820B1">
            <w:pPr>
              <w:widowControl w:val="0"/>
              <w:jc w:val="center"/>
              <w:rPr>
                <w:rFonts w:ascii="Arial" w:hAnsi="Arial"/>
                <w:sz w:val="14"/>
              </w:rPr>
            </w:pPr>
          </w:p>
        </w:tc>
      </w:tr>
    </w:tbl>
    <w:p w:rsidR="008902B1" w:rsidRPr="002E0C7E" w:rsidRDefault="008902B1" w:rsidP="008902B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902B1" w:rsidRPr="002E0C7E" w:rsidTr="006820B1">
        <w:trPr>
          <w:cantSplit/>
        </w:trPr>
        <w:tc>
          <w:tcPr>
            <w:tcW w:w="1710" w:type="dxa"/>
            <w:tcBorders>
              <w:top w:val="nil"/>
              <w:left w:val="nil"/>
              <w:bottom w:val="nil"/>
              <w:right w:val="nil"/>
            </w:tcBorders>
            <w:tcMar>
              <w:top w:w="43" w:type="dxa"/>
              <w:left w:w="120" w:type="dxa"/>
              <w:bottom w:w="29" w:type="dxa"/>
              <w:right w:w="120" w:type="dxa"/>
            </w:tcMar>
          </w:tcPr>
          <w:p w:rsidR="008902B1" w:rsidRPr="002E0C7E" w:rsidRDefault="008902B1" w:rsidP="006820B1">
            <w:pPr>
              <w:widowControl w:val="0"/>
              <w:rPr>
                <w:rFonts w:ascii="Arial" w:hAnsi="Arial"/>
                <w:sz w:val="16"/>
              </w:rPr>
            </w:pPr>
            <w:r w:rsidRPr="002E0C7E">
              <w:rPr>
                <w:rFonts w:ascii="Arial" w:hAnsi="Arial"/>
                <w:sz w:val="16"/>
              </w:rPr>
              <w:t>Sittings of the court:</w:t>
            </w:r>
          </w:p>
          <w:p w:rsidR="008902B1" w:rsidRPr="002E0C7E" w:rsidRDefault="008902B1" w:rsidP="006820B1">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902B1" w:rsidRPr="002E0C7E" w:rsidRDefault="008902B1" w:rsidP="006820B1">
            <w:pPr>
              <w:widowControl w:val="0"/>
              <w:rPr>
                <w:rFonts w:ascii="Arial" w:hAnsi="Arial"/>
                <w:sz w:val="16"/>
              </w:rPr>
            </w:pPr>
          </w:p>
          <w:p w:rsidR="008902B1" w:rsidRPr="002E0C7E" w:rsidRDefault="008902B1" w:rsidP="006820B1">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902B1" w:rsidRPr="00B058C3" w:rsidRDefault="008902B1" w:rsidP="006820B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902B1" w:rsidRPr="00B058C3" w:rsidRDefault="008902B1" w:rsidP="006820B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w:t>
            </w:r>
            <w:r>
              <w:rPr>
                <w:rFonts w:ascii="Arial" w:hAnsi="Arial"/>
                <w:b/>
                <w:sz w:val="16"/>
                <w:lang w:val="fr-CA"/>
              </w:rPr>
              <w:t>5</w:t>
            </w:r>
            <w:r w:rsidRPr="00B058C3">
              <w:rPr>
                <w:rFonts w:ascii="Arial" w:hAnsi="Arial"/>
                <w:b/>
                <w:sz w:val="16"/>
                <w:lang w:val="fr-CA"/>
              </w:rPr>
              <w:t xml:space="preserve">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902B1" w:rsidRPr="00B058C3" w:rsidRDefault="008902B1" w:rsidP="006820B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902B1" w:rsidRPr="002E0C7E" w:rsidRDefault="008902B1" w:rsidP="006820B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902B1" w:rsidRPr="002E0C7E" w:rsidRDefault="008902B1" w:rsidP="006820B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6820B1">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6820B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902B1" w:rsidRPr="002E0C7E" w:rsidRDefault="008902B1" w:rsidP="006820B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902B1" w:rsidRPr="002E0C7E" w:rsidRDefault="008902B1" w:rsidP="006820B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6820B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6820B1">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6820B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902B1" w:rsidRPr="002E0C7E" w:rsidRDefault="008902B1" w:rsidP="006820B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902B1" w:rsidRPr="002E0C7E" w:rsidRDefault="008902B1" w:rsidP="006820B1">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6820B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902B1" w:rsidRPr="002E0C7E" w:rsidRDefault="008902B1" w:rsidP="008902B1">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64"/>
      <w:footerReference w:type="default" r:id="rId65"/>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768" w:rsidRDefault="00852768" w:rsidP="00A87207">
      <w:r>
        <w:separator/>
      </w:r>
    </w:p>
  </w:endnote>
  <w:endnote w:type="continuationSeparator" w:id="0">
    <w:p w:rsidR="00852768" w:rsidRDefault="00852768"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768" w:rsidRDefault="00D75D0F" w:rsidP="00A87207">
    <w:pPr>
      <w:pStyle w:val="Footer"/>
    </w:pPr>
    <w:r>
      <w:pict>
        <v:rect id="_x0000_i1036" style="width:480.95pt;height:1pt" o:hralign="center" o:hrstd="t" o:hrnoshade="t" o:hr="t" fillcolor="black [3213]" stroked="f"/>
      </w:pict>
    </w:r>
  </w:p>
  <w:p w:rsidR="00852768" w:rsidRPr="00B7374B" w:rsidRDefault="0085276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D75D0F">
      <w:rPr>
        <w:noProof/>
        <w:szCs w:val="24"/>
      </w:rPr>
      <w:t>616</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768" w:rsidRDefault="00D75D0F" w:rsidP="00EB2B90">
    <w:pPr>
      <w:tabs>
        <w:tab w:val="center" w:pos="4680"/>
      </w:tabs>
    </w:pPr>
    <w:r>
      <w:pict>
        <v:rect id="_x0000_i1056" style="width:480.95pt;height:1pt" o:hralign="center" o:hrstd="t" o:hrnoshade="t" o:hr="t" fillcolor="black [3213]" stroked="f"/>
      </w:pict>
    </w:r>
  </w:p>
  <w:p w:rsidR="00852768" w:rsidRPr="0031432F" w:rsidRDefault="00852768" w:rsidP="00EB2B90">
    <w:pPr>
      <w:tabs>
        <w:tab w:val="center" w:pos="4680"/>
      </w:tabs>
    </w:pPr>
    <w:r>
      <w:tab/>
      <w:t xml:space="preserve">- </w:t>
    </w:r>
    <w:r>
      <w:fldChar w:fldCharType="begin"/>
    </w:r>
    <w:r>
      <w:instrText xml:space="preserve"> PAGE   \* MERGEFORMAT </w:instrText>
    </w:r>
    <w:r>
      <w:fldChar w:fldCharType="separate"/>
    </w:r>
    <w:r w:rsidR="00D75D0F">
      <w:rPr>
        <w:noProof/>
      </w:rPr>
      <w:t>626</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768" w:rsidRDefault="00852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52768" w:rsidRDefault="00852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52768" w:rsidRDefault="00852768">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768" w:rsidRDefault="00D75D0F" w:rsidP="00732DB7">
    <w:r>
      <w:pict>
        <v:rect id="_x0000_i1063" style="width:480.95pt;height:1pt" o:hralign="center" o:hrstd="t" o:hrnoshade="t" o:hr="t" fillcolor="black" stroked="f"/>
      </w:pict>
    </w:r>
  </w:p>
  <w:p w:rsidR="00852768" w:rsidRDefault="00852768">
    <w:pPr>
      <w:tabs>
        <w:tab w:val="center" w:pos="4740"/>
      </w:tabs>
      <w:spacing w:line="0" w:lineRule="atLeast"/>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768" w:rsidRDefault="00D75D0F">
    <w:pPr>
      <w:pStyle w:val="Footer"/>
    </w:pPr>
    <w:r>
      <w:pict>
        <v:rect id="_x0000_i1064" style="width:480.95pt;height:1pt" o:hralign="center" o:hrstd="t" o:hrnoshade="t" o:hr="t" fillcolor="black" stroked="f"/>
      </w:pict>
    </w:r>
  </w:p>
  <w:p w:rsidR="00852768" w:rsidRPr="00283C52" w:rsidRDefault="00852768">
    <w:pPr>
      <w:pStyle w:val="Footer"/>
    </w:pPr>
    <w:r>
      <w:tab/>
    </w:r>
    <w:r w:rsidRPr="00283C52">
      <w:t xml:space="preserve">- </w:t>
    </w:r>
    <w:r w:rsidRPr="00283C52">
      <w:pgNum/>
    </w:r>
    <w:r w:rsidRPr="00283C52">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768" w:rsidRDefault="00852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52768" w:rsidRDefault="00852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52768" w:rsidRDefault="00852768">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768" w:rsidRDefault="00D75D0F" w:rsidP="00732DB7">
    <w:r>
      <w:pict>
        <v:rect id="_x0000_i1066" style="width:480.95pt;height:1pt" o:hralign="center" o:hrstd="t" o:hrnoshade="t" o:hr="t" fillcolor="black" stroked="f"/>
      </w:pict>
    </w:r>
  </w:p>
  <w:p w:rsidR="00852768" w:rsidRDefault="00852768">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768" w:rsidRDefault="00D75D0F">
    <w:pPr>
      <w:pStyle w:val="Footer"/>
    </w:pPr>
    <w:r>
      <w:pict>
        <v:rect id="_x0000_i1067" style="width:480.95pt;height:1pt" o:hralign="center" o:hrstd="t" o:hrnoshade="t" o:hr="t" fillcolor="black [3213]" stroked="f"/>
      </w:pict>
    </w:r>
  </w:p>
  <w:p w:rsidR="00852768" w:rsidRPr="003C2C0F" w:rsidRDefault="00852768" w:rsidP="00697C62">
    <w:pPr>
      <w:tabs>
        <w:tab w:val="center" w:pos="4680"/>
      </w:tabs>
    </w:pPr>
    <w:r>
      <w:tab/>
      <w:t xml:space="preserve">- </w:t>
    </w:r>
    <w:r>
      <w:fldChar w:fldCharType="begin"/>
    </w:r>
    <w:r>
      <w:instrText xml:space="preserve"> PAGE   \* MERGEFORMAT </w:instrText>
    </w:r>
    <w:r>
      <w:fldChar w:fldCharType="separate"/>
    </w:r>
    <w:r w:rsidR="00D75D0F">
      <w:rPr>
        <w:noProof/>
      </w:rPr>
      <w:t>636</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768" w:rsidRDefault="00852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52768" w:rsidRDefault="00852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52768" w:rsidRDefault="00852768">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768" w:rsidRDefault="00852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52768" w:rsidRDefault="00D75D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0" style="width:480.95pt;height:1pt" o:hralign="center" o:hrstd="t" o:hrnoshade="t" o:hr="t" fillcolor="black [3213]" stroked="f"/>
      </w:pict>
    </w:r>
  </w:p>
  <w:p w:rsidR="00852768" w:rsidRDefault="00852768"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D75D0F">
      <w:rPr>
        <w:noProof/>
        <w:szCs w:val="24"/>
      </w:rPr>
      <w:t>644</w:t>
    </w:r>
    <w:r w:rsidRPr="001775C1">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768" w:rsidRDefault="00D75D0F" w:rsidP="00782AE4">
    <w:pPr>
      <w:tabs>
        <w:tab w:val="center" w:pos="4680"/>
      </w:tabs>
    </w:pPr>
    <w:r>
      <w:pict>
        <v:rect id="_x0000_i1071" style="width:480.95pt;height:1pt" o:hralign="center" o:hrstd="t" o:hrnoshade="t" o:hr="t" fillcolor="black [3213]" stroked="f"/>
      </w:pict>
    </w:r>
  </w:p>
  <w:p w:rsidR="00852768" w:rsidRDefault="00852768"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D75D0F">
      <w:rPr>
        <w:noProof/>
        <w:szCs w:val="24"/>
      </w:rPr>
      <w:t>637</w:t>
    </w:r>
    <w:r w:rsidRPr="001775C1">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768" w:rsidRDefault="00D75D0F" w:rsidP="00755F22">
    <w:pPr>
      <w:tabs>
        <w:tab w:val="left" w:pos="-1440"/>
        <w:tab w:val="left" w:pos="-720"/>
      </w:tabs>
    </w:pPr>
    <w:r>
      <w:pict>
        <v:rect id="_x0000_i1037" style="width:480.95pt;height:1pt" o:hralign="center" o:hrstd="t" o:hrnoshade="t" o:hr="t" fillcolor="black [3213]" stroked="f"/>
      </w:pict>
    </w:r>
  </w:p>
  <w:p w:rsidR="00852768" w:rsidRPr="00954D22" w:rsidRDefault="00852768"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D75D0F">
      <w:rPr>
        <w:noProof/>
        <w:szCs w:val="24"/>
      </w:rPr>
      <w:t>615</w:t>
    </w:r>
    <w:r>
      <w:rPr>
        <w:szCs w:val="24"/>
      </w:rPr>
      <w:fldChar w:fldCharType="end"/>
    </w:r>
    <w:r w:rsidRPr="00954D22">
      <w:rPr>
        <w:szCs w:val="24"/>
      </w:rPr>
      <w:t xml:space="preserve"> -</w:t>
    </w:r>
  </w:p>
  <w:p w:rsidR="00852768" w:rsidRDefault="00852768">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768" w:rsidRPr="00924065" w:rsidRDefault="00852768"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768" w:rsidRDefault="00D75D0F" w:rsidP="00A87207">
    <w:pPr>
      <w:pStyle w:val="Footer"/>
    </w:pPr>
    <w:r>
      <w:pict>
        <v:rect id="_x0000_i1039" style="width:480.95pt;height:1pt" o:hralign="center" o:hrstd="t" o:hrnoshade="t" o:hr="t" fillcolor="black [3213]" stroked="f"/>
      </w:pict>
    </w:r>
  </w:p>
  <w:p w:rsidR="00852768" w:rsidRPr="00B7374B" w:rsidRDefault="0085276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716</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768" w:rsidRDefault="00D75D0F"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0" style="width:480.95pt;height:1pt" o:hralign="center" o:hrstd="t" o:hrnoshade="t" o:hr="t" fillcolor="black [3213]" stroked="f"/>
      </w:pict>
    </w:r>
  </w:p>
  <w:p w:rsidR="00852768" w:rsidRPr="00954D22" w:rsidRDefault="0085276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D75D0F">
      <w:rPr>
        <w:noProof/>
        <w:szCs w:val="24"/>
      </w:rPr>
      <w:t>617</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768" w:rsidRDefault="00852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52768" w:rsidRDefault="00852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52768" w:rsidRDefault="00852768">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768" w:rsidRDefault="00D75D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9" style="width:480.95pt;height:1pt" o:hralign="center" o:hrstd="t" o:hrnoshade="t" o:hr="t" fillcolor="black [3213]" stroked="f"/>
      </w:pict>
    </w:r>
  </w:p>
  <w:p w:rsidR="00852768" w:rsidRPr="0009648D" w:rsidRDefault="00852768" w:rsidP="00ED7E83">
    <w:pPr>
      <w:tabs>
        <w:tab w:val="center" w:pos="4680"/>
      </w:tabs>
    </w:pPr>
    <w:r>
      <w:tab/>
    </w:r>
    <w:r w:rsidRPr="0009648D">
      <w:t xml:space="preserve">- </w:t>
    </w:r>
    <w:r>
      <w:fldChar w:fldCharType="begin"/>
    </w:r>
    <w:r>
      <w:instrText xml:space="preserve"> PAGE   \* MERGEFORMAT </w:instrText>
    </w:r>
    <w:r>
      <w:fldChar w:fldCharType="separate"/>
    </w:r>
    <w:r w:rsidR="00D75D0F">
      <w:rPr>
        <w:noProof/>
      </w:rPr>
      <w:t>625</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768" w:rsidRDefault="00D75D0F">
    <w:pPr>
      <w:pStyle w:val="Footer"/>
      <w:rPr>
        <w:lang w:val="fr-CA"/>
      </w:rPr>
    </w:pPr>
    <w:r>
      <w:rPr>
        <w:lang w:val="fr-CA"/>
      </w:rPr>
      <w:pict>
        <v:rect id="_x0000_i1050" style="width:480.95pt;height:1pt" o:hralign="center" o:hrstd="t" o:hrnoshade="t" o:hr="t" fillcolor="black [3213]" stroked="f"/>
      </w:pict>
    </w:r>
  </w:p>
  <w:p w:rsidR="00852768" w:rsidRDefault="00852768" w:rsidP="00245129">
    <w:pPr>
      <w:tabs>
        <w:tab w:val="center" w:pos="4680"/>
      </w:tabs>
    </w:pPr>
    <w:r>
      <w:tab/>
    </w:r>
    <w:r w:rsidRPr="0009648D">
      <w:t xml:space="preserve">- </w:t>
    </w:r>
    <w:r>
      <w:fldChar w:fldCharType="begin"/>
    </w:r>
    <w:r>
      <w:instrText xml:space="preserve"> PAGE   \* MERGEFORMAT </w:instrText>
    </w:r>
    <w:r>
      <w:fldChar w:fldCharType="separate"/>
    </w:r>
    <w:r w:rsidR="00D75D0F">
      <w:rPr>
        <w:noProof/>
      </w:rPr>
      <w:t>618</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768" w:rsidRDefault="00852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52768" w:rsidRDefault="00852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52768" w:rsidRDefault="00852768">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768" w:rsidRDefault="00D75D0F" w:rsidP="00755F22">
    <w:pPr>
      <w:tabs>
        <w:tab w:val="left" w:pos="-1440"/>
        <w:tab w:val="left" w:pos="-720"/>
      </w:tabs>
    </w:pPr>
    <w:r>
      <w:pict>
        <v:rect id="_x0000_i1055" style="width:480.95pt;height:1pt" o:hralign="center" o:hrstd="t" o:hrnoshade="t" o:hr="t" fillcolor="black [3213]" stroked="f"/>
      </w:pict>
    </w:r>
  </w:p>
  <w:p w:rsidR="00852768" w:rsidRDefault="00852768" w:rsidP="00EB2B90">
    <w:pPr>
      <w:tabs>
        <w:tab w:val="center" w:pos="4680"/>
      </w:tabs>
    </w:pPr>
    <w:r>
      <w:tab/>
      <w:t xml:space="preserve">- </w:t>
    </w:r>
    <w:r>
      <w:fldChar w:fldCharType="begin"/>
    </w:r>
    <w:r>
      <w:instrText xml:space="preserve"> PAGE   \* MERGEFORMAT </w:instrText>
    </w:r>
    <w:r>
      <w:fldChar w:fldCharType="separate"/>
    </w:r>
    <w:r w:rsidR="00D75D0F">
      <w:rPr>
        <w:noProof/>
      </w:rPr>
      <w:t>629</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768" w:rsidRDefault="00852768" w:rsidP="00A87207">
      <w:r>
        <w:separator/>
      </w:r>
    </w:p>
  </w:footnote>
  <w:footnote w:type="continuationSeparator" w:id="0">
    <w:p w:rsidR="00852768" w:rsidRDefault="00852768"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852768" w:rsidRPr="0044776A" w:rsidTr="00245129">
      <w:tc>
        <w:tcPr>
          <w:tcW w:w="4290" w:type="dxa"/>
          <w:tcMar>
            <w:left w:w="0" w:type="dxa"/>
            <w:right w:w="0" w:type="dxa"/>
          </w:tcMar>
        </w:tcPr>
        <w:p w:rsidR="00852768" w:rsidRPr="0044776A" w:rsidRDefault="00852768"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852768" w:rsidRPr="0044776A" w:rsidRDefault="00852768" w:rsidP="002E2327">
          <w:pPr>
            <w:keepNext/>
            <w:keepLines/>
            <w:tabs>
              <w:tab w:val="left" w:pos="-1440"/>
              <w:tab w:val="left" w:pos="-720"/>
            </w:tabs>
            <w:jc w:val="center"/>
            <w:rPr>
              <w:sz w:val="20"/>
              <w:szCs w:val="20"/>
            </w:rPr>
          </w:pPr>
        </w:p>
        <w:p w:rsidR="00852768" w:rsidRPr="0044776A" w:rsidRDefault="00852768" w:rsidP="002E2327">
          <w:pPr>
            <w:keepNext/>
            <w:keepLines/>
            <w:tabs>
              <w:tab w:val="left" w:pos="-1440"/>
              <w:tab w:val="left" w:pos="-720"/>
            </w:tabs>
            <w:jc w:val="center"/>
            <w:rPr>
              <w:sz w:val="20"/>
              <w:szCs w:val="20"/>
            </w:rPr>
          </w:pPr>
        </w:p>
        <w:p w:rsidR="00852768" w:rsidRPr="0044776A" w:rsidRDefault="00852768" w:rsidP="002E2327">
          <w:pPr>
            <w:keepNext/>
            <w:keepLines/>
            <w:tabs>
              <w:tab w:val="left" w:pos="-1440"/>
              <w:tab w:val="left" w:pos="-720"/>
            </w:tabs>
            <w:jc w:val="center"/>
            <w:rPr>
              <w:sz w:val="20"/>
              <w:szCs w:val="20"/>
            </w:rPr>
          </w:pPr>
        </w:p>
      </w:tc>
      <w:tc>
        <w:tcPr>
          <w:tcW w:w="4320" w:type="dxa"/>
          <w:tcMar>
            <w:left w:w="0" w:type="dxa"/>
            <w:right w:w="0" w:type="dxa"/>
          </w:tcMar>
        </w:tcPr>
        <w:p w:rsidR="00852768" w:rsidRPr="0044776A" w:rsidRDefault="00852768" w:rsidP="002E2327">
          <w:pPr>
            <w:keepLines/>
            <w:rPr>
              <w:sz w:val="20"/>
              <w:szCs w:val="20"/>
              <w:lang w:val="fr-CA"/>
            </w:rPr>
          </w:pPr>
          <w:r w:rsidRPr="0044776A">
            <w:rPr>
              <w:sz w:val="20"/>
              <w:szCs w:val="20"/>
              <w:lang w:val="fr-CA"/>
            </w:rPr>
            <w:t>DEMANDES D'AUTORISATION D'APPEL DÉPOSÉES</w:t>
          </w:r>
        </w:p>
      </w:tc>
    </w:tr>
  </w:tbl>
  <w:p w:rsidR="00852768" w:rsidRDefault="0085276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768" w:rsidRDefault="0085276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52768" w:rsidRPr="00852768">
      <w:tc>
        <w:tcPr>
          <w:tcW w:w="4200" w:type="dxa"/>
          <w:tcMar>
            <w:left w:w="0" w:type="dxa"/>
            <w:right w:w="0" w:type="dxa"/>
          </w:tcMar>
        </w:tcPr>
        <w:p w:rsidR="00852768" w:rsidRDefault="008527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852768" w:rsidRDefault="008527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52768" w:rsidRPr="00283C52" w:rsidRDefault="0085276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852768" w:rsidRPr="00283C52" w:rsidRDefault="00852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52768" w:rsidRPr="00283C52" w:rsidRDefault="00852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52768" w:rsidRPr="00852768" w:rsidTr="00245129">
      <w:tc>
        <w:tcPr>
          <w:tcW w:w="4200" w:type="dxa"/>
          <w:tcMar>
            <w:left w:w="0" w:type="dxa"/>
            <w:right w:w="0" w:type="dxa"/>
          </w:tcMar>
        </w:tcPr>
        <w:p w:rsidR="00852768" w:rsidRPr="00732DB7" w:rsidRDefault="00852768"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852768" w:rsidRPr="00732DB7" w:rsidRDefault="00852768" w:rsidP="00732DB7">
          <w:pPr>
            <w:keepNext/>
            <w:keepLines/>
            <w:tabs>
              <w:tab w:val="left" w:pos="-1440"/>
              <w:tab w:val="left" w:pos="-720"/>
            </w:tabs>
            <w:jc w:val="center"/>
            <w:rPr>
              <w:sz w:val="20"/>
              <w:szCs w:val="20"/>
            </w:rPr>
          </w:pPr>
        </w:p>
        <w:p w:rsidR="00852768" w:rsidRPr="00732DB7" w:rsidRDefault="00852768" w:rsidP="00732DB7">
          <w:pPr>
            <w:keepNext/>
            <w:keepLines/>
            <w:tabs>
              <w:tab w:val="left" w:pos="-1440"/>
              <w:tab w:val="left" w:pos="-720"/>
            </w:tabs>
            <w:jc w:val="center"/>
            <w:rPr>
              <w:sz w:val="20"/>
              <w:szCs w:val="20"/>
            </w:rPr>
          </w:pPr>
        </w:p>
        <w:p w:rsidR="00852768" w:rsidRPr="00732DB7" w:rsidRDefault="00852768" w:rsidP="00732DB7">
          <w:pPr>
            <w:keepNext/>
            <w:keepLines/>
            <w:tabs>
              <w:tab w:val="left" w:pos="-1440"/>
              <w:tab w:val="left" w:pos="-720"/>
            </w:tabs>
            <w:jc w:val="center"/>
            <w:rPr>
              <w:sz w:val="20"/>
              <w:szCs w:val="20"/>
            </w:rPr>
          </w:pPr>
        </w:p>
      </w:tc>
      <w:tc>
        <w:tcPr>
          <w:tcW w:w="4080" w:type="dxa"/>
          <w:tcMar>
            <w:left w:w="0" w:type="dxa"/>
            <w:right w:w="0" w:type="dxa"/>
          </w:tcMar>
        </w:tcPr>
        <w:p w:rsidR="00852768" w:rsidRPr="00732DB7" w:rsidRDefault="00852768"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852768" w:rsidRPr="00283C52" w:rsidRDefault="00852768"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768" w:rsidRDefault="0085276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52768" w:rsidRPr="00852768">
      <w:tc>
        <w:tcPr>
          <w:tcW w:w="4200" w:type="dxa"/>
          <w:tcMar>
            <w:left w:w="0" w:type="dxa"/>
            <w:right w:w="0" w:type="dxa"/>
          </w:tcMar>
        </w:tcPr>
        <w:p w:rsidR="00852768" w:rsidRDefault="008527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852768" w:rsidRDefault="008527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852768" w:rsidRDefault="008527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852768" w:rsidRPr="003C2C0F" w:rsidRDefault="0085276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852768" w:rsidRPr="003C2C0F" w:rsidRDefault="00852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852768" w:rsidRPr="003C2C0F" w:rsidRDefault="00852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52768" w:rsidRPr="00852768" w:rsidTr="00245129">
      <w:tc>
        <w:tcPr>
          <w:tcW w:w="4200" w:type="dxa"/>
          <w:tcMar>
            <w:left w:w="0" w:type="dxa"/>
            <w:right w:w="0" w:type="dxa"/>
          </w:tcMar>
        </w:tcPr>
        <w:p w:rsidR="00852768" w:rsidRPr="00FF6EEC" w:rsidRDefault="00852768" w:rsidP="00FF6EEC">
          <w:pPr>
            <w:rPr>
              <w:sz w:val="20"/>
              <w:szCs w:val="20"/>
            </w:rPr>
          </w:pPr>
          <w:r w:rsidRPr="00FF6EEC">
            <w:rPr>
              <w:sz w:val="20"/>
              <w:szCs w:val="20"/>
            </w:rPr>
            <w:t>PRONOUNCEMENTS OF APPEALS RESERVED</w:t>
          </w:r>
        </w:p>
      </w:tc>
      <w:tc>
        <w:tcPr>
          <w:tcW w:w="1200" w:type="dxa"/>
          <w:tcMar>
            <w:left w:w="0" w:type="dxa"/>
            <w:right w:w="0" w:type="dxa"/>
          </w:tcMar>
        </w:tcPr>
        <w:p w:rsidR="00852768" w:rsidRPr="00FF6EEC" w:rsidRDefault="00852768" w:rsidP="00FF6EEC">
          <w:pPr>
            <w:jc w:val="center"/>
            <w:rPr>
              <w:sz w:val="20"/>
              <w:szCs w:val="20"/>
            </w:rPr>
          </w:pPr>
        </w:p>
        <w:p w:rsidR="00852768" w:rsidRPr="00FF6EEC" w:rsidRDefault="00852768" w:rsidP="00FF6EEC">
          <w:pPr>
            <w:jc w:val="center"/>
            <w:rPr>
              <w:sz w:val="20"/>
              <w:szCs w:val="20"/>
            </w:rPr>
          </w:pPr>
        </w:p>
        <w:p w:rsidR="00852768" w:rsidRPr="00FF6EEC" w:rsidRDefault="00852768" w:rsidP="00FF6EEC">
          <w:pPr>
            <w:jc w:val="center"/>
            <w:rPr>
              <w:sz w:val="20"/>
              <w:szCs w:val="20"/>
            </w:rPr>
          </w:pPr>
        </w:p>
      </w:tc>
      <w:tc>
        <w:tcPr>
          <w:tcW w:w="4080" w:type="dxa"/>
          <w:tcMar>
            <w:left w:w="0" w:type="dxa"/>
            <w:right w:w="0" w:type="dxa"/>
          </w:tcMar>
        </w:tcPr>
        <w:p w:rsidR="00852768" w:rsidRPr="00FF6EEC" w:rsidRDefault="00852768" w:rsidP="00FF6EEC">
          <w:pPr>
            <w:rPr>
              <w:sz w:val="20"/>
              <w:szCs w:val="20"/>
              <w:lang w:val="fr-CA"/>
            </w:rPr>
          </w:pPr>
          <w:r w:rsidRPr="00FF6EEC">
            <w:rPr>
              <w:sz w:val="20"/>
              <w:szCs w:val="20"/>
              <w:lang w:val="fr-CA"/>
            </w:rPr>
            <w:t>JUGEMENTS RENDUS SUR LES APPELS EN DÉLIBÉRÉ</w:t>
          </w:r>
        </w:p>
      </w:tc>
    </w:tr>
  </w:tbl>
  <w:p w:rsidR="00852768" w:rsidRPr="003C2C0F" w:rsidRDefault="00852768"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768" w:rsidRDefault="0085276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52768">
      <w:tc>
        <w:tcPr>
          <w:tcW w:w="4230" w:type="dxa"/>
          <w:tcMar>
            <w:left w:w="0" w:type="dxa"/>
            <w:right w:w="0" w:type="dxa"/>
          </w:tcMar>
        </w:tcPr>
        <w:p w:rsidR="00852768" w:rsidRDefault="008527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852768" w:rsidRDefault="008527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852768" w:rsidRDefault="008527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852768" w:rsidRDefault="008527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52768" w:rsidRDefault="008527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852768" w:rsidRDefault="0085276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852768" w:rsidRDefault="00852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52768" w:rsidRDefault="00852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52768" w:rsidRPr="00782AE4" w:rsidTr="00245129">
      <w:tc>
        <w:tcPr>
          <w:tcW w:w="4230" w:type="dxa"/>
          <w:tcMar>
            <w:left w:w="0" w:type="dxa"/>
            <w:right w:w="0" w:type="dxa"/>
          </w:tcMar>
        </w:tcPr>
        <w:p w:rsidR="00852768" w:rsidRPr="00782AE4" w:rsidRDefault="00852768" w:rsidP="00102926">
          <w:pPr>
            <w:keepNext/>
            <w:keepLines/>
            <w:tabs>
              <w:tab w:val="left" w:pos="-1440"/>
              <w:tab w:val="left" w:pos="-720"/>
            </w:tabs>
            <w:rPr>
              <w:sz w:val="20"/>
              <w:szCs w:val="20"/>
            </w:rPr>
          </w:pPr>
          <w:r w:rsidRPr="00782AE4">
            <w:rPr>
              <w:sz w:val="20"/>
              <w:szCs w:val="20"/>
            </w:rPr>
            <w:t xml:space="preserve">HEADNOTES OF RECENT </w:t>
          </w:r>
        </w:p>
        <w:p w:rsidR="00852768" w:rsidRPr="00782AE4" w:rsidRDefault="008527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852768" w:rsidRDefault="00852768" w:rsidP="00102926">
          <w:pPr>
            <w:keepNext/>
            <w:keepLines/>
            <w:tabs>
              <w:tab w:val="left" w:pos="-1440"/>
              <w:tab w:val="left" w:pos="-720"/>
            </w:tabs>
            <w:jc w:val="center"/>
            <w:rPr>
              <w:sz w:val="20"/>
              <w:szCs w:val="20"/>
            </w:rPr>
          </w:pPr>
        </w:p>
        <w:p w:rsidR="00852768" w:rsidRDefault="00852768" w:rsidP="00102926">
          <w:pPr>
            <w:keepNext/>
            <w:keepLines/>
            <w:tabs>
              <w:tab w:val="left" w:pos="-1440"/>
              <w:tab w:val="left" w:pos="-720"/>
            </w:tabs>
            <w:jc w:val="center"/>
            <w:rPr>
              <w:sz w:val="20"/>
              <w:szCs w:val="20"/>
            </w:rPr>
          </w:pPr>
        </w:p>
        <w:p w:rsidR="00852768" w:rsidRPr="00782AE4" w:rsidRDefault="00852768" w:rsidP="00102926">
          <w:pPr>
            <w:keepNext/>
            <w:keepLines/>
            <w:tabs>
              <w:tab w:val="left" w:pos="-1440"/>
              <w:tab w:val="left" w:pos="-720"/>
            </w:tabs>
            <w:jc w:val="center"/>
            <w:rPr>
              <w:sz w:val="20"/>
              <w:szCs w:val="20"/>
            </w:rPr>
          </w:pPr>
        </w:p>
      </w:tc>
      <w:tc>
        <w:tcPr>
          <w:tcW w:w="4080" w:type="dxa"/>
          <w:tcMar>
            <w:left w:w="0" w:type="dxa"/>
            <w:right w:w="0" w:type="dxa"/>
          </w:tcMar>
        </w:tcPr>
        <w:p w:rsidR="00852768" w:rsidRPr="00102926" w:rsidRDefault="008527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852768" w:rsidRPr="00782AE4" w:rsidRDefault="00852768" w:rsidP="00102926">
          <w:pPr>
            <w:keepLines/>
            <w:tabs>
              <w:tab w:val="left" w:pos="-1440"/>
              <w:tab w:val="left" w:pos="-720"/>
            </w:tabs>
            <w:rPr>
              <w:sz w:val="20"/>
              <w:szCs w:val="20"/>
            </w:rPr>
          </w:pPr>
          <w:r w:rsidRPr="00102926">
            <w:rPr>
              <w:sz w:val="20"/>
              <w:szCs w:val="20"/>
              <w:lang w:val="fr-CA"/>
            </w:rPr>
            <w:t>RÉCENTS</w:t>
          </w:r>
        </w:p>
      </w:tc>
    </w:tr>
  </w:tbl>
  <w:p w:rsidR="00852768" w:rsidRDefault="00852768"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768" w:rsidRDefault="008527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768" w:rsidRDefault="00852768">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768" w:rsidRDefault="008527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52768" w:rsidRPr="00852768" w:rsidTr="00245129">
      <w:tc>
        <w:tcPr>
          <w:tcW w:w="4200" w:type="dxa"/>
          <w:tcMar>
            <w:left w:w="0" w:type="dxa"/>
            <w:right w:w="0" w:type="dxa"/>
          </w:tcMar>
        </w:tcPr>
        <w:p w:rsidR="00852768" w:rsidRPr="0044776A" w:rsidRDefault="00852768" w:rsidP="0044776A">
          <w:pPr>
            <w:keepNext/>
            <w:keepLines/>
            <w:widowControl w:val="0"/>
            <w:rPr>
              <w:sz w:val="20"/>
              <w:szCs w:val="20"/>
            </w:rPr>
          </w:pPr>
          <w:r>
            <w:rPr>
              <w:sz w:val="20"/>
              <w:szCs w:val="20"/>
            </w:rPr>
            <w:t>APPLICATIONS FOR LEAVE</w:t>
          </w:r>
        </w:p>
        <w:p w:rsidR="00852768" w:rsidRPr="0044776A" w:rsidRDefault="00852768"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852768" w:rsidRPr="0044776A" w:rsidRDefault="00852768" w:rsidP="0044776A">
          <w:pPr>
            <w:keepNext/>
            <w:keepLines/>
            <w:widowControl w:val="0"/>
            <w:jc w:val="center"/>
            <w:rPr>
              <w:sz w:val="20"/>
              <w:szCs w:val="20"/>
            </w:rPr>
          </w:pPr>
        </w:p>
        <w:p w:rsidR="00852768" w:rsidRPr="0044776A" w:rsidRDefault="00852768" w:rsidP="0044776A">
          <w:pPr>
            <w:keepNext/>
            <w:keepLines/>
            <w:widowControl w:val="0"/>
            <w:jc w:val="center"/>
            <w:rPr>
              <w:sz w:val="20"/>
              <w:szCs w:val="20"/>
            </w:rPr>
          </w:pPr>
        </w:p>
        <w:p w:rsidR="00852768" w:rsidRPr="0044776A" w:rsidRDefault="00852768" w:rsidP="0044776A">
          <w:pPr>
            <w:keepNext/>
            <w:keepLines/>
            <w:widowControl w:val="0"/>
            <w:jc w:val="center"/>
            <w:rPr>
              <w:sz w:val="20"/>
              <w:szCs w:val="20"/>
            </w:rPr>
          </w:pPr>
        </w:p>
      </w:tc>
      <w:tc>
        <w:tcPr>
          <w:tcW w:w="4080" w:type="dxa"/>
          <w:tcMar>
            <w:left w:w="0" w:type="dxa"/>
            <w:right w:w="0" w:type="dxa"/>
          </w:tcMar>
        </w:tcPr>
        <w:p w:rsidR="00852768" w:rsidRPr="0044776A" w:rsidRDefault="00852768" w:rsidP="0044776A">
          <w:pPr>
            <w:keepLines/>
            <w:widowControl w:val="0"/>
            <w:rPr>
              <w:sz w:val="20"/>
              <w:szCs w:val="20"/>
              <w:lang w:val="fr-CA"/>
            </w:rPr>
          </w:pPr>
          <w:r w:rsidRPr="0044776A">
            <w:rPr>
              <w:sz w:val="20"/>
              <w:szCs w:val="20"/>
              <w:lang w:val="fr-CA"/>
            </w:rPr>
            <w:t>DEMANDES SOUMISES À LA COUR DEPUIS LA DERNIÈRE PARUTION</w:t>
          </w:r>
        </w:p>
        <w:p w:rsidR="00852768" w:rsidRPr="0044776A" w:rsidRDefault="00852768" w:rsidP="0044776A">
          <w:pPr>
            <w:widowControl w:val="0"/>
            <w:rPr>
              <w:sz w:val="20"/>
              <w:szCs w:val="20"/>
              <w:lang w:val="fr-CA"/>
            </w:rPr>
          </w:pPr>
        </w:p>
      </w:tc>
    </w:tr>
  </w:tbl>
  <w:p w:rsidR="00852768" w:rsidRPr="002E2327" w:rsidRDefault="00852768">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768" w:rsidRDefault="0085276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52768" w:rsidRPr="00852768">
      <w:tc>
        <w:tcPr>
          <w:tcW w:w="4200" w:type="dxa"/>
          <w:tcMar>
            <w:left w:w="0" w:type="dxa"/>
            <w:right w:w="0" w:type="dxa"/>
          </w:tcMar>
        </w:tcPr>
        <w:p w:rsidR="00852768" w:rsidRDefault="008527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52768" w:rsidRDefault="008527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52768" w:rsidRDefault="0085276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52768" w:rsidRPr="00FF6BA5" w:rsidRDefault="0085276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52768" w:rsidRPr="00FF6BA5" w:rsidRDefault="00852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52768" w:rsidRPr="00FF6BA5" w:rsidRDefault="00852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52768" w:rsidRPr="00FF6BA5" w:rsidRDefault="00852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52768" w:rsidRPr="00852768" w:rsidTr="00245129">
      <w:tc>
        <w:tcPr>
          <w:tcW w:w="4200" w:type="dxa"/>
          <w:tcMar>
            <w:left w:w="0" w:type="dxa"/>
            <w:right w:w="0" w:type="dxa"/>
          </w:tcMar>
        </w:tcPr>
        <w:p w:rsidR="00852768" w:rsidRPr="00755F22" w:rsidRDefault="008527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852768" w:rsidRPr="00755F22" w:rsidRDefault="008527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852768" w:rsidRPr="00755F22" w:rsidRDefault="0085276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52768" w:rsidRPr="00755F22" w:rsidRDefault="0085276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52768" w:rsidRPr="00755F22" w:rsidRDefault="0085276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52768" w:rsidRPr="00755F22" w:rsidRDefault="00852768" w:rsidP="009354C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w:t>
          </w:r>
          <w:r>
            <w:rPr>
              <w:sz w:val="20"/>
              <w:szCs w:val="20"/>
              <w:lang w:val="fr-CA"/>
            </w:rPr>
            <w:t>’</w:t>
          </w:r>
          <w:r w:rsidRPr="00755F22">
            <w:rPr>
              <w:sz w:val="20"/>
              <w:szCs w:val="20"/>
              <w:lang w:val="fr-CA"/>
            </w:rPr>
            <w:t>AUTORISATION</w:t>
          </w:r>
        </w:p>
      </w:tc>
    </w:tr>
  </w:tbl>
  <w:p w:rsidR="00852768" w:rsidRPr="00FF6BA5" w:rsidRDefault="00852768"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768" w:rsidRDefault="0085276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52768">
      <w:tc>
        <w:tcPr>
          <w:tcW w:w="4230" w:type="dxa"/>
          <w:tcMar>
            <w:left w:w="0" w:type="dxa"/>
            <w:right w:w="0" w:type="dxa"/>
          </w:tcMar>
        </w:tcPr>
        <w:p w:rsidR="00852768" w:rsidRDefault="008527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52768" w:rsidRDefault="0085276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52768" w:rsidRDefault="0085276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52768">
      <w:trPr>
        <w:gridAfter w:val="2"/>
        <w:wAfter w:w="5250" w:type="dxa"/>
      </w:trPr>
      <w:tc>
        <w:tcPr>
          <w:tcW w:w="4230" w:type="dxa"/>
          <w:tcMar>
            <w:left w:w="0" w:type="dxa"/>
            <w:right w:w="0" w:type="dxa"/>
          </w:tcMar>
        </w:tcPr>
        <w:p w:rsidR="00852768" w:rsidRDefault="00852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52768" w:rsidRDefault="00852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52768" w:rsidRPr="00755F22" w:rsidTr="00245129">
      <w:tc>
        <w:tcPr>
          <w:tcW w:w="4230" w:type="dxa"/>
          <w:tcMar>
            <w:left w:w="0" w:type="dxa"/>
            <w:right w:w="0" w:type="dxa"/>
          </w:tcMar>
        </w:tcPr>
        <w:p w:rsidR="00852768" w:rsidRPr="00755F22" w:rsidRDefault="00852768" w:rsidP="00831CA9">
          <w:pPr>
            <w:keepNext/>
            <w:keepLines/>
            <w:rPr>
              <w:sz w:val="20"/>
              <w:szCs w:val="20"/>
            </w:rPr>
          </w:pPr>
          <w:r w:rsidRPr="00755F22">
            <w:rPr>
              <w:sz w:val="20"/>
              <w:szCs w:val="20"/>
            </w:rPr>
            <w:t>MOTIONS</w:t>
          </w:r>
        </w:p>
      </w:tc>
      <w:tc>
        <w:tcPr>
          <w:tcW w:w="1170" w:type="dxa"/>
          <w:tcMar>
            <w:left w:w="0" w:type="dxa"/>
            <w:right w:w="0" w:type="dxa"/>
          </w:tcMar>
        </w:tcPr>
        <w:p w:rsidR="00852768" w:rsidRPr="00755F22" w:rsidRDefault="00852768" w:rsidP="00831CA9">
          <w:pPr>
            <w:keepLines/>
            <w:jc w:val="center"/>
            <w:rPr>
              <w:sz w:val="20"/>
              <w:szCs w:val="20"/>
            </w:rPr>
          </w:pPr>
        </w:p>
        <w:p w:rsidR="00852768" w:rsidRPr="00755F22" w:rsidRDefault="00852768" w:rsidP="00831CA9">
          <w:pPr>
            <w:keepLines/>
            <w:tabs>
              <w:tab w:val="left" w:pos="-1440"/>
              <w:tab w:val="left" w:pos="-720"/>
            </w:tabs>
            <w:jc w:val="center"/>
            <w:rPr>
              <w:sz w:val="20"/>
              <w:szCs w:val="20"/>
            </w:rPr>
          </w:pPr>
        </w:p>
      </w:tc>
      <w:tc>
        <w:tcPr>
          <w:tcW w:w="4080" w:type="dxa"/>
          <w:tcMar>
            <w:left w:w="0" w:type="dxa"/>
            <w:right w:w="0" w:type="dxa"/>
          </w:tcMar>
        </w:tcPr>
        <w:p w:rsidR="00852768" w:rsidRPr="00BA6468" w:rsidRDefault="00852768" w:rsidP="00BA6468">
          <w:pPr>
            <w:keepLines/>
            <w:rPr>
              <w:sz w:val="20"/>
              <w:szCs w:val="20"/>
              <w:lang w:val="fr-CA"/>
            </w:rPr>
          </w:pPr>
          <w:r w:rsidRPr="00BA6468">
            <w:rPr>
              <w:sz w:val="20"/>
              <w:szCs w:val="20"/>
              <w:lang w:val="fr-CA"/>
            </w:rPr>
            <w:t>REQUÊTES</w:t>
          </w:r>
        </w:p>
      </w:tc>
    </w:tr>
  </w:tbl>
  <w:p w:rsidR="00852768" w:rsidRDefault="00852768"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508F"/>
    <w:multiLevelType w:val="hybridMultilevel"/>
    <w:tmpl w:val="BC408C46"/>
    <w:lvl w:ilvl="0" w:tplc="55C02946">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F2E60"/>
    <w:multiLevelType w:val="hybridMultilevel"/>
    <w:tmpl w:val="906ABC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A12CFA"/>
    <w:multiLevelType w:val="hybridMultilevel"/>
    <w:tmpl w:val="6F0C80E4"/>
    <w:lvl w:ilvl="0" w:tplc="315AA5D2">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012C0F"/>
    <w:multiLevelType w:val="hybridMultilevel"/>
    <w:tmpl w:val="7D82609E"/>
    <w:lvl w:ilvl="0" w:tplc="007AC830">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357E00"/>
    <w:multiLevelType w:val="hybridMultilevel"/>
    <w:tmpl w:val="15DE4A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50F43FC"/>
    <w:multiLevelType w:val="hybridMultilevel"/>
    <w:tmpl w:val="7116F9AA"/>
    <w:lvl w:ilvl="0" w:tplc="3C1EBCC6">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B7E35AB"/>
    <w:multiLevelType w:val="hybridMultilevel"/>
    <w:tmpl w:val="15DE4A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7"/>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3"/>
  </w:num>
  <w:num w:numId="10">
    <w:abstractNumId w:val="2"/>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drawingGridHorizontalSpacing w:val="120"/>
  <w:displayHorizontalDrawingGridEvery w:val="2"/>
  <w:characterSpacingControl w:val="doNotCompress"/>
  <w:hdrShapeDefaults>
    <o:shapedefaults v:ext="edit" spidmax="143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CAD"/>
    <w:rsid w:val="00002704"/>
    <w:rsid w:val="000102B3"/>
    <w:rsid w:val="000151DC"/>
    <w:rsid w:val="00020DC3"/>
    <w:rsid w:val="0003223B"/>
    <w:rsid w:val="000327B2"/>
    <w:rsid w:val="0004528B"/>
    <w:rsid w:val="00064FBA"/>
    <w:rsid w:val="00087AB2"/>
    <w:rsid w:val="00091FA6"/>
    <w:rsid w:val="00096BD9"/>
    <w:rsid w:val="000B3C9A"/>
    <w:rsid w:val="000B40A2"/>
    <w:rsid w:val="000B4624"/>
    <w:rsid w:val="000C0793"/>
    <w:rsid w:val="000C0ACD"/>
    <w:rsid w:val="000C0D2A"/>
    <w:rsid w:val="000C5CE8"/>
    <w:rsid w:val="000E27A5"/>
    <w:rsid w:val="000E2959"/>
    <w:rsid w:val="000F0B60"/>
    <w:rsid w:val="00102926"/>
    <w:rsid w:val="0010587F"/>
    <w:rsid w:val="00111C6B"/>
    <w:rsid w:val="0012102B"/>
    <w:rsid w:val="0013369E"/>
    <w:rsid w:val="00136798"/>
    <w:rsid w:val="0016267B"/>
    <w:rsid w:val="00164E6D"/>
    <w:rsid w:val="00183454"/>
    <w:rsid w:val="001A10F4"/>
    <w:rsid w:val="001A1589"/>
    <w:rsid w:val="001B157C"/>
    <w:rsid w:val="001B2D1B"/>
    <w:rsid w:val="001B4006"/>
    <w:rsid w:val="001B5C23"/>
    <w:rsid w:val="001D0D5F"/>
    <w:rsid w:val="001D6B8C"/>
    <w:rsid w:val="001F1F83"/>
    <w:rsid w:val="001F40DF"/>
    <w:rsid w:val="001F6B2D"/>
    <w:rsid w:val="002021A9"/>
    <w:rsid w:val="002139A7"/>
    <w:rsid w:val="00215F7C"/>
    <w:rsid w:val="0022323B"/>
    <w:rsid w:val="002410B8"/>
    <w:rsid w:val="00242AEE"/>
    <w:rsid w:val="00245129"/>
    <w:rsid w:val="002455C8"/>
    <w:rsid w:val="00245879"/>
    <w:rsid w:val="002670F0"/>
    <w:rsid w:val="00267FD5"/>
    <w:rsid w:val="00274CAD"/>
    <w:rsid w:val="00274D34"/>
    <w:rsid w:val="00283ED8"/>
    <w:rsid w:val="002868D0"/>
    <w:rsid w:val="002A008C"/>
    <w:rsid w:val="002A27D1"/>
    <w:rsid w:val="002A4AFA"/>
    <w:rsid w:val="002B516C"/>
    <w:rsid w:val="002D72EB"/>
    <w:rsid w:val="002E2327"/>
    <w:rsid w:val="002E3583"/>
    <w:rsid w:val="002E5576"/>
    <w:rsid w:val="0030050B"/>
    <w:rsid w:val="00331B52"/>
    <w:rsid w:val="003359D3"/>
    <w:rsid w:val="00355967"/>
    <w:rsid w:val="003620F1"/>
    <w:rsid w:val="0036435C"/>
    <w:rsid w:val="00382C47"/>
    <w:rsid w:val="00384384"/>
    <w:rsid w:val="003866AE"/>
    <w:rsid w:val="003B17D6"/>
    <w:rsid w:val="003B3977"/>
    <w:rsid w:val="003D4ED0"/>
    <w:rsid w:val="003E1D4C"/>
    <w:rsid w:val="003F42C8"/>
    <w:rsid w:val="004137A0"/>
    <w:rsid w:val="00422D9A"/>
    <w:rsid w:val="00432989"/>
    <w:rsid w:val="00440E24"/>
    <w:rsid w:val="0044776A"/>
    <w:rsid w:val="004514F3"/>
    <w:rsid w:val="00460AFC"/>
    <w:rsid w:val="00472AC8"/>
    <w:rsid w:val="0047471F"/>
    <w:rsid w:val="004B195E"/>
    <w:rsid w:val="004B66B4"/>
    <w:rsid w:val="004B7F60"/>
    <w:rsid w:val="004C1AAC"/>
    <w:rsid w:val="004C7098"/>
    <w:rsid w:val="004E1E0A"/>
    <w:rsid w:val="004F090E"/>
    <w:rsid w:val="00501F3C"/>
    <w:rsid w:val="0052229C"/>
    <w:rsid w:val="00527CC7"/>
    <w:rsid w:val="005435F5"/>
    <w:rsid w:val="00571CA4"/>
    <w:rsid w:val="005802DB"/>
    <w:rsid w:val="00582136"/>
    <w:rsid w:val="005B4990"/>
    <w:rsid w:val="005C6840"/>
    <w:rsid w:val="005F1ED8"/>
    <w:rsid w:val="005F263E"/>
    <w:rsid w:val="005F39DA"/>
    <w:rsid w:val="00600252"/>
    <w:rsid w:val="00612A40"/>
    <w:rsid w:val="0062714A"/>
    <w:rsid w:val="00653395"/>
    <w:rsid w:val="00655706"/>
    <w:rsid w:val="00675479"/>
    <w:rsid w:val="00680709"/>
    <w:rsid w:val="00681F61"/>
    <w:rsid w:val="006820B1"/>
    <w:rsid w:val="00696BF9"/>
    <w:rsid w:val="00697C62"/>
    <w:rsid w:val="006A1140"/>
    <w:rsid w:val="006A329B"/>
    <w:rsid w:val="006A55AE"/>
    <w:rsid w:val="006A7EB8"/>
    <w:rsid w:val="006B6926"/>
    <w:rsid w:val="006C3F47"/>
    <w:rsid w:val="006C5F7A"/>
    <w:rsid w:val="006E06AF"/>
    <w:rsid w:val="006F350F"/>
    <w:rsid w:val="0070455F"/>
    <w:rsid w:val="0071080B"/>
    <w:rsid w:val="00732DB7"/>
    <w:rsid w:val="0074238B"/>
    <w:rsid w:val="00745EF7"/>
    <w:rsid w:val="00755F22"/>
    <w:rsid w:val="00766E4A"/>
    <w:rsid w:val="00770BAE"/>
    <w:rsid w:val="007820CE"/>
    <w:rsid w:val="00782AE4"/>
    <w:rsid w:val="0079724F"/>
    <w:rsid w:val="007A3EAE"/>
    <w:rsid w:val="007C04FC"/>
    <w:rsid w:val="007C3DB0"/>
    <w:rsid w:val="007C47C2"/>
    <w:rsid w:val="007D3E0F"/>
    <w:rsid w:val="007D61EC"/>
    <w:rsid w:val="007D7022"/>
    <w:rsid w:val="007E4282"/>
    <w:rsid w:val="007F387B"/>
    <w:rsid w:val="00802863"/>
    <w:rsid w:val="008112A9"/>
    <w:rsid w:val="0081473A"/>
    <w:rsid w:val="00815B3C"/>
    <w:rsid w:val="0081610A"/>
    <w:rsid w:val="0082555B"/>
    <w:rsid w:val="0082783A"/>
    <w:rsid w:val="00831CA9"/>
    <w:rsid w:val="00850E1F"/>
    <w:rsid w:val="00852768"/>
    <w:rsid w:val="0085476B"/>
    <w:rsid w:val="0086340B"/>
    <w:rsid w:val="008665DE"/>
    <w:rsid w:val="008902B1"/>
    <w:rsid w:val="00890FEB"/>
    <w:rsid w:val="00895E7E"/>
    <w:rsid w:val="008A5C1A"/>
    <w:rsid w:val="008B6D36"/>
    <w:rsid w:val="008D292F"/>
    <w:rsid w:val="008E03DC"/>
    <w:rsid w:val="008F5F9D"/>
    <w:rsid w:val="00902E51"/>
    <w:rsid w:val="00924065"/>
    <w:rsid w:val="00930D68"/>
    <w:rsid w:val="00932DB4"/>
    <w:rsid w:val="009354C7"/>
    <w:rsid w:val="00941A4B"/>
    <w:rsid w:val="009435DF"/>
    <w:rsid w:val="00946242"/>
    <w:rsid w:val="0095096B"/>
    <w:rsid w:val="0095503F"/>
    <w:rsid w:val="00970CD3"/>
    <w:rsid w:val="009723FA"/>
    <w:rsid w:val="00984546"/>
    <w:rsid w:val="00996510"/>
    <w:rsid w:val="009B4FD9"/>
    <w:rsid w:val="009D1F15"/>
    <w:rsid w:val="009D555E"/>
    <w:rsid w:val="009F3024"/>
    <w:rsid w:val="009F39BA"/>
    <w:rsid w:val="00A0355E"/>
    <w:rsid w:val="00A124B0"/>
    <w:rsid w:val="00A375D1"/>
    <w:rsid w:val="00A51D10"/>
    <w:rsid w:val="00A52A83"/>
    <w:rsid w:val="00A53E1B"/>
    <w:rsid w:val="00A6552C"/>
    <w:rsid w:val="00A87207"/>
    <w:rsid w:val="00A935AA"/>
    <w:rsid w:val="00A956D3"/>
    <w:rsid w:val="00AB2201"/>
    <w:rsid w:val="00AD1D34"/>
    <w:rsid w:val="00AD3259"/>
    <w:rsid w:val="00AE0018"/>
    <w:rsid w:val="00AF1715"/>
    <w:rsid w:val="00AF3904"/>
    <w:rsid w:val="00B010C0"/>
    <w:rsid w:val="00B3217D"/>
    <w:rsid w:val="00B45D5C"/>
    <w:rsid w:val="00B4740D"/>
    <w:rsid w:val="00B56CC4"/>
    <w:rsid w:val="00B61629"/>
    <w:rsid w:val="00B7374B"/>
    <w:rsid w:val="00B77D6C"/>
    <w:rsid w:val="00B90DC0"/>
    <w:rsid w:val="00BA116A"/>
    <w:rsid w:val="00BA5582"/>
    <w:rsid w:val="00BA6468"/>
    <w:rsid w:val="00BB1D44"/>
    <w:rsid w:val="00BD06DA"/>
    <w:rsid w:val="00BD4217"/>
    <w:rsid w:val="00BF25F3"/>
    <w:rsid w:val="00BF47C1"/>
    <w:rsid w:val="00C1054E"/>
    <w:rsid w:val="00C1697B"/>
    <w:rsid w:val="00C21644"/>
    <w:rsid w:val="00C21CB5"/>
    <w:rsid w:val="00C46376"/>
    <w:rsid w:val="00C50A5C"/>
    <w:rsid w:val="00C50FDF"/>
    <w:rsid w:val="00C63381"/>
    <w:rsid w:val="00C73D06"/>
    <w:rsid w:val="00C73E1B"/>
    <w:rsid w:val="00C759B4"/>
    <w:rsid w:val="00C77713"/>
    <w:rsid w:val="00C854BC"/>
    <w:rsid w:val="00C85BB7"/>
    <w:rsid w:val="00C94C4F"/>
    <w:rsid w:val="00CA2DEA"/>
    <w:rsid w:val="00CB3520"/>
    <w:rsid w:val="00CB43D5"/>
    <w:rsid w:val="00CC4D84"/>
    <w:rsid w:val="00CE198A"/>
    <w:rsid w:val="00CF08C8"/>
    <w:rsid w:val="00D004FC"/>
    <w:rsid w:val="00D64901"/>
    <w:rsid w:val="00D75413"/>
    <w:rsid w:val="00D75D0F"/>
    <w:rsid w:val="00D76BDF"/>
    <w:rsid w:val="00D818B6"/>
    <w:rsid w:val="00D862C1"/>
    <w:rsid w:val="00D87C9A"/>
    <w:rsid w:val="00D93B50"/>
    <w:rsid w:val="00D94028"/>
    <w:rsid w:val="00D94670"/>
    <w:rsid w:val="00DA38E5"/>
    <w:rsid w:val="00DA46F6"/>
    <w:rsid w:val="00DD0B49"/>
    <w:rsid w:val="00DE0502"/>
    <w:rsid w:val="00DE349D"/>
    <w:rsid w:val="00E06DFA"/>
    <w:rsid w:val="00E20A0A"/>
    <w:rsid w:val="00E240C2"/>
    <w:rsid w:val="00E356C7"/>
    <w:rsid w:val="00E414CA"/>
    <w:rsid w:val="00E41A5A"/>
    <w:rsid w:val="00E45FE4"/>
    <w:rsid w:val="00E61934"/>
    <w:rsid w:val="00E6343B"/>
    <w:rsid w:val="00E64FA7"/>
    <w:rsid w:val="00E65FF4"/>
    <w:rsid w:val="00E770CB"/>
    <w:rsid w:val="00E903A1"/>
    <w:rsid w:val="00E940EB"/>
    <w:rsid w:val="00E9703F"/>
    <w:rsid w:val="00EB2B90"/>
    <w:rsid w:val="00ED7E83"/>
    <w:rsid w:val="00EE091F"/>
    <w:rsid w:val="00EE52C9"/>
    <w:rsid w:val="00EF4B63"/>
    <w:rsid w:val="00F0068D"/>
    <w:rsid w:val="00F0576D"/>
    <w:rsid w:val="00F14E6D"/>
    <w:rsid w:val="00F15EA8"/>
    <w:rsid w:val="00F16C8D"/>
    <w:rsid w:val="00F26C61"/>
    <w:rsid w:val="00F33CCE"/>
    <w:rsid w:val="00F40249"/>
    <w:rsid w:val="00F44AE7"/>
    <w:rsid w:val="00F526C8"/>
    <w:rsid w:val="00F761A3"/>
    <w:rsid w:val="00F9272D"/>
    <w:rsid w:val="00F9518C"/>
    <w:rsid w:val="00F96CEB"/>
    <w:rsid w:val="00FA316E"/>
    <w:rsid w:val="00FA3373"/>
    <w:rsid w:val="00FA59EF"/>
    <w:rsid w:val="00FB19A2"/>
    <w:rsid w:val="00FB4A2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styleId="BalloonText">
    <w:name w:val="Balloon Text"/>
    <w:basedOn w:val="Normal"/>
    <w:link w:val="BalloonTextChar"/>
    <w:uiPriority w:val="99"/>
    <w:semiHidden/>
    <w:unhideWhenUsed/>
    <w:rsid w:val="00267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0F0"/>
    <w:rPr>
      <w:rFonts w:ascii="Segoe UI" w:hAnsi="Segoe UI" w:cs="Segoe UI"/>
      <w:sz w:val="18"/>
      <w:szCs w:val="18"/>
      <w:lang w:val="en-CA"/>
    </w:rPr>
  </w:style>
  <w:style w:type="paragraph" w:customStyle="1" w:styleId="ContinueParaSuitedupar-AltP">
    <w:name w:val="Continue Para. / Suite du par. - Alt P"/>
    <w:next w:val="ParaNoNdepar-AltN"/>
    <w:uiPriority w:val="1"/>
    <w:qFormat/>
    <w:rsid w:val="00AE0018"/>
    <w:pPr>
      <w:spacing w:before="480" w:after="480" w:line="480" w:lineRule="auto"/>
      <w:jc w:val="both"/>
    </w:pPr>
    <w:rPr>
      <w:lang w:val="en-CA"/>
    </w:rPr>
  </w:style>
  <w:style w:type="character" w:customStyle="1" w:styleId="reflex3-block">
    <w:name w:val="reflex3-block"/>
    <w:basedOn w:val="DefaultParagraphFont"/>
    <w:rsid w:val="00AE0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94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www.canlii.org/fr/qc/qcca/doc/2015/2015qcca1856/2015qcca1856.html" TargetMode="External"/><Relationship Id="rId39" Type="http://schemas.openxmlformats.org/officeDocument/2006/relationships/header" Target="header8.xml"/><Relationship Id="rId21" Type="http://schemas.openxmlformats.org/officeDocument/2006/relationships/hyperlink" Target="http://www.canlii.org/en/ca/fct/doc/2014/2014fc463/2014fc463.html?autocompleteStr=2014%20FC%20463&amp;autocompletePos=1" TargetMode="External"/><Relationship Id="rId34" Type="http://schemas.openxmlformats.org/officeDocument/2006/relationships/header" Target="header6.xml"/><Relationship Id="rId42" Type="http://schemas.openxmlformats.org/officeDocument/2006/relationships/footer" Target="footer9.xml"/><Relationship Id="rId47" Type="http://schemas.openxmlformats.org/officeDocument/2006/relationships/footer" Target="footer11.xml"/><Relationship Id="rId50" Type="http://schemas.openxmlformats.org/officeDocument/2006/relationships/footer" Target="footer13.xml"/><Relationship Id="rId55" Type="http://schemas.openxmlformats.org/officeDocument/2006/relationships/header" Target="header16.xml"/><Relationship Id="rId63" Type="http://schemas.openxmlformats.org/officeDocument/2006/relationships/footer" Target="foot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canlii.ca/t/g6c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canlii.org/fr/qc/qcca/doc/2015/2015qcca1856/2015qcca1856.html" TargetMode="External"/><Relationship Id="rId32" Type="http://schemas.openxmlformats.org/officeDocument/2006/relationships/hyperlink" Target="http://www.canlii.org/fr/qc/qcca/doc/2015/2015qcca1757/2015qcca1757.html" TargetMode="External"/><Relationship Id="rId37" Type="http://schemas.openxmlformats.org/officeDocument/2006/relationships/header" Target="header7.xml"/><Relationship Id="rId40" Type="http://schemas.openxmlformats.org/officeDocument/2006/relationships/header" Target="header9.xml"/><Relationship Id="rId45" Type="http://schemas.openxmlformats.org/officeDocument/2006/relationships/header" Target="header11.xml"/><Relationship Id="rId53" Type="http://schemas.openxmlformats.org/officeDocument/2006/relationships/footer" Target="footer14.xml"/><Relationship Id="rId58" Type="http://schemas.openxmlformats.org/officeDocument/2006/relationships/header" Target="header17.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canlii.org/fr/qc/qccs/doc/2015/2015qccs985/2015qccs985.html" TargetMode="External"/><Relationship Id="rId28" Type="http://schemas.openxmlformats.org/officeDocument/2006/relationships/hyperlink" Target="http://canlii.ca/t/gm91s" TargetMode="External"/><Relationship Id="rId36" Type="http://schemas.openxmlformats.org/officeDocument/2006/relationships/footer" Target="footer6.xml"/><Relationship Id="rId49" Type="http://schemas.openxmlformats.org/officeDocument/2006/relationships/header" Target="header13.xml"/><Relationship Id="rId57" Type="http://schemas.openxmlformats.org/officeDocument/2006/relationships/hyperlink" Target="http://www.scc-csc.ca/case-dossier/info/sum-som-fra.aspx?cas=36315" TargetMode="External"/><Relationship Id="rId61" Type="http://schemas.openxmlformats.org/officeDocument/2006/relationships/footer" Target="footer18.xml"/><Relationship Id="rId10" Type="http://schemas.openxmlformats.org/officeDocument/2006/relationships/hyperlink" Target="http://www.scc-csc.ca" TargetMode="External"/><Relationship Id="rId19" Type="http://schemas.openxmlformats.org/officeDocument/2006/relationships/hyperlink" Target="http://www.canlii.org/en/ca/fct/doc/2014/2014fc463/2014fc463.html?autocompleteStr=2014%20FC%20463&amp;autocompletePos=1" TargetMode="External"/><Relationship Id="rId31" Type="http://schemas.openxmlformats.org/officeDocument/2006/relationships/hyperlink" Target="http://www.canlii.org/fr/qc/qcca/doc/2015/2015qcca1757/2015qcca1757.html" TargetMode="External"/><Relationship Id="rId44" Type="http://schemas.openxmlformats.org/officeDocument/2006/relationships/footer" Target="footer10.xml"/><Relationship Id="rId52" Type="http://schemas.openxmlformats.org/officeDocument/2006/relationships/header" Target="header15.xml"/><Relationship Id="rId60" Type="http://schemas.openxmlformats.org/officeDocument/2006/relationships/footer" Target="footer17.xml"/><Relationship Id="rId65"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hyperlink" Target="http://www.canlii.org/en/ca/fca/doc/2015/2015fca186/2015fca186.html?autocompleteStr=2015%20FCA%20186&amp;autocompletePos=1" TargetMode="External"/><Relationship Id="rId27" Type="http://schemas.openxmlformats.org/officeDocument/2006/relationships/hyperlink" Target="http://canlii.ca/t/g6cfk" TargetMode="External"/><Relationship Id="rId30" Type="http://schemas.openxmlformats.org/officeDocument/2006/relationships/hyperlink" Target="http://canlii.ca/t/gm91s" TargetMode="External"/><Relationship Id="rId35" Type="http://schemas.openxmlformats.org/officeDocument/2006/relationships/footer" Target="footer5.xml"/><Relationship Id="rId43" Type="http://schemas.openxmlformats.org/officeDocument/2006/relationships/header" Target="header10.xml"/><Relationship Id="rId48" Type="http://schemas.openxmlformats.org/officeDocument/2006/relationships/footer" Target="footer12.xml"/><Relationship Id="rId56" Type="http://schemas.openxmlformats.org/officeDocument/2006/relationships/footer" Target="footer16.xml"/><Relationship Id="rId64" Type="http://schemas.openxmlformats.org/officeDocument/2006/relationships/header" Target="header20.xml"/><Relationship Id="rId8" Type="http://schemas.openxmlformats.org/officeDocument/2006/relationships/image" Target="media/image1.wmf"/><Relationship Id="rId51" Type="http://schemas.openxmlformats.org/officeDocument/2006/relationships/header" Target="header1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canlii.org/fr/qc/qccs/doc/2015/2015qccs985/2015qccs985.html" TargetMode="External"/><Relationship Id="rId33" Type="http://schemas.openxmlformats.org/officeDocument/2006/relationships/header" Target="header5.xml"/><Relationship Id="rId38" Type="http://schemas.openxmlformats.org/officeDocument/2006/relationships/footer" Target="footer7.xml"/><Relationship Id="rId46" Type="http://schemas.openxmlformats.org/officeDocument/2006/relationships/header" Target="header12.xml"/><Relationship Id="rId59" Type="http://schemas.openxmlformats.org/officeDocument/2006/relationships/header" Target="header18.xml"/><Relationship Id="rId67" Type="http://schemas.openxmlformats.org/officeDocument/2006/relationships/theme" Target="theme/theme1.xml"/><Relationship Id="rId20" Type="http://schemas.openxmlformats.org/officeDocument/2006/relationships/hyperlink" Target="http://www.canlii.org/en/ca/fca/doc/2015/2015fca186/2015fca186.html?autocompleteStr=2015%20FCA%20186&amp;autocompletePos=1" TargetMode="External"/><Relationship Id="rId41" Type="http://schemas.openxmlformats.org/officeDocument/2006/relationships/footer" Target="footer8.xml"/><Relationship Id="rId54" Type="http://schemas.openxmlformats.org/officeDocument/2006/relationships/footer" Target="footer15.xml"/><Relationship Id="rId62"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BC739-6312-4A21-84A0-0459B6CA1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12885</Words>
  <Characters>73451</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2016-04-27T13:21:00Z</dcterms:created>
  <dcterms:modified xsi:type="dcterms:W3CDTF">2016-05-20T18:10:00Z</dcterms:modified>
</cp:coreProperties>
</file>