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F295C" w:rsidRDefault="00257021" w:rsidP="00257021">
      <w:pPr>
        <w:jc w:val="center"/>
      </w:pPr>
      <w:r w:rsidRPr="003D2114">
        <w:rPr>
          <w:noProof/>
          <w:lang w:val="en-US"/>
        </w:rPr>
        <w:drawing>
          <wp:inline distT="0" distB="0" distL="0" distR="0" wp14:anchorId="519DE69F" wp14:editId="31A534B5">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F295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F295C" w:rsidTr="002E5576">
        <w:tc>
          <w:tcPr>
            <w:tcW w:w="4518" w:type="dxa"/>
          </w:tcPr>
          <w:p w:rsidR="00BF25F3" w:rsidRPr="00EF295C" w:rsidRDefault="00BF25F3" w:rsidP="00BF25F3">
            <w:pPr>
              <w:tabs>
                <w:tab w:val="left" w:pos="6075"/>
              </w:tabs>
              <w:jc w:val="center"/>
              <w:rPr>
                <w:b/>
                <w:sz w:val="32"/>
                <w:szCs w:val="32"/>
              </w:rPr>
            </w:pPr>
            <w:r w:rsidRPr="00EF295C">
              <w:rPr>
                <w:b/>
                <w:sz w:val="32"/>
                <w:szCs w:val="32"/>
              </w:rPr>
              <w:t>SUPREME COURT OF CANADA</w:t>
            </w:r>
          </w:p>
        </w:tc>
        <w:tc>
          <w:tcPr>
            <w:tcW w:w="630" w:type="dxa"/>
          </w:tcPr>
          <w:p w:rsidR="00BF25F3" w:rsidRPr="00EF295C" w:rsidRDefault="00BF25F3" w:rsidP="00BF25F3">
            <w:pPr>
              <w:tabs>
                <w:tab w:val="left" w:pos="6075"/>
              </w:tabs>
              <w:jc w:val="center"/>
              <w:rPr>
                <w:sz w:val="32"/>
                <w:szCs w:val="32"/>
              </w:rPr>
            </w:pPr>
          </w:p>
        </w:tc>
        <w:tc>
          <w:tcPr>
            <w:tcW w:w="4428" w:type="dxa"/>
          </w:tcPr>
          <w:p w:rsidR="00BF25F3" w:rsidRPr="00EF295C" w:rsidRDefault="00BF25F3" w:rsidP="00BF25F3">
            <w:pPr>
              <w:tabs>
                <w:tab w:val="left" w:pos="6075"/>
              </w:tabs>
              <w:jc w:val="center"/>
              <w:rPr>
                <w:b/>
                <w:sz w:val="32"/>
                <w:szCs w:val="32"/>
                <w:lang w:val="fr-CA"/>
              </w:rPr>
            </w:pPr>
            <w:r w:rsidRPr="00EF295C">
              <w:rPr>
                <w:b/>
                <w:sz w:val="32"/>
                <w:szCs w:val="32"/>
                <w:lang w:val="fr-CA"/>
              </w:rPr>
              <w:t>COUR SUPRÊME DU CANADA</w:t>
            </w:r>
          </w:p>
        </w:tc>
      </w:tr>
      <w:tr w:rsidR="00BF25F3" w:rsidRPr="00EF295C" w:rsidTr="002E5576">
        <w:tc>
          <w:tcPr>
            <w:tcW w:w="4518" w:type="dxa"/>
          </w:tcPr>
          <w:p w:rsidR="00BF25F3" w:rsidRPr="00EF295C" w:rsidRDefault="00BF25F3" w:rsidP="00BF25F3">
            <w:pPr>
              <w:tabs>
                <w:tab w:val="left" w:pos="6075"/>
              </w:tabs>
            </w:pPr>
          </w:p>
          <w:p w:rsidR="001B5C23" w:rsidRPr="00EF295C" w:rsidRDefault="001B5C23" w:rsidP="00BF25F3">
            <w:pPr>
              <w:tabs>
                <w:tab w:val="left" w:pos="6075"/>
              </w:tabs>
            </w:pPr>
          </w:p>
          <w:p w:rsidR="001B5C23" w:rsidRPr="00EF295C" w:rsidRDefault="001B5C23" w:rsidP="00BF25F3">
            <w:pPr>
              <w:tabs>
                <w:tab w:val="left" w:pos="6075"/>
              </w:tabs>
            </w:pPr>
          </w:p>
        </w:tc>
        <w:tc>
          <w:tcPr>
            <w:tcW w:w="630" w:type="dxa"/>
          </w:tcPr>
          <w:p w:rsidR="00BF25F3" w:rsidRPr="00EF295C" w:rsidRDefault="00BF25F3" w:rsidP="00BF25F3">
            <w:pPr>
              <w:tabs>
                <w:tab w:val="left" w:pos="6075"/>
              </w:tabs>
            </w:pPr>
          </w:p>
        </w:tc>
        <w:tc>
          <w:tcPr>
            <w:tcW w:w="4428" w:type="dxa"/>
          </w:tcPr>
          <w:p w:rsidR="00BF25F3" w:rsidRPr="00EF295C" w:rsidRDefault="00BF25F3" w:rsidP="00BF25F3">
            <w:pPr>
              <w:tabs>
                <w:tab w:val="left" w:pos="6075"/>
              </w:tabs>
              <w:rPr>
                <w:lang w:val="fr-CA"/>
              </w:rPr>
            </w:pPr>
          </w:p>
        </w:tc>
      </w:tr>
      <w:tr w:rsidR="00BF25F3" w:rsidRPr="00EF295C" w:rsidTr="002E5576">
        <w:tc>
          <w:tcPr>
            <w:tcW w:w="4518" w:type="dxa"/>
          </w:tcPr>
          <w:p w:rsidR="001B5C23" w:rsidRPr="00EF295C" w:rsidRDefault="00BF25F3" w:rsidP="00BF25F3">
            <w:pPr>
              <w:tabs>
                <w:tab w:val="left" w:pos="6075"/>
              </w:tabs>
              <w:jc w:val="center"/>
              <w:rPr>
                <w:sz w:val="28"/>
                <w:szCs w:val="28"/>
              </w:rPr>
            </w:pPr>
            <w:r w:rsidRPr="00EF295C">
              <w:rPr>
                <w:sz w:val="28"/>
                <w:szCs w:val="28"/>
              </w:rPr>
              <w:t>BULLETIN OF</w:t>
            </w:r>
          </w:p>
          <w:p w:rsidR="00BF25F3" w:rsidRPr="00EF295C" w:rsidRDefault="00BF25F3" w:rsidP="00BF25F3">
            <w:pPr>
              <w:tabs>
                <w:tab w:val="left" w:pos="6075"/>
              </w:tabs>
              <w:jc w:val="center"/>
              <w:rPr>
                <w:sz w:val="28"/>
                <w:szCs w:val="28"/>
              </w:rPr>
            </w:pPr>
            <w:r w:rsidRPr="00EF295C">
              <w:rPr>
                <w:sz w:val="28"/>
                <w:szCs w:val="28"/>
              </w:rPr>
              <w:t xml:space="preserve"> PROCEEDINGS</w:t>
            </w:r>
          </w:p>
        </w:tc>
        <w:tc>
          <w:tcPr>
            <w:tcW w:w="630" w:type="dxa"/>
          </w:tcPr>
          <w:p w:rsidR="00BF25F3" w:rsidRPr="00EF295C" w:rsidRDefault="00BF25F3" w:rsidP="00BF25F3">
            <w:pPr>
              <w:tabs>
                <w:tab w:val="left" w:pos="6075"/>
              </w:tabs>
            </w:pPr>
          </w:p>
        </w:tc>
        <w:tc>
          <w:tcPr>
            <w:tcW w:w="4428" w:type="dxa"/>
          </w:tcPr>
          <w:p w:rsidR="001B5C23" w:rsidRPr="00EF295C" w:rsidRDefault="00BF25F3" w:rsidP="00BF25F3">
            <w:pPr>
              <w:tabs>
                <w:tab w:val="left" w:pos="6075"/>
              </w:tabs>
              <w:jc w:val="center"/>
              <w:rPr>
                <w:sz w:val="28"/>
                <w:szCs w:val="28"/>
                <w:lang w:val="fr-CA"/>
              </w:rPr>
            </w:pPr>
            <w:r w:rsidRPr="00EF295C">
              <w:rPr>
                <w:sz w:val="28"/>
                <w:szCs w:val="28"/>
                <w:lang w:val="fr-CA"/>
              </w:rPr>
              <w:t>BULLETIN DES</w:t>
            </w:r>
          </w:p>
          <w:p w:rsidR="00BF25F3" w:rsidRPr="00EF295C" w:rsidRDefault="00BF25F3" w:rsidP="00BF25F3">
            <w:pPr>
              <w:tabs>
                <w:tab w:val="left" w:pos="6075"/>
              </w:tabs>
              <w:jc w:val="center"/>
              <w:rPr>
                <w:sz w:val="28"/>
                <w:szCs w:val="28"/>
                <w:lang w:val="fr-CA"/>
              </w:rPr>
            </w:pPr>
            <w:r w:rsidRPr="00EF295C">
              <w:rPr>
                <w:sz w:val="28"/>
                <w:szCs w:val="28"/>
                <w:lang w:val="fr-CA"/>
              </w:rPr>
              <w:t xml:space="preserve"> PROCÉDURES</w:t>
            </w:r>
          </w:p>
        </w:tc>
      </w:tr>
      <w:tr w:rsidR="00BF25F3" w:rsidRPr="00EF295C" w:rsidTr="002E5576">
        <w:tc>
          <w:tcPr>
            <w:tcW w:w="4518" w:type="dxa"/>
          </w:tcPr>
          <w:p w:rsidR="00BF25F3" w:rsidRPr="00EF295C" w:rsidRDefault="00BF25F3" w:rsidP="00BF25F3">
            <w:pPr>
              <w:tabs>
                <w:tab w:val="left" w:pos="6075"/>
              </w:tabs>
            </w:pPr>
          </w:p>
          <w:p w:rsidR="001B5C23" w:rsidRPr="00EF295C" w:rsidRDefault="001B5C23" w:rsidP="00BF25F3">
            <w:pPr>
              <w:tabs>
                <w:tab w:val="left" w:pos="6075"/>
              </w:tabs>
            </w:pPr>
          </w:p>
        </w:tc>
        <w:tc>
          <w:tcPr>
            <w:tcW w:w="630" w:type="dxa"/>
          </w:tcPr>
          <w:p w:rsidR="00BF25F3" w:rsidRPr="00EF295C" w:rsidRDefault="00BF25F3" w:rsidP="00BF25F3">
            <w:pPr>
              <w:tabs>
                <w:tab w:val="left" w:pos="6075"/>
              </w:tabs>
            </w:pPr>
          </w:p>
        </w:tc>
        <w:tc>
          <w:tcPr>
            <w:tcW w:w="4428" w:type="dxa"/>
          </w:tcPr>
          <w:p w:rsidR="00BF25F3" w:rsidRPr="00EF295C" w:rsidRDefault="00BF25F3" w:rsidP="00BF25F3">
            <w:pPr>
              <w:tabs>
                <w:tab w:val="left" w:pos="6075"/>
              </w:tabs>
              <w:rPr>
                <w:lang w:val="fr-CA"/>
              </w:rPr>
            </w:pPr>
          </w:p>
        </w:tc>
      </w:tr>
      <w:tr w:rsidR="00BF25F3" w:rsidRPr="00EF295C" w:rsidTr="002E5576">
        <w:tc>
          <w:tcPr>
            <w:tcW w:w="4518" w:type="dxa"/>
          </w:tcPr>
          <w:p w:rsidR="00BF25F3" w:rsidRPr="00EF295C" w:rsidRDefault="00BF25F3" w:rsidP="00BF25F3">
            <w:pPr>
              <w:tabs>
                <w:tab w:val="left" w:pos="6075"/>
              </w:tabs>
              <w:jc w:val="both"/>
              <w:rPr>
                <w:rFonts w:ascii="Arial" w:hAnsi="Arial" w:cs="Arial"/>
                <w:i/>
                <w:sz w:val="20"/>
                <w:szCs w:val="20"/>
              </w:rPr>
            </w:pPr>
            <w:r w:rsidRPr="00EF295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295C" w:rsidRDefault="00BF25F3" w:rsidP="00BF25F3">
            <w:pPr>
              <w:tabs>
                <w:tab w:val="left" w:pos="6075"/>
              </w:tabs>
              <w:jc w:val="both"/>
              <w:rPr>
                <w:rFonts w:ascii="Arial" w:hAnsi="Arial" w:cs="Arial"/>
                <w:i/>
                <w:sz w:val="20"/>
                <w:szCs w:val="20"/>
              </w:rPr>
            </w:pPr>
          </w:p>
        </w:tc>
        <w:tc>
          <w:tcPr>
            <w:tcW w:w="4428" w:type="dxa"/>
          </w:tcPr>
          <w:p w:rsidR="00BF25F3" w:rsidRPr="00EF295C" w:rsidRDefault="00BF25F3" w:rsidP="00BF25F3">
            <w:pPr>
              <w:tabs>
                <w:tab w:val="left" w:pos="6075"/>
              </w:tabs>
              <w:jc w:val="both"/>
              <w:rPr>
                <w:rFonts w:ascii="Arial" w:hAnsi="Arial" w:cs="Arial"/>
                <w:i/>
                <w:sz w:val="20"/>
                <w:szCs w:val="20"/>
                <w:lang w:val="fr-CA"/>
              </w:rPr>
            </w:pPr>
            <w:r w:rsidRPr="00EF295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295C" w:rsidTr="002E5576">
        <w:tc>
          <w:tcPr>
            <w:tcW w:w="4518" w:type="dxa"/>
          </w:tcPr>
          <w:p w:rsidR="00BF25F3" w:rsidRPr="00EF295C" w:rsidRDefault="00BF25F3" w:rsidP="00BF25F3">
            <w:pPr>
              <w:tabs>
                <w:tab w:val="left" w:pos="6075"/>
              </w:tabs>
              <w:rPr>
                <w:lang w:val="fr-CA"/>
              </w:rPr>
            </w:pPr>
          </w:p>
          <w:p w:rsidR="00D862C1" w:rsidRPr="00EF295C" w:rsidRDefault="00D862C1" w:rsidP="00BF25F3">
            <w:pPr>
              <w:tabs>
                <w:tab w:val="left" w:pos="6075"/>
              </w:tabs>
              <w:rPr>
                <w:lang w:val="fr-CA"/>
              </w:rPr>
            </w:pPr>
          </w:p>
        </w:tc>
        <w:tc>
          <w:tcPr>
            <w:tcW w:w="630" w:type="dxa"/>
          </w:tcPr>
          <w:p w:rsidR="00BF25F3" w:rsidRPr="00EF295C" w:rsidRDefault="00BF25F3" w:rsidP="00BF25F3">
            <w:pPr>
              <w:tabs>
                <w:tab w:val="left" w:pos="6075"/>
              </w:tabs>
              <w:rPr>
                <w:lang w:val="fr-CA"/>
              </w:rPr>
            </w:pPr>
          </w:p>
        </w:tc>
        <w:tc>
          <w:tcPr>
            <w:tcW w:w="4428" w:type="dxa"/>
          </w:tcPr>
          <w:p w:rsidR="00BF25F3" w:rsidRPr="00EF295C" w:rsidRDefault="00BF25F3" w:rsidP="00BF25F3">
            <w:pPr>
              <w:tabs>
                <w:tab w:val="left" w:pos="6075"/>
              </w:tabs>
              <w:rPr>
                <w:lang w:val="fr-CA"/>
              </w:rPr>
            </w:pPr>
          </w:p>
        </w:tc>
      </w:tr>
      <w:tr w:rsidR="00BF25F3" w:rsidRPr="00EF295C" w:rsidTr="002E5576">
        <w:tc>
          <w:tcPr>
            <w:tcW w:w="4518" w:type="dxa"/>
          </w:tcPr>
          <w:p w:rsidR="00BF25F3" w:rsidRPr="00EF295C" w:rsidRDefault="00BF25F3" w:rsidP="009F3024">
            <w:pPr>
              <w:tabs>
                <w:tab w:val="left" w:pos="6075"/>
              </w:tabs>
              <w:jc w:val="both"/>
              <w:rPr>
                <w:rFonts w:ascii="Arial" w:hAnsi="Arial" w:cs="Arial"/>
                <w:i/>
                <w:sz w:val="20"/>
                <w:szCs w:val="20"/>
              </w:rPr>
            </w:pPr>
            <w:r w:rsidRPr="00EF295C">
              <w:rPr>
                <w:rFonts w:ascii="Arial" w:hAnsi="Arial" w:cs="Arial"/>
                <w:i/>
                <w:sz w:val="20"/>
                <w:szCs w:val="20"/>
              </w:rPr>
              <w:t xml:space="preserve">During Court sessions </w:t>
            </w:r>
            <w:r w:rsidR="009F3024" w:rsidRPr="00EF295C">
              <w:rPr>
                <w:rFonts w:ascii="Arial" w:hAnsi="Arial" w:cs="Arial"/>
                <w:i/>
                <w:sz w:val="20"/>
                <w:szCs w:val="20"/>
              </w:rPr>
              <w:t xml:space="preserve">the Bulletin </w:t>
            </w:r>
            <w:r w:rsidRPr="00EF295C">
              <w:rPr>
                <w:rFonts w:ascii="Arial" w:hAnsi="Arial" w:cs="Arial"/>
                <w:i/>
                <w:sz w:val="20"/>
                <w:szCs w:val="20"/>
              </w:rPr>
              <w:t>is usually issued weekly.</w:t>
            </w:r>
          </w:p>
        </w:tc>
        <w:tc>
          <w:tcPr>
            <w:tcW w:w="630" w:type="dxa"/>
          </w:tcPr>
          <w:p w:rsidR="00BF25F3" w:rsidRPr="00EF295C" w:rsidRDefault="00BF25F3" w:rsidP="00BF25F3">
            <w:pPr>
              <w:tabs>
                <w:tab w:val="left" w:pos="6075"/>
              </w:tabs>
              <w:jc w:val="both"/>
              <w:rPr>
                <w:rFonts w:ascii="Arial" w:hAnsi="Arial" w:cs="Arial"/>
                <w:i/>
                <w:sz w:val="20"/>
                <w:szCs w:val="20"/>
              </w:rPr>
            </w:pPr>
          </w:p>
        </w:tc>
        <w:tc>
          <w:tcPr>
            <w:tcW w:w="4428" w:type="dxa"/>
          </w:tcPr>
          <w:p w:rsidR="00BF25F3" w:rsidRPr="00EF295C" w:rsidRDefault="00BF25F3" w:rsidP="00BF25F3">
            <w:pPr>
              <w:tabs>
                <w:tab w:val="left" w:pos="6075"/>
              </w:tabs>
              <w:jc w:val="both"/>
              <w:rPr>
                <w:rFonts w:ascii="Arial" w:hAnsi="Arial" w:cs="Arial"/>
                <w:i/>
                <w:sz w:val="20"/>
                <w:szCs w:val="20"/>
                <w:lang w:val="fr-CA"/>
              </w:rPr>
            </w:pPr>
            <w:r w:rsidRPr="00EF295C">
              <w:rPr>
                <w:rFonts w:ascii="Arial" w:hAnsi="Arial" w:cs="Arial"/>
                <w:i/>
                <w:sz w:val="20"/>
                <w:szCs w:val="20"/>
                <w:lang w:val="fr-CA"/>
              </w:rPr>
              <w:t>Le Bulletin paraît en principe toutes les semaines pendant les sessions de la Cour.</w:t>
            </w:r>
          </w:p>
        </w:tc>
      </w:tr>
      <w:tr w:rsidR="00BF25F3" w:rsidRPr="00EF295C" w:rsidTr="002E5576">
        <w:tc>
          <w:tcPr>
            <w:tcW w:w="4518" w:type="dxa"/>
          </w:tcPr>
          <w:p w:rsidR="00BF25F3" w:rsidRPr="00EF295C" w:rsidRDefault="00BF25F3" w:rsidP="00BF25F3">
            <w:pPr>
              <w:tabs>
                <w:tab w:val="left" w:pos="6075"/>
              </w:tabs>
              <w:rPr>
                <w:lang w:val="fr-CA"/>
              </w:rPr>
            </w:pPr>
          </w:p>
          <w:p w:rsidR="00D862C1" w:rsidRPr="00EF295C" w:rsidRDefault="00D862C1" w:rsidP="00BF25F3">
            <w:pPr>
              <w:tabs>
                <w:tab w:val="left" w:pos="6075"/>
              </w:tabs>
              <w:rPr>
                <w:lang w:val="fr-CA"/>
              </w:rPr>
            </w:pPr>
          </w:p>
        </w:tc>
        <w:tc>
          <w:tcPr>
            <w:tcW w:w="630" w:type="dxa"/>
          </w:tcPr>
          <w:p w:rsidR="00BF25F3" w:rsidRPr="00EF295C" w:rsidRDefault="00BF25F3" w:rsidP="00BF25F3">
            <w:pPr>
              <w:tabs>
                <w:tab w:val="left" w:pos="6075"/>
              </w:tabs>
              <w:rPr>
                <w:lang w:val="fr-CA"/>
              </w:rPr>
            </w:pPr>
          </w:p>
        </w:tc>
        <w:tc>
          <w:tcPr>
            <w:tcW w:w="4428" w:type="dxa"/>
          </w:tcPr>
          <w:p w:rsidR="00BF25F3" w:rsidRPr="00EF295C" w:rsidRDefault="00BF25F3" w:rsidP="00BF25F3">
            <w:pPr>
              <w:tabs>
                <w:tab w:val="left" w:pos="6075"/>
              </w:tabs>
              <w:rPr>
                <w:lang w:val="fr-CA"/>
              </w:rPr>
            </w:pPr>
          </w:p>
        </w:tc>
      </w:tr>
      <w:tr w:rsidR="00BF25F3" w:rsidRPr="00EF295C" w:rsidTr="002E5576">
        <w:tc>
          <w:tcPr>
            <w:tcW w:w="4518" w:type="dxa"/>
          </w:tcPr>
          <w:p w:rsidR="00BF25F3" w:rsidRPr="00EF295C" w:rsidRDefault="000E27A5" w:rsidP="00BF25F3">
            <w:pPr>
              <w:tabs>
                <w:tab w:val="left" w:pos="6075"/>
              </w:tabs>
              <w:jc w:val="both"/>
              <w:rPr>
                <w:rFonts w:ascii="Arial" w:hAnsi="Arial" w:cs="Arial"/>
                <w:i/>
                <w:sz w:val="20"/>
                <w:szCs w:val="20"/>
              </w:rPr>
            </w:pPr>
            <w:r w:rsidRPr="00EF295C">
              <w:rPr>
                <w:rFonts w:ascii="Arial" w:hAnsi="Arial" w:cs="Arial"/>
                <w:i/>
                <w:sz w:val="20"/>
                <w:szCs w:val="20"/>
              </w:rPr>
              <w:fldChar w:fldCharType="begin"/>
            </w:r>
            <w:r w:rsidR="00BF25F3" w:rsidRPr="00EF295C">
              <w:rPr>
                <w:rFonts w:ascii="Arial" w:hAnsi="Arial" w:cs="Arial"/>
                <w:i/>
                <w:sz w:val="20"/>
                <w:szCs w:val="20"/>
              </w:rPr>
              <w:instrText xml:space="preserve"> SEQ CHAPTER \h \r 1</w:instrText>
            </w:r>
            <w:r w:rsidRPr="00EF295C">
              <w:rPr>
                <w:rFonts w:ascii="Arial" w:hAnsi="Arial" w:cs="Arial"/>
                <w:i/>
                <w:sz w:val="20"/>
                <w:szCs w:val="20"/>
              </w:rPr>
              <w:fldChar w:fldCharType="end"/>
            </w:r>
            <w:r w:rsidR="00BF25F3" w:rsidRPr="00EF295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F295C" w:rsidRDefault="00BF25F3" w:rsidP="00BF25F3">
            <w:pPr>
              <w:tabs>
                <w:tab w:val="left" w:pos="6075"/>
              </w:tabs>
              <w:jc w:val="both"/>
              <w:rPr>
                <w:rFonts w:ascii="Arial" w:hAnsi="Arial" w:cs="Arial"/>
                <w:i/>
                <w:sz w:val="20"/>
                <w:szCs w:val="20"/>
              </w:rPr>
            </w:pPr>
          </w:p>
        </w:tc>
        <w:tc>
          <w:tcPr>
            <w:tcW w:w="4428" w:type="dxa"/>
          </w:tcPr>
          <w:p w:rsidR="00BF25F3" w:rsidRPr="00EF295C" w:rsidRDefault="000E27A5" w:rsidP="00BF25F3">
            <w:pPr>
              <w:tabs>
                <w:tab w:val="left" w:pos="6075"/>
              </w:tabs>
              <w:jc w:val="both"/>
              <w:rPr>
                <w:rFonts w:ascii="Arial" w:hAnsi="Arial" w:cs="Arial"/>
                <w:i/>
                <w:sz w:val="20"/>
                <w:szCs w:val="20"/>
                <w:lang w:val="fr-CA"/>
              </w:rPr>
            </w:pPr>
            <w:r w:rsidRPr="00EF295C">
              <w:rPr>
                <w:rFonts w:ascii="Arial" w:hAnsi="Arial" w:cs="Arial"/>
                <w:i/>
                <w:sz w:val="20"/>
                <w:szCs w:val="20"/>
                <w:lang w:val="fr-CA"/>
              </w:rPr>
              <w:fldChar w:fldCharType="begin"/>
            </w:r>
            <w:r w:rsidR="00BF25F3" w:rsidRPr="00EF295C">
              <w:rPr>
                <w:rFonts w:ascii="Arial" w:hAnsi="Arial" w:cs="Arial"/>
                <w:i/>
                <w:sz w:val="20"/>
                <w:szCs w:val="20"/>
                <w:lang w:val="fr-CA"/>
              </w:rPr>
              <w:instrText xml:space="preserve"> SEQ CHAPTER \h \r 1</w:instrText>
            </w:r>
            <w:r w:rsidRPr="00EF295C">
              <w:rPr>
                <w:rFonts w:ascii="Arial" w:hAnsi="Arial" w:cs="Arial"/>
                <w:i/>
                <w:sz w:val="20"/>
                <w:szCs w:val="20"/>
                <w:lang w:val="fr-CA"/>
              </w:rPr>
              <w:fldChar w:fldCharType="end"/>
            </w:r>
            <w:r w:rsidR="00BF25F3" w:rsidRPr="00EF295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295C" w:rsidTr="002E5576">
        <w:tc>
          <w:tcPr>
            <w:tcW w:w="4518" w:type="dxa"/>
          </w:tcPr>
          <w:p w:rsidR="009F3024" w:rsidRPr="00EF295C" w:rsidRDefault="009F3024" w:rsidP="009F3024">
            <w:pPr>
              <w:tabs>
                <w:tab w:val="left" w:pos="6075"/>
              </w:tabs>
              <w:rPr>
                <w:rFonts w:cs="Times New Roman"/>
                <w:szCs w:val="24"/>
                <w:lang w:val="fr-CA"/>
              </w:rPr>
            </w:pPr>
          </w:p>
          <w:p w:rsidR="009F3024" w:rsidRPr="00EF295C" w:rsidRDefault="009F3024" w:rsidP="009F3024">
            <w:pPr>
              <w:tabs>
                <w:tab w:val="left" w:pos="6075"/>
              </w:tabs>
              <w:rPr>
                <w:rFonts w:cs="Times New Roman"/>
                <w:szCs w:val="24"/>
                <w:lang w:val="fr-CA"/>
              </w:rPr>
            </w:pPr>
          </w:p>
        </w:tc>
        <w:tc>
          <w:tcPr>
            <w:tcW w:w="630" w:type="dxa"/>
          </w:tcPr>
          <w:p w:rsidR="009F3024" w:rsidRPr="00EF295C" w:rsidRDefault="009F3024" w:rsidP="009F3024">
            <w:pPr>
              <w:tabs>
                <w:tab w:val="left" w:pos="6075"/>
              </w:tabs>
              <w:rPr>
                <w:rFonts w:cs="Times New Roman"/>
                <w:szCs w:val="24"/>
                <w:lang w:val="fr-CA"/>
              </w:rPr>
            </w:pPr>
          </w:p>
        </w:tc>
        <w:tc>
          <w:tcPr>
            <w:tcW w:w="4428" w:type="dxa"/>
          </w:tcPr>
          <w:p w:rsidR="009F3024" w:rsidRPr="00EF295C" w:rsidRDefault="009F3024" w:rsidP="009F3024">
            <w:pPr>
              <w:tabs>
                <w:tab w:val="left" w:pos="6075"/>
              </w:tabs>
              <w:rPr>
                <w:rFonts w:cs="Times New Roman"/>
                <w:szCs w:val="24"/>
                <w:lang w:val="fr-CA"/>
              </w:rPr>
            </w:pPr>
          </w:p>
        </w:tc>
      </w:tr>
      <w:tr w:rsidR="009F3024" w:rsidRPr="00EF295C" w:rsidTr="002E5576">
        <w:tc>
          <w:tcPr>
            <w:tcW w:w="4518" w:type="dxa"/>
          </w:tcPr>
          <w:p w:rsidR="009F3024" w:rsidRPr="00EF295C" w:rsidRDefault="009F3024" w:rsidP="00E414CA">
            <w:pPr>
              <w:tabs>
                <w:tab w:val="left" w:pos="6075"/>
              </w:tabs>
              <w:jc w:val="both"/>
              <w:rPr>
                <w:rFonts w:ascii="Arial" w:hAnsi="Arial" w:cs="Arial"/>
                <w:i/>
                <w:sz w:val="20"/>
                <w:szCs w:val="20"/>
              </w:rPr>
            </w:pPr>
            <w:r w:rsidRPr="00EF295C">
              <w:rPr>
                <w:rFonts w:ascii="Arial" w:hAnsi="Arial" w:cs="Arial"/>
                <w:i/>
                <w:sz w:val="20"/>
                <w:szCs w:val="20"/>
              </w:rPr>
              <w:t xml:space="preserve">Consult the Supreme Court of Canada website at </w:t>
            </w:r>
            <w:hyperlink r:id="rId8" w:history="1">
              <w:r w:rsidR="00E414CA" w:rsidRPr="00EF295C">
                <w:rPr>
                  <w:rStyle w:val="Hyperlink"/>
                  <w:rFonts w:ascii="Arial" w:hAnsi="Arial" w:cs="Arial"/>
                  <w:i/>
                  <w:sz w:val="20"/>
                  <w:szCs w:val="20"/>
                </w:rPr>
                <w:t>www.scc-csc.ca</w:t>
              </w:r>
            </w:hyperlink>
            <w:r w:rsidRPr="00EF295C">
              <w:rPr>
                <w:rFonts w:ascii="Arial" w:hAnsi="Arial" w:cs="Arial"/>
                <w:i/>
                <w:sz w:val="20"/>
                <w:szCs w:val="20"/>
              </w:rPr>
              <w:t xml:space="preserve"> for more information.</w:t>
            </w:r>
          </w:p>
        </w:tc>
        <w:tc>
          <w:tcPr>
            <w:tcW w:w="630" w:type="dxa"/>
          </w:tcPr>
          <w:p w:rsidR="009F3024" w:rsidRPr="00EF295C" w:rsidRDefault="009F3024" w:rsidP="00BF25F3">
            <w:pPr>
              <w:tabs>
                <w:tab w:val="left" w:pos="6075"/>
              </w:tabs>
              <w:jc w:val="both"/>
              <w:rPr>
                <w:rFonts w:ascii="Arial" w:hAnsi="Arial" w:cs="Arial"/>
                <w:i/>
                <w:sz w:val="20"/>
                <w:szCs w:val="20"/>
              </w:rPr>
            </w:pPr>
          </w:p>
        </w:tc>
        <w:tc>
          <w:tcPr>
            <w:tcW w:w="4428" w:type="dxa"/>
          </w:tcPr>
          <w:p w:rsidR="009F3024" w:rsidRPr="00EF295C" w:rsidRDefault="009F3024" w:rsidP="00E414CA">
            <w:pPr>
              <w:tabs>
                <w:tab w:val="left" w:pos="6075"/>
              </w:tabs>
              <w:jc w:val="both"/>
              <w:rPr>
                <w:rFonts w:ascii="Arial" w:hAnsi="Arial" w:cs="Arial"/>
                <w:i/>
                <w:sz w:val="20"/>
                <w:szCs w:val="20"/>
                <w:lang w:val="fr-CA"/>
              </w:rPr>
            </w:pPr>
            <w:r w:rsidRPr="00EF295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EF295C">
                <w:rPr>
                  <w:rStyle w:val="Hyperlink"/>
                  <w:rFonts w:ascii="Arial" w:hAnsi="Arial" w:cs="Arial"/>
                  <w:i/>
                  <w:sz w:val="20"/>
                  <w:szCs w:val="20"/>
                  <w:lang w:val="fr-CA"/>
                </w:rPr>
                <w:t>www.scc-csc.ca</w:t>
              </w:r>
            </w:hyperlink>
            <w:r w:rsidRPr="00EF295C">
              <w:rPr>
                <w:rFonts w:ascii="Arial" w:hAnsi="Arial" w:cs="Arial"/>
                <w:i/>
                <w:sz w:val="20"/>
                <w:szCs w:val="20"/>
                <w:lang w:val="fr-CA"/>
              </w:rPr>
              <w:t xml:space="preserve"> </w:t>
            </w:r>
          </w:p>
        </w:tc>
      </w:tr>
    </w:tbl>
    <w:p w:rsidR="00BF25F3" w:rsidRPr="00EF295C" w:rsidRDefault="00BF25F3" w:rsidP="00BF25F3">
      <w:pPr>
        <w:tabs>
          <w:tab w:val="left" w:pos="6075"/>
        </w:tabs>
        <w:rPr>
          <w:lang w:val="fr-CA"/>
        </w:rPr>
      </w:pPr>
    </w:p>
    <w:p w:rsidR="00440E24" w:rsidRPr="00EF295C" w:rsidRDefault="00440E24" w:rsidP="00440E24">
      <w:pPr>
        <w:pBdr>
          <w:bottom w:val="single" w:sz="6" w:space="1" w:color="auto"/>
        </w:pBdr>
        <w:tabs>
          <w:tab w:val="left" w:pos="6075"/>
        </w:tabs>
        <w:rPr>
          <w:lang w:val="fr-CA"/>
        </w:rPr>
      </w:pPr>
    </w:p>
    <w:p w:rsidR="00440E24" w:rsidRPr="00EF295C" w:rsidRDefault="00440E24" w:rsidP="00440E24">
      <w:pPr>
        <w:rPr>
          <w:lang w:val="fr-CA"/>
        </w:rPr>
      </w:pPr>
    </w:p>
    <w:p w:rsidR="00600252" w:rsidRPr="00EF295C" w:rsidRDefault="00B6294F" w:rsidP="00F0068D">
      <w:pPr>
        <w:pBdr>
          <w:bottom w:val="single" w:sz="6" w:space="1" w:color="auto"/>
        </w:pBdr>
        <w:tabs>
          <w:tab w:val="center" w:pos="4680"/>
          <w:tab w:val="right" w:pos="9360"/>
        </w:tabs>
        <w:rPr>
          <w:lang w:val="fr-CA"/>
        </w:rPr>
      </w:pPr>
      <w:proofErr w:type="spellStart"/>
      <w:r w:rsidRPr="00EF295C">
        <w:rPr>
          <w:lang w:val="fr-CA"/>
        </w:rPr>
        <w:t>September</w:t>
      </w:r>
      <w:proofErr w:type="spellEnd"/>
      <w:r w:rsidRPr="00EF295C">
        <w:rPr>
          <w:lang w:val="fr-CA"/>
        </w:rPr>
        <w:t xml:space="preserve"> 23</w:t>
      </w:r>
      <w:r w:rsidR="00440E24" w:rsidRPr="00EF295C">
        <w:rPr>
          <w:lang w:val="fr-CA"/>
        </w:rPr>
        <w:t>, 201</w:t>
      </w:r>
      <w:r w:rsidR="0030050B" w:rsidRPr="00EF295C">
        <w:rPr>
          <w:lang w:val="fr-CA"/>
        </w:rPr>
        <w:t>6</w:t>
      </w:r>
      <w:r w:rsidR="00F0068D" w:rsidRPr="00EF295C">
        <w:rPr>
          <w:lang w:val="fr-CA"/>
        </w:rPr>
        <w:tab/>
        <w:t>1</w:t>
      </w:r>
      <w:r w:rsidR="006F5CFB" w:rsidRPr="00EF295C">
        <w:rPr>
          <w:lang w:val="fr-CA"/>
        </w:rPr>
        <w:t>302</w:t>
      </w:r>
      <w:r w:rsidR="00F0068D" w:rsidRPr="00EF295C">
        <w:rPr>
          <w:lang w:val="fr-CA"/>
        </w:rPr>
        <w:t xml:space="preserve"> - </w:t>
      </w:r>
      <w:r w:rsidR="00D526C5" w:rsidRPr="00EF295C">
        <w:rPr>
          <w:lang w:val="fr-CA"/>
        </w:rPr>
        <w:t>1337</w:t>
      </w:r>
      <w:r w:rsidR="00440E24" w:rsidRPr="00EF295C">
        <w:rPr>
          <w:lang w:val="fr-CA"/>
        </w:rPr>
        <w:tab/>
        <w:t>Le</w:t>
      </w:r>
      <w:r w:rsidR="00C73D06" w:rsidRPr="00EF295C">
        <w:rPr>
          <w:lang w:val="fr-CA"/>
        </w:rPr>
        <w:t xml:space="preserve"> </w:t>
      </w:r>
      <w:r w:rsidRPr="00EF295C">
        <w:rPr>
          <w:lang w:val="fr-CA"/>
        </w:rPr>
        <w:t>23 septembre</w:t>
      </w:r>
      <w:r w:rsidR="00440E24" w:rsidRPr="00EF295C">
        <w:rPr>
          <w:lang w:val="fr-CA"/>
        </w:rPr>
        <w:t xml:space="preserve"> 201</w:t>
      </w:r>
      <w:r w:rsidR="0030050B" w:rsidRPr="00EF295C">
        <w:rPr>
          <w:lang w:val="fr-CA"/>
        </w:rPr>
        <w:t>6</w:t>
      </w:r>
    </w:p>
    <w:p w:rsidR="00440E24" w:rsidRPr="00EF295C" w:rsidRDefault="00440E24" w:rsidP="00440E24">
      <w:pPr>
        <w:pBdr>
          <w:bottom w:val="single" w:sz="6" w:space="1" w:color="auto"/>
        </w:pBdr>
        <w:tabs>
          <w:tab w:val="right" w:pos="9360"/>
        </w:tabs>
        <w:rPr>
          <w:lang w:val="fr-CA"/>
        </w:rPr>
      </w:pPr>
    </w:p>
    <w:p w:rsidR="00440E24" w:rsidRPr="00EF295C" w:rsidRDefault="00440E24" w:rsidP="00440E24">
      <w:pPr>
        <w:pBdr>
          <w:bottom w:val="single" w:sz="6" w:space="1" w:color="auto"/>
        </w:pBdr>
        <w:tabs>
          <w:tab w:val="right" w:pos="9360"/>
        </w:tabs>
        <w:rPr>
          <w:sz w:val="18"/>
          <w:szCs w:val="18"/>
          <w:lang w:val="fr-CA"/>
        </w:rPr>
      </w:pPr>
      <w:r w:rsidRPr="00EF295C">
        <w:rPr>
          <w:sz w:val="18"/>
          <w:szCs w:val="18"/>
          <w:lang w:val="fr-CA"/>
        </w:rPr>
        <w:t xml:space="preserve">© </w:t>
      </w:r>
      <w:proofErr w:type="spellStart"/>
      <w:r w:rsidRPr="00EF295C">
        <w:rPr>
          <w:sz w:val="18"/>
          <w:szCs w:val="18"/>
          <w:lang w:val="fr-CA"/>
        </w:rPr>
        <w:t>Supreme</w:t>
      </w:r>
      <w:proofErr w:type="spellEnd"/>
      <w:r w:rsidRPr="00EF295C">
        <w:rPr>
          <w:sz w:val="18"/>
          <w:szCs w:val="18"/>
          <w:lang w:val="fr-CA"/>
        </w:rPr>
        <w:t xml:space="preserve"> Court of Canada (</w:t>
      </w:r>
      <w:r w:rsidR="0030050B" w:rsidRPr="00EF295C">
        <w:rPr>
          <w:sz w:val="18"/>
          <w:szCs w:val="18"/>
          <w:lang w:val="fr-CA"/>
        </w:rPr>
        <w:t>2016</w:t>
      </w:r>
      <w:r w:rsidRPr="00EF295C">
        <w:rPr>
          <w:sz w:val="18"/>
          <w:szCs w:val="18"/>
          <w:lang w:val="fr-CA"/>
        </w:rPr>
        <w:t>)</w:t>
      </w:r>
      <w:r w:rsidRPr="00EF295C">
        <w:rPr>
          <w:sz w:val="18"/>
          <w:szCs w:val="18"/>
          <w:lang w:val="fr-CA"/>
        </w:rPr>
        <w:tab/>
        <w:t>© Cour suprême du Canada (</w:t>
      </w:r>
      <w:r w:rsidR="0030050B" w:rsidRPr="00EF295C">
        <w:rPr>
          <w:sz w:val="18"/>
          <w:szCs w:val="18"/>
          <w:lang w:val="fr-CA"/>
        </w:rPr>
        <w:t>2016</w:t>
      </w:r>
      <w:r w:rsidRPr="00EF295C">
        <w:rPr>
          <w:sz w:val="18"/>
          <w:szCs w:val="18"/>
          <w:lang w:val="fr-CA"/>
        </w:rPr>
        <w:t>)</w:t>
      </w:r>
    </w:p>
    <w:p w:rsidR="00440E24" w:rsidRPr="00EF295C" w:rsidRDefault="00440E24" w:rsidP="00440E24">
      <w:pPr>
        <w:pBdr>
          <w:bottom w:val="single" w:sz="6" w:space="1" w:color="auto"/>
        </w:pBdr>
        <w:tabs>
          <w:tab w:val="right" w:pos="9360"/>
        </w:tabs>
        <w:rPr>
          <w:sz w:val="18"/>
          <w:szCs w:val="18"/>
          <w:lang w:val="fr-CA"/>
        </w:rPr>
      </w:pPr>
      <w:r w:rsidRPr="00EF295C">
        <w:rPr>
          <w:sz w:val="18"/>
          <w:szCs w:val="18"/>
          <w:lang w:val="fr-CA"/>
        </w:rPr>
        <w:t>ISSN 1918-8358 (Online)</w:t>
      </w:r>
      <w:r w:rsidRPr="00EF295C">
        <w:rPr>
          <w:sz w:val="18"/>
          <w:szCs w:val="18"/>
          <w:lang w:val="fr-CA"/>
        </w:rPr>
        <w:tab/>
        <w:t>ISSN 1918-8358 (En ligne)</w:t>
      </w:r>
    </w:p>
    <w:p w:rsidR="00600252" w:rsidRPr="00EF295C" w:rsidRDefault="00600252" w:rsidP="00BF25F3">
      <w:pPr>
        <w:pBdr>
          <w:bottom w:val="single" w:sz="6" w:space="1" w:color="auto"/>
        </w:pBdr>
        <w:tabs>
          <w:tab w:val="left" w:pos="6075"/>
        </w:tabs>
        <w:rPr>
          <w:lang w:val="fr-CA"/>
        </w:rPr>
      </w:pPr>
    </w:p>
    <w:p w:rsidR="0030050B" w:rsidRPr="00EF295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F295C" w:rsidTr="00245129">
        <w:tc>
          <w:tcPr>
            <w:tcW w:w="4290" w:type="dxa"/>
            <w:shd w:val="clear" w:color="auto" w:fill="auto"/>
            <w:tcMar>
              <w:left w:w="0" w:type="dxa"/>
              <w:right w:w="0" w:type="dxa"/>
            </w:tcMar>
          </w:tcPr>
          <w:p w:rsidR="00245129" w:rsidRPr="00EF295C" w:rsidRDefault="00245129" w:rsidP="00245129">
            <w:pPr>
              <w:jc w:val="both"/>
              <w:rPr>
                <w:rFonts w:eastAsia="Times New Roman" w:cs="Times New Roman"/>
                <w:b/>
                <w:sz w:val="20"/>
                <w:szCs w:val="20"/>
                <w:lang w:eastAsia="en-CA"/>
              </w:rPr>
            </w:pPr>
            <w:r w:rsidRPr="00EF295C">
              <w:rPr>
                <w:b/>
              </w:rPr>
              <w:t>CONTENTS</w:t>
            </w:r>
          </w:p>
        </w:tc>
        <w:tc>
          <w:tcPr>
            <w:tcW w:w="1200" w:type="dxa"/>
            <w:shd w:val="clear" w:color="auto" w:fill="auto"/>
            <w:tcMar>
              <w:left w:w="0" w:type="dxa"/>
              <w:right w:w="0" w:type="dxa"/>
            </w:tcMar>
          </w:tcPr>
          <w:p w:rsidR="00245129" w:rsidRPr="00EF295C" w:rsidRDefault="00245129" w:rsidP="00245129">
            <w:pPr>
              <w:jc w:val="center"/>
              <w:rPr>
                <w:rFonts w:eastAsia="Times New Roman" w:cs="Times New Roman"/>
                <w:b/>
                <w:sz w:val="20"/>
                <w:szCs w:val="20"/>
                <w:lang w:eastAsia="en-CA"/>
              </w:rPr>
            </w:pPr>
          </w:p>
          <w:p w:rsidR="00245129" w:rsidRPr="00EF295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EF295C" w:rsidRDefault="00245129" w:rsidP="00245129">
            <w:pPr>
              <w:rPr>
                <w:rFonts w:eastAsia="Times New Roman" w:cs="Times New Roman"/>
                <w:b/>
                <w:sz w:val="20"/>
                <w:szCs w:val="20"/>
                <w:lang w:val="fr-CA" w:eastAsia="en-CA"/>
              </w:rPr>
            </w:pPr>
            <w:r w:rsidRPr="00EF295C">
              <w:rPr>
                <w:b/>
                <w:lang w:val="fr-CA"/>
              </w:rPr>
              <w:t>TABLE DES MATIÈRES</w:t>
            </w:r>
          </w:p>
        </w:tc>
      </w:tr>
    </w:tbl>
    <w:p w:rsidR="0095096B" w:rsidRPr="00EF295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F295C" w:rsidTr="00164E6D">
        <w:tc>
          <w:tcPr>
            <w:tcW w:w="3708" w:type="dxa"/>
          </w:tcPr>
          <w:p w:rsidR="0095096B" w:rsidRPr="00EF295C" w:rsidRDefault="0095096B" w:rsidP="0095096B">
            <w:pPr>
              <w:tabs>
                <w:tab w:val="right" w:pos="9360"/>
              </w:tabs>
              <w:rPr>
                <w:rFonts w:cs="Times New Roman"/>
                <w:sz w:val="20"/>
                <w:szCs w:val="20"/>
              </w:rPr>
            </w:pPr>
            <w:r w:rsidRPr="00EF295C">
              <w:rPr>
                <w:rFonts w:cs="Times New Roman"/>
                <w:sz w:val="20"/>
                <w:szCs w:val="20"/>
              </w:rPr>
              <w:t xml:space="preserve">Applications for leave to appeal </w:t>
            </w:r>
          </w:p>
          <w:p w:rsidR="0095096B" w:rsidRPr="00EF295C" w:rsidRDefault="0095096B" w:rsidP="0095096B">
            <w:pPr>
              <w:tabs>
                <w:tab w:val="right" w:pos="9360"/>
              </w:tabs>
              <w:rPr>
                <w:rFonts w:cs="Times New Roman"/>
                <w:sz w:val="20"/>
                <w:szCs w:val="20"/>
              </w:rPr>
            </w:pPr>
            <w:r w:rsidRPr="00EF295C">
              <w:rPr>
                <w:rFonts w:cs="Times New Roman"/>
                <w:sz w:val="20"/>
                <w:szCs w:val="20"/>
              </w:rPr>
              <w:t>filed</w:t>
            </w:r>
          </w:p>
          <w:p w:rsidR="0095096B" w:rsidRPr="00EF295C" w:rsidRDefault="0095096B" w:rsidP="0095096B">
            <w:pPr>
              <w:tabs>
                <w:tab w:val="right" w:pos="9360"/>
              </w:tabs>
              <w:rPr>
                <w:rFonts w:cs="Times New Roman"/>
                <w:sz w:val="20"/>
                <w:szCs w:val="20"/>
              </w:rPr>
            </w:pPr>
          </w:p>
          <w:p w:rsidR="0095096B" w:rsidRPr="00EF295C" w:rsidRDefault="0095096B" w:rsidP="0095096B">
            <w:pPr>
              <w:tabs>
                <w:tab w:val="right" w:pos="9360"/>
              </w:tabs>
              <w:rPr>
                <w:rFonts w:cs="Times New Roman"/>
                <w:sz w:val="20"/>
                <w:szCs w:val="20"/>
              </w:rPr>
            </w:pPr>
            <w:r w:rsidRPr="00EF295C">
              <w:rPr>
                <w:rFonts w:cs="Times New Roman"/>
                <w:sz w:val="20"/>
                <w:szCs w:val="20"/>
              </w:rPr>
              <w:t xml:space="preserve">Applications for leave submitted </w:t>
            </w:r>
          </w:p>
          <w:p w:rsidR="0095096B" w:rsidRPr="00EF295C" w:rsidRDefault="0095096B" w:rsidP="0095096B">
            <w:pPr>
              <w:tabs>
                <w:tab w:val="right" w:pos="9360"/>
              </w:tabs>
              <w:rPr>
                <w:rFonts w:cs="Times New Roman"/>
                <w:sz w:val="20"/>
                <w:szCs w:val="20"/>
              </w:rPr>
            </w:pPr>
            <w:r w:rsidRPr="00EF295C">
              <w:rPr>
                <w:rFonts w:cs="Times New Roman"/>
                <w:sz w:val="20"/>
                <w:szCs w:val="20"/>
              </w:rPr>
              <w:t>to Court since last issue</w:t>
            </w:r>
          </w:p>
          <w:p w:rsidR="0095096B" w:rsidRPr="00EF295C" w:rsidRDefault="0095096B" w:rsidP="0095096B">
            <w:pPr>
              <w:tabs>
                <w:tab w:val="right" w:pos="9360"/>
              </w:tabs>
              <w:rPr>
                <w:rFonts w:cs="Times New Roman"/>
                <w:sz w:val="20"/>
                <w:szCs w:val="20"/>
              </w:rPr>
            </w:pPr>
          </w:p>
          <w:p w:rsidR="0095096B" w:rsidRPr="00EF295C" w:rsidRDefault="0095096B" w:rsidP="0095096B">
            <w:pPr>
              <w:tabs>
                <w:tab w:val="right" w:pos="9360"/>
              </w:tabs>
              <w:rPr>
                <w:rFonts w:cs="Times New Roman"/>
                <w:sz w:val="20"/>
                <w:szCs w:val="20"/>
              </w:rPr>
            </w:pPr>
            <w:r w:rsidRPr="00EF295C">
              <w:rPr>
                <w:rFonts w:cs="Times New Roman"/>
                <w:sz w:val="20"/>
                <w:szCs w:val="20"/>
              </w:rPr>
              <w:t xml:space="preserve">Judgments on applications for </w:t>
            </w:r>
          </w:p>
          <w:p w:rsidR="0095096B" w:rsidRPr="00EF295C" w:rsidRDefault="0095096B" w:rsidP="0095096B">
            <w:pPr>
              <w:tabs>
                <w:tab w:val="right" w:pos="9360"/>
              </w:tabs>
              <w:rPr>
                <w:rFonts w:cs="Times New Roman"/>
                <w:sz w:val="20"/>
                <w:szCs w:val="20"/>
              </w:rPr>
            </w:pPr>
            <w:r w:rsidRPr="00EF295C">
              <w:rPr>
                <w:rFonts w:cs="Times New Roman"/>
                <w:sz w:val="20"/>
                <w:szCs w:val="20"/>
              </w:rPr>
              <w:t>leave</w:t>
            </w:r>
          </w:p>
          <w:p w:rsidR="0095096B" w:rsidRPr="00EF295C" w:rsidRDefault="0095096B" w:rsidP="0095096B">
            <w:pPr>
              <w:tabs>
                <w:tab w:val="right" w:pos="9360"/>
              </w:tabs>
              <w:rPr>
                <w:rFonts w:cs="Times New Roman"/>
                <w:sz w:val="20"/>
                <w:szCs w:val="20"/>
              </w:rPr>
            </w:pPr>
          </w:p>
          <w:p w:rsidR="0095096B" w:rsidRPr="00EF295C" w:rsidRDefault="0095096B" w:rsidP="0095096B">
            <w:pPr>
              <w:tabs>
                <w:tab w:val="right" w:pos="9360"/>
              </w:tabs>
              <w:rPr>
                <w:rFonts w:cs="Times New Roman"/>
                <w:sz w:val="20"/>
                <w:szCs w:val="20"/>
              </w:rPr>
            </w:pPr>
            <w:r w:rsidRPr="00EF295C">
              <w:rPr>
                <w:rFonts w:cs="Times New Roman"/>
                <w:sz w:val="20"/>
                <w:szCs w:val="20"/>
              </w:rPr>
              <w:t>Motions</w:t>
            </w:r>
          </w:p>
          <w:p w:rsidR="0095096B" w:rsidRPr="00EF295C" w:rsidRDefault="0095096B" w:rsidP="0095096B">
            <w:pPr>
              <w:tabs>
                <w:tab w:val="right" w:pos="9360"/>
              </w:tabs>
              <w:rPr>
                <w:rFonts w:cs="Times New Roman"/>
                <w:sz w:val="20"/>
                <w:szCs w:val="20"/>
              </w:rPr>
            </w:pPr>
          </w:p>
          <w:p w:rsidR="0095096B" w:rsidRPr="00EF295C" w:rsidRDefault="0095096B" w:rsidP="0095096B">
            <w:pPr>
              <w:tabs>
                <w:tab w:val="right" w:pos="9360"/>
              </w:tabs>
              <w:rPr>
                <w:rFonts w:cs="Times New Roman"/>
                <w:sz w:val="20"/>
                <w:szCs w:val="20"/>
              </w:rPr>
            </w:pPr>
            <w:r w:rsidRPr="00EF295C">
              <w:rPr>
                <w:rFonts w:cs="Times New Roman"/>
                <w:sz w:val="20"/>
                <w:szCs w:val="20"/>
              </w:rPr>
              <w:t xml:space="preserve">Agenda </w:t>
            </w:r>
          </w:p>
          <w:p w:rsidR="0095096B" w:rsidRPr="00EF295C" w:rsidRDefault="0095096B" w:rsidP="0095096B">
            <w:pPr>
              <w:tabs>
                <w:tab w:val="right" w:pos="9360"/>
              </w:tabs>
              <w:rPr>
                <w:rFonts w:cs="Times New Roman"/>
                <w:sz w:val="20"/>
                <w:szCs w:val="20"/>
              </w:rPr>
            </w:pPr>
          </w:p>
          <w:p w:rsidR="0095096B" w:rsidRPr="00EF295C" w:rsidRDefault="0095096B" w:rsidP="0095096B">
            <w:pPr>
              <w:tabs>
                <w:tab w:val="right" w:pos="9360"/>
              </w:tabs>
              <w:rPr>
                <w:rFonts w:cs="Times New Roman"/>
                <w:sz w:val="20"/>
                <w:szCs w:val="20"/>
              </w:rPr>
            </w:pPr>
            <w:r w:rsidRPr="00EF295C">
              <w:rPr>
                <w:rFonts w:cs="Times New Roman"/>
                <w:sz w:val="20"/>
                <w:szCs w:val="20"/>
              </w:rPr>
              <w:t>Summaries of the cases</w:t>
            </w:r>
          </w:p>
          <w:p w:rsidR="0095096B" w:rsidRPr="00EF295C" w:rsidRDefault="0095096B" w:rsidP="0095096B">
            <w:pPr>
              <w:tabs>
                <w:tab w:val="right" w:pos="9360"/>
              </w:tabs>
              <w:rPr>
                <w:rFonts w:cs="Times New Roman"/>
                <w:sz w:val="20"/>
                <w:szCs w:val="20"/>
              </w:rPr>
            </w:pPr>
          </w:p>
          <w:p w:rsidR="00A87207" w:rsidRPr="00EF295C" w:rsidRDefault="00A87207" w:rsidP="000E6658">
            <w:pPr>
              <w:tabs>
                <w:tab w:val="right" w:pos="9360"/>
              </w:tabs>
              <w:rPr>
                <w:rFonts w:cs="Times New Roman"/>
                <w:sz w:val="20"/>
                <w:szCs w:val="20"/>
              </w:rPr>
            </w:pPr>
          </w:p>
        </w:tc>
        <w:tc>
          <w:tcPr>
            <w:tcW w:w="1980" w:type="dxa"/>
          </w:tcPr>
          <w:p w:rsidR="0095096B" w:rsidRPr="00EF295C" w:rsidRDefault="00663C63" w:rsidP="0095096B">
            <w:pPr>
              <w:jc w:val="center"/>
              <w:rPr>
                <w:rFonts w:cs="Times New Roman"/>
                <w:sz w:val="20"/>
                <w:szCs w:val="20"/>
              </w:rPr>
            </w:pPr>
            <w:r w:rsidRPr="00EF295C">
              <w:rPr>
                <w:rFonts w:cs="Times New Roman"/>
                <w:sz w:val="20"/>
                <w:szCs w:val="20"/>
              </w:rPr>
              <w:t xml:space="preserve">1302 </w:t>
            </w:r>
            <w:r w:rsidR="000E27A5" w:rsidRPr="00EF295C">
              <w:rPr>
                <w:rFonts w:cs="Times New Roman"/>
                <w:sz w:val="20"/>
                <w:szCs w:val="20"/>
              </w:rPr>
              <w:fldChar w:fldCharType="begin"/>
            </w:r>
            <w:r w:rsidR="0095096B" w:rsidRPr="00EF295C">
              <w:rPr>
                <w:rFonts w:cs="Times New Roman"/>
                <w:sz w:val="20"/>
                <w:szCs w:val="20"/>
              </w:rPr>
              <w:instrText xml:space="preserve"> SEQ CHAPTER \h \r 1</w:instrText>
            </w:r>
            <w:r w:rsidR="000E27A5" w:rsidRPr="00EF295C">
              <w:rPr>
                <w:rFonts w:cs="Times New Roman"/>
                <w:sz w:val="20"/>
                <w:szCs w:val="20"/>
              </w:rPr>
              <w:fldChar w:fldCharType="end"/>
            </w:r>
            <w:r w:rsidR="0095096B" w:rsidRPr="00EF295C">
              <w:rPr>
                <w:rFonts w:cs="Times New Roman"/>
                <w:sz w:val="20"/>
                <w:szCs w:val="20"/>
              </w:rPr>
              <w:t>-</w:t>
            </w:r>
            <w:r w:rsidRPr="00EF295C">
              <w:rPr>
                <w:rFonts w:cs="Times New Roman"/>
                <w:sz w:val="20"/>
                <w:szCs w:val="20"/>
              </w:rPr>
              <w:t xml:space="preserve"> 1304</w:t>
            </w:r>
          </w:p>
          <w:p w:rsidR="0095096B" w:rsidRPr="00EF295C" w:rsidRDefault="0095096B" w:rsidP="0095096B">
            <w:pPr>
              <w:jc w:val="center"/>
              <w:rPr>
                <w:rFonts w:cs="Times New Roman"/>
                <w:sz w:val="20"/>
                <w:szCs w:val="20"/>
              </w:rPr>
            </w:pPr>
          </w:p>
          <w:p w:rsidR="0095096B" w:rsidRPr="00EF295C" w:rsidRDefault="0095096B" w:rsidP="0095096B">
            <w:pPr>
              <w:jc w:val="center"/>
              <w:rPr>
                <w:rFonts w:cs="Times New Roman"/>
                <w:sz w:val="20"/>
                <w:szCs w:val="20"/>
              </w:rPr>
            </w:pPr>
          </w:p>
          <w:p w:rsidR="0095096B" w:rsidRPr="00EF295C" w:rsidRDefault="00663C63" w:rsidP="0095096B">
            <w:pPr>
              <w:jc w:val="center"/>
              <w:rPr>
                <w:rFonts w:cs="Times New Roman"/>
                <w:sz w:val="20"/>
                <w:szCs w:val="20"/>
              </w:rPr>
            </w:pPr>
            <w:r w:rsidRPr="00EF295C">
              <w:rPr>
                <w:rFonts w:cs="Times New Roman"/>
                <w:sz w:val="20"/>
                <w:szCs w:val="20"/>
              </w:rPr>
              <w:t>1305</w:t>
            </w:r>
          </w:p>
          <w:p w:rsidR="0095096B" w:rsidRPr="00EF295C" w:rsidRDefault="0095096B" w:rsidP="0095096B">
            <w:pPr>
              <w:jc w:val="center"/>
              <w:rPr>
                <w:rFonts w:cs="Times New Roman"/>
                <w:sz w:val="20"/>
                <w:szCs w:val="20"/>
              </w:rPr>
            </w:pPr>
          </w:p>
          <w:p w:rsidR="0095096B" w:rsidRPr="00EF295C" w:rsidRDefault="0095096B" w:rsidP="0095096B">
            <w:pPr>
              <w:jc w:val="center"/>
              <w:rPr>
                <w:rFonts w:cs="Times New Roman"/>
                <w:sz w:val="20"/>
                <w:szCs w:val="20"/>
              </w:rPr>
            </w:pPr>
          </w:p>
          <w:p w:rsidR="0095096B" w:rsidRPr="00EF295C" w:rsidRDefault="00663C63" w:rsidP="0095096B">
            <w:pPr>
              <w:jc w:val="center"/>
              <w:rPr>
                <w:rFonts w:cs="Times New Roman"/>
                <w:sz w:val="20"/>
                <w:szCs w:val="20"/>
              </w:rPr>
            </w:pPr>
            <w:r w:rsidRPr="00EF295C">
              <w:rPr>
                <w:rFonts w:cs="Times New Roman"/>
                <w:sz w:val="20"/>
                <w:szCs w:val="20"/>
              </w:rPr>
              <w:t xml:space="preserve">1306 </w:t>
            </w:r>
            <w:r w:rsidR="0095096B" w:rsidRPr="00EF295C">
              <w:rPr>
                <w:rFonts w:cs="Times New Roman"/>
                <w:sz w:val="20"/>
                <w:szCs w:val="20"/>
              </w:rPr>
              <w:t>-</w:t>
            </w:r>
            <w:r w:rsidRPr="00EF295C">
              <w:rPr>
                <w:rFonts w:cs="Times New Roman"/>
                <w:sz w:val="20"/>
                <w:szCs w:val="20"/>
              </w:rPr>
              <w:t xml:space="preserve"> 1319</w:t>
            </w:r>
          </w:p>
          <w:p w:rsidR="0095096B" w:rsidRPr="00EF295C" w:rsidRDefault="0095096B" w:rsidP="0095096B">
            <w:pPr>
              <w:jc w:val="center"/>
              <w:rPr>
                <w:rFonts w:cs="Times New Roman"/>
                <w:sz w:val="20"/>
                <w:szCs w:val="20"/>
              </w:rPr>
            </w:pPr>
          </w:p>
          <w:p w:rsidR="000E6658" w:rsidRPr="00EF295C" w:rsidRDefault="000E6658" w:rsidP="0095096B">
            <w:pPr>
              <w:jc w:val="center"/>
              <w:rPr>
                <w:rFonts w:cs="Times New Roman"/>
                <w:sz w:val="20"/>
                <w:szCs w:val="20"/>
              </w:rPr>
            </w:pPr>
          </w:p>
          <w:p w:rsidR="0095096B" w:rsidRPr="00EF295C" w:rsidRDefault="00663C63" w:rsidP="0095096B">
            <w:pPr>
              <w:jc w:val="center"/>
              <w:rPr>
                <w:rFonts w:cs="Times New Roman"/>
                <w:sz w:val="20"/>
                <w:szCs w:val="20"/>
              </w:rPr>
            </w:pPr>
            <w:r w:rsidRPr="00EF295C">
              <w:rPr>
                <w:rFonts w:cs="Times New Roman"/>
                <w:sz w:val="20"/>
                <w:szCs w:val="20"/>
              </w:rPr>
              <w:t xml:space="preserve">1320 </w:t>
            </w:r>
            <w:r w:rsidR="0095096B" w:rsidRPr="00EF295C">
              <w:rPr>
                <w:rFonts w:cs="Times New Roman"/>
                <w:sz w:val="20"/>
                <w:szCs w:val="20"/>
              </w:rPr>
              <w:t>-</w:t>
            </w:r>
            <w:r w:rsidR="00D526C5" w:rsidRPr="00EF295C">
              <w:rPr>
                <w:rFonts w:cs="Times New Roman"/>
                <w:sz w:val="20"/>
                <w:szCs w:val="20"/>
              </w:rPr>
              <w:t xml:space="preserve"> 1324</w:t>
            </w:r>
          </w:p>
          <w:p w:rsidR="0095096B" w:rsidRPr="00EF295C" w:rsidRDefault="0095096B" w:rsidP="0095096B">
            <w:pPr>
              <w:jc w:val="center"/>
              <w:rPr>
                <w:rFonts w:cs="Times New Roman"/>
                <w:sz w:val="20"/>
                <w:szCs w:val="20"/>
              </w:rPr>
            </w:pPr>
          </w:p>
          <w:p w:rsidR="0095096B" w:rsidRPr="00EF295C" w:rsidRDefault="00D526C5" w:rsidP="0095096B">
            <w:pPr>
              <w:jc w:val="center"/>
              <w:rPr>
                <w:rFonts w:cs="Times New Roman"/>
                <w:sz w:val="20"/>
                <w:szCs w:val="20"/>
              </w:rPr>
            </w:pPr>
            <w:r w:rsidRPr="00EF295C">
              <w:rPr>
                <w:rFonts w:cs="Times New Roman"/>
                <w:sz w:val="20"/>
                <w:szCs w:val="20"/>
              </w:rPr>
              <w:t>1325</w:t>
            </w:r>
          </w:p>
          <w:p w:rsidR="0095096B" w:rsidRPr="00EF295C" w:rsidRDefault="0095096B" w:rsidP="0095096B">
            <w:pPr>
              <w:jc w:val="center"/>
              <w:rPr>
                <w:rFonts w:cs="Times New Roman"/>
                <w:sz w:val="20"/>
                <w:szCs w:val="20"/>
              </w:rPr>
            </w:pPr>
          </w:p>
          <w:p w:rsidR="0095096B" w:rsidRPr="00EF295C" w:rsidRDefault="00D526C5" w:rsidP="0095096B">
            <w:pPr>
              <w:jc w:val="center"/>
              <w:rPr>
                <w:rFonts w:cs="Times New Roman"/>
                <w:sz w:val="20"/>
                <w:szCs w:val="20"/>
              </w:rPr>
            </w:pPr>
            <w:r w:rsidRPr="00EF295C">
              <w:rPr>
                <w:rFonts w:cs="Times New Roman"/>
                <w:sz w:val="20"/>
                <w:szCs w:val="20"/>
              </w:rPr>
              <w:t>1326</w:t>
            </w:r>
            <w:r w:rsidR="00663C63" w:rsidRPr="00EF295C">
              <w:rPr>
                <w:rFonts w:cs="Times New Roman"/>
                <w:sz w:val="20"/>
                <w:szCs w:val="20"/>
              </w:rPr>
              <w:t xml:space="preserve"> </w:t>
            </w:r>
            <w:r w:rsidR="0095096B" w:rsidRPr="00EF295C">
              <w:rPr>
                <w:rFonts w:cs="Times New Roman"/>
                <w:sz w:val="20"/>
                <w:szCs w:val="20"/>
              </w:rPr>
              <w:t>-</w:t>
            </w:r>
            <w:r w:rsidRPr="00EF295C">
              <w:rPr>
                <w:rFonts w:cs="Times New Roman"/>
                <w:sz w:val="20"/>
                <w:szCs w:val="20"/>
              </w:rPr>
              <w:t xml:space="preserve"> 1337</w:t>
            </w:r>
          </w:p>
          <w:p w:rsidR="0095096B" w:rsidRPr="00EF295C" w:rsidRDefault="0095096B" w:rsidP="0095096B">
            <w:pPr>
              <w:jc w:val="center"/>
              <w:rPr>
                <w:rFonts w:cs="Times New Roman"/>
                <w:sz w:val="20"/>
                <w:szCs w:val="20"/>
              </w:rPr>
            </w:pPr>
          </w:p>
          <w:p w:rsidR="00A87207" w:rsidRPr="00EF295C" w:rsidRDefault="00A87207" w:rsidP="000E6658">
            <w:pPr>
              <w:tabs>
                <w:tab w:val="right" w:pos="9360"/>
              </w:tabs>
              <w:jc w:val="center"/>
              <w:rPr>
                <w:rFonts w:cs="Times New Roman"/>
                <w:sz w:val="20"/>
                <w:szCs w:val="20"/>
              </w:rPr>
            </w:pPr>
          </w:p>
        </w:tc>
        <w:tc>
          <w:tcPr>
            <w:tcW w:w="3888" w:type="dxa"/>
          </w:tcPr>
          <w:p w:rsidR="0095096B" w:rsidRPr="00EF295C" w:rsidRDefault="000E27A5" w:rsidP="0095096B">
            <w:pPr>
              <w:rPr>
                <w:rFonts w:cs="Times New Roman"/>
                <w:sz w:val="20"/>
                <w:szCs w:val="20"/>
                <w:lang w:val="fr-CA"/>
              </w:rPr>
            </w:pPr>
            <w:r w:rsidRPr="00EF295C">
              <w:rPr>
                <w:rFonts w:cs="Times New Roman"/>
                <w:sz w:val="20"/>
                <w:szCs w:val="20"/>
                <w:lang w:val="fr-CA"/>
              </w:rPr>
              <w:fldChar w:fldCharType="begin"/>
            </w:r>
            <w:r w:rsidR="0095096B" w:rsidRPr="00EF295C">
              <w:rPr>
                <w:rFonts w:cs="Times New Roman"/>
                <w:sz w:val="20"/>
                <w:szCs w:val="20"/>
                <w:lang w:val="fr-CA"/>
              </w:rPr>
              <w:instrText xml:space="preserve"> SEQ CHAPTER \h \r 1</w:instrText>
            </w:r>
            <w:r w:rsidRPr="00EF295C">
              <w:rPr>
                <w:rFonts w:cs="Times New Roman"/>
                <w:sz w:val="20"/>
                <w:szCs w:val="20"/>
                <w:lang w:val="fr-CA"/>
              </w:rPr>
              <w:fldChar w:fldCharType="end"/>
            </w:r>
            <w:r w:rsidR="0095096B" w:rsidRPr="00EF295C">
              <w:rPr>
                <w:rFonts w:cs="Times New Roman"/>
                <w:sz w:val="20"/>
                <w:szCs w:val="20"/>
                <w:lang w:val="fr-CA"/>
              </w:rPr>
              <w:t>Demandes d</w:t>
            </w:r>
            <w:r w:rsidR="004137A0" w:rsidRPr="00EF295C">
              <w:rPr>
                <w:rFonts w:cs="Times New Roman"/>
                <w:sz w:val="20"/>
                <w:szCs w:val="20"/>
                <w:lang w:val="fr-CA"/>
              </w:rPr>
              <w:t>’</w:t>
            </w:r>
            <w:r w:rsidR="0095096B" w:rsidRPr="00EF295C">
              <w:rPr>
                <w:rFonts w:cs="Times New Roman"/>
                <w:sz w:val="20"/>
                <w:szCs w:val="20"/>
                <w:lang w:val="fr-CA"/>
              </w:rPr>
              <w:t>autorisation d</w:t>
            </w:r>
            <w:r w:rsidR="004137A0" w:rsidRPr="00EF295C">
              <w:rPr>
                <w:rFonts w:cs="Times New Roman"/>
                <w:sz w:val="20"/>
                <w:szCs w:val="20"/>
                <w:lang w:val="fr-CA"/>
              </w:rPr>
              <w:t>’</w:t>
            </w:r>
            <w:r w:rsidR="0095096B" w:rsidRPr="00EF295C">
              <w:rPr>
                <w:rFonts w:cs="Times New Roman"/>
                <w:sz w:val="20"/>
                <w:szCs w:val="20"/>
                <w:lang w:val="fr-CA"/>
              </w:rPr>
              <w:t xml:space="preserve">appel </w:t>
            </w:r>
          </w:p>
          <w:p w:rsidR="0095096B" w:rsidRPr="00EF295C" w:rsidRDefault="0095096B" w:rsidP="0095096B">
            <w:pPr>
              <w:rPr>
                <w:rFonts w:cs="Times New Roman"/>
                <w:sz w:val="20"/>
                <w:szCs w:val="20"/>
                <w:lang w:val="fr-CA"/>
              </w:rPr>
            </w:pPr>
            <w:r w:rsidRPr="00EF295C">
              <w:rPr>
                <w:rFonts w:cs="Times New Roman"/>
                <w:sz w:val="20"/>
                <w:szCs w:val="20"/>
                <w:lang w:val="fr-CA"/>
              </w:rPr>
              <w:t>déposées</w:t>
            </w:r>
          </w:p>
          <w:p w:rsidR="0095096B" w:rsidRPr="00EF295C" w:rsidRDefault="0095096B" w:rsidP="0095096B">
            <w:pPr>
              <w:rPr>
                <w:rFonts w:cs="Times New Roman"/>
                <w:sz w:val="20"/>
                <w:szCs w:val="20"/>
                <w:lang w:val="fr-CA"/>
              </w:rPr>
            </w:pPr>
          </w:p>
          <w:p w:rsidR="0095096B" w:rsidRPr="00EF295C" w:rsidRDefault="0095096B" w:rsidP="0095096B">
            <w:pPr>
              <w:rPr>
                <w:rFonts w:cs="Times New Roman"/>
                <w:sz w:val="20"/>
                <w:szCs w:val="20"/>
                <w:lang w:val="fr-CA"/>
              </w:rPr>
            </w:pPr>
            <w:r w:rsidRPr="00EF295C">
              <w:rPr>
                <w:rFonts w:cs="Times New Roman"/>
                <w:sz w:val="20"/>
                <w:szCs w:val="20"/>
                <w:lang w:val="fr-CA"/>
              </w:rPr>
              <w:t xml:space="preserve">Demandes soumises à la Cour depuis la </w:t>
            </w:r>
          </w:p>
          <w:p w:rsidR="0095096B" w:rsidRPr="00EF295C" w:rsidRDefault="0095096B" w:rsidP="0095096B">
            <w:pPr>
              <w:rPr>
                <w:rFonts w:cs="Times New Roman"/>
                <w:sz w:val="20"/>
                <w:szCs w:val="20"/>
                <w:lang w:val="fr-CA"/>
              </w:rPr>
            </w:pPr>
            <w:r w:rsidRPr="00EF295C">
              <w:rPr>
                <w:rFonts w:cs="Times New Roman"/>
                <w:sz w:val="20"/>
                <w:szCs w:val="20"/>
                <w:lang w:val="fr-CA"/>
              </w:rPr>
              <w:t>dernière parution</w:t>
            </w:r>
          </w:p>
          <w:p w:rsidR="0095096B" w:rsidRPr="00EF295C" w:rsidRDefault="0095096B" w:rsidP="0095096B">
            <w:pPr>
              <w:rPr>
                <w:rFonts w:cs="Times New Roman"/>
                <w:sz w:val="20"/>
                <w:szCs w:val="20"/>
                <w:lang w:val="fr-CA"/>
              </w:rPr>
            </w:pPr>
          </w:p>
          <w:p w:rsidR="0095096B" w:rsidRPr="00EF295C" w:rsidRDefault="0095096B" w:rsidP="0095096B">
            <w:pPr>
              <w:rPr>
                <w:rFonts w:cs="Times New Roman"/>
                <w:sz w:val="20"/>
                <w:szCs w:val="20"/>
                <w:lang w:val="fr-CA"/>
              </w:rPr>
            </w:pPr>
            <w:r w:rsidRPr="00EF295C">
              <w:rPr>
                <w:rFonts w:cs="Times New Roman"/>
                <w:sz w:val="20"/>
                <w:szCs w:val="20"/>
                <w:lang w:val="fr-CA"/>
              </w:rPr>
              <w:t xml:space="preserve">Jugements rendus sur les demandes </w:t>
            </w:r>
          </w:p>
          <w:p w:rsidR="0095096B" w:rsidRPr="00EF295C" w:rsidRDefault="004137A0" w:rsidP="0095096B">
            <w:pPr>
              <w:rPr>
                <w:rFonts w:cs="Times New Roman"/>
                <w:sz w:val="20"/>
                <w:szCs w:val="20"/>
                <w:lang w:val="fr-CA"/>
              </w:rPr>
            </w:pPr>
            <w:r w:rsidRPr="00EF295C">
              <w:rPr>
                <w:rFonts w:cs="Times New Roman"/>
                <w:sz w:val="20"/>
                <w:szCs w:val="20"/>
                <w:lang w:val="fr-CA"/>
              </w:rPr>
              <w:t>d’</w:t>
            </w:r>
            <w:r w:rsidR="0095096B" w:rsidRPr="00EF295C">
              <w:rPr>
                <w:rFonts w:cs="Times New Roman"/>
                <w:sz w:val="20"/>
                <w:szCs w:val="20"/>
                <w:lang w:val="fr-CA"/>
              </w:rPr>
              <w:t>autorisation</w:t>
            </w:r>
          </w:p>
          <w:p w:rsidR="0095096B" w:rsidRPr="00EF295C" w:rsidRDefault="0095096B" w:rsidP="0095096B">
            <w:pPr>
              <w:rPr>
                <w:rFonts w:cs="Times New Roman"/>
                <w:sz w:val="20"/>
                <w:szCs w:val="20"/>
                <w:lang w:val="fr-CA"/>
              </w:rPr>
            </w:pPr>
          </w:p>
          <w:p w:rsidR="0095096B" w:rsidRPr="00EF295C" w:rsidRDefault="0095096B" w:rsidP="0095096B">
            <w:pPr>
              <w:rPr>
                <w:rFonts w:cs="Times New Roman"/>
                <w:sz w:val="20"/>
                <w:szCs w:val="20"/>
                <w:lang w:val="fr-CA"/>
              </w:rPr>
            </w:pPr>
            <w:r w:rsidRPr="00EF295C">
              <w:rPr>
                <w:rFonts w:cs="Times New Roman"/>
                <w:sz w:val="20"/>
                <w:szCs w:val="20"/>
                <w:lang w:val="fr-CA"/>
              </w:rPr>
              <w:t>Requêtes</w:t>
            </w:r>
          </w:p>
          <w:p w:rsidR="0095096B" w:rsidRPr="00EF295C" w:rsidRDefault="0095096B" w:rsidP="0095096B">
            <w:pPr>
              <w:rPr>
                <w:rFonts w:cs="Times New Roman"/>
                <w:sz w:val="20"/>
                <w:szCs w:val="20"/>
                <w:lang w:val="fr-CA"/>
              </w:rPr>
            </w:pPr>
          </w:p>
          <w:p w:rsidR="0095096B" w:rsidRPr="00EF295C" w:rsidRDefault="0095096B" w:rsidP="0095096B">
            <w:pPr>
              <w:rPr>
                <w:rFonts w:cs="Times New Roman"/>
                <w:sz w:val="20"/>
                <w:szCs w:val="20"/>
                <w:lang w:val="fr-CA"/>
              </w:rPr>
            </w:pPr>
            <w:r w:rsidRPr="00EF295C">
              <w:rPr>
                <w:rFonts w:cs="Times New Roman"/>
                <w:sz w:val="20"/>
                <w:szCs w:val="20"/>
                <w:lang w:val="fr-CA"/>
              </w:rPr>
              <w:t xml:space="preserve">Calendrier </w:t>
            </w:r>
          </w:p>
          <w:p w:rsidR="0095096B" w:rsidRPr="00EF295C" w:rsidRDefault="0095096B" w:rsidP="0095096B">
            <w:pPr>
              <w:rPr>
                <w:rFonts w:cs="Times New Roman"/>
                <w:sz w:val="20"/>
                <w:szCs w:val="20"/>
                <w:lang w:val="fr-CA"/>
              </w:rPr>
            </w:pPr>
          </w:p>
          <w:p w:rsidR="0095096B" w:rsidRPr="00EF295C" w:rsidRDefault="0095096B" w:rsidP="0095096B">
            <w:pPr>
              <w:rPr>
                <w:rFonts w:cs="Times New Roman"/>
                <w:sz w:val="20"/>
                <w:szCs w:val="20"/>
                <w:lang w:val="fr-CA"/>
              </w:rPr>
            </w:pPr>
            <w:r w:rsidRPr="00EF295C">
              <w:rPr>
                <w:rFonts w:cs="Times New Roman"/>
                <w:sz w:val="20"/>
                <w:szCs w:val="20"/>
                <w:lang w:val="fr-CA"/>
              </w:rPr>
              <w:t>Résumés des affaires</w:t>
            </w:r>
          </w:p>
          <w:p w:rsidR="00A87207" w:rsidRPr="00EF295C" w:rsidRDefault="00A87207" w:rsidP="000E6658">
            <w:pPr>
              <w:tabs>
                <w:tab w:val="right" w:pos="9360"/>
              </w:tabs>
              <w:rPr>
                <w:rFonts w:cs="Times New Roman"/>
                <w:sz w:val="20"/>
                <w:szCs w:val="20"/>
                <w:lang w:val="fr-CA"/>
              </w:rPr>
            </w:pPr>
          </w:p>
        </w:tc>
      </w:tr>
    </w:tbl>
    <w:p w:rsidR="0095096B" w:rsidRPr="00EF295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F295C" w:rsidTr="0079724F">
        <w:tc>
          <w:tcPr>
            <w:tcW w:w="9576" w:type="dxa"/>
          </w:tcPr>
          <w:p w:rsidR="0079724F" w:rsidRPr="00EF295C" w:rsidRDefault="0079724F" w:rsidP="00215F7C">
            <w:pPr>
              <w:keepNext/>
              <w:tabs>
                <w:tab w:val="right" w:pos="9360"/>
              </w:tabs>
              <w:jc w:val="center"/>
              <w:rPr>
                <w:szCs w:val="24"/>
              </w:rPr>
            </w:pPr>
            <w:r w:rsidRPr="00EF295C">
              <w:rPr>
                <w:szCs w:val="24"/>
              </w:rPr>
              <w:t>NOTICE</w:t>
            </w:r>
          </w:p>
          <w:p w:rsidR="0079724F" w:rsidRPr="00EF295C" w:rsidRDefault="0079724F" w:rsidP="00215F7C">
            <w:pPr>
              <w:keepNext/>
              <w:tabs>
                <w:tab w:val="right" w:pos="9360"/>
              </w:tabs>
              <w:rPr>
                <w:szCs w:val="24"/>
              </w:rPr>
            </w:pPr>
          </w:p>
          <w:p w:rsidR="0079724F" w:rsidRPr="00EF295C" w:rsidRDefault="0079724F" w:rsidP="00215F7C">
            <w:pPr>
              <w:keepNext/>
              <w:tabs>
                <w:tab w:val="right" w:pos="9360"/>
              </w:tabs>
              <w:jc w:val="both"/>
              <w:rPr>
                <w:szCs w:val="24"/>
              </w:rPr>
            </w:pPr>
            <w:r w:rsidRPr="00EF295C">
              <w:rPr>
                <w:szCs w:val="24"/>
              </w:rPr>
              <w:t>Case summaries included in the Bulletin are prepared by the Office of the Registrar of the Supreme Court of Canada (Law Branch) for information purposes only.</w:t>
            </w:r>
          </w:p>
          <w:p w:rsidR="0079724F" w:rsidRPr="00EF295C" w:rsidRDefault="0079724F" w:rsidP="00215F7C">
            <w:pPr>
              <w:keepNext/>
              <w:tabs>
                <w:tab w:val="right" w:pos="9360"/>
              </w:tabs>
              <w:rPr>
                <w:szCs w:val="24"/>
              </w:rPr>
            </w:pPr>
          </w:p>
          <w:p w:rsidR="0079724F" w:rsidRPr="00EF295C" w:rsidRDefault="0079724F" w:rsidP="00215F7C">
            <w:pPr>
              <w:keepNext/>
              <w:tabs>
                <w:tab w:val="right" w:pos="9360"/>
              </w:tabs>
              <w:rPr>
                <w:szCs w:val="24"/>
              </w:rPr>
            </w:pPr>
          </w:p>
          <w:p w:rsidR="0079724F" w:rsidRPr="00EF295C" w:rsidRDefault="0079724F" w:rsidP="00215F7C">
            <w:pPr>
              <w:keepNext/>
              <w:tabs>
                <w:tab w:val="right" w:pos="9360"/>
              </w:tabs>
              <w:jc w:val="center"/>
              <w:rPr>
                <w:szCs w:val="24"/>
                <w:lang w:val="fr-CA"/>
              </w:rPr>
            </w:pPr>
            <w:r w:rsidRPr="00EF295C">
              <w:rPr>
                <w:szCs w:val="24"/>
                <w:lang w:val="fr-CA"/>
              </w:rPr>
              <w:t>AVIS</w:t>
            </w:r>
          </w:p>
          <w:p w:rsidR="0079724F" w:rsidRPr="00EF295C" w:rsidRDefault="0079724F" w:rsidP="00215F7C">
            <w:pPr>
              <w:keepNext/>
              <w:tabs>
                <w:tab w:val="right" w:pos="9360"/>
              </w:tabs>
              <w:rPr>
                <w:szCs w:val="24"/>
                <w:lang w:val="fr-CA"/>
              </w:rPr>
            </w:pPr>
          </w:p>
          <w:p w:rsidR="0079724F" w:rsidRPr="00EF295C" w:rsidRDefault="0079724F" w:rsidP="00215F7C">
            <w:pPr>
              <w:keepNext/>
              <w:tabs>
                <w:tab w:val="right" w:pos="9360"/>
              </w:tabs>
              <w:jc w:val="both"/>
              <w:rPr>
                <w:sz w:val="20"/>
                <w:szCs w:val="20"/>
                <w:lang w:val="fr-CA"/>
              </w:rPr>
            </w:pPr>
            <w:r w:rsidRPr="00EF295C">
              <w:rPr>
                <w:szCs w:val="24"/>
                <w:lang w:val="fr-CA"/>
              </w:rPr>
              <w:t>Les résumés de dossiers publiés dans le bulletin sont préparés par le Bureau du registraire (Direction générale du droit) uniquement à titre d’information.</w:t>
            </w:r>
          </w:p>
        </w:tc>
      </w:tr>
    </w:tbl>
    <w:p w:rsidR="0095096B" w:rsidRPr="00EF295C" w:rsidRDefault="0095096B" w:rsidP="0095096B">
      <w:pPr>
        <w:tabs>
          <w:tab w:val="right" w:pos="9360"/>
        </w:tabs>
        <w:rPr>
          <w:lang w:val="fr-CA"/>
        </w:rPr>
      </w:pPr>
    </w:p>
    <w:p w:rsidR="00A87207" w:rsidRPr="00EF295C" w:rsidRDefault="00A87207" w:rsidP="0095096B">
      <w:pPr>
        <w:tabs>
          <w:tab w:val="right" w:pos="9360"/>
        </w:tabs>
        <w:rPr>
          <w:lang w:val="fr-CA"/>
        </w:rPr>
        <w:sectPr w:rsidR="00A87207" w:rsidRPr="00EF295C"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EF295C" w:rsidTr="00245129">
        <w:tc>
          <w:tcPr>
            <w:tcW w:w="4200" w:type="dxa"/>
            <w:shd w:val="clear" w:color="auto" w:fill="auto"/>
            <w:tcMar>
              <w:left w:w="0" w:type="dxa"/>
              <w:right w:w="0" w:type="dxa"/>
            </w:tcMar>
          </w:tcPr>
          <w:p w:rsidR="00A87207" w:rsidRPr="00EF295C" w:rsidRDefault="00A87207" w:rsidP="00BA6468">
            <w:pPr>
              <w:rPr>
                <w:rFonts w:eastAsia="Times New Roman" w:cs="Times New Roman"/>
                <w:b/>
                <w:sz w:val="20"/>
                <w:szCs w:val="20"/>
                <w:lang w:eastAsia="en-CA"/>
              </w:rPr>
            </w:pPr>
            <w:r w:rsidRPr="00EF295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EF295C" w:rsidRDefault="00A87207" w:rsidP="002E2327">
            <w:pPr>
              <w:jc w:val="center"/>
              <w:rPr>
                <w:rFonts w:eastAsia="Times New Roman" w:cs="Times New Roman"/>
                <w:b/>
                <w:sz w:val="20"/>
                <w:szCs w:val="20"/>
                <w:lang w:eastAsia="en-CA"/>
              </w:rPr>
            </w:pPr>
          </w:p>
          <w:p w:rsidR="00A87207" w:rsidRPr="00EF295C" w:rsidRDefault="00A87207" w:rsidP="002E2327">
            <w:pPr>
              <w:jc w:val="center"/>
              <w:rPr>
                <w:rFonts w:eastAsia="Times New Roman" w:cs="Times New Roman"/>
                <w:b/>
                <w:sz w:val="20"/>
                <w:szCs w:val="20"/>
                <w:lang w:eastAsia="en-CA"/>
              </w:rPr>
            </w:pPr>
          </w:p>
          <w:p w:rsidR="00A87207" w:rsidRPr="00EF295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EF295C" w:rsidRDefault="00A87207" w:rsidP="00A87207">
            <w:pPr>
              <w:rPr>
                <w:rFonts w:eastAsia="Times New Roman" w:cs="Times New Roman"/>
                <w:b/>
                <w:sz w:val="20"/>
                <w:szCs w:val="20"/>
                <w:lang w:val="fr-CA" w:eastAsia="en-CA"/>
              </w:rPr>
            </w:pPr>
            <w:r w:rsidRPr="00EF295C">
              <w:rPr>
                <w:rFonts w:eastAsia="Times New Roman" w:cs="Times New Roman"/>
                <w:b/>
                <w:szCs w:val="20"/>
                <w:lang w:val="fr-CA" w:eastAsia="en-CA"/>
              </w:rPr>
              <w:t>DEMANDES D’AUTORISATION D’APPEL DÉPOSÉES</w:t>
            </w:r>
          </w:p>
        </w:tc>
      </w:tr>
    </w:tbl>
    <w:p w:rsidR="00A87207" w:rsidRPr="00EF29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F295C" w:rsidTr="003B3977">
        <w:tc>
          <w:tcPr>
            <w:tcW w:w="4320" w:type="dxa"/>
            <w:shd w:val="clear" w:color="auto" w:fill="auto"/>
          </w:tcPr>
          <w:p w:rsidR="00E83D19" w:rsidRPr="00EF295C" w:rsidRDefault="005143D5" w:rsidP="005F1ED8">
            <w:pPr>
              <w:rPr>
                <w:b/>
                <w:sz w:val="20"/>
                <w:szCs w:val="20"/>
              </w:rPr>
            </w:pPr>
            <w:proofErr w:type="spellStart"/>
            <w:r w:rsidRPr="00EF295C">
              <w:rPr>
                <w:b/>
                <w:sz w:val="20"/>
                <w:szCs w:val="20"/>
              </w:rPr>
              <w:t>Fakhra</w:t>
            </w:r>
            <w:proofErr w:type="spellEnd"/>
            <w:r w:rsidRPr="00EF295C">
              <w:rPr>
                <w:b/>
                <w:sz w:val="20"/>
                <w:szCs w:val="20"/>
              </w:rPr>
              <w:t xml:space="preserve"> Ahmed et al. </w:t>
            </w:r>
          </w:p>
          <w:p w:rsidR="005143D5" w:rsidRPr="00EF295C" w:rsidRDefault="005143D5" w:rsidP="005F1ED8">
            <w:pPr>
              <w:rPr>
                <w:sz w:val="20"/>
                <w:szCs w:val="20"/>
              </w:rPr>
            </w:pPr>
            <w:r w:rsidRPr="00EF295C">
              <w:rPr>
                <w:b/>
                <w:sz w:val="20"/>
                <w:szCs w:val="20"/>
              </w:rPr>
              <w:tab/>
            </w:r>
            <w:proofErr w:type="spellStart"/>
            <w:r w:rsidRPr="00EF295C">
              <w:rPr>
                <w:sz w:val="20"/>
                <w:szCs w:val="20"/>
              </w:rPr>
              <w:t>Fakhra</w:t>
            </w:r>
            <w:proofErr w:type="spellEnd"/>
            <w:r w:rsidRPr="00EF295C">
              <w:rPr>
                <w:sz w:val="20"/>
                <w:szCs w:val="20"/>
              </w:rPr>
              <w:t xml:space="preserve"> Ahmed</w:t>
            </w:r>
          </w:p>
          <w:p w:rsidR="005143D5" w:rsidRPr="00EF295C" w:rsidRDefault="005143D5" w:rsidP="005F1ED8">
            <w:pPr>
              <w:rPr>
                <w:sz w:val="20"/>
                <w:szCs w:val="20"/>
              </w:rPr>
            </w:pPr>
          </w:p>
          <w:p w:rsidR="005143D5" w:rsidRPr="00EF295C" w:rsidRDefault="005143D5" w:rsidP="005F1ED8">
            <w:pPr>
              <w:rPr>
                <w:sz w:val="20"/>
                <w:szCs w:val="20"/>
              </w:rPr>
            </w:pPr>
            <w:r w:rsidRPr="00EF295C">
              <w:rPr>
                <w:sz w:val="20"/>
                <w:szCs w:val="20"/>
              </w:rPr>
              <w:tab/>
              <w:t>v. (37187)</w:t>
            </w:r>
          </w:p>
          <w:p w:rsidR="00E83D19" w:rsidRPr="00EF295C" w:rsidRDefault="00E83D19" w:rsidP="005F1ED8">
            <w:pPr>
              <w:rPr>
                <w:b/>
                <w:sz w:val="20"/>
                <w:szCs w:val="20"/>
              </w:rPr>
            </w:pPr>
          </w:p>
          <w:p w:rsidR="00E83D19" w:rsidRPr="00EF295C" w:rsidRDefault="005143D5" w:rsidP="005F1ED8">
            <w:pPr>
              <w:rPr>
                <w:b/>
                <w:sz w:val="20"/>
                <w:szCs w:val="20"/>
              </w:rPr>
            </w:pPr>
            <w:r w:rsidRPr="00EF295C">
              <w:rPr>
                <w:b/>
                <w:sz w:val="20"/>
                <w:szCs w:val="20"/>
              </w:rPr>
              <w:t xml:space="preserve">Keith </w:t>
            </w:r>
            <w:proofErr w:type="spellStart"/>
            <w:r w:rsidRPr="00EF295C">
              <w:rPr>
                <w:b/>
                <w:sz w:val="20"/>
                <w:szCs w:val="20"/>
              </w:rPr>
              <w:t>McCaskill</w:t>
            </w:r>
            <w:proofErr w:type="spellEnd"/>
            <w:r w:rsidRPr="00EF295C">
              <w:rPr>
                <w:b/>
                <w:sz w:val="20"/>
                <w:szCs w:val="20"/>
              </w:rPr>
              <w:t>, Chief of Police of the Winnipeg Police Service and the said Chief of the Winnipeg Police et al. (Man.)</w:t>
            </w:r>
          </w:p>
          <w:p w:rsidR="00E83D19" w:rsidRPr="00EF295C" w:rsidRDefault="005143D5" w:rsidP="005F1ED8">
            <w:pPr>
              <w:rPr>
                <w:sz w:val="20"/>
                <w:szCs w:val="20"/>
              </w:rPr>
            </w:pPr>
            <w:r w:rsidRPr="00EF295C">
              <w:rPr>
                <w:sz w:val="20"/>
                <w:szCs w:val="20"/>
              </w:rPr>
              <w:tab/>
              <w:t xml:space="preserve">Denise A.M. </w:t>
            </w:r>
            <w:proofErr w:type="spellStart"/>
            <w:r w:rsidRPr="00EF295C">
              <w:rPr>
                <w:sz w:val="20"/>
                <w:szCs w:val="20"/>
              </w:rPr>
              <w:t>Pambrun</w:t>
            </w:r>
            <w:proofErr w:type="spellEnd"/>
          </w:p>
          <w:p w:rsidR="005143D5" w:rsidRPr="00EF295C" w:rsidRDefault="005143D5" w:rsidP="005F1ED8">
            <w:pPr>
              <w:rPr>
                <w:sz w:val="20"/>
                <w:szCs w:val="20"/>
              </w:rPr>
            </w:pPr>
            <w:r w:rsidRPr="00EF295C">
              <w:rPr>
                <w:sz w:val="20"/>
                <w:szCs w:val="20"/>
              </w:rPr>
              <w:tab/>
              <w:t>City of Winnipeg</w:t>
            </w:r>
          </w:p>
          <w:p w:rsidR="00E83D19" w:rsidRPr="00EF295C" w:rsidRDefault="00E83D19" w:rsidP="005F1ED8">
            <w:pPr>
              <w:rPr>
                <w:b/>
                <w:sz w:val="20"/>
                <w:szCs w:val="20"/>
              </w:rPr>
            </w:pPr>
          </w:p>
          <w:p w:rsidR="00E83D19" w:rsidRPr="00EF295C" w:rsidRDefault="005143D5" w:rsidP="005F1ED8">
            <w:pPr>
              <w:rPr>
                <w:b/>
                <w:sz w:val="20"/>
                <w:szCs w:val="20"/>
              </w:rPr>
            </w:pPr>
            <w:r w:rsidRPr="00EF295C">
              <w:rPr>
                <w:sz w:val="20"/>
                <w:szCs w:val="20"/>
              </w:rPr>
              <w:t>FILING DATE: 21.07.2016</w:t>
            </w:r>
          </w:p>
          <w:p w:rsidR="00C21644" w:rsidRPr="00EF295C" w:rsidRDefault="002E5FCE" w:rsidP="005F1ED8">
            <w:pPr>
              <w:rPr>
                <w:sz w:val="20"/>
                <w:szCs w:val="20"/>
                <w:lang w:val="fr-CA"/>
              </w:rPr>
            </w:pPr>
            <w:r>
              <w:rPr>
                <w:sz w:val="20"/>
                <w:szCs w:val="20"/>
                <w:lang w:val="fr-CA"/>
              </w:rPr>
              <w:pict>
                <v:rect id="_x0000_i1025" style="width:108pt;height:1pt" o:hrpct="0" o:hralign="center" o:hrstd="t" o:hrnoshade="t" o:hr="t" fillcolor="black [3213]" stroked="f"/>
              </w:pict>
            </w:r>
          </w:p>
          <w:p w:rsidR="00CE68B8" w:rsidRPr="00EF295C" w:rsidRDefault="00CE68B8" w:rsidP="005F1ED8">
            <w:pPr>
              <w:rPr>
                <w:sz w:val="20"/>
                <w:szCs w:val="20"/>
              </w:rPr>
            </w:pPr>
          </w:p>
        </w:tc>
        <w:tc>
          <w:tcPr>
            <w:tcW w:w="1181" w:type="dxa"/>
            <w:shd w:val="clear" w:color="auto" w:fill="auto"/>
          </w:tcPr>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tc>
        <w:tc>
          <w:tcPr>
            <w:tcW w:w="4320" w:type="dxa"/>
            <w:shd w:val="clear" w:color="auto" w:fill="auto"/>
          </w:tcPr>
          <w:p w:rsidR="00C21644" w:rsidRPr="00EF295C" w:rsidRDefault="003E222E" w:rsidP="00E942C2">
            <w:pPr>
              <w:rPr>
                <w:b/>
                <w:sz w:val="20"/>
                <w:szCs w:val="20"/>
              </w:rPr>
            </w:pPr>
            <w:r w:rsidRPr="00EF295C">
              <w:rPr>
                <w:b/>
                <w:sz w:val="20"/>
                <w:szCs w:val="20"/>
              </w:rPr>
              <w:t xml:space="preserve">Satinder </w:t>
            </w:r>
            <w:proofErr w:type="spellStart"/>
            <w:r w:rsidRPr="00EF295C">
              <w:rPr>
                <w:b/>
                <w:sz w:val="20"/>
                <w:szCs w:val="20"/>
              </w:rPr>
              <w:t>Jaswal</w:t>
            </w:r>
            <w:proofErr w:type="spellEnd"/>
            <w:r w:rsidR="00CE68B8" w:rsidRPr="00EF295C">
              <w:rPr>
                <w:b/>
                <w:sz w:val="20"/>
                <w:szCs w:val="20"/>
              </w:rPr>
              <w:t xml:space="preserve"> et al.</w:t>
            </w:r>
          </w:p>
          <w:p w:rsidR="00CE68B8" w:rsidRPr="00EF295C" w:rsidRDefault="00CE68B8" w:rsidP="003E222E">
            <w:pPr>
              <w:rPr>
                <w:sz w:val="20"/>
                <w:szCs w:val="20"/>
              </w:rPr>
            </w:pPr>
            <w:r w:rsidRPr="00EF295C">
              <w:rPr>
                <w:sz w:val="20"/>
                <w:szCs w:val="20"/>
              </w:rPr>
              <w:tab/>
            </w:r>
            <w:proofErr w:type="spellStart"/>
            <w:r w:rsidR="003E222E" w:rsidRPr="00EF295C">
              <w:rPr>
                <w:sz w:val="20"/>
                <w:szCs w:val="20"/>
              </w:rPr>
              <w:t>Shea</w:t>
            </w:r>
            <w:proofErr w:type="spellEnd"/>
            <w:r w:rsidR="003E222E" w:rsidRPr="00EF295C">
              <w:rPr>
                <w:sz w:val="20"/>
                <w:szCs w:val="20"/>
              </w:rPr>
              <w:t xml:space="preserve"> H. Coulson</w:t>
            </w:r>
          </w:p>
          <w:p w:rsidR="003E222E" w:rsidRPr="00EF295C" w:rsidRDefault="003E222E" w:rsidP="003E222E">
            <w:pPr>
              <w:rPr>
                <w:sz w:val="20"/>
                <w:szCs w:val="20"/>
              </w:rPr>
            </w:pPr>
            <w:r w:rsidRPr="00EF295C">
              <w:rPr>
                <w:sz w:val="20"/>
                <w:szCs w:val="20"/>
              </w:rPr>
              <w:tab/>
              <w:t>DS Lawyers Canada LLP</w:t>
            </w:r>
          </w:p>
          <w:p w:rsidR="00CE68B8" w:rsidRPr="00EF295C" w:rsidRDefault="00CE68B8" w:rsidP="00E942C2">
            <w:pPr>
              <w:rPr>
                <w:sz w:val="20"/>
                <w:szCs w:val="20"/>
              </w:rPr>
            </w:pPr>
          </w:p>
          <w:p w:rsidR="00CE68B8" w:rsidRPr="00EF295C" w:rsidRDefault="00CE68B8" w:rsidP="00E942C2">
            <w:pPr>
              <w:rPr>
                <w:sz w:val="20"/>
                <w:szCs w:val="20"/>
              </w:rPr>
            </w:pPr>
            <w:r w:rsidRPr="00EF295C">
              <w:rPr>
                <w:sz w:val="20"/>
                <w:szCs w:val="20"/>
              </w:rPr>
              <w:tab/>
              <w:t>v. (37128)</w:t>
            </w:r>
          </w:p>
          <w:p w:rsidR="00CE68B8" w:rsidRPr="00EF295C" w:rsidRDefault="00CE68B8" w:rsidP="00E942C2">
            <w:pPr>
              <w:rPr>
                <w:sz w:val="20"/>
                <w:szCs w:val="20"/>
              </w:rPr>
            </w:pPr>
          </w:p>
          <w:p w:rsidR="00CE68B8" w:rsidRPr="00EF295C" w:rsidRDefault="00CE68B8" w:rsidP="00E942C2">
            <w:pPr>
              <w:rPr>
                <w:b/>
                <w:sz w:val="20"/>
                <w:szCs w:val="20"/>
              </w:rPr>
            </w:pPr>
            <w:r w:rsidRPr="00EF295C">
              <w:rPr>
                <w:b/>
                <w:sz w:val="20"/>
                <w:szCs w:val="20"/>
              </w:rPr>
              <w:t>Superintendent of Motor Vehicles (B.C.)</w:t>
            </w:r>
          </w:p>
          <w:p w:rsidR="00CE68B8" w:rsidRPr="00EF295C" w:rsidRDefault="00CE68B8" w:rsidP="00E942C2">
            <w:pPr>
              <w:rPr>
                <w:sz w:val="20"/>
                <w:szCs w:val="20"/>
              </w:rPr>
            </w:pPr>
            <w:r w:rsidRPr="00EF295C">
              <w:rPr>
                <w:sz w:val="20"/>
                <w:szCs w:val="20"/>
              </w:rPr>
              <w:tab/>
              <w:t xml:space="preserve">Karen A. </w:t>
            </w:r>
            <w:proofErr w:type="spellStart"/>
            <w:r w:rsidRPr="00EF295C">
              <w:rPr>
                <w:sz w:val="20"/>
                <w:szCs w:val="20"/>
              </w:rPr>
              <w:t>Horsman</w:t>
            </w:r>
            <w:proofErr w:type="spellEnd"/>
          </w:p>
          <w:p w:rsidR="00CE68B8" w:rsidRPr="00EF295C" w:rsidRDefault="00CE68B8" w:rsidP="00E942C2">
            <w:pPr>
              <w:rPr>
                <w:sz w:val="20"/>
                <w:szCs w:val="20"/>
              </w:rPr>
            </w:pPr>
            <w:r w:rsidRPr="00EF295C">
              <w:rPr>
                <w:sz w:val="20"/>
                <w:szCs w:val="20"/>
              </w:rPr>
              <w:tab/>
              <w:t>A.G. of British Columbia</w:t>
            </w:r>
          </w:p>
          <w:p w:rsidR="00CE68B8" w:rsidRPr="00EF295C" w:rsidRDefault="00CE68B8" w:rsidP="00E942C2">
            <w:pPr>
              <w:rPr>
                <w:sz w:val="20"/>
                <w:szCs w:val="20"/>
              </w:rPr>
            </w:pPr>
          </w:p>
          <w:p w:rsidR="00CE68B8" w:rsidRPr="00EF295C" w:rsidRDefault="00CE68B8" w:rsidP="00E942C2">
            <w:pPr>
              <w:rPr>
                <w:sz w:val="20"/>
                <w:szCs w:val="20"/>
                <w:lang w:val="fr-CA"/>
              </w:rPr>
            </w:pPr>
            <w:r w:rsidRPr="00EF295C">
              <w:rPr>
                <w:sz w:val="20"/>
                <w:szCs w:val="20"/>
              </w:rPr>
              <w:t>FILING DATE: 31.08.20</w:t>
            </w:r>
            <w:r w:rsidRPr="00EF295C">
              <w:rPr>
                <w:sz w:val="20"/>
                <w:szCs w:val="20"/>
                <w:lang w:val="fr-CA"/>
              </w:rPr>
              <w:t>16</w:t>
            </w:r>
          </w:p>
          <w:p w:rsidR="00CE68B8" w:rsidRPr="00EF295C" w:rsidRDefault="002E5FCE" w:rsidP="00E942C2">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EF295C" w:rsidTr="003B3977">
        <w:tc>
          <w:tcPr>
            <w:tcW w:w="4320" w:type="dxa"/>
            <w:shd w:val="clear" w:color="auto" w:fill="auto"/>
          </w:tcPr>
          <w:p w:rsidR="00C21644" w:rsidRPr="00EF295C" w:rsidRDefault="00C16564" w:rsidP="00E83D19">
            <w:pPr>
              <w:rPr>
                <w:b/>
                <w:sz w:val="20"/>
                <w:szCs w:val="20"/>
              </w:rPr>
            </w:pPr>
            <w:r w:rsidRPr="00EF295C">
              <w:rPr>
                <w:b/>
                <w:sz w:val="20"/>
                <w:szCs w:val="20"/>
              </w:rPr>
              <w:t xml:space="preserve">Michael Joseph </w:t>
            </w:r>
            <w:proofErr w:type="spellStart"/>
            <w:r w:rsidRPr="00EF295C">
              <w:rPr>
                <w:b/>
                <w:sz w:val="20"/>
                <w:szCs w:val="20"/>
              </w:rPr>
              <w:t>Jerace</w:t>
            </w:r>
            <w:proofErr w:type="spellEnd"/>
          </w:p>
          <w:p w:rsidR="00C16564" w:rsidRPr="00EF295C" w:rsidRDefault="00C16564" w:rsidP="00E83D19">
            <w:pPr>
              <w:rPr>
                <w:sz w:val="20"/>
                <w:szCs w:val="20"/>
              </w:rPr>
            </w:pPr>
            <w:r w:rsidRPr="00EF295C">
              <w:rPr>
                <w:b/>
                <w:sz w:val="20"/>
                <w:szCs w:val="20"/>
              </w:rPr>
              <w:tab/>
            </w:r>
            <w:r w:rsidRPr="00EF295C">
              <w:rPr>
                <w:sz w:val="20"/>
                <w:szCs w:val="20"/>
              </w:rPr>
              <w:t xml:space="preserve">Michael Joseph </w:t>
            </w:r>
            <w:proofErr w:type="spellStart"/>
            <w:r w:rsidRPr="00EF295C">
              <w:rPr>
                <w:sz w:val="20"/>
                <w:szCs w:val="20"/>
              </w:rPr>
              <w:t>Jerace</w:t>
            </w:r>
            <w:proofErr w:type="spellEnd"/>
          </w:p>
          <w:p w:rsidR="00C16564" w:rsidRPr="00EF295C" w:rsidRDefault="00C16564" w:rsidP="00E83D19">
            <w:pPr>
              <w:rPr>
                <w:sz w:val="20"/>
                <w:szCs w:val="20"/>
              </w:rPr>
            </w:pPr>
          </w:p>
          <w:p w:rsidR="00C16564" w:rsidRPr="00EF295C" w:rsidRDefault="00C16564" w:rsidP="00E83D19">
            <w:pPr>
              <w:rPr>
                <w:sz w:val="20"/>
                <w:szCs w:val="20"/>
              </w:rPr>
            </w:pPr>
            <w:r w:rsidRPr="00EF295C">
              <w:rPr>
                <w:sz w:val="20"/>
                <w:szCs w:val="20"/>
              </w:rPr>
              <w:tab/>
              <w:t>v. (37150)</w:t>
            </w:r>
          </w:p>
          <w:p w:rsidR="00C16564" w:rsidRPr="00EF295C" w:rsidRDefault="00C16564" w:rsidP="00E83D19">
            <w:pPr>
              <w:rPr>
                <w:sz w:val="20"/>
                <w:szCs w:val="20"/>
              </w:rPr>
            </w:pPr>
          </w:p>
          <w:p w:rsidR="00C16564" w:rsidRPr="00EF295C" w:rsidRDefault="00C16564" w:rsidP="00E83D19">
            <w:pPr>
              <w:rPr>
                <w:b/>
                <w:sz w:val="20"/>
                <w:szCs w:val="20"/>
              </w:rPr>
            </w:pPr>
            <w:r w:rsidRPr="00EF295C">
              <w:rPr>
                <w:b/>
                <w:sz w:val="20"/>
                <w:szCs w:val="20"/>
              </w:rPr>
              <w:t>Her Majesty the Queen (Alta.)</w:t>
            </w:r>
          </w:p>
          <w:p w:rsidR="00C16564" w:rsidRPr="00EF295C" w:rsidRDefault="00C16564" w:rsidP="00E83D19">
            <w:pPr>
              <w:rPr>
                <w:sz w:val="20"/>
                <w:szCs w:val="20"/>
              </w:rPr>
            </w:pPr>
            <w:r w:rsidRPr="00EF295C">
              <w:rPr>
                <w:sz w:val="20"/>
                <w:szCs w:val="20"/>
              </w:rPr>
              <w:tab/>
              <w:t>Maureen McGuire</w:t>
            </w:r>
          </w:p>
          <w:p w:rsidR="00C16564" w:rsidRPr="00EF295C" w:rsidRDefault="00C16564" w:rsidP="00E83D19">
            <w:pPr>
              <w:rPr>
                <w:sz w:val="20"/>
                <w:szCs w:val="20"/>
              </w:rPr>
            </w:pPr>
            <w:r w:rsidRPr="00EF295C">
              <w:rPr>
                <w:sz w:val="20"/>
                <w:szCs w:val="20"/>
              </w:rPr>
              <w:tab/>
              <w:t>A.G. of Alberta</w:t>
            </w:r>
          </w:p>
          <w:p w:rsidR="00C16564" w:rsidRPr="00EF295C" w:rsidRDefault="00C16564" w:rsidP="00E83D19">
            <w:pPr>
              <w:rPr>
                <w:sz w:val="20"/>
                <w:szCs w:val="20"/>
              </w:rPr>
            </w:pPr>
          </w:p>
          <w:p w:rsidR="00C16564" w:rsidRPr="00EF295C" w:rsidRDefault="00C16564" w:rsidP="00E83D19">
            <w:pPr>
              <w:rPr>
                <w:sz w:val="20"/>
                <w:szCs w:val="20"/>
              </w:rPr>
            </w:pPr>
            <w:r w:rsidRPr="00EF295C">
              <w:rPr>
                <w:sz w:val="20"/>
                <w:szCs w:val="20"/>
              </w:rPr>
              <w:t>FILING DATE: 24.06.2016</w:t>
            </w:r>
          </w:p>
          <w:p w:rsidR="00C16564" w:rsidRPr="00EF295C" w:rsidRDefault="002E5FCE" w:rsidP="00E83D19">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p w:rsidR="00C21644" w:rsidRPr="00EF295C" w:rsidRDefault="00C21644" w:rsidP="00242AEE">
            <w:pPr>
              <w:jc w:val="center"/>
              <w:rPr>
                <w:sz w:val="20"/>
                <w:szCs w:val="20"/>
              </w:rPr>
            </w:pPr>
          </w:p>
        </w:tc>
        <w:tc>
          <w:tcPr>
            <w:tcW w:w="4320" w:type="dxa"/>
            <w:shd w:val="clear" w:color="auto" w:fill="auto"/>
          </w:tcPr>
          <w:p w:rsidR="00C21644" w:rsidRPr="00EF295C" w:rsidRDefault="006F5D64" w:rsidP="00E83D19">
            <w:pPr>
              <w:rPr>
                <w:b/>
                <w:sz w:val="20"/>
                <w:szCs w:val="20"/>
              </w:rPr>
            </w:pPr>
            <w:r w:rsidRPr="00EF295C">
              <w:rPr>
                <w:b/>
                <w:sz w:val="20"/>
                <w:szCs w:val="20"/>
              </w:rPr>
              <w:t xml:space="preserve">Orville John </w:t>
            </w:r>
            <w:proofErr w:type="spellStart"/>
            <w:r w:rsidRPr="00EF295C">
              <w:rPr>
                <w:b/>
                <w:sz w:val="20"/>
                <w:szCs w:val="20"/>
              </w:rPr>
              <w:t>Gustavson</w:t>
            </w:r>
            <w:proofErr w:type="spellEnd"/>
          </w:p>
          <w:p w:rsidR="006F5D64" w:rsidRPr="00EF295C" w:rsidRDefault="006F5D64" w:rsidP="00E83D19">
            <w:pPr>
              <w:rPr>
                <w:sz w:val="20"/>
                <w:szCs w:val="20"/>
              </w:rPr>
            </w:pPr>
            <w:r w:rsidRPr="00EF295C">
              <w:rPr>
                <w:b/>
                <w:sz w:val="20"/>
                <w:szCs w:val="20"/>
              </w:rPr>
              <w:tab/>
            </w:r>
            <w:r w:rsidRPr="00EF295C">
              <w:rPr>
                <w:sz w:val="20"/>
                <w:szCs w:val="20"/>
              </w:rPr>
              <w:t xml:space="preserve">Orville John </w:t>
            </w:r>
            <w:proofErr w:type="spellStart"/>
            <w:r w:rsidRPr="00EF295C">
              <w:rPr>
                <w:sz w:val="20"/>
                <w:szCs w:val="20"/>
              </w:rPr>
              <w:t>Gustavson</w:t>
            </w:r>
            <w:proofErr w:type="spellEnd"/>
          </w:p>
          <w:p w:rsidR="006F5D64" w:rsidRPr="00EF295C" w:rsidRDefault="006F5D64" w:rsidP="00E83D19">
            <w:pPr>
              <w:rPr>
                <w:sz w:val="20"/>
                <w:szCs w:val="20"/>
              </w:rPr>
            </w:pPr>
          </w:p>
          <w:p w:rsidR="006F5D64" w:rsidRPr="00EF295C" w:rsidRDefault="006F5D64" w:rsidP="00E83D19">
            <w:pPr>
              <w:rPr>
                <w:sz w:val="20"/>
                <w:szCs w:val="20"/>
              </w:rPr>
            </w:pPr>
            <w:r w:rsidRPr="00EF295C">
              <w:rPr>
                <w:sz w:val="20"/>
                <w:szCs w:val="20"/>
              </w:rPr>
              <w:tab/>
              <w:t>v. (37147)</w:t>
            </w:r>
          </w:p>
          <w:p w:rsidR="006F5D64" w:rsidRPr="00EF295C" w:rsidRDefault="006F5D64" w:rsidP="00E83D19">
            <w:pPr>
              <w:rPr>
                <w:sz w:val="20"/>
                <w:szCs w:val="20"/>
              </w:rPr>
            </w:pPr>
          </w:p>
          <w:p w:rsidR="006F5D64" w:rsidRPr="00EF295C" w:rsidRDefault="006F5D64" w:rsidP="00E83D19">
            <w:pPr>
              <w:rPr>
                <w:b/>
                <w:sz w:val="20"/>
                <w:szCs w:val="20"/>
              </w:rPr>
            </w:pPr>
            <w:r w:rsidRPr="00EF295C">
              <w:rPr>
                <w:b/>
                <w:sz w:val="20"/>
                <w:szCs w:val="20"/>
              </w:rPr>
              <w:t>The Warden, Mission Institution (B.C.)</w:t>
            </w:r>
          </w:p>
          <w:p w:rsidR="006F5D64" w:rsidRPr="00EF295C" w:rsidRDefault="006F5D64" w:rsidP="00E83D19">
            <w:pPr>
              <w:rPr>
                <w:sz w:val="20"/>
                <w:szCs w:val="20"/>
              </w:rPr>
            </w:pPr>
            <w:r w:rsidRPr="00EF295C">
              <w:rPr>
                <w:sz w:val="20"/>
                <w:szCs w:val="20"/>
              </w:rPr>
              <w:tab/>
              <w:t>Mark E.W. East</w:t>
            </w:r>
          </w:p>
          <w:p w:rsidR="006F5D64" w:rsidRPr="00EF295C" w:rsidRDefault="006F5D64" w:rsidP="00E83D19">
            <w:pPr>
              <w:rPr>
                <w:sz w:val="20"/>
                <w:szCs w:val="20"/>
              </w:rPr>
            </w:pPr>
            <w:r w:rsidRPr="00EF295C">
              <w:rPr>
                <w:sz w:val="20"/>
                <w:szCs w:val="20"/>
              </w:rPr>
              <w:tab/>
              <w:t>Justice Canada</w:t>
            </w:r>
          </w:p>
          <w:p w:rsidR="006F5D64" w:rsidRPr="00EF295C" w:rsidRDefault="006F5D64" w:rsidP="00E83D19">
            <w:pPr>
              <w:rPr>
                <w:sz w:val="20"/>
                <w:szCs w:val="20"/>
              </w:rPr>
            </w:pPr>
          </w:p>
          <w:p w:rsidR="006F5D64" w:rsidRPr="00EF295C" w:rsidRDefault="006F5D64" w:rsidP="00E83D19">
            <w:pPr>
              <w:rPr>
                <w:sz w:val="20"/>
                <w:szCs w:val="20"/>
              </w:rPr>
            </w:pPr>
            <w:r w:rsidRPr="00EF295C">
              <w:rPr>
                <w:sz w:val="20"/>
                <w:szCs w:val="20"/>
              </w:rPr>
              <w:t>FILING DATE: 09.02.2016</w:t>
            </w:r>
          </w:p>
          <w:p w:rsidR="006F5D64" w:rsidRPr="00EF295C" w:rsidRDefault="002E5FCE" w:rsidP="00E83D19">
            <w:pPr>
              <w:rPr>
                <w:sz w:val="20"/>
                <w:szCs w:val="20"/>
              </w:rPr>
            </w:pPr>
            <w:r>
              <w:rPr>
                <w:sz w:val="20"/>
                <w:szCs w:val="20"/>
                <w:lang w:val="fr-CA"/>
              </w:rPr>
              <w:pict>
                <v:rect id="_x0000_i1028" style="width:108pt;height:1pt" o:hrpct="0" o:hralign="center" o:hrstd="t" o:hrnoshade="t" o:hr="t" fillcolor="black [3213]" stroked="f"/>
              </w:pict>
            </w:r>
          </w:p>
        </w:tc>
      </w:tr>
      <w:tr w:rsidR="00C21644" w:rsidRPr="00EF295C" w:rsidTr="003B3977">
        <w:tc>
          <w:tcPr>
            <w:tcW w:w="4320" w:type="dxa"/>
            <w:shd w:val="clear" w:color="auto" w:fill="auto"/>
          </w:tcPr>
          <w:p w:rsidR="00C21644" w:rsidRPr="00EF295C" w:rsidRDefault="00E15198" w:rsidP="005F1ED8">
            <w:pPr>
              <w:rPr>
                <w:b/>
                <w:sz w:val="20"/>
                <w:szCs w:val="20"/>
              </w:rPr>
            </w:pPr>
            <w:proofErr w:type="spellStart"/>
            <w:r w:rsidRPr="00EF295C">
              <w:rPr>
                <w:b/>
                <w:sz w:val="20"/>
                <w:szCs w:val="20"/>
              </w:rPr>
              <w:t>Wael</w:t>
            </w:r>
            <w:proofErr w:type="spellEnd"/>
            <w:r w:rsidRPr="00EF295C">
              <w:rPr>
                <w:b/>
                <w:sz w:val="20"/>
                <w:szCs w:val="20"/>
              </w:rPr>
              <w:t xml:space="preserve"> </w:t>
            </w:r>
            <w:proofErr w:type="spellStart"/>
            <w:r w:rsidRPr="00EF295C">
              <w:rPr>
                <w:b/>
                <w:sz w:val="20"/>
                <w:szCs w:val="20"/>
              </w:rPr>
              <w:t>Chamoun</w:t>
            </w:r>
            <w:proofErr w:type="spellEnd"/>
          </w:p>
          <w:p w:rsidR="00E15198" w:rsidRPr="00EF295C" w:rsidRDefault="00E15198" w:rsidP="005F1ED8">
            <w:pPr>
              <w:rPr>
                <w:sz w:val="20"/>
                <w:szCs w:val="20"/>
              </w:rPr>
            </w:pPr>
            <w:r w:rsidRPr="00EF295C">
              <w:rPr>
                <w:sz w:val="20"/>
                <w:szCs w:val="20"/>
              </w:rPr>
              <w:tab/>
            </w:r>
            <w:proofErr w:type="spellStart"/>
            <w:r w:rsidRPr="00EF295C">
              <w:rPr>
                <w:sz w:val="20"/>
                <w:szCs w:val="20"/>
              </w:rPr>
              <w:t>Wael</w:t>
            </w:r>
            <w:proofErr w:type="spellEnd"/>
            <w:r w:rsidRPr="00EF295C">
              <w:rPr>
                <w:sz w:val="20"/>
                <w:szCs w:val="20"/>
              </w:rPr>
              <w:t xml:space="preserve"> </w:t>
            </w:r>
            <w:proofErr w:type="spellStart"/>
            <w:r w:rsidRPr="00EF295C">
              <w:rPr>
                <w:sz w:val="20"/>
                <w:szCs w:val="20"/>
              </w:rPr>
              <w:t>Chamoun</w:t>
            </w:r>
            <w:proofErr w:type="spellEnd"/>
          </w:p>
          <w:p w:rsidR="00E15198" w:rsidRPr="00EF295C" w:rsidRDefault="00E15198" w:rsidP="005F1ED8">
            <w:pPr>
              <w:rPr>
                <w:sz w:val="20"/>
                <w:szCs w:val="20"/>
              </w:rPr>
            </w:pPr>
          </w:p>
          <w:p w:rsidR="00E15198" w:rsidRPr="00EF295C" w:rsidRDefault="00E15198" w:rsidP="005F1ED8">
            <w:pPr>
              <w:rPr>
                <w:sz w:val="20"/>
                <w:szCs w:val="20"/>
              </w:rPr>
            </w:pPr>
            <w:r w:rsidRPr="00EF295C">
              <w:rPr>
                <w:sz w:val="20"/>
                <w:szCs w:val="20"/>
              </w:rPr>
              <w:tab/>
              <w:t>c. (37163)</w:t>
            </w:r>
          </w:p>
          <w:p w:rsidR="00E15198" w:rsidRPr="00EF295C" w:rsidRDefault="00E15198" w:rsidP="005F1ED8">
            <w:pPr>
              <w:rPr>
                <w:sz w:val="20"/>
                <w:szCs w:val="20"/>
              </w:rPr>
            </w:pPr>
          </w:p>
          <w:p w:rsidR="00E15198" w:rsidRPr="00EF295C" w:rsidRDefault="00E15198" w:rsidP="005F1ED8">
            <w:pPr>
              <w:rPr>
                <w:b/>
                <w:sz w:val="20"/>
                <w:szCs w:val="20"/>
                <w:lang w:val="fr-CA"/>
              </w:rPr>
            </w:pPr>
            <w:r w:rsidRPr="00EF295C">
              <w:rPr>
                <w:b/>
                <w:sz w:val="20"/>
                <w:szCs w:val="20"/>
                <w:lang w:val="fr-CA"/>
              </w:rPr>
              <w:t>Sa Majesté la Reine (Qc)</w:t>
            </w:r>
          </w:p>
          <w:p w:rsidR="00E15198" w:rsidRPr="00EF295C" w:rsidRDefault="00E15198" w:rsidP="005F1ED8">
            <w:pPr>
              <w:rPr>
                <w:sz w:val="20"/>
                <w:szCs w:val="20"/>
                <w:lang w:val="fr-CA"/>
              </w:rPr>
            </w:pPr>
            <w:r w:rsidRPr="00EF295C">
              <w:rPr>
                <w:sz w:val="20"/>
                <w:szCs w:val="20"/>
                <w:lang w:val="fr-CA"/>
              </w:rPr>
              <w:tab/>
              <w:t xml:space="preserve">Jean </w:t>
            </w:r>
            <w:proofErr w:type="spellStart"/>
            <w:r w:rsidRPr="00EF295C">
              <w:rPr>
                <w:sz w:val="20"/>
                <w:szCs w:val="20"/>
                <w:lang w:val="fr-CA"/>
              </w:rPr>
              <w:t>Campeau</w:t>
            </w:r>
            <w:proofErr w:type="spellEnd"/>
          </w:p>
          <w:p w:rsidR="00E15198" w:rsidRPr="00EF295C" w:rsidRDefault="00E15198" w:rsidP="005F1ED8">
            <w:pPr>
              <w:rPr>
                <w:sz w:val="20"/>
                <w:szCs w:val="20"/>
                <w:lang w:val="fr-CA"/>
              </w:rPr>
            </w:pPr>
            <w:r w:rsidRPr="00EF295C">
              <w:rPr>
                <w:sz w:val="20"/>
                <w:szCs w:val="20"/>
                <w:lang w:val="fr-CA"/>
              </w:rPr>
              <w:tab/>
              <w:t xml:space="preserve">Directeur des poursuites criminelles et </w:t>
            </w:r>
            <w:r w:rsidRPr="00EF295C">
              <w:rPr>
                <w:sz w:val="20"/>
                <w:szCs w:val="20"/>
                <w:lang w:val="fr-CA"/>
              </w:rPr>
              <w:tab/>
              <w:t>pénales du Québec</w:t>
            </w:r>
          </w:p>
          <w:p w:rsidR="00E15198" w:rsidRPr="00EF295C" w:rsidRDefault="00E15198" w:rsidP="005F1ED8">
            <w:pPr>
              <w:rPr>
                <w:sz w:val="20"/>
                <w:szCs w:val="20"/>
                <w:lang w:val="fr-CA"/>
              </w:rPr>
            </w:pPr>
          </w:p>
          <w:p w:rsidR="00E15198" w:rsidRPr="00EF295C" w:rsidRDefault="00E15198" w:rsidP="005F1ED8">
            <w:pPr>
              <w:rPr>
                <w:sz w:val="20"/>
                <w:szCs w:val="20"/>
                <w:lang w:val="fr-CA"/>
              </w:rPr>
            </w:pPr>
            <w:r w:rsidRPr="00EF295C">
              <w:rPr>
                <w:sz w:val="20"/>
                <w:szCs w:val="20"/>
                <w:lang w:val="fr-CA"/>
              </w:rPr>
              <w:t>DATE DE PRODUCTION : 04.08.2016</w:t>
            </w:r>
          </w:p>
          <w:p w:rsidR="00E15198" w:rsidRPr="00EF295C" w:rsidRDefault="002E5FCE" w:rsidP="005F1ED8">
            <w:pPr>
              <w:rPr>
                <w:sz w:val="20"/>
                <w:szCs w:val="20"/>
                <w:lang w:val="fr-CA"/>
              </w:rPr>
            </w:pPr>
            <w:r>
              <w:rPr>
                <w:sz w:val="20"/>
                <w:szCs w:val="20"/>
                <w:lang w:val="fr-CA"/>
              </w:rPr>
              <w:pict>
                <v:rect id="_x0000_i1029" style="width:108pt;height:1pt" o:hrpct="0" o:hralign="center" o:hrstd="t" o:hrnoshade="t" o:hr="t" fillcolor="black [3213]" stroked="f"/>
              </w:pict>
            </w:r>
          </w:p>
          <w:p w:rsidR="00E15198" w:rsidRPr="00EF295C" w:rsidRDefault="00E15198" w:rsidP="005F1ED8">
            <w:pPr>
              <w:rPr>
                <w:sz w:val="20"/>
                <w:szCs w:val="20"/>
                <w:lang w:val="fr-CA"/>
              </w:rPr>
            </w:pPr>
          </w:p>
        </w:tc>
        <w:tc>
          <w:tcPr>
            <w:tcW w:w="1181" w:type="dxa"/>
            <w:shd w:val="clear" w:color="auto" w:fill="auto"/>
          </w:tcPr>
          <w:p w:rsidR="00C21644" w:rsidRPr="00EF295C" w:rsidRDefault="00C21644" w:rsidP="00242AEE">
            <w:pPr>
              <w:jc w:val="center"/>
              <w:rPr>
                <w:sz w:val="20"/>
                <w:szCs w:val="20"/>
                <w:lang w:val="fr-CA"/>
              </w:rPr>
            </w:pPr>
          </w:p>
        </w:tc>
        <w:tc>
          <w:tcPr>
            <w:tcW w:w="4320" w:type="dxa"/>
            <w:shd w:val="clear" w:color="auto" w:fill="auto"/>
          </w:tcPr>
          <w:p w:rsidR="00C21644" w:rsidRPr="00EF295C" w:rsidRDefault="00E15198" w:rsidP="005F1ED8">
            <w:pPr>
              <w:rPr>
                <w:b/>
                <w:sz w:val="20"/>
                <w:szCs w:val="20"/>
              </w:rPr>
            </w:pPr>
            <w:r w:rsidRPr="00EF295C">
              <w:rPr>
                <w:b/>
                <w:sz w:val="20"/>
                <w:szCs w:val="20"/>
              </w:rPr>
              <w:t xml:space="preserve">Joseph </w:t>
            </w:r>
            <w:proofErr w:type="spellStart"/>
            <w:r w:rsidRPr="00EF295C">
              <w:rPr>
                <w:b/>
                <w:sz w:val="20"/>
                <w:szCs w:val="20"/>
              </w:rPr>
              <w:t>Sciascia</w:t>
            </w:r>
            <w:proofErr w:type="spellEnd"/>
          </w:p>
          <w:p w:rsidR="00E15198" w:rsidRPr="00EF295C" w:rsidRDefault="00E15198" w:rsidP="005F1ED8">
            <w:pPr>
              <w:rPr>
                <w:sz w:val="20"/>
                <w:szCs w:val="20"/>
              </w:rPr>
            </w:pPr>
            <w:r w:rsidRPr="00EF295C">
              <w:rPr>
                <w:sz w:val="20"/>
                <w:szCs w:val="20"/>
              </w:rPr>
              <w:tab/>
              <w:t>Owen Rees</w:t>
            </w:r>
          </w:p>
          <w:p w:rsidR="00E15198" w:rsidRPr="00EF295C" w:rsidRDefault="00E15198" w:rsidP="005F1ED8">
            <w:pPr>
              <w:rPr>
                <w:sz w:val="20"/>
                <w:szCs w:val="20"/>
              </w:rPr>
            </w:pPr>
            <w:r w:rsidRPr="00EF295C">
              <w:rPr>
                <w:sz w:val="20"/>
                <w:szCs w:val="20"/>
              </w:rPr>
              <w:tab/>
              <w:t>Conway Baxter Wilson LLP</w:t>
            </w:r>
          </w:p>
          <w:p w:rsidR="00E15198" w:rsidRPr="00EF295C" w:rsidRDefault="00E15198" w:rsidP="005F1ED8">
            <w:pPr>
              <w:rPr>
                <w:sz w:val="20"/>
                <w:szCs w:val="20"/>
              </w:rPr>
            </w:pPr>
          </w:p>
          <w:p w:rsidR="00E15198" w:rsidRPr="00EF295C" w:rsidRDefault="00E15198" w:rsidP="005F1ED8">
            <w:pPr>
              <w:rPr>
                <w:sz w:val="20"/>
                <w:szCs w:val="20"/>
              </w:rPr>
            </w:pPr>
            <w:r w:rsidRPr="00EF295C">
              <w:rPr>
                <w:sz w:val="20"/>
                <w:szCs w:val="20"/>
              </w:rPr>
              <w:tab/>
              <w:t>v. (37155)</w:t>
            </w:r>
          </w:p>
          <w:p w:rsidR="00E15198" w:rsidRPr="00EF295C" w:rsidRDefault="00E15198" w:rsidP="005F1ED8">
            <w:pPr>
              <w:rPr>
                <w:sz w:val="20"/>
                <w:szCs w:val="20"/>
              </w:rPr>
            </w:pPr>
          </w:p>
          <w:p w:rsidR="00E15198" w:rsidRPr="00EF295C" w:rsidRDefault="00E15198" w:rsidP="005F1ED8">
            <w:pPr>
              <w:rPr>
                <w:b/>
                <w:sz w:val="20"/>
                <w:szCs w:val="20"/>
              </w:rPr>
            </w:pPr>
            <w:r w:rsidRPr="00EF295C">
              <w:rPr>
                <w:b/>
                <w:sz w:val="20"/>
                <w:szCs w:val="20"/>
              </w:rPr>
              <w:t>Her Majesty the Queen (Ont.)</w:t>
            </w:r>
          </w:p>
          <w:p w:rsidR="00E15198" w:rsidRPr="00EF295C" w:rsidRDefault="00E15198" w:rsidP="005F1ED8">
            <w:pPr>
              <w:rPr>
                <w:sz w:val="20"/>
                <w:szCs w:val="20"/>
              </w:rPr>
            </w:pPr>
            <w:r w:rsidRPr="00EF295C">
              <w:rPr>
                <w:sz w:val="20"/>
                <w:szCs w:val="20"/>
              </w:rPr>
              <w:tab/>
              <w:t xml:space="preserve">Christopher </w:t>
            </w:r>
            <w:proofErr w:type="spellStart"/>
            <w:r w:rsidRPr="00EF295C">
              <w:rPr>
                <w:sz w:val="20"/>
                <w:szCs w:val="20"/>
              </w:rPr>
              <w:t>Chorney</w:t>
            </w:r>
            <w:proofErr w:type="spellEnd"/>
          </w:p>
          <w:p w:rsidR="00E15198" w:rsidRPr="00EF295C" w:rsidRDefault="00E15198" w:rsidP="005F1ED8">
            <w:pPr>
              <w:rPr>
                <w:sz w:val="20"/>
                <w:szCs w:val="20"/>
              </w:rPr>
            </w:pPr>
            <w:r w:rsidRPr="00EF295C">
              <w:rPr>
                <w:sz w:val="20"/>
                <w:szCs w:val="20"/>
              </w:rPr>
              <w:tab/>
              <w:t>A.G. of Ontario</w:t>
            </w:r>
          </w:p>
          <w:p w:rsidR="00E15198" w:rsidRPr="00EF295C" w:rsidRDefault="00E15198" w:rsidP="005F1ED8">
            <w:pPr>
              <w:rPr>
                <w:sz w:val="20"/>
                <w:szCs w:val="20"/>
              </w:rPr>
            </w:pPr>
          </w:p>
          <w:p w:rsidR="00E15198" w:rsidRPr="00EF295C" w:rsidRDefault="00E15198" w:rsidP="005F1ED8">
            <w:pPr>
              <w:rPr>
                <w:sz w:val="20"/>
                <w:szCs w:val="20"/>
              </w:rPr>
            </w:pPr>
            <w:r w:rsidRPr="00EF295C">
              <w:rPr>
                <w:sz w:val="20"/>
                <w:szCs w:val="20"/>
              </w:rPr>
              <w:t>FILING DATE: 26.08.2016</w:t>
            </w:r>
          </w:p>
          <w:p w:rsidR="00E15198" w:rsidRPr="00EF295C" w:rsidRDefault="002E5FCE" w:rsidP="005F1ED8">
            <w:pPr>
              <w:rPr>
                <w:sz w:val="20"/>
                <w:szCs w:val="20"/>
                <w:lang w:val="fr-CA"/>
              </w:rPr>
            </w:pPr>
            <w:r>
              <w:rPr>
                <w:sz w:val="20"/>
                <w:szCs w:val="20"/>
                <w:lang w:val="fr-CA"/>
              </w:rPr>
              <w:pict>
                <v:rect id="_x0000_i1030" style="width:108pt;height:1pt" o:hrpct="0" o:hralign="center" o:hrstd="t" o:hrnoshade="t" o:hr="t" fillcolor="black [3213]" stroked="f"/>
              </w:pict>
            </w:r>
          </w:p>
          <w:p w:rsidR="00E15198" w:rsidRPr="00EF295C" w:rsidRDefault="00E15198" w:rsidP="005F1ED8">
            <w:pPr>
              <w:rPr>
                <w:sz w:val="20"/>
                <w:szCs w:val="20"/>
              </w:rPr>
            </w:pPr>
          </w:p>
        </w:tc>
      </w:tr>
      <w:tr w:rsidR="00C21644" w:rsidRPr="00EF295C" w:rsidTr="003B3977">
        <w:trPr>
          <w:cantSplit/>
        </w:trPr>
        <w:tc>
          <w:tcPr>
            <w:tcW w:w="4320" w:type="dxa"/>
            <w:shd w:val="clear" w:color="auto" w:fill="auto"/>
          </w:tcPr>
          <w:p w:rsidR="00C21644" w:rsidRPr="00EF295C" w:rsidRDefault="00E15198" w:rsidP="005F1ED8">
            <w:pPr>
              <w:rPr>
                <w:b/>
                <w:sz w:val="20"/>
                <w:szCs w:val="20"/>
              </w:rPr>
            </w:pPr>
            <w:proofErr w:type="spellStart"/>
            <w:r w:rsidRPr="00EF295C">
              <w:rPr>
                <w:b/>
                <w:sz w:val="20"/>
                <w:szCs w:val="20"/>
              </w:rPr>
              <w:t>CanMar</w:t>
            </w:r>
            <w:proofErr w:type="spellEnd"/>
            <w:r w:rsidRPr="00EF295C">
              <w:rPr>
                <w:b/>
                <w:sz w:val="20"/>
                <w:szCs w:val="20"/>
              </w:rPr>
              <w:t xml:space="preserve"> Contracting Ltd.</w:t>
            </w:r>
          </w:p>
          <w:p w:rsidR="00E15198" w:rsidRPr="00EF295C" w:rsidRDefault="00E15198" w:rsidP="005F1ED8">
            <w:pPr>
              <w:rPr>
                <w:sz w:val="20"/>
                <w:szCs w:val="20"/>
              </w:rPr>
            </w:pPr>
            <w:r w:rsidRPr="00EF295C">
              <w:rPr>
                <w:b/>
                <w:sz w:val="20"/>
                <w:szCs w:val="20"/>
              </w:rPr>
              <w:tab/>
            </w:r>
            <w:r w:rsidRPr="00EF295C">
              <w:rPr>
                <w:sz w:val="20"/>
                <w:szCs w:val="20"/>
              </w:rPr>
              <w:t>Richard M. Dunlop</w:t>
            </w:r>
          </w:p>
          <w:p w:rsidR="00E15198" w:rsidRPr="00EF295C" w:rsidRDefault="00E15198" w:rsidP="005F1ED8">
            <w:pPr>
              <w:rPr>
                <w:sz w:val="20"/>
                <w:szCs w:val="20"/>
              </w:rPr>
            </w:pPr>
            <w:r w:rsidRPr="00EF295C">
              <w:rPr>
                <w:sz w:val="20"/>
                <w:szCs w:val="20"/>
              </w:rPr>
              <w:tab/>
              <w:t xml:space="preserve">Stewart </w:t>
            </w:r>
            <w:proofErr w:type="spellStart"/>
            <w:r w:rsidRPr="00EF295C">
              <w:rPr>
                <w:sz w:val="20"/>
                <w:szCs w:val="20"/>
              </w:rPr>
              <w:t>McKelvey</w:t>
            </w:r>
            <w:proofErr w:type="spellEnd"/>
          </w:p>
          <w:p w:rsidR="00E15198" w:rsidRPr="00EF295C" w:rsidRDefault="00E15198" w:rsidP="005F1ED8">
            <w:pPr>
              <w:rPr>
                <w:sz w:val="20"/>
                <w:szCs w:val="20"/>
              </w:rPr>
            </w:pPr>
          </w:p>
          <w:p w:rsidR="00E15198" w:rsidRPr="00EF295C" w:rsidRDefault="00E15198" w:rsidP="005F1ED8">
            <w:pPr>
              <w:rPr>
                <w:sz w:val="20"/>
                <w:szCs w:val="20"/>
              </w:rPr>
            </w:pPr>
            <w:r w:rsidRPr="00EF295C">
              <w:rPr>
                <w:sz w:val="20"/>
                <w:szCs w:val="20"/>
              </w:rPr>
              <w:tab/>
              <w:t>v. (37156)</w:t>
            </w:r>
          </w:p>
          <w:p w:rsidR="00E15198" w:rsidRPr="00EF295C" w:rsidRDefault="00E15198" w:rsidP="005F1ED8">
            <w:pPr>
              <w:rPr>
                <w:sz w:val="20"/>
                <w:szCs w:val="20"/>
              </w:rPr>
            </w:pPr>
          </w:p>
          <w:p w:rsidR="00E15198" w:rsidRPr="00EF295C" w:rsidRDefault="00E15198" w:rsidP="005F1ED8">
            <w:pPr>
              <w:rPr>
                <w:sz w:val="20"/>
                <w:szCs w:val="20"/>
              </w:rPr>
            </w:pPr>
            <w:r w:rsidRPr="00EF295C">
              <w:rPr>
                <w:b/>
                <w:sz w:val="20"/>
                <w:szCs w:val="20"/>
              </w:rPr>
              <w:t>Labourers international Union of North America, Local 615 et al. (N.S.)</w:t>
            </w:r>
          </w:p>
          <w:p w:rsidR="00E15198" w:rsidRPr="00EF295C" w:rsidRDefault="00E15198" w:rsidP="005F1ED8">
            <w:pPr>
              <w:rPr>
                <w:sz w:val="20"/>
                <w:szCs w:val="20"/>
              </w:rPr>
            </w:pPr>
            <w:r w:rsidRPr="00EF295C">
              <w:rPr>
                <w:sz w:val="20"/>
                <w:szCs w:val="20"/>
              </w:rPr>
              <w:tab/>
              <w:t>Gordon N. Forsyth</w:t>
            </w:r>
          </w:p>
          <w:p w:rsidR="00E15198" w:rsidRPr="00EF295C" w:rsidRDefault="00E15198" w:rsidP="005F1ED8">
            <w:pPr>
              <w:rPr>
                <w:sz w:val="20"/>
                <w:szCs w:val="20"/>
              </w:rPr>
            </w:pPr>
            <w:r w:rsidRPr="00EF295C">
              <w:rPr>
                <w:sz w:val="20"/>
                <w:szCs w:val="20"/>
              </w:rPr>
              <w:tab/>
              <w:t>Larkin Pink</w:t>
            </w:r>
          </w:p>
          <w:p w:rsidR="00E15198" w:rsidRPr="00EF295C" w:rsidRDefault="00E15198" w:rsidP="005F1ED8">
            <w:pPr>
              <w:rPr>
                <w:sz w:val="20"/>
                <w:szCs w:val="20"/>
              </w:rPr>
            </w:pPr>
          </w:p>
          <w:p w:rsidR="00E15198" w:rsidRPr="00EF295C" w:rsidRDefault="00E15198" w:rsidP="005F1ED8">
            <w:pPr>
              <w:rPr>
                <w:sz w:val="20"/>
                <w:szCs w:val="20"/>
              </w:rPr>
            </w:pPr>
            <w:r w:rsidRPr="00EF295C">
              <w:rPr>
                <w:sz w:val="20"/>
                <w:szCs w:val="20"/>
              </w:rPr>
              <w:t>FILING DATE: 26.08.2016</w:t>
            </w:r>
          </w:p>
          <w:p w:rsidR="00E15198" w:rsidRPr="00EF295C" w:rsidRDefault="002E5FCE" w:rsidP="005F1ED8">
            <w:pPr>
              <w:rPr>
                <w:sz w:val="20"/>
                <w:szCs w:val="20"/>
                <w:lang w:val="fr-CA"/>
              </w:rPr>
            </w:pPr>
            <w:r>
              <w:rPr>
                <w:sz w:val="20"/>
                <w:szCs w:val="20"/>
                <w:lang w:val="fr-CA"/>
              </w:rPr>
              <w:pict>
                <v:rect id="_x0000_i1031" style="width:108pt;height:1pt" o:hrpct="0" o:hralign="center" o:hrstd="t" o:hrnoshade="t" o:hr="t" fillcolor="black [3213]" stroked="f"/>
              </w:pict>
            </w:r>
          </w:p>
          <w:p w:rsidR="00E15198" w:rsidRPr="00EF295C" w:rsidRDefault="00E15198" w:rsidP="005F1ED8">
            <w:pPr>
              <w:rPr>
                <w:sz w:val="20"/>
                <w:szCs w:val="20"/>
              </w:rPr>
            </w:pPr>
          </w:p>
        </w:tc>
        <w:tc>
          <w:tcPr>
            <w:tcW w:w="1181" w:type="dxa"/>
            <w:shd w:val="clear" w:color="auto" w:fill="auto"/>
          </w:tcPr>
          <w:p w:rsidR="00C21644" w:rsidRPr="00EF295C" w:rsidRDefault="00C21644" w:rsidP="00242AEE">
            <w:pPr>
              <w:jc w:val="center"/>
              <w:rPr>
                <w:sz w:val="20"/>
                <w:szCs w:val="20"/>
              </w:rPr>
            </w:pPr>
          </w:p>
        </w:tc>
        <w:tc>
          <w:tcPr>
            <w:tcW w:w="4320" w:type="dxa"/>
            <w:shd w:val="clear" w:color="auto" w:fill="auto"/>
          </w:tcPr>
          <w:p w:rsidR="007202E5" w:rsidRPr="00EF295C" w:rsidRDefault="007202E5" w:rsidP="005F1ED8">
            <w:pPr>
              <w:rPr>
                <w:b/>
                <w:sz w:val="20"/>
                <w:szCs w:val="20"/>
                <w:lang w:val="fr-CA"/>
              </w:rPr>
            </w:pPr>
            <w:r w:rsidRPr="00EF295C">
              <w:rPr>
                <w:b/>
                <w:sz w:val="20"/>
                <w:szCs w:val="20"/>
                <w:lang w:val="fr-CA"/>
              </w:rPr>
              <w:t xml:space="preserve">Paul </w:t>
            </w:r>
            <w:proofErr w:type="spellStart"/>
            <w:r w:rsidRPr="00EF295C">
              <w:rPr>
                <w:b/>
                <w:sz w:val="20"/>
                <w:szCs w:val="20"/>
                <w:lang w:val="fr-CA"/>
              </w:rPr>
              <w:t>Waldner</w:t>
            </w:r>
            <w:proofErr w:type="spellEnd"/>
            <w:r w:rsidRPr="00EF295C">
              <w:rPr>
                <w:b/>
                <w:sz w:val="20"/>
                <w:szCs w:val="20"/>
                <w:lang w:val="fr-CA"/>
              </w:rPr>
              <w:t xml:space="preserve"> et al.</w:t>
            </w:r>
          </w:p>
          <w:p w:rsidR="007202E5" w:rsidRPr="00EF295C" w:rsidRDefault="007202E5" w:rsidP="005F1ED8">
            <w:pPr>
              <w:rPr>
                <w:sz w:val="20"/>
                <w:szCs w:val="20"/>
                <w:lang w:val="fr-CA"/>
              </w:rPr>
            </w:pPr>
            <w:r w:rsidRPr="00EF295C">
              <w:rPr>
                <w:b/>
                <w:sz w:val="20"/>
                <w:szCs w:val="20"/>
                <w:lang w:val="fr-CA"/>
              </w:rPr>
              <w:tab/>
            </w:r>
            <w:r w:rsidRPr="00EF295C">
              <w:rPr>
                <w:sz w:val="20"/>
                <w:szCs w:val="20"/>
                <w:lang w:val="fr-CA"/>
              </w:rPr>
              <w:t>Jamie A. Kagan</w:t>
            </w:r>
          </w:p>
          <w:p w:rsidR="007202E5" w:rsidRPr="00EF295C" w:rsidRDefault="007202E5" w:rsidP="005F1ED8">
            <w:pPr>
              <w:rPr>
                <w:sz w:val="20"/>
                <w:szCs w:val="20"/>
              </w:rPr>
            </w:pPr>
            <w:r w:rsidRPr="00EF295C">
              <w:rPr>
                <w:sz w:val="20"/>
                <w:szCs w:val="20"/>
                <w:lang w:val="fr-CA"/>
              </w:rPr>
              <w:tab/>
            </w:r>
            <w:r w:rsidRPr="00EF295C">
              <w:rPr>
                <w:sz w:val="20"/>
                <w:szCs w:val="20"/>
              </w:rPr>
              <w:t xml:space="preserve">Thompson </w:t>
            </w:r>
            <w:proofErr w:type="spellStart"/>
            <w:r w:rsidRPr="00EF295C">
              <w:rPr>
                <w:sz w:val="20"/>
                <w:szCs w:val="20"/>
              </w:rPr>
              <w:t>Dorfman</w:t>
            </w:r>
            <w:proofErr w:type="spellEnd"/>
            <w:r w:rsidRPr="00EF295C">
              <w:rPr>
                <w:sz w:val="20"/>
                <w:szCs w:val="20"/>
              </w:rPr>
              <w:t xml:space="preserve"> </w:t>
            </w:r>
            <w:proofErr w:type="spellStart"/>
            <w:r w:rsidRPr="00EF295C">
              <w:rPr>
                <w:sz w:val="20"/>
                <w:szCs w:val="20"/>
              </w:rPr>
              <w:t>Sweatman</w:t>
            </w:r>
            <w:proofErr w:type="spellEnd"/>
            <w:r w:rsidRPr="00EF295C">
              <w:rPr>
                <w:sz w:val="20"/>
                <w:szCs w:val="20"/>
              </w:rPr>
              <w:t xml:space="preserve"> LLP</w:t>
            </w:r>
          </w:p>
          <w:p w:rsidR="007202E5" w:rsidRPr="00EF295C" w:rsidRDefault="007202E5" w:rsidP="005F1ED8">
            <w:pPr>
              <w:rPr>
                <w:sz w:val="20"/>
                <w:szCs w:val="20"/>
              </w:rPr>
            </w:pPr>
          </w:p>
          <w:p w:rsidR="007202E5" w:rsidRPr="00EF295C" w:rsidRDefault="007202E5" w:rsidP="005F1ED8">
            <w:pPr>
              <w:rPr>
                <w:sz w:val="20"/>
                <w:szCs w:val="20"/>
              </w:rPr>
            </w:pPr>
            <w:r w:rsidRPr="00EF295C">
              <w:rPr>
                <w:sz w:val="20"/>
                <w:szCs w:val="20"/>
              </w:rPr>
              <w:tab/>
              <w:t>v. (37161)</w:t>
            </w:r>
          </w:p>
          <w:p w:rsidR="007202E5" w:rsidRPr="00EF295C" w:rsidRDefault="007202E5" w:rsidP="005F1ED8">
            <w:pPr>
              <w:rPr>
                <w:b/>
                <w:sz w:val="20"/>
                <w:szCs w:val="20"/>
              </w:rPr>
            </w:pPr>
          </w:p>
          <w:p w:rsidR="007202E5" w:rsidRPr="00EF295C" w:rsidRDefault="007202E5" w:rsidP="005F1ED8">
            <w:pPr>
              <w:rPr>
                <w:b/>
                <w:sz w:val="20"/>
                <w:szCs w:val="20"/>
                <w:lang w:val="fr-CA"/>
              </w:rPr>
            </w:pPr>
            <w:r w:rsidRPr="00EF295C">
              <w:rPr>
                <w:b/>
                <w:sz w:val="20"/>
                <w:szCs w:val="20"/>
                <w:lang w:val="fr-CA"/>
              </w:rPr>
              <w:t xml:space="preserve">Ante </w:t>
            </w:r>
            <w:proofErr w:type="spellStart"/>
            <w:r w:rsidRPr="00EF295C">
              <w:rPr>
                <w:b/>
                <w:sz w:val="20"/>
                <w:szCs w:val="20"/>
                <w:lang w:val="fr-CA"/>
              </w:rPr>
              <w:t>Matic</w:t>
            </w:r>
            <w:proofErr w:type="spellEnd"/>
            <w:r w:rsidRPr="00EF295C">
              <w:rPr>
                <w:b/>
                <w:sz w:val="20"/>
                <w:szCs w:val="20"/>
                <w:lang w:val="fr-CA"/>
              </w:rPr>
              <w:t xml:space="preserve"> </w:t>
            </w:r>
            <w:r w:rsidR="003E222E" w:rsidRPr="00EF295C">
              <w:rPr>
                <w:b/>
                <w:sz w:val="20"/>
                <w:szCs w:val="20"/>
                <w:lang w:val="fr-CA"/>
              </w:rPr>
              <w:t xml:space="preserve">et al. </w:t>
            </w:r>
            <w:r w:rsidRPr="00EF295C">
              <w:rPr>
                <w:b/>
                <w:sz w:val="20"/>
                <w:szCs w:val="20"/>
                <w:lang w:val="fr-CA"/>
              </w:rPr>
              <w:t>(Man.)</w:t>
            </w:r>
          </w:p>
          <w:p w:rsidR="007202E5" w:rsidRPr="00EF295C" w:rsidRDefault="007202E5" w:rsidP="005F1ED8">
            <w:pPr>
              <w:rPr>
                <w:sz w:val="20"/>
                <w:szCs w:val="20"/>
              </w:rPr>
            </w:pPr>
            <w:r w:rsidRPr="00EF295C">
              <w:rPr>
                <w:sz w:val="20"/>
                <w:szCs w:val="20"/>
                <w:lang w:val="fr-CA"/>
              </w:rPr>
              <w:tab/>
            </w:r>
            <w:r w:rsidRPr="00EF295C">
              <w:rPr>
                <w:sz w:val="20"/>
                <w:szCs w:val="20"/>
              </w:rPr>
              <w:t>Richard I. Good</w:t>
            </w:r>
          </w:p>
          <w:p w:rsidR="007202E5" w:rsidRPr="00EF295C" w:rsidRDefault="007202E5" w:rsidP="005F1ED8">
            <w:pPr>
              <w:rPr>
                <w:sz w:val="20"/>
                <w:szCs w:val="20"/>
              </w:rPr>
            </w:pPr>
            <w:r w:rsidRPr="00EF295C">
              <w:rPr>
                <w:sz w:val="20"/>
                <w:szCs w:val="20"/>
              </w:rPr>
              <w:tab/>
              <w:t>Fillmore &amp; Riley LLP</w:t>
            </w:r>
          </w:p>
          <w:p w:rsidR="007202E5" w:rsidRPr="00EF295C" w:rsidRDefault="007202E5" w:rsidP="005F1ED8">
            <w:pPr>
              <w:rPr>
                <w:sz w:val="20"/>
                <w:szCs w:val="20"/>
              </w:rPr>
            </w:pPr>
          </w:p>
          <w:p w:rsidR="007202E5" w:rsidRPr="00EF295C" w:rsidRDefault="007202E5" w:rsidP="005F1ED8">
            <w:pPr>
              <w:rPr>
                <w:sz w:val="20"/>
                <w:szCs w:val="20"/>
              </w:rPr>
            </w:pPr>
            <w:r w:rsidRPr="00EF295C">
              <w:rPr>
                <w:sz w:val="20"/>
                <w:szCs w:val="20"/>
              </w:rPr>
              <w:t>FILING DATE : 30.08.2016</w:t>
            </w:r>
          </w:p>
          <w:p w:rsidR="007202E5" w:rsidRPr="00EF295C" w:rsidRDefault="002E5FCE" w:rsidP="005F1ED8">
            <w:pPr>
              <w:rPr>
                <w:sz w:val="20"/>
                <w:szCs w:val="20"/>
                <w:lang w:val="fr-CA"/>
              </w:rPr>
            </w:pPr>
            <w:r>
              <w:rPr>
                <w:sz w:val="20"/>
                <w:szCs w:val="20"/>
                <w:lang w:val="fr-CA"/>
              </w:rPr>
              <w:pict>
                <v:rect id="_x0000_i1032" style="width:108pt;height:1pt" o:hrpct="0" o:hralign="center" o:hrstd="t" o:hrnoshade="t" o:hr="t" fillcolor="black [3213]" stroked="f"/>
              </w:pict>
            </w:r>
          </w:p>
          <w:p w:rsidR="00CB1E18" w:rsidRPr="00EF295C" w:rsidRDefault="00CB1E18" w:rsidP="005F1ED8">
            <w:pPr>
              <w:rPr>
                <w:sz w:val="20"/>
                <w:szCs w:val="20"/>
              </w:rPr>
            </w:pPr>
          </w:p>
        </w:tc>
      </w:tr>
      <w:tr w:rsidR="00E15198" w:rsidRPr="00EF295C" w:rsidTr="003B3977">
        <w:trPr>
          <w:cantSplit/>
        </w:trPr>
        <w:tc>
          <w:tcPr>
            <w:tcW w:w="4320" w:type="dxa"/>
            <w:shd w:val="clear" w:color="auto" w:fill="auto"/>
          </w:tcPr>
          <w:p w:rsidR="00CB1E18" w:rsidRPr="00EF295C" w:rsidRDefault="00CB1E18" w:rsidP="00CB1E18">
            <w:pPr>
              <w:rPr>
                <w:b/>
                <w:sz w:val="20"/>
                <w:szCs w:val="20"/>
              </w:rPr>
            </w:pPr>
            <w:r w:rsidRPr="00EF295C">
              <w:rPr>
                <w:b/>
                <w:sz w:val="20"/>
                <w:szCs w:val="20"/>
              </w:rPr>
              <w:lastRenderedPageBreak/>
              <w:t>1830994 Ontario Ltd.</w:t>
            </w:r>
          </w:p>
          <w:p w:rsidR="00CB1E18" w:rsidRPr="00EF295C" w:rsidRDefault="00CB1E18" w:rsidP="00CB1E18">
            <w:pPr>
              <w:rPr>
                <w:sz w:val="20"/>
                <w:szCs w:val="20"/>
              </w:rPr>
            </w:pPr>
            <w:r w:rsidRPr="00EF295C">
              <w:rPr>
                <w:sz w:val="20"/>
                <w:szCs w:val="20"/>
              </w:rPr>
              <w:tab/>
              <w:t xml:space="preserve">Maurice J. </w:t>
            </w:r>
            <w:proofErr w:type="spellStart"/>
            <w:r w:rsidRPr="00EF295C">
              <w:rPr>
                <w:sz w:val="20"/>
                <w:szCs w:val="20"/>
              </w:rPr>
              <w:t>Neirinck</w:t>
            </w:r>
            <w:proofErr w:type="spellEnd"/>
          </w:p>
          <w:p w:rsidR="00CB1E18" w:rsidRPr="00EF295C" w:rsidRDefault="00CB1E18" w:rsidP="00CB1E18">
            <w:pPr>
              <w:rPr>
                <w:sz w:val="20"/>
                <w:szCs w:val="20"/>
              </w:rPr>
            </w:pPr>
            <w:r w:rsidRPr="00EF295C">
              <w:rPr>
                <w:sz w:val="20"/>
                <w:szCs w:val="20"/>
              </w:rPr>
              <w:tab/>
              <w:t xml:space="preserve">Maurice J. </w:t>
            </w:r>
            <w:proofErr w:type="spellStart"/>
            <w:r w:rsidRPr="00EF295C">
              <w:rPr>
                <w:sz w:val="20"/>
                <w:szCs w:val="20"/>
              </w:rPr>
              <w:t>Neirinck</w:t>
            </w:r>
            <w:proofErr w:type="spellEnd"/>
            <w:r w:rsidRPr="00EF295C">
              <w:rPr>
                <w:sz w:val="20"/>
                <w:szCs w:val="20"/>
              </w:rPr>
              <w:t xml:space="preserve"> &amp; Associates</w:t>
            </w:r>
          </w:p>
          <w:p w:rsidR="00CB1E18" w:rsidRPr="00EF295C" w:rsidRDefault="00CB1E18" w:rsidP="00CB1E18">
            <w:pPr>
              <w:rPr>
                <w:sz w:val="20"/>
                <w:szCs w:val="20"/>
              </w:rPr>
            </w:pPr>
          </w:p>
          <w:p w:rsidR="00CB1E18" w:rsidRPr="00EF295C" w:rsidRDefault="00CB1E18" w:rsidP="00CB1E18">
            <w:pPr>
              <w:rPr>
                <w:sz w:val="20"/>
                <w:szCs w:val="20"/>
              </w:rPr>
            </w:pPr>
            <w:r w:rsidRPr="00EF295C">
              <w:rPr>
                <w:sz w:val="20"/>
                <w:szCs w:val="20"/>
              </w:rPr>
              <w:tab/>
              <w:t>v. (37157)</w:t>
            </w:r>
          </w:p>
          <w:p w:rsidR="00CB1E18" w:rsidRPr="00EF295C" w:rsidRDefault="00CB1E18" w:rsidP="00CB1E18">
            <w:pPr>
              <w:rPr>
                <w:sz w:val="20"/>
                <w:szCs w:val="20"/>
              </w:rPr>
            </w:pPr>
          </w:p>
          <w:p w:rsidR="00CB1E18" w:rsidRPr="00EF295C" w:rsidRDefault="00CB1E18" w:rsidP="00CB1E18">
            <w:pPr>
              <w:rPr>
                <w:b/>
                <w:sz w:val="20"/>
                <w:szCs w:val="20"/>
              </w:rPr>
            </w:pPr>
            <w:r w:rsidRPr="00EF295C">
              <w:rPr>
                <w:b/>
                <w:sz w:val="20"/>
                <w:szCs w:val="20"/>
              </w:rPr>
              <w:t xml:space="preserve">A. Farber &amp; Partners Inc., the Trustee of the Bankruptcy Estate of </w:t>
            </w:r>
            <w:proofErr w:type="spellStart"/>
            <w:r w:rsidRPr="00EF295C">
              <w:rPr>
                <w:b/>
                <w:sz w:val="20"/>
                <w:szCs w:val="20"/>
              </w:rPr>
              <w:t>Montor</w:t>
            </w:r>
            <w:proofErr w:type="spellEnd"/>
            <w:r w:rsidRPr="00EF295C">
              <w:rPr>
                <w:b/>
                <w:sz w:val="20"/>
                <w:szCs w:val="20"/>
              </w:rPr>
              <w:t xml:space="preserve"> Business Corporation, </w:t>
            </w:r>
            <w:proofErr w:type="spellStart"/>
            <w:r w:rsidRPr="00EF295C">
              <w:rPr>
                <w:b/>
                <w:sz w:val="20"/>
                <w:szCs w:val="20"/>
              </w:rPr>
              <w:t>Annopol</w:t>
            </w:r>
            <w:proofErr w:type="spellEnd"/>
            <w:r w:rsidRPr="00EF295C">
              <w:rPr>
                <w:b/>
                <w:sz w:val="20"/>
                <w:szCs w:val="20"/>
              </w:rPr>
              <w:t xml:space="preserve"> Holdings Limited and Summit Glen Brantford Holdings Inc. (Ont.)</w:t>
            </w:r>
          </w:p>
          <w:p w:rsidR="00CB1E18" w:rsidRPr="00EF295C" w:rsidRDefault="00CB1E18" w:rsidP="00CB1E18">
            <w:pPr>
              <w:rPr>
                <w:sz w:val="20"/>
                <w:szCs w:val="20"/>
              </w:rPr>
            </w:pPr>
            <w:r w:rsidRPr="00EF295C">
              <w:rPr>
                <w:sz w:val="20"/>
                <w:szCs w:val="20"/>
              </w:rPr>
              <w:tab/>
              <w:t xml:space="preserve">Patrick </w:t>
            </w:r>
            <w:proofErr w:type="spellStart"/>
            <w:r w:rsidRPr="00EF295C">
              <w:rPr>
                <w:sz w:val="20"/>
                <w:szCs w:val="20"/>
              </w:rPr>
              <w:t>Shea</w:t>
            </w:r>
            <w:proofErr w:type="spellEnd"/>
            <w:r w:rsidRPr="00EF295C">
              <w:rPr>
                <w:sz w:val="20"/>
                <w:szCs w:val="20"/>
              </w:rPr>
              <w:t xml:space="preserve"> </w:t>
            </w:r>
          </w:p>
          <w:p w:rsidR="00CB1E18" w:rsidRPr="00EF295C" w:rsidRDefault="00CB1E18" w:rsidP="00CB1E18">
            <w:pPr>
              <w:rPr>
                <w:sz w:val="20"/>
                <w:szCs w:val="20"/>
              </w:rPr>
            </w:pPr>
            <w:r w:rsidRPr="00EF295C">
              <w:rPr>
                <w:sz w:val="20"/>
                <w:szCs w:val="20"/>
              </w:rPr>
              <w:tab/>
            </w:r>
            <w:proofErr w:type="spellStart"/>
            <w:r w:rsidRPr="00EF295C">
              <w:rPr>
                <w:sz w:val="20"/>
                <w:szCs w:val="20"/>
              </w:rPr>
              <w:t>Gowling</w:t>
            </w:r>
            <w:proofErr w:type="spellEnd"/>
            <w:r w:rsidRPr="00EF295C">
              <w:rPr>
                <w:sz w:val="20"/>
                <w:szCs w:val="20"/>
              </w:rPr>
              <w:t xml:space="preserve"> WLG (Canada) Inc.</w:t>
            </w:r>
          </w:p>
          <w:p w:rsidR="00CB1E18" w:rsidRPr="00EF295C" w:rsidRDefault="00CB1E18" w:rsidP="00CB1E18">
            <w:pPr>
              <w:rPr>
                <w:sz w:val="20"/>
                <w:szCs w:val="20"/>
              </w:rPr>
            </w:pPr>
          </w:p>
          <w:p w:rsidR="00CB1E18" w:rsidRPr="00EF295C" w:rsidRDefault="00CB1E18" w:rsidP="00CB1E18">
            <w:pPr>
              <w:rPr>
                <w:sz w:val="20"/>
                <w:szCs w:val="20"/>
              </w:rPr>
            </w:pPr>
            <w:r w:rsidRPr="00EF295C">
              <w:rPr>
                <w:sz w:val="20"/>
                <w:szCs w:val="20"/>
              </w:rPr>
              <w:t>FILING DATE: 26.08.2016</w:t>
            </w:r>
          </w:p>
          <w:p w:rsidR="00E15198" w:rsidRPr="00EF295C" w:rsidRDefault="002E5FCE" w:rsidP="00CB1E18">
            <w:pPr>
              <w:rPr>
                <w:sz w:val="20"/>
                <w:szCs w:val="20"/>
                <w:lang w:val="fr-CA"/>
              </w:rPr>
            </w:pPr>
            <w:r>
              <w:rPr>
                <w:sz w:val="20"/>
                <w:szCs w:val="20"/>
                <w:lang w:val="fr-CA"/>
              </w:rPr>
              <w:pict>
                <v:rect id="_x0000_i1033" style="width:108pt;height:1pt" o:hrpct="0" o:hralign="center" o:hrstd="t" o:hrnoshade="t" o:hr="t" fillcolor="black [3213]" stroked="f"/>
              </w:pict>
            </w:r>
          </w:p>
          <w:p w:rsidR="00CB1E18" w:rsidRPr="00EF295C" w:rsidRDefault="00CB1E18" w:rsidP="00CB1E18">
            <w:pPr>
              <w:rPr>
                <w:sz w:val="20"/>
                <w:szCs w:val="20"/>
              </w:rPr>
            </w:pPr>
          </w:p>
        </w:tc>
        <w:tc>
          <w:tcPr>
            <w:tcW w:w="1181" w:type="dxa"/>
            <w:shd w:val="clear" w:color="auto" w:fill="auto"/>
          </w:tcPr>
          <w:p w:rsidR="00E15198" w:rsidRPr="00EF295C" w:rsidRDefault="00E15198" w:rsidP="00242AEE">
            <w:pPr>
              <w:jc w:val="center"/>
              <w:rPr>
                <w:sz w:val="20"/>
                <w:szCs w:val="20"/>
              </w:rPr>
            </w:pPr>
          </w:p>
        </w:tc>
        <w:tc>
          <w:tcPr>
            <w:tcW w:w="4320" w:type="dxa"/>
            <w:shd w:val="clear" w:color="auto" w:fill="auto"/>
          </w:tcPr>
          <w:p w:rsidR="00E15198" w:rsidRPr="00EF295C" w:rsidRDefault="00CB1E18" w:rsidP="005F1ED8">
            <w:pPr>
              <w:rPr>
                <w:b/>
                <w:sz w:val="20"/>
                <w:szCs w:val="20"/>
              </w:rPr>
            </w:pPr>
            <w:r w:rsidRPr="00EF295C">
              <w:rPr>
                <w:b/>
                <w:sz w:val="20"/>
                <w:szCs w:val="20"/>
              </w:rPr>
              <w:t xml:space="preserve">A. Farber &amp; Partners Inc., the Trustee of the Bankruptcy Estates of </w:t>
            </w:r>
            <w:proofErr w:type="spellStart"/>
            <w:r w:rsidRPr="00EF295C">
              <w:rPr>
                <w:b/>
                <w:sz w:val="20"/>
                <w:szCs w:val="20"/>
              </w:rPr>
              <w:t>Montor</w:t>
            </w:r>
            <w:proofErr w:type="spellEnd"/>
            <w:r w:rsidRPr="00EF295C">
              <w:rPr>
                <w:b/>
                <w:sz w:val="20"/>
                <w:szCs w:val="20"/>
              </w:rPr>
              <w:t xml:space="preserve"> Business Corporation, </w:t>
            </w:r>
            <w:proofErr w:type="spellStart"/>
            <w:r w:rsidRPr="00EF295C">
              <w:rPr>
                <w:b/>
                <w:sz w:val="20"/>
                <w:szCs w:val="20"/>
              </w:rPr>
              <w:t>Annopol</w:t>
            </w:r>
            <w:proofErr w:type="spellEnd"/>
            <w:r w:rsidRPr="00EF295C">
              <w:rPr>
                <w:b/>
                <w:sz w:val="20"/>
                <w:szCs w:val="20"/>
              </w:rPr>
              <w:t xml:space="preserve"> Holdings Limited and Summit Glen Brantford Holdings Inc.</w:t>
            </w:r>
          </w:p>
          <w:p w:rsidR="007202E5" w:rsidRPr="00EF295C" w:rsidRDefault="007202E5" w:rsidP="005F1ED8">
            <w:pPr>
              <w:rPr>
                <w:sz w:val="20"/>
                <w:szCs w:val="20"/>
              </w:rPr>
            </w:pPr>
            <w:r w:rsidRPr="00EF295C">
              <w:rPr>
                <w:b/>
                <w:sz w:val="20"/>
                <w:szCs w:val="20"/>
              </w:rPr>
              <w:tab/>
            </w:r>
            <w:r w:rsidRPr="00EF295C">
              <w:rPr>
                <w:sz w:val="20"/>
                <w:szCs w:val="20"/>
              </w:rPr>
              <w:t xml:space="preserve">Patrick </w:t>
            </w:r>
            <w:proofErr w:type="spellStart"/>
            <w:r w:rsidRPr="00EF295C">
              <w:rPr>
                <w:sz w:val="20"/>
                <w:szCs w:val="20"/>
              </w:rPr>
              <w:t>Shea</w:t>
            </w:r>
            <w:proofErr w:type="spellEnd"/>
          </w:p>
          <w:p w:rsidR="007202E5" w:rsidRPr="00EF295C" w:rsidRDefault="007202E5" w:rsidP="005F1ED8">
            <w:pPr>
              <w:rPr>
                <w:sz w:val="20"/>
                <w:szCs w:val="20"/>
              </w:rPr>
            </w:pPr>
            <w:r w:rsidRPr="00EF295C">
              <w:rPr>
                <w:sz w:val="20"/>
                <w:szCs w:val="20"/>
              </w:rPr>
              <w:tab/>
            </w:r>
            <w:proofErr w:type="spellStart"/>
            <w:r w:rsidRPr="00EF295C">
              <w:rPr>
                <w:sz w:val="20"/>
                <w:szCs w:val="20"/>
              </w:rPr>
              <w:t>Gowling</w:t>
            </w:r>
            <w:proofErr w:type="spellEnd"/>
            <w:r w:rsidRPr="00EF295C">
              <w:rPr>
                <w:sz w:val="20"/>
                <w:szCs w:val="20"/>
              </w:rPr>
              <w:t xml:space="preserve"> WLG (Canada) Inc.</w:t>
            </w:r>
          </w:p>
          <w:p w:rsidR="007202E5" w:rsidRPr="00EF295C" w:rsidRDefault="007202E5" w:rsidP="005F1ED8">
            <w:pPr>
              <w:rPr>
                <w:sz w:val="20"/>
                <w:szCs w:val="20"/>
              </w:rPr>
            </w:pPr>
          </w:p>
          <w:p w:rsidR="007202E5" w:rsidRPr="00EF295C" w:rsidRDefault="007202E5" w:rsidP="005F1ED8">
            <w:pPr>
              <w:rPr>
                <w:sz w:val="20"/>
                <w:szCs w:val="20"/>
              </w:rPr>
            </w:pPr>
            <w:r w:rsidRPr="00EF295C">
              <w:rPr>
                <w:sz w:val="20"/>
                <w:szCs w:val="20"/>
              </w:rPr>
              <w:tab/>
              <w:t>v. (37160)</w:t>
            </w:r>
          </w:p>
          <w:p w:rsidR="007202E5" w:rsidRPr="00EF295C" w:rsidRDefault="007202E5" w:rsidP="005F1ED8">
            <w:pPr>
              <w:rPr>
                <w:sz w:val="20"/>
                <w:szCs w:val="20"/>
              </w:rPr>
            </w:pPr>
          </w:p>
          <w:p w:rsidR="007202E5" w:rsidRPr="00EF295C" w:rsidRDefault="007202E5" w:rsidP="005F1ED8">
            <w:pPr>
              <w:rPr>
                <w:b/>
                <w:sz w:val="20"/>
                <w:szCs w:val="20"/>
              </w:rPr>
            </w:pPr>
            <w:r w:rsidRPr="00EF295C">
              <w:rPr>
                <w:b/>
                <w:sz w:val="20"/>
                <w:szCs w:val="20"/>
              </w:rPr>
              <w:t xml:space="preserve">Morris </w:t>
            </w:r>
            <w:proofErr w:type="spellStart"/>
            <w:r w:rsidRPr="00EF295C">
              <w:rPr>
                <w:b/>
                <w:sz w:val="20"/>
                <w:szCs w:val="20"/>
              </w:rPr>
              <w:t>Goldfinger</w:t>
            </w:r>
            <w:proofErr w:type="spellEnd"/>
            <w:r w:rsidRPr="00EF295C">
              <w:rPr>
                <w:b/>
                <w:sz w:val="20"/>
                <w:szCs w:val="20"/>
              </w:rPr>
              <w:t xml:space="preserve">, </w:t>
            </w:r>
            <w:proofErr w:type="spellStart"/>
            <w:r w:rsidRPr="00EF295C">
              <w:rPr>
                <w:b/>
                <w:sz w:val="20"/>
                <w:szCs w:val="20"/>
              </w:rPr>
              <w:t>Goldfinger</w:t>
            </w:r>
            <w:proofErr w:type="spellEnd"/>
            <w:r w:rsidRPr="00EF295C">
              <w:rPr>
                <w:b/>
                <w:sz w:val="20"/>
                <w:szCs w:val="20"/>
              </w:rPr>
              <w:t xml:space="preserve"> </w:t>
            </w:r>
            <w:proofErr w:type="spellStart"/>
            <w:r w:rsidRPr="00EF295C">
              <w:rPr>
                <w:b/>
                <w:sz w:val="20"/>
                <w:szCs w:val="20"/>
              </w:rPr>
              <w:t>Jazrawy</w:t>
            </w:r>
            <w:proofErr w:type="spellEnd"/>
            <w:r w:rsidRPr="00EF295C">
              <w:rPr>
                <w:b/>
                <w:sz w:val="20"/>
                <w:szCs w:val="20"/>
              </w:rPr>
              <w:t xml:space="preserve"> Diagnostic Services Ltd., Summit Glen Bridge Street Inc., </w:t>
            </w:r>
            <w:proofErr w:type="spellStart"/>
            <w:r w:rsidRPr="00EF295C">
              <w:rPr>
                <w:b/>
                <w:sz w:val="20"/>
                <w:szCs w:val="20"/>
              </w:rPr>
              <w:t>Mahvash</w:t>
            </w:r>
            <w:proofErr w:type="spellEnd"/>
            <w:r w:rsidRPr="00EF295C">
              <w:rPr>
                <w:b/>
                <w:sz w:val="20"/>
                <w:szCs w:val="20"/>
              </w:rPr>
              <w:t xml:space="preserve"> </w:t>
            </w:r>
            <w:proofErr w:type="spellStart"/>
            <w:r w:rsidRPr="00EF295C">
              <w:rPr>
                <w:b/>
                <w:sz w:val="20"/>
                <w:szCs w:val="20"/>
              </w:rPr>
              <w:t>Lech</w:t>
            </w:r>
            <w:r w:rsidR="003E222E" w:rsidRPr="00EF295C">
              <w:rPr>
                <w:b/>
                <w:sz w:val="20"/>
                <w:szCs w:val="20"/>
              </w:rPr>
              <w:t>c</w:t>
            </w:r>
            <w:r w:rsidRPr="00EF295C">
              <w:rPr>
                <w:b/>
                <w:sz w:val="20"/>
                <w:szCs w:val="20"/>
              </w:rPr>
              <w:t>ier-Kimel</w:t>
            </w:r>
            <w:proofErr w:type="spellEnd"/>
            <w:r w:rsidRPr="00EF295C">
              <w:rPr>
                <w:b/>
                <w:sz w:val="20"/>
                <w:szCs w:val="20"/>
              </w:rPr>
              <w:t xml:space="preserve">, </w:t>
            </w:r>
            <w:proofErr w:type="spellStart"/>
            <w:r w:rsidRPr="00EF295C">
              <w:rPr>
                <w:b/>
                <w:sz w:val="20"/>
                <w:szCs w:val="20"/>
              </w:rPr>
              <w:t>Annopol</w:t>
            </w:r>
            <w:proofErr w:type="spellEnd"/>
            <w:r w:rsidRPr="00EF295C">
              <w:rPr>
                <w:b/>
                <w:sz w:val="20"/>
                <w:szCs w:val="20"/>
              </w:rPr>
              <w:t xml:space="preserve"> Holdings Limited and Summit Glen Brantford Inc. (Ont.)</w:t>
            </w:r>
          </w:p>
          <w:p w:rsidR="007202E5" w:rsidRPr="00EF295C" w:rsidRDefault="007202E5" w:rsidP="005F1ED8">
            <w:pPr>
              <w:rPr>
                <w:sz w:val="20"/>
                <w:szCs w:val="20"/>
              </w:rPr>
            </w:pPr>
            <w:r w:rsidRPr="00EF295C">
              <w:rPr>
                <w:sz w:val="20"/>
                <w:szCs w:val="20"/>
              </w:rPr>
              <w:tab/>
              <w:t xml:space="preserve">Maurice J. </w:t>
            </w:r>
            <w:proofErr w:type="spellStart"/>
            <w:r w:rsidRPr="00EF295C">
              <w:rPr>
                <w:sz w:val="20"/>
                <w:szCs w:val="20"/>
              </w:rPr>
              <w:t>Neirinck</w:t>
            </w:r>
            <w:proofErr w:type="spellEnd"/>
          </w:p>
          <w:p w:rsidR="007202E5" w:rsidRPr="00EF295C" w:rsidRDefault="007202E5" w:rsidP="005F1ED8">
            <w:pPr>
              <w:rPr>
                <w:sz w:val="20"/>
                <w:szCs w:val="20"/>
              </w:rPr>
            </w:pPr>
            <w:r w:rsidRPr="00EF295C">
              <w:rPr>
                <w:sz w:val="20"/>
                <w:szCs w:val="20"/>
              </w:rPr>
              <w:tab/>
              <w:t xml:space="preserve">Maurice J. </w:t>
            </w:r>
            <w:proofErr w:type="spellStart"/>
            <w:r w:rsidRPr="00EF295C">
              <w:rPr>
                <w:sz w:val="20"/>
                <w:szCs w:val="20"/>
              </w:rPr>
              <w:t>Neirinck</w:t>
            </w:r>
            <w:proofErr w:type="spellEnd"/>
            <w:r w:rsidRPr="00EF295C">
              <w:rPr>
                <w:sz w:val="20"/>
                <w:szCs w:val="20"/>
              </w:rPr>
              <w:t xml:space="preserve"> &amp; Associates</w:t>
            </w:r>
          </w:p>
          <w:p w:rsidR="007202E5" w:rsidRPr="00EF295C" w:rsidRDefault="007202E5" w:rsidP="005F1ED8">
            <w:pPr>
              <w:rPr>
                <w:sz w:val="20"/>
                <w:szCs w:val="20"/>
              </w:rPr>
            </w:pPr>
          </w:p>
          <w:p w:rsidR="007202E5" w:rsidRPr="00EF295C" w:rsidRDefault="007202E5" w:rsidP="005F1ED8">
            <w:pPr>
              <w:rPr>
                <w:sz w:val="20"/>
                <w:szCs w:val="20"/>
              </w:rPr>
            </w:pPr>
            <w:r w:rsidRPr="00EF295C">
              <w:rPr>
                <w:sz w:val="20"/>
                <w:szCs w:val="20"/>
              </w:rPr>
              <w:t>FILING DATE: 30.08.2016</w:t>
            </w:r>
          </w:p>
          <w:p w:rsidR="007202E5" w:rsidRPr="00EF295C" w:rsidRDefault="002E5FCE" w:rsidP="005F1ED8">
            <w:pPr>
              <w:rPr>
                <w:sz w:val="20"/>
                <w:szCs w:val="20"/>
              </w:rPr>
            </w:pPr>
            <w:r>
              <w:rPr>
                <w:sz w:val="20"/>
                <w:szCs w:val="20"/>
                <w:lang w:val="fr-CA"/>
              </w:rPr>
              <w:pict>
                <v:rect id="_x0000_i1034" style="width:108pt;height:1pt" o:hrpct="0" o:hralign="center" o:hrstd="t" o:hrnoshade="t" o:hr="t" fillcolor="black [3213]" stroked="f"/>
              </w:pict>
            </w:r>
          </w:p>
          <w:p w:rsidR="007202E5" w:rsidRPr="00EF295C" w:rsidRDefault="007202E5" w:rsidP="005F1ED8">
            <w:pPr>
              <w:rPr>
                <w:sz w:val="20"/>
                <w:szCs w:val="20"/>
              </w:rPr>
            </w:pPr>
          </w:p>
        </w:tc>
      </w:tr>
      <w:tr w:rsidR="00E15198" w:rsidRPr="00EF295C" w:rsidTr="003B3977">
        <w:trPr>
          <w:cantSplit/>
        </w:trPr>
        <w:tc>
          <w:tcPr>
            <w:tcW w:w="4320" w:type="dxa"/>
            <w:shd w:val="clear" w:color="auto" w:fill="auto"/>
          </w:tcPr>
          <w:p w:rsidR="00E15198" w:rsidRPr="00EF295C" w:rsidRDefault="007624E6" w:rsidP="005F1ED8">
            <w:pPr>
              <w:rPr>
                <w:b/>
                <w:sz w:val="20"/>
                <w:szCs w:val="20"/>
              </w:rPr>
            </w:pPr>
            <w:proofErr w:type="spellStart"/>
            <w:r w:rsidRPr="00EF295C">
              <w:rPr>
                <w:b/>
                <w:sz w:val="20"/>
                <w:szCs w:val="20"/>
              </w:rPr>
              <w:t>Teva</w:t>
            </w:r>
            <w:proofErr w:type="spellEnd"/>
            <w:r w:rsidRPr="00EF295C">
              <w:rPr>
                <w:b/>
                <w:sz w:val="20"/>
                <w:szCs w:val="20"/>
              </w:rPr>
              <w:t xml:space="preserve"> Canada Limited</w:t>
            </w:r>
          </w:p>
          <w:p w:rsidR="007624E6" w:rsidRPr="00EF295C" w:rsidRDefault="007624E6" w:rsidP="005F1ED8">
            <w:pPr>
              <w:rPr>
                <w:sz w:val="20"/>
                <w:szCs w:val="20"/>
              </w:rPr>
            </w:pPr>
            <w:r w:rsidRPr="00EF295C">
              <w:rPr>
                <w:b/>
                <w:sz w:val="20"/>
                <w:szCs w:val="20"/>
              </w:rPr>
              <w:tab/>
            </w:r>
            <w:r w:rsidRPr="00EF295C">
              <w:rPr>
                <w:sz w:val="20"/>
                <w:szCs w:val="20"/>
              </w:rPr>
              <w:t>David W. Aitken</w:t>
            </w:r>
          </w:p>
          <w:p w:rsidR="007624E6" w:rsidRPr="00EF295C" w:rsidRDefault="007624E6" w:rsidP="005F1ED8">
            <w:pPr>
              <w:rPr>
                <w:sz w:val="20"/>
                <w:szCs w:val="20"/>
              </w:rPr>
            </w:pPr>
            <w:r w:rsidRPr="00EF295C">
              <w:rPr>
                <w:sz w:val="20"/>
                <w:szCs w:val="20"/>
              </w:rPr>
              <w:tab/>
              <w:t>Aitken Klee LLP</w:t>
            </w:r>
          </w:p>
          <w:p w:rsidR="007624E6" w:rsidRPr="00EF295C" w:rsidRDefault="007624E6" w:rsidP="005F1ED8">
            <w:pPr>
              <w:rPr>
                <w:sz w:val="20"/>
                <w:szCs w:val="20"/>
              </w:rPr>
            </w:pPr>
          </w:p>
          <w:p w:rsidR="007624E6" w:rsidRPr="00EF295C" w:rsidRDefault="007624E6" w:rsidP="005F1ED8">
            <w:pPr>
              <w:rPr>
                <w:sz w:val="20"/>
                <w:szCs w:val="20"/>
              </w:rPr>
            </w:pPr>
            <w:r w:rsidRPr="00EF295C">
              <w:rPr>
                <w:sz w:val="20"/>
                <w:szCs w:val="20"/>
              </w:rPr>
              <w:tab/>
              <w:t>v. (37162)</w:t>
            </w:r>
          </w:p>
          <w:p w:rsidR="007624E6" w:rsidRPr="00EF295C" w:rsidRDefault="007624E6" w:rsidP="005F1ED8">
            <w:pPr>
              <w:rPr>
                <w:sz w:val="20"/>
                <w:szCs w:val="20"/>
              </w:rPr>
            </w:pPr>
          </w:p>
          <w:p w:rsidR="007624E6" w:rsidRPr="00EF295C" w:rsidRDefault="007624E6" w:rsidP="005F1ED8">
            <w:pPr>
              <w:rPr>
                <w:b/>
                <w:sz w:val="20"/>
                <w:szCs w:val="20"/>
              </w:rPr>
            </w:pPr>
            <w:r w:rsidRPr="00EF295C">
              <w:rPr>
                <w:b/>
                <w:sz w:val="20"/>
                <w:szCs w:val="20"/>
              </w:rPr>
              <w:t>Pfizer Canada Inc. (F.C.)</w:t>
            </w:r>
          </w:p>
          <w:p w:rsidR="007624E6" w:rsidRPr="00EF295C" w:rsidRDefault="007624E6" w:rsidP="005F1ED8">
            <w:pPr>
              <w:rPr>
                <w:sz w:val="20"/>
                <w:szCs w:val="20"/>
              </w:rPr>
            </w:pPr>
            <w:r w:rsidRPr="00EF295C">
              <w:rPr>
                <w:b/>
                <w:sz w:val="20"/>
                <w:szCs w:val="20"/>
              </w:rPr>
              <w:tab/>
            </w:r>
            <w:r w:rsidRPr="00EF295C">
              <w:rPr>
                <w:sz w:val="20"/>
                <w:szCs w:val="20"/>
              </w:rPr>
              <w:t>Peter Wilcox</w:t>
            </w:r>
          </w:p>
          <w:p w:rsidR="007624E6" w:rsidRPr="00EF295C" w:rsidRDefault="007624E6" w:rsidP="005F1ED8">
            <w:pPr>
              <w:rPr>
                <w:sz w:val="20"/>
                <w:szCs w:val="20"/>
              </w:rPr>
            </w:pPr>
            <w:r w:rsidRPr="00EF295C">
              <w:rPr>
                <w:sz w:val="20"/>
                <w:szCs w:val="20"/>
              </w:rPr>
              <w:tab/>
              <w:t xml:space="preserve">Belmore </w:t>
            </w:r>
            <w:proofErr w:type="spellStart"/>
            <w:r w:rsidRPr="00EF295C">
              <w:rPr>
                <w:sz w:val="20"/>
                <w:szCs w:val="20"/>
              </w:rPr>
              <w:t>Neidrauer</w:t>
            </w:r>
            <w:proofErr w:type="spellEnd"/>
            <w:r w:rsidRPr="00EF295C">
              <w:rPr>
                <w:sz w:val="20"/>
                <w:szCs w:val="20"/>
              </w:rPr>
              <w:t xml:space="preserve"> LLP</w:t>
            </w:r>
          </w:p>
          <w:p w:rsidR="007624E6" w:rsidRPr="00EF295C" w:rsidRDefault="007624E6" w:rsidP="005F1ED8">
            <w:pPr>
              <w:rPr>
                <w:sz w:val="20"/>
                <w:szCs w:val="20"/>
              </w:rPr>
            </w:pPr>
          </w:p>
          <w:p w:rsidR="007624E6" w:rsidRPr="00EF295C" w:rsidRDefault="007624E6" w:rsidP="005F1ED8">
            <w:pPr>
              <w:rPr>
                <w:sz w:val="20"/>
                <w:szCs w:val="20"/>
              </w:rPr>
            </w:pPr>
            <w:r w:rsidRPr="00EF295C">
              <w:rPr>
                <w:sz w:val="20"/>
                <w:szCs w:val="20"/>
              </w:rPr>
              <w:t>FILING DATE: 30.08.2016</w:t>
            </w:r>
          </w:p>
          <w:p w:rsidR="007624E6" w:rsidRPr="00EF295C" w:rsidRDefault="002E5FCE" w:rsidP="005F1ED8">
            <w:pPr>
              <w:rPr>
                <w:sz w:val="20"/>
                <w:szCs w:val="20"/>
                <w:lang w:val="fr-CA"/>
              </w:rPr>
            </w:pPr>
            <w:r>
              <w:rPr>
                <w:sz w:val="20"/>
                <w:szCs w:val="20"/>
                <w:lang w:val="fr-CA"/>
              </w:rPr>
              <w:pict>
                <v:rect id="_x0000_i1035" style="width:108pt;height:1pt" o:hrpct="0" o:hralign="center" o:hrstd="t" o:hrnoshade="t" o:hr="t" fillcolor="black [3213]" stroked="f"/>
              </w:pict>
            </w:r>
          </w:p>
          <w:p w:rsidR="007624E6" w:rsidRPr="00EF295C" w:rsidRDefault="007624E6" w:rsidP="005F1ED8">
            <w:pPr>
              <w:rPr>
                <w:sz w:val="20"/>
                <w:szCs w:val="20"/>
              </w:rPr>
            </w:pPr>
          </w:p>
        </w:tc>
        <w:tc>
          <w:tcPr>
            <w:tcW w:w="1181" w:type="dxa"/>
            <w:shd w:val="clear" w:color="auto" w:fill="auto"/>
          </w:tcPr>
          <w:p w:rsidR="00E15198" w:rsidRPr="00EF295C" w:rsidRDefault="00E15198" w:rsidP="00242AEE">
            <w:pPr>
              <w:jc w:val="center"/>
              <w:rPr>
                <w:sz w:val="20"/>
                <w:szCs w:val="20"/>
              </w:rPr>
            </w:pPr>
          </w:p>
        </w:tc>
        <w:tc>
          <w:tcPr>
            <w:tcW w:w="4320" w:type="dxa"/>
            <w:shd w:val="clear" w:color="auto" w:fill="auto"/>
          </w:tcPr>
          <w:p w:rsidR="006D7841" w:rsidRPr="00EF295C" w:rsidRDefault="006D7841" w:rsidP="005F1ED8">
            <w:pPr>
              <w:rPr>
                <w:b/>
                <w:sz w:val="20"/>
                <w:szCs w:val="20"/>
              </w:rPr>
            </w:pPr>
            <w:r w:rsidRPr="00EF295C">
              <w:rPr>
                <w:b/>
                <w:sz w:val="20"/>
                <w:szCs w:val="20"/>
              </w:rPr>
              <w:t xml:space="preserve">Barry Millen et al. </w:t>
            </w:r>
          </w:p>
          <w:p w:rsidR="006D7841" w:rsidRPr="00EF295C" w:rsidRDefault="006D7841" w:rsidP="005F1ED8">
            <w:pPr>
              <w:rPr>
                <w:sz w:val="20"/>
                <w:szCs w:val="20"/>
              </w:rPr>
            </w:pPr>
            <w:r w:rsidRPr="00EF295C">
              <w:rPr>
                <w:sz w:val="20"/>
                <w:szCs w:val="20"/>
              </w:rPr>
              <w:tab/>
              <w:t>Peter A. Gall, Q.C.</w:t>
            </w:r>
          </w:p>
          <w:p w:rsidR="006D7841" w:rsidRPr="00EF295C" w:rsidRDefault="006D7841" w:rsidP="005F1ED8">
            <w:pPr>
              <w:rPr>
                <w:sz w:val="20"/>
                <w:szCs w:val="20"/>
              </w:rPr>
            </w:pPr>
            <w:r w:rsidRPr="00EF295C">
              <w:rPr>
                <w:sz w:val="20"/>
                <w:szCs w:val="20"/>
              </w:rPr>
              <w:tab/>
              <w:t xml:space="preserve">Gall, </w:t>
            </w:r>
            <w:proofErr w:type="spellStart"/>
            <w:r w:rsidRPr="00EF295C">
              <w:rPr>
                <w:sz w:val="20"/>
                <w:szCs w:val="20"/>
              </w:rPr>
              <w:t>Legge</w:t>
            </w:r>
            <w:proofErr w:type="spellEnd"/>
            <w:r w:rsidRPr="00EF295C">
              <w:rPr>
                <w:sz w:val="20"/>
                <w:szCs w:val="20"/>
              </w:rPr>
              <w:t>, Grant &amp; Munroe LLP</w:t>
            </w:r>
          </w:p>
          <w:p w:rsidR="006D7841" w:rsidRPr="00EF295C" w:rsidRDefault="006D7841" w:rsidP="005F1ED8">
            <w:pPr>
              <w:rPr>
                <w:sz w:val="20"/>
                <w:szCs w:val="20"/>
              </w:rPr>
            </w:pPr>
          </w:p>
          <w:p w:rsidR="006D7841" w:rsidRPr="00EF295C" w:rsidRDefault="006D7841" w:rsidP="005F1ED8">
            <w:pPr>
              <w:rPr>
                <w:sz w:val="20"/>
                <w:szCs w:val="20"/>
              </w:rPr>
            </w:pPr>
            <w:r w:rsidRPr="00EF295C">
              <w:rPr>
                <w:sz w:val="20"/>
                <w:szCs w:val="20"/>
              </w:rPr>
              <w:tab/>
              <w:t>v. (37164)</w:t>
            </w:r>
          </w:p>
          <w:p w:rsidR="006D7841" w:rsidRPr="00EF295C" w:rsidRDefault="006D7841" w:rsidP="005F1ED8">
            <w:pPr>
              <w:rPr>
                <w:sz w:val="20"/>
                <w:szCs w:val="20"/>
              </w:rPr>
            </w:pPr>
          </w:p>
          <w:p w:rsidR="006D7841" w:rsidRPr="00EF295C" w:rsidRDefault="006D7841" w:rsidP="005F1ED8">
            <w:pPr>
              <w:rPr>
                <w:b/>
                <w:sz w:val="20"/>
                <w:szCs w:val="20"/>
              </w:rPr>
            </w:pPr>
            <w:r w:rsidRPr="00EF295C">
              <w:rPr>
                <w:b/>
                <w:sz w:val="20"/>
                <w:szCs w:val="20"/>
              </w:rPr>
              <w:t>Manitoba Hydro-Electric Board et al. (Man.)</w:t>
            </w:r>
          </w:p>
          <w:p w:rsidR="006D7841" w:rsidRPr="00EF295C" w:rsidRDefault="006D7841" w:rsidP="005F1ED8">
            <w:pPr>
              <w:rPr>
                <w:sz w:val="20"/>
                <w:szCs w:val="20"/>
              </w:rPr>
            </w:pPr>
            <w:r w:rsidRPr="00EF295C">
              <w:rPr>
                <w:sz w:val="20"/>
                <w:szCs w:val="20"/>
              </w:rPr>
              <w:tab/>
              <w:t>Janet Mayor</w:t>
            </w:r>
          </w:p>
          <w:p w:rsidR="006D7841" w:rsidRPr="00EF295C" w:rsidRDefault="006D7841" w:rsidP="005F1ED8">
            <w:pPr>
              <w:rPr>
                <w:sz w:val="20"/>
                <w:szCs w:val="20"/>
              </w:rPr>
            </w:pPr>
            <w:r w:rsidRPr="00EF295C">
              <w:rPr>
                <w:sz w:val="20"/>
                <w:szCs w:val="20"/>
              </w:rPr>
              <w:tab/>
              <w:t>Manitoba Hydro</w:t>
            </w:r>
          </w:p>
          <w:p w:rsidR="006D7841" w:rsidRPr="00EF295C" w:rsidRDefault="006D7841" w:rsidP="005F1ED8">
            <w:pPr>
              <w:rPr>
                <w:sz w:val="20"/>
                <w:szCs w:val="20"/>
              </w:rPr>
            </w:pPr>
          </w:p>
          <w:p w:rsidR="006D7841" w:rsidRPr="00EF295C" w:rsidRDefault="006D7841" w:rsidP="005F1ED8">
            <w:pPr>
              <w:rPr>
                <w:sz w:val="20"/>
                <w:szCs w:val="20"/>
              </w:rPr>
            </w:pPr>
            <w:r w:rsidRPr="00EF295C">
              <w:rPr>
                <w:sz w:val="20"/>
                <w:szCs w:val="20"/>
              </w:rPr>
              <w:t>FILING DATE: 30.08.2016</w:t>
            </w:r>
          </w:p>
          <w:p w:rsidR="006D7841" w:rsidRPr="00EF295C" w:rsidRDefault="002E5FCE" w:rsidP="005F1ED8">
            <w:pPr>
              <w:rPr>
                <w:sz w:val="20"/>
                <w:szCs w:val="20"/>
              </w:rPr>
            </w:pPr>
            <w:r>
              <w:rPr>
                <w:sz w:val="20"/>
                <w:szCs w:val="20"/>
                <w:lang w:val="fr-CA"/>
              </w:rPr>
              <w:pict>
                <v:rect id="_x0000_i1036" style="width:108pt;height:1pt" o:hrpct="0" o:hralign="center" o:hrstd="t" o:hrnoshade="t" o:hr="t" fillcolor="black [3213]" stroked="f"/>
              </w:pict>
            </w:r>
          </w:p>
        </w:tc>
      </w:tr>
      <w:tr w:rsidR="00E15198" w:rsidRPr="00EF295C" w:rsidTr="003B3977">
        <w:trPr>
          <w:cantSplit/>
        </w:trPr>
        <w:tc>
          <w:tcPr>
            <w:tcW w:w="4320" w:type="dxa"/>
            <w:shd w:val="clear" w:color="auto" w:fill="auto"/>
          </w:tcPr>
          <w:p w:rsidR="00E15198" w:rsidRPr="00EF295C" w:rsidRDefault="00F16EE7" w:rsidP="005F1ED8">
            <w:pPr>
              <w:rPr>
                <w:b/>
                <w:sz w:val="20"/>
                <w:szCs w:val="20"/>
              </w:rPr>
            </w:pPr>
            <w:proofErr w:type="spellStart"/>
            <w:r w:rsidRPr="00EF295C">
              <w:rPr>
                <w:b/>
                <w:sz w:val="20"/>
                <w:szCs w:val="20"/>
              </w:rPr>
              <w:t>Wael</w:t>
            </w:r>
            <w:proofErr w:type="spellEnd"/>
            <w:r w:rsidRPr="00EF295C">
              <w:rPr>
                <w:b/>
                <w:sz w:val="20"/>
                <w:szCs w:val="20"/>
              </w:rPr>
              <w:t xml:space="preserve"> </w:t>
            </w:r>
            <w:proofErr w:type="spellStart"/>
            <w:r w:rsidRPr="00EF295C">
              <w:rPr>
                <w:b/>
                <w:sz w:val="20"/>
                <w:szCs w:val="20"/>
              </w:rPr>
              <w:t>Maged</w:t>
            </w:r>
            <w:proofErr w:type="spellEnd"/>
            <w:r w:rsidRPr="00EF295C">
              <w:rPr>
                <w:b/>
                <w:sz w:val="20"/>
                <w:szCs w:val="20"/>
              </w:rPr>
              <w:t xml:space="preserve"> </w:t>
            </w:r>
            <w:proofErr w:type="spellStart"/>
            <w:r w:rsidRPr="00EF295C">
              <w:rPr>
                <w:b/>
                <w:sz w:val="20"/>
                <w:szCs w:val="20"/>
              </w:rPr>
              <w:t>Badawy</w:t>
            </w:r>
            <w:proofErr w:type="spellEnd"/>
          </w:p>
          <w:p w:rsidR="00F16EE7" w:rsidRPr="00EF295C" w:rsidRDefault="00F16EE7" w:rsidP="005F1ED8">
            <w:pPr>
              <w:rPr>
                <w:sz w:val="20"/>
                <w:szCs w:val="20"/>
              </w:rPr>
            </w:pPr>
            <w:r w:rsidRPr="00EF295C">
              <w:rPr>
                <w:b/>
                <w:sz w:val="20"/>
                <w:szCs w:val="20"/>
              </w:rPr>
              <w:tab/>
            </w:r>
            <w:proofErr w:type="spellStart"/>
            <w:r w:rsidRPr="00EF295C">
              <w:rPr>
                <w:sz w:val="20"/>
                <w:szCs w:val="20"/>
              </w:rPr>
              <w:t>Wael</w:t>
            </w:r>
            <w:proofErr w:type="spellEnd"/>
            <w:r w:rsidRPr="00EF295C">
              <w:rPr>
                <w:sz w:val="20"/>
                <w:szCs w:val="20"/>
              </w:rPr>
              <w:t xml:space="preserve"> </w:t>
            </w:r>
            <w:proofErr w:type="spellStart"/>
            <w:r w:rsidRPr="00EF295C">
              <w:rPr>
                <w:sz w:val="20"/>
                <w:szCs w:val="20"/>
              </w:rPr>
              <w:t>Maged</w:t>
            </w:r>
            <w:proofErr w:type="spellEnd"/>
            <w:r w:rsidRPr="00EF295C">
              <w:rPr>
                <w:sz w:val="20"/>
                <w:szCs w:val="20"/>
              </w:rPr>
              <w:t xml:space="preserve"> </w:t>
            </w:r>
            <w:proofErr w:type="spellStart"/>
            <w:r w:rsidRPr="00EF295C">
              <w:rPr>
                <w:sz w:val="20"/>
                <w:szCs w:val="20"/>
              </w:rPr>
              <w:t>Badawy</w:t>
            </w:r>
            <w:proofErr w:type="spellEnd"/>
          </w:p>
          <w:p w:rsidR="00F16EE7" w:rsidRPr="00EF295C" w:rsidRDefault="00F16EE7" w:rsidP="005F1ED8">
            <w:pPr>
              <w:rPr>
                <w:sz w:val="20"/>
                <w:szCs w:val="20"/>
              </w:rPr>
            </w:pPr>
          </w:p>
          <w:p w:rsidR="00F16EE7" w:rsidRPr="00EF295C" w:rsidRDefault="00F16EE7" w:rsidP="005F1ED8">
            <w:pPr>
              <w:rPr>
                <w:sz w:val="20"/>
                <w:szCs w:val="20"/>
              </w:rPr>
            </w:pPr>
            <w:r w:rsidRPr="00EF295C">
              <w:rPr>
                <w:sz w:val="20"/>
                <w:szCs w:val="20"/>
              </w:rPr>
              <w:tab/>
              <w:t>v. (37165)</w:t>
            </w:r>
          </w:p>
          <w:p w:rsidR="00F16EE7" w:rsidRPr="00EF295C" w:rsidRDefault="00F16EE7" w:rsidP="005F1ED8">
            <w:pPr>
              <w:rPr>
                <w:sz w:val="20"/>
                <w:szCs w:val="20"/>
              </w:rPr>
            </w:pPr>
          </w:p>
          <w:p w:rsidR="00F16EE7" w:rsidRPr="00EF295C" w:rsidRDefault="00F16EE7" w:rsidP="005F1ED8">
            <w:pPr>
              <w:rPr>
                <w:b/>
                <w:sz w:val="20"/>
                <w:szCs w:val="20"/>
              </w:rPr>
            </w:pPr>
            <w:r w:rsidRPr="00EF295C">
              <w:rPr>
                <w:b/>
                <w:sz w:val="20"/>
                <w:szCs w:val="20"/>
              </w:rPr>
              <w:t>Law Society of Alberta et al. (Alta.)</w:t>
            </w:r>
          </w:p>
          <w:p w:rsidR="00F16EE7" w:rsidRPr="00EF295C" w:rsidRDefault="00F16EE7" w:rsidP="005F1ED8">
            <w:pPr>
              <w:rPr>
                <w:sz w:val="20"/>
                <w:szCs w:val="20"/>
              </w:rPr>
            </w:pPr>
            <w:r w:rsidRPr="00EF295C">
              <w:rPr>
                <w:sz w:val="20"/>
                <w:szCs w:val="20"/>
              </w:rPr>
              <w:tab/>
              <w:t xml:space="preserve">Bruce </w:t>
            </w:r>
            <w:proofErr w:type="spellStart"/>
            <w:r w:rsidRPr="00EF295C">
              <w:rPr>
                <w:sz w:val="20"/>
                <w:szCs w:val="20"/>
              </w:rPr>
              <w:t>Comba</w:t>
            </w:r>
            <w:proofErr w:type="spellEnd"/>
          </w:p>
          <w:p w:rsidR="00F16EE7" w:rsidRPr="00EF295C" w:rsidRDefault="00F16EE7" w:rsidP="005F1ED8">
            <w:pPr>
              <w:rPr>
                <w:sz w:val="20"/>
                <w:szCs w:val="20"/>
              </w:rPr>
            </w:pPr>
            <w:r w:rsidRPr="00EF295C">
              <w:rPr>
                <w:sz w:val="20"/>
                <w:szCs w:val="20"/>
              </w:rPr>
              <w:tab/>
              <w:t>Emery Jamieson</w:t>
            </w:r>
          </w:p>
          <w:p w:rsidR="00F16EE7" w:rsidRPr="00EF295C" w:rsidRDefault="00F16EE7" w:rsidP="005F1ED8">
            <w:pPr>
              <w:rPr>
                <w:sz w:val="20"/>
                <w:szCs w:val="20"/>
              </w:rPr>
            </w:pPr>
          </w:p>
          <w:p w:rsidR="00F16EE7" w:rsidRPr="00EF295C" w:rsidRDefault="00F16EE7" w:rsidP="005F1ED8">
            <w:pPr>
              <w:rPr>
                <w:sz w:val="20"/>
                <w:szCs w:val="20"/>
              </w:rPr>
            </w:pPr>
            <w:r w:rsidRPr="00EF295C">
              <w:rPr>
                <w:sz w:val="20"/>
                <w:szCs w:val="20"/>
              </w:rPr>
              <w:t>FILING DATE: 30.08.2016</w:t>
            </w:r>
          </w:p>
          <w:p w:rsidR="00F16EE7" w:rsidRPr="00EF295C" w:rsidRDefault="002E5FCE" w:rsidP="005F1ED8">
            <w:pPr>
              <w:rPr>
                <w:sz w:val="20"/>
                <w:szCs w:val="20"/>
                <w:lang w:val="fr-CA"/>
              </w:rPr>
            </w:pPr>
            <w:r>
              <w:rPr>
                <w:sz w:val="20"/>
                <w:szCs w:val="20"/>
                <w:lang w:val="fr-CA"/>
              </w:rPr>
              <w:pict>
                <v:rect id="_x0000_i1037" style="width:108pt;height:1pt" o:hrpct="0" o:hralign="center" o:hrstd="t" o:hrnoshade="t" o:hr="t" fillcolor="black [3213]" stroked="f"/>
              </w:pict>
            </w:r>
          </w:p>
          <w:p w:rsidR="00F16EE7" w:rsidRPr="00EF295C" w:rsidRDefault="00F16EE7" w:rsidP="005F1ED8">
            <w:pPr>
              <w:rPr>
                <w:sz w:val="20"/>
                <w:szCs w:val="20"/>
              </w:rPr>
            </w:pPr>
          </w:p>
        </w:tc>
        <w:tc>
          <w:tcPr>
            <w:tcW w:w="1181" w:type="dxa"/>
            <w:shd w:val="clear" w:color="auto" w:fill="auto"/>
          </w:tcPr>
          <w:p w:rsidR="00E15198" w:rsidRPr="00EF295C" w:rsidRDefault="00E15198" w:rsidP="00242AEE">
            <w:pPr>
              <w:jc w:val="center"/>
              <w:rPr>
                <w:sz w:val="20"/>
                <w:szCs w:val="20"/>
              </w:rPr>
            </w:pPr>
          </w:p>
        </w:tc>
        <w:tc>
          <w:tcPr>
            <w:tcW w:w="4320" w:type="dxa"/>
            <w:shd w:val="clear" w:color="auto" w:fill="auto"/>
          </w:tcPr>
          <w:p w:rsidR="00E15198" w:rsidRPr="00EF295C" w:rsidRDefault="002E5FCE" w:rsidP="005F1ED8">
            <w:pPr>
              <w:rPr>
                <w:b/>
                <w:sz w:val="20"/>
                <w:szCs w:val="20"/>
              </w:rPr>
            </w:pPr>
            <w:r>
              <w:rPr>
                <w:b/>
                <w:sz w:val="20"/>
                <w:szCs w:val="20"/>
              </w:rPr>
              <w:t xml:space="preserve">Donald Joseph </w:t>
            </w:r>
            <w:proofErr w:type="spellStart"/>
            <w:r>
              <w:rPr>
                <w:b/>
                <w:sz w:val="20"/>
                <w:szCs w:val="20"/>
              </w:rPr>
              <w:t>Boutil</w:t>
            </w:r>
            <w:r w:rsidR="00387CDC" w:rsidRPr="00EF295C">
              <w:rPr>
                <w:b/>
                <w:sz w:val="20"/>
                <w:szCs w:val="20"/>
              </w:rPr>
              <w:t>ier</w:t>
            </w:r>
            <w:proofErr w:type="spellEnd"/>
          </w:p>
          <w:p w:rsidR="00387CDC" w:rsidRPr="00EF295C" w:rsidRDefault="00387CDC" w:rsidP="005F1ED8">
            <w:pPr>
              <w:rPr>
                <w:sz w:val="20"/>
                <w:szCs w:val="20"/>
              </w:rPr>
            </w:pPr>
            <w:r w:rsidRPr="00EF295C">
              <w:rPr>
                <w:b/>
                <w:sz w:val="20"/>
                <w:szCs w:val="20"/>
              </w:rPr>
              <w:tab/>
            </w:r>
            <w:r w:rsidRPr="00EF295C">
              <w:rPr>
                <w:sz w:val="20"/>
                <w:szCs w:val="20"/>
              </w:rPr>
              <w:t xml:space="preserve">Eric </w:t>
            </w:r>
            <w:proofErr w:type="spellStart"/>
            <w:r w:rsidRPr="00EF295C">
              <w:rPr>
                <w:sz w:val="20"/>
                <w:szCs w:val="20"/>
              </w:rPr>
              <w:t>Purtzki</w:t>
            </w:r>
            <w:proofErr w:type="spellEnd"/>
          </w:p>
          <w:p w:rsidR="00387CDC" w:rsidRPr="00EF295C" w:rsidRDefault="00387CDC" w:rsidP="005F1ED8">
            <w:pPr>
              <w:rPr>
                <w:sz w:val="20"/>
                <w:szCs w:val="20"/>
              </w:rPr>
            </w:pPr>
          </w:p>
          <w:p w:rsidR="00387CDC" w:rsidRPr="00EF295C" w:rsidRDefault="00387CDC" w:rsidP="005F1ED8">
            <w:pPr>
              <w:rPr>
                <w:sz w:val="20"/>
                <w:szCs w:val="20"/>
              </w:rPr>
            </w:pPr>
            <w:r w:rsidRPr="00EF295C">
              <w:rPr>
                <w:sz w:val="20"/>
                <w:szCs w:val="20"/>
              </w:rPr>
              <w:tab/>
              <w:t>v. (37168)</w:t>
            </w:r>
            <w:bookmarkStart w:id="0" w:name="_GoBack"/>
            <w:bookmarkEnd w:id="0"/>
          </w:p>
          <w:p w:rsidR="00387CDC" w:rsidRPr="00EF295C" w:rsidRDefault="00387CDC" w:rsidP="005F1ED8">
            <w:pPr>
              <w:rPr>
                <w:sz w:val="20"/>
                <w:szCs w:val="20"/>
              </w:rPr>
            </w:pPr>
          </w:p>
          <w:p w:rsidR="00387CDC" w:rsidRPr="00EF295C" w:rsidRDefault="00387CDC" w:rsidP="005F1ED8">
            <w:pPr>
              <w:rPr>
                <w:b/>
                <w:sz w:val="20"/>
                <w:szCs w:val="20"/>
              </w:rPr>
            </w:pPr>
            <w:r w:rsidRPr="00EF295C">
              <w:rPr>
                <w:b/>
                <w:sz w:val="20"/>
                <w:szCs w:val="20"/>
              </w:rPr>
              <w:t>Her Majesty the Queen (B.C.)</w:t>
            </w:r>
          </w:p>
          <w:p w:rsidR="00387CDC" w:rsidRPr="00EF295C" w:rsidRDefault="00387CDC" w:rsidP="005F1ED8">
            <w:pPr>
              <w:rPr>
                <w:sz w:val="20"/>
                <w:szCs w:val="20"/>
              </w:rPr>
            </w:pPr>
            <w:r w:rsidRPr="00EF295C">
              <w:rPr>
                <w:sz w:val="20"/>
                <w:szCs w:val="20"/>
              </w:rPr>
              <w:tab/>
              <w:t xml:space="preserve">Michael </w:t>
            </w:r>
            <w:proofErr w:type="spellStart"/>
            <w:r w:rsidRPr="00EF295C">
              <w:rPr>
                <w:sz w:val="20"/>
                <w:szCs w:val="20"/>
              </w:rPr>
              <w:t>Brundrett</w:t>
            </w:r>
            <w:proofErr w:type="spellEnd"/>
          </w:p>
          <w:p w:rsidR="00387CDC" w:rsidRPr="00EF295C" w:rsidRDefault="00387CDC" w:rsidP="005F1ED8">
            <w:pPr>
              <w:rPr>
                <w:sz w:val="20"/>
                <w:szCs w:val="20"/>
              </w:rPr>
            </w:pPr>
            <w:r w:rsidRPr="00EF295C">
              <w:rPr>
                <w:sz w:val="20"/>
                <w:szCs w:val="20"/>
              </w:rPr>
              <w:tab/>
              <w:t>A.G. of British Columbia</w:t>
            </w:r>
          </w:p>
          <w:p w:rsidR="00387CDC" w:rsidRPr="00EF295C" w:rsidRDefault="00387CDC" w:rsidP="005F1ED8">
            <w:pPr>
              <w:rPr>
                <w:sz w:val="20"/>
                <w:szCs w:val="20"/>
              </w:rPr>
            </w:pPr>
          </w:p>
          <w:p w:rsidR="00387CDC" w:rsidRPr="00EF295C" w:rsidRDefault="00387CDC" w:rsidP="005F1ED8">
            <w:pPr>
              <w:rPr>
                <w:sz w:val="20"/>
                <w:szCs w:val="20"/>
              </w:rPr>
            </w:pPr>
            <w:r w:rsidRPr="00EF295C">
              <w:rPr>
                <w:sz w:val="20"/>
                <w:szCs w:val="20"/>
              </w:rPr>
              <w:t>FILING DATE: 31.08.2016</w:t>
            </w:r>
          </w:p>
          <w:p w:rsidR="00387CDC" w:rsidRPr="00EF295C" w:rsidRDefault="002E5FCE" w:rsidP="005F1ED8">
            <w:pPr>
              <w:rPr>
                <w:sz w:val="20"/>
                <w:szCs w:val="20"/>
              </w:rPr>
            </w:pPr>
            <w:r>
              <w:rPr>
                <w:sz w:val="20"/>
                <w:szCs w:val="20"/>
                <w:lang w:val="fr-CA"/>
              </w:rPr>
              <w:pict>
                <v:rect id="_x0000_i1038" style="width:108pt;height:1pt" o:hrpct="0" o:hralign="center" o:hrstd="t" o:hrnoshade="t" o:hr="t" fillcolor="black [3213]" stroked="f"/>
              </w:pict>
            </w:r>
          </w:p>
        </w:tc>
      </w:tr>
      <w:tr w:rsidR="00F16EE7" w:rsidRPr="00EF295C" w:rsidTr="003B3977">
        <w:trPr>
          <w:cantSplit/>
        </w:trPr>
        <w:tc>
          <w:tcPr>
            <w:tcW w:w="4320" w:type="dxa"/>
            <w:shd w:val="clear" w:color="auto" w:fill="auto"/>
          </w:tcPr>
          <w:p w:rsidR="00F16EE7" w:rsidRPr="00EF295C" w:rsidRDefault="00387CDC" w:rsidP="005F1ED8">
            <w:pPr>
              <w:rPr>
                <w:b/>
                <w:sz w:val="20"/>
                <w:szCs w:val="20"/>
                <w:lang w:val="fr-CA"/>
              </w:rPr>
            </w:pPr>
            <w:r w:rsidRPr="00EF295C">
              <w:rPr>
                <w:b/>
                <w:sz w:val="20"/>
                <w:szCs w:val="20"/>
                <w:lang w:val="fr-CA"/>
              </w:rPr>
              <w:lastRenderedPageBreak/>
              <w:t xml:space="preserve">Juan Luis Bosch </w:t>
            </w:r>
            <w:proofErr w:type="spellStart"/>
            <w:r w:rsidRPr="00EF295C">
              <w:rPr>
                <w:b/>
                <w:sz w:val="20"/>
                <w:szCs w:val="20"/>
                <w:lang w:val="fr-CA"/>
              </w:rPr>
              <w:t>Gutiérrez</w:t>
            </w:r>
            <w:proofErr w:type="spellEnd"/>
            <w:r w:rsidRPr="00EF295C">
              <w:rPr>
                <w:b/>
                <w:sz w:val="20"/>
                <w:szCs w:val="20"/>
                <w:lang w:val="fr-CA"/>
              </w:rPr>
              <w:t>, et al.</w:t>
            </w:r>
          </w:p>
          <w:p w:rsidR="00387CDC" w:rsidRPr="00EF295C" w:rsidRDefault="00387CDC" w:rsidP="005F1ED8">
            <w:pPr>
              <w:rPr>
                <w:sz w:val="20"/>
                <w:szCs w:val="20"/>
              </w:rPr>
            </w:pPr>
            <w:r w:rsidRPr="00EF295C">
              <w:rPr>
                <w:b/>
                <w:sz w:val="20"/>
                <w:szCs w:val="20"/>
                <w:lang w:val="fr-CA"/>
              </w:rPr>
              <w:tab/>
            </w:r>
            <w:r w:rsidRPr="00EF295C">
              <w:rPr>
                <w:sz w:val="20"/>
                <w:szCs w:val="20"/>
              </w:rPr>
              <w:t>Katherine L. Kay</w:t>
            </w:r>
          </w:p>
          <w:p w:rsidR="008F5CCF" w:rsidRPr="00EF295C" w:rsidRDefault="008F5CCF" w:rsidP="005F1ED8">
            <w:pPr>
              <w:rPr>
                <w:sz w:val="20"/>
                <w:szCs w:val="20"/>
              </w:rPr>
            </w:pPr>
            <w:r w:rsidRPr="00EF295C">
              <w:rPr>
                <w:sz w:val="20"/>
                <w:szCs w:val="20"/>
              </w:rPr>
              <w:tab/>
            </w:r>
            <w:proofErr w:type="spellStart"/>
            <w:r w:rsidRPr="00EF295C">
              <w:rPr>
                <w:sz w:val="20"/>
                <w:szCs w:val="20"/>
              </w:rPr>
              <w:t>Stikeman</w:t>
            </w:r>
            <w:proofErr w:type="spellEnd"/>
            <w:r w:rsidRPr="00EF295C">
              <w:rPr>
                <w:sz w:val="20"/>
                <w:szCs w:val="20"/>
              </w:rPr>
              <w:t xml:space="preserve"> Elliott LLP</w:t>
            </w:r>
          </w:p>
          <w:p w:rsidR="00387CDC" w:rsidRPr="00EF295C" w:rsidRDefault="00387CDC" w:rsidP="005F1ED8">
            <w:pPr>
              <w:rPr>
                <w:sz w:val="20"/>
                <w:szCs w:val="20"/>
              </w:rPr>
            </w:pPr>
          </w:p>
          <w:p w:rsidR="00387CDC" w:rsidRPr="00EF295C" w:rsidRDefault="00387CDC" w:rsidP="005F1ED8">
            <w:pPr>
              <w:rPr>
                <w:sz w:val="20"/>
                <w:szCs w:val="20"/>
                <w:lang w:val="fr-CA"/>
              </w:rPr>
            </w:pPr>
            <w:r w:rsidRPr="00EF295C">
              <w:rPr>
                <w:sz w:val="20"/>
                <w:szCs w:val="20"/>
              </w:rPr>
              <w:tab/>
            </w:r>
            <w:r w:rsidRPr="00EF295C">
              <w:rPr>
                <w:sz w:val="20"/>
                <w:szCs w:val="20"/>
                <w:lang w:val="fr-CA"/>
              </w:rPr>
              <w:t>v. (37171)</w:t>
            </w:r>
          </w:p>
          <w:p w:rsidR="00387CDC" w:rsidRPr="00EF295C" w:rsidRDefault="00387CDC" w:rsidP="005F1ED8">
            <w:pPr>
              <w:rPr>
                <w:sz w:val="20"/>
                <w:szCs w:val="20"/>
                <w:lang w:val="fr-CA"/>
              </w:rPr>
            </w:pPr>
          </w:p>
          <w:p w:rsidR="00387CDC" w:rsidRPr="00EF295C" w:rsidRDefault="00387CDC" w:rsidP="005F1ED8">
            <w:pPr>
              <w:rPr>
                <w:b/>
                <w:sz w:val="20"/>
                <w:szCs w:val="20"/>
              </w:rPr>
            </w:pPr>
            <w:proofErr w:type="spellStart"/>
            <w:r w:rsidRPr="00EF295C">
              <w:rPr>
                <w:b/>
                <w:sz w:val="20"/>
                <w:szCs w:val="20"/>
                <w:lang w:val="fr-CA"/>
              </w:rPr>
              <w:t>Xela</w:t>
            </w:r>
            <w:proofErr w:type="spellEnd"/>
            <w:r w:rsidRPr="00EF295C">
              <w:rPr>
                <w:b/>
                <w:sz w:val="20"/>
                <w:szCs w:val="20"/>
                <w:lang w:val="fr-CA"/>
              </w:rPr>
              <w:t xml:space="preserve"> </w:t>
            </w:r>
            <w:proofErr w:type="spellStart"/>
            <w:r w:rsidRPr="00EF295C">
              <w:rPr>
                <w:b/>
                <w:sz w:val="20"/>
                <w:szCs w:val="20"/>
                <w:lang w:val="fr-CA"/>
              </w:rPr>
              <w:t>Enterprises</w:t>
            </w:r>
            <w:proofErr w:type="spellEnd"/>
            <w:r w:rsidRPr="00EF295C">
              <w:rPr>
                <w:b/>
                <w:sz w:val="20"/>
                <w:szCs w:val="20"/>
                <w:lang w:val="fr-CA"/>
              </w:rPr>
              <w:t xml:space="preserve"> Ltd. et al. </w:t>
            </w:r>
            <w:r w:rsidRPr="00EF295C">
              <w:rPr>
                <w:b/>
                <w:sz w:val="20"/>
                <w:szCs w:val="20"/>
              </w:rPr>
              <w:t>(Ont.)</w:t>
            </w:r>
          </w:p>
          <w:p w:rsidR="00387CDC" w:rsidRPr="00EF295C" w:rsidRDefault="00387CDC" w:rsidP="005F1ED8">
            <w:pPr>
              <w:rPr>
                <w:sz w:val="20"/>
                <w:szCs w:val="20"/>
              </w:rPr>
            </w:pPr>
            <w:r w:rsidRPr="00EF295C">
              <w:rPr>
                <w:sz w:val="20"/>
                <w:szCs w:val="20"/>
              </w:rPr>
              <w:tab/>
              <w:t xml:space="preserve">Joseph </w:t>
            </w:r>
            <w:proofErr w:type="spellStart"/>
            <w:r w:rsidRPr="00EF295C">
              <w:rPr>
                <w:sz w:val="20"/>
                <w:szCs w:val="20"/>
              </w:rPr>
              <w:t>Groia</w:t>
            </w:r>
            <w:proofErr w:type="spellEnd"/>
          </w:p>
          <w:p w:rsidR="00387CDC" w:rsidRPr="00EF295C" w:rsidRDefault="00387CDC" w:rsidP="005F1ED8">
            <w:pPr>
              <w:rPr>
                <w:sz w:val="20"/>
                <w:szCs w:val="20"/>
              </w:rPr>
            </w:pPr>
            <w:r w:rsidRPr="00EF295C">
              <w:rPr>
                <w:sz w:val="20"/>
                <w:szCs w:val="20"/>
              </w:rPr>
              <w:tab/>
            </w:r>
            <w:proofErr w:type="spellStart"/>
            <w:r w:rsidRPr="00EF295C">
              <w:rPr>
                <w:sz w:val="20"/>
                <w:szCs w:val="20"/>
              </w:rPr>
              <w:t>Groia</w:t>
            </w:r>
            <w:proofErr w:type="spellEnd"/>
            <w:r w:rsidRPr="00EF295C">
              <w:rPr>
                <w:sz w:val="20"/>
                <w:szCs w:val="20"/>
              </w:rPr>
              <w:t xml:space="preserve"> &amp; Company</w:t>
            </w:r>
          </w:p>
          <w:p w:rsidR="00387CDC" w:rsidRPr="00EF295C" w:rsidRDefault="00387CDC" w:rsidP="005F1ED8">
            <w:pPr>
              <w:rPr>
                <w:sz w:val="20"/>
                <w:szCs w:val="20"/>
              </w:rPr>
            </w:pPr>
          </w:p>
          <w:p w:rsidR="00387CDC" w:rsidRPr="00EF295C" w:rsidRDefault="00387CDC" w:rsidP="005F1ED8">
            <w:pPr>
              <w:rPr>
                <w:sz w:val="20"/>
                <w:szCs w:val="20"/>
              </w:rPr>
            </w:pPr>
            <w:r w:rsidRPr="00EF295C">
              <w:rPr>
                <w:sz w:val="20"/>
                <w:szCs w:val="20"/>
              </w:rPr>
              <w:t>FILING DATE : 01.09.2016</w:t>
            </w:r>
          </w:p>
          <w:p w:rsidR="00387CDC" w:rsidRPr="00EF295C" w:rsidRDefault="002E5FCE" w:rsidP="005F1ED8">
            <w:pPr>
              <w:rPr>
                <w:sz w:val="20"/>
                <w:szCs w:val="20"/>
                <w:lang w:val="fr-CA"/>
              </w:rPr>
            </w:pPr>
            <w:r>
              <w:rPr>
                <w:sz w:val="20"/>
                <w:szCs w:val="20"/>
                <w:lang w:val="fr-CA"/>
              </w:rPr>
              <w:pict>
                <v:rect id="_x0000_i1039" style="width:108pt;height:1pt" o:hrpct="0" o:hralign="center" o:hrstd="t" o:hrnoshade="t" o:hr="t" fillcolor="black [3213]" stroked="f"/>
              </w:pict>
            </w:r>
          </w:p>
          <w:p w:rsidR="00387CDC" w:rsidRPr="00EF295C" w:rsidRDefault="00387CDC" w:rsidP="005F1ED8">
            <w:pPr>
              <w:rPr>
                <w:sz w:val="20"/>
                <w:szCs w:val="20"/>
                <w:lang w:val="fr-CA"/>
              </w:rPr>
            </w:pPr>
          </w:p>
        </w:tc>
        <w:tc>
          <w:tcPr>
            <w:tcW w:w="1181" w:type="dxa"/>
            <w:shd w:val="clear" w:color="auto" w:fill="auto"/>
          </w:tcPr>
          <w:p w:rsidR="00F16EE7" w:rsidRPr="00EF295C" w:rsidRDefault="00F16EE7" w:rsidP="00242AEE">
            <w:pPr>
              <w:jc w:val="center"/>
              <w:rPr>
                <w:sz w:val="20"/>
                <w:szCs w:val="20"/>
                <w:lang w:val="fr-CA"/>
              </w:rPr>
            </w:pPr>
          </w:p>
        </w:tc>
        <w:tc>
          <w:tcPr>
            <w:tcW w:w="4320" w:type="dxa"/>
            <w:shd w:val="clear" w:color="auto" w:fill="auto"/>
          </w:tcPr>
          <w:p w:rsidR="00F16EE7" w:rsidRPr="00EF295C" w:rsidRDefault="00B256D4" w:rsidP="005F1ED8">
            <w:pPr>
              <w:rPr>
                <w:b/>
                <w:sz w:val="20"/>
                <w:szCs w:val="20"/>
                <w:lang w:val="fr-CA"/>
              </w:rPr>
            </w:pPr>
            <w:r w:rsidRPr="00EF295C">
              <w:rPr>
                <w:b/>
                <w:sz w:val="20"/>
                <w:szCs w:val="20"/>
                <w:lang w:val="fr-CA"/>
              </w:rPr>
              <w:t xml:space="preserve">Caporal-Chef D.D. </w:t>
            </w:r>
            <w:proofErr w:type="spellStart"/>
            <w:r w:rsidRPr="00EF295C">
              <w:rPr>
                <w:b/>
                <w:sz w:val="20"/>
                <w:szCs w:val="20"/>
                <w:lang w:val="fr-CA"/>
              </w:rPr>
              <w:t>Royes</w:t>
            </w:r>
            <w:proofErr w:type="spellEnd"/>
          </w:p>
          <w:p w:rsidR="00B256D4" w:rsidRPr="00EF295C" w:rsidRDefault="00B256D4" w:rsidP="005F1ED8">
            <w:pPr>
              <w:rPr>
                <w:sz w:val="20"/>
                <w:szCs w:val="20"/>
                <w:lang w:val="fr-CA"/>
              </w:rPr>
            </w:pPr>
            <w:r w:rsidRPr="00EF295C">
              <w:rPr>
                <w:b/>
                <w:sz w:val="20"/>
                <w:szCs w:val="20"/>
                <w:lang w:val="fr-CA"/>
              </w:rPr>
              <w:tab/>
            </w:r>
            <w:r w:rsidRPr="00EF295C">
              <w:rPr>
                <w:sz w:val="20"/>
                <w:szCs w:val="20"/>
                <w:lang w:val="fr-CA"/>
              </w:rPr>
              <w:t xml:space="preserve">Mark </w:t>
            </w:r>
            <w:proofErr w:type="spellStart"/>
            <w:r w:rsidRPr="00EF295C">
              <w:rPr>
                <w:sz w:val="20"/>
                <w:szCs w:val="20"/>
                <w:lang w:val="fr-CA"/>
              </w:rPr>
              <w:t>Létourneau</w:t>
            </w:r>
            <w:proofErr w:type="spellEnd"/>
          </w:p>
          <w:p w:rsidR="00B256D4" w:rsidRPr="00EF295C" w:rsidRDefault="00B256D4" w:rsidP="005F1ED8">
            <w:pPr>
              <w:rPr>
                <w:sz w:val="20"/>
                <w:szCs w:val="20"/>
                <w:lang w:val="fr-CA"/>
              </w:rPr>
            </w:pPr>
            <w:r w:rsidRPr="00EF295C">
              <w:rPr>
                <w:sz w:val="20"/>
                <w:szCs w:val="20"/>
                <w:lang w:val="fr-CA"/>
              </w:rPr>
              <w:tab/>
            </w:r>
            <w:r w:rsidR="003E222E" w:rsidRPr="00EF295C">
              <w:rPr>
                <w:sz w:val="20"/>
                <w:szCs w:val="20"/>
                <w:lang w:val="fr-CA"/>
              </w:rPr>
              <w:t>Service d’avocats de la défense</w:t>
            </w:r>
          </w:p>
          <w:p w:rsidR="00B256D4" w:rsidRPr="00EF295C" w:rsidRDefault="00B256D4" w:rsidP="005F1ED8">
            <w:pPr>
              <w:rPr>
                <w:sz w:val="20"/>
                <w:szCs w:val="20"/>
                <w:lang w:val="fr-CA"/>
              </w:rPr>
            </w:pPr>
          </w:p>
          <w:p w:rsidR="00B256D4" w:rsidRPr="00EF295C" w:rsidRDefault="00B256D4" w:rsidP="005F1ED8">
            <w:pPr>
              <w:rPr>
                <w:sz w:val="20"/>
                <w:szCs w:val="20"/>
                <w:lang w:val="fr-CA"/>
              </w:rPr>
            </w:pPr>
            <w:r w:rsidRPr="00EF295C">
              <w:rPr>
                <w:sz w:val="20"/>
                <w:szCs w:val="20"/>
                <w:lang w:val="fr-CA"/>
              </w:rPr>
              <w:tab/>
              <w:t>c. (37054)</w:t>
            </w:r>
          </w:p>
          <w:p w:rsidR="00B256D4" w:rsidRPr="00EF295C" w:rsidRDefault="00B256D4" w:rsidP="005F1ED8">
            <w:pPr>
              <w:rPr>
                <w:sz w:val="20"/>
                <w:szCs w:val="20"/>
                <w:lang w:val="fr-CA"/>
              </w:rPr>
            </w:pPr>
          </w:p>
          <w:p w:rsidR="00B256D4" w:rsidRPr="00EF295C" w:rsidRDefault="00B256D4" w:rsidP="005F1ED8">
            <w:pPr>
              <w:rPr>
                <w:b/>
                <w:sz w:val="20"/>
                <w:szCs w:val="20"/>
                <w:lang w:val="fr-CA"/>
              </w:rPr>
            </w:pPr>
            <w:r w:rsidRPr="00EF295C">
              <w:rPr>
                <w:b/>
                <w:sz w:val="20"/>
                <w:szCs w:val="20"/>
                <w:lang w:val="fr-CA"/>
              </w:rPr>
              <w:t>Sa Majesté la Reine (C.A.C.M.)</w:t>
            </w:r>
          </w:p>
          <w:p w:rsidR="008F5CCF" w:rsidRPr="00EF295C" w:rsidRDefault="008F5CCF" w:rsidP="005F1ED8">
            <w:pPr>
              <w:rPr>
                <w:sz w:val="20"/>
                <w:szCs w:val="20"/>
                <w:lang w:val="fr-CA"/>
              </w:rPr>
            </w:pPr>
            <w:r w:rsidRPr="00EF295C">
              <w:rPr>
                <w:b/>
                <w:sz w:val="20"/>
                <w:szCs w:val="20"/>
                <w:lang w:val="fr-CA"/>
              </w:rPr>
              <w:tab/>
            </w:r>
            <w:r w:rsidRPr="00EF295C">
              <w:rPr>
                <w:sz w:val="20"/>
                <w:szCs w:val="20"/>
                <w:lang w:val="fr-CA"/>
              </w:rPr>
              <w:t>Dylan Kerr</w:t>
            </w:r>
          </w:p>
          <w:p w:rsidR="008F5CCF" w:rsidRPr="00EF295C" w:rsidRDefault="008F5CCF" w:rsidP="008F5CCF">
            <w:pPr>
              <w:rPr>
                <w:sz w:val="20"/>
                <w:szCs w:val="20"/>
                <w:lang w:val="fr-CA"/>
              </w:rPr>
            </w:pPr>
            <w:r w:rsidRPr="00EF295C">
              <w:rPr>
                <w:sz w:val="20"/>
                <w:szCs w:val="20"/>
                <w:lang w:val="fr-CA"/>
              </w:rPr>
              <w:tab/>
            </w:r>
            <w:r w:rsidR="003E222E" w:rsidRPr="00EF295C">
              <w:rPr>
                <w:sz w:val="20"/>
                <w:szCs w:val="20"/>
                <w:lang w:val="fr-CA"/>
              </w:rPr>
              <w:t>Ministre de la défense nationale</w:t>
            </w:r>
          </w:p>
          <w:p w:rsidR="008F5CCF" w:rsidRPr="00EF295C" w:rsidRDefault="008F5CCF" w:rsidP="008F5CCF">
            <w:pPr>
              <w:rPr>
                <w:sz w:val="20"/>
                <w:szCs w:val="20"/>
                <w:lang w:val="fr-CA"/>
              </w:rPr>
            </w:pPr>
          </w:p>
          <w:p w:rsidR="008F5CCF" w:rsidRPr="00EF295C" w:rsidRDefault="003E222E" w:rsidP="008F5CCF">
            <w:pPr>
              <w:rPr>
                <w:sz w:val="20"/>
                <w:szCs w:val="20"/>
                <w:lang w:val="fr-CA"/>
              </w:rPr>
            </w:pPr>
            <w:r w:rsidRPr="00EF295C">
              <w:rPr>
                <w:sz w:val="20"/>
                <w:szCs w:val="20"/>
                <w:lang w:val="fr-CA"/>
              </w:rPr>
              <w:t>DATE DE PRODUCTION</w:t>
            </w:r>
            <w:r w:rsidR="008F5CCF" w:rsidRPr="00EF295C">
              <w:rPr>
                <w:sz w:val="20"/>
                <w:szCs w:val="20"/>
                <w:lang w:val="fr-CA"/>
              </w:rPr>
              <w:t> : 02.09.2016</w:t>
            </w:r>
          </w:p>
          <w:p w:rsidR="008F5CCF" w:rsidRPr="00EF295C" w:rsidRDefault="002E5FCE" w:rsidP="008F5CCF">
            <w:pPr>
              <w:rPr>
                <w:sz w:val="20"/>
                <w:szCs w:val="20"/>
                <w:lang w:val="fr-CA"/>
              </w:rPr>
            </w:pPr>
            <w:r>
              <w:rPr>
                <w:sz w:val="20"/>
                <w:szCs w:val="20"/>
                <w:lang w:val="fr-CA"/>
              </w:rPr>
              <w:pict>
                <v:rect id="_x0000_i1040" style="width:108pt;height:1pt" o:hrpct="0" o:hralign="center" o:hrstd="t" o:hrnoshade="t" o:hr="t" fillcolor="black [3213]" stroked="f"/>
              </w:pict>
            </w:r>
          </w:p>
        </w:tc>
      </w:tr>
      <w:tr w:rsidR="00F16EE7" w:rsidRPr="00EF295C" w:rsidTr="003B3977">
        <w:trPr>
          <w:cantSplit/>
        </w:trPr>
        <w:tc>
          <w:tcPr>
            <w:tcW w:w="4320" w:type="dxa"/>
            <w:shd w:val="clear" w:color="auto" w:fill="auto"/>
          </w:tcPr>
          <w:p w:rsidR="00F16EE7" w:rsidRPr="00EF295C" w:rsidRDefault="00F16EE7" w:rsidP="005F1ED8">
            <w:pPr>
              <w:rPr>
                <w:sz w:val="20"/>
                <w:szCs w:val="20"/>
                <w:lang w:val="fr-CA"/>
              </w:rPr>
            </w:pPr>
          </w:p>
        </w:tc>
        <w:tc>
          <w:tcPr>
            <w:tcW w:w="1181" w:type="dxa"/>
            <w:shd w:val="clear" w:color="auto" w:fill="auto"/>
          </w:tcPr>
          <w:p w:rsidR="00F16EE7" w:rsidRPr="00EF295C" w:rsidRDefault="00F16EE7" w:rsidP="00242AEE">
            <w:pPr>
              <w:jc w:val="center"/>
              <w:rPr>
                <w:sz w:val="20"/>
                <w:szCs w:val="20"/>
                <w:lang w:val="fr-CA"/>
              </w:rPr>
            </w:pPr>
          </w:p>
        </w:tc>
        <w:tc>
          <w:tcPr>
            <w:tcW w:w="4320" w:type="dxa"/>
            <w:shd w:val="clear" w:color="auto" w:fill="auto"/>
          </w:tcPr>
          <w:p w:rsidR="00F16EE7" w:rsidRPr="00EF295C" w:rsidRDefault="00F16EE7" w:rsidP="005F1ED8">
            <w:pPr>
              <w:rPr>
                <w:sz w:val="20"/>
                <w:szCs w:val="20"/>
                <w:lang w:val="fr-CA"/>
              </w:rPr>
            </w:pPr>
          </w:p>
        </w:tc>
      </w:tr>
      <w:tr w:rsidR="00F16EE7" w:rsidRPr="00EF295C" w:rsidTr="003B3977">
        <w:trPr>
          <w:cantSplit/>
        </w:trPr>
        <w:tc>
          <w:tcPr>
            <w:tcW w:w="4320" w:type="dxa"/>
            <w:shd w:val="clear" w:color="auto" w:fill="auto"/>
          </w:tcPr>
          <w:p w:rsidR="00F16EE7" w:rsidRPr="00EF295C" w:rsidRDefault="00F16EE7" w:rsidP="005F1ED8">
            <w:pPr>
              <w:rPr>
                <w:sz w:val="20"/>
                <w:szCs w:val="20"/>
                <w:lang w:val="fr-CA"/>
              </w:rPr>
            </w:pPr>
          </w:p>
        </w:tc>
        <w:tc>
          <w:tcPr>
            <w:tcW w:w="1181" w:type="dxa"/>
            <w:shd w:val="clear" w:color="auto" w:fill="auto"/>
          </w:tcPr>
          <w:p w:rsidR="00F16EE7" w:rsidRPr="00EF295C" w:rsidRDefault="00F16EE7" w:rsidP="00242AEE">
            <w:pPr>
              <w:jc w:val="center"/>
              <w:rPr>
                <w:sz w:val="20"/>
                <w:szCs w:val="20"/>
                <w:lang w:val="fr-CA"/>
              </w:rPr>
            </w:pPr>
          </w:p>
        </w:tc>
        <w:tc>
          <w:tcPr>
            <w:tcW w:w="4320" w:type="dxa"/>
            <w:shd w:val="clear" w:color="auto" w:fill="auto"/>
          </w:tcPr>
          <w:p w:rsidR="00F16EE7" w:rsidRPr="00EF295C" w:rsidRDefault="00F16EE7" w:rsidP="005F1ED8">
            <w:pPr>
              <w:rPr>
                <w:sz w:val="20"/>
                <w:szCs w:val="20"/>
                <w:lang w:val="fr-CA"/>
              </w:rPr>
            </w:pPr>
          </w:p>
        </w:tc>
      </w:tr>
      <w:tr w:rsidR="00F16EE7" w:rsidRPr="00EF295C" w:rsidTr="003B3977">
        <w:trPr>
          <w:cantSplit/>
        </w:trPr>
        <w:tc>
          <w:tcPr>
            <w:tcW w:w="4320" w:type="dxa"/>
            <w:shd w:val="clear" w:color="auto" w:fill="auto"/>
          </w:tcPr>
          <w:p w:rsidR="00F16EE7" w:rsidRPr="00EF295C" w:rsidRDefault="00F16EE7" w:rsidP="005F1ED8">
            <w:pPr>
              <w:rPr>
                <w:sz w:val="20"/>
                <w:szCs w:val="20"/>
                <w:lang w:val="fr-CA"/>
              </w:rPr>
            </w:pPr>
          </w:p>
        </w:tc>
        <w:tc>
          <w:tcPr>
            <w:tcW w:w="1181" w:type="dxa"/>
            <w:shd w:val="clear" w:color="auto" w:fill="auto"/>
          </w:tcPr>
          <w:p w:rsidR="00F16EE7" w:rsidRPr="00EF295C" w:rsidRDefault="00F16EE7" w:rsidP="00242AEE">
            <w:pPr>
              <w:jc w:val="center"/>
              <w:rPr>
                <w:sz w:val="20"/>
                <w:szCs w:val="20"/>
                <w:lang w:val="fr-CA"/>
              </w:rPr>
            </w:pPr>
          </w:p>
        </w:tc>
        <w:tc>
          <w:tcPr>
            <w:tcW w:w="4320" w:type="dxa"/>
            <w:shd w:val="clear" w:color="auto" w:fill="auto"/>
          </w:tcPr>
          <w:p w:rsidR="00F16EE7" w:rsidRPr="00EF295C" w:rsidRDefault="00F16EE7" w:rsidP="005F1ED8">
            <w:pPr>
              <w:rPr>
                <w:sz w:val="20"/>
                <w:szCs w:val="20"/>
                <w:lang w:val="fr-CA"/>
              </w:rPr>
            </w:pPr>
          </w:p>
        </w:tc>
      </w:tr>
    </w:tbl>
    <w:p w:rsidR="00242AEE" w:rsidRPr="00EF295C" w:rsidRDefault="00242AEE" w:rsidP="0095096B">
      <w:pPr>
        <w:tabs>
          <w:tab w:val="right" w:pos="9360"/>
        </w:tabs>
        <w:rPr>
          <w:sz w:val="20"/>
          <w:szCs w:val="20"/>
          <w:lang w:val="fr-CA"/>
        </w:rPr>
      </w:pPr>
    </w:p>
    <w:p w:rsidR="00242AEE" w:rsidRPr="00EF295C" w:rsidRDefault="00242AEE" w:rsidP="0095096B">
      <w:pPr>
        <w:tabs>
          <w:tab w:val="right" w:pos="9360"/>
        </w:tabs>
        <w:rPr>
          <w:sz w:val="20"/>
          <w:szCs w:val="20"/>
          <w:lang w:val="fr-CA"/>
        </w:rPr>
        <w:sectPr w:rsidR="00242AEE" w:rsidRPr="00EF295C" w:rsidSect="006F5CFB">
          <w:headerReference w:type="default" r:id="rId16"/>
          <w:footerReference w:type="default" r:id="rId17"/>
          <w:headerReference w:type="first" r:id="rId18"/>
          <w:footerReference w:type="first" r:id="rId19"/>
          <w:pgSz w:w="12240" w:h="15840"/>
          <w:pgMar w:top="720" w:right="965" w:bottom="1080" w:left="1656" w:header="706" w:footer="706" w:gutter="0"/>
          <w:pgNumType w:start="130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E5FCE" w:rsidTr="00BA6468">
        <w:trPr>
          <w:trHeight w:val="900"/>
        </w:trPr>
        <w:tc>
          <w:tcPr>
            <w:tcW w:w="4200" w:type="dxa"/>
            <w:tcMar>
              <w:left w:w="0" w:type="dxa"/>
              <w:right w:w="0" w:type="dxa"/>
            </w:tcMar>
          </w:tcPr>
          <w:p w:rsidR="002E2327" w:rsidRPr="00EF295C" w:rsidRDefault="002E2327" w:rsidP="002E2327">
            <w:pPr>
              <w:keepNext/>
              <w:keepLines/>
              <w:widowControl w:val="0"/>
              <w:rPr>
                <w:b/>
                <w:szCs w:val="24"/>
              </w:rPr>
            </w:pPr>
            <w:r w:rsidRPr="00EF295C">
              <w:rPr>
                <w:b/>
                <w:szCs w:val="24"/>
              </w:rPr>
              <w:lastRenderedPageBreak/>
              <w:t>APPLICATIONS FOR LEAVE SUBMITTED TO COURT SINCE LAST ISSUE</w:t>
            </w:r>
          </w:p>
        </w:tc>
        <w:tc>
          <w:tcPr>
            <w:tcW w:w="1200" w:type="dxa"/>
            <w:tcMar>
              <w:left w:w="0" w:type="dxa"/>
              <w:right w:w="0" w:type="dxa"/>
            </w:tcMar>
          </w:tcPr>
          <w:p w:rsidR="002E2327" w:rsidRPr="00EF295C" w:rsidRDefault="002E2327" w:rsidP="002E2327">
            <w:pPr>
              <w:keepNext/>
              <w:keepLines/>
              <w:widowControl w:val="0"/>
              <w:jc w:val="center"/>
              <w:rPr>
                <w:b/>
                <w:szCs w:val="24"/>
              </w:rPr>
            </w:pPr>
          </w:p>
          <w:p w:rsidR="001D0D5F" w:rsidRPr="00EF295C" w:rsidRDefault="001D0D5F" w:rsidP="002E2327">
            <w:pPr>
              <w:keepNext/>
              <w:keepLines/>
              <w:widowControl w:val="0"/>
              <w:jc w:val="center"/>
              <w:rPr>
                <w:b/>
                <w:szCs w:val="24"/>
              </w:rPr>
            </w:pPr>
          </w:p>
          <w:p w:rsidR="001D0D5F" w:rsidRPr="00EF295C" w:rsidRDefault="001D0D5F" w:rsidP="002E2327">
            <w:pPr>
              <w:keepNext/>
              <w:keepLines/>
              <w:widowControl w:val="0"/>
              <w:jc w:val="center"/>
              <w:rPr>
                <w:b/>
                <w:szCs w:val="24"/>
              </w:rPr>
            </w:pPr>
          </w:p>
          <w:p w:rsidR="001D0D5F" w:rsidRPr="00EF295C" w:rsidRDefault="001D0D5F" w:rsidP="002E2327">
            <w:pPr>
              <w:keepNext/>
              <w:keepLines/>
              <w:widowControl w:val="0"/>
              <w:jc w:val="center"/>
              <w:rPr>
                <w:b/>
                <w:szCs w:val="24"/>
              </w:rPr>
            </w:pPr>
          </w:p>
        </w:tc>
        <w:tc>
          <w:tcPr>
            <w:tcW w:w="4080" w:type="dxa"/>
            <w:tcMar>
              <w:left w:w="0" w:type="dxa"/>
              <w:right w:w="0" w:type="dxa"/>
            </w:tcMar>
          </w:tcPr>
          <w:p w:rsidR="002E2327" w:rsidRPr="00EF295C" w:rsidRDefault="002E2327" w:rsidP="002E2327">
            <w:pPr>
              <w:keepLines/>
              <w:widowControl w:val="0"/>
              <w:rPr>
                <w:szCs w:val="24"/>
                <w:lang w:val="fr-CA"/>
              </w:rPr>
            </w:pPr>
            <w:r w:rsidRPr="00EF295C">
              <w:rPr>
                <w:b/>
                <w:szCs w:val="24"/>
                <w:lang w:val="fr-CA"/>
              </w:rPr>
              <w:t>DEMANDES SOUMISES À LA COUR DEPUIS LA DERNIÈRE PARUTION</w:t>
            </w:r>
          </w:p>
          <w:p w:rsidR="002E2327" w:rsidRPr="00EF295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EF295C" w:rsidRDefault="002E2327" w:rsidP="002E2327">
      <w:pPr>
        <w:widowControl w:val="0"/>
        <w:rPr>
          <w:b/>
          <w:sz w:val="20"/>
          <w:szCs w:val="20"/>
          <w:lang w:val="fr-CA"/>
        </w:rPr>
      </w:pPr>
    </w:p>
    <w:p w:rsidR="00CB3520" w:rsidRPr="00EF295C" w:rsidRDefault="005F56C4" w:rsidP="00CB3520">
      <w:pPr>
        <w:widowControl w:val="0"/>
        <w:rPr>
          <w:b/>
          <w:sz w:val="20"/>
          <w:szCs w:val="20"/>
        </w:rPr>
      </w:pPr>
      <w:r w:rsidRPr="00EF295C">
        <w:rPr>
          <w:b/>
          <w:sz w:val="20"/>
          <w:szCs w:val="20"/>
        </w:rPr>
        <w:t>SEPTEMBER 19</w:t>
      </w:r>
      <w:r w:rsidR="00CB3520" w:rsidRPr="00EF295C">
        <w:rPr>
          <w:b/>
          <w:sz w:val="20"/>
          <w:szCs w:val="20"/>
        </w:rPr>
        <w:t>, 201</w:t>
      </w:r>
      <w:r w:rsidR="0030050B" w:rsidRPr="00EF295C">
        <w:rPr>
          <w:b/>
          <w:sz w:val="20"/>
          <w:szCs w:val="20"/>
        </w:rPr>
        <w:t>6</w:t>
      </w:r>
      <w:r w:rsidR="00CB3520" w:rsidRPr="00EF295C">
        <w:rPr>
          <w:b/>
          <w:sz w:val="20"/>
          <w:szCs w:val="20"/>
        </w:rPr>
        <w:t xml:space="preserve"> / LE </w:t>
      </w:r>
      <w:r w:rsidRPr="00EF295C">
        <w:rPr>
          <w:b/>
          <w:sz w:val="20"/>
          <w:szCs w:val="20"/>
        </w:rPr>
        <w:t>19 SEPTEMBRE</w:t>
      </w:r>
      <w:r w:rsidR="00CB3520" w:rsidRPr="00EF295C">
        <w:rPr>
          <w:b/>
          <w:sz w:val="20"/>
          <w:szCs w:val="20"/>
        </w:rPr>
        <w:t xml:space="preserve"> 201</w:t>
      </w:r>
      <w:r w:rsidR="0030050B" w:rsidRPr="00EF295C">
        <w:rPr>
          <w:b/>
          <w:sz w:val="20"/>
          <w:szCs w:val="20"/>
        </w:rPr>
        <w:t>6</w:t>
      </w:r>
    </w:p>
    <w:p w:rsidR="00CB3520" w:rsidRPr="00EF295C" w:rsidRDefault="00CB3520" w:rsidP="00CB3520">
      <w:pPr>
        <w:widowControl w:val="0"/>
        <w:rPr>
          <w:b/>
          <w:sz w:val="20"/>
          <w:szCs w:val="20"/>
        </w:rPr>
      </w:pPr>
    </w:p>
    <w:p w:rsidR="00CB3520" w:rsidRPr="00EF295C" w:rsidRDefault="00CB3520" w:rsidP="00CB3520">
      <w:pPr>
        <w:widowControl w:val="0"/>
        <w:jc w:val="center"/>
        <w:rPr>
          <w:b/>
          <w:sz w:val="20"/>
          <w:szCs w:val="20"/>
        </w:rPr>
      </w:pPr>
      <w:r w:rsidRPr="00EF295C">
        <w:rPr>
          <w:b/>
          <w:sz w:val="20"/>
          <w:szCs w:val="20"/>
        </w:rPr>
        <w:t xml:space="preserve">CORAM:  Chief Justice McLachlin and </w:t>
      </w:r>
      <w:r w:rsidR="00253236" w:rsidRPr="00EF295C">
        <w:rPr>
          <w:b/>
          <w:sz w:val="20"/>
          <w:szCs w:val="20"/>
        </w:rPr>
        <w:t xml:space="preserve">Wagner </w:t>
      </w:r>
      <w:r w:rsidRPr="00EF295C">
        <w:rPr>
          <w:b/>
          <w:sz w:val="20"/>
          <w:szCs w:val="20"/>
        </w:rPr>
        <w:t xml:space="preserve">and </w:t>
      </w:r>
      <w:r w:rsidR="00FA3373" w:rsidRPr="00EF295C">
        <w:rPr>
          <w:b/>
          <w:sz w:val="20"/>
          <w:szCs w:val="20"/>
        </w:rPr>
        <w:t xml:space="preserve">Gascon </w:t>
      </w:r>
      <w:r w:rsidRPr="00EF295C">
        <w:rPr>
          <w:b/>
          <w:sz w:val="20"/>
          <w:szCs w:val="20"/>
        </w:rPr>
        <w:t>JJ.</w:t>
      </w:r>
    </w:p>
    <w:p w:rsidR="00CB3520" w:rsidRPr="00EF295C" w:rsidRDefault="00CB3520" w:rsidP="00CB3520">
      <w:pPr>
        <w:widowControl w:val="0"/>
        <w:jc w:val="center"/>
        <w:rPr>
          <w:sz w:val="20"/>
          <w:szCs w:val="20"/>
          <w:lang w:val="fr-CA"/>
        </w:rPr>
      </w:pPr>
      <w:r w:rsidRPr="00EF295C">
        <w:rPr>
          <w:b/>
          <w:sz w:val="20"/>
          <w:szCs w:val="20"/>
          <w:lang w:val="fr-CA"/>
        </w:rPr>
        <w:t xml:space="preserve">La juge en chef McLachlin et les juges </w:t>
      </w:r>
      <w:r w:rsidR="00253236" w:rsidRPr="00EF295C">
        <w:rPr>
          <w:b/>
          <w:sz w:val="20"/>
          <w:szCs w:val="20"/>
          <w:lang w:val="fr-CA"/>
        </w:rPr>
        <w:t xml:space="preserve">Wagner </w:t>
      </w:r>
      <w:r w:rsidRPr="00EF295C">
        <w:rPr>
          <w:b/>
          <w:sz w:val="20"/>
          <w:szCs w:val="20"/>
          <w:lang w:val="fr-CA"/>
        </w:rPr>
        <w:t xml:space="preserve">et </w:t>
      </w:r>
      <w:r w:rsidR="00FA3373" w:rsidRPr="00EF295C">
        <w:rPr>
          <w:b/>
          <w:sz w:val="20"/>
          <w:szCs w:val="20"/>
          <w:lang w:val="fr-CA"/>
        </w:rPr>
        <w:t>Gascon</w:t>
      </w:r>
    </w:p>
    <w:p w:rsidR="00CB3520" w:rsidRPr="00EF295C" w:rsidRDefault="00CB3520" w:rsidP="00CB3520">
      <w:pPr>
        <w:widowControl w:val="0"/>
        <w:rPr>
          <w:sz w:val="20"/>
          <w:szCs w:val="20"/>
          <w:lang w:val="fr-CA"/>
        </w:rPr>
      </w:pPr>
    </w:p>
    <w:p w:rsidR="00E14642" w:rsidRPr="00EF295C" w:rsidRDefault="00A32156" w:rsidP="00E14642">
      <w:pPr>
        <w:pStyle w:val="ListParagraph"/>
        <w:widowControl w:val="0"/>
        <w:numPr>
          <w:ilvl w:val="0"/>
          <w:numId w:val="1"/>
        </w:numPr>
        <w:ind w:hanging="720"/>
        <w:jc w:val="both"/>
        <w:rPr>
          <w:sz w:val="20"/>
          <w:szCs w:val="20"/>
        </w:rPr>
      </w:pPr>
      <w:r w:rsidRPr="00EF295C">
        <w:rPr>
          <w:i/>
          <w:sz w:val="20"/>
          <w:szCs w:val="20"/>
        </w:rPr>
        <w:t xml:space="preserve">Jessica Leblanc v. Her Majesty the Queen </w:t>
      </w:r>
      <w:r w:rsidRPr="00EF295C">
        <w:rPr>
          <w:sz w:val="20"/>
          <w:szCs w:val="20"/>
        </w:rPr>
        <w:t>(F.C.) (Civil) (By Leave) (37056)</w:t>
      </w:r>
    </w:p>
    <w:p w:rsidR="00E14642" w:rsidRPr="00EF295C" w:rsidRDefault="00E14642" w:rsidP="00E14642">
      <w:pPr>
        <w:pStyle w:val="ListParagraph"/>
        <w:widowControl w:val="0"/>
        <w:jc w:val="both"/>
        <w:rPr>
          <w:sz w:val="20"/>
          <w:szCs w:val="20"/>
        </w:rPr>
      </w:pPr>
    </w:p>
    <w:p w:rsidR="00E14642" w:rsidRPr="00EF295C" w:rsidRDefault="00E14642" w:rsidP="00E14642">
      <w:pPr>
        <w:pStyle w:val="ListParagraph"/>
        <w:widowControl w:val="0"/>
        <w:numPr>
          <w:ilvl w:val="0"/>
          <w:numId w:val="1"/>
        </w:numPr>
        <w:ind w:hanging="720"/>
        <w:jc w:val="both"/>
        <w:rPr>
          <w:sz w:val="20"/>
          <w:szCs w:val="20"/>
        </w:rPr>
      </w:pPr>
      <w:r w:rsidRPr="00EF295C">
        <w:rPr>
          <w:i/>
          <w:sz w:val="20"/>
          <w:szCs w:val="20"/>
        </w:rPr>
        <w:t xml:space="preserve">Luc Leblanc v. Her Majesty the Queen </w:t>
      </w:r>
      <w:r w:rsidRPr="00EF295C">
        <w:rPr>
          <w:sz w:val="20"/>
          <w:szCs w:val="20"/>
        </w:rPr>
        <w:t>(F.C.) (Civil) (By Leave) (37057)</w:t>
      </w:r>
    </w:p>
    <w:p w:rsidR="00E14642" w:rsidRPr="00EF295C" w:rsidRDefault="00E14642" w:rsidP="00E14642">
      <w:pPr>
        <w:pStyle w:val="ListParagraph"/>
        <w:widowControl w:val="0"/>
        <w:jc w:val="both"/>
        <w:rPr>
          <w:sz w:val="20"/>
          <w:szCs w:val="20"/>
        </w:rPr>
      </w:pPr>
    </w:p>
    <w:p w:rsidR="00E14642" w:rsidRPr="00EF295C" w:rsidRDefault="00E14642" w:rsidP="00E14642">
      <w:pPr>
        <w:pStyle w:val="ListParagraph"/>
        <w:widowControl w:val="0"/>
        <w:numPr>
          <w:ilvl w:val="0"/>
          <w:numId w:val="1"/>
        </w:numPr>
        <w:ind w:hanging="720"/>
        <w:jc w:val="both"/>
        <w:rPr>
          <w:sz w:val="20"/>
          <w:szCs w:val="20"/>
        </w:rPr>
      </w:pPr>
      <w:r w:rsidRPr="00EF295C">
        <w:rPr>
          <w:i/>
          <w:sz w:val="20"/>
          <w:szCs w:val="20"/>
        </w:rPr>
        <w:t xml:space="preserve">Celia </w:t>
      </w:r>
      <w:proofErr w:type="spellStart"/>
      <w:r w:rsidRPr="00EF295C">
        <w:rPr>
          <w:i/>
          <w:sz w:val="20"/>
          <w:szCs w:val="20"/>
        </w:rPr>
        <w:t>Sankar</w:t>
      </w:r>
      <w:proofErr w:type="spellEnd"/>
      <w:r w:rsidRPr="00EF295C">
        <w:rPr>
          <w:i/>
          <w:sz w:val="20"/>
          <w:szCs w:val="20"/>
        </w:rPr>
        <w:t xml:space="preserve"> v. Bell Mobility Inc. </w:t>
      </w:r>
      <w:r w:rsidRPr="00EF295C">
        <w:rPr>
          <w:sz w:val="20"/>
          <w:szCs w:val="20"/>
        </w:rPr>
        <w:t>(Ont.)</w:t>
      </w:r>
      <w:r w:rsidR="007E69D9" w:rsidRPr="00EF295C">
        <w:rPr>
          <w:sz w:val="20"/>
          <w:szCs w:val="20"/>
        </w:rPr>
        <w:t xml:space="preserve"> (Civil) (By Leave) (37045)</w:t>
      </w:r>
    </w:p>
    <w:p w:rsidR="00CB3520" w:rsidRPr="00EF295C" w:rsidRDefault="00CB3520" w:rsidP="00CB3520">
      <w:pPr>
        <w:widowControl w:val="0"/>
        <w:rPr>
          <w:sz w:val="20"/>
          <w:szCs w:val="20"/>
        </w:rPr>
      </w:pPr>
    </w:p>
    <w:p w:rsidR="00CB3520" w:rsidRPr="00EF295C" w:rsidRDefault="00CB3520" w:rsidP="00CB3520">
      <w:pPr>
        <w:widowControl w:val="0"/>
        <w:jc w:val="center"/>
        <w:rPr>
          <w:b/>
          <w:sz w:val="20"/>
          <w:szCs w:val="20"/>
          <w:lang w:val="en-US"/>
        </w:rPr>
      </w:pPr>
      <w:r w:rsidRPr="00EF295C">
        <w:rPr>
          <w:b/>
          <w:sz w:val="20"/>
          <w:szCs w:val="20"/>
          <w:lang w:val="en-US"/>
        </w:rPr>
        <w:t xml:space="preserve">CORAM: </w:t>
      </w:r>
      <w:r w:rsidR="00FA3373" w:rsidRPr="00EF295C">
        <w:rPr>
          <w:b/>
          <w:sz w:val="20"/>
          <w:szCs w:val="20"/>
          <w:lang w:val="en-US"/>
        </w:rPr>
        <w:t>Abella</w:t>
      </w:r>
      <w:r w:rsidRPr="00EF295C">
        <w:rPr>
          <w:b/>
          <w:sz w:val="20"/>
          <w:szCs w:val="20"/>
          <w:lang w:val="en-US"/>
        </w:rPr>
        <w:t xml:space="preserve">, Karakatsanis and </w:t>
      </w:r>
      <w:r w:rsidR="00E942C2" w:rsidRPr="00EF295C">
        <w:rPr>
          <w:b/>
          <w:sz w:val="20"/>
          <w:szCs w:val="20"/>
          <w:lang w:val="en-US"/>
        </w:rPr>
        <w:t>Brown</w:t>
      </w:r>
      <w:r w:rsidRPr="00EF295C">
        <w:rPr>
          <w:b/>
          <w:sz w:val="20"/>
          <w:szCs w:val="20"/>
          <w:lang w:val="en-US"/>
        </w:rPr>
        <w:t xml:space="preserve"> JJ.</w:t>
      </w:r>
    </w:p>
    <w:p w:rsidR="00CB3520" w:rsidRPr="00EF295C" w:rsidRDefault="00CB3520" w:rsidP="00CB3520">
      <w:pPr>
        <w:widowControl w:val="0"/>
        <w:jc w:val="center"/>
        <w:rPr>
          <w:b/>
          <w:sz w:val="20"/>
          <w:szCs w:val="20"/>
          <w:lang w:val="fr-CA"/>
        </w:rPr>
      </w:pPr>
      <w:r w:rsidRPr="00EF295C">
        <w:rPr>
          <w:b/>
          <w:sz w:val="20"/>
          <w:szCs w:val="20"/>
          <w:lang w:val="fr-CA"/>
        </w:rPr>
        <w:t xml:space="preserve">Les juges </w:t>
      </w:r>
      <w:r w:rsidR="00FA3373" w:rsidRPr="00EF295C">
        <w:rPr>
          <w:b/>
          <w:sz w:val="20"/>
          <w:szCs w:val="20"/>
          <w:lang w:val="fr-CA"/>
        </w:rPr>
        <w:t>Abella</w:t>
      </w:r>
      <w:r w:rsidRPr="00EF295C">
        <w:rPr>
          <w:b/>
          <w:sz w:val="20"/>
          <w:szCs w:val="20"/>
          <w:lang w:val="fr-CA"/>
        </w:rPr>
        <w:t xml:space="preserve">, Karakatsanis et </w:t>
      </w:r>
      <w:r w:rsidR="00E942C2" w:rsidRPr="00EF295C">
        <w:rPr>
          <w:b/>
          <w:sz w:val="20"/>
          <w:szCs w:val="20"/>
          <w:lang w:val="fr-CA"/>
        </w:rPr>
        <w:t>Brown</w:t>
      </w:r>
    </w:p>
    <w:p w:rsidR="00CB3520" w:rsidRPr="00EF295C" w:rsidRDefault="00CB3520" w:rsidP="00CB3520">
      <w:pPr>
        <w:widowControl w:val="0"/>
        <w:jc w:val="both"/>
        <w:rPr>
          <w:sz w:val="20"/>
          <w:szCs w:val="20"/>
          <w:lang w:val="fr-CA"/>
        </w:rPr>
      </w:pPr>
    </w:p>
    <w:p w:rsidR="00CB3520" w:rsidRPr="00EF295C" w:rsidRDefault="007E69D9" w:rsidP="00E83D19">
      <w:pPr>
        <w:pStyle w:val="ListParagraph"/>
        <w:widowControl w:val="0"/>
        <w:numPr>
          <w:ilvl w:val="0"/>
          <w:numId w:val="1"/>
        </w:numPr>
        <w:ind w:hanging="720"/>
        <w:jc w:val="both"/>
        <w:rPr>
          <w:i/>
          <w:sz w:val="20"/>
          <w:szCs w:val="20"/>
          <w:lang w:val="fr-CA"/>
        </w:rPr>
      </w:pPr>
      <w:r w:rsidRPr="00EF295C">
        <w:rPr>
          <w:i/>
          <w:sz w:val="20"/>
          <w:szCs w:val="20"/>
          <w:lang w:val="fr-CA"/>
        </w:rPr>
        <w:t>E.D. c. D.D.</w:t>
      </w:r>
      <w:r w:rsidRPr="00EF295C">
        <w:rPr>
          <w:sz w:val="20"/>
          <w:szCs w:val="20"/>
          <w:lang w:val="fr-CA"/>
        </w:rPr>
        <w:t xml:space="preserve"> (Qc) (Civile) (Autorisation) (37100)</w:t>
      </w:r>
    </w:p>
    <w:p w:rsidR="007E69D9" w:rsidRPr="00EF295C" w:rsidRDefault="007E69D9" w:rsidP="007E69D9">
      <w:pPr>
        <w:pStyle w:val="ListParagraph"/>
        <w:widowControl w:val="0"/>
        <w:jc w:val="both"/>
        <w:rPr>
          <w:i/>
          <w:sz w:val="20"/>
          <w:szCs w:val="20"/>
          <w:lang w:val="fr-CA"/>
        </w:rPr>
      </w:pPr>
    </w:p>
    <w:p w:rsidR="007E69D9" w:rsidRPr="00EF295C" w:rsidRDefault="007E69D9" w:rsidP="00E83D19">
      <w:pPr>
        <w:pStyle w:val="ListParagraph"/>
        <w:widowControl w:val="0"/>
        <w:numPr>
          <w:ilvl w:val="0"/>
          <w:numId w:val="1"/>
        </w:numPr>
        <w:ind w:hanging="720"/>
        <w:jc w:val="both"/>
        <w:rPr>
          <w:i/>
          <w:sz w:val="20"/>
          <w:szCs w:val="20"/>
        </w:rPr>
      </w:pPr>
      <w:r w:rsidRPr="00EF295C">
        <w:rPr>
          <w:i/>
          <w:sz w:val="20"/>
          <w:szCs w:val="20"/>
        </w:rPr>
        <w:t>V.J.F. v. S.K.W.</w:t>
      </w:r>
      <w:r w:rsidRPr="00EF295C">
        <w:rPr>
          <w:sz w:val="20"/>
          <w:szCs w:val="20"/>
        </w:rPr>
        <w:t xml:space="preserve"> (B.C.) (Civil) (By Leave) (37091)</w:t>
      </w:r>
    </w:p>
    <w:p w:rsidR="00CB3520" w:rsidRPr="00EF295C" w:rsidRDefault="00CB3520" w:rsidP="00CB3520">
      <w:pPr>
        <w:widowControl w:val="0"/>
        <w:jc w:val="both"/>
        <w:rPr>
          <w:sz w:val="20"/>
          <w:szCs w:val="20"/>
        </w:rPr>
      </w:pPr>
    </w:p>
    <w:p w:rsidR="00CB3520" w:rsidRPr="00EF295C" w:rsidRDefault="00CB3520" w:rsidP="00CB3520">
      <w:pPr>
        <w:widowControl w:val="0"/>
        <w:jc w:val="center"/>
        <w:rPr>
          <w:b/>
          <w:sz w:val="20"/>
          <w:szCs w:val="20"/>
        </w:rPr>
      </w:pPr>
      <w:r w:rsidRPr="00EF295C">
        <w:rPr>
          <w:b/>
          <w:sz w:val="20"/>
          <w:szCs w:val="20"/>
        </w:rPr>
        <w:t xml:space="preserve">CORAM: </w:t>
      </w:r>
      <w:r w:rsidR="00253236" w:rsidRPr="00EF295C">
        <w:rPr>
          <w:b/>
          <w:sz w:val="20"/>
          <w:szCs w:val="20"/>
        </w:rPr>
        <w:t>Moldaver</w:t>
      </w:r>
      <w:r w:rsidR="00E942C2" w:rsidRPr="00EF295C">
        <w:rPr>
          <w:b/>
          <w:sz w:val="20"/>
          <w:szCs w:val="20"/>
        </w:rPr>
        <w:t xml:space="preserve">, </w:t>
      </w:r>
      <w:r w:rsidR="00253236" w:rsidRPr="00EF295C">
        <w:rPr>
          <w:b/>
          <w:sz w:val="20"/>
          <w:szCs w:val="20"/>
        </w:rPr>
        <w:t xml:space="preserve">Côté </w:t>
      </w:r>
      <w:r w:rsidRPr="00EF295C">
        <w:rPr>
          <w:b/>
          <w:sz w:val="20"/>
          <w:szCs w:val="20"/>
        </w:rPr>
        <w:t xml:space="preserve">and </w:t>
      </w:r>
      <w:r w:rsidR="00253236" w:rsidRPr="00EF295C">
        <w:rPr>
          <w:b/>
          <w:sz w:val="20"/>
          <w:szCs w:val="20"/>
        </w:rPr>
        <w:t xml:space="preserve">Brown </w:t>
      </w:r>
      <w:r w:rsidRPr="00EF295C">
        <w:rPr>
          <w:b/>
          <w:sz w:val="20"/>
          <w:szCs w:val="20"/>
        </w:rPr>
        <w:t>JJ.</w:t>
      </w:r>
    </w:p>
    <w:p w:rsidR="00CB3520" w:rsidRPr="00EF295C" w:rsidRDefault="00CB3520" w:rsidP="00CB3520">
      <w:pPr>
        <w:widowControl w:val="0"/>
        <w:jc w:val="center"/>
        <w:rPr>
          <w:b/>
          <w:sz w:val="20"/>
          <w:szCs w:val="20"/>
          <w:lang w:val="fr-CA"/>
        </w:rPr>
      </w:pPr>
      <w:r w:rsidRPr="00EF295C">
        <w:rPr>
          <w:b/>
          <w:sz w:val="20"/>
          <w:szCs w:val="20"/>
          <w:lang w:val="fr-CA"/>
        </w:rPr>
        <w:t xml:space="preserve">Les juges </w:t>
      </w:r>
      <w:r w:rsidR="00253236" w:rsidRPr="00EF295C">
        <w:rPr>
          <w:b/>
          <w:sz w:val="20"/>
          <w:szCs w:val="20"/>
          <w:lang w:val="fr-CA"/>
        </w:rPr>
        <w:t>Moldaver</w:t>
      </w:r>
      <w:r w:rsidR="00E942C2" w:rsidRPr="00EF295C">
        <w:rPr>
          <w:b/>
          <w:sz w:val="20"/>
          <w:szCs w:val="20"/>
          <w:lang w:val="fr-CA"/>
        </w:rPr>
        <w:t xml:space="preserve">, </w:t>
      </w:r>
      <w:r w:rsidR="00253236" w:rsidRPr="00EF295C">
        <w:rPr>
          <w:b/>
          <w:sz w:val="20"/>
          <w:szCs w:val="20"/>
          <w:lang w:val="fr-CA"/>
        </w:rPr>
        <w:t xml:space="preserve">Côté </w:t>
      </w:r>
      <w:r w:rsidR="00E942C2" w:rsidRPr="00EF295C">
        <w:rPr>
          <w:b/>
          <w:sz w:val="20"/>
          <w:szCs w:val="20"/>
          <w:lang w:val="fr-CA"/>
        </w:rPr>
        <w:t xml:space="preserve">et </w:t>
      </w:r>
      <w:r w:rsidR="00253236" w:rsidRPr="00EF295C">
        <w:rPr>
          <w:b/>
          <w:sz w:val="20"/>
          <w:szCs w:val="20"/>
          <w:lang w:val="fr-CA"/>
        </w:rPr>
        <w:t>Brown</w:t>
      </w:r>
    </w:p>
    <w:p w:rsidR="00CB3520" w:rsidRPr="00EF295C" w:rsidRDefault="00CB3520" w:rsidP="00CB3520">
      <w:pPr>
        <w:widowControl w:val="0"/>
        <w:jc w:val="both"/>
        <w:rPr>
          <w:sz w:val="20"/>
          <w:szCs w:val="20"/>
          <w:lang w:val="fr-CA"/>
        </w:rPr>
      </w:pPr>
    </w:p>
    <w:p w:rsidR="002E2327" w:rsidRPr="00EF295C" w:rsidRDefault="007E69D9" w:rsidP="00E83D19">
      <w:pPr>
        <w:pStyle w:val="ListParagraph"/>
        <w:widowControl w:val="0"/>
        <w:numPr>
          <w:ilvl w:val="0"/>
          <w:numId w:val="1"/>
        </w:numPr>
        <w:ind w:hanging="720"/>
        <w:jc w:val="both"/>
        <w:rPr>
          <w:sz w:val="20"/>
          <w:szCs w:val="20"/>
        </w:rPr>
      </w:pPr>
      <w:proofErr w:type="spellStart"/>
      <w:r w:rsidRPr="00EF295C">
        <w:rPr>
          <w:i/>
          <w:sz w:val="20"/>
          <w:szCs w:val="20"/>
        </w:rPr>
        <w:t>Songyuan</w:t>
      </w:r>
      <w:proofErr w:type="spellEnd"/>
      <w:r w:rsidRPr="00EF295C">
        <w:rPr>
          <w:i/>
          <w:sz w:val="20"/>
          <w:szCs w:val="20"/>
        </w:rPr>
        <w:t xml:space="preserve"> Liu v. Stephen </w:t>
      </w:r>
      <w:proofErr w:type="spellStart"/>
      <w:r w:rsidRPr="00EF295C">
        <w:rPr>
          <w:i/>
          <w:sz w:val="20"/>
          <w:szCs w:val="20"/>
        </w:rPr>
        <w:t>Sik</w:t>
      </w:r>
      <w:proofErr w:type="spellEnd"/>
      <w:r w:rsidRPr="00EF295C">
        <w:rPr>
          <w:i/>
          <w:sz w:val="20"/>
          <w:szCs w:val="20"/>
        </w:rPr>
        <w:t xml:space="preserve">-Hong Wong </w:t>
      </w:r>
      <w:r w:rsidRPr="00EF295C">
        <w:rPr>
          <w:sz w:val="20"/>
          <w:szCs w:val="20"/>
        </w:rPr>
        <w:t>(Ont.) (Civil) (By Leave) (37023)</w:t>
      </w:r>
    </w:p>
    <w:p w:rsidR="007E69D9" w:rsidRPr="00EF295C" w:rsidRDefault="007E69D9" w:rsidP="007E69D9">
      <w:pPr>
        <w:pStyle w:val="ListParagraph"/>
        <w:widowControl w:val="0"/>
        <w:jc w:val="both"/>
        <w:rPr>
          <w:sz w:val="20"/>
          <w:szCs w:val="20"/>
        </w:rPr>
      </w:pPr>
    </w:p>
    <w:p w:rsidR="007E69D9" w:rsidRPr="00EF295C" w:rsidRDefault="007E69D9" w:rsidP="00E83D19">
      <w:pPr>
        <w:pStyle w:val="ListParagraph"/>
        <w:widowControl w:val="0"/>
        <w:numPr>
          <w:ilvl w:val="0"/>
          <w:numId w:val="1"/>
        </w:numPr>
        <w:ind w:hanging="720"/>
        <w:jc w:val="both"/>
        <w:rPr>
          <w:sz w:val="20"/>
          <w:szCs w:val="20"/>
        </w:rPr>
      </w:pPr>
      <w:proofErr w:type="spellStart"/>
      <w:r w:rsidRPr="00EF295C">
        <w:rPr>
          <w:i/>
          <w:sz w:val="20"/>
          <w:szCs w:val="20"/>
        </w:rPr>
        <w:t>Zigang</w:t>
      </w:r>
      <w:proofErr w:type="spellEnd"/>
      <w:r w:rsidRPr="00EF295C">
        <w:rPr>
          <w:i/>
          <w:sz w:val="20"/>
          <w:szCs w:val="20"/>
        </w:rPr>
        <w:t xml:space="preserve"> Ren et al. v. Shan </w:t>
      </w:r>
      <w:proofErr w:type="spellStart"/>
      <w:r w:rsidRPr="00EF295C">
        <w:rPr>
          <w:i/>
          <w:sz w:val="20"/>
          <w:szCs w:val="20"/>
        </w:rPr>
        <w:t>Jin</w:t>
      </w:r>
      <w:proofErr w:type="spellEnd"/>
      <w:r w:rsidRPr="00EF295C">
        <w:rPr>
          <w:sz w:val="20"/>
          <w:szCs w:val="20"/>
        </w:rPr>
        <w:t xml:space="preserve"> (Alta.) (Civil) (By Leave) (37023)</w:t>
      </w:r>
    </w:p>
    <w:p w:rsidR="007E69D9" w:rsidRPr="00EF295C" w:rsidRDefault="007E69D9" w:rsidP="007E69D9">
      <w:pPr>
        <w:pStyle w:val="ListParagraph"/>
        <w:widowControl w:val="0"/>
        <w:jc w:val="both"/>
        <w:rPr>
          <w:sz w:val="20"/>
          <w:szCs w:val="20"/>
        </w:rPr>
      </w:pPr>
    </w:p>
    <w:p w:rsidR="007E69D9" w:rsidRPr="00EF295C" w:rsidRDefault="007E69D9" w:rsidP="00E83D19">
      <w:pPr>
        <w:pStyle w:val="ListParagraph"/>
        <w:widowControl w:val="0"/>
        <w:numPr>
          <w:ilvl w:val="0"/>
          <w:numId w:val="1"/>
        </w:numPr>
        <w:ind w:hanging="720"/>
        <w:jc w:val="both"/>
        <w:rPr>
          <w:sz w:val="20"/>
          <w:szCs w:val="20"/>
        </w:rPr>
      </w:pPr>
      <w:r w:rsidRPr="00EF295C">
        <w:rPr>
          <w:i/>
          <w:sz w:val="20"/>
          <w:szCs w:val="20"/>
        </w:rPr>
        <w:t>Williams Lake Indian Band v. Her Majesty the Queen in Right of Canada as represented by the Minister of Aboriginal Affairs and Northern Development Canada</w:t>
      </w:r>
      <w:r w:rsidRPr="00EF295C">
        <w:rPr>
          <w:sz w:val="20"/>
          <w:szCs w:val="20"/>
        </w:rPr>
        <w:t xml:space="preserve"> (F.C.) (Civil) (By Leave) (36983)</w:t>
      </w:r>
    </w:p>
    <w:p w:rsidR="002E2327" w:rsidRPr="00EF295C" w:rsidRDefault="002E5FCE" w:rsidP="002E2327">
      <w:pPr>
        <w:widowControl w:val="0"/>
        <w:rPr>
          <w:sz w:val="20"/>
          <w:szCs w:val="20"/>
          <w:lang w:val="fr-CA"/>
        </w:rPr>
      </w:pPr>
      <w:r>
        <w:rPr>
          <w:sz w:val="20"/>
          <w:szCs w:val="20"/>
        </w:rPr>
        <w:pict>
          <v:rect id="_x0000_i1043" style="width:2in;height:1pt" o:hrpct="0" o:hralign="center" o:hrstd="t" o:hrnoshade="t" o:hr="t" fillcolor="black [3213]" stroked="f"/>
        </w:pict>
      </w:r>
    </w:p>
    <w:p w:rsidR="00D94028" w:rsidRPr="00EF295C" w:rsidRDefault="00D94028" w:rsidP="002E2327">
      <w:pPr>
        <w:widowControl w:val="0"/>
        <w:rPr>
          <w:sz w:val="20"/>
          <w:szCs w:val="20"/>
          <w:lang w:val="fr-CA"/>
        </w:rPr>
      </w:pPr>
    </w:p>
    <w:p w:rsidR="00D94028" w:rsidRPr="00EF295C" w:rsidRDefault="00D94028" w:rsidP="002E2327">
      <w:pPr>
        <w:widowControl w:val="0"/>
        <w:rPr>
          <w:sz w:val="20"/>
          <w:szCs w:val="20"/>
          <w:lang w:val="fr-CA"/>
        </w:rPr>
      </w:pPr>
    </w:p>
    <w:p w:rsidR="00D94028" w:rsidRPr="00EF295C" w:rsidRDefault="00D94028" w:rsidP="002E2327">
      <w:pPr>
        <w:widowControl w:val="0"/>
        <w:rPr>
          <w:sz w:val="20"/>
          <w:szCs w:val="20"/>
          <w:lang w:val="fr-CA"/>
        </w:rPr>
      </w:pPr>
    </w:p>
    <w:p w:rsidR="0044776A" w:rsidRPr="00EF295C" w:rsidRDefault="0044776A" w:rsidP="002E2327">
      <w:pPr>
        <w:widowControl w:val="0"/>
        <w:spacing w:line="0" w:lineRule="atLeast"/>
        <w:rPr>
          <w:sz w:val="20"/>
          <w:szCs w:val="20"/>
          <w:lang w:val="fr-CA"/>
        </w:rPr>
        <w:sectPr w:rsidR="0044776A" w:rsidRPr="00EF29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E5FCE" w:rsidTr="00ED7E83">
        <w:tc>
          <w:tcPr>
            <w:tcW w:w="4200" w:type="dxa"/>
            <w:tcMar>
              <w:left w:w="0" w:type="dxa"/>
              <w:right w:w="0" w:type="dxa"/>
            </w:tcMar>
          </w:tcPr>
          <w:p w:rsidR="008D292F" w:rsidRPr="00EF295C" w:rsidRDefault="008D292F" w:rsidP="00ED7E83">
            <w:pPr>
              <w:keepNext/>
              <w:keepLines/>
              <w:jc w:val="both"/>
              <w:rPr>
                <w:b/>
                <w:szCs w:val="24"/>
              </w:rPr>
            </w:pPr>
            <w:bookmarkStart w:id="1" w:name="QuickMark_1"/>
            <w:bookmarkEnd w:id="1"/>
            <w:r w:rsidRPr="00EF295C">
              <w:rPr>
                <w:b/>
                <w:szCs w:val="24"/>
              </w:rPr>
              <w:lastRenderedPageBreak/>
              <w:t>JUDGMENTS ON APPLICATIONS</w:t>
            </w:r>
          </w:p>
          <w:p w:rsidR="008D292F" w:rsidRPr="00EF295C" w:rsidRDefault="008D292F" w:rsidP="00ED7E83">
            <w:pPr>
              <w:keepNext/>
              <w:keepLines/>
              <w:jc w:val="both"/>
              <w:rPr>
                <w:b/>
                <w:szCs w:val="24"/>
              </w:rPr>
            </w:pPr>
            <w:r w:rsidRPr="00EF295C">
              <w:rPr>
                <w:b/>
                <w:szCs w:val="24"/>
              </w:rPr>
              <w:t>FOR LEAVE</w:t>
            </w:r>
          </w:p>
        </w:tc>
        <w:tc>
          <w:tcPr>
            <w:tcW w:w="1200" w:type="dxa"/>
            <w:tcMar>
              <w:left w:w="0" w:type="dxa"/>
              <w:right w:w="0" w:type="dxa"/>
            </w:tcMar>
          </w:tcPr>
          <w:p w:rsidR="008D292F" w:rsidRPr="00EF295C" w:rsidRDefault="008D292F" w:rsidP="008D292F">
            <w:pPr>
              <w:keepNext/>
              <w:keepLines/>
              <w:jc w:val="center"/>
              <w:rPr>
                <w:b/>
                <w:szCs w:val="24"/>
              </w:rPr>
            </w:pPr>
          </w:p>
          <w:p w:rsidR="008D292F" w:rsidRPr="00EF295C" w:rsidRDefault="008D292F" w:rsidP="008D292F">
            <w:pPr>
              <w:keepNext/>
              <w:keepLines/>
              <w:jc w:val="center"/>
              <w:rPr>
                <w:b/>
                <w:szCs w:val="24"/>
              </w:rPr>
            </w:pPr>
          </w:p>
          <w:p w:rsidR="008D292F" w:rsidRPr="00EF295C" w:rsidRDefault="008D292F" w:rsidP="008D292F">
            <w:pPr>
              <w:keepNext/>
              <w:keepLines/>
              <w:jc w:val="center"/>
              <w:rPr>
                <w:b/>
                <w:szCs w:val="24"/>
              </w:rPr>
            </w:pPr>
          </w:p>
        </w:tc>
        <w:tc>
          <w:tcPr>
            <w:tcW w:w="4080" w:type="dxa"/>
            <w:tcMar>
              <w:left w:w="0" w:type="dxa"/>
              <w:right w:w="0" w:type="dxa"/>
            </w:tcMar>
          </w:tcPr>
          <w:p w:rsidR="008D292F" w:rsidRPr="00EF295C" w:rsidRDefault="008D292F" w:rsidP="00ED7E83">
            <w:pPr>
              <w:keepNext/>
              <w:keepLines/>
              <w:jc w:val="both"/>
              <w:rPr>
                <w:b/>
                <w:szCs w:val="24"/>
                <w:lang w:val="fr-CA"/>
              </w:rPr>
            </w:pPr>
            <w:r w:rsidRPr="00EF295C">
              <w:rPr>
                <w:b/>
                <w:szCs w:val="24"/>
                <w:lang w:val="fr-CA"/>
              </w:rPr>
              <w:t>JUGEMENTS RENDUS SUR LES DEMANDES D’AUTORISATION</w:t>
            </w:r>
          </w:p>
        </w:tc>
      </w:tr>
    </w:tbl>
    <w:p w:rsidR="008D292F" w:rsidRPr="00EF295C" w:rsidRDefault="008D292F" w:rsidP="008D292F">
      <w:pPr>
        <w:rPr>
          <w:sz w:val="20"/>
          <w:szCs w:val="20"/>
          <w:lang w:val="fr-CA"/>
        </w:rPr>
      </w:pPr>
    </w:p>
    <w:p w:rsidR="000E2959" w:rsidRPr="00EF295C" w:rsidRDefault="00CE52FF" w:rsidP="000E2959">
      <w:pPr>
        <w:rPr>
          <w:b/>
          <w:sz w:val="20"/>
          <w:szCs w:val="20"/>
        </w:rPr>
      </w:pPr>
      <w:r w:rsidRPr="00EF295C">
        <w:rPr>
          <w:b/>
          <w:sz w:val="20"/>
          <w:szCs w:val="20"/>
        </w:rPr>
        <w:t>SEPTEMBER</w:t>
      </w:r>
      <w:r w:rsidR="000E2959" w:rsidRPr="00EF295C">
        <w:rPr>
          <w:b/>
          <w:sz w:val="20"/>
          <w:szCs w:val="20"/>
        </w:rPr>
        <w:t xml:space="preserve"> 2</w:t>
      </w:r>
      <w:r w:rsidR="00681F61" w:rsidRPr="00EF295C">
        <w:rPr>
          <w:b/>
          <w:sz w:val="20"/>
          <w:szCs w:val="20"/>
        </w:rPr>
        <w:t>2</w:t>
      </w:r>
      <w:r w:rsidR="000E2959" w:rsidRPr="00EF295C">
        <w:rPr>
          <w:b/>
          <w:sz w:val="20"/>
          <w:szCs w:val="20"/>
        </w:rPr>
        <w:t xml:space="preserve">, </w:t>
      </w:r>
      <w:r w:rsidR="0030050B" w:rsidRPr="00EF295C">
        <w:rPr>
          <w:b/>
          <w:sz w:val="20"/>
          <w:szCs w:val="20"/>
        </w:rPr>
        <w:t>2016</w:t>
      </w:r>
      <w:r w:rsidR="000E2959" w:rsidRPr="00EF295C">
        <w:rPr>
          <w:b/>
          <w:sz w:val="20"/>
          <w:szCs w:val="20"/>
        </w:rPr>
        <w:t xml:space="preserve"> / LE 2</w:t>
      </w:r>
      <w:r w:rsidR="00681F61" w:rsidRPr="00EF295C">
        <w:rPr>
          <w:b/>
          <w:sz w:val="20"/>
          <w:szCs w:val="20"/>
        </w:rPr>
        <w:t>2</w:t>
      </w:r>
      <w:r w:rsidR="000E2959" w:rsidRPr="00EF295C">
        <w:rPr>
          <w:b/>
          <w:sz w:val="20"/>
          <w:szCs w:val="20"/>
        </w:rPr>
        <w:t xml:space="preserve"> </w:t>
      </w:r>
      <w:r w:rsidRPr="00EF295C">
        <w:rPr>
          <w:b/>
          <w:sz w:val="20"/>
          <w:szCs w:val="20"/>
        </w:rPr>
        <w:t>SEPTEMBRE</w:t>
      </w:r>
      <w:r w:rsidR="000E2959" w:rsidRPr="00EF295C">
        <w:rPr>
          <w:b/>
          <w:sz w:val="20"/>
          <w:szCs w:val="20"/>
        </w:rPr>
        <w:t xml:space="preserve"> </w:t>
      </w:r>
      <w:r w:rsidR="0030050B" w:rsidRPr="00EF295C">
        <w:rPr>
          <w:b/>
          <w:sz w:val="20"/>
          <w:szCs w:val="20"/>
        </w:rPr>
        <w:t>2016</w:t>
      </w:r>
    </w:p>
    <w:p w:rsidR="000E2959" w:rsidRPr="00EF295C"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36867</w:t>
            </w:r>
          </w:p>
          <w:p w:rsidR="00AF4BD2" w:rsidRPr="00EF295C" w:rsidRDefault="00AF4BD2" w:rsidP="00665CAF">
            <w:pPr>
              <w:jc w:val="both"/>
              <w:rPr>
                <w:rFonts w:cs="Times New Roman"/>
                <w:b/>
                <w:sz w:val="20"/>
                <w:szCs w:val="20"/>
              </w:rPr>
            </w:pPr>
          </w:p>
        </w:tc>
        <w:tc>
          <w:tcPr>
            <w:tcW w:w="8118" w:type="dxa"/>
            <w:gridSpan w:val="3"/>
          </w:tcPr>
          <w:p w:rsidR="00AF4BD2" w:rsidRPr="00EF295C" w:rsidRDefault="00E13CE6" w:rsidP="00665CAF">
            <w:pPr>
              <w:jc w:val="both"/>
              <w:rPr>
                <w:rFonts w:cs="Times New Roman"/>
                <w:sz w:val="20"/>
                <w:szCs w:val="20"/>
              </w:rPr>
            </w:pPr>
            <w:r w:rsidRPr="00EF295C">
              <w:rPr>
                <w:rStyle w:val="SCCLsocChar"/>
                <w:rFonts w:cs="Times New Roman"/>
                <w:sz w:val="20"/>
                <w:szCs w:val="20"/>
                <w:lang w:val="en-CA"/>
              </w:rPr>
              <w:t>Aviva Canada Inc. v. State Farm Mutual Automobile Insurance Company</w:t>
            </w:r>
            <w:r w:rsidRPr="00EF295C">
              <w:rPr>
                <w:rStyle w:val="SCCLsocChar"/>
                <w:rFonts w:cs="Times New Roman"/>
                <w:sz w:val="20"/>
                <w:szCs w:val="20"/>
                <w:u w:val="none"/>
                <w:lang w:val="en-CA"/>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E13CE6" w:rsidRPr="00EF295C">
              <w:t>The application for leave to appeal from the judgment of the</w:t>
            </w:r>
            <w:bookmarkStart w:id="2" w:name="BM_1_"/>
            <w:bookmarkEnd w:id="2"/>
            <w:r w:rsidR="00E13CE6" w:rsidRPr="00EF295C">
              <w:t xml:space="preserve"> Court of Appeal for Ontario, Number C60035, 2015 ONCA 920, dated December 24, 2015, is dismissed with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lang w:val="fr-CA"/>
              </w:rPr>
            </w:pPr>
            <w:r w:rsidRPr="00EF295C">
              <w:rPr>
                <w:rFonts w:cs="Times New Roman"/>
                <w:szCs w:val="20"/>
              </w:rPr>
              <w:tab/>
            </w:r>
            <w:r w:rsidR="00E13CE6" w:rsidRPr="00EF295C">
              <w:rPr>
                <w:lang w:val="fr-CA"/>
              </w:rPr>
              <w:t xml:space="preserve">La demande d’autorisation d’appel de l’arrêt de la </w:t>
            </w:r>
            <w:r w:rsidR="00E13CE6" w:rsidRPr="00EF295C">
              <w:rPr>
                <w:lang w:val="fr-FR"/>
              </w:rPr>
              <w:t>Cour d’appel de l’Ontario</w:t>
            </w:r>
            <w:r w:rsidR="00E13CE6" w:rsidRPr="00EF295C">
              <w:rPr>
                <w:lang w:val="fr-CA"/>
              </w:rPr>
              <w:t xml:space="preserve">, numéro </w:t>
            </w:r>
            <w:r w:rsidR="00E13CE6" w:rsidRPr="00EF295C">
              <w:rPr>
                <w:lang w:val="fr-FR"/>
              </w:rPr>
              <w:t>C60035, 2015 ONCA 920</w:t>
            </w:r>
            <w:r w:rsidR="00E13CE6" w:rsidRPr="00EF295C">
              <w:rPr>
                <w:lang w:val="fr-CA"/>
              </w:rPr>
              <w:t xml:space="preserve">, daté du </w:t>
            </w:r>
            <w:r w:rsidR="00E13CE6" w:rsidRPr="00EF295C">
              <w:rPr>
                <w:lang w:val="fr-FR"/>
              </w:rPr>
              <w:t>24 décembre 2015</w:t>
            </w:r>
            <w:r w:rsidR="00E13CE6" w:rsidRPr="00EF295C">
              <w:rPr>
                <w:lang w:val="fr-CA"/>
              </w:rPr>
              <w:t>, est rejet</w:t>
            </w:r>
            <w:r w:rsidR="00E13CE6" w:rsidRPr="00EF295C">
              <w:rPr>
                <w:rFonts w:cs="Times New Roman"/>
                <w:lang w:val="fr-CA"/>
              </w:rPr>
              <w:t>é</w:t>
            </w:r>
            <w:r w:rsidR="00E13CE6" w:rsidRPr="00EF295C">
              <w:rPr>
                <w:lang w:val="fr-CA"/>
              </w:rPr>
              <w:t>e avec d</w:t>
            </w:r>
            <w:r w:rsidR="00E13CE6" w:rsidRPr="00EF295C">
              <w:rPr>
                <w:rFonts w:cs="Times New Roman"/>
                <w:lang w:val="fr-CA"/>
              </w:rPr>
              <w:t>é</w:t>
            </w:r>
            <w:r w:rsidR="00E13CE6" w:rsidRPr="00EF295C">
              <w:rPr>
                <w:lang w:val="fr-CA"/>
              </w:rPr>
              <w:t>pens.</w:t>
            </w:r>
          </w:p>
          <w:p w:rsidR="00E13CE6" w:rsidRPr="00EF295C" w:rsidRDefault="00E13CE6"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4B0D2A" w:rsidP="00665CAF">
            <w:pPr>
              <w:pStyle w:val="SCCShortJudgment"/>
              <w:ind w:firstLine="0"/>
              <w:rPr>
                <w:rFonts w:eastAsia="Times New Roman" w:cs="Times New Roman"/>
                <w:szCs w:val="20"/>
                <w:lang w:val="en-US" w:eastAsia="en-CA"/>
              </w:rPr>
            </w:pPr>
            <w:r w:rsidRPr="00EF295C">
              <w:rPr>
                <w:rFonts w:eastAsia="Times New Roman" w:cs="Times New Roman"/>
                <w:szCs w:val="20"/>
                <w:lang w:eastAsia="en-CA"/>
              </w:rPr>
              <w:t xml:space="preserve">Insurance </w:t>
            </w:r>
            <w:r w:rsidRPr="00EF295C">
              <w:rPr>
                <w:szCs w:val="20"/>
              </w:rPr>
              <w:t xml:space="preserve">— </w:t>
            </w:r>
            <w:r w:rsidRPr="00EF295C">
              <w:rPr>
                <w:rFonts w:eastAsia="Times New Roman" w:cs="Times New Roman"/>
                <w:szCs w:val="20"/>
                <w:lang w:eastAsia="en-CA"/>
              </w:rPr>
              <w:t xml:space="preserve">Automobile insurance </w:t>
            </w:r>
            <w:r w:rsidRPr="00EF295C">
              <w:rPr>
                <w:szCs w:val="20"/>
              </w:rPr>
              <w:t xml:space="preserve">— </w:t>
            </w:r>
            <w:r w:rsidRPr="00EF295C">
              <w:rPr>
                <w:rFonts w:eastAsia="Times New Roman" w:cs="Times New Roman"/>
                <w:szCs w:val="20"/>
                <w:lang w:eastAsia="en-CA"/>
              </w:rPr>
              <w:t xml:space="preserve">Accident occurring involving a motorcyclist and motor vehicle </w:t>
            </w:r>
            <w:r w:rsidRPr="00EF295C">
              <w:rPr>
                <w:szCs w:val="20"/>
              </w:rPr>
              <w:t xml:space="preserve">— </w:t>
            </w:r>
            <w:r w:rsidRPr="00EF295C">
              <w:rPr>
                <w:rFonts w:eastAsia="Times New Roman" w:cs="Times New Roman"/>
                <w:szCs w:val="20"/>
                <w:lang w:eastAsia="en-CA"/>
              </w:rPr>
              <w:t xml:space="preserve">Motorcyclist receiving benefits from insurer and insurance companies disputing indemnification </w:t>
            </w:r>
            <w:r w:rsidRPr="00EF295C">
              <w:rPr>
                <w:szCs w:val="20"/>
              </w:rPr>
              <w:t xml:space="preserve">— </w:t>
            </w:r>
            <w:r w:rsidRPr="00EF295C">
              <w:rPr>
                <w:rFonts w:eastAsia="Times New Roman" w:cs="Times New Roman"/>
                <w:szCs w:val="20"/>
                <w:lang w:eastAsia="en-CA"/>
              </w:rPr>
              <w:t xml:space="preserve">Arbitrator finding Aviva insured 100 percent at fault under </w:t>
            </w:r>
            <w:r w:rsidRPr="00EF295C">
              <w:rPr>
                <w:rFonts w:eastAsia="Times New Roman" w:cs="Times New Roman"/>
                <w:i/>
                <w:szCs w:val="20"/>
                <w:lang w:eastAsia="en-CA"/>
              </w:rPr>
              <w:t>Fault Determination Rules</w:t>
            </w:r>
            <w:r w:rsidRPr="00EF295C">
              <w:rPr>
                <w:rFonts w:eastAsia="Times New Roman" w:cs="Times New Roman"/>
                <w:szCs w:val="20"/>
                <w:lang w:eastAsia="en-CA"/>
              </w:rPr>
              <w:t xml:space="preserve"> </w:t>
            </w:r>
            <w:r w:rsidRPr="00EF295C">
              <w:rPr>
                <w:szCs w:val="20"/>
              </w:rPr>
              <w:t xml:space="preserve">— </w:t>
            </w:r>
            <w:r w:rsidRPr="00EF295C">
              <w:rPr>
                <w:rFonts w:eastAsia="Times New Roman" w:cs="Times New Roman"/>
                <w:szCs w:val="20"/>
                <w:lang w:eastAsia="en-CA"/>
              </w:rPr>
              <w:t xml:space="preserve">Application judge finding 50/50 liability </w:t>
            </w:r>
            <w:r w:rsidRPr="00EF295C">
              <w:rPr>
                <w:szCs w:val="20"/>
              </w:rPr>
              <w:t xml:space="preserve">— </w:t>
            </w:r>
            <w:r w:rsidRPr="00EF295C">
              <w:rPr>
                <w:rFonts w:eastAsia="Times New Roman" w:cs="Times New Roman"/>
                <w:szCs w:val="20"/>
                <w:lang w:eastAsia="en-CA"/>
              </w:rPr>
              <w:t xml:space="preserve">Court of Appeal setting aside order of application judge and restoring Arbitrator’s award and reasoning </w:t>
            </w:r>
            <w:r w:rsidRPr="00EF295C">
              <w:rPr>
                <w:szCs w:val="20"/>
              </w:rPr>
              <w:t xml:space="preserve">— </w:t>
            </w:r>
            <w:r w:rsidRPr="00EF295C">
              <w:rPr>
                <w:rFonts w:eastAsia="Times New Roman" w:cs="Times New Roman"/>
                <w:szCs w:val="20"/>
                <w:lang w:eastAsia="en-CA"/>
              </w:rPr>
              <w:t xml:space="preserve">Whether in loss transfer, where the degree of fault is to be determined “in accordance with the ordinary rules of law” under the </w:t>
            </w:r>
            <w:r w:rsidRPr="00EF295C">
              <w:rPr>
                <w:rFonts w:eastAsia="Times New Roman" w:cs="Times New Roman"/>
                <w:i/>
                <w:szCs w:val="20"/>
                <w:lang w:eastAsia="en-CA"/>
              </w:rPr>
              <w:t>Fault Determination Rules</w:t>
            </w:r>
            <w:r w:rsidRPr="00EF295C">
              <w:rPr>
                <w:rFonts w:eastAsia="Times New Roman" w:cs="Times New Roman"/>
                <w:szCs w:val="20"/>
                <w:lang w:eastAsia="en-CA"/>
              </w:rPr>
              <w:t xml:space="preserve">, considerations of tort and negligence law are excluded </w:t>
            </w:r>
            <w:r w:rsidRPr="00EF295C">
              <w:rPr>
                <w:szCs w:val="20"/>
              </w:rPr>
              <w:t xml:space="preserve">— </w:t>
            </w:r>
            <w:r w:rsidRPr="00EF295C">
              <w:rPr>
                <w:rFonts w:eastAsia="Times New Roman" w:cs="Times New Roman"/>
                <w:i/>
                <w:szCs w:val="20"/>
                <w:lang w:val="en-US" w:eastAsia="en-CA"/>
              </w:rPr>
              <w:t>Fault Determination Rules</w:t>
            </w:r>
            <w:r w:rsidRPr="00EF295C">
              <w:rPr>
                <w:rFonts w:eastAsia="Times New Roman" w:cs="Times New Roman"/>
                <w:szCs w:val="20"/>
                <w:lang w:val="en-US" w:eastAsia="en-CA"/>
              </w:rPr>
              <w:t>, R.R.O. 1990, Reg. 668.</w:t>
            </w:r>
          </w:p>
          <w:p w:rsidR="004B0D2A" w:rsidRPr="00EF295C" w:rsidRDefault="004B0D2A" w:rsidP="00665CAF">
            <w:pPr>
              <w:pStyle w:val="SCCShortJudgment"/>
              <w:ind w:firstLine="0"/>
              <w:rPr>
                <w:rFonts w:cs="Times New Roman"/>
                <w:szCs w:val="20"/>
              </w:rPr>
            </w:pPr>
          </w:p>
        </w:tc>
      </w:tr>
      <w:tr w:rsidR="00AF4BD2" w:rsidRPr="00EF295C" w:rsidTr="00665CAF">
        <w:trPr>
          <w:cantSplit/>
        </w:trPr>
        <w:tc>
          <w:tcPr>
            <w:tcW w:w="9576" w:type="dxa"/>
            <w:gridSpan w:val="4"/>
          </w:tcPr>
          <w:p w:rsidR="004B0D2A" w:rsidRPr="00EF295C" w:rsidRDefault="004B0D2A" w:rsidP="004B0D2A">
            <w:pPr>
              <w:jc w:val="both"/>
              <w:rPr>
                <w:sz w:val="20"/>
                <w:szCs w:val="20"/>
              </w:rPr>
            </w:pPr>
            <w:r w:rsidRPr="00EF295C">
              <w:rPr>
                <w:sz w:val="20"/>
                <w:szCs w:val="20"/>
              </w:rPr>
              <w:t xml:space="preserve">An accident occurred in an intersection involving a motor vehicle and a motorcycle. There was no collision between the two vehicles. However, as a result of the motor vehicle’s left hand turn, the motorcycle driver swerved, lost control of his motorcycle, fell to the ground and was injured. The motorcycle driver applied to his insurer, the respondent State Farm Mutual Automobile Insurance Company (“State Farm”), for accident benefits payments. State Farm paid him the benefits and then sought indemnification from the insurer of the motor vehicle, the applicant Aviva Canada Inc. (“Aviva”). The issue in this case is whose fault is the accident. The answer depends on how the Rules under the </w:t>
            </w:r>
            <w:r w:rsidRPr="00EF295C">
              <w:rPr>
                <w:i/>
                <w:sz w:val="20"/>
                <w:szCs w:val="20"/>
              </w:rPr>
              <w:t>Fault Determination Rules</w:t>
            </w:r>
            <w:r w:rsidRPr="00EF295C">
              <w:rPr>
                <w:sz w:val="20"/>
                <w:szCs w:val="20"/>
              </w:rPr>
              <w:t>, R.R.O. 1990, Reg. 668 (“FDRs”) are interpreted. Specifically, Rule 5(1) states:</w:t>
            </w:r>
          </w:p>
          <w:p w:rsidR="004B0D2A" w:rsidRPr="00EF295C" w:rsidRDefault="004B0D2A" w:rsidP="004B0D2A">
            <w:pPr>
              <w:jc w:val="both"/>
              <w:rPr>
                <w:sz w:val="20"/>
                <w:szCs w:val="20"/>
              </w:rPr>
            </w:pPr>
          </w:p>
          <w:p w:rsidR="004B0D2A" w:rsidRPr="00EF295C" w:rsidRDefault="004B0D2A" w:rsidP="004B0D2A">
            <w:pPr>
              <w:ind w:left="720"/>
              <w:jc w:val="both"/>
              <w:rPr>
                <w:sz w:val="20"/>
                <w:szCs w:val="20"/>
              </w:rPr>
            </w:pPr>
            <w:r w:rsidRPr="00EF295C">
              <w:rPr>
                <w:sz w:val="20"/>
                <w:szCs w:val="20"/>
              </w:rPr>
              <w:t xml:space="preserve">If an incident is not described in any of these rules, the degree of fault of the insured shall be determined </w:t>
            </w:r>
            <w:r w:rsidRPr="00EF295C">
              <w:rPr>
                <w:sz w:val="20"/>
                <w:szCs w:val="20"/>
                <w:u w:val="single"/>
              </w:rPr>
              <w:t>in accordance with the ordinary rules of law</w:t>
            </w:r>
            <w:r w:rsidRPr="00EF295C">
              <w:rPr>
                <w:sz w:val="20"/>
                <w:szCs w:val="20"/>
              </w:rPr>
              <w:t xml:space="preserve">. [Emphasis added] </w:t>
            </w:r>
          </w:p>
          <w:p w:rsidR="004B0D2A" w:rsidRPr="00EF295C" w:rsidRDefault="004B0D2A" w:rsidP="004B0D2A">
            <w:pPr>
              <w:jc w:val="both"/>
              <w:rPr>
                <w:sz w:val="20"/>
                <w:szCs w:val="20"/>
              </w:rPr>
            </w:pPr>
          </w:p>
          <w:p w:rsidR="00AF4BD2" w:rsidRPr="00EF295C" w:rsidRDefault="004B0D2A" w:rsidP="004B0D2A">
            <w:pPr>
              <w:pStyle w:val="SCCShortJudgment"/>
              <w:ind w:firstLine="0"/>
              <w:rPr>
                <w:szCs w:val="20"/>
              </w:rPr>
            </w:pPr>
            <w:r w:rsidRPr="00EF295C">
              <w:rPr>
                <w:szCs w:val="20"/>
              </w:rPr>
              <w:t>State Farm and Aviva did not agree on the matter of indemnification and took the matter to arbitration. The Arbitrator determined the motor vehicle insured by Aviva was 100% at fault for the accident. Aviva appealed the Arbitrator’s award. The application judge set aside the award and declared that the motorcycle driver was 50 percent at fault for the accident. The Court of Appeal set aside the order of the application judge and restored the Arbitrator’s award.</w:t>
            </w:r>
          </w:p>
          <w:p w:rsidR="004B0D2A" w:rsidRPr="00EF295C" w:rsidRDefault="004B0D2A" w:rsidP="004B0D2A">
            <w:pPr>
              <w:pStyle w:val="SCCShortJudgment"/>
              <w:ind w:firstLine="0"/>
              <w:rPr>
                <w:rFonts w:cs="Times New Roman"/>
                <w:szCs w:val="20"/>
              </w:rPr>
            </w:pPr>
          </w:p>
        </w:tc>
      </w:tr>
      <w:tr w:rsidR="00AF4BD2" w:rsidRPr="00EF295C" w:rsidTr="00665CAF">
        <w:trPr>
          <w:cantSplit/>
        </w:trPr>
        <w:tc>
          <w:tcPr>
            <w:tcW w:w="4410" w:type="dxa"/>
            <w:gridSpan w:val="2"/>
          </w:tcPr>
          <w:p w:rsidR="004B0D2A" w:rsidRPr="00EF295C" w:rsidRDefault="004B0D2A" w:rsidP="004B0D2A">
            <w:pPr>
              <w:jc w:val="both"/>
              <w:rPr>
                <w:sz w:val="20"/>
                <w:szCs w:val="20"/>
              </w:rPr>
            </w:pPr>
            <w:r w:rsidRPr="00EF295C">
              <w:rPr>
                <w:sz w:val="20"/>
                <w:szCs w:val="20"/>
              </w:rPr>
              <w:t>February 14, 2014</w:t>
            </w:r>
          </w:p>
          <w:p w:rsidR="004B0D2A" w:rsidRPr="00EF295C" w:rsidRDefault="004B0D2A" w:rsidP="004B0D2A">
            <w:pPr>
              <w:jc w:val="both"/>
              <w:rPr>
                <w:sz w:val="20"/>
                <w:szCs w:val="20"/>
              </w:rPr>
            </w:pPr>
            <w:r w:rsidRPr="00EF295C">
              <w:rPr>
                <w:sz w:val="20"/>
                <w:szCs w:val="20"/>
              </w:rPr>
              <w:t>Arbitration</w:t>
            </w:r>
          </w:p>
          <w:p w:rsidR="004B0D2A" w:rsidRPr="00EF295C" w:rsidRDefault="004B0D2A" w:rsidP="004B0D2A">
            <w:pPr>
              <w:jc w:val="both"/>
              <w:rPr>
                <w:sz w:val="20"/>
                <w:szCs w:val="20"/>
              </w:rPr>
            </w:pPr>
            <w:r w:rsidRPr="00EF295C">
              <w:rPr>
                <w:sz w:val="20"/>
                <w:szCs w:val="20"/>
              </w:rPr>
              <w:t>(</w:t>
            </w:r>
            <w:proofErr w:type="spellStart"/>
            <w:r w:rsidRPr="00EF295C">
              <w:rPr>
                <w:sz w:val="20"/>
                <w:szCs w:val="20"/>
              </w:rPr>
              <w:t>Novick</w:t>
            </w:r>
            <w:proofErr w:type="spellEnd"/>
            <w:r w:rsidRPr="00EF295C">
              <w:rPr>
                <w:sz w:val="20"/>
                <w:szCs w:val="20"/>
              </w:rPr>
              <w:t>, S.L., Arbitrator)</w:t>
            </w:r>
          </w:p>
          <w:p w:rsidR="00AF4BD2" w:rsidRPr="00EF295C" w:rsidRDefault="00AF4BD2" w:rsidP="004B0D2A">
            <w:pPr>
              <w:jc w:val="both"/>
              <w:rPr>
                <w:rFonts w:cs="Times New Roman"/>
                <w:sz w:val="20"/>
                <w:szCs w:val="20"/>
              </w:rPr>
            </w:pPr>
          </w:p>
        </w:tc>
        <w:tc>
          <w:tcPr>
            <w:tcW w:w="630" w:type="dxa"/>
          </w:tcPr>
          <w:p w:rsidR="00AF4BD2" w:rsidRPr="00EF295C" w:rsidRDefault="00AF4BD2" w:rsidP="004B0D2A">
            <w:pPr>
              <w:pStyle w:val="SCCShortJudgment"/>
              <w:ind w:firstLine="0"/>
              <w:rPr>
                <w:rFonts w:cs="Times New Roman"/>
                <w:szCs w:val="20"/>
              </w:rPr>
            </w:pPr>
          </w:p>
        </w:tc>
        <w:tc>
          <w:tcPr>
            <w:tcW w:w="4536" w:type="dxa"/>
          </w:tcPr>
          <w:p w:rsidR="00AF4BD2" w:rsidRPr="00EF295C" w:rsidRDefault="004B0D2A" w:rsidP="004B0D2A">
            <w:pPr>
              <w:jc w:val="both"/>
              <w:rPr>
                <w:rFonts w:cs="Times New Roman"/>
                <w:sz w:val="20"/>
                <w:szCs w:val="20"/>
              </w:rPr>
            </w:pPr>
            <w:r w:rsidRPr="00EF295C">
              <w:rPr>
                <w:sz w:val="20"/>
                <w:szCs w:val="20"/>
              </w:rPr>
              <w:t>The Aviva insured is 100 percent at fault; Aviva ordered to reimburse State Farm for 100 percent of benefits paid.</w:t>
            </w:r>
          </w:p>
        </w:tc>
      </w:tr>
      <w:tr w:rsidR="00AF4BD2" w:rsidRPr="00EF295C" w:rsidTr="00665CAF">
        <w:trPr>
          <w:cantSplit/>
        </w:trPr>
        <w:tc>
          <w:tcPr>
            <w:tcW w:w="4410" w:type="dxa"/>
            <w:gridSpan w:val="2"/>
          </w:tcPr>
          <w:p w:rsidR="004B0D2A" w:rsidRPr="00EF295C" w:rsidRDefault="004B0D2A" w:rsidP="004B0D2A">
            <w:pPr>
              <w:jc w:val="both"/>
              <w:rPr>
                <w:sz w:val="20"/>
                <w:szCs w:val="20"/>
              </w:rPr>
            </w:pPr>
            <w:r w:rsidRPr="00EF295C">
              <w:rPr>
                <w:sz w:val="20"/>
                <w:szCs w:val="20"/>
              </w:rPr>
              <w:t>October 10, 2014</w:t>
            </w:r>
          </w:p>
          <w:p w:rsidR="004B0D2A" w:rsidRPr="00EF295C" w:rsidRDefault="004B0D2A" w:rsidP="004B0D2A">
            <w:pPr>
              <w:jc w:val="both"/>
              <w:rPr>
                <w:sz w:val="20"/>
                <w:szCs w:val="20"/>
              </w:rPr>
            </w:pPr>
            <w:r w:rsidRPr="00EF295C">
              <w:rPr>
                <w:sz w:val="20"/>
                <w:szCs w:val="20"/>
              </w:rPr>
              <w:t>Ontario Superior Court of Justice</w:t>
            </w:r>
          </w:p>
          <w:p w:rsidR="004B0D2A" w:rsidRPr="00EF295C" w:rsidRDefault="004B0D2A" w:rsidP="004B0D2A">
            <w:pPr>
              <w:jc w:val="both"/>
              <w:rPr>
                <w:sz w:val="20"/>
                <w:szCs w:val="20"/>
              </w:rPr>
            </w:pPr>
            <w:r w:rsidRPr="00EF295C">
              <w:rPr>
                <w:sz w:val="20"/>
                <w:szCs w:val="20"/>
              </w:rPr>
              <w:t>(Spence J.)</w:t>
            </w:r>
          </w:p>
          <w:p w:rsidR="00AF4BD2" w:rsidRPr="00EF295C" w:rsidRDefault="00AF4BD2" w:rsidP="004B0D2A">
            <w:pPr>
              <w:jc w:val="both"/>
              <w:rPr>
                <w:rFonts w:cs="Times New Roman"/>
                <w:sz w:val="20"/>
                <w:szCs w:val="20"/>
              </w:rPr>
            </w:pPr>
          </w:p>
        </w:tc>
        <w:tc>
          <w:tcPr>
            <w:tcW w:w="630" w:type="dxa"/>
          </w:tcPr>
          <w:p w:rsidR="00AF4BD2" w:rsidRPr="00EF295C" w:rsidRDefault="00AF4BD2" w:rsidP="004B0D2A">
            <w:pPr>
              <w:pStyle w:val="SCCShortJudgment"/>
              <w:ind w:firstLine="0"/>
              <w:rPr>
                <w:rFonts w:cs="Times New Roman"/>
                <w:szCs w:val="20"/>
              </w:rPr>
            </w:pPr>
          </w:p>
        </w:tc>
        <w:tc>
          <w:tcPr>
            <w:tcW w:w="4536" w:type="dxa"/>
          </w:tcPr>
          <w:p w:rsidR="004B0D2A" w:rsidRPr="00EF295C" w:rsidRDefault="004B0D2A" w:rsidP="004B0D2A">
            <w:pPr>
              <w:jc w:val="both"/>
              <w:rPr>
                <w:sz w:val="20"/>
                <w:szCs w:val="20"/>
              </w:rPr>
            </w:pPr>
            <w:r w:rsidRPr="00EF295C">
              <w:rPr>
                <w:sz w:val="20"/>
                <w:szCs w:val="20"/>
              </w:rPr>
              <w:t xml:space="preserve">Appeal of Arbitrator’s order allowed; Arbitrator’s award set aside and State Farm insured found contributory negligent for accident to the extent of 50 percent. </w:t>
            </w:r>
          </w:p>
          <w:p w:rsidR="00AF4BD2" w:rsidRPr="00EF295C" w:rsidRDefault="00AF4BD2" w:rsidP="004B0D2A">
            <w:pPr>
              <w:jc w:val="both"/>
              <w:rPr>
                <w:rFonts w:cs="Times New Roman"/>
                <w:sz w:val="20"/>
                <w:szCs w:val="20"/>
              </w:rPr>
            </w:pPr>
          </w:p>
        </w:tc>
      </w:tr>
      <w:tr w:rsidR="00AF4BD2" w:rsidRPr="00EF295C" w:rsidTr="00665CAF">
        <w:trPr>
          <w:cantSplit/>
        </w:trPr>
        <w:tc>
          <w:tcPr>
            <w:tcW w:w="4410" w:type="dxa"/>
            <w:gridSpan w:val="2"/>
          </w:tcPr>
          <w:p w:rsidR="004B0D2A" w:rsidRPr="00EF295C" w:rsidRDefault="004B0D2A" w:rsidP="004B0D2A">
            <w:pPr>
              <w:jc w:val="both"/>
              <w:rPr>
                <w:sz w:val="20"/>
                <w:szCs w:val="20"/>
              </w:rPr>
            </w:pPr>
            <w:r w:rsidRPr="00EF295C">
              <w:rPr>
                <w:sz w:val="20"/>
                <w:szCs w:val="20"/>
              </w:rPr>
              <w:lastRenderedPageBreak/>
              <w:t>December 24, 2015</w:t>
            </w:r>
          </w:p>
          <w:p w:rsidR="004B0D2A" w:rsidRPr="00EF295C" w:rsidRDefault="004B0D2A" w:rsidP="004B0D2A">
            <w:pPr>
              <w:jc w:val="both"/>
              <w:rPr>
                <w:sz w:val="20"/>
                <w:szCs w:val="20"/>
              </w:rPr>
            </w:pPr>
            <w:r w:rsidRPr="00EF295C">
              <w:rPr>
                <w:sz w:val="20"/>
                <w:szCs w:val="20"/>
              </w:rPr>
              <w:t>Court of Appeal for Ontario</w:t>
            </w:r>
          </w:p>
          <w:p w:rsidR="004B0D2A" w:rsidRPr="00EF295C" w:rsidRDefault="004B0D2A" w:rsidP="004B0D2A">
            <w:pPr>
              <w:jc w:val="both"/>
              <w:rPr>
                <w:sz w:val="20"/>
                <w:szCs w:val="20"/>
                <w:lang w:val="en-US"/>
              </w:rPr>
            </w:pPr>
            <w:r w:rsidRPr="00EF295C">
              <w:rPr>
                <w:sz w:val="20"/>
                <w:szCs w:val="20"/>
                <w:lang w:val="en-US"/>
              </w:rPr>
              <w:t>(</w:t>
            </w:r>
            <w:proofErr w:type="spellStart"/>
            <w:r w:rsidRPr="00EF295C">
              <w:rPr>
                <w:sz w:val="20"/>
                <w:szCs w:val="20"/>
                <w:lang w:val="en-US"/>
              </w:rPr>
              <w:t>Gillese</w:t>
            </w:r>
            <w:proofErr w:type="spellEnd"/>
            <w:r w:rsidRPr="00EF295C">
              <w:rPr>
                <w:sz w:val="20"/>
                <w:szCs w:val="20"/>
                <w:lang w:val="en-US"/>
              </w:rPr>
              <w:t>, Epstein and Roberts JJ.A.)</w:t>
            </w:r>
          </w:p>
          <w:p w:rsidR="004B0D2A" w:rsidRPr="00EF295C" w:rsidRDefault="002E5FCE" w:rsidP="004B0D2A">
            <w:pPr>
              <w:jc w:val="both"/>
              <w:rPr>
                <w:rStyle w:val="Hyperlink"/>
                <w:sz w:val="20"/>
                <w:szCs w:val="20"/>
              </w:rPr>
            </w:pPr>
            <w:hyperlink r:id="rId24" w:history="1">
              <w:r w:rsidR="004B0D2A" w:rsidRPr="00EF295C">
                <w:rPr>
                  <w:rStyle w:val="Hyperlink"/>
                  <w:sz w:val="20"/>
                  <w:szCs w:val="20"/>
                </w:rPr>
                <w:t>2015 ONCA 920</w:t>
              </w:r>
            </w:hyperlink>
          </w:p>
          <w:p w:rsidR="004B0D2A" w:rsidRPr="00EF295C" w:rsidRDefault="004B0D2A" w:rsidP="004B0D2A">
            <w:pPr>
              <w:jc w:val="both"/>
              <w:rPr>
                <w:rStyle w:val="Hyperlink"/>
                <w:sz w:val="20"/>
                <w:szCs w:val="20"/>
                <w:lang w:val="en-US"/>
              </w:rPr>
            </w:pPr>
            <w:r w:rsidRPr="00EF295C">
              <w:rPr>
                <w:sz w:val="20"/>
                <w:szCs w:val="20"/>
                <w:lang w:val="en-US"/>
              </w:rPr>
              <w:t>File No.: C60035</w:t>
            </w:r>
          </w:p>
          <w:p w:rsidR="00AF4BD2" w:rsidRPr="00EF295C" w:rsidRDefault="00AF4BD2" w:rsidP="004B0D2A">
            <w:pPr>
              <w:jc w:val="both"/>
              <w:rPr>
                <w:rFonts w:cs="Times New Roman"/>
                <w:sz w:val="20"/>
                <w:szCs w:val="20"/>
              </w:rPr>
            </w:pPr>
          </w:p>
        </w:tc>
        <w:tc>
          <w:tcPr>
            <w:tcW w:w="630" w:type="dxa"/>
          </w:tcPr>
          <w:p w:rsidR="00AF4BD2" w:rsidRPr="00EF295C" w:rsidRDefault="00AF4BD2" w:rsidP="004B0D2A">
            <w:pPr>
              <w:pStyle w:val="SCCShortJudgment"/>
              <w:ind w:firstLine="0"/>
              <w:rPr>
                <w:rFonts w:cs="Times New Roman"/>
                <w:szCs w:val="20"/>
              </w:rPr>
            </w:pPr>
          </w:p>
        </w:tc>
        <w:tc>
          <w:tcPr>
            <w:tcW w:w="4536" w:type="dxa"/>
          </w:tcPr>
          <w:p w:rsidR="004B0D2A" w:rsidRPr="00EF295C" w:rsidRDefault="004B0D2A" w:rsidP="004B0D2A">
            <w:pPr>
              <w:jc w:val="both"/>
              <w:rPr>
                <w:sz w:val="20"/>
                <w:szCs w:val="20"/>
              </w:rPr>
            </w:pPr>
            <w:r w:rsidRPr="00EF295C">
              <w:rPr>
                <w:sz w:val="20"/>
                <w:szCs w:val="20"/>
              </w:rPr>
              <w:t>State Farm’s appeal allowed, order of Spence J. set aside and Arbitrator’s award restored.</w:t>
            </w:r>
          </w:p>
          <w:p w:rsidR="00AF4BD2" w:rsidRPr="00EF295C" w:rsidRDefault="00AF4BD2" w:rsidP="004B0D2A">
            <w:pPr>
              <w:jc w:val="both"/>
              <w:rPr>
                <w:rFonts w:cs="Times New Roman"/>
                <w:sz w:val="20"/>
                <w:szCs w:val="20"/>
              </w:rPr>
            </w:pPr>
          </w:p>
        </w:tc>
      </w:tr>
      <w:tr w:rsidR="00AF4BD2" w:rsidRPr="00EF295C" w:rsidTr="00665CAF">
        <w:trPr>
          <w:cantSplit/>
        </w:trPr>
        <w:tc>
          <w:tcPr>
            <w:tcW w:w="4410" w:type="dxa"/>
            <w:gridSpan w:val="2"/>
          </w:tcPr>
          <w:p w:rsidR="004B0D2A" w:rsidRPr="00EF295C" w:rsidRDefault="004B0D2A" w:rsidP="004B0D2A">
            <w:pPr>
              <w:jc w:val="both"/>
              <w:rPr>
                <w:sz w:val="20"/>
                <w:szCs w:val="20"/>
              </w:rPr>
            </w:pPr>
            <w:r w:rsidRPr="00EF295C">
              <w:rPr>
                <w:sz w:val="20"/>
                <w:szCs w:val="20"/>
              </w:rPr>
              <w:t>February 22, 2016</w:t>
            </w:r>
          </w:p>
          <w:p w:rsidR="00AF4BD2" w:rsidRPr="00EF295C" w:rsidRDefault="004B0D2A" w:rsidP="004B0D2A">
            <w:pPr>
              <w:jc w:val="both"/>
              <w:rPr>
                <w:rFonts w:cs="Times New Roman"/>
                <w:sz w:val="20"/>
                <w:szCs w:val="20"/>
              </w:rPr>
            </w:pPr>
            <w:r w:rsidRPr="00EF295C">
              <w:rPr>
                <w:sz w:val="20"/>
                <w:szCs w:val="20"/>
              </w:rPr>
              <w:t>Supreme Court of Canada</w:t>
            </w:r>
          </w:p>
        </w:tc>
        <w:tc>
          <w:tcPr>
            <w:tcW w:w="630" w:type="dxa"/>
          </w:tcPr>
          <w:p w:rsidR="00AF4BD2" w:rsidRPr="00EF295C" w:rsidRDefault="00AF4BD2" w:rsidP="004B0D2A">
            <w:pPr>
              <w:jc w:val="both"/>
              <w:rPr>
                <w:rFonts w:cs="Times New Roman"/>
                <w:sz w:val="20"/>
                <w:szCs w:val="20"/>
              </w:rPr>
            </w:pPr>
          </w:p>
        </w:tc>
        <w:tc>
          <w:tcPr>
            <w:tcW w:w="4536" w:type="dxa"/>
          </w:tcPr>
          <w:p w:rsidR="004B0D2A" w:rsidRPr="00EF295C" w:rsidRDefault="004B0D2A" w:rsidP="004B0D2A">
            <w:pPr>
              <w:jc w:val="both"/>
              <w:rPr>
                <w:sz w:val="20"/>
                <w:szCs w:val="20"/>
              </w:rPr>
            </w:pPr>
            <w:r w:rsidRPr="00EF295C">
              <w:rPr>
                <w:sz w:val="20"/>
                <w:szCs w:val="20"/>
              </w:rPr>
              <w:t>Application for leave to appeal filed.</w:t>
            </w:r>
          </w:p>
          <w:p w:rsidR="00AF4BD2" w:rsidRPr="00EF295C" w:rsidRDefault="00AF4BD2" w:rsidP="004B0D2A">
            <w:pPr>
              <w:jc w:val="both"/>
              <w:rPr>
                <w:rFonts w:cs="Times New Roman"/>
                <w:sz w:val="20"/>
                <w:szCs w:val="20"/>
              </w:rPr>
            </w:pP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46"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4B0D2A" w:rsidP="00665CAF">
            <w:pPr>
              <w:pStyle w:val="SCCShortJudgment"/>
              <w:ind w:firstLine="0"/>
              <w:rPr>
                <w:rFonts w:eastAsia="Times New Roman" w:cs="Times New Roman"/>
                <w:szCs w:val="20"/>
                <w:lang w:val="fr-CA" w:eastAsia="en-CA"/>
              </w:rPr>
            </w:pPr>
            <w:r w:rsidRPr="00EF295C">
              <w:rPr>
                <w:rFonts w:eastAsia="Times New Roman" w:cs="Times New Roman"/>
                <w:szCs w:val="20"/>
                <w:lang w:val="fr-CA" w:eastAsia="en-CA"/>
              </w:rPr>
              <w:t xml:space="preserve">Assurances </w:t>
            </w:r>
            <w:r w:rsidRPr="00EF295C">
              <w:rPr>
                <w:szCs w:val="20"/>
                <w:lang w:val="fr-CA"/>
              </w:rPr>
              <w:t>—</w:t>
            </w:r>
            <w:r w:rsidRPr="00EF295C">
              <w:rPr>
                <w:rFonts w:eastAsia="Times New Roman" w:cs="Times New Roman"/>
                <w:szCs w:val="20"/>
                <w:lang w:val="fr-CA" w:eastAsia="en-CA"/>
              </w:rPr>
              <w:t xml:space="preserve"> Assurance automobile </w:t>
            </w:r>
            <w:r w:rsidRPr="00EF295C">
              <w:rPr>
                <w:szCs w:val="20"/>
                <w:lang w:val="fr-CA"/>
              </w:rPr>
              <w:t xml:space="preserve">— </w:t>
            </w:r>
            <w:r w:rsidRPr="00EF295C">
              <w:rPr>
                <w:rFonts w:eastAsia="Times New Roman" w:cs="Times New Roman"/>
                <w:szCs w:val="20"/>
                <w:lang w:val="fr-CA" w:eastAsia="en-CA"/>
              </w:rPr>
              <w:t xml:space="preserve">Accident de la route impliquant une motocyclette et un véhicule à moteur </w:t>
            </w:r>
            <w:r w:rsidRPr="00EF295C">
              <w:rPr>
                <w:szCs w:val="20"/>
                <w:lang w:val="fr-CA"/>
              </w:rPr>
              <w:t xml:space="preserve">— </w:t>
            </w:r>
            <w:r w:rsidRPr="00EF295C">
              <w:rPr>
                <w:rFonts w:eastAsia="Times New Roman" w:cs="Times New Roman"/>
                <w:szCs w:val="20"/>
                <w:lang w:val="fr-CA" w:eastAsia="en-CA"/>
              </w:rPr>
              <w:t xml:space="preserve">Versement d’indemnités au conducteur de la motocyclette par l’assureur contesté par les compagnies d’assurance </w:t>
            </w:r>
            <w:r w:rsidRPr="00EF295C">
              <w:rPr>
                <w:szCs w:val="20"/>
                <w:lang w:val="fr-CA"/>
              </w:rPr>
              <w:t xml:space="preserve">— </w:t>
            </w:r>
            <w:r w:rsidRPr="00EF295C">
              <w:rPr>
                <w:rFonts w:eastAsia="Times New Roman" w:cs="Times New Roman"/>
                <w:szCs w:val="20"/>
                <w:lang w:val="fr-CA" w:eastAsia="en-CA"/>
              </w:rPr>
              <w:t xml:space="preserve">Conclusion de l’arbitre selon laquelle l’assuré d’Aviva était responsable à 100 p. 100 conformément aux </w:t>
            </w:r>
            <w:proofErr w:type="spellStart"/>
            <w:r w:rsidRPr="00EF295C">
              <w:rPr>
                <w:rFonts w:eastAsia="Times New Roman" w:cs="Times New Roman"/>
                <w:i/>
                <w:szCs w:val="20"/>
                <w:lang w:val="fr-CA" w:eastAsia="en-CA"/>
              </w:rPr>
              <w:t>Fault</w:t>
            </w:r>
            <w:proofErr w:type="spellEnd"/>
            <w:r w:rsidRPr="00EF295C">
              <w:rPr>
                <w:rFonts w:eastAsia="Times New Roman" w:cs="Times New Roman"/>
                <w:i/>
                <w:szCs w:val="20"/>
                <w:lang w:val="fr-CA" w:eastAsia="en-CA"/>
              </w:rPr>
              <w:t xml:space="preserve"> </w:t>
            </w:r>
            <w:proofErr w:type="spellStart"/>
            <w:r w:rsidRPr="00EF295C">
              <w:rPr>
                <w:rFonts w:eastAsia="Times New Roman" w:cs="Times New Roman"/>
                <w:i/>
                <w:szCs w:val="20"/>
                <w:lang w:val="fr-CA" w:eastAsia="en-CA"/>
              </w:rPr>
              <w:t>Determination</w:t>
            </w:r>
            <w:proofErr w:type="spellEnd"/>
            <w:r w:rsidRPr="00EF295C">
              <w:rPr>
                <w:rFonts w:eastAsia="Times New Roman" w:cs="Times New Roman"/>
                <w:i/>
                <w:szCs w:val="20"/>
                <w:lang w:val="fr-CA" w:eastAsia="en-CA"/>
              </w:rPr>
              <w:t xml:space="preserve"> </w:t>
            </w:r>
            <w:proofErr w:type="spellStart"/>
            <w:r w:rsidRPr="00EF295C">
              <w:rPr>
                <w:rFonts w:eastAsia="Times New Roman" w:cs="Times New Roman"/>
                <w:i/>
                <w:szCs w:val="20"/>
                <w:lang w:val="fr-CA" w:eastAsia="en-CA"/>
              </w:rPr>
              <w:t>Rules</w:t>
            </w:r>
            <w:proofErr w:type="spellEnd"/>
            <w:r w:rsidRPr="00EF295C">
              <w:rPr>
                <w:rFonts w:eastAsia="Times New Roman" w:cs="Times New Roman"/>
                <w:szCs w:val="20"/>
                <w:lang w:val="fr-CA" w:eastAsia="en-CA"/>
              </w:rPr>
              <w:t xml:space="preserve"> </w:t>
            </w:r>
            <w:r w:rsidRPr="00EF295C">
              <w:rPr>
                <w:szCs w:val="20"/>
                <w:lang w:val="fr-CA"/>
              </w:rPr>
              <w:t xml:space="preserve">— </w:t>
            </w:r>
            <w:r w:rsidRPr="00EF295C">
              <w:rPr>
                <w:rFonts w:eastAsia="Times New Roman" w:cs="Times New Roman"/>
                <w:szCs w:val="20"/>
                <w:lang w:val="fr-CA" w:eastAsia="en-CA"/>
              </w:rPr>
              <w:t xml:space="preserve">Conclusion du juge des demandes selon laquelle la responsabilité était partagée à 50 p. 100 </w:t>
            </w:r>
            <w:r w:rsidRPr="00EF295C">
              <w:rPr>
                <w:szCs w:val="20"/>
                <w:lang w:val="fr-CA"/>
              </w:rPr>
              <w:t xml:space="preserve">— </w:t>
            </w:r>
            <w:r w:rsidRPr="00EF295C">
              <w:rPr>
                <w:rFonts w:eastAsia="Times New Roman" w:cs="Times New Roman"/>
                <w:szCs w:val="20"/>
                <w:lang w:val="fr-CA" w:eastAsia="en-CA"/>
              </w:rPr>
              <w:t xml:space="preserve">Ordonnance rendue par le juge des demandes infirmée par la Cour d’appel et sentence et motifs de l’arbitre rétablis </w:t>
            </w:r>
            <w:r w:rsidRPr="00EF295C">
              <w:rPr>
                <w:szCs w:val="20"/>
                <w:lang w:val="fr-CA"/>
              </w:rPr>
              <w:t xml:space="preserve">— Dans les cas de transfert de la perte, où le degré de conduite fautive doit être déterminé, aux termes des </w:t>
            </w:r>
            <w:proofErr w:type="spellStart"/>
            <w:r w:rsidRPr="00EF295C">
              <w:rPr>
                <w:i/>
                <w:szCs w:val="20"/>
                <w:lang w:val="fr-CA"/>
              </w:rPr>
              <w:t>Fault</w:t>
            </w:r>
            <w:proofErr w:type="spellEnd"/>
            <w:r w:rsidRPr="00EF295C">
              <w:rPr>
                <w:i/>
                <w:szCs w:val="20"/>
                <w:lang w:val="fr-CA"/>
              </w:rPr>
              <w:t xml:space="preserve"> </w:t>
            </w:r>
            <w:proofErr w:type="spellStart"/>
            <w:r w:rsidRPr="00EF295C">
              <w:rPr>
                <w:i/>
                <w:szCs w:val="20"/>
                <w:lang w:val="fr-CA"/>
              </w:rPr>
              <w:t>Determination</w:t>
            </w:r>
            <w:proofErr w:type="spellEnd"/>
            <w:r w:rsidRPr="00EF295C">
              <w:rPr>
                <w:i/>
                <w:szCs w:val="20"/>
                <w:lang w:val="fr-CA"/>
              </w:rPr>
              <w:t xml:space="preserve"> </w:t>
            </w:r>
            <w:proofErr w:type="spellStart"/>
            <w:r w:rsidRPr="00EF295C">
              <w:rPr>
                <w:i/>
                <w:szCs w:val="20"/>
                <w:lang w:val="fr-CA"/>
              </w:rPr>
              <w:t>Rules</w:t>
            </w:r>
            <w:proofErr w:type="spellEnd"/>
            <w:r w:rsidRPr="00EF295C">
              <w:rPr>
                <w:szCs w:val="20"/>
                <w:lang w:val="fr-CA"/>
              </w:rPr>
              <w:t xml:space="preserve">, conformément aux règles de droit ordinaire, doit-on faire fi de toute considération issue du droit des délits et de la négligence? — </w:t>
            </w:r>
            <w:proofErr w:type="spellStart"/>
            <w:r w:rsidRPr="00EF295C">
              <w:rPr>
                <w:rFonts w:eastAsia="Times New Roman" w:cs="Times New Roman"/>
                <w:i/>
                <w:szCs w:val="20"/>
                <w:lang w:val="fr-CA" w:eastAsia="en-CA"/>
              </w:rPr>
              <w:t>Fault</w:t>
            </w:r>
            <w:proofErr w:type="spellEnd"/>
            <w:r w:rsidRPr="00EF295C">
              <w:rPr>
                <w:rFonts w:eastAsia="Times New Roman" w:cs="Times New Roman"/>
                <w:i/>
                <w:szCs w:val="20"/>
                <w:lang w:val="fr-CA" w:eastAsia="en-CA"/>
              </w:rPr>
              <w:t xml:space="preserve"> </w:t>
            </w:r>
            <w:proofErr w:type="spellStart"/>
            <w:r w:rsidRPr="00EF295C">
              <w:rPr>
                <w:rFonts w:eastAsia="Times New Roman" w:cs="Times New Roman"/>
                <w:i/>
                <w:szCs w:val="20"/>
                <w:lang w:val="fr-CA" w:eastAsia="en-CA"/>
              </w:rPr>
              <w:t>Determination</w:t>
            </w:r>
            <w:proofErr w:type="spellEnd"/>
            <w:r w:rsidRPr="00EF295C">
              <w:rPr>
                <w:rFonts w:eastAsia="Times New Roman" w:cs="Times New Roman"/>
                <w:i/>
                <w:szCs w:val="20"/>
                <w:lang w:val="fr-CA" w:eastAsia="en-CA"/>
              </w:rPr>
              <w:t xml:space="preserve"> </w:t>
            </w:r>
            <w:proofErr w:type="spellStart"/>
            <w:r w:rsidRPr="00EF295C">
              <w:rPr>
                <w:rFonts w:eastAsia="Times New Roman" w:cs="Times New Roman"/>
                <w:i/>
                <w:szCs w:val="20"/>
                <w:lang w:val="fr-CA" w:eastAsia="en-CA"/>
              </w:rPr>
              <w:t>Rules</w:t>
            </w:r>
            <w:proofErr w:type="spellEnd"/>
            <w:r w:rsidRPr="00EF295C">
              <w:rPr>
                <w:rFonts w:eastAsia="Times New Roman" w:cs="Times New Roman"/>
                <w:szCs w:val="20"/>
                <w:lang w:val="fr-CA" w:eastAsia="en-CA"/>
              </w:rPr>
              <w:t>, R.R.O. 1990, Reg. 668.</w:t>
            </w:r>
          </w:p>
          <w:p w:rsidR="004B0D2A" w:rsidRPr="00EF295C" w:rsidRDefault="004B0D2A"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4B0D2A" w:rsidRPr="00EF295C" w:rsidRDefault="004B0D2A" w:rsidP="004B0D2A">
            <w:pPr>
              <w:jc w:val="both"/>
              <w:rPr>
                <w:sz w:val="20"/>
                <w:szCs w:val="20"/>
                <w:lang w:val="fr-CA"/>
              </w:rPr>
            </w:pPr>
            <w:r w:rsidRPr="00EF295C">
              <w:rPr>
                <w:sz w:val="20"/>
                <w:szCs w:val="20"/>
                <w:lang w:val="fr-CA"/>
              </w:rPr>
              <w:t xml:space="preserve">Un accident entre une voiture et une motocyclette est survenu à une intersection. Les deux véhicules ne sont pas entrés en collision. Le virage à gauche effectué par la voiture a provoqué l’embardée de la motocyclette, qui s’est soldée par la chute du conducteur et des blessures. Le conducteur de la motocyclette a réclamé à son assureur, State </w:t>
            </w:r>
            <w:proofErr w:type="spellStart"/>
            <w:r w:rsidRPr="00EF295C">
              <w:rPr>
                <w:sz w:val="20"/>
                <w:szCs w:val="20"/>
                <w:lang w:val="fr-CA"/>
              </w:rPr>
              <w:t>Farm</w:t>
            </w:r>
            <w:proofErr w:type="spellEnd"/>
            <w:r w:rsidRPr="00EF295C">
              <w:rPr>
                <w:sz w:val="20"/>
                <w:szCs w:val="20"/>
                <w:lang w:val="fr-CA"/>
              </w:rPr>
              <w:t xml:space="preserve"> </w:t>
            </w:r>
            <w:proofErr w:type="spellStart"/>
            <w:r w:rsidRPr="00EF295C">
              <w:rPr>
                <w:sz w:val="20"/>
                <w:szCs w:val="20"/>
                <w:lang w:val="fr-CA"/>
              </w:rPr>
              <w:t>Mutual</w:t>
            </w:r>
            <w:proofErr w:type="spellEnd"/>
            <w:r w:rsidRPr="00EF295C">
              <w:rPr>
                <w:sz w:val="20"/>
                <w:szCs w:val="20"/>
                <w:lang w:val="fr-CA"/>
              </w:rPr>
              <w:t xml:space="preserve"> Automobile </w:t>
            </w:r>
            <w:proofErr w:type="spellStart"/>
            <w:r w:rsidRPr="00EF295C">
              <w:rPr>
                <w:sz w:val="20"/>
                <w:szCs w:val="20"/>
                <w:lang w:val="fr-CA"/>
              </w:rPr>
              <w:t>Insurance</w:t>
            </w:r>
            <w:proofErr w:type="spellEnd"/>
            <w:r w:rsidRPr="00EF295C">
              <w:rPr>
                <w:sz w:val="20"/>
                <w:szCs w:val="20"/>
                <w:lang w:val="fr-CA"/>
              </w:rPr>
              <w:t xml:space="preserve"> </w:t>
            </w:r>
            <w:proofErr w:type="spellStart"/>
            <w:r w:rsidRPr="00EF295C">
              <w:rPr>
                <w:sz w:val="20"/>
                <w:szCs w:val="20"/>
                <w:lang w:val="fr-CA"/>
              </w:rPr>
              <w:t>Company</w:t>
            </w:r>
            <w:proofErr w:type="spellEnd"/>
            <w:r w:rsidRPr="00EF295C">
              <w:rPr>
                <w:sz w:val="20"/>
                <w:szCs w:val="20"/>
                <w:lang w:val="fr-CA"/>
              </w:rPr>
              <w:t xml:space="preserve"> (« State </w:t>
            </w:r>
            <w:proofErr w:type="spellStart"/>
            <w:r w:rsidRPr="00EF295C">
              <w:rPr>
                <w:sz w:val="20"/>
                <w:szCs w:val="20"/>
                <w:lang w:val="fr-CA"/>
              </w:rPr>
              <w:t>Farm</w:t>
            </w:r>
            <w:proofErr w:type="spellEnd"/>
            <w:r w:rsidRPr="00EF295C">
              <w:rPr>
                <w:sz w:val="20"/>
                <w:szCs w:val="20"/>
                <w:lang w:val="fr-CA"/>
              </w:rPr>
              <w:t xml:space="preserve"> »), l’intimée en l’espèce, des indemnités pour l’accident qu’il avait subi. State </w:t>
            </w:r>
            <w:proofErr w:type="spellStart"/>
            <w:r w:rsidRPr="00EF295C">
              <w:rPr>
                <w:sz w:val="20"/>
                <w:szCs w:val="20"/>
                <w:lang w:val="fr-CA"/>
              </w:rPr>
              <w:t>Farm</w:t>
            </w:r>
            <w:proofErr w:type="spellEnd"/>
            <w:r w:rsidRPr="00EF295C">
              <w:rPr>
                <w:sz w:val="20"/>
                <w:szCs w:val="20"/>
                <w:lang w:val="fr-CA"/>
              </w:rPr>
              <w:t xml:space="preserve"> a versé les indemnités et a demandé à l’appelante, Aviva Canada Inc. (« Aviva »), l’assureur du véhicule à moteur, de la dédommager. La question en litige est celle de savoir à qui il faut imputer l’accident. La réponse dépend de l’interprétation que l’on donne aux </w:t>
            </w:r>
            <w:proofErr w:type="spellStart"/>
            <w:r w:rsidRPr="00EF295C">
              <w:rPr>
                <w:i/>
                <w:sz w:val="20"/>
                <w:szCs w:val="20"/>
                <w:lang w:val="fr-CA"/>
              </w:rPr>
              <w:t>Fault</w:t>
            </w:r>
            <w:proofErr w:type="spellEnd"/>
            <w:r w:rsidRPr="00EF295C">
              <w:rPr>
                <w:i/>
                <w:sz w:val="20"/>
                <w:szCs w:val="20"/>
                <w:lang w:val="fr-CA"/>
              </w:rPr>
              <w:t xml:space="preserve"> </w:t>
            </w:r>
            <w:proofErr w:type="spellStart"/>
            <w:r w:rsidRPr="00EF295C">
              <w:rPr>
                <w:i/>
                <w:sz w:val="20"/>
                <w:szCs w:val="20"/>
                <w:lang w:val="fr-CA"/>
              </w:rPr>
              <w:t>Determination</w:t>
            </w:r>
            <w:proofErr w:type="spellEnd"/>
            <w:r w:rsidRPr="00EF295C">
              <w:rPr>
                <w:i/>
                <w:sz w:val="20"/>
                <w:szCs w:val="20"/>
                <w:lang w:val="fr-CA"/>
              </w:rPr>
              <w:t xml:space="preserve"> </w:t>
            </w:r>
            <w:proofErr w:type="spellStart"/>
            <w:r w:rsidRPr="00EF295C">
              <w:rPr>
                <w:i/>
                <w:sz w:val="20"/>
                <w:szCs w:val="20"/>
                <w:lang w:val="fr-CA"/>
              </w:rPr>
              <w:t>Rules</w:t>
            </w:r>
            <w:proofErr w:type="spellEnd"/>
            <w:r w:rsidRPr="00EF295C">
              <w:rPr>
                <w:sz w:val="20"/>
                <w:szCs w:val="20"/>
                <w:lang w:val="fr-CA"/>
              </w:rPr>
              <w:t>, R.R.O. 1990, Reg. 668 (« FDR »). La Règle 5(1) est ainsi libellée :</w:t>
            </w:r>
          </w:p>
          <w:p w:rsidR="004B0D2A" w:rsidRPr="00EF295C" w:rsidRDefault="004B0D2A" w:rsidP="004B0D2A">
            <w:pPr>
              <w:jc w:val="both"/>
              <w:rPr>
                <w:sz w:val="20"/>
                <w:szCs w:val="20"/>
                <w:lang w:val="fr-CA"/>
              </w:rPr>
            </w:pPr>
          </w:p>
          <w:p w:rsidR="004B0D2A" w:rsidRPr="00EF295C" w:rsidRDefault="004B0D2A" w:rsidP="004B0D2A">
            <w:pPr>
              <w:ind w:left="720"/>
              <w:jc w:val="both"/>
              <w:rPr>
                <w:sz w:val="20"/>
                <w:szCs w:val="20"/>
                <w:lang w:val="fr-CA"/>
              </w:rPr>
            </w:pPr>
            <w:r w:rsidRPr="00EF295C">
              <w:rPr>
                <w:sz w:val="20"/>
                <w:szCs w:val="20"/>
                <w:lang w:val="fr-CA"/>
              </w:rPr>
              <w:t>[</w:t>
            </w:r>
            <w:r w:rsidRPr="00EF295C">
              <w:rPr>
                <w:smallCaps/>
                <w:sz w:val="20"/>
                <w:szCs w:val="20"/>
                <w:lang w:val="fr-CA"/>
              </w:rPr>
              <w:t>traduction</w:t>
            </w:r>
            <w:r w:rsidRPr="00EF295C">
              <w:rPr>
                <w:sz w:val="20"/>
                <w:szCs w:val="20"/>
                <w:lang w:val="fr-CA"/>
              </w:rPr>
              <w:t xml:space="preserve">] Si un incident n’est pas décrit dans les règles qui précèdent, le degré de la faute à imputer à l’assuré est déterminé </w:t>
            </w:r>
            <w:r w:rsidRPr="00EF295C">
              <w:rPr>
                <w:sz w:val="20"/>
                <w:szCs w:val="20"/>
                <w:u w:val="single"/>
                <w:lang w:val="fr-CA"/>
              </w:rPr>
              <w:t>conformément aux règles de droit ordinaire</w:t>
            </w:r>
            <w:r w:rsidRPr="00EF295C">
              <w:rPr>
                <w:sz w:val="20"/>
                <w:szCs w:val="20"/>
                <w:lang w:val="fr-CA"/>
              </w:rPr>
              <w:t xml:space="preserve">. [soulignement ajouté] </w:t>
            </w:r>
          </w:p>
          <w:p w:rsidR="004B0D2A" w:rsidRPr="00EF295C" w:rsidRDefault="004B0D2A" w:rsidP="004B0D2A">
            <w:pPr>
              <w:jc w:val="both"/>
              <w:rPr>
                <w:sz w:val="20"/>
                <w:szCs w:val="20"/>
                <w:lang w:val="fr-CA"/>
              </w:rPr>
            </w:pPr>
          </w:p>
          <w:p w:rsidR="00AF4BD2" w:rsidRPr="00EF295C" w:rsidRDefault="004B0D2A" w:rsidP="004B0D2A">
            <w:pPr>
              <w:jc w:val="both"/>
              <w:rPr>
                <w:sz w:val="20"/>
                <w:szCs w:val="20"/>
                <w:lang w:val="fr-CA"/>
              </w:rPr>
            </w:pPr>
            <w:r w:rsidRPr="00EF295C">
              <w:rPr>
                <w:sz w:val="20"/>
                <w:szCs w:val="20"/>
                <w:lang w:val="fr-CA"/>
              </w:rPr>
              <w:t xml:space="preserve">State </w:t>
            </w:r>
            <w:proofErr w:type="spellStart"/>
            <w:r w:rsidRPr="00EF295C">
              <w:rPr>
                <w:sz w:val="20"/>
                <w:szCs w:val="20"/>
                <w:lang w:val="fr-CA"/>
              </w:rPr>
              <w:t>Farm</w:t>
            </w:r>
            <w:proofErr w:type="spellEnd"/>
            <w:r w:rsidRPr="00EF295C">
              <w:rPr>
                <w:sz w:val="20"/>
                <w:szCs w:val="20"/>
                <w:lang w:val="fr-CA"/>
              </w:rPr>
              <w:t xml:space="preserve"> et Aviva n’étaient pas d’accord au sujet du dédommagement et ont soumis la question à l’arbitrage. L’arbitre a conclu que le conducteur du véhicule à moteur assuré par Aviva était responsable à 100 p. 100 de l’accident. Aviva a interjeté appel de la sentence arbitrale. Le juge des demandes a annulé la sentence de l’arbitre et déclaré le conducteur de la motocyclette responsable à 50 p. 100 de l’accident. La Cour d’appel a annulé l’ordonnance rendue par le juge des demandes et rétabli la sentence de l’arbitre.</w:t>
            </w:r>
          </w:p>
          <w:p w:rsidR="004B0D2A" w:rsidRPr="00EF295C" w:rsidRDefault="004B0D2A" w:rsidP="004B0D2A">
            <w:pPr>
              <w:jc w:val="both"/>
              <w:rPr>
                <w:rFonts w:cs="Times New Roman"/>
                <w:sz w:val="20"/>
                <w:szCs w:val="20"/>
                <w:u w:val="single"/>
                <w:lang w:val="fr-CA"/>
              </w:rPr>
            </w:pPr>
          </w:p>
        </w:tc>
      </w:tr>
      <w:tr w:rsidR="00AF4BD2" w:rsidRPr="002E5FCE" w:rsidTr="00665CAF">
        <w:trPr>
          <w:cantSplit/>
        </w:trPr>
        <w:tc>
          <w:tcPr>
            <w:tcW w:w="4410" w:type="dxa"/>
            <w:gridSpan w:val="2"/>
          </w:tcPr>
          <w:p w:rsidR="004B0D2A" w:rsidRPr="00EF295C" w:rsidRDefault="004B0D2A" w:rsidP="004B0D2A">
            <w:pPr>
              <w:rPr>
                <w:sz w:val="20"/>
                <w:szCs w:val="20"/>
                <w:lang w:val="fr-CA"/>
              </w:rPr>
            </w:pPr>
            <w:r w:rsidRPr="00EF295C">
              <w:rPr>
                <w:sz w:val="20"/>
                <w:szCs w:val="20"/>
                <w:lang w:val="fr-CA"/>
              </w:rPr>
              <w:t>Le 14 février 2014</w:t>
            </w:r>
          </w:p>
          <w:p w:rsidR="004B0D2A" w:rsidRPr="00EF295C" w:rsidRDefault="004B0D2A" w:rsidP="004B0D2A">
            <w:pPr>
              <w:rPr>
                <w:sz w:val="20"/>
                <w:szCs w:val="20"/>
                <w:lang w:val="fr-CA"/>
              </w:rPr>
            </w:pPr>
            <w:r w:rsidRPr="00EF295C">
              <w:rPr>
                <w:sz w:val="20"/>
                <w:szCs w:val="20"/>
                <w:lang w:val="fr-CA"/>
              </w:rPr>
              <w:t>Arbitrage</w:t>
            </w:r>
          </w:p>
          <w:p w:rsidR="004B0D2A" w:rsidRPr="00EF295C" w:rsidRDefault="004B0D2A" w:rsidP="004B0D2A">
            <w:pPr>
              <w:rPr>
                <w:sz w:val="20"/>
                <w:szCs w:val="20"/>
                <w:lang w:val="fr-CA"/>
              </w:rPr>
            </w:pPr>
            <w:r w:rsidRPr="00EF295C">
              <w:rPr>
                <w:sz w:val="20"/>
                <w:szCs w:val="20"/>
                <w:lang w:val="fr-CA"/>
              </w:rPr>
              <w:t xml:space="preserve">(arbitre </w:t>
            </w:r>
            <w:proofErr w:type="spellStart"/>
            <w:r w:rsidRPr="00EF295C">
              <w:rPr>
                <w:sz w:val="20"/>
                <w:szCs w:val="20"/>
                <w:lang w:val="fr-CA"/>
              </w:rPr>
              <w:t>Novick</w:t>
            </w:r>
            <w:proofErr w:type="spellEnd"/>
            <w:r w:rsidRPr="00EF295C">
              <w:rPr>
                <w:sz w:val="20"/>
                <w:szCs w:val="20"/>
                <w:lang w:val="fr-CA"/>
              </w:rPr>
              <w:t>, S.L.)</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AF4BD2" w:rsidRPr="00EF295C" w:rsidRDefault="004B0D2A" w:rsidP="004B0D2A">
            <w:pPr>
              <w:pStyle w:val="SCCShortJudgment"/>
              <w:ind w:firstLine="0"/>
              <w:rPr>
                <w:rFonts w:cs="Times New Roman"/>
                <w:szCs w:val="20"/>
                <w:u w:val="single"/>
                <w:lang w:val="fr-CA"/>
              </w:rPr>
            </w:pPr>
            <w:r w:rsidRPr="00EF295C">
              <w:rPr>
                <w:szCs w:val="20"/>
                <w:lang w:val="fr-CA"/>
              </w:rPr>
              <w:t xml:space="preserve">L’assuré d’Aviva est responsable à 100 p. 100 de l’accident; il est ordonné à Aviva de rembourser à State </w:t>
            </w:r>
            <w:proofErr w:type="spellStart"/>
            <w:r w:rsidRPr="00EF295C">
              <w:rPr>
                <w:szCs w:val="20"/>
                <w:lang w:val="fr-CA"/>
              </w:rPr>
              <w:t>Farm</w:t>
            </w:r>
            <w:proofErr w:type="spellEnd"/>
            <w:r w:rsidRPr="00EF295C">
              <w:rPr>
                <w:szCs w:val="20"/>
                <w:lang w:val="fr-CA"/>
              </w:rPr>
              <w:t xml:space="preserve"> 100 p. 100 des indemnités versées</w:t>
            </w:r>
          </w:p>
        </w:tc>
      </w:tr>
      <w:tr w:rsidR="00AF4BD2" w:rsidRPr="002E5FCE" w:rsidTr="00665CAF">
        <w:trPr>
          <w:cantSplit/>
        </w:trPr>
        <w:tc>
          <w:tcPr>
            <w:tcW w:w="4410" w:type="dxa"/>
            <w:gridSpan w:val="2"/>
          </w:tcPr>
          <w:p w:rsidR="004B0D2A" w:rsidRPr="00EF295C" w:rsidRDefault="004B0D2A" w:rsidP="004B0D2A">
            <w:pPr>
              <w:rPr>
                <w:sz w:val="20"/>
                <w:szCs w:val="20"/>
                <w:lang w:val="fr-CA"/>
              </w:rPr>
            </w:pPr>
            <w:r w:rsidRPr="00EF295C">
              <w:rPr>
                <w:sz w:val="20"/>
                <w:szCs w:val="20"/>
                <w:lang w:val="fr-CA"/>
              </w:rPr>
              <w:t>Le 10 octobre 2014</w:t>
            </w:r>
          </w:p>
          <w:p w:rsidR="004B0D2A" w:rsidRPr="00EF295C" w:rsidRDefault="004B0D2A" w:rsidP="004B0D2A">
            <w:pPr>
              <w:rPr>
                <w:sz w:val="20"/>
                <w:szCs w:val="20"/>
                <w:lang w:val="fr-CA"/>
              </w:rPr>
            </w:pPr>
            <w:r w:rsidRPr="00EF295C">
              <w:rPr>
                <w:sz w:val="20"/>
                <w:szCs w:val="20"/>
                <w:lang w:val="fr-CA"/>
              </w:rPr>
              <w:t xml:space="preserve">Cour supérieure de justice de l’Ontario </w:t>
            </w:r>
          </w:p>
          <w:p w:rsidR="004B0D2A" w:rsidRPr="00EF295C" w:rsidRDefault="004B0D2A" w:rsidP="004B0D2A">
            <w:pPr>
              <w:rPr>
                <w:sz w:val="20"/>
                <w:szCs w:val="20"/>
                <w:lang w:val="fr-CA"/>
              </w:rPr>
            </w:pPr>
            <w:r w:rsidRPr="00EF295C">
              <w:rPr>
                <w:sz w:val="20"/>
                <w:szCs w:val="20"/>
                <w:lang w:val="fr-CA"/>
              </w:rPr>
              <w:t xml:space="preserve">(juge </w:t>
            </w:r>
            <w:proofErr w:type="spellStart"/>
            <w:r w:rsidRPr="00EF295C">
              <w:rPr>
                <w:sz w:val="20"/>
                <w:szCs w:val="20"/>
                <w:lang w:val="fr-CA"/>
              </w:rPr>
              <w:t>Spence</w:t>
            </w:r>
            <w:proofErr w:type="spellEnd"/>
            <w:r w:rsidRPr="00EF295C">
              <w:rPr>
                <w:sz w:val="20"/>
                <w:szCs w:val="20"/>
                <w:lang w:val="fr-CA"/>
              </w:rPr>
              <w:t>)</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4B0D2A" w:rsidRPr="00EF295C" w:rsidRDefault="004B0D2A" w:rsidP="004B0D2A">
            <w:pPr>
              <w:jc w:val="both"/>
              <w:rPr>
                <w:sz w:val="20"/>
                <w:szCs w:val="20"/>
                <w:lang w:val="fr-CA"/>
              </w:rPr>
            </w:pPr>
            <w:r w:rsidRPr="00EF295C">
              <w:rPr>
                <w:sz w:val="20"/>
                <w:szCs w:val="20"/>
                <w:lang w:val="fr-CA"/>
              </w:rPr>
              <w:t xml:space="preserve">Accueil de l’appel interjeté contre la sentence arbitrale; annulation de la sentence arbitrale et assuré de State </w:t>
            </w:r>
            <w:proofErr w:type="spellStart"/>
            <w:r w:rsidRPr="00EF295C">
              <w:rPr>
                <w:sz w:val="20"/>
                <w:szCs w:val="20"/>
                <w:lang w:val="fr-CA"/>
              </w:rPr>
              <w:t>Farm</w:t>
            </w:r>
            <w:proofErr w:type="spellEnd"/>
            <w:r w:rsidRPr="00EF295C">
              <w:rPr>
                <w:sz w:val="20"/>
                <w:szCs w:val="20"/>
                <w:lang w:val="fr-CA"/>
              </w:rPr>
              <w:t xml:space="preserve"> déclaré négligent dans l’accident et responsable à 50 p. 100 de ce dernier. </w:t>
            </w:r>
          </w:p>
          <w:p w:rsidR="00AF4BD2" w:rsidRPr="00EF295C" w:rsidRDefault="00AF4BD2" w:rsidP="004B0D2A">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4B0D2A" w:rsidRPr="00EF295C" w:rsidRDefault="004B0D2A" w:rsidP="004B0D2A">
            <w:pPr>
              <w:rPr>
                <w:sz w:val="20"/>
                <w:szCs w:val="20"/>
                <w:lang w:val="fr-CA"/>
              </w:rPr>
            </w:pPr>
            <w:r w:rsidRPr="00EF295C">
              <w:rPr>
                <w:sz w:val="20"/>
                <w:szCs w:val="20"/>
                <w:lang w:val="fr-CA"/>
              </w:rPr>
              <w:lastRenderedPageBreak/>
              <w:t>Le 24 décembre 2015</w:t>
            </w:r>
          </w:p>
          <w:p w:rsidR="004B0D2A" w:rsidRPr="00EF295C" w:rsidRDefault="004B0D2A" w:rsidP="004B0D2A">
            <w:pPr>
              <w:rPr>
                <w:sz w:val="20"/>
                <w:szCs w:val="20"/>
                <w:lang w:val="fr-CA"/>
              </w:rPr>
            </w:pPr>
            <w:r w:rsidRPr="00EF295C">
              <w:rPr>
                <w:sz w:val="20"/>
                <w:szCs w:val="20"/>
                <w:lang w:val="fr-CA"/>
              </w:rPr>
              <w:t>Cour d’appel de l’Ontario</w:t>
            </w:r>
          </w:p>
          <w:p w:rsidR="004B0D2A" w:rsidRPr="00EF295C" w:rsidRDefault="004B0D2A" w:rsidP="004B0D2A">
            <w:pPr>
              <w:rPr>
                <w:sz w:val="20"/>
                <w:szCs w:val="20"/>
                <w:lang w:val="fr-CA"/>
              </w:rPr>
            </w:pPr>
            <w:r w:rsidRPr="00EF295C">
              <w:rPr>
                <w:sz w:val="20"/>
                <w:szCs w:val="20"/>
                <w:lang w:val="fr-CA"/>
              </w:rPr>
              <w:t xml:space="preserve">(Juges </w:t>
            </w:r>
            <w:proofErr w:type="spellStart"/>
            <w:r w:rsidRPr="00EF295C">
              <w:rPr>
                <w:sz w:val="20"/>
                <w:szCs w:val="20"/>
                <w:lang w:val="fr-CA"/>
              </w:rPr>
              <w:t>Gillese</w:t>
            </w:r>
            <w:proofErr w:type="spellEnd"/>
            <w:r w:rsidRPr="00EF295C">
              <w:rPr>
                <w:sz w:val="20"/>
                <w:szCs w:val="20"/>
                <w:lang w:val="fr-CA"/>
              </w:rPr>
              <w:t>, Epstein et Roberts)</w:t>
            </w:r>
          </w:p>
          <w:p w:rsidR="004B0D2A" w:rsidRPr="00EF295C" w:rsidRDefault="002E5FCE" w:rsidP="004B0D2A">
            <w:pPr>
              <w:rPr>
                <w:rStyle w:val="Hyperlink"/>
                <w:sz w:val="20"/>
                <w:szCs w:val="20"/>
                <w:lang w:val="en-US"/>
              </w:rPr>
            </w:pPr>
            <w:hyperlink r:id="rId25" w:history="1">
              <w:r w:rsidR="004B0D2A" w:rsidRPr="00EF295C">
                <w:rPr>
                  <w:rStyle w:val="Hyperlink"/>
                  <w:sz w:val="20"/>
                  <w:szCs w:val="20"/>
                  <w:lang w:val="en-US"/>
                </w:rPr>
                <w:t>2015 ONCA 920</w:t>
              </w:r>
            </w:hyperlink>
          </w:p>
          <w:p w:rsidR="004B0D2A" w:rsidRPr="00EF295C" w:rsidRDefault="004B0D2A" w:rsidP="004B0D2A">
            <w:pPr>
              <w:rPr>
                <w:rStyle w:val="Hyperlink"/>
                <w:sz w:val="20"/>
                <w:szCs w:val="20"/>
                <w:lang w:val="en-US"/>
              </w:rPr>
            </w:pPr>
            <w:r w:rsidRPr="00EF295C">
              <w:rPr>
                <w:sz w:val="20"/>
                <w:szCs w:val="20"/>
                <w:lang w:val="en-US"/>
              </w:rPr>
              <w:t>N</w:t>
            </w:r>
            <w:r w:rsidRPr="00EF295C">
              <w:rPr>
                <w:sz w:val="20"/>
                <w:szCs w:val="20"/>
                <w:vertAlign w:val="superscript"/>
                <w:lang w:val="en-US"/>
              </w:rPr>
              <w:t>o</w:t>
            </w:r>
            <w:r w:rsidRPr="00EF295C">
              <w:rPr>
                <w:sz w:val="20"/>
                <w:szCs w:val="20"/>
                <w:lang w:val="en-US"/>
              </w:rPr>
              <w:t xml:space="preserve"> de greffe : C60035</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4B0D2A" w:rsidRPr="00EF295C" w:rsidRDefault="004B0D2A" w:rsidP="004B0D2A">
            <w:pPr>
              <w:jc w:val="both"/>
              <w:rPr>
                <w:sz w:val="20"/>
                <w:szCs w:val="20"/>
                <w:lang w:val="fr-CA"/>
              </w:rPr>
            </w:pPr>
            <w:r w:rsidRPr="00EF295C">
              <w:rPr>
                <w:sz w:val="20"/>
                <w:szCs w:val="20"/>
                <w:lang w:val="fr-CA"/>
              </w:rPr>
              <w:t xml:space="preserve">Accueil de l’appel interjeté par State </w:t>
            </w:r>
            <w:proofErr w:type="spellStart"/>
            <w:r w:rsidRPr="00EF295C">
              <w:rPr>
                <w:sz w:val="20"/>
                <w:szCs w:val="20"/>
                <w:lang w:val="fr-CA"/>
              </w:rPr>
              <w:t>Farm</w:t>
            </w:r>
            <w:proofErr w:type="spellEnd"/>
            <w:r w:rsidRPr="00EF295C">
              <w:rPr>
                <w:sz w:val="20"/>
                <w:szCs w:val="20"/>
                <w:lang w:val="fr-CA"/>
              </w:rPr>
              <w:t xml:space="preserve">, annulation de l’ordonnance du juge </w:t>
            </w:r>
            <w:proofErr w:type="spellStart"/>
            <w:r w:rsidRPr="00EF295C">
              <w:rPr>
                <w:sz w:val="20"/>
                <w:szCs w:val="20"/>
                <w:lang w:val="fr-CA"/>
              </w:rPr>
              <w:t>Spence</w:t>
            </w:r>
            <w:proofErr w:type="spellEnd"/>
            <w:r w:rsidRPr="00EF295C">
              <w:rPr>
                <w:sz w:val="20"/>
                <w:szCs w:val="20"/>
                <w:lang w:val="fr-CA"/>
              </w:rPr>
              <w:t xml:space="preserve"> et rétablissement de la sentence de l’arbitre.</w:t>
            </w:r>
          </w:p>
          <w:p w:rsidR="00AF4BD2" w:rsidRPr="00EF295C" w:rsidRDefault="00AF4BD2" w:rsidP="004B0D2A">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4B0D2A" w:rsidRPr="00EF295C" w:rsidRDefault="004B0D2A" w:rsidP="004B0D2A">
            <w:pPr>
              <w:rPr>
                <w:sz w:val="20"/>
                <w:szCs w:val="20"/>
                <w:lang w:val="fr-CA"/>
              </w:rPr>
            </w:pPr>
            <w:r w:rsidRPr="00EF295C">
              <w:rPr>
                <w:sz w:val="20"/>
                <w:szCs w:val="20"/>
                <w:lang w:val="fr-CA"/>
              </w:rPr>
              <w:t>Le 22 février 2016</w:t>
            </w:r>
          </w:p>
          <w:p w:rsidR="00AF4BD2" w:rsidRPr="00EF295C" w:rsidRDefault="004B0D2A" w:rsidP="004B0D2A">
            <w:pPr>
              <w:pStyle w:val="SCCShortJudgment"/>
              <w:ind w:firstLine="0"/>
              <w:rPr>
                <w:rFonts w:cs="Times New Roman"/>
                <w:szCs w:val="20"/>
                <w:u w:val="single"/>
                <w:lang w:val="fr-CA"/>
              </w:rPr>
            </w:pPr>
            <w:r w:rsidRPr="00EF295C">
              <w:rPr>
                <w:szCs w:val="20"/>
                <w:lang w:val="fr-CA"/>
              </w:rPr>
              <w:t>Cour suprême du Canada</w:t>
            </w: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4B0D2A" w:rsidRPr="00EF295C" w:rsidRDefault="004B0D2A" w:rsidP="004B0D2A">
            <w:pPr>
              <w:jc w:val="both"/>
              <w:rPr>
                <w:sz w:val="20"/>
                <w:szCs w:val="20"/>
                <w:lang w:val="fr-CA"/>
              </w:rPr>
            </w:pPr>
            <w:r w:rsidRPr="00EF295C">
              <w:rPr>
                <w:sz w:val="20"/>
                <w:szCs w:val="20"/>
                <w:lang w:val="fr-CA"/>
              </w:rPr>
              <w:t>Dépôt de la demande d’autorisation d’appel.</w:t>
            </w:r>
          </w:p>
          <w:p w:rsidR="00AF4BD2" w:rsidRPr="00EF295C" w:rsidRDefault="00AF4BD2" w:rsidP="004B0D2A">
            <w:pPr>
              <w:pStyle w:val="SCCShortJudgment"/>
              <w:ind w:firstLine="0"/>
              <w:rPr>
                <w:rFonts w:cs="Times New Roman"/>
                <w:szCs w:val="20"/>
                <w:u w:val="single"/>
                <w:lang w:val="fr-CA"/>
              </w:rPr>
            </w:pPr>
          </w:p>
        </w:tc>
      </w:tr>
    </w:tbl>
    <w:p w:rsidR="000E2959" w:rsidRPr="00EF295C" w:rsidRDefault="002E5FCE" w:rsidP="000E2959">
      <w:pPr>
        <w:rPr>
          <w:sz w:val="20"/>
          <w:szCs w:val="20"/>
          <w:lang w:val="fr-CA"/>
        </w:rPr>
      </w:pPr>
      <w:r>
        <w:rPr>
          <w:rFonts w:cs="Times New Roman"/>
          <w:szCs w:val="20"/>
          <w:lang w:val="fr-CA"/>
        </w:rPr>
        <w:pict>
          <v:rect id="_x0000_i1047" style="width:2in;height:1pt" o:hrpct="0" o:hralign="center" o:hrstd="t" o:hrnoshade="t" o:hr="t" fillcolor="black [3213]" stroked="f"/>
        </w:pict>
      </w:r>
    </w:p>
    <w:p w:rsidR="00CE52FF" w:rsidRPr="00EF295C" w:rsidRDefault="00CE52FF"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36913</w:t>
            </w:r>
          </w:p>
          <w:p w:rsidR="00AF4BD2" w:rsidRPr="00EF295C" w:rsidRDefault="00AF4BD2" w:rsidP="00665CAF">
            <w:pPr>
              <w:jc w:val="both"/>
              <w:rPr>
                <w:rFonts w:cs="Times New Roman"/>
                <w:b/>
                <w:sz w:val="20"/>
                <w:szCs w:val="20"/>
              </w:rPr>
            </w:pPr>
          </w:p>
        </w:tc>
        <w:tc>
          <w:tcPr>
            <w:tcW w:w="8118" w:type="dxa"/>
            <w:gridSpan w:val="3"/>
          </w:tcPr>
          <w:p w:rsidR="00AF4BD2" w:rsidRPr="00EF295C" w:rsidRDefault="00E13CE6" w:rsidP="00665CAF">
            <w:pPr>
              <w:jc w:val="both"/>
              <w:rPr>
                <w:rFonts w:cs="Times New Roman"/>
                <w:sz w:val="20"/>
                <w:szCs w:val="20"/>
              </w:rPr>
            </w:pPr>
            <w:r w:rsidRPr="00EF295C">
              <w:rPr>
                <w:b/>
                <w:sz w:val="20"/>
                <w:szCs w:val="20"/>
                <w:u w:val="single"/>
              </w:rPr>
              <w:t>P.M. v. Children’s Aid Society of Toronto</w:t>
            </w:r>
            <w:r w:rsidRPr="00EF295C">
              <w:rPr>
                <w:rFonts w:cs="Times New Roman"/>
                <w:sz w:val="20"/>
                <w:szCs w:val="20"/>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AF4BD2">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E13CE6" w:rsidRPr="00EF295C">
              <w:rPr>
                <w:szCs w:val="20"/>
              </w:rPr>
              <w:t xml:space="preserve">The motion for a stay of execution is dismissed. </w:t>
            </w:r>
            <w:r w:rsidR="00E13CE6" w:rsidRPr="00EF295C">
              <w:rPr>
                <w:rFonts w:eastAsiaTheme="minorEastAsia" w:cs="Times New Roman"/>
                <w:szCs w:val="20"/>
                <w:lang w:val="en-US" w:eastAsia="en-CA"/>
              </w:rPr>
              <w:t xml:space="preserve">The motion to adduce fresh evidence is dismissed. </w:t>
            </w:r>
            <w:r w:rsidR="00E13CE6" w:rsidRPr="00EF295C">
              <w:rPr>
                <w:szCs w:val="20"/>
              </w:rPr>
              <w:t>The application for leave to appeal from the judgment of the Court of Appeal for Ontario, Number C60392, 2015 ONCA 695, dated October 19, 2015, is dismissed without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E13CE6" w:rsidRPr="00EF295C">
              <w:rPr>
                <w:szCs w:val="20"/>
                <w:lang w:val="fr-CA"/>
              </w:rPr>
              <w:t xml:space="preserve">La requête en sursis d’exécution est rejetée. </w:t>
            </w:r>
            <w:r w:rsidR="00E13CE6" w:rsidRPr="00EF295C">
              <w:rPr>
                <w:color w:val="222222"/>
                <w:szCs w:val="20"/>
                <w:lang w:val="fr-CA"/>
              </w:rPr>
              <w:t>La requête pour présenter une nouvelle preuve est rejetée.</w:t>
            </w:r>
            <w:r w:rsidR="00E13CE6" w:rsidRPr="00EF295C">
              <w:rPr>
                <w:szCs w:val="20"/>
                <w:lang w:val="fr-CA"/>
              </w:rPr>
              <w:t xml:space="preserve"> La demande d’autorisation d’appel de l’arrêt de la </w:t>
            </w:r>
            <w:r w:rsidR="00E13CE6" w:rsidRPr="00EF295C">
              <w:rPr>
                <w:szCs w:val="20"/>
                <w:lang w:val="fr-FR"/>
              </w:rPr>
              <w:t>Cour d’appel de l’Ontario</w:t>
            </w:r>
            <w:r w:rsidR="00E13CE6" w:rsidRPr="00EF295C">
              <w:rPr>
                <w:szCs w:val="20"/>
                <w:lang w:val="fr-CA"/>
              </w:rPr>
              <w:t xml:space="preserve">, numéro </w:t>
            </w:r>
            <w:r w:rsidR="00E13CE6" w:rsidRPr="00EF295C">
              <w:rPr>
                <w:szCs w:val="20"/>
                <w:lang w:val="fr-FR"/>
              </w:rPr>
              <w:t>C60392, 2015 ONCA 695</w:t>
            </w:r>
            <w:r w:rsidR="00E13CE6" w:rsidRPr="00EF295C">
              <w:rPr>
                <w:szCs w:val="20"/>
                <w:lang w:val="fr-CA"/>
              </w:rPr>
              <w:t xml:space="preserve">, daté du </w:t>
            </w:r>
            <w:r w:rsidR="00E13CE6" w:rsidRPr="00EF295C">
              <w:rPr>
                <w:szCs w:val="20"/>
                <w:lang w:val="fr-FR"/>
              </w:rPr>
              <w:t>19 octobre 2015, est rejetée sans dépens.</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6F2491" w:rsidRPr="00EF295C" w:rsidRDefault="006F2491" w:rsidP="006F2491">
            <w:pPr>
              <w:pStyle w:val="SCCBanSummary"/>
              <w:rPr>
                <w:sz w:val="20"/>
                <w:szCs w:val="20"/>
                <w:lang w:val="en-CA"/>
              </w:rPr>
            </w:pPr>
            <w:r w:rsidRPr="00EF295C">
              <w:rPr>
                <w:sz w:val="20"/>
                <w:szCs w:val="20"/>
                <w:lang w:val="en-CA"/>
              </w:rPr>
              <w:t>(Publication ban in case) (Publication ban on party) (Court file contains information that is not available for inspection by the public)</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9576" w:type="dxa"/>
            <w:gridSpan w:val="4"/>
          </w:tcPr>
          <w:p w:rsidR="00AF4BD2" w:rsidRPr="00EF295C" w:rsidRDefault="006F2491" w:rsidP="00665CAF">
            <w:pPr>
              <w:pStyle w:val="SCCShortJudgment"/>
              <w:ind w:firstLine="0"/>
              <w:rPr>
                <w:szCs w:val="20"/>
              </w:rPr>
            </w:pPr>
            <w:r w:rsidRPr="00EF295C">
              <w:rPr>
                <w:i/>
                <w:szCs w:val="20"/>
              </w:rPr>
              <w:t xml:space="preserve">Charter </w:t>
            </w:r>
            <w:r w:rsidRPr="00EF295C">
              <w:rPr>
                <w:szCs w:val="20"/>
              </w:rPr>
              <w:t xml:space="preserve">– Family law – Protective agencies and institutions – Children’s aid societies – Child in need of protection – Best interests of child – Permanent appointment or Crown </w:t>
            </w:r>
            <w:proofErr w:type="spellStart"/>
            <w:r w:rsidRPr="00EF295C">
              <w:rPr>
                <w:szCs w:val="20"/>
              </w:rPr>
              <w:t>wardship</w:t>
            </w:r>
            <w:proofErr w:type="spellEnd"/>
            <w:r w:rsidRPr="00EF295C">
              <w:rPr>
                <w:szCs w:val="20"/>
              </w:rPr>
              <w:t xml:space="preserve"> – Termination of parental rights – Mother gave birth while incarcerated – Father cared for child for her first five months, until his incarceration – Child resided with foster parent from age of five months onward – Trial judge later made child a Crown ward, for the purpose of adoption, without parental access – Father appeal – Whether importance of biological family and father’s relationship to child was adequately considered by trial judge – Whether trial judge erred in finding father did not meet either prong of two-part statutory test set out in </w:t>
            </w:r>
            <w:r w:rsidRPr="00EF295C">
              <w:rPr>
                <w:i/>
                <w:szCs w:val="20"/>
              </w:rPr>
              <w:t>Child and Family Services Act</w:t>
            </w:r>
            <w:r w:rsidRPr="00EF295C">
              <w:rPr>
                <w:szCs w:val="20"/>
              </w:rPr>
              <w:t>, R.S.O. 1990, c. C.11, in order to be granted access to the child – Whether unconstitutional to terminate parents’ access to child.</w:t>
            </w:r>
          </w:p>
          <w:p w:rsidR="006F2491" w:rsidRPr="00EF295C" w:rsidRDefault="006F2491" w:rsidP="00665CAF">
            <w:pPr>
              <w:pStyle w:val="SCCShortJudgment"/>
              <w:ind w:firstLine="0"/>
              <w:rPr>
                <w:rFonts w:cs="Times New Roman"/>
                <w:szCs w:val="20"/>
              </w:rPr>
            </w:pPr>
          </w:p>
        </w:tc>
      </w:tr>
      <w:tr w:rsidR="00AF4BD2" w:rsidRPr="00EF295C" w:rsidTr="00665CAF">
        <w:trPr>
          <w:cantSplit/>
        </w:trPr>
        <w:tc>
          <w:tcPr>
            <w:tcW w:w="9576" w:type="dxa"/>
            <w:gridSpan w:val="4"/>
          </w:tcPr>
          <w:p w:rsidR="006F2491" w:rsidRPr="00EF295C" w:rsidRDefault="006F2491" w:rsidP="006F2491">
            <w:pPr>
              <w:jc w:val="both"/>
              <w:rPr>
                <w:sz w:val="20"/>
                <w:szCs w:val="20"/>
              </w:rPr>
            </w:pPr>
            <w:r w:rsidRPr="00EF295C">
              <w:rPr>
                <w:sz w:val="20"/>
                <w:szCs w:val="20"/>
              </w:rPr>
              <w:t>The applicant’s daughter – born November 19, 2011 – is now almost five years old. She has been in the continuous care and custody of The Children’s Aid Society of Toronto since she was just under five months old, and has resided with her foster mother – and proposed adoptive parent – throughout that time. The finding that the applicant’s daughter was a child in need of protection was made on an uncontested basis on June 13, 2012, because both parents were incarcerated then. A status review was held when the child was two years old. On April 29, 2014, the trial judge made the child a Crown ward, for the purpose of adoption, without parental access. The applicant appealed that decision to the Superior Court of Justice. On March 31, 2015, the appeal judge dismissed the applicant’s first appeal and on October 19, 2015, the Court of Appeal dismissed his second. (See the mother’s related file, number 36997.)</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4410" w:type="dxa"/>
            <w:gridSpan w:val="2"/>
          </w:tcPr>
          <w:p w:rsidR="006F2491" w:rsidRPr="00EF295C" w:rsidRDefault="006F2491" w:rsidP="006F2491">
            <w:pPr>
              <w:rPr>
                <w:sz w:val="20"/>
                <w:szCs w:val="20"/>
              </w:rPr>
            </w:pPr>
            <w:r w:rsidRPr="00EF295C">
              <w:rPr>
                <w:sz w:val="20"/>
                <w:szCs w:val="20"/>
              </w:rPr>
              <w:t>April 29, 2014</w:t>
            </w:r>
          </w:p>
          <w:p w:rsidR="006F2491" w:rsidRPr="00EF295C" w:rsidRDefault="006F2491" w:rsidP="006F2491">
            <w:pPr>
              <w:rPr>
                <w:sz w:val="20"/>
                <w:szCs w:val="20"/>
              </w:rPr>
            </w:pPr>
            <w:r w:rsidRPr="00EF295C">
              <w:rPr>
                <w:sz w:val="20"/>
                <w:szCs w:val="20"/>
              </w:rPr>
              <w:t>Ontario Court of Justice</w:t>
            </w:r>
          </w:p>
          <w:p w:rsidR="006F2491" w:rsidRPr="00EF295C" w:rsidRDefault="006F2491" w:rsidP="006F2491">
            <w:pPr>
              <w:rPr>
                <w:sz w:val="20"/>
                <w:szCs w:val="20"/>
              </w:rPr>
            </w:pPr>
            <w:r w:rsidRPr="00EF295C">
              <w:rPr>
                <w:sz w:val="20"/>
                <w:szCs w:val="20"/>
              </w:rPr>
              <w:t>(McLeod J.)</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6F2491" w:rsidRPr="00EF295C" w:rsidRDefault="006F2491" w:rsidP="006F2491">
            <w:pPr>
              <w:jc w:val="both"/>
              <w:rPr>
                <w:sz w:val="20"/>
                <w:szCs w:val="20"/>
              </w:rPr>
            </w:pPr>
            <w:r w:rsidRPr="00EF295C">
              <w:rPr>
                <w:sz w:val="20"/>
                <w:szCs w:val="20"/>
              </w:rPr>
              <w:t xml:space="preserve">The applicant’s child was made a Crown ward, for the purpose of adoption, without parental access. </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6F2491" w:rsidRPr="00EF295C" w:rsidRDefault="006F2491" w:rsidP="006F2491">
            <w:pPr>
              <w:rPr>
                <w:sz w:val="20"/>
                <w:szCs w:val="20"/>
              </w:rPr>
            </w:pPr>
            <w:r w:rsidRPr="00EF295C">
              <w:rPr>
                <w:sz w:val="20"/>
                <w:szCs w:val="20"/>
              </w:rPr>
              <w:lastRenderedPageBreak/>
              <w:t>March 31, 2015</w:t>
            </w:r>
          </w:p>
          <w:p w:rsidR="006F2491" w:rsidRPr="00EF295C" w:rsidRDefault="006F2491" w:rsidP="006F2491">
            <w:pPr>
              <w:rPr>
                <w:sz w:val="20"/>
                <w:szCs w:val="20"/>
              </w:rPr>
            </w:pPr>
            <w:r w:rsidRPr="00EF295C">
              <w:rPr>
                <w:sz w:val="20"/>
                <w:szCs w:val="20"/>
              </w:rPr>
              <w:t>Superior Court of Justice</w:t>
            </w:r>
          </w:p>
          <w:p w:rsidR="006F2491" w:rsidRPr="00EF295C" w:rsidRDefault="006F2491" w:rsidP="006F2491">
            <w:pPr>
              <w:rPr>
                <w:sz w:val="20"/>
                <w:szCs w:val="20"/>
              </w:rPr>
            </w:pPr>
            <w:r w:rsidRPr="00EF295C">
              <w:rPr>
                <w:sz w:val="20"/>
                <w:szCs w:val="20"/>
              </w:rPr>
              <w:t>(Penny J.)</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6F2491" w:rsidRPr="00EF295C" w:rsidRDefault="006F2491" w:rsidP="006F2491">
            <w:pPr>
              <w:rPr>
                <w:sz w:val="20"/>
                <w:szCs w:val="20"/>
              </w:rPr>
            </w:pPr>
            <w:r w:rsidRPr="00EF295C">
              <w:rPr>
                <w:sz w:val="20"/>
                <w:szCs w:val="20"/>
              </w:rPr>
              <w:t>Appeal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6F2491" w:rsidRPr="00EF295C" w:rsidRDefault="006F2491" w:rsidP="006F2491">
            <w:pPr>
              <w:rPr>
                <w:sz w:val="20"/>
                <w:szCs w:val="20"/>
              </w:rPr>
            </w:pPr>
            <w:r w:rsidRPr="00EF295C">
              <w:rPr>
                <w:sz w:val="20"/>
                <w:szCs w:val="20"/>
              </w:rPr>
              <w:t>October 19, 2015</w:t>
            </w:r>
          </w:p>
          <w:p w:rsidR="006F2491" w:rsidRPr="00EF295C" w:rsidRDefault="006F2491" w:rsidP="006F2491">
            <w:pPr>
              <w:rPr>
                <w:sz w:val="20"/>
                <w:szCs w:val="20"/>
              </w:rPr>
            </w:pPr>
            <w:r w:rsidRPr="00EF295C">
              <w:rPr>
                <w:sz w:val="20"/>
                <w:szCs w:val="20"/>
              </w:rPr>
              <w:t>Court of Appeal for Ontario</w:t>
            </w:r>
          </w:p>
          <w:p w:rsidR="006F2491" w:rsidRPr="00EF295C" w:rsidRDefault="006F2491" w:rsidP="006F2491">
            <w:pPr>
              <w:rPr>
                <w:sz w:val="20"/>
                <w:szCs w:val="20"/>
              </w:rPr>
            </w:pPr>
            <w:r w:rsidRPr="00EF295C">
              <w:rPr>
                <w:sz w:val="20"/>
                <w:szCs w:val="20"/>
              </w:rPr>
              <w:t xml:space="preserve">(Hoy A.C.J.O., </w:t>
            </w:r>
            <w:proofErr w:type="spellStart"/>
            <w:r w:rsidRPr="00EF295C">
              <w:rPr>
                <w:sz w:val="20"/>
                <w:szCs w:val="20"/>
              </w:rPr>
              <w:t>Weiler</w:t>
            </w:r>
            <w:proofErr w:type="spellEnd"/>
            <w:r w:rsidRPr="00EF295C">
              <w:rPr>
                <w:sz w:val="20"/>
                <w:szCs w:val="20"/>
              </w:rPr>
              <w:t xml:space="preserve"> and </w:t>
            </w:r>
            <w:proofErr w:type="spellStart"/>
            <w:r w:rsidRPr="00EF295C">
              <w:rPr>
                <w:sz w:val="20"/>
                <w:szCs w:val="20"/>
              </w:rPr>
              <w:t>Pardu</w:t>
            </w:r>
            <w:proofErr w:type="spellEnd"/>
            <w:r w:rsidRPr="00EF295C">
              <w:rPr>
                <w:sz w:val="20"/>
                <w:szCs w:val="20"/>
              </w:rPr>
              <w:t xml:space="preserve"> JJ.A.)</w:t>
            </w:r>
          </w:p>
          <w:p w:rsidR="006F2491" w:rsidRPr="00EF295C" w:rsidRDefault="002E5FCE" w:rsidP="006F2491">
            <w:pPr>
              <w:rPr>
                <w:sz w:val="20"/>
                <w:szCs w:val="20"/>
              </w:rPr>
            </w:pPr>
            <w:hyperlink r:id="rId26" w:history="1">
              <w:r w:rsidR="006F2491" w:rsidRPr="00EF295C">
                <w:rPr>
                  <w:rStyle w:val="Hyperlink"/>
                  <w:sz w:val="20"/>
                  <w:szCs w:val="20"/>
                </w:rPr>
                <w:t>2015 ONCA 695</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6F2491" w:rsidRPr="00EF295C" w:rsidRDefault="006F2491" w:rsidP="006F2491">
            <w:pPr>
              <w:rPr>
                <w:sz w:val="20"/>
                <w:szCs w:val="20"/>
              </w:rPr>
            </w:pPr>
            <w:r w:rsidRPr="00EF295C">
              <w:rPr>
                <w:sz w:val="20"/>
                <w:szCs w:val="20"/>
              </w:rPr>
              <w:t>Appeal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6F2491" w:rsidRPr="00EF295C" w:rsidRDefault="006F2491" w:rsidP="006F2491">
            <w:pPr>
              <w:rPr>
                <w:sz w:val="20"/>
                <w:szCs w:val="20"/>
              </w:rPr>
            </w:pPr>
            <w:r w:rsidRPr="00EF295C">
              <w:rPr>
                <w:sz w:val="20"/>
                <w:szCs w:val="20"/>
              </w:rPr>
              <w:t>December 15, 2015</w:t>
            </w:r>
          </w:p>
          <w:p w:rsidR="006F2491" w:rsidRPr="00EF295C" w:rsidRDefault="006F2491" w:rsidP="006F2491">
            <w:pPr>
              <w:rPr>
                <w:sz w:val="20"/>
                <w:szCs w:val="20"/>
              </w:rPr>
            </w:pPr>
            <w:r w:rsidRPr="00EF295C">
              <w:rPr>
                <w:sz w:val="20"/>
                <w:szCs w:val="20"/>
              </w:rPr>
              <w:t>Supreme Court of Canada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jc w:val="both"/>
              <w:rPr>
                <w:rFonts w:cs="Times New Roman"/>
                <w:sz w:val="20"/>
                <w:szCs w:val="20"/>
              </w:rPr>
            </w:pPr>
          </w:p>
        </w:tc>
        <w:tc>
          <w:tcPr>
            <w:tcW w:w="4536" w:type="dxa"/>
          </w:tcPr>
          <w:p w:rsidR="006F2491" w:rsidRPr="00EF295C" w:rsidRDefault="006F2491" w:rsidP="006F2491">
            <w:pPr>
              <w:rPr>
                <w:sz w:val="20"/>
                <w:szCs w:val="20"/>
              </w:rPr>
            </w:pPr>
            <w:r w:rsidRPr="00EF295C">
              <w:rPr>
                <w:sz w:val="20"/>
                <w:szCs w:val="20"/>
              </w:rPr>
              <w:t>Application for leave to appeal filed.</w:t>
            </w:r>
          </w:p>
          <w:p w:rsidR="00AF4BD2" w:rsidRPr="00EF295C" w:rsidRDefault="00AF4BD2" w:rsidP="00665CAF">
            <w:pPr>
              <w:jc w:val="both"/>
              <w:rPr>
                <w:rFonts w:cs="Times New Roman"/>
                <w:sz w:val="20"/>
                <w:szCs w:val="20"/>
              </w:rPr>
            </w:pPr>
          </w:p>
        </w:tc>
      </w:tr>
      <w:tr w:rsidR="006F2491" w:rsidRPr="00EF295C" w:rsidTr="00665CAF">
        <w:trPr>
          <w:cantSplit/>
        </w:trPr>
        <w:tc>
          <w:tcPr>
            <w:tcW w:w="4410" w:type="dxa"/>
            <w:gridSpan w:val="2"/>
          </w:tcPr>
          <w:p w:rsidR="006F2491" w:rsidRPr="00EF295C" w:rsidRDefault="006F2491" w:rsidP="006F2491">
            <w:pPr>
              <w:rPr>
                <w:sz w:val="20"/>
                <w:szCs w:val="20"/>
              </w:rPr>
            </w:pPr>
            <w:r w:rsidRPr="00EF295C">
              <w:rPr>
                <w:sz w:val="20"/>
                <w:szCs w:val="20"/>
              </w:rPr>
              <w:t>August 8, 2016</w:t>
            </w:r>
          </w:p>
          <w:p w:rsidR="006F2491" w:rsidRPr="00EF295C" w:rsidRDefault="006F2491" w:rsidP="006F2491">
            <w:pPr>
              <w:jc w:val="both"/>
              <w:rPr>
                <w:rFonts w:cs="Times New Roman"/>
                <w:sz w:val="20"/>
                <w:szCs w:val="20"/>
              </w:rPr>
            </w:pPr>
            <w:r w:rsidRPr="00EF295C">
              <w:rPr>
                <w:sz w:val="20"/>
                <w:szCs w:val="20"/>
              </w:rPr>
              <w:t>Supreme Court of Canada</w:t>
            </w:r>
          </w:p>
        </w:tc>
        <w:tc>
          <w:tcPr>
            <w:tcW w:w="630" w:type="dxa"/>
          </w:tcPr>
          <w:p w:rsidR="006F2491" w:rsidRPr="00EF295C" w:rsidRDefault="006F2491" w:rsidP="00665CAF">
            <w:pPr>
              <w:jc w:val="both"/>
              <w:rPr>
                <w:rFonts w:cs="Times New Roman"/>
                <w:sz w:val="20"/>
                <w:szCs w:val="20"/>
              </w:rPr>
            </w:pPr>
          </w:p>
        </w:tc>
        <w:tc>
          <w:tcPr>
            <w:tcW w:w="4536" w:type="dxa"/>
          </w:tcPr>
          <w:p w:rsidR="006F2491" w:rsidRPr="00EF295C" w:rsidRDefault="006F2491" w:rsidP="00665CAF">
            <w:pPr>
              <w:jc w:val="both"/>
              <w:rPr>
                <w:rFonts w:cs="Times New Roman"/>
                <w:sz w:val="20"/>
                <w:szCs w:val="20"/>
              </w:rPr>
            </w:pPr>
            <w:r w:rsidRPr="00EF295C">
              <w:rPr>
                <w:sz w:val="20"/>
                <w:szCs w:val="20"/>
              </w:rPr>
              <w:t>Motion for leave to adduce fresh evidence and for both access and stay pending appeal filed.</w:t>
            </w: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6F2491" w:rsidRPr="00EF295C" w:rsidRDefault="006F2491" w:rsidP="006F2491">
            <w:pPr>
              <w:pStyle w:val="SCCBanSummary"/>
              <w:rPr>
                <w:sz w:val="20"/>
                <w:szCs w:val="20"/>
              </w:rPr>
            </w:pPr>
            <w:r w:rsidRPr="00EF295C">
              <w:rPr>
                <w:sz w:val="20"/>
                <w:szCs w:val="20"/>
              </w:rPr>
              <w:t>(Ordonnance de non-publication dans le dossier) (Ordonnance de non-publication visant une partie) (Le dossier de la Cour renferme des données que le public n’est pas autorisé à consulter)</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6F2491" w:rsidP="00665CAF">
            <w:pPr>
              <w:jc w:val="both"/>
              <w:rPr>
                <w:sz w:val="20"/>
                <w:szCs w:val="20"/>
                <w:lang w:val="fr-CA"/>
              </w:rPr>
            </w:pPr>
            <w:r w:rsidRPr="00EF295C">
              <w:rPr>
                <w:i/>
                <w:sz w:val="20"/>
                <w:szCs w:val="20"/>
                <w:lang w:val="fr-CA"/>
              </w:rPr>
              <w:t xml:space="preserve">Charte </w:t>
            </w:r>
            <w:r w:rsidRPr="00EF295C">
              <w:rPr>
                <w:sz w:val="20"/>
                <w:szCs w:val="20"/>
                <w:lang w:val="fr-CA"/>
              </w:rPr>
              <w:t xml:space="preserve">– Droit de la famille – Agences et institutions de protection – Sociétés d’aide à l’enfance – Enfant ayant besoin de protection – Intérêt véritable de l’enfant – Placement permanent ou tutelle par la Couronne – Révocation des droits parentaux – Enfant née en prison d’une mère incarcérée – Soins donnés à l'enfant par le père pendant les cinq premiers mois, jusqu’à son incarcération – Enfant confiée à un parent de famille d’accueil dès l’âge de cinq mois – Décision de première instance ordonnant la tutelle par la Couronne, en vue de l’adoption de l’enfant, et refusant aux parents les droits de visite – Appel interjeté par le père – La cour de première instance a-t-elle tenu suffisamment compte de l’importance de la famille biologique et des rapports du père avec l’enfant? – La cour de première instance a-t-elle conclu à tort que le père ne répondait pas aux deux volets du critère énoncé dans la </w:t>
            </w:r>
            <w:r w:rsidRPr="00EF295C">
              <w:rPr>
                <w:i/>
                <w:sz w:val="20"/>
                <w:szCs w:val="20"/>
                <w:lang w:val="fr-CA"/>
              </w:rPr>
              <w:t>Loi sur les services à l’enfance et à la famille</w:t>
            </w:r>
            <w:r w:rsidRPr="00EF295C">
              <w:rPr>
                <w:sz w:val="20"/>
                <w:szCs w:val="20"/>
                <w:lang w:val="fr-CA"/>
              </w:rPr>
              <w:t>, L.R.O. 1990, c. C.11, en ce qui a trait au droit de visite? – Est-il inconstitutionnel de révoquer le droit de visite des parents?</w:t>
            </w:r>
          </w:p>
          <w:p w:rsidR="006F2491" w:rsidRPr="00EF295C" w:rsidRDefault="006F2491" w:rsidP="00665CAF">
            <w:pPr>
              <w:jc w:val="both"/>
              <w:rPr>
                <w:rFonts w:cs="Times New Roman"/>
                <w:sz w:val="20"/>
                <w:szCs w:val="20"/>
                <w:u w:val="single"/>
                <w:lang w:val="fr-CA"/>
              </w:rPr>
            </w:pPr>
          </w:p>
        </w:tc>
      </w:tr>
      <w:tr w:rsidR="00AF4BD2" w:rsidRPr="002E5FCE" w:rsidTr="00665CAF">
        <w:trPr>
          <w:cantSplit/>
        </w:trPr>
        <w:tc>
          <w:tcPr>
            <w:tcW w:w="9576" w:type="dxa"/>
            <w:gridSpan w:val="4"/>
          </w:tcPr>
          <w:p w:rsidR="006F2491" w:rsidRPr="00EF295C" w:rsidRDefault="006F2491" w:rsidP="006F2491">
            <w:pPr>
              <w:jc w:val="both"/>
              <w:rPr>
                <w:sz w:val="20"/>
                <w:szCs w:val="20"/>
                <w:lang w:val="fr-CA"/>
              </w:rPr>
            </w:pPr>
            <w:r w:rsidRPr="00EF295C">
              <w:rPr>
                <w:sz w:val="20"/>
                <w:szCs w:val="20"/>
                <w:lang w:val="fr-CA"/>
              </w:rPr>
              <w:t>Née le 19 novembre 2011, la fille du demandeur a presque cinq ans. Elle a été confiée aux soins et à la garde de la Société de l’aide à l’enfance de Toronto quand elle avait à peine cinq mois. Elle habite avec sa mère de famille d’accueil – qui veut l’adopter – sans interruption depuis tout ce temps. Le tribunal a constaté que la fille du demandeur avait besoin de protection le 13 juin 2012, ce que personne n’a contesté, parce que ses deux parents étaient alors incarcérés. Une révision de son statut a été effectuée lorsqu’elle avait deux ans. Le 29 avril 2014, la cour de première instance a ordonné la tutelle de l’enfant par la Couronne, en vue de son adoption, sans droit de visite par les parents. Le demandeur a interjeté appel de la décision devant la Cour supérieure de justice de l’Ontario, qui a rejeté le premier appel, le 31 mars 2015. La Cour d’appel a rejeté le second, le 19 octobre 2015. (Voir le dossier connexe de la mère, n</w:t>
            </w:r>
            <w:r w:rsidRPr="00EF295C">
              <w:rPr>
                <w:sz w:val="20"/>
                <w:szCs w:val="20"/>
                <w:vertAlign w:val="superscript"/>
                <w:lang w:val="fr-CA"/>
              </w:rPr>
              <w:t>o</w:t>
            </w:r>
            <w:r w:rsidRPr="00EF295C">
              <w:rPr>
                <w:sz w:val="20"/>
                <w:szCs w:val="20"/>
                <w:lang w:val="fr-CA"/>
              </w:rPr>
              <w:t xml:space="preserve"> 36997.)</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6F2491" w:rsidRPr="00EF295C" w:rsidRDefault="006F2491" w:rsidP="006F2491">
            <w:pPr>
              <w:rPr>
                <w:sz w:val="20"/>
                <w:szCs w:val="20"/>
                <w:lang w:val="fr-CA"/>
              </w:rPr>
            </w:pPr>
            <w:r w:rsidRPr="00EF295C">
              <w:rPr>
                <w:sz w:val="20"/>
                <w:szCs w:val="20"/>
                <w:lang w:val="fr-CA"/>
              </w:rPr>
              <w:t>Le 29 avril 2014</w:t>
            </w:r>
          </w:p>
          <w:p w:rsidR="006F2491" w:rsidRPr="00EF295C" w:rsidRDefault="006F2491" w:rsidP="006F2491">
            <w:pPr>
              <w:rPr>
                <w:sz w:val="20"/>
                <w:szCs w:val="20"/>
                <w:lang w:val="fr-CA"/>
              </w:rPr>
            </w:pPr>
            <w:r w:rsidRPr="00EF295C">
              <w:rPr>
                <w:sz w:val="20"/>
                <w:szCs w:val="20"/>
                <w:lang w:val="fr-CA"/>
              </w:rPr>
              <w:t xml:space="preserve">Cour de justice de l’Ontario </w:t>
            </w:r>
          </w:p>
          <w:p w:rsidR="006F2491" w:rsidRPr="00EF295C" w:rsidRDefault="006F2491" w:rsidP="006F2491">
            <w:pPr>
              <w:rPr>
                <w:sz w:val="20"/>
                <w:szCs w:val="20"/>
                <w:lang w:val="fr-CA"/>
              </w:rPr>
            </w:pPr>
            <w:r w:rsidRPr="00EF295C">
              <w:rPr>
                <w:sz w:val="20"/>
                <w:szCs w:val="20"/>
                <w:lang w:val="fr-CA"/>
              </w:rPr>
              <w:t xml:space="preserve">(Juge </w:t>
            </w:r>
            <w:proofErr w:type="spellStart"/>
            <w:r w:rsidRPr="00EF295C">
              <w:rPr>
                <w:sz w:val="20"/>
                <w:szCs w:val="20"/>
                <w:lang w:val="fr-CA"/>
              </w:rPr>
              <w:t>McLeod</w:t>
            </w:r>
            <w:proofErr w:type="spellEnd"/>
            <w:r w:rsidRPr="00EF295C">
              <w:rPr>
                <w:sz w:val="20"/>
                <w:szCs w:val="20"/>
                <w:lang w:val="fr-CA"/>
              </w:rPr>
              <w:t>)</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6F2491" w:rsidRPr="00EF295C" w:rsidRDefault="006F2491" w:rsidP="006F2491">
            <w:pPr>
              <w:jc w:val="both"/>
              <w:rPr>
                <w:sz w:val="20"/>
                <w:szCs w:val="20"/>
                <w:lang w:val="fr-CA"/>
              </w:rPr>
            </w:pPr>
            <w:r w:rsidRPr="00EF295C">
              <w:rPr>
                <w:sz w:val="20"/>
                <w:szCs w:val="20"/>
                <w:lang w:val="fr-CA"/>
              </w:rPr>
              <w:t xml:space="preserve">Ordonnance de pupille de la Couronne en vue de l’adoption de l’enfant du demandeur, sans droit de visite par les parents. </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4410" w:type="dxa"/>
            <w:gridSpan w:val="2"/>
          </w:tcPr>
          <w:p w:rsidR="006F2491" w:rsidRPr="00EF295C" w:rsidRDefault="006F2491" w:rsidP="006F2491">
            <w:pPr>
              <w:rPr>
                <w:sz w:val="20"/>
                <w:szCs w:val="20"/>
                <w:lang w:val="fr-CA"/>
              </w:rPr>
            </w:pPr>
            <w:r w:rsidRPr="00EF295C">
              <w:rPr>
                <w:sz w:val="20"/>
                <w:szCs w:val="20"/>
                <w:lang w:val="fr-CA"/>
              </w:rPr>
              <w:t>Le 31 mars 2015</w:t>
            </w:r>
          </w:p>
          <w:p w:rsidR="006F2491" w:rsidRPr="00EF295C" w:rsidRDefault="006F2491" w:rsidP="006F2491">
            <w:pPr>
              <w:rPr>
                <w:sz w:val="20"/>
                <w:szCs w:val="20"/>
                <w:lang w:val="fr-CA"/>
              </w:rPr>
            </w:pPr>
            <w:r w:rsidRPr="00EF295C">
              <w:rPr>
                <w:sz w:val="20"/>
                <w:szCs w:val="20"/>
                <w:lang w:val="fr-CA"/>
              </w:rPr>
              <w:t>Cour supérieure de justice</w:t>
            </w:r>
          </w:p>
          <w:p w:rsidR="006F2491" w:rsidRPr="00EF295C" w:rsidRDefault="006F2491" w:rsidP="006F2491">
            <w:pPr>
              <w:rPr>
                <w:sz w:val="20"/>
                <w:szCs w:val="20"/>
                <w:lang w:val="fr-CA"/>
              </w:rPr>
            </w:pPr>
            <w:r w:rsidRPr="00EF295C">
              <w:rPr>
                <w:sz w:val="20"/>
                <w:szCs w:val="20"/>
                <w:lang w:val="fr-CA"/>
              </w:rPr>
              <w:t>(Juge Penny)</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6F2491" w:rsidRPr="00EF295C" w:rsidRDefault="006F2491" w:rsidP="006F2491">
            <w:pPr>
              <w:rPr>
                <w:sz w:val="20"/>
                <w:szCs w:val="20"/>
                <w:lang w:val="fr-CA"/>
              </w:rPr>
            </w:pPr>
            <w:r w:rsidRPr="00EF295C">
              <w:rPr>
                <w:sz w:val="20"/>
                <w:szCs w:val="20"/>
                <w:lang w:val="fr-CA"/>
              </w:rPr>
              <w:t>Rejet de l’appel.</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4410" w:type="dxa"/>
            <w:gridSpan w:val="2"/>
          </w:tcPr>
          <w:p w:rsidR="006F2491" w:rsidRPr="00EF295C" w:rsidRDefault="006F2491" w:rsidP="006F2491">
            <w:pPr>
              <w:rPr>
                <w:sz w:val="20"/>
                <w:szCs w:val="20"/>
                <w:lang w:val="fr-CA"/>
              </w:rPr>
            </w:pPr>
            <w:r w:rsidRPr="00EF295C">
              <w:rPr>
                <w:sz w:val="20"/>
                <w:szCs w:val="20"/>
                <w:lang w:val="fr-CA"/>
              </w:rPr>
              <w:lastRenderedPageBreak/>
              <w:t>Le 19 octobre 2015</w:t>
            </w:r>
          </w:p>
          <w:p w:rsidR="006F2491" w:rsidRPr="00EF295C" w:rsidRDefault="006F2491" w:rsidP="006F2491">
            <w:pPr>
              <w:rPr>
                <w:sz w:val="20"/>
                <w:szCs w:val="20"/>
                <w:lang w:val="fr-CA"/>
              </w:rPr>
            </w:pPr>
            <w:r w:rsidRPr="00EF295C">
              <w:rPr>
                <w:sz w:val="20"/>
                <w:szCs w:val="20"/>
                <w:lang w:val="fr-CA"/>
              </w:rPr>
              <w:t>Cour d’appel de l’Ontario</w:t>
            </w:r>
          </w:p>
          <w:p w:rsidR="006F2491" w:rsidRPr="00EF295C" w:rsidRDefault="006F2491" w:rsidP="006F2491">
            <w:pPr>
              <w:rPr>
                <w:sz w:val="20"/>
                <w:szCs w:val="20"/>
                <w:lang w:val="fr-CA"/>
              </w:rPr>
            </w:pPr>
            <w:r w:rsidRPr="00EF295C">
              <w:rPr>
                <w:sz w:val="20"/>
                <w:szCs w:val="20"/>
                <w:lang w:val="fr-CA"/>
              </w:rPr>
              <w:t xml:space="preserve">(Juge en chef adjoint </w:t>
            </w:r>
            <w:proofErr w:type="spellStart"/>
            <w:r w:rsidRPr="00EF295C">
              <w:rPr>
                <w:sz w:val="20"/>
                <w:szCs w:val="20"/>
                <w:lang w:val="fr-CA"/>
              </w:rPr>
              <w:t>Hoy</w:t>
            </w:r>
            <w:proofErr w:type="spellEnd"/>
            <w:r w:rsidRPr="00EF295C">
              <w:rPr>
                <w:sz w:val="20"/>
                <w:szCs w:val="20"/>
                <w:lang w:val="fr-CA"/>
              </w:rPr>
              <w:t xml:space="preserve"> et juges </w:t>
            </w:r>
            <w:proofErr w:type="spellStart"/>
            <w:r w:rsidRPr="00EF295C">
              <w:rPr>
                <w:sz w:val="20"/>
                <w:szCs w:val="20"/>
                <w:lang w:val="fr-CA"/>
              </w:rPr>
              <w:t>Weiler</w:t>
            </w:r>
            <w:proofErr w:type="spellEnd"/>
            <w:r w:rsidRPr="00EF295C">
              <w:rPr>
                <w:sz w:val="20"/>
                <w:szCs w:val="20"/>
                <w:lang w:val="fr-CA"/>
              </w:rPr>
              <w:t xml:space="preserve"> et </w:t>
            </w:r>
            <w:proofErr w:type="spellStart"/>
            <w:r w:rsidRPr="00EF295C">
              <w:rPr>
                <w:sz w:val="20"/>
                <w:szCs w:val="20"/>
                <w:lang w:val="fr-CA"/>
              </w:rPr>
              <w:t>Pardu</w:t>
            </w:r>
            <w:proofErr w:type="spellEnd"/>
            <w:r w:rsidRPr="00EF295C">
              <w:rPr>
                <w:sz w:val="20"/>
                <w:szCs w:val="20"/>
                <w:lang w:val="fr-CA"/>
              </w:rPr>
              <w:t>)</w:t>
            </w:r>
          </w:p>
          <w:p w:rsidR="006F2491" w:rsidRPr="00EF295C" w:rsidRDefault="002E5FCE" w:rsidP="006F2491">
            <w:pPr>
              <w:rPr>
                <w:sz w:val="20"/>
                <w:szCs w:val="20"/>
                <w:lang w:val="fr-CA"/>
              </w:rPr>
            </w:pPr>
            <w:hyperlink r:id="rId27" w:history="1">
              <w:r w:rsidR="006F2491" w:rsidRPr="00EF295C">
                <w:rPr>
                  <w:rStyle w:val="Hyperlink"/>
                  <w:sz w:val="20"/>
                  <w:szCs w:val="20"/>
                  <w:lang w:val="fr-CA"/>
                </w:rPr>
                <w:t>2015 ONCA 695</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6F2491" w:rsidRPr="00EF295C" w:rsidRDefault="006F2491" w:rsidP="006F2491">
            <w:pPr>
              <w:rPr>
                <w:sz w:val="20"/>
                <w:szCs w:val="20"/>
                <w:lang w:val="fr-CA"/>
              </w:rPr>
            </w:pPr>
            <w:r w:rsidRPr="00EF295C">
              <w:rPr>
                <w:sz w:val="20"/>
                <w:szCs w:val="20"/>
                <w:lang w:val="fr-CA"/>
              </w:rPr>
              <w:t>Rejet de l’appel.</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6F2491" w:rsidRPr="00EF295C" w:rsidRDefault="006F2491" w:rsidP="006F2491">
            <w:pPr>
              <w:rPr>
                <w:sz w:val="20"/>
                <w:szCs w:val="20"/>
                <w:lang w:val="fr-CA"/>
              </w:rPr>
            </w:pPr>
            <w:r w:rsidRPr="00EF295C">
              <w:rPr>
                <w:sz w:val="20"/>
                <w:szCs w:val="20"/>
                <w:lang w:val="fr-CA"/>
              </w:rPr>
              <w:t>Le 15 décembre 2015</w:t>
            </w:r>
          </w:p>
          <w:p w:rsidR="006F2491" w:rsidRPr="00EF295C" w:rsidRDefault="006F2491" w:rsidP="006F2491">
            <w:pPr>
              <w:rPr>
                <w:sz w:val="20"/>
                <w:szCs w:val="20"/>
                <w:lang w:val="fr-CA"/>
              </w:rPr>
            </w:pPr>
            <w:r w:rsidRPr="00EF295C">
              <w:rPr>
                <w:sz w:val="20"/>
                <w:szCs w:val="20"/>
                <w:lang w:val="fr-CA"/>
              </w:rPr>
              <w:t>Cour suprême du Canada</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AF4BD2" w:rsidRPr="00EF295C" w:rsidRDefault="006F2491" w:rsidP="00665CAF">
            <w:pPr>
              <w:pStyle w:val="SCCShortJudgment"/>
              <w:ind w:firstLine="0"/>
              <w:rPr>
                <w:rFonts w:cs="Times New Roman"/>
                <w:szCs w:val="20"/>
                <w:u w:val="single"/>
                <w:lang w:val="fr-CA"/>
              </w:rPr>
            </w:pPr>
            <w:r w:rsidRPr="00EF295C">
              <w:rPr>
                <w:szCs w:val="20"/>
                <w:lang w:val="fr-CA"/>
              </w:rPr>
              <w:t>Dépôt de la demande d’autorisation d’appel.</w:t>
            </w:r>
          </w:p>
        </w:tc>
      </w:tr>
      <w:tr w:rsidR="006F2491" w:rsidRPr="002E5FCE" w:rsidTr="00665CAF">
        <w:trPr>
          <w:cantSplit/>
        </w:trPr>
        <w:tc>
          <w:tcPr>
            <w:tcW w:w="4410" w:type="dxa"/>
            <w:gridSpan w:val="2"/>
          </w:tcPr>
          <w:p w:rsidR="006F2491" w:rsidRPr="00EF295C" w:rsidRDefault="006F2491" w:rsidP="006F2491">
            <w:pPr>
              <w:rPr>
                <w:sz w:val="20"/>
                <w:szCs w:val="20"/>
                <w:lang w:val="fr-CA"/>
              </w:rPr>
            </w:pPr>
            <w:r w:rsidRPr="00EF295C">
              <w:rPr>
                <w:sz w:val="20"/>
                <w:szCs w:val="20"/>
                <w:lang w:val="fr-CA"/>
              </w:rPr>
              <w:t>Le 8 août 2016</w:t>
            </w:r>
          </w:p>
          <w:p w:rsidR="006F2491" w:rsidRPr="00EF295C" w:rsidRDefault="006F2491" w:rsidP="006F2491">
            <w:pPr>
              <w:rPr>
                <w:sz w:val="20"/>
                <w:szCs w:val="20"/>
                <w:lang w:val="fr-CA"/>
              </w:rPr>
            </w:pPr>
            <w:r w:rsidRPr="00EF295C">
              <w:rPr>
                <w:sz w:val="20"/>
                <w:szCs w:val="20"/>
                <w:lang w:val="fr-CA"/>
              </w:rPr>
              <w:t>Cour suprême du Canada</w:t>
            </w:r>
          </w:p>
        </w:tc>
        <w:tc>
          <w:tcPr>
            <w:tcW w:w="630" w:type="dxa"/>
          </w:tcPr>
          <w:p w:rsidR="006F2491" w:rsidRPr="00EF295C" w:rsidRDefault="006F2491" w:rsidP="00665CAF">
            <w:pPr>
              <w:pStyle w:val="SCCShortJudgment"/>
              <w:ind w:firstLine="0"/>
              <w:rPr>
                <w:rFonts w:cs="Times New Roman"/>
                <w:szCs w:val="20"/>
                <w:u w:val="single"/>
                <w:lang w:val="fr-CA"/>
              </w:rPr>
            </w:pPr>
          </w:p>
        </w:tc>
        <w:tc>
          <w:tcPr>
            <w:tcW w:w="4536" w:type="dxa"/>
          </w:tcPr>
          <w:p w:rsidR="006F2491" w:rsidRPr="00EF295C" w:rsidRDefault="006F2491" w:rsidP="00665CAF">
            <w:pPr>
              <w:pStyle w:val="SCCShortJudgment"/>
              <w:ind w:firstLine="0"/>
              <w:rPr>
                <w:szCs w:val="20"/>
                <w:lang w:val="fr-CA"/>
              </w:rPr>
            </w:pPr>
            <w:r w:rsidRPr="00EF295C">
              <w:rPr>
                <w:szCs w:val="20"/>
                <w:lang w:val="fr-CA"/>
              </w:rPr>
              <w:t>Requête en autorisation de présenter de nouveaux éléments de preuve et pour obtenir le droit de visite et faire surseoir à la décision en attendant l’issue de l’appel.</w:t>
            </w:r>
          </w:p>
        </w:tc>
      </w:tr>
    </w:tbl>
    <w:p w:rsidR="00CE52FF" w:rsidRPr="00EF295C" w:rsidRDefault="002E5FCE" w:rsidP="000E2959">
      <w:pPr>
        <w:rPr>
          <w:sz w:val="20"/>
          <w:szCs w:val="20"/>
          <w:lang w:val="fr-CA"/>
        </w:rPr>
      </w:pPr>
      <w:r>
        <w:rPr>
          <w:rFonts w:cs="Times New Roman"/>
          <w:szCs w:val="20"/>
          <w:lang w:val="fr-CA"/>
        </w:rPr>
        <w:pict>
          <v:rect id="_x0000_i1049" style="width:2in;height:1pt" o:hrpct="0" o:hralign="center" o:hrstd="t" o:hrnoshade="t" o:hr="t" fillcolor="black [3213]" stroked="f"/>
        </w:pict>
      </w:r>
    </w:p>
    <w:p w:rsidR="00CE52FF" w:rsidRPr="00EF295C" w:rsidRDefault="00CE52FF"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36997</w:t>
            </w:r>
          </w:p>
          <w:p w:rsidR="00AF4BD2" w:rsidRPr="00EF295C" w:rsidRDefault="00AF4BD2" w:rsidP="00665CAF">
            <w:pPr>
              <w:jc w:val="both"/>
              <w:rPr>
                <w:rFonts w:cs="Times New Roman"/>
                <w:b/>
                <w:sz w:val="20"/>
                <w:szCs w:val="20"/>
              </w:rPr>
            </w:pPr>
          </w:p>
        </w:tc>
        <w:tc>
          <w:tcPr>
            <w:tcW w:w="8118" w:type="dxa"/>
            <w:gridSpan w:val="3"/>
          </w:tcPr>
          <w:p w:rsidR="00AF4BD2" w:rsidRPr="00EF295C" w:rsidRDefault="005A63BD" w:rsidP="00665CAF">
            <w:pPr>
              <w:jc w:val="both"/>
              <w:rPr>
                <w:rFonts w:cs="Times New Roman"/>
                <w:sz w:val="20"/>
                <w:szCs w:val="20"/>
              </w:rPr>
            </w:pPr>
            <w:r w:rsidRPr="00EF295C">
              <w:rPr>
                <w:b/>
                <w:sz w:val="20"/>
                <w:szCs w:val="20"/>
                <w:u w:val="single"/>
              </w:rPr>
              <w:t>E.O. v. Children’s Aid Society of Toronto</w:t>
            </w:r>
            <w:r w:rsidRPr="00EF295C">
              <w:rPr>
                <w:rFonts w:cs="Times New Roman"/>
                <w:sz w:val="20"/>
                <w:szCs w:val="20"/>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5A63BD" w:rsidP="00665CAF">
            <w:pPr>
              <w:jc w:val="both"/>
              <w:rPr>
                <w:rStyle w:val="SCCCoramChar"/>
                <w:sz w:val="20"/>
                <w:szCs w:val="20"/>
                <w:lang w:val="en-CA"/>
              </w:rPr>
            </w:pPr>
            <w:r w:rsidRPr="00EF295C">
              <w:rPr>
                <w:sz w:val="20"/>
                <w:szCs w:val="20"/>
                <w:u w:val="single"/>
              </w:rPr>
              <w:t>Abella, Karakatsanis and Brown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5D7A3E" w:rsidRPr="00EF295C">
              <w:rPr>
                <w:rFonts w:eastAsiaTheme="minorEastAsia" w:cs="Times New Roman"/>
                <w:szCs w:val="20"/>
                <w:lang w:val="en-US" w:eastAsia="en-CA"/>
              </w:rPr>
              <w:t xml:space="preserve">The motion for a stay of execution is dismissed. </w:t>
            </w:r>
            <w:r w:rsidR="005D7A3E" w:rsidRPr="00EF295C">
              <w:rPr>
                <w:szCs w:val="20"/>
              </w:rPr>
              <w:t xml:space="preserve">The motion for an extension of time to serve and file the application for leave to appeal </w:t>
            </w:r>
            <w:r w:rsidR="005D7A3E" w:rsidRPr="00EF295C">
              <w:rPr>
                <w:rFonts w:eastAsiaTheme="minorEastAsia" w:cs="Times New Roman"/>
                <w:szCs w:val="20"/>
                <w:lang w:val="en-US" w:eastAsia="en-CA"/>
              </w:rPr>
              <w:t>from the judgments of the Court</w:t>
            </w:r>
            <w:r w:rsidR="005D7A3E" w:rsidRPr="00EF295C">
              <w:rPr>
                <w:szCs w:val="20"/>
              </w:rPr>
              <w:t xml:space="preserve"> of Appeal for Ontario, Numbers  M45587 and C60392, 2015 ONCA 695 and 2015 ONCA 696, dated October 19, 2015, is dismissed without costs. In any event, had the motion for an extension of time been granted, the application for leave to appeal would have been dismissed.</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5D7A3E" w:rsidRPr="00EF295C">
              <w:rPr>
                <w:rFonts w:eastAsiaTheme="minorEastAsia" w:cs="Times New Roman"/>
                <w:szCs w:val="20"/>
                <w:lang w:val="fr-CA" w:eastAsia="en-CA"/>
              </w:rPr>
              <w:t xml:space="preserve">La requête en sursis d’exécution est rejetée.  </w:t>
            </w:r>
            <w:r w:rsidR="005D7A3E" w:rsidRPr="00EF295C">
              <w:rPr>
                <w:szCs w:val="20"/>
                <w:lang w:val="fr-FR"/>
              </w:rPr>
              <w:t>La requête en prorogation du délai pour la signification et le dépôt de la demande d’autorisation d’appel d</w:t>
            </w:r>
            <w:r w:rsidR="005D7A3E" w:rsidRPr="00EF295C">
              <w:rPr>
                <w:szCs w:val="20"/>
                <w:lang w:val="fr-CA"/>
              </w:rPr>
              <w:t xml:space="preserve">es arrêts de la </w:t>
            </w:r>
            <w:r w:rsidR="005D7A3E" w:rsidRPr="00EF295C">
              <w:rPr>
                <w:szCs w:val="20"/>
                <w:lang w:val="fr-FR"/>
              </w:rPr>
              <w:t>Cour d’appel de l’Ontario</w:t>
            </w:r>
            <w:r w:rsidR="005D7A3E" w:rsidRPr="00EF295C">
              <w:rPr>
                <w:szCs w:val="20"/>
                <w:lang w:val="fr-CA"/>
              </w:rPr>
              <w:t xml:space="preserve">, numéros </w:t>
            </w:r>
            <w:r w:rsidR="005D7A3E" w:rsidRPr="00EF295C">
              <w:rPr>
                <w:szCs w:val="20"/>
                <w:lang w:val="fr-FR"/>
              </w:rPr>
              <w:t>M45587 et C60392</w:t>
            </w:r>
            <w:r w:rsidR="005D7A3E" w:rsidRPr="00EF295C">
              <w:rPr>
                <w:szCs w:val="20"/>
                <w:lang w:val="fr-CA"/>
              </w:rPr>
              <w:t>,</w:t>
            </w:r>
            <w:r w:rsidR="005D7A3E" w:rsidRPr="00EF295C">
              <w:rPr>
                <w:szCs w:val="20"/>
                <w:lang w:val="fr-FR"/>
              </w:rPr>
              <w:t xml:space="preserve"> 2015 ONCA 695 et 2015 ONCA 696, </w:t>
            </w:r>
            <w:r w:rsidR="005D7A3E" w:rsidRPr="00EF295C">
              <w:rPr>
                <w:szCs w:val="20"/>
                <w:lang w:val="fr-CA"/>
              </w:rPr>
              <w:t xml:space="preserve">datés du </w:t>
            </w:r>
            <w:r w:rsidR="005D7A3E" w:rsidRPr="00EF295C">
              <w:rPr>
                <w:szCs w:val="20"/>
                <w:lang w:val="fr-FR"/>
              </w:rPr>
              <w:t>19 octobre 2015</w:t>
            </w:r>
            <w:r w:rsidR="005D7A3E" w:rsidRPr="00EF295C">
              <w:rPr>
                <w:szCs w:val="20"/>
                <w:lang w:val="fr-CA"/>
              </w:rPr>
              <w:t>, est rejetée sans dépens</w:t>
            </w:r>
            <w:r w:rsidR="005D7A3E" w:rsidRPr="00EF295C">
              <w:rPr>
                <w:szCs w:val="20"/>
                <w:lang w:val="fr-FR"/>
              </w:rPr>
              <w:t xml:space="preserve">. </w:t>
            </w:r>
            <w:r w:rsidR="005D7A3E" w:rsidRPr="00EF295C">
              <w:rPr>
                <w:szCs w:val="20"/>
                <w:lang w:val="fr-CA"/>
              </w:rPr>
              <w:t>Quoi qu’il en soit, même si la requête en prorogation du délai avait été accueillie, la demande d’autorisation d’appel aurait été rejetée.</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DA465A" w:rsidRPr="00EF295C" w:rsidRDefault="00DA465A" w:rsidP="00DA465A">
            <w:pPr>
              <w:pStyle w:val="SCCBanSummary"/>
              <w:rPr>
                <w:sz w:val="20"/>
                <w:szCs w:val="20"/>
                <w:lang w:val="en-CA"/>
              </w:rPr>
            </w:pPr>
            <w:r w:rsidRPr="00EF295C">
              <w:rPr>
                <w:sz w:val="20"/>
                <w:szCs w:val="20"/>
                <w:lang w:val="en-CA"/>
              </w:rPr>
              <w:t>(Publication ban in case) (Publication ban on party) (Court file contains information that is not available for inspection by the public)</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9576" w:type="dxa"/>
            <w:gridSpan w:val="4"/>
          </w:tcPr>
          <w:p w:rsidR="00AF4BD2" w:rsidRPr="00EF295C" w:rsidRDefault="00DA465A" w:rsidP="00665CAF">
            <w:pPr>
              <w:pStyle w:val="SCCShortJudgment"/>
              <w:ind w:firstLine="0"/>
              <w:rPr>
                <w:szCs w:val="20"/>
              </w:rPr>
            </w:pPr>
            <w:r w:rsidRPr="00EF295C">
              <w:rPr>
                <w:i/>
                <w:szCs w:val="20"/>
              </w:rPr>
              <w:t xml:space="preserve">Charter </w:t>
            </w:r>
            <w:r w:rsidRPr="00EF295C">
              <w:rPr>
                <w:szCs w:val="20"/>
              </w:rPr>
              <w:t xml:space="preserve">– Family law – Protective agencies and institutions – Children’s aid societies – Child in need of protection – Best interests of child – Permanent appointment or Crown </w:t>
            </w:r>
            <w:proofErr w:type="spellStart"/>
            <w:r w:rsidRPr="00EF295C">
              <w:rPr>
                <w:szCs w:val="20"/>
              </w:rPr>
              <w:t>wardship</w:t>
            </w:r>
            <w:proofErr w:type="spellEnd"/>
            <w:r w:rsidRPr="00EF295C">
              <w:rPr>
                <w:szCs w:val="20"/>
              </w:rPr>
              <w:t xml:space="preserve"> – Termination of parental rights – Mother gave birth while incarcerated – Father cared for child for her first five months, until his incarceration – Child resided with foster parent from age of five months onward – Trial judge later made child a Crown ward, for the purpose of adoption, without parental access – Father appeal – Whether importance of biological family and father’s relationship to child was adequately considered by trial judge – Whether trial judge erred in finding father did not meet either prong of two-part statutory test set out in </w:t>
            </w:r>
            <w:r w:rsidRPr="00EF295C">
              <w:rPr>
                <w:i/>
                <w:szCs w:val="20"/>
              </w:rPr>
              <w:t>Child and Family Services Act</w:t>
            </w:r>
            <w:r w:rsidRPr="00EF295C">
              <w:rPr>
                <w:szCs w:val="20"/>
              </w:rPr>
              <w:t>, R.S.O. 1990, c. C.11, in order to be granted access to the child – Whether unconstitutional to terminate parents’ access to child.</w:t>
            </w:r>
          </w:p>
          <w:p w:rsidR="00DA465A" w:rsidRPr="00EF295C" w:rsidRDefault="00DA465A" w:rsidP="00665CAF">
            <w:pPr>
              <w:pStyle w:val="SCCShortJudgment"/>
              <w:ind w:firstLine="0"/>
              <w:rPr>
                <w:rFonts w:cs="Times New Roman"/>
                <w:szCs w:val="20"/>
              </w:rPr>
            </w:pPr>
          </w:p>
        </w:tc>
      </w:tr>
      <w:tr w:rsidR="00AF4BD2" w:rsidRPr="00EF295C" w:rsidTr="00665CAF">
        <w:trPr>
          <w:cantSplit/>
        </w:trPr>
        <w:tc>
          <w:tcPr>
            <w:tcW w:w="9576" w:type="dxa"/>
            <w:gridSpan w:val="4"/>
          </w:tcPr>
          <w:p w:rsidR="00DA465A" w:rsidRPr="00EF295C" w:rsidRDefault="00DA465A" w:rsidP="00DA465A">
            <w:pPr>
              <w:jc w:val="both"/>
              <w:rPr>
                <w:sz w:val="20"/>
                <w:szCs w:val="20"/>
              </w:rPr>
            </w:pPr>
            <w:r w:rsidRPr="00EF295C">
              <w:rPr>
                <w:sz w:val="20"/>
                <w:szCs w:val="20"/>
              </w:rPr>
              <w:t>The applicant’s daughter – born November 19, 2011 – is now almost five years old. She has been in the continuous care and custody of The Children’s Aid Society of Toronto since she was just under five months old, and has resided with her foster mother – and proposed adoptive parent – throughout that time. The finding that the applicant’s daughter was a child in need of protection was made on an uncontested basis on June 13, 2012, because both parents were incarcerated then. A status review was held when the child was two years old. On April 29, 2014, the trial judge made the child a Crown ward, for the purpose of adoption, without parental access. The child’s father appealed that decision to the Superior Court of Justice. On March 31, 2015, the appeal judge dismissed the father’s first appeal and on October 19, 2015, the Court of Appeal dismissed his second. (See the father’s related file, number 36913.)</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lastRenderedPageBreak/>
              <w:t>April 29, 2014</w:t>
            </w:r>
          </w:p>
          <w:p w:rsidR="00DA465A" w:rsidRPr="00EF295C" w:rsidRDefault="00DA465A" w:rsidP="00DA465A">
            <w:pPr>
              <w:rPr>
                <w:sz w:val="20"/>
                <w:szCs w:val="20"/>
              </w:rPr>
            </w:pPr>
            <w:r w:rsidRPr="00EF295C">
              <w:rPr>
                <w:sz w:val="20"/>
                <w:szCs w:val="20"/>
              </w:rPr>
              <w:t>Ontario Court of Justice</w:t>
            </w:r>
          </w:p>
          <w:p w:rsidR="00DA465A" w:rsidRPr="00EF295C" w:rsidRDefault="00DA465A" w:rsidP="00DA465A">
            <w:pPr>
              <w:rPr>
                <w:sz w:val="20"/>
                <w:szCs w:val="20"/>
              </w:rPr>
            </w:pPr>
            <w:r w:rsidRPr="00EF295C">
              <w:rPr>
                <w:sz w:val="20"/>
                <w:szCs w:val="20"/>
              </w:rPr>
              <w:t>(McLeod J.)</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jc w:val="both"/>
              <w:rPr>
                <w:sz w:val="20"/>
                <w:szCs w:val="20"/>
              </w:rPr>
            </w:pPr>
            <w:r w:rsidRPr="00EF295C">
              <w:rPr>
                <w:sz w:val="20"/>
                <w:szCs w:val="20"/>
              </w:rPr>
              <w:t xml:space="preserve">The applicant’s child was made a Crown ward, for the purpose of adoption, without parental access. </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March 31, 2015</w:t>
            </w:r>
          </w:p>
          <w:p w:rsidR="00DA465A" w:rsidRPr="00EF295C" w:rsidRDefault="00DA465A" w:rsidP="00DA465A">
            <w:pPr>
              <w:rPr>
                <w:sz w:val="20"/>
                <w:szCs w:val="20"/>
              </w:rPr>
            </w:pPr>
            <w:r w:rsidRPr="00EF295C">
              <w:rPr>
                <w:sz w:val="20"/>
                <w:szCs w:val="20"/>
              </w:rPr>
              <w:t>Superior Court of Justice</w:t>
            </w:r>
          </w:p>
          <w:p w:rsidR="00DA465A" w:rsidRPr="00EF295C" w:rsidRDefault="00DA465A" w:rsidP="00DA465A">
            <w:pPr>
              <w:rPr>
                <w:sz w:val="20"/>
                <w:szCs w:val="20"/>
              </w:rPr>
            </w:pPr>
            <w:r w:rsidRPr="00EF295C">
              <w:rPr>
                <w:sz w:val="20"/>
                <w:szCs w:val="20"/>
              </w:rPr>
              <w:t>(Penny J.)</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Appeal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October 19, 2015</w:t>
            </w:r>
          </w:p>
          <w:p w:rsidR="00DA465A" w:rsidRPr="00EF295C" w:rsidRDefault="00DA465A" w:rsidP="00DA465A">
            <w:pPr>
              <w:rPr>
                <w:sz w:val="20"/>
                <w:szCs w:val="20"/>
              </w:rPr>
            </w:pPr>
            <w:r w:rsidRPr="00EF295C">
              <w:rPr>
                <w:sz w:val="20"/>
                <w:szCs w:val="20"/>
              </w:rPr>
              <w:t>Court of Appeal for Ontario</w:t>
            </w:r>
          </w:p>
          <w:p w:rsidR="00DA465A" w:rsidRPr="00EF295C" w:rsidRDefault="00DA465A" w:rsidP="00DA465A">
            <w:pPr>
              <w:rPr>
                <w:sz w:val="20"/>
                <w:szCs w:val="20"/>
              </w:rPr>
            </w:pPr>
            <w:r w:rsidRPr="00EF295C">
              <w:rPr>
                <w:sz w:val="20"/>
                <w:szCs w:val="20"/>
              </w:rPr>
              <w:t xml:space="preserve">(Hoy A.C.J.O., </w:t>
            </w:r>
            <w:proofErr w:type="spellStart"/>
            <w:r w:rsidRPr="00EF295C">
              <w:rPr>
                <w:sz w:val="20"/>
                <w:szCs w:val="20"/>
              </w:rPr>
              <w:t>Weiler</w:t>
            </w:r>
            <w:proofErr w:type="spellEnd"/>
            <w:r w:rsidRPr="00EF295C">
              <w:rPr>
                <w:sz w:val="20"/>
                <w:szCs w:val="20"/>
              </w:rPr>
              <w:t xml:space="preserve"> and </w:t>
            </w:r>
            <w:proofErr w:type="spellStart"/>
            <w:r w:rsidRPr="00EF295C">
              <w:rPr>
                <w:sz w:val="20"/>
                <w:szCs w:val="20"/>
              </w:rPr>
              <w:t>Pardu</w:t>
            </w:r>
            <w:proofErr w:type="spellEnd"/>
            <w:r w:rsidRPr="00EF295C">
              <w:rPr>
                <w:sz w:val="20"/>
                <w:szCs w:val="20"/>
              </w:rPr>
              <w:t xml:space="preserve"> JJ.A.)</w:t>
            </w:r>
          </w:p>
          <w:p w:rsidR="00DA465A" w:rsidRPr="00EF295C" w:rsidRDefault="002E5FCE" w:rsidP="00DA465A">
            <w:pPr>
              <w:rPr>
                <w:sz w:val="20"/>
                <w:szCs w:val="20"/>
              </w:rPr>
            </w:pPr>
            <w:hyperlink r:id="rId28" w:history="1">
              <w:r w:rsidR="00DA465A" w:rsidRPr="00EF295C">
                <w:rPr>
                  <w:rStyle w:val="Hyperlink"/>
                  <w:sz w:val="20"/>
                  <w:szCs w:val="20"/>
                </w:rPr>
                <w:t>2015 ONCA 695</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Appeal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April 1, 2016</w:t>
            </w:r>
          </w:p>
          <w:p w:rsidR="00DA465A" w:rsidRPr="00EF295C" w:rsidRDefault="00DA465A" w:rsidP="00DA465A">
            <w:pPr>
              <w:rPr>
                <w:sz w:val="20"/>
                <w:szCs w:val="20"/>
              </w:rPr>
            </w:pPr>
            <w:r w:rsidRPr="00EF295C">
              <w:rPr>
                <w:sz w:val="20"/>
                <w:szCs w:val="20"/>
              </w:rPr>
              <w:t>Supreme Court of Canada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jc w:val="both"/>
              <w:rPr>
                <w:rFonts w:cs="Times New Roman"/>
                <w:sz w:val="20"/>
                <w:szCs w:val="20"/>
              </w:rPr>
            </w:pPr>
          </w:p>
        </w:tc>
        <w:tc>
          <w:tcPr>
            <w:tcW w:w="4536" w:type="dxa"/>
          </w:tcPr>
          <w:p w:rsidR="00DA465A" w:rsidRPr="00EF295C" w:rsidRDefault="00DA465A" w:rsidP="00DA465A">
            <w:pPr>
              <w:jc w:val="both"/>
              <w:rPr>
                <w:sz w:val="20"/>
                <w:szCs w:val="20"/>
              </w:rPr>
            </w:pPr>
            <w:r w:rsidRPr="00EF295C">
              <w:rPr>
                <w:sz w:val="20"/>
                <w:szCs w:val="20"/>
              </w:rPr>
              <w:t>Application for leave to appeal filed, together with motions for an extension of time and for both access and stay pending appeal.</w:t>
            </w:r>
          </w:p>
          <w:p w:rsidR="00AF4BD2" w:rsidRPr="00EF295C" w:rsidRDefault="00AF4BD2" w:rsidP="00665CAF">
            <w:pPr>
              <w:jc w:val="both"/>
              <w:rPr>
                <w:rFonts w:cs="Times New Roman"/>
                <w:sz w:val="20"/>
                <w:szCs w:val="20"/>
              </w:rPr>
            </w:pP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DA465A" w:rsidRPr="00EF295C" w:rsidRDefault="00DA465A" w:rsidP="00DA465A">
            <w:pPr>
              <w:pStyle w:val="SCCBanSummary"/>
              <w:rPr>
                <w:sz w:val="20"/>
                <w:szCs w:val="20"/>
              </w:rPr>
            </w:pPr>
            <w:r w:rsidRPr="00EF295C">
              <w:rPr>
                <w:sz w:val="20"/>
                <w:szCs w:val="20"/>
              </w:rPr>
              <w:t>(Ordonnance de non-publication dans le dossier) (Ordonnance de non-publication visant une partie) (Le dossier de la Cour renferme des données que le public n’est pas autorisé à consulter)</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DA465A" w:rsidP="00665CAF">
            <w:pPr>
              <w:jc w:val="both"/>
              <w:rPr>
                <w:sz w:val="20"/>
                <w:szCs w:val="20"/>
                <w:lang w:val="fr-CA"/>
              </w:rPr>
            </w:pPr>
            <w:r w:rsidRPr="00EF295C">
              <w:rPr>
                <w:i/>
                <w:sz w:val="20"/>
                <w:szCs w:val="20"/>
                <w:lang w:val="fr-CA"/>
              </w:rPr>
              <w:t xml:space="preserve">Charte </w:t>
            </w:r>
            <w:r w:rsidRPr="00EF295C">
              <w:rPr>
                <w:sz w:val="20"/>
                <w:szCs w:val="20"/>
                <w:lang w:val="fr-CA"/>
              </w:rPr>
              <w:t xml:space="preserve">– Droit de la famille – Agences et institutions de protection – Sociétés d’aide à l’enfance – Enfant ayant besoin de protection – Intérêt véritable de l’enfant – Placement permanent ou tutelle par la Couronne – Révocation des droits parentaux – Enfant née en prison d’une mère incarcérée – Soins donnés à l’enfant par le père pendant les cinq premiers mois, jusqu’à son incarcération – Enfant confiée à un parent de famille d’accueil dès l’âge de cinq mois – Décision de première instance ordonnant la tutelle par la Couronne, en vue de l’adoption de l’enfant, et refusant aux parents les droits de visite – Appel interjeté par le père – La cour de première instance a-t-elle tenu suffisamment compte de l’importance de la famille biologique et des rapports du père avec l’enfant? – La cour de première instance a-t-elle conclu à tort que le père ne répondait pas aux deux volets du critère énoncé dans la </w:t>
            </w:r>
            <w:r w:rsidRPr="00EF295C">
              <w:rPr>
                <w:i/>
                <w:sz w:val="20"/>
                <w:szCs w:val="20"/>
                <w:lang w:val="fr-CA"/>
              </w:rPr>
              <w:t>Loi sur les services à l’enfance et à la famille</w:t>
            </w:r>
            <w:r w:rsidRPr="00EF295C">
              <w:rPr>
                <w:sz w:val="20"/>
                <w:szCs w:val="20"/>
                <w:lang w:val="fr-CA"/>
              </w:rPr>
              <w:t>, L.R.O. 1990, c. C.11, en ce qui a trait au droit de visite? – Est-il inconstitutionnel de révoquer le droit de visite des parents?</w:t>
            </w:r>
          </w:p>
          <w:p w:rsidR="00DA465A" w:rsidRPr="00EF295C" w:rsidRDefault="00DA465A" w:rsidP="00665CAF">
            <w:pPr>
              <w:jc w:val="both"/>
              <w:rPr>
                <w:rFonts w:cs="Times New Roman"/>
                <w:sz w:val="20"/>
                <w:szCs w:val="20"/>
                <w:u w:val="single"/>
                <w:lang w:val="fr-CA"/>
              </w:rPr>
            </w:pPr>
          </w:p>
        </w:tc>
      </w:tr>
      <w:tr w:rsidR="00AF4BD2" w:rsidRPr="002E5FCE" w:rsidTr="00665CAF">
        <w:trPr>
          <w:cantSplit/>
        </w:trPr>
        <w:tc>
          <w:tcPr>
            <w:tcW w:w="9576" w:type="dxa"/>
            <w:gridSpan w:val="4"/>
          </w:tcPr>
          <w:p w:rsidR="00DA465A" w:rsidRPr="00EF295C" w:rsidRDefault="00DA465A" w:rsidP="00DA465A">
            <w:pPr>
              <w:jc w:val="both"/>
              <w:rPr>
                <w:sz w:val="20"/>
                <w:szCs w:val="20"/>
                <w:lang w:val="fr-CA"/>
              </w:rPr>
            </w:pPr>
            <w:r w:rsidRPr="00EF295C">
              <w:rPr>
                <w:sz w:val="20"/>
                <w:szCs w:val="20"/>
                <w:lang w:val="fr-CA"/>
              </w:rPr>
              <w:t>Née le 19 novembre 2011, la fille de la demanderesse a presque cinq ans. Elle a été confiée aux soins et à la garde de la Société de l’aide à l’enfance de Toronto quand elle avait à peine cinq mois. Elle habite avec sa mère de famille d’accueil – qui veut l’adopter – sans interruption depuis tout ce temps. Le tribunal a constaté que la fille de la demanderesse avait besoin de protection le 13 juin 2012, ce que personne n’a contesté, parce que ses deux parents étaient alors incarcérés. Une révision de son statut a été effectuée lorsqu’elle avait deux ans. Le 29 avril 2014, la cour de première instance a ordonné la tutelle de l’enfant par la Couronne, en vue de son adoption, sans droit de visite par les parents. Le père de l’enfant a interjeté appel devant la Cour supérieure de justice de l’Ontario, qui a rejeté le premier appel interjeté par le père, le 31 mars 2015. La Cour d’appel a rejeté le second, le 19 octobre 2015. (Voir le dossier connexe du père, n</w:t>
            </w:r>
            <w:r w:rsidRPr="00EF295C">
              <w:rPr>
                <w:sz w:val="20"/>
                <w:szCs w:val="20"/>
                <w:vertAlign w:val="superscript"/>
                <w:lang w:val="fr-CA"/>
              </w:rPr>
              <w:t>o</w:t>
            </w:r>
            <w:r w:rsidRPr="00EF295C">
              <w:rPr>
                <w:sz w:val="20"/>
                <w:szCs w:val="20"/>
                <w:lang w:val="fr-CA"/>
              </w:rPr>
              <w:t> 36913.)</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Le 29 avril 2014</w:t>
            </w:r>
          </w:p>
          <w:p w:rsidR="00DA465A" w:rsidRPr="00EF295C" w:rsidRDefault="00DA465A" w:rsidP="00DA465A">
            <w:pPr>
              <w:rPr>
                <w:sz w:val="20"/>
                <w:szCs w:val="20"/>
                <w:lang w:val="fr-CA"/>
              </w:rPr>
            </w:pPr>
            <w:r w:rsidRPr="00EF295C">
              <w:rPr>
                <w:sz w:val="20"/>
                <w:szCs w:val="20"/>
                <w:lang w:val="fr-CA"/>
              </w:rPr>
              <w:t>Cour de justice de l’Ontario</w:t>
            </w:r>
          </w:p>
          <w:p w:rsidR="00DA465A" w:rsidRPr="00EF295C" w:rsidRDefault="00DA465A" w:rsidP="00DA465A">
            <w:pPr>
              <w:rPr>
                <w:sz w:val="20"/>
                <w:szCs w:val="20"/>
                <w:lang w:val="fr-CA"/>
              </w:rPr>
            </w:pPr>
            <w:r w:rsidRPr="00EF295C">
              <w:rPr>
                <w:sz w:val="20"/>
                <w:szCs w:val="20"/>
                <w:lang w:val="fr-CA"/>
              </w:rPr>
              <w:t xml:space="preserve">(Juge </w:t>
            </w:r>
            <w:proofErr w:type="spellStart"/>
            <w:r w:rsidRPr="00EF295C">
              <w:rPr>
                <w:sz w:val="20"/>
                <w:szCs w:val="20"/>
                <w:lang w:val="fr-CA"/>
              </w:rPr>
              <w:t>McLeod</w:t>
            </w:r>
            <w:proofErr w:type="spellEnd"/>
            <w:r w:rsidRPr="00EF295C">
              <w:rPr>
                <w:sz w:val="20"/>
                <w:szCs w:val="20"/>
                <w:lang w:val="fr-CA"/>
              </w:rPr>
              <w:t>)</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jc w:val="both"/>
              <w:rPr>
                <w:sz w:val="20"/>
                <w:szCs w:val="20"/>
                <w:lang w:val="fr-CA"/>
              </w:rPr>
            </w:pPr>
            <w:r w:rsidRPr="00EF295C">
              <w:rPr>
                <w:sz w:val="20"/>
                <w:szCs w:val="20"/>
                <w:lang w:val="fr-CA"/>
              </w:rPr>
              <w:t xml:space="preserve">Ordonnance de pupille de la Couronne en vue de l’adoption de l’enfant de la demanderesse, sans droit de visite par les parents. </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Le 31 mars 2015</w:t>
            </w:r>
          </w:p>
          <w:p w:rsidR="00DA465A" w:rsidRPr="00EF295C" w:rsidRDefault="00DA465A" w:rsidP="00DA465A">
            <w:pPr>
              <w:rPr>
                <w:sz w:val="20"/>
                <w:szCs w:val="20"/>
                <w:lang w:val="fr-CA"/>
              </w:rPr>
            </w:pPr>
            <w:r w:rsidRPr="00EF295C">
              <w:rPr>
                <w:sz w:val="20"/>
                <w:szCs w:val="20"/>
                <w:lang w:val="fr-CA"/>
              </w:rPr>
              <w:t>Cour supérieure de justice</w:t>
            </w:r>
          </w:p>
          <w:p w:rsidR="00DA465A" w:rsidRPr="00EF295C" w:rsidRDefault="00DA465A" w:rsidP="00DA465A">
            <w:pPr>
              <w:rPr>
                <w:sz w:val="20"/>
                <w:szCs w:val="20"/>
                <w:lang w:val="fr-CA"/>
              </w:rPr>
            </w:pPr>
            <w:r w:rsidRPr="00EF295C">
              <w:rPr>
                <w:sz w:val="20"/>
                <w:szCs w:val="20"/>
                <w:lang w:val="fr-CA"/>
              </w:rPr>
              <w:t>(Juge Penny)</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rPr>
                <w:sz w:val="20"/>
                <w:szCs w:val="20"/>
                <w:lang w:val="fr-CA"/>
              </w:rPr>
            </w:pPr>
            <w:r w:rsidRPr="00EF295C">
              <w:rPr>
                <w:sz w:val="20"/>
                <w:szCs w:val="20"/>
                <w:lang w:val="fr-CA"/>
              </w:rPr>
              <w:t>Rejet de l’appel.</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lastRenderedPageBreak/>
              <w:t>Le 19 octobre 2015</w:t>
            </w:r>
          </w:p>
          <w:p w:rsidR="00DA465A" w:rsidRPr="00EF295C" w:rsidRDefault="00DA465A" w:rsidP="00DA465A">
            <w:pPr>
              <w:rPr>
                <w:sz w:val="20"/>
                <w:szCs w:val="20"/>
                <w:lang w:val="fr-CA"/>
              </w:rPr>
            </w:pPr>
            <w:r w:rsidRPr="00EF295C">
              <w:rPr>
                <w:sz w:val="20"/>
                <w:szCs w:val="20"/>
                <w:lang w:val="fr-CA"/>
              </w:rPr>
              <w:t xml:space="preserve">Cour d’appel de l’Ontario </w:t>
            </w:r>
          </w:p>
          <w:p w:rsidR="00DA465A" w:rsidRPr="00EF295C" w:rsidRDefault="00DA465A" w:rsidP="00DA465A">
            <w:pPr>
              <w:rPr>
                <w:sz w:val="20"/>
                <w:szCs w:val="20"/>
                <w:lang w:val="fr-CA"/>
              </w:rPr>
            </w:pPr>
            <w:r w:rsidRPr="00EF295C">
              <w:rPr>
                <w:sz w:val="20"/>
                <w:szCs w:val="20"/>
                <w:lang w:val="fr-CA"/>
              </w:rPr>
              <w:t xml:space="preserve">(Juge en chef adjoint </w:t>
            </w:r>
            <w:proofErr w:type="spellStart"/>
            <w:r w:rsidRPr="00EF295C">
              <w:rPr>
                <w:sz w:val="20"/>
                <w:szCs w:val="20"/>
                <w:lang w:val="fr-CA"/>
              </w:rPr>
              <w:t>Hoy</w:t>
            </w:r>
            <w:proofErr w:type="spellEnd"/>
            <w:r w:rsidRPr="00EF295C">
              <w:rPr>
                <w:sz w:val="20"/>
                <w:szCs w:val="20"/>
                <w:lang w:val="fr-CA"/>
              </w:rPr>
              <w:t xml:space="preserve"> et juges </w:t>
            </w:r>
            <w:proofErr w:type="spellStart"/>
            <w:r w:rsidRPr="00EF295C">
              <w:rPr>
                <w:sz w:val="20"/>
                <w:szCs w:val="20"/>
                <w:lang w:val="fr-CA"/>
              </w:rPr>
              <w:t>Weiler</w:t>
            </w:r>
            <w:proofErr w:type="spellEnd"/>
            <w:r w:rsidRPr="00EF295C">
              <w:rPr>
                <w:sz w:val="20"/>
                <w:szCs w:val="20"/>
                <w:lang w:val="fr-CA"/>
              </w:rPr>
              <w:t xml:space="preserve"> et </w:t>
            </w:r>
            <w:proofErr w:type="spellStart"/>
            <w:r w:rsidRPr="00EF295C">
              <w:rPr>
                <w:sz w:val="20"/>
                <w:szCs w:val="20"/>
                <w:lang w:val="fr-CA"/>
              </w:rPr>
              <w:t>Pardu</w:t>
            </w:r>
            <w:proofErr w:type="spellEnd"/>
            <w:r w:rsidRPr="00EF295C">
              <w:rPr>
                <w:sz w:val="20"/>
                <w:szCs w:val="20"/>
                <w:lang w:val="fr-CA"/>
              </w:rPr>
              <w:t>)</w:t>
            </w:r>
          </w:p>
          <w:p w:rsidR="00DA465A" w:rsidRPr="00EF295C" w:rsidRDefault="002E5FCE" w:rsidP="00DA465A">
            <w:pPr>
              <w:rPr>
                <w:sz w:val="20"/>
                <w:szCs w:val="20"/>
                <w:lang w:val="fr-CA"/>
              </w:rPr>
            </w:pPr>
            <w:hyperlink r:id="rId29" w:history="1">
              <w:r w:rsidR="00DA465A" w:rsidRPr="00EF295C">
                <w:rPr>
                  <w:rStyle w:val="Hyperlink"/>
                  <w:sz w:val="20"/>
                  <w:szCs w:val="20"/>
                  <w:lang w:val="fr-CA"/>
                </w:rPr>
                <w:t>2015 ONCA 695</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rPr>
                <w:sz w:val="20"/>
                <w:szCs w:val="20"/>
                <w:lang w:val="fr-CA"/>
              </w:rPr>
            </w:pPr>
            <w:r w:rsidRPr="00EF295C">
              <w:rPr>
                <w:sz w:val="20"/>
                <w:szCs w:val="20"/>
                <w:lang w:val="fr-CA"/>
              </w:rPr>
              <w:t>Rejet de l’appel.</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1</w:t>
            </w:r>
            <w:r w:rsidRPr="00EF295C">
              <w:rPr>
                <w:sz w:val="20"/>
                <w:szCs w:val="20"/>
                <w:vertAlign w:val="superscript"/>
                <w:lang w:val="fr-CA"/>
              </w:rPr>
              <w:t>er</w:t>
            </w:r>
            <w:r w:rsidRPr="00EF295C">
              <w:rPr>
                <w:sz w:val="20"/>
                <w:szCs w:val="20"/>
                <w:lang w:val="fr-CA"/>
              </w:rPr>
              <w:t xml:space="preserve"> avril 2016</w:t>
            </w:r>
          </w:p>
          <w:p w:rsidR="00AF4BD2" w:rsidRPr="00EF295C" w:rsidRDefault="00DA465A" w:rsidP="00DA465A">
            <w:pPr>
              <w:pStyle w:val="SCCShortJudgment"/>
              <w:ind w:firstLine="0"/>
              <w:rPr>
                <w:rFonts w:cs="Times New Roman"/>
                <w:szCs w:val="20"/>
                <w:u w:val="single"/>
                <w:lang w:val="fr-CA"/>
              </w:rPr>
            </w:pPr>
            <w:r w:rsidRPr="00EF295C">
              <w:rPr>
                <w:szCs w:val="20"/>
                <w:lang w:val="fr-CA"/>
              </w:rPr>
              <w:t>Cour suprême du Canada</w:t>
            </w: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AF4BD2" w:rsidRPr="00EF295C" w:rsidRDefault="00DA465A" w:rsidP="00665CAF">
            <w:pPr>
              <w:pStyle w:val="SCCShortJudgment"/>
              <w:ind w:firstLine="0"/>
              <w:rPr>
                <w:rFonts w:cs="Times New Roman"/>
                <w:szCs w:val="20"/>
                <w:u w:val="single"/>
                <w:lang w:val="fr-CA"/>
              </w:rPr>
            </w:pPr>
            <w:r w:rsidRPr="00EF295C">
              <w:rPr>
                <w:szCs w:val="20"/>
                <w:lang w:val="fr-CA"/>
              </w:rPr>
              <w:t>Dépôt de la demande d’autorisation d’appel avec requêtes en prorogation du délai et pour obtenir le droit de visite et faire surseoir à la décision en attendant l’issue de l’appel.</w:t>
            </w:r>
          </w:p>
        </w:tc>
      </w:tr>
    </w:tbl>
    <w:p w:rsidR="00CE52FF" w:rsidRPr="00EF295C" w:rsidRDefault="002E5FCE" w:rsidP="000E2959">
      <w:pPr>
        <w:rPr>
          <w:sz w:val="20"/>
          <w:szCs w:val="20"/>
          <w:lang w:val="fr-CA"/>
        </w:rPr>
      </w:pPr>
      <w:r>
        <w:rPr>
          <w:rFonts w:cs="Times New Roman"/>
          <w:szCs w:val="20"/>
          <w:lang w:val="fr-CA"/>
        </w:rPr>
        <w:pict>
          <v:rect id="_x0000_i1051" style="width:2in;height:1pt" o:hrpct="0" o:hralign="center" o:hrstd="t" o:hrnoshade="t" o:hr="t" fillcolor="black [3213]" stroked="f"/>
        </w:pict>
      </w:r>
    </w:p>
    <w:p w:rsidR="00CE52FF" w:rsidRPr="00EF295C" w:rsidRDefault="00CE52FF"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37005</w:t>
            </w:r>
          </w:p>
          <w:p w:rsidR="00AF4BD2" w:rsidRPr="00EF295C" w:rsidRDefault="00AF4BD2" w:rsidP="00665CAF">
            <w:pPr>
              <w:jc w:val="both"/>
              <w:rPr>
                <w:rFonts w:cs="Times New Roman"/>
                <w:b/>
                <w:sz w:val="20"/>
                <w:szCs w:val="20"/>
              </w:rPr>
            </w:pPr>
          </w:p>
        </w:tc>
        <w:tc>
          <w:tcPr>
            <w:tcW w:w="8118" w:type="dxa"/>
            <w:gridSpan w:val="3"/>
          </w:tcPr>
          <w:p w:rsidR="00AF4BD2" w:rsidRPr="00EF295C" w:rsidRDefault="00FD2FEC" w:rsidP="00665CAF">
            <w:pPr>
              <w:jc w:val="both"/>
              <w:rPr>
                <w:rFonts w:cs="Times New Roman"/>
                <w:sz w:val="20"/>
                <w:szCs w:val="20"/>
              </w:rPr>
            </w:pPr>
            <w:r w:rsidRPr="00EF295C">
              <w:rPr>
                <w:b/>
                <w:sz w:val="20"/>
                <w:szCs w:val="20"/>
                <w:u w:val="single"/>
              </w:rPr>
              <w:t xml:space="preserve">Wei Chen v. Howie, Sacks &amp; Henry LLP and Singer </w:t>
            </w:r>
            <w:proofErr w:type="spellStart"/>
            <w:r w:rsidRPr="00EF295C">
              <w:rPr>
                <w:b/>
                <w:sz w:val="20"/>
                <w:szCs w:val="20"/>
                <w:u w:val="single"/>
              </w:rPr>
              <w:t>Kwinter</w:t>
            </w:r>
            <w:proofErr w:type="spellEnd"/>
            <w:r w:rsidRPr="00EF295C">
              <w:rPr>
                <w:rFonts w:cs="Times New Roman"/>
                <w:sz w:val="20"/>
                <w:szCs w:val="20"/>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FD2FEC" w:rsidRPr="00EF295C">
              <w:rPr>
                <w:szCs w:val="20"/>
              </w:rPr>
              <w:t>The application for leave to appeal from the judgment of the Court of Appeal for Ontario, Number C60462, 2016 ONCA 213, dated March 16, 2016, is dismissed with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FD2FEC" w:rsidRPr="00EF295C">
              <w:rPr>
                <w:szCs w:val="20"/>
                <w:lang w:val="fr-CA"/>
              </w:rPr>
              <w:t xml:space="preserve">La demande d’autorisation d’appel de l’arrêt de la </w:t>
            </w:r>
            <w:r w:rsidR="00FD2FEC" w:rsidRPr="00EF295C">
              <w:rPr>
                <w:szCs w:val="20"/>
                <w:lang w:val="fr-FR"/>
              </w:rPr>
              <w:t>Cour d’appel de l’Ontario</w:t>
            </w:r>
            <w:r w:rsidR="00FD2FEC" w:rsidRPr="00EF295C">
              <w:rPr>
                <w:szCs w:val="20"/>
                <w:lang w:val="fr-CA"/>
              </w:rPr>
              <w:t xml:space="preserve">, numéro </w:t>
            </w:r>
            <w:r w:rsidR="00FD2FEC" w:rsidRPr="00EF295C">
              <w:rPr>
                <w:szCs w:val="20"/>
                <w:lang w:val="fr-FR"/>
              </w:rPr>
              <w:t>C60462, 2016 ONCA 213</w:t>
            </w:r>
            <w:r w:rsidR="00FD2FEC" w:rsidRPr="00EF295C">
              <w:rPr>
                <w:szCs w:val="20"/>
                <w:lang w:val="fr-CA"/>
              </w:rPr>
              <w:t xml:space="preserve">, daté du </w:t>
            </w:r>
            <w:r w:rsidR="00FD2FEC" w:rsidRPr="00EF295C">
              <w:rPr>
                <w:szCs w:val="20"/>
                <w:lang w:val="fr-FR"/>
              </w:rPr>
              <w:t>16 mars 2016</w:t>
            </w:r>
            <w:r w:rsidR="00FD2FEC" w:rsidRPr="00EF295C">
              <w:rPr>
                <w:szCs w:val="20"/>
                <w:lang w:val="fr-CA"/>
              </w:rPr>
              <w:t>, est rejet</w:t>
            </w:r>
            <w:r w:rsidR="00FD2FEC" w:rsidRPr="00EF295C">
              <w:rPr>
                <w:rFonts w:cs="Times New Roman"/>
                <w:szCs w:val="20"/>
                <w:lang w:val="fr-CA"/>
              </w:rPr>
              <w:t>é</w:t>
            </w:r>
            <w:r w:rsidR="00FD2FEC" w:rsidRPr="00EF295C">
              <w:rPr>
                <w:szCs w:val="20"/>
                <w:lang w:val="fr-CA"/>
              </w:rPr>
              <w:t>e avec d</w:t>
            </w:r>
            <w:r w:rsidR="00FD2FEC" w:rsidRPr="00EF295C">
              <w:rPr>
                <w:rFonts w:cs="Times New Roman"/>
                <w:szCs w:val="20"/>
                <w:lang w:val="fr-CA"/>
              </w:rPr>
              <w:t>é</w:t>
            </w:r>
            <w:r w:rsidR="00FD2FEC" w:rsidRPr="00EF295C">
              <w:rPr>
                <w:szCs w:val="20"/>
                <w:lang w:val="fr-CA"/>
              </w:rPr>
              <w:t>pens.</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DA465A" w:rsidP="00665CAF">
            <w:pPr>
              <w:pStyle w:val="SCCShortJudgment"/>
              <w:ind w:firstLine="0"/>
              <w:rPr>
                <w:bCs/>
                <w:szCs w:val="20"/>
              </w:rPr>
            </w:pPr>
            <w:r w:rsidRPr="00EF295C">
              <w:rPr>
                <w:szCs w:val="20"/>
              </w:rPr>
              <w:t xml:space="preserve">Civil procedure – Vexatious litigants – Whether the lower courts erred in granting and upholding the order denying the applicant’s request for adjournment and declaring the applicant to be a vexatious litigant – Whether the application judge erred in law in denying the applicant natural justice – Whether the application judge erred in law by exceeding jurisdiction and sanctioning service of the application record on the applicant by email, in the absence of any request that the application record be served other than in accordance with the rules – Whether the application judge erred in considering there to be urgency to the hearing of the application because of a perceived need to prevent the upcoming motion hearings – Whether the application judge erred by failing to find that the application was a malicious prosecution – </w:t>
            </w:r>
            <w:r w:rsidRPr="00EF295C">
              <w:rPr>
                <w:i/>
                <w:iCs/>
                <w:szCs w:val="20"/>
              </w:rPr>
              <w:t>Courts of Justice Act</w:t>
            </w:r>
            <w:r w:rsidRPr="00EF295C">
              <w:rPr>
                <w:szCs w:val="20"/>
              </w:rPr>
              <w:t xml:space="preserve">, </w:t>
            </w:r>
            <w:r w:rsidRPr="00EF295C">
              <w:rPr>
                <w:bCs/>
                <w:szCs w:val="20"/>
              </w:rPr>
              <w:t>R.S.O. 1990, c. C.43, s. 140.</w:t>
            </w:r>
          </w:p>
          <w:p w:rsidR="00DA465A" w:rsidRPr="00EF295C" w:rsidRDefault="00DA465A" w:rsidP="00665CAF">
            <w:pPr>
              <w:pStyle w:val="SCCShortJudgment"/>
              <w:ind w:firstLine="0"/>
              <w:rPr>
                <w:rFonts w:cs="Times New Roman"/>
                <w:szCs w:val="20"/>
              </w:rPr>
            </w:pPr>
          </w:p>
        </w:tc>
      </w:tr>
      <w:tr w:rsidR="00AF4BD2" w:rsidRPr="00EF295C" w:rsidTr="00665CAF">
        <w:trPr>
          <w:cantSplit/>
        </w:trPr>
        <w:tc>
          <w:tcPr>
            <w:tcW w:w="9576" w:type="dxa"/>
            <w:gridSpan w:val="4"/>
          </w:tcPr>
          <w:p w:rsidR="00DA465A" w:rsidRPr="00EF295C" w:rsidRDefault="00DA465A" w:rsidP="00DA465A">
            <w:pPr>
              <w:jc w:val="both"/>
              <w:rPr>
                <w:sz w:val="20"/>
                <w:szCs w:val="20"/>
              </w:rPr>
            </w:pPr>
            <w:r w:rsidRPr="00EF295C">
              <w:rPr>
                <w:sz w:val="20"/>
                <w:szCs w:val="20"/>
              </w:rPr>
              <w:t xml:space="preserve">The applicant, Mr. Chen, was involved in a motor vehicle accident. He issued a claim against his own insurer for additional accident benefits to be paid and started a tort action against those responsible for the accident. The respondent law firm of Howie, Sacks and Henry LLP were Mr. Chen’s counsel when his accident benefits claim settled. The respondent law firm of Singer </w:t>
            </w:r>
            <w:proofErr w:type="spellStart"/>
            <w:r w:rsidRPr="00EF295C">
              <w:rPr>
                <w:sz w:val="20"/>
                <w:szCs w:val="20"/>
              </w:rPr>
              <w:t>Kwinter</w:t>
            </w:r>
            <w:proofErr w:type="spellEnd"/>
            <w:r w:rsidRPr="00EF295C">
              <w:rPr>
                <w:sz w:val="20"/>
                <w:szCs w:val="20"/>
              </w:rPr>
              <w:t xml:space="preserve"> were Mr. Chen’s counsel when his tort claim was settled.</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9576" w:type="dxa"/>
            <w:gridSpan w:val="4"/>
          </w:tcPr>
          <w:p w:rsidR="00AF4BD2" w:rsidRPr="00EF295C" w:rsidRDefault="00DA465A" w:rsidP="00665CAF">
            <w:pPr>
              <w:pStyle w:val="SCCShortJudgment"/>
              <w:ind w:firstLine="0"/>
              <w:rPr>
                <w:szCs w:val="20"/>
              </w:rPr>
            </w:pPr>
            <w:r w:rsidRPr="00EF295C">
              <w:rPr>
                <w:szCs w:val="20"/>
              </w:rPr>
              <w:t xml:space="preserve">Following the settlement of his tort action, Mr. Chen began various proceedings against some of his previous lawyers, including the respondent law firms, in relation to the handling of his claims. None of these proceedings have been successful. The respondent law firms applied to the Ontario Superior Court for an order declaring Mr. Chen a vexatious litigant. Mr. Chen sought to have the application adjourned due to illness.  </w:t>
            </w:r>
          </w:p>
          <w:p w:rsidR="00DA465A" w:rsidRPr="00EF295C" w:rsidRDefault="00DA465A" w:rsidP="00665CAF">
            <w:pPr>
              <w:pStyle w:val="SCCShortJudgment"/>
              <w:ind w:firstLine="0"/>
              <w:rPr>
                <w:rFonts w:cs="Times New Roman"/>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April 21, 2015</w:t>
            </w:r>
          </w:p>
          <w:p w:rsidR="00DA465A" w:rsidRPr="00EF295C" w:rsidRDefault="00DA465A" w:rsidP="00DA465A">
            <w:pPr>
              <w:rPr>
                <w:sz w:val="20"/>
                <w:szCs w:val="20"/>
              </w:rPr>
            </w:pPr>
            <w:r w:rsidRPr="00EF295C">
              <w:rPr>
                <w:sz w:val="20"/>
                <w:szCs w:val="20"/>
              </w:rPr>
              <w:t>Ontario Superior Court of Justice</w:t>
            </w:r>
          </w:p>
          <w:p w:rsidR="00DA465A" w:rsidRPr="00EF295C" w:rsidRDefault="00DA465A" w:rsidP="00DA465A">
            <w:pPr>
              <w:rPr>
                <w:sz w:val="20"/>
                <w:szCs w:val="20"/>
              </w:rPr>
            </w:pPr>
            <w:r w:rsidRPr="00EF295C">
              <w:rPr>
                <w:sz w:val="20"/>
                <w:szCs w:val="20"/>
              </w:rPr>
              <w:t>(Dow J.)</w:t>
            </w:r>
          </w:p>
          <w:p w:rsidR="00DA465A" w:rsidRPr="00EF295C" w:rsidRDefault="002E5FCE" w:rsidP="00DA465A">
            <w:pPr>
              <w:rPr>
                <w:sz w:val="20"/>
                <w:szCs w:val="20"/>
              </w:rPr>
            </w:pPr>
            <w:hyperlink r:id="rId30" w:history="1">
              <w:r w:rsidR="00DA465A" w:rsidRPr="00EF295C">
                <w:rPr>
                  <w:rStyle w:val="Hyperlink"/>
                  <w:sz w:val="20"/>
                  <w:szCs w:val="20"/>
                </w:rPr>
                <w:t>2015 ONSC 2501</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jc w:val="both"/>
              <w:rPr>
                <w:sz w:val="20"/>
                <w:szCs w:val="20"/>
              </w:rPr>
            </w:pPr>
            <w:r w:rsidRPr="00EF295C">
              <w:rPr>
                <w:sz w:val="20"/>
                <w:szCs w:val="20"/>
              </w:rPr>
              <w:t xml:space="preserve">Request for adjournment denied; order declaring applicant vexatious litigant granted </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lastRenderedPageBreak/>
              <w:t>March 16, 2016</w:t>
            </w:r>
          </w:p>
          <w:p w:rsidR="00DA465A" w:rsidRPr="00EF295C" w:rsidRDefault="00DA465A" w:rsidP="00DA465A">
            <w:pPr>
              <w:rPr>
                <w:sz w:val="20"/>
                <w:szCs w:val="20"/>
              </w:rPr>
            </w:pPr>
            <w:r w:rsidRPr="00EF295C">
              <w:rPr>
                <w:sz w:val="20"/>
                <w:szCs w:val="20"/>
              </w:rPr>
              <w:t>Court of Appeal for Ontario</w:t>
            </w:r>
          </w:p>
          <w:p w:rsidR="00DA465A" w:rsidRPr="00EF295C" w:rsidRDefault="00DA465A" w:rsidP="00DA465A">
            <w:pPr>
              <w:rPr>
                <w:sz w:val="20"/>
                <w:szCs w:val="20"/>
                <w:lang w:val="en-US"/>
              </w:rPr>
            </w:pPr>
            <w:r w:rsidRPr="00EF295C">
              <w:rPr>
                <w:sz w:val="20"/>
                <w:szCs w:val="20"/>
                <w:lang w:val="en-US"/>
              </w:rPr>
              <w:t>(</w:t>
            </w:r>
            <w:proofErr w:type="spellStart"/>
            <w:r w:rsidRPr="00EF295C">
              <w:rPr>
                <w:sz w:val="20"/>
                <w:szCs w:val="20"/>
                <w:lang w:val="en-US"/>
              </w:rPr>
              <w:t>LaForme</w:t>
            </w:r>
            <w:proofErr w:type="spellEnd"/>
            <w:r w:rsidRPr="00EF295C">
              <w:rPr>
                <w:sz w:val="20"/>
                <w:szCs w:val="20"/>
                <w:lang w:val="en-US"/>
              </w:rPr>
              <w:t xml:space="preserve">, </w:t>
            </w:r>
            <w:proofErr w:type="spellStart"/>
            <w:r w:rsidRPr="00EF295C">
              <w:rPr>
                <w:sz w:val="20"/>
                <w:szCs w:val="20"/>
                <w:lang w:val="en-US"/>
              </w:rPr>
              <w:t>Pardu</w:t>
            </w:r>
            <w:proofErr w:type="spellEnd"/>
            <w:r w:rsidRPr="00EF295C">
              <w:rPr>
                <w:sz w:val="20"/>
                <w:szCs w:val="20"/>
                <w:lang w:val="en-US"/>
              </w:rPr>
              <w:t xml:space="preserve"> and Roberts JJ.A.)</w:t>
            </w:r>
          </w:p>
          <w:p w:rsidR="00DA465A" w:rsidRPr="00EF295C" w:rsidRDefault="002E5FCE" w:rsidP="00DA465A">
            <w:pPr>
              <w:rPr>
                <w:sz w:val="20"/>
                <w:szCs w:val="20"/>
              </w:rPr>
            </w:pPr>
            <w:hyperlink r:id="rId31" w:history="1">
              <w:r w:rsidR="00DA465A" w:rsidRPr="00EF295C">
                <w:rPr>
                  <w:rStyle w:val="Hyperlink"/>
                  <w:sz w:val="20"/>
                  <w:szCs w:val="20"/>
                </w:rPr>
                <w:t>2016 ONCA 213</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 xml:space="preserve">Appeal dismissed </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May 11, 2016</w:t>
            </w:r>
          </w:p>
          <w:p w:rsidR="00DA465A" w:rsidRPr="00EF295C" w:rsidRDefault="00DA465A" w:rsidP="00DA465A">
            <w:pPr>
              <w:rPr>
                <w:sz w:val="20"/>
                <w:szCs w:val="20"/>
              </w:rPr>
            </w:pPr>
            <w:r w:rsidRPr="00EF295C">
              <w:rPr>
                <w:sz w:val="20"/>
                <w:szCs w:val="20"/>
              </w:rPr>
              <w:t>Supreme Court of Canada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Application for leave to appeal filed</w:t>
            </w:r>
          </w:p>
          <w:p w:rsidR="00AF4BD2" w:rsidRPr="00EF295C" w:rsidRDefault="00AF4BD2" w:rsidP="00665CAF">
            <w:pPr>
              <w:jc w:val="both"/>
              <w:rPr>
                <w:rFonts w:cs="Times New Roman"/>
                <w:sz w:val="20"/>
                <w:szCs w:val="20"/>
              </w:rPr>
            </w:pP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DA465A" w:rsidP="00665CAF">
            <w:pPr>
              <w:pStyle w:val="SCCShortJudgment"/>
              <w:ind w:firstLine="0"/>
              <w:rPr>
                <w:bCs/>
                <w:szCs w:val="20"/>
                <w:lang w:val="fr-CA"/>
              </w:rPr>
            </w:pPr>
            <w:r w:rsidRPr="00EF295C">
              <w:rPr>
                <w:szCs w:val="20"/>
                <w:lang w:val="fr-CA"/>
              </w:rPr>
              <w:t xml:space="preserve">Procédure civile – Plaideurs vexatoires – Les cours d’instance inférieure </w:t>
            </w:r>
            <w:proofErr w:type="spellStart"/>
            <w:r w:rsidRPr="00EF295C">
              <w:rPr>
                <w:szCs w:val="20"/>
                <w:lang w:val="fr-CA"/>
              </w:rPr>
              <w:t>ont-elles</w:t>
            </w:r>
            <w:proofErr w:type="spellEnd"/>
            <w:r w:rsidRPr="00EF295C">
              <w:rPr>
                <w:szCs w:val="20"/>
                <w:lang w:val="fr-CA"/>
              </w:rPr>
              <w:t xml:space="preserve"> accordé et confirmé à tort l’ordonnance refusant l’ajournement demandé par le demandeur et en déclarant que ce dernier est un plaideur vexatoire? – Le juge des requêtes </w:t>
            </w:r>
            <w:proofErr w:type="spellStart"/>
            <w:r w:rsidRPr="00EF295C">
              <w:rPr>
                <w:szCs w:val="20"/>
                <w:lang w:val="fr-CA"/>
              </w:rPr>
              <w:t>a-t-il</w:t>
            </w:r>
            <w:proofErr w:type="spellEnd"/>
            <w:r w:rsidRPr="00EF295C">
              <w:rPr>
                <w:szCs w:val="20"/>
                <w:lang w:val="fr-CA"/>
              </w:rPr>
              <w:t xml:space="preserve"> commis une erreur de droit en privant le demandeur de l’application des règles de justice naturelle? Le juge des requêtes </w:t>
            </w:r>
            <w:proofErr w:type="spellStart"/>
            <w:r w:rsidRPr="00EF295C">
              <w:rPr>
                <w:szCs w:val="20"/>
                <w:lang w:val="fr-CA"/>
              </w:rPr>
              <w:t>a-t-il</w:t>
            </w:r>
            <w:proofErr w:type="spellEnd"/>
            <w:r w:rsidRPr="00EF295C">
              <w:rPr>
                <w:szCs w:val="20"/>
                <w:lang w:val="fr-CA"/>
              </w:rPr>
              <w:t xml:space="preserve"> commis une erreur de droit en outrepassant sa compétence et en sanctionnant la signification du dossier de requête par courriel au demandeur, en l’absence d’une requête en dérogation aux règles? – Le juge des requêtes </w:t>
            </w:r>
            <w:proofErr w:type="spellStart"/>
            <w:r w:rsidRPr="00EF295C">
              <w:rPr>
                <w:szCs w:val="20"/>
                <w:lang w:val="fr-CA"/>
              </w:rPr>
              <w:t>a-t-il</w:t>
            </w:r>
            <w:proofErr w:type="spellEnd"/>
            <w:r w:rsidRPr="00EF295C">
              <w:rPr>
                <w:szCs w:val="20"/>
                <w:lang w:val="fr-CA"/>
              </w:rPr>
              <w:t xml:space="preserve"> commis une erreur en déterminant que l’audition de la requête était urgente en raison de la nécessité perçue d’empêcher la tenue des audiences sur les motions? – Le juge des requêtes </w:t>
            </w:r>
            <w:proofErr w:type="spellStart"/>
            <w:r w:rsidRPr="00EF295C">
              <w:rPr>
                <w:szCs w:val="20"/>
                <w:lang w:val="fr-CA"/>
              </w:rPr>
              <w:t>a-t-il</w:t>
            </w:r>
            <w:proofErr w:type="spellEnd"/>
            <w:r w:rsidRPr="00EF295C">
              <w:rPr>
                <w:szCs w:val="20"/>
                <w:lang w:val="fr-CA"/>
              </w:rPr>
              <w:t xml:space="preserve"> commis une erreur en omettant de conclure à une poursuite abusive? – </w:t>
            </w:r>
            <w:r w:rsidRPr="00EF295C">
              <w:rPr>
                <w:i/>
                <w:szCs w:val="20"/>
                <w:lang w:val="fr-CA"/>
              </w:rPr>
              <w:t>Loi sur les tribunaux judiciaires</w:t>
            </w:r>
            <w:r w:rsidRPr="00EF295C">
              <w:rPr>
                <w:szCs w:val="20"/>
                <w:lang w:val="fr-CA"/>
              </w:rPr>
              <w:t>, L</w:t>
            </w:r>
            <w:r w:rsidRPr="00EF295C">
              <w:rPr>
                <w:bCs/>
                <w:szCs w:val="20"/>
                <w:lang w:val="fr-CA"/>
              </w:rPr>
              <w:t>.R.O. 1990, c. C.43, art. 140.</w:t>
            </w:r>
          </w:p>
          <w:p w:rsidR="00DA465A" w:rsidRPr="00EF295C" w:rsidRDefault="00DA465A"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DA465A" w:rsidRPr="00EF295C" w:rsidRDefault="00DA465A" w:rsidP="00DA465A">
            <w:pPr>
              <w:jc w:val="both"/>
              <w:rPr>
                <w:sz w:val="20"/>
                <w:szCs w:val="20"/>
                <w:lang w:val="fr-CA"/>
              </w:rPr>
            </w:pPr>
            <w:r w:rsidRPr="00EF295C">
              <w:rPr>
                <w:sz w:val="20"/>
                <w:szCs w:val="20"/>
                <w:lang w:val="fr-CA"/>
              </w:rPr>
              <w:t xml:space="preserve">Le demandeur, M. Chen, a eu un accident de la route. Il a réclamé à son assureur des prestations supplémentaires et a intenté une action en responsabilité délictuelle contre les responsables de l’accident. Le cabinet d’avocats </w:t>
            </w:r>
            <w:proofErr w:type="spellStart"/>
            <w:r w:rsidRPr="00EF295C">
              <w:rPr>
                <w:sz w:val="20"/>
                <w:szCs w:val="20"/>
                <w:lang w:val="fr-CA"/>
              </w:rPr>
              <w:t>Howie</w:t>
            </w:r>
            <w:proofErr w:type="spellEnd"/>
            <w:r w:rsidRPr="00EF295C">
              <w:rPr>
                <w:sz w:val="20"/>
                <w:szCs w:val="20"/>
                <w:lang w:val="fr-CA"/>
              </w:rPr>
              <w:t xml:space="preserve">, </w:t>
            </w:r>
            <w:proofErr w:type="spellStart"/>
            <w:r w:rsidRPr="00EF295C">
              <w:rPr>
                <w:sz w:val="20"/>
                <w:szCs w:val="20"/>
                <w:lang w:val="fr-CA"/>
              </w:rPr>
              <w:t>Sacks</w:t>
            </w:r>
            <w:proofErr w:type="spellEnd"/>
            <w:r w:rsidRPr="00EF295C">
              <w:rPr>
                <w:sz w:val="20"/>
                <w:szCs w:val="20"/>
                <w:lang w:val="fr-CA"/>
              </w:rPr>
              <w:t xml:space="preserve"> et Henry LLP, intimés, représentait M. Chen lorsque la réclamation d’assurance a été réglée. Le bureau d’avocats Singer </w:t>
            </w:r>
            <w:proofErr w:type="spellStart"/>
            <w:r w:rsidRPr="00EF295C">
              <w:rPr>
                <w:sz w:val="20"/>
                <w:szCs w:val="20"/>
                <w:lang w:val="fr-CA"/>
              </w:rPr>
              <w:t>Kwinter</w:t>
            </w:r>
            <w:proofErr w:type="spellEnd"/>
            <w:r w:rsidRPr="00EF295C">
              <w:rPr>
                <w:sz w:val="20"/>
                <w:szCs w:val="20"/>
                <w:lang w:val="fr-CA"/>
              </w:rPr>
              <w:t xml:space="preserve"> le représentait lorsque l’action en responsabilité délictuelle a été réglée.</w:t>
            </w:r>
          </w:p>
          <w:p w:rsidR="00AF4BD2" w:rsidRPr="00EF295C" w:rsidRDefault="00AF4BD2" w:rsidP="00665CAF">
            <w:pPr>
              <w:jc w:val="both"/>
              <w:rPr>
                <w:rFonts w:cs="Times New Roman"/>
                <w:sz w:val="20"/>
                <w:szCs w:val="20"/>
                <w:u w:val="single"/>
                <w:lang w:val="fr-CA"/>
              </w:rPr>
            </w:pPr>
          </w:p>
        </w:tc>
      </w:tr>
      <w:tr w:rsidR="00AF4BD2" w:rsidRPr="002E5FCE" w:rsidTr="00665CAF">
        <w:trPr>
          <w:cantSplit/>
        </w:trPr>
        <w:tc>
          <w:tcPr>
            <w:tcW w:w="9576" w:type="dxa"/>
            <w:gridSpan w:val="4"/>
          </w:tcPr>
          <w:p w:rsidR="00AF4BD2" w:rsidRPr="00EF295C" w:rsidRDefault="00DA465A" w:rsidP="00665CAF">
            <w:pPr>
              <w:pStyle w:val="SCCShortJudgment"/>
              <w:ind w:firstLine="0"/>
              <w:rPr>
                <w:szCs w:val="20"/>
                <w:lang w:val="fr-CA"/>
              </w:rPr>
            </w:pPr>
            <w:r w:rsidRPr="00EF295C">
              <w:rPr>
                <w:szCs w:val="20"/>
                <w:lang w:val="fr-CA"/>
              </w:rPr>
              <w:t xml:space="preserve">À l’issue du règlement de l’action en responsabilité délictuelle, M. Chen a intenté des actions contre certains des avocats l’ayant représenté auparavant, dont les cabinets intimés, relativement au traitement de ses réclamations et demandes. Il n’a pas eu gain de cause. Les cabinets intimés ont demandé à la Cour supérieure de justice de l’Ontario de déclarer que M. Chen est un plaideur vexatoire. M. Chen a demandé l’ajournement de l’audition de la requête pour cause de maladie.  </w:t>
            </w:r>
          </w:p>
          <w:p w:rsidR="00DA465A" w:rsidRPr="00EF295C" w:rsidRDefault="00DA465A"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Le 21 avril 2015</w:t>
            </w:r>
          </w:p>
          <w:p w:rsidR="00DA465A" w:rsidRPr="00EF295C" w:rsidRDefault="00DA465A" w:rsidP="00DA465A">
            <w:pPr>
              <w:rPr>
                <w:sz w:val="20"/>
                <w:szCs w:val="20"/>
                <w:lang w:val="fr-CA"/>
              </w:rPr>
            </w:pPr>
            <w:r w:rsidRPr="00EF295C">
              <w:rPr>
                <w:sz w:val="20"/>
                <w:szCs w:val="20"/>
                <w:lang w:val="fr-CA"/>
              </w:rPr>
              <w:t xml:space="preserve">Cour supérieure de justice de l’Ontario </w:t>
            </w:r>
          </w:p>
          <w:p w:rsidR="00DA465A" w:rsidRPr="00EF295C" w:rsidRDefault="00DA465A" w:rsidP="00DA465A">
            <w:pPr>
              <w:rPr>
                <w:sz w:val="20"/>
                <w:szCs w:val="20"/>
              </w:rPr>
            </w:pPr>
            <w:r w:rsidRPr="00EF295C">
              <w:rPr>
                <w:sz w:val="20"/>
                <w:szCs w:val="20"/>
              </w:rPr>
              <w:t>(Juge Dow)</w:t>
            </w:r>
          </w:p>
          <w:p w:rsidR="00DA465A" w:rsidRPr="00EF295C" w:rsidRDefault="002E5FCE" w:rsidP="00DA465A">
            <w:pPr>
              <w:rPr>
                <w:sz w:val="20"/>
                <w:szCs w:val="20"/>
              </w:rPr>
            </w:pPr>
            <w:hyperlink r:id="rId32" w:history="1">
              <w:r w:rsidR="00DA465A" w:rsidRPr="00EF295C">
                <w:rPr>
                  <w:rStyle w:val="Hyperlink"/>
                  <w:sz w:val="20"/>
                  <w:szCs w:val="20"/>
                </w:rPr>
                <w:t>2015 ONSC 2501</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jc w:val="both"/>
              <w:rPr>
                <w:sz w:val="20"/>
                <w:szCs w:val="20"/>
                <w:lang w:val="fr-CA"/>
              </w:rPr>
            </w:pPr>
            <w:r w:rsidRPr="00EF295C">
              <w:rPr>
                <w:sz w:val="20"/>
                <w:szCs w:val="20"/>
                <w:lang w:val="fr-CA"/>
              </w:rPr>
              <w:t xml:space="preserve">Rejet de la demande d’ajournement; ordonnance déclarant que le demandeur est un plaideur vexatoire </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Le 16 mars 2016</w:t>
            </w:r>
          </w:p>
          <w:p w:rsidR="00DA465A" w:rsidRPr="00EF295C" w:rsidRDefault="00DA465A" w:rsidP="00DA465A">
            <w:pPr>
              <w:rPr>
                <w:sz w:val="20"/>
                <w:szCs w:val="20"/>
                <w:lang w:val="fr-CA"/>
              </w:rPr>
            </w:pPr>
            <w:r w:rsidRPr="00EF295C">
              <w:rPr>
                <w:sz w:val="20"/>
                <w:szCs w:val="20"/>
                <w:lang w:val="fr-CA"/>
              </w:rPr>
              <w:t>Cour d’appel de l’Ontario</w:t>
            </w:r>
          </w:p>
          <w:p w:rsidR="00DA465A" w:rsidRPr="00EF295C" w:rsidRDefault="00DA465A" w:rsidP="00DA465A">
            <w:pPr>
              <w:rPr>
                <w:sz w:val="20"/>
                <w:szCs w:val="20"/>
                <w:lang w:val="fr-CA"/>
              </w:rPr>
            </w:pPr>
            <w:r w:rsidRPr="00EF295C">
              <w:rPr>
                <w:sz w:val="20"/>
                <w:szCs w:val="20"/>
                <w:lang w:val="fr-CA"/>
              </w:rPr>
              <w:t xml:space="preserve">(Juges </w:t>
            </w:r>
            <w:proofErr w:type="spellStart"/>
            <w:r w:rsidRPr="00EF295C">
              <w:rPr>
                <w:sz w:val="20"/>
                <w:szCs w:val="20"/>
                <w:lang w:val="fr-CA"/>
              </w:rPr>
              <w:t>LaForme</w:t>
            </w:r>
            <w:proofErr w:type="spellEnd"/>
            <w:r w:rsidRPr="00EF295C">
              <w:rPr>
                <w:sz w:val="20"/>
                <w:szCs w:val="20"/>
                <w:lang w:val="fr-CA"/>
              </w:rPr>
              <w:t xml:space="preserve">, </w:t>
            </w:r>
            <w:proofErr w:type="spellStart"/>
            <w:r w:rsidRPr="00EF295C">
              <w:rPr>
                <w:sz w:val="20"/>
                <w:szCs w:val="20"/>
                <w:lang w:val="fr-CA"/>
              </w:rPr>
              <w:t>Pardu</w:t>
            </w:r>
            <w:proofErr w:type="spellEnd"/>
            <w:r w:rsidRPr="00EF295C">
              <w:rPr>
                <w:sz w:val="20"/>
                <w:szCs w:val="20"/>
                <w:lang w:val="fr-CA"/>
              </w:rPr>
              <w:t xml:space="preserve"> et Roberts)</w:t>
            </w:r>
          </w:p>
          <w:p w:rsidR="00DA465A" w:rsidRPr="00EF295C" w:rsidRDefault="002E5FCE" w:rsidP="00DA465A">
            <w:pPr>
              <w:rPr>
                <w:sz w:val="20"/>
                <w:szCs w:val="20"/>
              </w:rPr>
            </w:pPr>
            <w:hyperlink r:id="rId33" w:history="1">
              <w:r w:rsidR="00DA465A" w:rsidRPr="00EF295C">
                <w:rPr>
                  <w:rStyle w:val="Hyperlink"/>
                  <w:sz w:val="20"/>
                  <w:szCs w:val="20"/>
                </w:rPr>
                <w:t>2016 ONCA 213</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rPr>
                <w:sz w:val="20"/>
                <w:szCs w:val="20"/>
              </w:rPr>
            </w:pPr>
            <w:proofErr w:type="spellStart"/>
            <w:r w:rsidRPr="00EF295C">
              <w:rPr>
                <w:sz w:val="20"/>
                <w:szCs w:val="20"/>
              </w:rPr>
              <w:t>Rejet</w:t>
            </w:r>
            <w:proofErr w:type="spellEnd"/>
            <w:r w:rsidRPr="00EF295C">
              <w:rPr>
                <w:sz w:val="20"/>
                <w:szCs w:val="20"/>
              </w:rPr>
              <w:t xml:space="preserve"> de </w:t>
            </w:r>
            <w:proofErr w:type="spellStart"/>
            <w:r w:rsidRPr="00EF295C">
              <w:rPr>
                <w:sz w:val="20"/>
                <w:szCs w:val="20"/>
              </w:rPr>
              <w:t>l’appel</w:t>
            </w:r>
            <w:proofErr w:type="spellEnd"/>
            <w:r w:rsidRPr="00EF295C">
              <w:rPr>
                <w:sz w:val="20"/>
                <w:szCs w:val="20"/>
              </w:rPr>
              <w:t xml:space="preserv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Le 11 mai 2016</w:t>
            </w:r>
          </w:p>
          <w:p w:rsidR="00DA465A" w:rsidRPr="00EF295C" w:rsidRDefault="00DA465A" w:rsidP="00DA465A">
            <w:pPr>
              <w:rPr>
                <w:sz w:val="20"/>
                <w:szCs w:val="20"/>
                <w:lang w:val="fr-CA"/>
              </w:rPr>
            </w:pPr>
            <w:r w:rsidRPr="00EF295C">
              <w:rPr>
                <w:sz w:val="20"/>
                <w:szCs w:val="20"/>
                <w:lang w:val="fr-CA"/>
              </w:rPr>
              <w:t>Cour suprême du Canada</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rPr>
                <w:sz w:val="20"/>
                <w:szCs w:val="20"/>
                <w:lang w:val="fr-CA"/>
              </w:rPr>
            </w:pPr>
            <w:r w:rsidRPr="00EF295C">
              <w:rPr>
                <w:sz w:val="20"/>
                <w:szCs w:val="20"/>
                <w:lang w:val="fr-CA"/>
              </w:rPr>
              <w:t>Dépôt de la demande d’autorisation d’appel</w:t>
            </w:r>
          </w:p>
          <w:p w:rsidR="00AF4BD2" w:rsidRPr="00EF295C" w:rsidRDefault="00AF4BD2" w:rsidP="00665CAF">
            <w:pPr>
              <w:pStyle w:val="SCCShortJudgment"/>
              <w:ind w:firstLine="0"/>
              <w:rPr>
                <w:rFonts w:cs="Times New Roman"/>
                <w:szCs w:val="20"/>
                <w:u w:val="single"/>
                <w:lang w:val="fr-CA"/>
              </w:rPr>
            </w:pPr>
          </w:p>
        </w:tc>
      </w:tr>
    </w:tbl>
    <w:p w:rsidR="00CE52FF" w:rsidRPr="00EF295C" w:rsidRDefault="002E5FCE" w:rsidP="000E2959">
      <w:pPr>
        <w:rPr>
          <w:sz w:val="20"/>
          <w:szCs w:val="20"/>
          <w:lang w:val="fr-CA"/>
        </w:rPr>
      </w:pPr>
      <w:r>
        <w:rPr>
          <w:rFonts w:cs="Times New Roman"/>
          <w:szCs w:val="20"/>
          <w:lang w:val="fr-CA"/>
        </w:rPr>
        <w:pict>
          <v:rect id="_x0000_i1053" style="width:2in;height:1pt" o:hrpct="0" o:hralign="center" o:hrstd="t" o:hrnoshade="t" o:hr="t" fillcolor="black [3213]" stroked="f"/>
        </w:pict>
      </w:r>
    </w:p>
    <w:p w:rsidR="00AF4BD2" w:rsidRPr="00EF295C" w:rsidRDefault="00AF4BD2" w:rsidP="000E2959">
      <w:pPr>
        <w:rPr>
          <w:sz w:val="20"/>
          <w:szCs w:val="20"/>
          <w:lang w:val="fr-CA"/>
        </w:rPr>
      </w:pPr>
    </w:p>
    <w:p w:rsidR="00DA465A" w:rsidRPr="00EF295C" w:rsidRDefault="00DA465A">
      <w:r w:rsidRPr="00EF295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lastRenderedPageBreak/>
              <w:t>37013</w:t>
            </w:r>
          </w:p>
          <w:p w:rsidR="00AF4BD2" w:rsidRPr="00EF295C" w:rsidRDefault="00AF4BD2" w:rsidP="00665CAF">
            <w:pPr>
              <w:jc w:val="both"/>
              <w:rPr>
                <w:rFonts w:cs="Times New Roman"/>
                <w:b/>
                <w:sz w:val="20"/>
                <w:szCs w:val="20"/>
              </w:rPr>
            </w:pPr>
          </w:p>
        </w:tc>
        <w:tc>
          <w:tcPr>
            <w:tcW w:w="8118" w:type="dxa"/>
            <w:gridSpan w:val="3"/>
          </w:tcPr>
          <w:p w:rsidR="00AF4BD2" w:rsidRPr="00EF295C" w:rsidRDefault="00FD2FEC" w:rsidP="00665CAF">
            <w:pPr>
              <w:jc w:val="both"/>
              <w:rPr>
                <w:rFonts w:cs="Times New Roman"/>
                <w:sz w:val="20"/>
                <w:szCs w:val="20"/>
              </w:rPr>
            </w:pPr>
            <w:r w:rsidRPr="00EF295C">
              <w:rPr>
                <w:b/>
                <w:sz w:val="20"/>
                <w:szCs w:val="20"/>
                <w:u w:val="single"/>
              </w:rPr>
              <w:t xml:space="preserve">Richard </w:t>
            </w:r>
            <w:proofErr w:type="spellStart"/>
            <w:r w:rsidRPr="00EF295C">
              <w:rPr>
                <w:b/>
                <w:sz w:val="20"/>
                <w:szCs w:val="20"/>
                <w:u w:val="single"/>
              </w:rPr>
              <w:t>Quansah</w:t>
            </w:r>
            <w:proofErr w:type="spellEnd"/>
            <w:r w:rsidRPr="00EF295C">
              <w:rPr>
                <w:b/>
                <w:sz w:val="20"/>
                <w:szCs w:val="20"/>
                <w:u w:val="single"/>
              </w:rPr>
              <w:t xml:space="preserve"> v. Her Majesty the Queen</w:t>
            </w:r>
            <w:r w:rsidRPr="00EF295C">
              <w:rPr>
                <w:rFonts w:cs="Times New Roman"/>
                <w:sz w:val="20"/>
                <w:szCs w:val="20"/>
              </w:rPr>
              <w:t xml:space="preserve"> </w:t>
            </w:r>
            <w:r w:rsidR="00AF4BD2" w:rsidRPr="00EF295C">
              <w:rPr>
                <w:rFonts w:cs="Times New Roman"/>
                <w:sz w:val="20"/>
                <w:szCs w:val="20"/>
              </w:rPr>
              <w:t>(Ont.) (C</w:t>
            </w:r>
            <w:r w:rsidRPr="00EF295C">
              <w:rPr>
                <w:rFonts w:cs="Times New Roman"/>
                <w:sz w:val="20"/>
                <w:szCs w:val="20"/>
              </w:rPr>
              <w:t>rim.</w:t>
            </w:r>
            <w:r w:rsidR="00AF4BD2" w:rsidRPr="00EF295C">
              <w:rPr>
                <w:rFonts w:cs="Times New Roman"/>
                <w:sz w:val="20"/>
                <w:szCs w:val="20"/>
              </w:rPr>
              <w:t>)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FD2FEC" w:rsidRPr="00EF295C">
              <w:rPr>
                <w:szCs w:val="20"/>
              </w:rPr>
              <w:t>The motion for an extension of time to serve and file the application for leave to appeal is granted. The motion for an extension of time to serve and file the response is granted. The application for leave to appeal from the judgment of the Court of Appeal for Ontario, Number C47082, 2015 ONCA 237, dated April 10, 2015, is dismissed.</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FD2FEC" w:rsidRPr="00EF295C">
              <w:rPr>
                <w:szCs w:val="20"/>
                <w:lang w:val="fr-CA"/>
              </w:rPr>
              <w:t>La requ</w:t>
            </w:r>
            <w:r w:rsidR="00FD2FEC" w:rsidRPr="00EF295C">
              <w:rPr>
                <w:rFonts w:cs="Times New Roman"/>
                <w:szCs w:val="20"/>
                <w:lang w:val="fr-CA"/>
              </w:rPr>
              <w:t>ê</w:t>
            </w:r>
            <w:r w:rsidR="00FD2FEC" w:rsidRPr="00EF295C">
              <w:rPr>
                <w:szCs w:val="20"/>
                <w:lang w:val="fr-CA"/>
              </w:rPr>
              <w:t>te en prorogation du d</w:t>
            </w:r>
            <w:r w:rsidR="00FD2FEC" w:rsidRPr="00EF295C">
              <w:rPr>
                <w:rFonts w:cs="Times New Roman"/>
                <w:szCs w:val="20"/>
                <w:lang w:val="fr-CA"/>
              </w:rPr>
              <w:t>é</w:t>
            </w:r>
            <w:r w:rsidR="00FD2FEC" w:rsidRPr="00EF295C">
              <w:rPr>
                <w:szCs w:val="20"/>
                <w:lang w:val="fr-CA"/>
              </w:rPr>
              <w:t>lai de signification et de d</w:t>
            </w:r>
            <w:r w:rsidR="00FD2FEC" w:rsidRPr="00EF295C">
              <w:rPr>
                <w:rFonts w:cs="Times New Roman"/>
                <w:szCs w:val="20"/>
                <w:lang w:val="fr-CA"/>
              </w:rPr>
              <w:t>é</w:t>
            </w:r>
            <w:r w:rsidR="00FD2FEC" w:rsidRPr="00EF295C">
              <w:rPr>
                <w:szCs w:val="20"/>
                <w:lang w:val="fr-CA"/>
              </w:rPr>
              <w:t>p</w:t>
            </w:r>
            <w:r w:rsidR="00FD2FEC" w:rsidRPr="00EF295C">
              <w:rPr>
                <w:rFonts w:cs="Times New Roman"/>
                <w:szCs w:val="20"/>
                <w:lang w:val="fr-CA"/>
              </w:rPr>
              <w:t>ô</w:t>
            </w:r>
            <w:r w:rsidR="00FD2FEC" w:rsidRPr="00EF295C">
              <w:rPr>
                <w:szCs w:val="20"/>
                <w:lang w:val="fr-CA"/>
              </w:rPr>
              <w:t>t de la demande d’autorisation d’appel est accueillie. La requ</w:t>
            </w:r>
            <w:r w:rsidR="00FD2FEC" w:rsidRPr="00EF295C">
              <w:rPr>
                <w:rFonts w:cs="Times New Roman"/>
                <w:szCs w:val="20"/>
                <w:lang w:val="fr-CA"/>
              </w:rPr>
              <w:t>ê</w:t>
            </w:r>
            <w:r w:rsidR="00FD2FEC" w:rsidRPr="00EF295C">
              <w:rPr>
                <w:szCs w:val="20"/>
                <w:lang w:val="fr-CA"/>
              </w:rPr>
              <w:t>te en prorogation du d</w:t>
            </w:r>
            <w:r w:rsidR="00FD2FEC" w:rsidRPr="00EF295C">
              <w:rPr>
                <w:rFonts w:cs="Times New Roman"/>
                <w:szCs w:val="20"/>
                <w:lang w:val="fr-CA"/>
              </w:rPr>
              <w:t>é</w:t>
            </w:r>
            <w:r w:rsidR="00FD2FEC" w:rsidRPr="00EF295C">
              <w:rPr>
                <w:szCs w:val="20"/>
                <w:lang w:val="fr-CA"/>
              </w:rPr>
              <w:t>lai de signification et de d</w:t>
            </w:r>
            <w:r w:rsidR="00FD2FEC" w:rsidRPr="00EF295C">
              <w:rPr>
                <w:rFonts w:cs="Times New Roman"/>
                <w:szCs w:val="20"/>
                <w:lang w:val="fr-CA"/>
              </w:rPr>
              <w:t>é</w:t>
            </w:r>
            <w:r w:rsidR="00FD2FEC" w:rsidRPr="00EF295C">
              <w:rPr>
                <w:szCs w:val="20"/>
                <w:lang w:val="fr-CA"/>
              </w:rPr>
              <w:t>p</w:t>
            </w:r>
            <w:r w:rsidR="00FD2FEC" w:rsidRPr="00EF295C">
              <w:rPr>
                <w:rFonts w:cs="Times New Roman"/>
                <w:szCs w:val="20"/>
                <w:lang w:val="fr-CA"/>
              </w:rPr>
              <w:t>ô</w:t>
            </w:r>
            <w:r w:rsidR="00FD2FEC" w:rsidRPr="00EF295C">
              <w:rPr>
                <w:szCs w:val="20"/>
                <w:lang w:val="fr-CA"/>
              </w:rPr>
              <w:t>t de la r</w:t>
            </w:r>
            <w:r w:rsidR="00FD2FEC" w:rsidRPr="00EF295C">
              <w:rPr>
                <w:rFonts w:cs="Times New Roman"/>
                <w:szCs w:val="20"/>
                <w:lang w:val="fr-CA"/>
              </w:rPr>
              <w:t>é</w:t>
            </w:r>
            <w:r w:rsidR="00FD2FEC" w:rsidRPr="00EF295C">
              <w:rPr>
                <w:szCs w:val="20"/>
                <w:lang w:val="fr-CA"/>
              </w:rPr>
              <w:t xml:space="preserve">ponse est accueillie. La demande d’autorisation d’appel de l’arrêt de la </w:t>
            </w:r>
            <w:r w:rsidR="00FD2FEC" w:rsidRPr="00EF295C">
              <w:rPr>
                <w:szCs w:val="20"/>
                <w:lang w:val="fr-FR"/>
              </w:rPr>
              <w:t>Cour d’appel de l’Ontario</w:t>
            </w:r>
            <w:r w:rsidR="00FD2FEC" w:rsidRPr="00EF295C">
              <w:rPr>
                <w:szCs w:val="20"/>
                <w:lang w:val="fr-CA"/>
              </w:rPr>
              <w:t xml:space="preserve">, numéro </w:t>
            </w:r>
            <w:r w:rsidR="00FD2FEC" w:rsidRPr="00EF295C">
              <w:rPr>
                <w:szCs w:val="20"/>
                <w:lang w:val="fr-FR"/>
              </w:rPr>
              <w:t>C47082, 2015 ONCA 237</w:t>
            </w:r>
            <w:r w:rsidR="00FD2FEC" w:rsidRPr="00EF295C">
              <w:rPr>
                <w:szCs w:val="20"/>
                <w:lang w:val="fr-CA"/>
              </w:rPr>
              <w:t xml:space="preserve">, daté du </w:t>
            </w:r>
            <w:r w:rsidR="00FD2FEC" w:rsidRPr="00EF295C">
              <w:rPr>
                <w:szCs w:val="20"/>
                <w:lang w:val="fr-FR"/>
              </w:rPr>
              <w:t>10 avril 2015</w:t>
            </w:r>
            <w:r w:rsidR="00FD2FEC" w:rsidRPr="00EF295C">
              <w:rPr>
                <w:szCs w:val="20"/>
                <w:lang w:val="fr-CA"/>
              </w:rPr>
              <w:t>, est rejet</w:t>
            </w:r>
            <w:r w:rsidR="00FD2FEC" w:rsidRPr="00EF295C">
              <w:rPr>
                <w:rFonts w:cs="Times New Roman"/>
                <w:szCs w:val="20"/>
                <w:lang w:val="fr-CA"/>
              </w:rPr>
              <w:t>é</w:t>
            </w:r>
            <w:r w:rsidR="00FD2FEC" w:rsidRPr="00EF295C">
              <w:rPr>
                <w:szCs w:val="20"/>
                <w:lang w:val="fr-CA"/>
              </w:rPr>
              <w:t>e.</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DA465A" w:rsidP="00665CAF">
            <w:pPr>
              <w:pStyle w:val="SCCShortJudgment"/>
              <w:ind w:firstLine="0"/>
              <w:rPr>
                <w:szCs w:val="20"/>
              </w:rPr>
            </w:pPr>
            <w:r w:rsidRPr="00EF295C">
              <w:rPr>
                <w:szCs w:val="20"/>
              </w:rPr>
              <w:t xml:space="preserve">Criminal law – Evidence – Witness – Cross-examination – Whether the rule in </w:t>
            </w:r>
            <w:r w:rsidRPr="00EF295C">
              <w:rPr>
                <w:i/>
                <w:szCs w:val="20"/>
              </w:rPr>
              <w:t>Browne v. Dunn</w:t>
            </w:r>
            <w:r w:rsidRPr="00EF295C">
              <w:rPr>
                <w:szCs w:val="20"/>
              </w:rPr>
              <w:t xml:space="preserve"> should be modified or abolished altogether.</w:t>
            </w:r>
          </w:p>
          <w:p w:rsidR="00DA465A" w:rsidRPr="00EF295C" w:rsidRDefault="00DA465A" w:rsidP="00665CAF">
            <w:pPr>
              <w:pStyle w:val="SCCShortJudgment"/>
              <w:ind w:firstLine="0"/>
              <w:rPr>
                <w:rFonts w:cs="Times New Roman"/>
                <w:szCs w:val="20"/>
              </w:rPr>
            </w:pPr>
          </w:p>
        </w:tc>
      </w:tr>
      <w:tr w:rsidR="00AF4BD2" w:rsidRPr="00EF295C" w:rsidTr="00665CAF">
        <w:trPr>
          <w:cantSplit/>
        </w:trPr>
        <w:tc>
          <w:tcPr>
            <w:tcW w:w="9576" w:type="dxa"/>
            <w:gridSpan w:val="4"/>
          </w:tcPr>
          <w:p w:rsidR="00AF4BD2" w:rsidRPr="00EF295C" w:rsidRDefault="00DA465A" w:rsidP="00665CAF">
            <w:pPr>
              <w:pStyle w:val="SCCShortJudgment"/>
              <w:ind w:firstLine="0"/>
              <w:rPr>
                <w:rFonts w:cs="Times New Roman"/>
                <w:szCs w:val="20"/>
              </w:rPr>
            </w:pPr>
            <w:r w:rsidRPr="00EF295C">
              <w:rPr>
                <w:rFonts w:cs="Times New Roman"/>
                <w:szCs w:val="20"/>
              </w:rPr>
              <w:t>The victim and the applicant were both inmates at the Central North Correctional Centre. The victim challenged the applicant to a fight. At first, the applicant demurred. The next morning, the applicant answered the challenge. The applicant stated that he stabbed the victim in self-defence. The victim died. The jury found the applicant guilty of first degree murder. The applicant appealed his conviction. The Court of Appeal dismissed the appeal.</w:t>
            </w:r>
          </w:p>
          <w:p w:rsidR="00DA465A" w:rsidRPr="00EF295C" w:rsidRDefault="00DA465A" w:rsidP="00665CAF">
            <w:pPr>
              <w:pStyle w:val="SCCShortJudgment"/>
              <w:ind w:firstLine="0"/>
              <w:rPr>
                <w:rFonts w:cs="Times New Roman"/>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August 8, 2006</w:t>
            </w:r>
          </w:p>
          <w:p w:rsidR="00DA465A" w:rsidRPr="00EF295C" w:rsidRDefault="00DA465A" w:rsidP="00DA465A">
            <w:pPr>
              <w:rPr>
                <w:sz w:val="20"/>
                <w:szCs w:val="20"/>
              </w:rPr>
            </w:pPr>
            <w:r w:rsidRPr="00EF295C">
              <w:rPr>
                <w:sz w:val="20"/>
                <w:szCs w:val="20"/>
              </w:rPr>
              <w:t>Ontario Superior Court of Justice</w:t>
            </w:r>
          </w:p>
          <w:p w:rsidR="00DA465A" w:rsidRPr="00EF295C" w:rsidRDefault="00DA465A" w:rsidP="00DA465A">
            <w:pPr>
              <w:rPr>
                <w:sz w:val="20"/>
                <w:szCs w:val="20"/>
              </w:rPr>
            </w:pPr>
            <w:r w:rsidRPr="00EF295C">
              <w:rPr>
                <w:sz w:val="20"/>
                <w:szCs w:val="20"/>
              </w:rPr>
              <w:t>(</w:t>
            </w:r>
            <w:proofErr w:type="spellStart"/>
            <w:r w:rsidRPr="00EF295C">
              <w:rPr>
                <w:sz w:val="20"/>
                <w:szCs w:val="20"/>
              </w:rPr>
              <w:t>Stong</w:t>
            </w:r>
            <w:proofErr w:type="spellEnd"/>
            <w:r w:rsidRPr="00EF295C">
              <w:rPr>
                <w:sz w:val="20"/>
                <w:szCs w:val="20"/>
              </w:rPr>
              <w:t xml:space="preserve"> J.)</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Conviction for first degree murder</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April 10, 2015</w:t>
            </w:r>
          </w:p>
          <w:p w:rsidR="00DA465A" w:rsidRPr="00EF295C" w:rsidRDefault="00DA465A" w:rsidP="00DA465A">
            <w:pPr>
              <w:rPr>
                <w:sz w:val="20"/>
                <w:szCs w:val="20"/>
              </w:rPr>
            </w:pPr>
            <w:r w:rsidRPr="00EF295C">
              <w:rPr>
                <w:sz w:val="20"/>
                <w:szCs w:val="20"/>
              </w:rPr>
              <w:t>Court of Appeal for Ontario</w:t>
            </w:r>
          </w:p>
          <w:p w:rsidR="00DA465A" w:rsidRPr="00EF295C" w:rsidRDefault="00DA465A" w:rsidP="00DA465A">
            <w:pPr>
              <w:rPr>
                <w:sz w:val="20"/>
                <w:szCs w:val="20"/>
              </w:rPr>
            </w:pPr>
            <w:r w:rsidRPr="00EF295C">
              <w:rPr>
                <w:sz w:val="20"/>
                <w:szCs w:val="20"/>
              </w:rPr>
              <w:t xml:space="preserve">(Watt, Tulloch, </w:t>
            </w:r>
            <w:proofErr w:type="spellStart"/>
            <w:r w:rsidRPr="00EF295C">
              <w:rPr>
                <w:sz w:val="20"/>
                <w:szCs w:val="20"/>
              </w:rPr>
              <w:t>Benotto</w:t>
            </w:r>
            <w:proofErr w:type="spellEnd"/>
            <w:r w:rsidRPr="00EF295C">
              <w:rPr>
                <w:sz w:val="20"/>
                <w:szCs w:val="20"/>
              </w:rPr>
              <w:t xml:space="preserve"> JJ.A.)</w:t>
            </w:r>
          </w:p>
          <w:p w:rsidR="00DA465A" w:rsidRPr="00EF295C" w:rsidRDefault="002E5FCE" w:rsidP="00DA465A">
            <w:pPr>
              <w:rPr>
                <w:rStyle w:val="documentstaticurl"/>
                <w:sz w:val="20"/>
                <w:szCs w:val="20"/>
              </w:rPr>
            </w:pPr>
            <w:hyperlink r:id="rId34" w:history="1">
              <w:r w:rsidR="00DA465A" w:rsidRPr="00EF295C">
                <w:rPr>
                  <w:rStyle w:val="Hyperlink"/>
                  <w:sz w:val="20"/>
                  <w:szCs w:val="20"/>
                </w:rPr>
                <w:t>2015 ONCA 237; C47082</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rPr>
                <w:sz w:val="20"/>
                <w:szCs w:val="20"/>
              </w:rPr>
            </w:pPr>
            <w:r w:rsidRPr="00EF295C">
              <w:rPr>
                <w:sz w:val="20"/>
                <w:szCs w:val="20"/>
              </w:rPr>
              <w:t>Conviction appeal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May 18, 2016</w:t>
            </w:r>
          </w:p>
          <w:p w:rsidR="00DA465A" w:rsidRPr="00EF295C" w:rsidRDefault="00DA465A" w:rsidP="00DA465A">
            <w:pPr>
              <w:rPr>
                <w:sz w:val="20"/>
                <w:szCs w:val="20"/>
              </w:rPr>
            </w:pPr>
            <w:r w:rsidRPr="00EF295C">
              <w:rPr>
                <w:sz w:val="20"/>
                <w:szCs w:val="20"/>
              </w:rPr>
              <w:t>Supreme Court of Canada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DA465A" w:rsidRPr="00EF295C" w:rsidRDefault="00DA465A" w:rsidP="00DA465A">
            <w:pPr>
              <w:jc w:val="both"/>
              <w:rPr>
                <w:sz w:val="20"/>
                <w:szCs w:val="20"/>
              </w:rPr>
            </w:pPr>
            <w:r w:rsidRPr="00EF295C">
              <w:rPr>
                <w:sz w:val="20"/>
                <w:szCs w:val="20"/>
              </w:rPr>
              <w:t>Motion for an extension of time to serve and file the application for leave to appeal and application for leave to appeal filed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DA465A" w:rsidRPr="00EF295C" w:rsidRDefault="00DA465A" w:rsidP="00DA465A">
            <w:pPr>
              <w:rPr>
                <w:sz w:val="20"/>
                <w:szCs w:val="20"/>
              </w:rPr>
            </w:pPr>
            <w:r w:rsidRPr="00EF295C">
              <w:rPr>
                <w:sz w:val="20"/>
                <w:szCs w:val="20"/>
              </w:rPr>
              <w:t>July 21, 2016</w:t>
            </w:r>
          </w:p>
          <w:p w:rsidR="00DA465A" w:rsidRPr="00EF295C" w:rsidRDefault="00DA465A" w:rsidP="00DA465A">
            <w:pPr>
              <w:rPr>
                <w:sz w:val="20"/>
                <w:szCs w:val="20"/>
              </w:rPr>
            </w:pPr>
            <w:r w:rsidRPr="00EF295C">
              <w:rPr>
                <w:sz w:val="20"/>
                <w:szCs w:val="20"/>
              </w:rPr>
              <w:t>Supreme Court of Canada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jc w:val="both"/>
              <w:rPr>
                <w:rFonts w:cs="Times New Roman"/>
                <w:sz w:val="20"/>
                <w:szCs w:val="20"/>
              </w:rPr>
            </w:pPr>
          </w:p>
        </w:tc>
        <w:tc>
          <w:tcPr>
            <w:tcW w:w="4536" w:type="dxa"/>
          </w:tcPr>
          <w:p w:rsidR="00DA465A" w:rsidRPr="00EF295C" w:rsidRDefault="00DA465A" w:rsidP="00DA465A">
            <w:pPr>
              <w:jc w:val="both"/>
              <w:rPr>
                <w:sz w:val="20"/>
                <w:szCs w:val="20"/>
              </w:rPr>
            </w:pPr>
            <w:r w:rsidRPr="00EF295C">
              <w:rPr>
                <w:sz w:val="20"/>
                <w:szCs w:val="20"/>
              </w:rPr>
              <w:t>Motion for an extension of time to serve and file the response filed</w:t>
            </w:r>
          </w:p>
          <w:p w:rsidR="00AF4BD2" w:rsidRPr="00EF295C" w:rsidRDefault="00AF4BD2" w:rsidP="00665CAF">
            <w:pPr>
              <w:jc w:val="both"/>
              <w:rPr>
                <w:rFonts w:cs="Times New Roman"/>
                <w:sz w:val="20"/>
                <w:szCs w:val="20"/>
              </w:rPr>
            </w:pP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DA465A" w:rsidP="00665CAF">
            <w:pPr>
              <w:pStyle w:val="SCCShortJudgment"/>
              <w:ind w:firstLine="0"/>
              <w:rPr>
                <w:szCs w:val="20"/>
                <w:lang w:val="fr-CA"/>
              </w:rPr>
            </w:pPr>
            <w:r w:rsidRPr="00EF295C">
              <w:rPr>
                <w:szCs w:val="20"/>
                <w:lang w:val="fr-CA"/>
              </w:rPr>
              <w:t xml:space="preserve">Droit criminel – Preuve – Témoin – Contre-interrogatoire – Convient-il de modifier la règle établie dans </w:t>
            </w:r>
            <w:proofErr w:type="spellStart"/>
            <w:r w:rsidRPr="00EF295C">
              <w:rPr>
                <w:i/>
                <w:szCs w:val="20"/>
                <w:lang w:val="fr-CA"/>
              </w:rPr>
              <w:t>Browne</w:t>
            </w:r>
            <w:proofErr w:type="spellEnd"/>
            <w:r w:rsidRPr="00EF295C">
              <w:rPr>
                <w:i/>
                <w:szCs w:val="20"/>
                <w:lang w:val="fr-CA"/>
              </w:rPr>
              <w:t xml:space="preserve"> c. Dunn</w:t>
            </w:r>
            <w:r w:rsidRPr="00EF295C">
              <w:rPr>
                <w:szCs w:val="20"/>
                <w:lang w:val="fr-CA"/>
              </w:rPr>
              <w:t xml:space="preserve"> ou de l’abolir tout simplement?</w:t>
            </w:r>
          </w:p>
          <w:p w:rsidR="00DA465A" w:rsidRPr="00EF295C" w:rsidRDefault="00DA465A"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DA465A" w:rsidP="00665CAF">
            <w:pPr>
              <w:jc w:val="both"/>
              <w:rPr>
                <w:rFonts w:cs="Times New Roman"/>
                <w:sz w:val="20"/>
                <w:szCs w:val="20"/>
              </w:rPr>
            </w:pPr>
            <w:r w:rsidRPr="00EF295C">
              <w:rPr>
                <w:rFonts w:cs="Times New Roman"/>
                <w:sz w:val="20"/>
                <w:szCs w:val="20"/>
                <w:lang w:val="fr-CA"/>
              </w:rPr>
              <w:t>La victime et le demandeur étaient tous deux détenus au Centre correctionnel du Centre-Nord. La victime a provoqué le demandeur en duel. Le demandeur a d’abord refusé le duel, puis l’a accepté le lendemain matin. Le demandeur a affirmé avoir poignardé la victime en légitime défense. Cette dernière est morte. Le jury a déclaré le demandeur coupable de meurtre au premier degré. Le demandeur a fait appel de sa déclaration de culpabilité. La Cour d’appel a rejeté l’</w:t>
            </w:r>
            <w:proofErr w:type="spellStart"/>
            <w:r w:rsidRPr="00EF295C">
              <w:rPr>
                <w:rFonts w:cs="Times New Roman"/>
                <w:sz w:val="20"/>
                <w:szCs w:val="20"/>
              </w:rPr>
              <w:t>appel</w:t>
            </w:r>
            <w:proofErr w:type="spellEnd"/>
            <w:r w:rsidRPr="00EF295C">
              <w:rPr>
                <w:rFonts w:cs="Times New Roman"/>
                <w:sz w:val="20"/>
                <w:szCs w:val="20"/>
              </w:rPr>
              <w:t>.</w:t>
            </w:r>
          </w:p>
          <w:p w:rsidR="00DA465A" w:rsidRPr="00EF295C" w:rsidRDefault="00DA465A" w:rsidP="00665CAF">
            <w:pPr>
              <w:jc w:val="both"/>
              <w:rPr>
                <w:rFonts w:cs="Times New Roman"/>
                <w:sz w:val="20"/>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lastRenderedPageBreak/>
              <w:t>8 août 2006</w:t>
            </w:r>
          </w:p>
          <w:p w:rsidR="00DA465A" w:rsidRPr="00EF295C" w:rsidRDefault="00DA465A" w:rsidP="00DA465A">
            <w:pPr>
              <w:rPr>
                <w:sz w:val="20"/>
                <w:szCs w:val="20"/>
                <w:lang w:val="fr-CA"/>
              </w:rPr>
            </w:pPr>
            <w:r w:rsidRPr="00EF295C">
              <w:rPr>
                <w:sz w:val="20"/>
                <w:szCs w:val="20"/>
                <w:lang w:val="fr-CA"/>
              </w:rPr>
              <w:t xml:space="preserve">Cour supérieure de justice de l’Ontario </w:t>
            </w:r>
          </w:p>
          <w:p w:rsidR="00DA465A" w:rsidRPr="00EF295C" w:rsidRDefault="00DA465A" w:rsidP="00DA465A">
            <w:pPr>
              <w:rPr>
                <w:sz w:val="20"/>
                <w:szCs w:val="20"/>
              </w:rPr>
            </w:pPr>
            <w:r w:rsidRPr="00EF295C">
              <w:rPr>
                <w:sz w:val="20"/>
                <w:szCs w:val="20"/>
              </w:rPr>
              <w:t>(</w:t>
            </w:r>
            <w:proofErr w:type="spellStart"/>
            <w:r w:rsidRPr="00EF295C">
              <w:rPr>
                <w:sz w:val="20"/>
                <w:szCs w:val="20"/>
              </w:rPr>
              <w:t>Juge</w:t>
            </w:r>
            <w:proofErr w:type="spellEnd"/>
            <w:r w:rsidRPr="00EF295C">
              <w:rPr>
                <w:sz w:val="20"/>
                <w:szCs w:val="20"/>
              </w:rPr>
              <w:t xml:space="preserve"> </w:t>
            </w:r>
            <w:proofErr w:type="spellStart"/>
            <w:r w:rsidRPr="00EF295C">
              <w:rPr>
                <w:sz w:val="20"/>
                <w:szCs w:val="20"/>
              </w:rPr>
              <w:t>Stong</w:t>
            </w:r>
            <w:proofErr w:type="spellEnd"/>
            <w:r w:rsidRPr="00EF295C">
              <w:rPr>
                <w:sz w:val="20"/>
                <w:szCs w:val="20"/>
              </w:rPr>
              <w:t>)</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jc w:val="both"/>
              <w:rPr>
                <w:sz w:val="20"/>
                <w:szCs w:val="20"/>
                <w:lang w:val="fr-CA"/>
              </w:rPr>
            </w:pPr>
            <w:r w:rsidRPr="00EF295C">
              <w:rPr>
                <w:sz w:val="20"/>
                <w:szCs w:val="20"/>
                <w:lang w:val="fr-CA"/>
              </w:rPr>
              <w:t>Déclaration de culpabilité pour meurtre au premier degré</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lang w:val="fr-CA"/>
              </w:rPr>
            </w:pPr>
            <w:r w:rsidRPr="00EF295C">
              <w:rPr>
                <w:sz w:val="20"/>
                <w:szCs w:val="20"/>
                <w:lang w:val="fr-CA"/>
              </w:rPr>
              <w:t>10 avril 2015</w:t>
            </w:r>
          </w:p>
          <w:p w:rsidR="00DA465A" w:rsidRPr="00EF295C" w:rsidRDefault="00DA465A" w:rsidP="00DA465A">
            <w:pPr>
              <w:rPr>
                <w:sz w:val="20"/>
                <w:szCs w:val="20"/>
                <w:lang w:val="fr-CA"/>
              </w:rPr>
            </w:pPr>
            <w:r w:rsidRPr="00EF295C">
              <w:rPr>
                <w:sz w:val="20"/>
                <w:szCs w:val="20"/>
                <w:lang w:val="fr-CA"/>
              </w:rPr>
              <w:t>Cour d’appel de l’Ontario</w:t>
            </w:r>
          </w:p>
          <w:p w:rsidR="00DA465A" w:rsidRPr="00EF295C" w:rsidRDefault="00DA465A" w:rsidP="00DA465A">
            <w:pPr>
              <w:rPr>
                <w:sz w:val="20"/>
                <w:szCs w:val="20"/>
                <w:lang w:val="fr-CA"/>
              </w:rPr>
            </w:pPr>
            <w:r w:rsidRPr="00EF295C">
              <w:rPr>
                <w:sz w:val="20"/>
                <w:szCs w:val="20"/>
                <w:lang w:val="fr-CA"/>
              </w:rPr>
              <w:t xml:space="preserve">(Juges Watt, </w:t>
            </w:r>
            <w:proofErr w:type="spellStart"/>
            <w:r w:rsidRPr="00EF295C">
              <w:rPr>
                <w:sz w:val="20"/>
                <w:szCs w:val="20"/>
                <w:lang w:val="fr-CA"/>
              </w:rPr>
              <w:t>Tulloch</w:t>
            </w:r>
            <w:proofErr w:type="spellEnd"/>
            <w:r w:rsidRPr="00EF295C">
              <w:rPr>
                <w:sz w:val="20"/>
                <w:szCs w:val="20"/>
                <w:lang w:val="fr-CA"/>
              </w:rPr>
              <w:t xml:space="preserve"> et </w:t>
            </w:r>
            <w:proofErr w:type="spellStart"/>
            <w:r w:rsidRPr="00EF295C">
              <w:rPr>
                <w:sz w:val="20"/>
                <w:szCs w:val="20"/>
                <w:lang w:val="fr-CA"/>
              </w:rPr>
              <w:t>Benotto</w:t>
            </w:r>
            <w:proofErr w:type="spellEnd"/>
            <w:r w:rsidRPr="00EF295C">
              <w:rPr>
                <w:sz w:val="20"/>
                <w:szCs w:val="20"/>
                <w:lang w:val="fr-CA"/>
              </w:rPr>
              <w:t>)</w:t>
            </w:r>
          </w:p>
          <w:p w:rsidR="00DA465A" w:rsidRPr="00EF295C" w:rsidRDefault="002E5FCE" w:rsidP="00DA465A">
            <w:pPr>
              <w:rPr>
                <w:rStyle w:val="documentstaticurl"/>
                <w:sz w:val="20"/>
                <w:szCs w:val="20"/>
              </w:rPr>
            </w:pPr>
            <w:hyperlink r:id="rId35" w:history="1">
              <w:r w:rsidR="00DA465A" w:rsidRPr="00EF295C">
                <w:rPr>
                  <w:rStyle w:val="Hyperlink"/>
                  <w:sz w:val="20"/>
                  <w:szCs w:val="20"/>
                </w:rPr>
                <w:t>2015 ONCA 237; C47082</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AF4BD2" w:rsidRPr="00EF295C" w:rsidRDefault="00DA465A" w:rsidP="00665CAF">
            <w:pPr>
              <w:pStyle w:val="SCCShortJudgment"/>
              <w:ind w:firstLine="0"/>
              <w:rPr>
                <w:rFonts w:cs="Times New Roman"/>
                <w:szCs w:val="20"/>
                <w:u w:val="single"/>
                <w:lang w:val="fr-CA"/>
              </w:rPr>
            </w:pPr>
            <w:r w:rsidRPr="00EF295C">
              <w:rPr>
                <w:szCs w:val="20"/>
                <w:lang w:val="fr-CA"/>
              </w:rPr>
              <w:t>Rejet de l’appel interjeté contre la déclaration de culpabilité</w:t>
            </w:r>
          </w:p>
        </w:tc>
      </w:tr>
      <w:tr w:rsidR="00AF4BD2" w:rsidRPr="002E5FCE" w:rsidTr="00665CAF">
        <w:trPr>
          <w:cantSplit/>
        </w:trPr>
        <w:tc>
          <w:tcPr>
            <w:tcW w:w="4410" w:type="dxa"/>
            <w:gridSpan w:val="2"/>
          </w:tcPr>
          <w:p w:rsidR="00DA465A" w:rsidRPr="00EF295C" w:rsidRDefault="00DA465A" w:rsidP="00DA465A">
            <w:pPr>
              <w:rPr>
                <w:sz w:val="20"/>
                <w:szCs w:val="20"/>
              </w:rPr>
            </w:pPr>
            <w:r w:rsidRPr="00EF295C">
              <w:rPr>
                <w:sz w:val="20"/>
                <w:szCs w:val="20"/>
              </w:rPr>
              <w:t xml:space="preserve">18 </w:t>
            </w:r>
            <w:proofErr w:type="spellStart"/>
            <w:r w:rsidRPr="00EF295C">
              <w:rPr>
                <w:sz w:val="20"/>
                <w:szCs w:val="20"/>
              </w:rPr>
              <w:t>mai</w:t>
            </w:r>
            <w:proofErr w:type="spellEnd"/>
            <w:r w:rsidRPr="00EF295C">
              <w:rPr>
                <w:sz w:val="20"/>
                <w:szCs w:val="20"/>
              </w:rPr>
              <w:t xml:space="preserve"> 2016</w:t>
            </w:r>
          </w:p>
          <w:p w:rsidR="00DA465A" w:rsidRPr="00EF295C" w:rsidRDefault="00DA465A" w:rsidP="00DA465A">
            <w:pPr>
              <w:rPr>
                <w:sz w:val="20"/>
                <w:szCs w:val="20"/>
              </w:rPr>
            </w:pPr>
            <w:proofErr w:type="spellStart"/>
            <w:r w:rsidRPr="00EF295C">
              <w:rPr>
                <w:sz w:val="20"/>
                <w:szCs w:val="20"/>
              </w:rPr>
              <w:t>Cour</w:t>
            </w:r>
            <w:proofErr w:type="spellEnd"/>
            <w:r w:rsidRPr="00EF295C">
              <w:rPr>
                <w:sz w:val="20"/>
                <w:szCs w:val="20"/>
              </w:rPr>
              <w:t xml:space="preserve"> </w:t>
            </w:r>
            <w:proofErr w:type="spellStart"/>
            <w:r w:rsidRPr="00EF295C">
              <w:rPr>
                <w:sz w:val="20"/>
                <w:szCs w:val="20"/>
              </w:rPr>
              <w:t>suprême</w:t>
            </w:r>
            <w:proofErr w:type="spellEnd"/>
            <w:r w:rsidRPr="00EF295C">
              <w:rPr>
                <w:sz w:val="20"/>
                <w:szCs w:val="20"/>
              </w:rPr>
              <w:t xml:space="preserve"> du Canada</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jc w:val="both"/>
              <w:rPr>
                <w:sz w:val="20"/>
                <w:szCs w:val="20"/>
                <w:lang w:val="fr-CA"/>
              </w:rPr>
            </w:pPr>
            <w:r w:rsidRPr="00EF295C">
              <w:rPr>
                <w:sz w:val="20"/>
                <w:szCs w:val="20"/>
                <w:lang w:val="fr-CA"/>
              </w:rPr>
              <w:t>Dépôt de la requête en prorogation du délai pour signifier et déposer la demande d’autorisation d’appel et de la demande d’autorisation d’appel</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DA465A" w:rsidRPr="00EF295C" w:rsidRDefault="00DA465A" w:rsidP="00DA465A">
            <w:pPr>
              <w:rPr>
                <w:sz w:val="20"/>
                <w:szCs w:val="20"/>
              </w:rPr>
            </w:pPr>
            <w:r w:rsidRPr="00EF295C">
              <w:rPr>
                <w:sz w:val="20"/>
                <w:szCs w:val="20"/>
              </w:rPr>
              <w:t xml:space="preserve">21 </w:t>
            </w:r>
            <w:proofErr w:type="spellStart"/>
            <w:r w:rsidRPr="00EF295C">
              <w:rPr>
                <w:sz w:val="20"/>
                <w:szCs w:val="20"/>
              </w:rPr>
              <w:t>juillet</w:t>
            </w:r>
            <w:proofErr w:type="spellEnd"/>
            <w:r w:rsidRPr="00EF295C">
              <w:rPr>
                <w:sz w:val="20"/>
                <w:szCs w:val="20"/>
              </w:rPr>
              <w:t xml:space="preserve"> 2016</w:t>
            </w:r>
          </w:p>
          <w:p w:rsidR="00DA465A" w:rsidRPr="00EF295C" w:rsidRDefault="00DA465A" w:rsidP="00DA465A">
            <w:pPr>
              <w:rPr>
                <w:sz w:val="20"/>
                <w:szCs w:val="20"/>
              </w:rPr>
            </w:pPr>
            <w:proofErr w:type="spellStart"/>
            <w:r w:rsidRPr="00EF295C">
              <w:rPr>
                <w:sz w:val="20"/>
                <w:szCs w:val="20"/>
              </w:rPr>
              <w:t>Cour</w:t>
            </w:r>
            <w:proofErr w:type="spellEnd"/>
            <w:r w:rsidRPr="00EF295C">
              <w:rPr>
                <w:sz w:val="20"/>
                <w:szCs w:val="20"/>
              </w:rPr>
              <w:t xml:space="preserve"> </w:t>
            </w:r>
            <w:proofErr w:type="spellStart"/>
            <w:r w:rsidRPr="00EF295C">
              <w:rPr>
                <w:sz w:val="20"/>
                <w:szCs w:val="20"/>
              </w:rPr>
              <w:t>suprême</w:t>
            </w:r>
            <w:proofErr w:type="spellEnd"/>
            <w:r w:rsidRPr="00EF295C">
              <w:rPr>
                <w:sz w:val="20"/>
                <w:szCs w:val="20"/>
              </w:rPr>
              <w:t xml:space="preserve"> du Canada</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DA465A" w:rsidRPr="00EF295C" w:rsidRDefault="00DA465A" w:rsidP="00DA465A">
            <w:pPr>
              <w:jc w:val="both"/>
              <w:rPr>
                <w:sz w:val="20"/>
                <w:szCs w:val="20"/>
                <w:lang w:val="fr-CA"/>
              </w:rPr>
            </w:pPr>
            <w:r w:rsidRPr="00EF295C">
              <w:rPr>
                <w:sz w:val="20"/>
                <w:szCs w:val="20"/>
                <w:lang w:val="fr-CA"/>
              </w:rPr>
              <w:t>Dépôt de la requête en prorogation du délai pour signifier et déposer la réponse</w:t>
            </w:r>
          </w:p>
          <w:p w:rsidR="00AF4BD2" w:rsidRPr="00EF295C" w:rsidRDefault="00AF4BD2" w:rsidP="00665CAF">
            <w:pPr>
              <w:pStyle w:val="SCCShortJudgment"/>
              <w:ind w:firstLine="0"/>
              <w:rPr>
                <w:rFonts w:cs="Times New Roman"/>
                <w:szCs w:val="20"/>
                <w:u w:val="single"/>
                <w:lang w:val="fr-CA"/>
              </w:rPr>
            </w:pPr>
          </w:p>
        </w:tc>
      </w:tr>
    </w:tbl>
    <w:p w:rsidR="00AF4BD2" w:rsidRPr="00EF295C" w:rsidRDefault="002E5FCE" w:rsidP="000E2959">
      <w:pPr>
        <w:rPr>
          <w:sz w:val="20"/>
          <w:szCs w:val="20"/>
          <w:lang w:val="fr-CA"/>
        </w:rPr>
      </w:pPr>
      <w:r>
        <w:rPr>
          <w:rFonts w:cs="Times New Roman"/>
          <w:szCs w:val="20"/>
          <w:lang w:val="fr-CA"/>
        </w:rPr>
        <w:pict>
          <v:rect id="_x0000_i1055" style="width:2in;height:1pt" o:hrpct="0" o:hralign="center" o:hrstd="t" o:hrnoshade="t" o:hr="t" fillcolor="black [3213]" stroked="f"/>
        </w:pict>
      </w:r>
    </w:p>
    <w:p w:rsidR="00AF4BD2" w:rsidRPr="00EF295C" w:rsidRDefault="00AF4BD2"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37030</w:t>
            </w:r>
          </w:p>
          <w:p w:rsidR="00AF4BD2" w:rsidRPr="00EF295C" w:rsidRDefault="00AF4BD2" w:rsidP="00665CAF">
            <w:pPr>
              <w:jc w:val="both"/>
              <w:rPr>
                <w:rFonts w:cs="Times New Roman"/>
                <w:b/>
                <w:sz w:val="20"/>
                <w:szCs w:val="20"/>
              </w:rPr>
            </w:pPr>
          </w:p>
        </w:tc>
        <w:tc>
          <w:tcPr>
            <w:tcW w:w="8118" w:type="dxa"/>
            <w:gridSpan w:val="3"/>
          </w:tcPr>
          <w:p w:rsidR="00AF4BD2" w:rsidRPr="00EF295C" w:rsidRDefault="00E24014" w:rsidP="00E24014">
            <w:pPr>
              <w:pStyle w:val="SCCLsocParty"/>
              <w:rPr>
                <w:rFonts w:cs="Times New Roman"/>
                <w:b w:val="0"/>
                <w:sz w:val="20"/>
                <w:szCs w:val="20"/>
              </w:rPr>
            </w:pPr>
            <w:r w:rsidRPr="00EF295C">
              <w:rPr>
                <w:sz w:val="20"/>
                <w:szCs w:val="20"/>
                <w:u w:val="single"/>
              </w:rPr>
              <w:t xml:space="preserve">Detective Constable Salvatore </w:t>
            </w:r>
            <w:proofErr w:type="spellStart"/>
            <w:r w:rsidRPr="00EF295C">
              <w:rPr>
                <w:sz w:val="20"/>
                <w:szCs w:val="20"/>
                <w:u w:val="single"/>
              </w:rPr>
              <w:t>Amormino</w:t>
            </w:r>
            <w:proofErr w:type="spellEnd"/>
            <w:r w:rsidRPr="00EF295C">
              <w:rPr>
                <w:sz w:val="20"/>
                <w:szCs w:val="20"/>
                <w:u w:val="single"/>
              </w:rPr>
              <w:t xml:space="preserve"> (OPP)</w:t>
            </w:r>
            <w:r w:rsidR="00313AE6" w:rsidRPr="00EF295C">
              <w:rPr>
                <w:sz w:val="20"/>
                <w:szCs w:val="20"/>
                <w:u w:val="single"/>
              </w:rPr>
              <w:t xml:space="preserve"> </w:t>
            </w:r>
            <w:r w:rsidRPr="00EF295C">
              <w:rPr>
                <w:sz w:val="20"/>
                <w:szCs w:val="20"/>
                <w:u w:val="single"/>
              </w:rPr>
              <w:t xml:space="preserve">v. Police Services Board (OPP), Superintendent Robin D. </w:t>
            </w:r>
            <w:proofErr w:type="spellStart"/>
            <w:r w:rsidRPr="00EF295C">
              <w:rPr>
                <w:sz w:val="20"/>
                <w:szCs w:val="20"/>
                <w:u w:val="single"/>
              </w:rPr>
              <w:t>McElary</w:t>
            </w:r>
            <w:proofErr w:type="spellEnd"/>
            <w:r w:rsidRPr="00EF295C">
              <w:rPr>
                <w:sz w:val="20"/>
                <w:szCs w:val="20"/>
                <w:u w:val="single"/>
              </w:rPr>
              <w:t>-Downer (Force Adjudicator – OPP), Commissioner of Provincial Police (OPP) J.V.N. (Vince) Hawkes, Minister of Community Safety and Correctional Services, Attorney General of Ontario and Ontario Provincial Police Association (Karl Walsh)</w:t>
            </w:r>
            <w:r w:rsidRPr="00EF295C">
              <w:rPr>
                <w:sz w:val="20"/>
                <w:szCs w:val="20"/>
              </w:rPr>
              <w:t xml:space="preserve"> </w:t>
            </w:r>
            <w:r w:rsidR="00AF4BD2" w:rsidRPr="00EF295C">
              <w:rPr>
                <w:rFonts w:cs="Times New Roman"/>
                <w:b w:val="0"/>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E24014" w:rsidRPr="00EF295C">
              <w:rPr>
                <w:szCs w:val="20"/>
              </w:rPr>
              <w:t>The application for leave to appeal from the judgments of the Court of Appeal for Ontario, Numbers M45908 and M45912, dated April 1, 2016, is dismissed with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E24014" w:rsidRPr="00EF295C">
              <w:rPr>
                <w:szCs w:val="20"/>
                <w:lang w:val="fr-CA"/>
              </w:rPr>
              <w:t xml:space="preserve">La demande d’autorisation d’appel de les arrêts de la </w:t>
            </w:r>
            <w:r w:rsidR="00E24014" w:rsidRPr="00EF295C">
              <w:rPr>
                <w:szCs w:val="20"/>
                <w:lang w:val="fr-FR"/>
              </w:rPr>
              <w:t>Cour d’appel de l’Ontario</w:t>
            </w:r>
            <w:r w:rsidR="00E24014" w:rsidRPr="00EF295C">
              <w:rPr>
                <w:szCs w:val="20"/>
                <w:lang w:val="fr-CA"/>
              </w:rPr>
              <w:t xml:space="preserve">, numéros </w:t>
            </w:r>
            <w:r w:rsidR="00E24014" w:rsidRPr="00EF295C">
              <w:rPr>
                <w:szCs w:val="20"/>
                <w:lang w:val="fr-FR"/>
              </w:rPr>
              <w:t>M45908 et M45912</w:t>
            </w:r>
            <w:r w:rsidR="00E24014" w:rsidRPr="00EF295C">
              <w:rPr>
                <w:szCs w:val="20"/>
                <w:lang w:val="fr-CA"/>
              </w:rPr>
              <w:t xml:space="preserve">, daté du </w:t>
            </w:r>
            <w:r w:rsidR="00E24014" w:rsidRPr="00EF295C">
              <w:rPr>
                <w:szCs w:val="20"/>
                <w:lang w:val="fr-FR"/>
              </w:rPr>
              <w:t>1 avril 2016</w:t>
            </w:r>
            <w:r w:rsidR="00E24014" w:rsidRPr="00EF295C">
              <w:rPr>
                <w:szCs w:val="20"/>
                <w:lang w:val="fr-CA"/>
              </w:rPr>
              <w:t>, est rejet</w:t>
            </w:r>
            <w:r w:rsidR="00E24014" w:rsidRPr="00EF295C">
              <w:rPr>
                <w:rFonts w:cs="Times New Roman"/>
                <w:szCs w:val="20"/>
                <w:lang w:val="fr-CA"/>
              </w:rPr>
              <w:t>é</w:t>
            </w:r>
            <w:r w:rsidR="00E24014" w:rsidRPr="00EF295C">
              <w:rPr>
                <w:szCs w:val="20"/>
                <w:lang w:val="fr-CA"/>
              </w:rPr>
              <w:t>e avec d</w:t>
            </w:r>
            <w:r w:rsidR="00E24014" w:rsidRPr="00EF295C">
              <w:rPr>
                <w:rFonts w:cs="Times New Roman"/>
                <w:szCs w:val="20"/>
                <w:lang w:val="fr-CA"/>
              </w:rPr>
              <w:t>é</w:t>
            </w:r>
            <w:r w:rsidR="00E24014" w:rsidRPr="00EF295C">
              <w:rPr>
                <w:szCs w:val="20"/>
                <w:lang w:val="fr-CA"/>
              </w:rPr>
              <w:t>pens.</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CA16B0" w:rsidP="00665CAF">
            <w:pPr>
              <w:pStyle w:val="SCCShortJudgment"/>
              <w:ind w:firstLine="0"/>
              <w:rPr>
                <w:szCs w:val="20"/>
              </w:rPr>
            </w:pPr>
            <w:r w:rsidRPr="00EF295C">
              <w:rPr>
                <w:i/>
                <w:szCs w:val="20"/>
              </w:rPr>
              <w:t>Canadian</w:t>
            </w:r>
            <w:r w:rsidRPr="00EF295C">
              <w:rPr>
                <w:szCs w:val="20"/>
              </w:rPr>
              <w:t xml:space="preserve"> </w:t>
            </w:r>
            <w:r w:rsidRPr="00EF295C">
              <w:rPr>
                <w:i/>
                <w:szCs w:val="20"/>
              </w:rPr>
              <w:t>Charter of Rights and Freedoms</w:t>
            </w:r>
            <w:r w:rsidRPr="00EF295C">
              <w:rPr>
                <w:szCs w:val="20"/>
              </w:rPr>
              <w:t xml:space="preserve"> – Right to fundamental justice – Right to pursue a livelihood – Right to practice a profession – Protection of reputation – Freedom of association – Mobility rights – Dismissal proceedings – Procedural protections guaranteed when person is to lose the right to practice a profession – Whether the scheme of the </w:t>
            </w:r>
            <w:r w:rsidRPr="00EF295C">
              <w:rPr>
                <w:i/>
                <w:szCs w:val="20"/>
              </w:rPr>
              <w:t xml:space="preserve">Police Services </w:t>
            </w:r>
            <w:r w:rsidRPr="00EF295C">
              <w:rPr>
                <w:szCs w:val="20"/>
              </w:rPr>
              <w:t xml:space="preserve">Act, R.S.O. 1990, c. P.15, contravenes s. 7 of the </w:t>
            </w:r>
            <w:r w:rsidRPr="00EF295C">
              <w:rPr>
                <w:i/>
                <w:szCs w:val="20"/>
              </w:rPr>
              <w:t>Charter</w:t>
            </w:r>
            <w:r w:rsidRPr="00EF295C">
              <w:rPr>
                <w:szCs w:val="20"/>
              </w:rPr>
              <w:t xml:space="preserve"> – Whether the Divisional Court erred in ruling that practising a profession is not protected by the </w:t>
            </w:r>
            <w:r w:rsidRPr="00EF295C">
              <w:rPr>
                <w:i/>
                <w:szCs w:val="20"/>
              </w:rPr>
              <w:t xml:space="preserve">Charter </w:t>
            </w:r>
            <w:r w:rsidRPr="00EF295C">
              <w:rPr>
                <w:szCs w:val="20"/>
              </w:rPr>
              <w:t xml:space="preserve">– Whether the model of the </w:t>
            </w:r>
            <w:r w:rsidRPr="00EF295C">
              <w:rPr>
                <w:i/>
                <w:szCs w:val="20"/>
              </w:rPr>
              <w:t>Police Services Act</w:t>
            </w:r>
            <w:r w:rsidRPr="00EF295C">
              <w:rPr>
                <w:szCs w:val="20"/>
              </w:rPr>
              <w:t xml:space="preserve"> is based on an unconstitutional model – Whether s. 7 of the </w:t>
            </w:r>
            <w:r w:rsidRPr="00EF295C">
              <w:rPr>
                <w:i/>
                <w:szCs w:val="20"/>
              </w:rPr>
              <w:t>Charter</w:t>
            </w:r>
            <w:r w:rsidRPr="00EF295C">
              <w:rPr>
                <w:szCs w:val="20"/>
              </w:rPr>
              <w:t xml:space="preserve"> guarantees procedural protections in the context of a disciplinary hearing where a person is to lose the right to practice a profession.</w:t>
            </w:r>
          </w:p>
          <w:p w:rsidR="00CA16B0" w:rsidRPr="00EF295C" w:rsidRDefault="00CA16B0" w:rsidP="00665CAF">
            <w:pPr>
              <w:pStyle w:val="SCCShortJudgment"/>
              <w:ind w:firstLine="0"/>
              <w:rPr>
                <w:rFonts w:cs="Times New Roman"/>
                <w:szCs w:val="20"/>
              </w:rPr>
            </w:pPr>
          </w:p>
        </w:tc>
      </w:tr>
      <w:tr w:rsidR="00AF4BD2" w:rsidRPr="00EF295C" w:rsidTr="00665CAF">
        <w:trPr>
          <w:cantSplit/>
        </w:trPr>
        <w:tc>
          <w:tcPr>
            <w:tcW w:w="9576" w:type="dxa"/>
            <w:gridSpan w:val="4"/>
          </w:tcPr>
          <w:p w:rsidR="00CA16B0" w:rsidRPr="00EF295C" w:rsidRDefault="00CA16B0" w:rsidP="00CA16B0">
            <w:pPr>
              <w:jc w:val="both"/>
              <w:rPr>
                <w:sz w:val="20"/>
                <w:szCs w:val="20"/>
              </w:rPr>
            </w:pPr>
            <w:r w:rsidRPr="00EF295C">
              <w:rPr>
                <w:sz w:val="20"/>
                <w:szCs w:val="20"/>
              </w:rPr>
              <w:t>Mr. </w:t>
            </w:r>
            <w:proofErr w:type="spellStart"/>
            <w:r w:rsidRPr="00EF295C">
              <w:rPr>
                <w:sz w:val="20"/>
                <w:szCs w:val="20"/>
              </w:rPr>
              <w:t>Amormino</w:t>
            </w:r>
            <w:proofErr w:type="spellEnd"/>
            <w:r w:rsidRPr="00EF295C">
              <w:rPr>
                <w:sz w:val="20"/>
                <w:szCs w:val="20"/>
              </w:rPr>
              <w:t xml:space="preserve">, who was an Ontario Provincial Police officer at the relevant times, argues that the structure of the </w:t>
            </w:r>
            <w:r w:rsidRPr="00EF295C">
              <w:rPr>
                <w:i/>
                <w:sz w:val="20"/>
                <w:szCs w:val="20"/>
              </w:rPr>
              <w:t>Police Services Act</w:t>
            </w:r>
            <w:r w:rsidRPr="00EF295C">
              <w:rPr>
                <w:sz w:val="20"/>
                <w:szCs w:val="20"/>
              </w:rPr>
              <w:t>, R.S.O. 1990, c. P.15, breaches his constitutional right to a fair hearing before an independent and unbiased tribunal. The Ontario Provincial Police alleged eight counts of workplace misconduct against Mr. </w:t>
            </w:r>
            <w:proofErr w:type="spellStart"/>
            <w:r w:rsidRPr="00EF295C">
              <w:rPr>
                <w:sz w:val="20"/>
                <w:szCs w:val="20"/>
              </w:rPr>
              <w:t>Amormino</w:t>
            </w:r>
            <w:proofErr w:type="spellEnd"/>
            <w:r w:rsidRPr="00EF295C">
              <w:rPr>
                <w:sz w:val="20"/>
                <w:szCs w:val="20"/>
              </w:rPr>
              <w:t xml:space="preserve"> under that Act. The disciplinary proceedings were eventually stayed until Mr. </w:t>
            </w:r>
            <w:proofErr w:type="spellStart"/>
            <w:r w:rsidRPr="00EF295C">
              <w:rPr>
                <w:sz w:val="20"/>
                <w:szCs w:val="20"/>
              </w:rPr>
              <w:t>Amormino’s</w:t>
            </w:r>
            <w:proofErr w:type="spellEnd"/>
            <w:r w:rsidRPr="00EF295C">
              <w:rPr>
                <w:sz w:val="20"/>
                <w:szCs w:val="20"/>
              </w:rPr>
              <w:t xml:space="preserve"> request for judicial review had been heard and decided.</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9576" w:type="dxa"/>
            <w:gridSpan w:val="4"/>
          </w:tcPr>
          <w:p w:rsidR="00CA16B0" w:rsidRPr="00EF295C" w:rsidRDefault="00CA16B0" w:rsidP="00CA16B0">
            <w:pPr>
              <w:jc w:val="both"/>
              <w:rPr>
                <w:sz w:val="20"/>
                <w:szCs w:val="20"/>
              </w:rPr>
            </w:pPr>
            <w:r w:rsidRPr="00EF295C">
              <w:rPr>
                <w:sz w:val="20"/>
                <w:szCs w:val="20"/>
              </w:rPr>
              <w:t>The application for judicial review was dismissed on December 11, 2015. The Court of Appeal dismissed separate applications for leave to appeal from Mr. </w:t>
            </w:r>
            <w:proofErr w:type="spellStart"/>
            <w:r w:rsidRPr="00EF295C">
              <w:rPr>
                <w:sz w:val="20"/>
                <w:szCs w:val="20"/>
              </w:rPr>
              <w:t>Amormino</w:t>
            </w:r>
            <w:proofErr w:type="spellEnd"/>
            <w:r w:rsidRPr="00EF295C">
              <w:rPr>
                <w:sz w:val="20"/>
                <w:szCs w:val="20"/>
              </w:rPr>
              <w:t xml:space="preserve"> and the OPP Association.</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4410" w:type="dxa"/>
            <w:gridSpan w:val="2"/>
          </w:tcPr>
          <w:p w:rsidR="00CA16B0" w:rsidRPr="00EF295C" w:rsidRDefault="00CA16B0" w:rsidP="00CA16B0">
            <w:pPr>
              <w:rPr>
                <w:sz w:val="20"/>
                <w:szCs w:val="20"/>
              </w:rPr>
            </w:pPr>
            <w:r w:rsidRPr="00EF295C">
              <w:rPr>
                <w:sz w:val="20"/>
                <w:szCs w:val="20"/>
              </w:rPr>
              <w:lastRenderedPageBreak/>
              <w:t>December 11, 2015</w:t>
            </w:r>
          </w:p>
          <w:p w:rsidR="00CA16B0" w:rsidRPr="00EF295C" w:rsidRDefault="00CA16B0" w:rsidP="00CA16B0">
            <w:pPr>
              <w:rPr>
                <w:sz w:val="20"/>
                <w:szCs w:val="20"/>
              </w:rPr>
            </w:pPr>
            <w:r w:rsidRPr="00EF295C">
              <w:rPr>
                <w:sz w:val="20"/>
                <w:szCs w:val="20"/>
              </w:rPr>
              <w:t>Ontario Superior Court of Justice (Divisional Court)</w:t>
            </w:r>
          </w:p>
          <w:p w:rsidR="00CA16B0" w:rsidRPr="00EF295C" w:rsidRDefault="00CA16B0" w:rsidP="00CA16B0">
            <w:pPr>
              <w:rPr>
                <w:sz w:val="20"/>
                <w:szCs w:val="20"/>
              </w:rPr>
            </w:pPr>
            <w:r w:rsidRPr="00EF295C">
              <w:rPr>
                <w:sz w:val="20"/>
                <w:szCs w:val="20"/>
              </w:rPr>
              <w:t>(Gordon, Molloy, Sanderson JJ.)</w:t>
            </w:r>
          </w:p>
          <w:p w:rsidR="00CA16B0" w:rsidRPr="00EF295C" w:rsidRDefault="002E5FCE" w:rsidP="00CA16B0">
            <w:pPr>
              <w:rPr>
                <w:sz w:val="20"/>
                <w:szCs w:val="20"/>
              </w:rPr>
            </w:pPr>
            <w:hyperlink r:id="rId36" w:history="1">
              <w:r w:rsidR="00CA16B0" w:rsidRPr="00EF295C">
                <w:rPr>
                  <w:rStyle w:val="Hyperlink"/>
                  <w:sz w:val="20"/>
                  <w:szCs w:val="20"/>
                </w:rPr>
                <w:t>2015 ONSC 7718</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AF4BD2" w:rsidRPr="00EF295C" w:rsidRDefault="00CA16B0" w:rsidP="00665CAF">
            <w:pPr>
              <w:jc w:val="both"/>
              <w:rPr>
                <w:rFonts w:cs="Times New Roman"/>
                <w:sz w:val="20"/>
                <w:szCs w:val="20"/>
              </w:rPr>
            </w:pPr>
            <w:r w:rsidRPr="00EF295C">
              <w:rPr>
                <w:sz w:val="20"/>
                <w:szCs w:val="20"/>
              </w:rPr>
              <w:t>Application for judicial review dismissed.</w:t>
            </w:r>
          </w:p>
        </w:tc>
      </w:tr>
      <w:tr w:rsidR="00AF4BD2" w:rsidRPr="00EF295C" w:rsidTr="00665CAF">
        <w:trPr>
          <w:cantSplit/>
        </w:trPr>
        <w:tc>
          <w:tcPr>
            <w:tcW w:w="4410" w:type="dxa"/>
            <w:gridSpan w:val="2"/>
          </w:tcPr>
          <w:p w:rsidR="00CA16B0" w:rsidRPr="00EF295C" w:rsidRDefault="00CA16B0" w:rsidP="00CA16B0">
            <w:pPr>
              <w:rPr>
                <w:sz w:val="20"/>
                <w:szCs w:val="20"/>
              </w:rPr>
            </w:pPr>
            <w:r w:rsidRPr="00EF295C">
              <w:rPr>
                <w:sz w:val="20"/>
                <w:szCs w:val="20"/>
              </w:rPr>
              <w:t>April 1, 2016</w:t>
            </w:r>
          </w:p>
          <w:p w:rsidR="00CA16B0" w:rsidRPr="00EF295C" w:rsidRDefault="00CA16B0" w:rsidP="00CA16B0">
            <w:pPr>
              <w:rPr>
                <w:sz w:val="20"/>
                <w:szCs w:val="20"/>
              </w:rPr>
            </w:pPr>
            <w:r w:rsidRPr="00EF295C">
              <w:rPr>
                <w:sz w:val="20"/>
                <w:szCs w:val="20"/>
              </w:rPr>
              <w:t>Court of Appeal for Ontario</w:t>
            </w:r>
          </w:p>
          <w:p w:rsidR="00CA16B0" w:rsidRPr="00EF295C" w:rsidRDefault="00CA16B0" w:rsidP="00CA16B0">
            <w:pPr>
              <w:rPr>
                <w:sz w:val="20"/>
                <w:szCs w:val="20"/>
              </w:rPr>
            </w:pPr>
            <w:r w:rsidRPr="00EF295C">
              <w:rPr>
                <w:sz w:val="20"/>
                <w:szCs w:val="20"/>
              </w:rPr>
              <w:t xml:space="preserve">(Doherty, Cronk, </w:t>
            </w:r>
            <w:proofErr w:type="spellStart"/>
            <w:r w:rsidRPr="00EF295C">
              <w:rPr>
                <w:sz w:val="20"/>
                <w:szCs w:val="20"/>
              </w:rPr>
              <w:t>Pepall</w:t>
            </w:r>
            <w:proofErr w:type="spellEnd"/>
            <w:r w:rsidRPr="00EF295C">
              <w:rPr>
                <w:sz w:val="20"/>
                <w:szCs w:val="20"/>
              </w:rPr>
              <w:t xml:space="preserve"> JJ.A.)</w:t>
            </w:r>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AF4BD2" w:rsidRPr="00EF295C" w:rsidRDefault="00CA16B0" w:rsidP="00665CAF">
            <w:pPr>
              <w:jc w:val="both"/>
              <w:rPr>
                <w:rFonts w:cs="Times New Roman"/>
                <w:sz w:val="20"/>
                <w:szCs w:val="20"/>
              </w:rPr>
            </w:pPr>
            <w:r w:rsidRPr="00EF295C">
              <w:rPr>
                <w:sz w:val="20"/>
                <w:szCs w:val="20"/>
              </w:rPr>
              <w:t>Leave to appeal denied to Mr. </w:t>
            </w:r>
            <w:proofErr w:type="spellStart"/>
            <w:r w:rsidRPr="00EF295C">
              <w:rPr>
                <w:sz w:val="20"/>
                <w:szCs w:val="20"/>
              </w:rPr>
              <w:t>Amormino</w:t>
            </w:r>
            <w:proofErr w:type="spellEnd"/>
            <w:r w:rsidRPr="00EF295C">
              <w:rPr>
                <w:sz w:val="20"/>
                <w:szCs w:val="20"/>
              </w:rPr>
              <w:t xml:space="preserve"> in File No. M45908.</w:t>
            </w:r>
          </w:p>
        </w:tc>
      </w:tr>
      <w:tr w:rsidR="00AF4BD2" w:rsidRPr="00EF295C" w:rsidTr="00665CAF">
        <w:trPr>
          <w:cantSplit/>
        </w:trPr>
        <w:tc>
          <w:tcPr>
            <w:tcW w:w="4410" w:type="dxa"/>
            <w:gridSpan w:val="2"/>
          </w:tcPr>
          <w:p w:rsidR="00CA16B0" w:rsidRPr="00EF295C" w:rsidRDefault="00CA16B0" w:rsidP="00CA16B0">
            <w:pPr>
              <w:rPr>
                <w:sz w:val="20"/>
                <w:szCs w:val="20"/>
              </w:rPr>
            </w:pPr>
            <w:r w:rsidRPr="00EF295C">
              <w:rPr>
                <w:sz w:val="20"/>
                <w:szCs w:val="20"/>
              </w:rPr>
              <w:t>May 30, 2016</w:t>
            </w:r>
          </w:p>
          <w:p w:rsidR="00AF4BD2" w:rsidRPr="00EF295C" w:rsidRDefault="00CA16B0" w:rsidP="00CA16B0">
            <w:pPr>
              <w:jc w:val="both"/>
              <w:rPr>
                <w:rFonts w:cs="Times New Roman"/>
                <w:sz w:val="20"/>
                <w:szCs w:val="20"/>
              </w:rPr>
            </w:pPr>
            <w:r w:rsidRPr="00EF295C">
              <w:rPr>
                <w:sz w:val="20"/>
                <w:szCs w:val="20"/>
              </w:rPr>
              <w:t>Supreme Court of Canada</w:t>
            </w:r>
          </w:p>
        </w:tc>
        <w:tc>
          <w:tcPr>
            <w:tcW w:w="630" w:type="dxa"/>
          </w:tcPr>
          <w:p w:rsidR="00AF4BD2" w:rsidRPr="00EF295C" w:rsidRDefault="00AF4BD2" w:rsidP="00665CAF">
            <w:pPr>
              <w:pStyle w:val="SCCShortJudgment"/>
              <w:ind w:firstLine="0"/>
              <w:rPr>
                <w:rFonts w:cs="Times New Roman"/>
                <w:szCs w:val="20"/>
              </w:rPr>
            </w:pPr>
          </w:p>
        </w:tc>
        <w:tc>
          <w:tcPr>
            <w:tcW w:w="4536" w:type="dxa"/>
          </w:tcPr>
          <w:p w:rsidR="00AF4BD2" w:rsidRPr="00EF295C" w:rsidRDefault="00CA16B0" w:rsidP="00665CAF">
            <w:pPr>
              <w:jc w:val="both"/>
              <w:rPr>
                <w:rFonts w:cs="Times New Roman"/>
                <w:sz w:val="20"/>
                <w:szCs w:val="20"/>
              </w:rPr>
            </w:pPr>
            <w:r w:rsidRPr="00EF295C">
              <w:rPr>
                <w:sz w:val="20"/>
                <w:szCs w:val="20"/>
              </w:rPr>
              <w:t>Application for leave to appeal filed.</w:t>
            </w: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CA16B0" w:rsidP="00665CAF">
            <w:pPr>
              <w:pStyle w:val="SCCShortJudgment"/>
              <w:ind w:firstLine="0"/>
              <w:rPr>
                <w:szCs w:val="20"/>
                <w:lang w:val="fr-CA"/>
              </w:rPr>
            </w:pPr>
            <w:r w:rsidRPr="00EF295C">
              <w:rPr>
                <w:i/>
                <w:szCs w:val="20"/>
                <w:lang w:val="fr-CA"/>
              </w:rPr>
              <w:t xml:space="preserve">Charte canadienne des droits et libertés </w:t>
            </w:r>
            <w:r w:rsidRPr="00EF295C">
              <w:rPr>
                <w:szCs w:val="20"/>
                <w:lang w:val="fr-CA"/>
              </w:rPr>
              <w:t xml:space="preserve">– Droit à la justice fondamentale – Droit de gagner sa vie – Droit d’exercer une profession – Protection de la réputation – </w:t>
            </w:r>
            <w:r w:rsidRPr="00EF295C">
              <w:rPr>
                <w:iCs/>
                <w:szCs w:val="20"/>
                <w:lang w:val="fr-CA"/>
              </w:rPr>
              <w:t>Liberté d’association</w:t>
            </w:r>
            <w:r w:rsidRPr="00EF295C">
              <w:rPr>
                <w:szCs w:val="20"/>
                <w:lang w:val="fr-CA"/>
              </w:rPr>
              <w:t xml:space="preserve"> – </w:t>
            </w:r>
            <w:r w:rsidRPr="00EF295C">
              <w:rPr>
                <w:iCs/>
                <w:szCs w:val="20"/>
                <w:lang w:val="fr-CA"/>
              </w:rPr>
              <w:t>Liberté de circulation et d’établissement</w:t>
            </w:r>
            <w:r w:rsidRPr="00EF295C">
              <w:rPr>
                <w:szCs w:val="20"/>
                <w:lang w:val="fr-CA"/>
              </w:rPr>
              <w:t xml:space="preserve"> – Procédure de congédiement – Protections procédurales garanties lorsqu’une personne risque de perdre son droit d’exercer une profession – L’économie de la </w:t>
            </w:r>
            <w:r w:rsidRPr="00EF295C">
              <w:rPr>
                <w:i/>
                <w:szCs w:val="20"/>
                <w:lang w:val="fr-CA"/>
              </w:rPr>
              <w:t>Loi sur les services policiers</w:t>
            </w:r>
            <w:r w:rsidRPr="00EF295C">
              <w:rPr>
                <w:szCs w:val="20"/>
                <w:lang w:val="fr-CA"/>
              </w:rPr>
              <w:t xml:space="preserve">, L.R.O. 1990, ch. P.15, contrevient-elle à l’art. 7 de la </w:t>
            </w:r>
            <w:r w:rsidRPr="00EF295C">
              <w:rPr>
                <w:i/>
                <w:szCs w:val="20"/>
                <w:lang w:val="fr-CA"/>
              </w:rPr>
              <w:t>Charte?</w:t>
            </w:r>
            <w:r w:rsidRPr="00EF295C">
              <w:rPr>
                <w:szCs w:val="20"/>
                <w:lang w:val="fr-CA"/>
              </w:rPr>
              <w:t xml:space="preserve"> – La Cour divisionnaire a-t-elle commis une erreur en décidant que l’exercice d’une profession n’était pas protégé par la </w:t>
            </w:r>
            <w:r w:rsidRPr="00EF295C">
              <w:rPr>
                <w:i/>
                <w:szCs w:val="20"/>
                <w:lang w:val="fr-CA"/>
              </w:rPr>
              <w:t xml:space="preserve">Charte? </w:t>
            </w:r>
            <w:r w:rsidRPr="00EF295C">
              <w:rPr>
                <w:szCs w:val="20"/>
                <w:lang w:val="fr-CA"/>
              </w:rPr>
              <w:t xml:space="preserve">– Le modèle dont s’inspire la </w:t>
            </w:r>
            <w:r w:rsidRPr="00EF295C">
              <w:rPr>
                <w:i/>
                <w:szCs w:val="20"/>
                <w:lang w:val="fr-CA"/>
              </w:rPr>
              <w:t>Loi sur les services policiers</w:t>
            </w:r>
            <w:r w:rsidRPr="00EF295C">
              <w:rPr>
                <w:szCs w:val="20"/>
                <w:lang w:val="fr-CA"/>
              </w:rPr>
              <w:t xml:space="preserve"> est</w:t>
            </w:r>
            <w:r w:rsidRPr="00EF295C">
              <w:rPr>
                <w:szCs w:val="20"/>
                <w:lang w:val="fr-CA"/>
              </w:rPr>
              <w:noBreakHyphen/>
              <w:t xml:space="preserve">il inconstitutionnel? – L’article 7 de la </w:t>
            </w:r>
            <w:r w:rsidRPr="00EF295C">
              <w:rPr>
                <w:i/>
                <w:szCs w:val="20"/>
                <w:lang w:val="fr-CA"/>
              </w:rPr>
              <w:t>Charte</w:t>
            </w:r>
            <w:r w:rsidRPr="00EF295C">
              <w:rPr>
                <w:szCs w:val="20"/>
                <w:lang w:val="fr-CA"/>
              </w:rPr>
              <w:t xml:space="preserve"> garantit-il des protections procédurales dans le cadre d’une audience disciplinaire lorsque la personne visée risque de perdre son droit d’exercer une profession?</w:t>
            </w:r>
          </w:p>
          <w:p w:rsidR="00CA16B0" w:rsidRPr="00EF295C" w:rsidRDefault="00CA16B0"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CA16B0" w:rsidRPr="00EF295C" w:rsidRDefault="00CA16B0" w:rsidP="00CA16B0">
            <w:pPr>
              <w:jc w:val="both"/>
              <w:rPr>
                <w:sz w:val="20"/>
                <w:szCs w:val="20"/>
                <w:lang w:val="fr-CA"/>
              </w:rPr>
            </w:pPr>
            <w:r w:rsidRPr="00EF295C">
              <w:rPr>
                <w:sz w:val="20"/>
                <w:szCs w:val="20"/>
                <w:lang w:val="fr-CA"/>
              </w:rPr>
              <w:t>M. </w:t>
            </w:r>
            <w:proofErr w:type="spellStart"/>
            <w:r w:rsidRPr="00EF295C">
              <w:rPr>
                <w:sz w:val="20"/>
                <w:szCs w:val="20"/>
                <w:lang w:val="fr-CA"/>
              </w:rPr>
              <w:t>Amormino</w:t>
            </w:r>
            <w:proofErr w:type="spellEnd"/>
            <w:r w:rsidRPr="00EF295C">
              <w:rPr>
                <w:sz w:val="20"/>
                <w:szCs w:val="20"/>
                <w:lang w:val="fr-CA"/>
              </w:rPr>
              <w:t xml:space="preserve">, qui était un agent de la Police provinciale de l’Ontario au moment des faits, affirme que l’économie de la </w:t>
            </w:r>
            <w:r w:rsidRPr="00EF295C">
              <w:rPr>
                <w:i/>
                <w:sz w:val="20"/>
                <w:szCs w:val="20"/>
                <w:lang w:val="fr-CA"/>
              </w:rPr>
              <w:t>Loi sur les services policiers</w:t>
            </w:r>
            <w:r w:rsidRPr="00EF295C">
              <w:rPr>
                <w:sz w:val="20"/>
                <w:szCs w:val="20"/>
                <w:lang w:val="fr-CA"/>
              </w:rPr>
              <w:t>, L.R.O. 1990, ch. P.15, porte atteinte à son droit constitutionnel à une audience équitable devant un tribunal indépendant et impartial.  La Police provinciale de l’Ontario alléguait contre lui huit chefs d’inconduite en milieu de travail en vertu de cette loi. La procédure disciplinaire a finalement été suspendue en attendant que la demande de contrôle judiciaire introduite par M. </w:t>
            </w:r>
            <w:proofErr w:type="spellStart"/>
            <w:r w:rsidRPr="00EF295C">
              <w:rPr>
                <w:sz w:val="20"/>
                <w:szCs w:val="20"/>
                <w:lang w:val="fr-CA"/>
              </w:rPr>
              <w:t>Amormino</w:t>
            </w:r>
            <w:proofErr w:type="spellEnd"/>
            <w:r w:rsidRPr="00EF295C">
              <w:rPr>
                <w:sz w:val="20"/>
                <w:szCs w:val="20"/>
                <w:lang w:val="fr-CA"/>
              </w:rPr>
              <w:t xml:space="preserve"> soit tranchée.</w:t>
            </w:r>
          </w:p>
          <w:p w:rsidR="00CA16B0" w:rsidRPr="00EF295C" w:rsidRDefault="00CA16B0" w:rsidP="00CA16B0">
            <w:pPr>
              <w:jc w:val="both"/>
              <w:rPr>
                <w:sz w:val="20"/>
                <w:szCs w:val="20"/>
                <w:lang w:val="fr-CA"/>
              </w:rPr>
            </w:pPr>
          </w:p>
          <w:p w:rsidR="00CA16B0" w:rsidRPr="00EF295C" w:rsidRDefault="00CA16B0" w:rsidP="00CA16B0">
            <w:pPr>
              <w:jc w:val="both"/>
              <w:rPr>
                <w:sz w:val="20"/>
                <w:szCs w:val="20"/>
                <w:lang w:val="fr-CA"/>
              </w:rPr>
            </w:pPr>
            <w:r w:rsidRPr="00EF295C">
              <w:rPr>
                <w:sz w:val="20"/>
                <w:szCs w:val="20"/>
                <w:lang w:val="fr-CA"/>
              </w:rPr>
              <w:t>La demande de contrôle judiciaire a été rejetée le 11 décembre 2015. La Cour d’appel a rejeté les demandes d’autorisation d’appel présentées séparément par M. </w:t>
            </w:r>
            <w:proofErr w:type="spellStart"/>
            <w:r w:rsidRPr="00EF295C">
              <w:rPr>
                <w:sz w:val="20"/>
                <w:szCs w:val="20"/>
                <w:lang w:val="fr-CA"/>
              </w:rPr>
              <w:t>Amormino</w:t>
            </w:r>
            <w:proofErr w:type="spellEnd"/>
            <w:r w:rsidRPr="00EF295C">
              <w:rPr>
                <w:sz w:val="20"/>
                <w:szCs w:val="20"/>
                <w:lang w:val="fr-CA"/>
              </w:rPr>
              <w:t xml:space="preserve"> et par l’Association de la Police provinciale de l’Ontario.</w:t>
            </w:r>
          </w:p>
          <w:p w:rsidR="00AF4BD2" w:rsidRPr="00EF295C" w:rsidRDefault="00AF4BD2" w:rsidP="00665CAF">
            <w:pPr>
              <w:jc w:val="both"/>
              <w:rPr>
                <w:rFonts w:cs="Times New Roman"/>
                <w:sz w:val="20"/>
                <w:szCs w:val="20"/>
                <w:u w:val="single"/>
                <w:lang w:val="fr-CA"/>
              </w:rPr>
            </w:pPr>
          </w:p>
        </w:tc>
      </w:tr>
      <w:tr w:rsidR="00CA16B0" w:rsidRPr="002E5FCE" w:rsidTr="00665CAF">
        <w:trPr>
          <w:cantSplit/>
        </w:trPr>
        <w:tc>
          <w:tcPr>
            <w:tcW w:w="4410" w:type="dxa"/>
            <w:gridSpan w:val="2"/>
          </w:tcPr>
          <w:p w:rsidR="00CA16B0" w:rsidRPr="00EF295C" w:rsidRDefault="00CA16B0" w:rsidP="00CA16B0">
            <w:pPr>
              <w:rPr>
                <w:sz w:val="20"/>
                <w:szCs w:val="20"/>
                <w:lang w:val="fr-CA"/>
              </w:rPr>
            </w:pPr>
            <w:r w:rsidRPr="00EF295C">
              <w:rPr>
                <w:sz w:val="20"/>
                <w:szCs w:val="20"/>
                <w:lang w:val="fr-CA"/>
              </w:rPr>
              <w:t>11 décembre 2015</w:t>
            </w:r>
          </w:p>
          <w:p w:rsidR="00CA16B0" w:rsidRPr="00EF295C" w:rsidRDefault="00CA16B0" w:rsidP="00CA16B0">
            <w:pPr>
              <w:rPr>
                <w:sz w:val="20"/>
                <w:szCs w:val="20"/>
                <w:lang w:val="fr-CA"/>
              </w:rPr>
            </w:pPr>
            <w:r w:rsidRPr="00EF295C">
              <w:rPr>
                <w:sz w:val="20"/>
                <w:szCs w:val="20"/>
                <w:lang w:val="fr-CA"/>
              </w:rPr>
              <w:t>Cour supérieure de justice de l’Ontario (Cour divisionnaire)</w:t>
            </w:r>
          </w:p>
          <w:p w:rsidR="00CA16B0" w:rsidRPr="00EF295C" w:rsidRDefault="00CA16B0" w:rsidP="00CA16B0">
            <w:pPr>
              <w:rPr>
                <w:sz w:val="20"/>
                <w:szCs w:val="20"/>
                <w:lang w:val="fr-CA"/>
              </w:rPr>
            </w:pPr>
            <w:r w:rsidRPr="00EF295C">
              <w:rPr>
                <w:sz w:val="20"/>
                <w:szCs w:val="20"/>
                <w:lang w:val="fr-CA"/>
              </w:rPr>
              <w:t xml:space="preserve">(Les juges Gordon, </w:t>
            </w:r>
            <w:proofErr w:type="spellStart"/>
            <w:r w:rsidRPr="00EF295C">
              <w:rPr>
                <w:sz w:val="20"/>
                <w:szCs w:val="20"/>
                <w:lang w:val="fr-CA"/>
              </w:rPr>
              <w:t>Molloy</w:t>
            </w:r>
            <w:proofErr w:type="spellEnd"/>
            <w:r w:rsidRPr="00EF295C">
              <w:rPr>
                <w:sz w:val="20"/>
                <w:szCs w:val="20"/>
                <w:lang w:val="fr-CA"/>
              </w:rPr>
              <w:t xml:space="preserve"> et </w:t>
            </w:r>
            <w:proofErr w:type="spellStart"/>
            <w:r w:rsidRPr="00EF295C">
              <w:rPr>
                <w:sz w:val="20"/>
                <w:szCs w:val="20"/>
                <w:lang w:val="fr-CA"/>
              </w:rPr>
              <w:t>Sanderson</w:t>
            </w:r>
            <w:proofErr w:type="spellEnd"/>
            <w:r w:rsidRPr="00EF295C">
              <w:rPr>
                <w:sz w:val="20"/>
                <w:szCs w:val="20"/>
                <w:lang w:val="fr-CA"/>
              </w:rPr>
              <w:t>)</w:t>
            </w:r>
          </w:p>
          <w:p w:rsidR="00CA16B0" w:rsidRPr="00EF295C" w:rsidRDefault="002E5FCE" w:rsidP="00CA16B0">
            <w:pPr>
              <w:rPr>
                <w:sz w:val="20"/>
                <w:szCs w:val="20"/>
                <w:lang w:val="fr-CA"/>
              </w:rPr>
            </w:pPr>
            <w:hyperlink r:id="rId37" w:history="1">
              <w:r w:rsidR="00CA16B0" w:rsidRPr="00EF295C">
                <w:rPr>
                  <w:rStyle w:val="Hyperlink"/>
                  <w:sz w:val="20"/>
                  <w:szCs w:val="20"/>
                  <w:lang w:val="fr-CA"/>
                </w:rPr>
                <w:t>2015 ONSC 7718</w:t>
              </w:r>
            </w:hyperlink>
          </w:p>
          <w:p w:rsidR="00CA16B0" w:rsidRPr="00EF295C" w:rsidRDefault="00CA16B0" w:rsidP="00CA16B0">
            <w:pPr>
              <w:pStyle w:val="SCCShortJudgment"/>
              <w:ind w:firstLine="0"/>
              <w:rPr>
                <w:rFonts w:cs="Times New Roman"/>
                <w:szCs w:val="20"/>
                <w:u w:val="single"/>
                <w:lang w:val="fr-CA"/>
              </w:rPr>
            </w:pPr>
          </w:p>
        </w:tc>
        <w:tc>
          <w:tcPr>
            <w:tcW w:w="630" w:type="dxa"/>
          </w:tcPr>
          <w:p w:rsidR="00CA16B0" w:rsidRPr="00EF295C" w:rsidRDefault="00CA16B0" w:rsidP="00CA16B0">
            <w:pPr>
              <w:pStyle w:val="SCCShortJudgment"/>
              <w:ind w:firstLine="0"/>
              <w:rPr>
                <w:rFonts w:cs="Times New Roman"/>
                <w:szCs w:val="20"/>
                <w:u w:val="single"/>
                <w:lang w:val="fr-CA"/>
              </w:rPr>
            </w:pPr>
          </w:p>
        </w:tc>
        <w:tc>
          <w:tcPr>
            <w:tcW w:w="4536" w:type="dxa"/>
          </w:tcPr>
          <w:p w:rsidR="00CA16B0" w:rsidRPr="00EF295C" w:rsidRDefault="00CA16B0" w:rsidP="00CA16B0">
            <w:pPr>
              <w:rPr>
                <w:sz w:val="20"/>
                <w:szCs w:val="20"/>
                <w:lang w:val="fr-CA"/>
              </w:rPr>
            </w:pPr>
            <w:r w:rsidRPr="00EF295C">
              <w:rPr>
                <w:sz w:val="20"/>
                <w:szCs w:val="20"/>
                <w:lang w:val="fr-CA"/>
              </w:rPr>
              <w:t>Rejet de la demande de contrôle judiciaire.</w:t>
            </w:r>
          </w:p>
        </w:tc>
      </w:tr>
      <w:tr w:rsidR="00CA16B0" w:rsidRPr="002E5FCE" w:rsidTr="00665CAF">
        <w:trPr>
          <w:cantSplit/>
        </w:trPr>
        <w:tc>
          <w:tcPr>
            <w:tcW w:w="4410" w:type="dxa"/>
            <w:gridSpan w:val="2"/>
          </w:tcPr>
          <w:p w:rsidR="00CA16B0" w:rsidRPr="00EF295C" w:rsidRDefault="00CA16B0" w:rsidP="00CA16B0">
            <w:pPr>
              <w:rPr>
                <w:sz w:val="20"/>
                <w:szCs w:val="20"/>
                <w:lang w:val="fr-CA"/>
              </w:rPr>
            </w:pPr>
            <w:r w:rsidRPr="00EF295C">
              <w:rPr>
                <w:sz w:val="20"/>
                <w:szCs w:val="20"/>
                <w:lang w:val="fr-CA"/>
              </w:rPr>
              <w:t>1</w:t>
            </w:r>
            <w:r w:rsidRPr="00EF295C">
              <w:rPr>
                <w:sz w:val="20"/>
                <w:szCs w:val="20"/>
                <w:vertAlign w:val="superscript"/>
                <w:lang w:val="fr-CA"/>
              </w:rPr>
              <w:t>er</w:t>
            </w:r>
            <w:r w:rsidRPr="00EF295C">
              <w:rPr>
                <w:sz w:val="20"/>
                <w:szCs w:val="20"/>
                <w:lang w:val="fr-CA"/>
              </w:rPr>
              <w:t xml:space="preserve"> avril 2016</w:t>
            </w:r>
          </w:p>
          <w:p w:rsidR="00CA16B0" w:rsidRPr="00EF295C" w:rsidRDefault="00CA16B0" w:rsidP="00CA16B0">
            <w:pPr>
              <w:rPr>
                <w:sz w:val="20"/>
                <w:szCs w:val="20"/>
                <w:lang w:val="fr-CA"/>
              </w:rPr>
            </w:pPr>
            <w:r w:rsidRPr="00EF295C">
              <w:rPr>
                <w:sz w:val="20"/>
                <w:szCs w:val="20"/>
                <w:lang w:val="fr-CA"/>
              </w:rPr>
              <w:t>Cour d’appel de l’Ontario</w:t>
            </w:r>
          </w:p>
          <w:p w:rsidR="00CA16B0" w:rsidRPr="00EF295C" w:rsidRDefault="00CA16B0" w:rsidP="00CA16B0">
            <w:pPr>
              <w:rPr>
                <w:sz w:val="20"/>
                <w:szCs w:val="20"/>
                <w:lang w:val="fr-CA"/>
              </w:rPr>
            </w:pPr>
            <w:r w:rsidRPr="00EF295C">
              <w:rPr>
                <w:sz w:val="20"/>
                <w:szCs w:val="20"/>
                <w:lang w:val="fr-CA"/>
              </w:rPr>
              <w:t xml:space="preserve">(Les juges Doherty, </w:t>
            </w:r>
            <w:proofErr w:type="spellStart"/>
            <w:r w:rsidRPr="00EF295C">
              <w:rPr>
                <w:sz w:val="20"/>
                <w:szCs w:val="20"/>
                <w:lang w:val="fr-CA"/>
              </w:rPr>
              <w:t>Cronk</w:t>
            </w:r>
            <w:proofErr w:type="spellEnd"/>
            <w:r w:rsidRPr="00EF295C">
              <w:rPr>
                <w:sz w:val="20"/>
                <w:szCs w:val="20"/>
                <w:lang w:val="fr-CA"/>
              </w:rPr>
              <w:t xml:space="preserve"> et </w:t>
            </w:r>
            <w:proofErr w:type="spellStart"/>
            <w:r w:rsidRPr="00EF295C">
              <w:rPr>
                <w:sz w:val="20"/>
                <w:szCs w:val="20"/>
                <w:lang w:val="fr-CA"/>
              </w:rPr>
              <w:t>Pepall</w:t>
            </w:r>
            <w:proofErr w:type="spellEnd"/>
            <w:r w:rsidRPr="00EF295C">
              <w:rPr>
                <w:sz w:val="20"/>
                <w:szCs w:val="20"/>
                <w:lang w:val="fr-CA"/>
              </w:rPr>
              <w:t>)</w:t>
            </w:r>
          </w:p>
          <w:p w:rsidR="00CA16B0" w:rsidRPr="00EF295C" w:rsidRDefault="00CA16B0" w:rsidP="00CA16B0">
            <w:pPr>
              <w:pStyle w:val="SCCShortJudgment"/>
              <w:ind w:firstLine="0"/>
              <w:rPr>
                <w:rFonts w:cs="Times New Roman"/>
                <w:szCs w:val="20"/>
                <w:u w:val="single"/>
                <w:lang w:val="fr-CA"/>
              </w:rPr>
            </w:pPr>
          </w:p>
        </w:tc>
        <w:tc>
          <w:tcPr>
            <w:tcW w:w="630" w:type="dxa"/>
          </w:tcPr>
          <w:p w:rsidR="00CA16B0" w:rsidRPr="00EF295C" w:rsidRDefault="00CA16B0" w:rsidP="00CA16B0">
            <w:pPr>
              <w:pStyle w:val="SCCShortJudgment"/>
              <w:ind w:firstLine="0"/>
              <w:rPr>
                <w:rFonts w:cs="Times New Roman"/>
                <w:szCs w:val="20"/>
                <w:u w:val="single"/>
                <w:lang w:val="fr-CA"/>
              </w:rPr>
            </w:pPr>
          </w:p>
        </w:tc>
        <w:tc>
          <w:tcPr>
            <w:tcW w:w="4536" w:type="dxa"/>
          </w:tcPr>
          <w:p w:rsidR="00CA16B0" w:rsidRPr="00EF295C" w:rsidRDefault="00CA16B0" w:rsidP="00CA16B0">
            <w:pPr>
              <w:pStyle w:val="SCCShortJudgment"/>
              <w:ind w:firstLine="0"/>
              <w:rPr>
                <w:rFonts w:cs="Times New Roman"/>
                <w:szCs w:val="20"/>
                <w:u w:val="single"/>
                <w:lang w:val="fr-CA"/>
              </w:rPr>
            </w:pPr>
            <w:r w:rsidRPr="00EF295C">
              <w:rPr>
                <w:szCs w:val="20"/>
                <w:lang w:val="fr-CA"/>
              </w:rPr>
              <w:t>Refus d’accorder l’autorisation d’appel à M. </w:t>
            </w:r>
            <w:proofErr w:type="spellStart"/>
            <w:r w:rsidRPr="00EF295C">
              <w:rPr>
                <w:szCs w:val="20"/>
                <w:lang w:val="fr-CA"/>
              </w:rPr>
              <w:t>Amormino</w:t>
            </w:r>
            <w:proofErr w:type="spellEnd"/>
            <w:r w:rsidRPr="00EF295C">
              <w:rPr>
                <w:szCs w:val="20"/>
                <w:lang w:val="fr-CA"/>
              </w:rPr>
              <w:t xml:space="preserve"> dans le dossier n</w:t>
            </w:r>
            <w:r w:rsidRPr="00EF295C">
              <w:rPr>
                <w:szCs w:val="20"/>
                <w:vertAlign w:val="superscript"/>
                <w:lang w:val="fr-CA"/>
              </w:rPr>
              <w:t>o</w:t>
            </w:r>
            <w:r w:rsidRPr="00EF295C">
              <w:rPr>
                <w:szCs w:val="20"/>
                <w:lang w:val="fr-CA"/>
              </w:rPr>
              <w:t> M45908.</w:t>
            </w:r>
          </w:p>
        </w:tc>
      </w:tr>
      <w:tr w:rsidR="00CA16B0" w:rsidRPr="002E5FCE" w:rsidTr="00665CAF">
        <w:trPr>
          <w:cantSplit/>
        </w:trPr>
        <w:tc>
          <w:tcPr>
            <w:tcW w:w="4410" w:type="dxa"/>
            <w:gridSpan w:val="2"/>
          </w:tcPr>
          <w:p w:rsidR="00CA16B0" w:rsidRPr="00EF295C" w:rsidRDefault="00CA16B0" w:rsidP="00CA16B0">
            <w:pPr>
              <w:rPr>
                <w:sz w:val="20"/>
                <w:szCs w:val="20"/>
                <w:lang w:val="fr-CA"/>
              </w:rPr>
            </w:pPr>
            <w:r w:rsidRPr="00EF295C">
              <w:rPr>
                <w:sz w:val="20"/>
                <w:szCs w:val="20"/>
                <w:lang w:val="fr-CA"/>
              </w:rPr>
              <w:t>30 mai 2016</w:t>
            </w:r>
          </w:p>
          <w:p w:rsidR="00CA16B0" w:rsidRPr="00EF295C" w:rsidRDefault="00CA16B0" w:rsidP="00CA16B0">
            <w:pPr>
              <w:pStyle w:val="SCCShortJudgment"/>
              <w:ind w:firstLine="0"/>
              <w:rPr>
                <w:rFonts w:cs="Times New Roman"/>
                <w:szCs w:val="20"/>
                <w:u w:val="single"/>
                <w:lang w:val="fr-CA"/>
              </w:rPr>
            </w:pPr>
            <w:r w:rsidRPr="00EF295C">
              <w:rPr>
                <w:szCs w:val="20"/>
                <w:lang w:val="fr-CA"/>
              </w:rPr>
              <w:t>Cour suprême du Canada</w:t>
            </w:r>
          </w:p>
        </w:tc>
        <w:tc>
          <w:tcPr>
            <w:tcW w:w="630" w:type="dxa"/>
          </w:tcPr>
          <w:p w:rsidR="00CA16B0" w:rsidRPr="00EF295C" w:rsidRDefault="00CA16B0" w:rsidP="00CA16B0">
            <w:pPr>
              <w:pStyle w:val="SCCShortJudgment"/>
              <w:ind w:firstLine="0"/>
              <w:rPr>
                <w:rFonts w:cs="Times New Roman"/>
                <w:szCs w:val="20"/>
                <w:u w:val="single"/>
                <w:lang w:val="fr-CA"/>
              </w:rPr>
            </w:pPr>
          </w:p>
        </w:tc>
        <w:tc>
          <w:tcPr>
            <w:tcW w:w="4536" w:type="dxa"/>
          </w:tcPr>
          <w:p w:rsidR="00CA16B0" w:rsidRPr="00EF295C" w:rsidRDefault="00CA16B0" w:rsidP="00CA16B0">
            <w:pPr>
              <w:rPr>
                <w:sz w:val="20"/>
                <w:szCs w:val="20"/>
                <w:lang w:val="fr-CA"/>
              </w:rPr>
            </w:pPr>
            <w:r w:rsidRPr="00EF295C">
              <w:rPr>
                <w:sz w:val="20"/>
                <w:szCs w:val="20"/>
                <w:lang w:val="fr-CA"/>
              </w:rPr>
              <w:t>Dépôt de la demande d’autorisation d’appel.</w:t>
            </w:r>
          </w:p>
          <w:p w:rsidR="00CA16B0" w:rsidRPr="00EF295C" w:rsidRDefault="00CA16B0" w:rsidP="00CA16B0">
            <w:pPr>
              <w:pStyle w:val="SCCShortJudgment"/>
              <w:ind w:firstLine="0"/>
              <w:rPr>
                <w:rFonts w:cs="Times New Roman"/>
                <w:szCs w:val="20"/>
                <w:u w:val="single"/>
                <w:lang w:val="fr-CA"/>
              </w:rPr>
            </w:pPr>
          </w:p>
        </w:tc>
      </w:tr>
    </w:tbl>
    <w:p w:rsidR="00AF4BD2" w:rsidRPr="00EF295C" w:rsidRDefault="002E5FCE" w:rsidP="000E2959">
      <w:pPr>
        <w:rPr>
          <w:sz w:val="20"/>
          <w:szCs w:val="20"/>
          <w:lang w:val="fr-CA"/>
        </w:rPr>
      </w:pPr>
      <w:r>
        <w:rPr>
          <w:rFonts w:cs="Times New Roman"/>
          <w:szCs w:val="20"/>
          <w:lang w:val="fr-CA"/>
        </w:rPr>
        <w:pict>
          <v:rect id="_x0000_i1057" style="width:2in;height:1pt" o:hrpct="0" o:hralign="center" o:hrstd="t" o:hrnoshade="t" o:hr="t" fillcolor="black [3213]" stroked="f"/>
        </w:pict>
      </w:r>
    </w:p>
    <w:p w:rsidR="00AF4BD2" w:rsidRPr="00EF295C" w:rsidRDefault="00AF4BD2" w:rsidP="000E2959">
      <w:pPr>
        <w:rPr>
          <w:sz w:val="20"/>
          <w:szCs w:val="20"/>
          <w:lang w:val="fr-CA"/>
        </w:rPr>
      </w:pPr>
    </w:p>
    <w:p w:rsidR="00CD11F2" w:rsidRPr="00EF295C" w:rsidRDefault="00CD11F2">
      <w:r w:rsidRPr="00EF295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lastRenderedPageBreak/>
              <w:t>37032</w:t>
            </w:r>
          </w:p>
          <w:p w:rsidR="00AF4BD2" w:rsidRPr="00EF295C" w:rsidRDefault="00AF4BD2" w:rsidP="00665CAF">
            <w:pPr>
              <w:jc w:val="both"/>
              <w:rPr>
                <w:rFonts w:cs="Times New Roman"/>
                <w:b/>
                <w:sz w:val="20"/>
                <w:szCs w:val="20"/>
              </w:rPr>
            </w:pPr>
          </w:p>
        </w:tc>
        <w:tc>
          <w:tcPr>
            <w:tcW w:w="8118" w:type="dxa"/>
            <w:gridSpan w:val="3"/>
          </w:tcPr>
          <w:p w:rsidR="00AF4BD2" w:rsidRPr="00EF295C" w:rsidRDefault="00FD2FEC" w:rsidP="00665CAF">
            <w:pPr>
              <w:jc w:val="both"/>
              <w:rPr>
                <w:rFonts w:cs="Times New Roman"/>
                <w:sz w:val="20"/>
                <w:szCs w:val="20"/>
              </w:rPr>
            </w:pPr>
            <w:r w:rsidRPr="00EF295C">
              <w:rPr>
                <w:b/>
                <w:sz w:val="20"/>
                <w:szCs w:val="20"/>
                <w:u w:val="single"/>
              </w:rPr>
              <w:t>Jarvis Stewart v. Gordon James Keating</w:t>
            </w:r>
            <w:r w:rsidRPr="00EF295C">
              <w:rPr>
                <w:rFonts w:cs="Times New Roman"/>
                <w:sz w:val="20"/>
                <w:szCs w:val="20"/>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FD2FEC" w:rsidRPr="00EF295C">
              <w:rPr>
                <w:szCs w:val="20"/>
              </w:rPr>
              <w:t>The application for leave to appeal from the judgment of the Court of Appeal for Saskatchewan, Number CACV2720, 2016 SKCA 59, dated April 28, 2016, is dismissed without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rFonts w:cs="Times New Roman"/>
                <w:szCs w:val="20"/>
                <w:lang w:val="fr-CA"/>
              </w:rPr>
            </w:pPr>
            <w:r w:rsidRPr="00EF295C">
              <w:rPr>
                <w:rFonts w:cs="Times New Roman"/>
                <w:szCs w:val="20"/>
              </w:rPr>
              <w:tab/>
            </w:r>
            <w:r w:rsidR="00FD2FEC" w:rsidRPr="00EF295C">
              <w:rPr>
                <w:szCs w:val="20"/>
                <w:lang w:val="fr-CA"/>
              </w:rPr>
              <w:t xml:space="preserve">La demande d’autorisation d’appel de l’arrêt de la </w:t>
            </w:r>
            <w:r w:rsidR="00FD2FEC" w:rsidRPr="00EF295C">
              <w:rPr>
                <w:szCs w:val="20"/>
                <w:lang w:val="fr-FR"/>
              </w:rPr>
              <w:t>Cour d’appel de la Saskatchewan</w:t>
            </w:r>
            <w:r w:rsidR="00FD2FEC" w:rsidRPr="00EF295C">
              <w:rPr>
                <w:szCs w:val="20"/>
                <w:lang w:val="fr-CA"/>
              </w:rPr>
              <w:t xml:space="preserve">, numéro </w:t>
            </w:r>
            <w:r w:rsidR="00FD2FEC" w:rsidRPr="00EF295C">
              <w:rPr>
                <w:szCs w:val="20"/>
                <w:lang w:val="fr-FR"/>
              </w:rPr>
              <w:t>CACV2720, 2016 SKCA 59</w:t>
            </w:r>
            <w:r w:rsidR="00FD2FEC" w:rsidRPr="00EF295C">
              <w:rPr>
                <w:szCs w:val="20"/>
                <w:lang w:val="fr-CA"/>
              </w:rPr>
              <w:t xml:space="preserve">, daté du </w:t>
            </w:r>
            <w:r w:rsidR="00FD2FEC" w:rsidRPr="00EF295C">
              <w:rPr>
                <w:szCs w:val="20"/>
                <w:lang w:val="fr-FR"/>
              </w:rPr>
              <w:t>28 avril 2016</w:t>
            </w:r>
            <w:r w:rsidR="00FD2FEC" w:rsidRPr="00EF295C">
              <w:rPr>
                <w:szCs w:val="20"/>
                <w:lang w:val="fr-CA"/>
              </w:rPr>
              <w:t>, est rejetée sans dépens.</w: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CD11F2" w:rsidRPr="00EF295C" w:rsidTr="00665CAF">
        <w:trPr>
          <w:cantSplit/>
        </w:trPr>
        <w:tc>
          <w:tcPr>
            <w:tcW w:w="9576" w:type="dxa"/>
            <w:gridSpan w:val="4"/>
          </w:tcPr>
          <w:p w:rsidR="00CD11F2" w:rsidRPr="00EF295C" w:rsidRDefault="00CD11F2" w:rsidP="00CD11F2">
            <w:pPr>
              <w:rPr>
                <w:sz w:val="20"/>
                <w:szCs w:val="20"/>
              </w:rPr>
            </w:pPr>
            <w:r w:rsidRPr="00EF295C">
              <w:rPr>
                <w:sz w:val="20"/>
                <w:szCs w:val="20"/>
              </w:rPr>
              <w:t>Appeals – Leave to appeal – Whether the applicant raises a legal issue – Whether the issue is of public importance.</w:t>
            </w:r>
          </w:p>
          <w:p w:rsidR="00CD11F2" w:rsidRPr="00EF295C" w:rsidRDefault="00CD11F2" w:rsidP="00CD11F2">
            <w:pPr>
              <w:rPr>
                <w:sz w:val="20"/>
                <w:szCs w:val="20"/>
              </w:rPr>
            </w:pPr>
          </w:p>
        </w:tc>
      </w:tr>
      <w:tr w:rsidR="00CD11F2" w:rsidRPr="00EF295C" w:rsidTr="00665CAF">
        <w:trPr>
          <w:cantSplit/>
        </w:trPr>
        <w:tc>
          <w:tcPr>
            <w:tcW w:w="9576" w:type="dxa"/>
            <w:gridSpan w:val="4"/>
          </w:tcPr>
          <w:p w:rsidR="00CD11F2" w:rsidRPr="00EF295C" w:rsidRDefault="00CD11F2" w:rsidP="00CD11F2">
            <w:pPr>
              <w:jc w:val="both"/>
              <w:rPr>
                <w:sz w:val="20"/>
                <w:szCs w:val="20"/>
              </w:rPr>
            </w:pPr>
            <w:r w:rsidRPr="00EF295C">
              <w:rPr>
                <w:sz w:val="20"/>
                <w:szCs w:val="20"/>
              </w:rPr>
              <w:t xml:space="preserve">The applicant, Jarvis Stewart, was stopped by the respondent, Constable Gordon Keating, while driving his vehicle. He was eventually arrested for obstruction of a police officer and convicted of that offence. Mr. Stewart commenced a civil action against </w:t>
            </w:r>
            <w:proofErr w:type="spellStart"/>
            <w:r w:rsidRPr="00EF295C">
              <w:rPr>
                <w:sz w:val="20"/>
                <w:szCs w:val="20"/>
              </w:rPr>
              <w:t>Cst</w:t>
            </w:r>
            <w:proofErr w:type="spellEnd"/>
            <w:r w:rsidRPr="00EF295C">
              <w:rPr>
                <w:sz w:val="20"/>
                <w:szCs w:val="20"/>
              </w:rPr>
              <w:t>. Keating, claiming damages for injuries allegedly suffered during his arrest and for his detention after the arrest. The trial judge dismissed the action and the Court of Appeal dismissed his appeal.</w:t>
            </w:r>
          </w:p>
          <w:p w:rsidR="00CD11F2" w:rsidRPr="00EF295C" w:rsidRDefault="00CD11F2" w:rsidP="00CD11F2">
            <w:pPr>
              <w:pStyle w:val="SCCShortJudgment"/>
              <w:ind w:firstLine="0"/>
              <w:rPr>
                <w:rFonts w:cs="Times New Roman"/>
                <w:szCs w:val="20"/>
              </w:rPr>
            </w:pPr>
          </w:p>
        </w:tc>
      </w:tr>
      <w:tr w:rsidR="00CD11F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t>April 15, 2015</w:t>
            </w:r>
          </w:p>
          <w:p w:rsidR="00CD11F2" w:rsidRPr="00EF295C" w:rsidRDefault="00CD11F2" w:rsidP="00CD11F2">
            <w:pPr>
              <w:rPr>
                <w:sz w:val="20"/>
                <w:szCs w:val="20"/>
              </w:rPr>
            </w:pPr>
            <w:r w:rsidRPr="00EF295C">
              <w:rPr>
                <w:sz w:val="20"/>
                <w:szCs w:val="20"/>
              </w:rPr>
              <w:t>Court of Queen’s Bench of Saskatchewan</w:t>
            </w:r>
          </w:p>
          <w:p w:rsidR="00CD11F2" w:rsidRPr="00EF295C" w:rsidRDefault="00CD11F2" w:rsidP="00CD11F2">
            <w:pPr>
              <w:rPr>
                <w:sz w:val="20"/>
                <w:szCs w:val="20"/>
              </w:rPr>
            </w:pPr>
            <w:r w:rsidRPr="00EF295C">
              <w:rPr>
                <w:sz w:val="20"/>
                <w:szCs w:val="20"/>
              </w:rPr>
              <w:t>(</w:t>
            </w:r>
            <w:proofErr w:type="spellStart"/>
            <w:r w:rsidRPr="00EF295C">
              <w:rPr>
                <w:sz w:val="20"/>
                <w:szCs w:val="20"/>
              </w:rPr>
              <w:t>Gabrielson</w:t>
            </w:r>
            <w:proofErr w:type="spellEnd"/>
            <w:r w:rsidRPr="00EF295C">
              <w:rPr>
                <w:sz w:val="20"/>
                <w:szCs w:val="20"/>
              </w:rPr>
              <w:t xml:space="preserve"> J.)</w:t>
            </w:r>
          </w:p>
          <w:p w:rsidR="00CD11F2" w:rsidRPr="00EF295C" w:rsidRDefault="002E5FCE" w:rsidP="00CD11F2">
            <w:pPr>
              <w:rPr>
                <w:sz w:val="20"/>
                <w:szCs w:val="20"/>
              </w:rPr>
            </w:pPr>
            <w:hyperlink r:id="rId38" w:history="1">
              <w:r w:rsidR="00CD11F2" w:rsidRPr="00EF295C">
                <w:rPr>
                  <w:rStyle w:val="Hyperlink"/>
                  <w:sz w:val="20"/>
                  <w:szCs w:val="20"/>
                </w:rPr>
                <w:t>2015 SKQB 108</w:t>
              </w:r>
            </w:hyperlink>
          </w:p>
          <w:p w:rsidR="00CD11F2" w:rsidRPr="00EF295C" w:rsidRDefault="00CD11F2" w:rsidP="00CD11F2">
            <w:pPr>
              <w:jc w:val="both"/>
              <w:rPr>
                <w:rFonts w:cs="Times New Roman"/>
                <w:sz w:val="20"/>
                <w:szCs w:val="20"/>
              </w:rPr>
            </w:pPr>
          </w:p>
        </w:tc>
        <w:tc>
          <w:tcPr>
            <w:tcW w:w="630" w:type="dxa"/>
          </w:tcPr>
          <w:p w:rsidR="00CD11F2" w:rsidRPr="00EF295C" w:rsidRDefault="00CD11F2" w:rsidP="00CD11F2">
            <w:pPr>
              <w:pStyle w:val="SCCShortJudgment"/>
              <w:ind w:firstLine="0"/>
              <w:rPr>
                <w:rFonts w:cs="Times New Roman"/>
                <w:szCs w:val="20"/>
              </w:rPr>
            </w:pPr>
          </w:p>
        </w:tc>
        <w:tc>
          <w:tcPr>
            <w:tcW w:w="4536" w:type="dxa"/>
          </w:tcPr>
          <w:p w:rsidR="00CD11F2" w:rsidRPr="00EF295C" w:rsidRDefault="00CD11F2" w:rsidP="00CD11F2">
            <w:pPr>
              <w:rPr>
                <w:sz w:val="20"/>
                <w:szCs w:val="20"/>
              </w:rPr>
            </w:pPr>
            <w:r w:rsidRPr="00EF295C">
              <w:rPr>
                <w:sz w:val="20"/>
                <w:szCs w:val="20"/>
              </w:rPr>
              <w:t>Applicant’s action dismissed</w:t>
            </w:r>
          </w:p>
          <w:p w:rsidR="00CD11F2" w:rsidRPr="00EF295C" w:rsidRDefault="00CD11F2" w:rsidP="00CD11F2">
            <w:pPr>
              <w:jc w:val="both"/>
              <w:rPr>
                <w:rFonts w:cs="Times New Roman"/>
                <w:sz w:val="20"/>
                <w:szCs w:val="20"/>
              </w:rPr>
            </w:pPr>
          </w:p>
        </w:tc>
      </w:tr>
      <w:tr w:rsidR="00CD11F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t>April 28, 2016</w:t>
            </w:r>
          </w:p>
          <w:p w:rsidR="00CD11F2" w:rsidRPr="00EF295C" w:rsidRDefault="00CD11F2" w:rsidP="00CD11F2">
            <w:pPr>
              <w:rPr>
                <w:sz w:val="20"/>
                <w:szCs w:val="20"/>
              </w:rPr>
            </w:pPr>
            <w:r w:rsidRPr="00EF295C">
              <w:rPr>
                <w:sz w:val="20"/>
                <w:szCs w:val="20"/>
              </w:rPr>
              <w:t>Court of Appeal for Saskatchewan</w:t>
            </w:r>
          </w:p>
          <w:p w:rsidR="00CD11F2" w:rsidRPr="00EF295C" w:rsidRDefault="00CD11F2" w:rsidP="00CD11F2">
            <w:pPr>
              <w:rPr>
                <w:sz w:val="20"/>
                <w:szCs w:val="20"/>
              </w:rPr>
            </w:pPr>
            <w:r w:rsidRPr="00EF295C">
              <w:rPr>
                <w:sz w:val="20"/>
                <w:szCs w:val="20"/>
              </w:rPr>
              <w:t xml:space="preserve">(Richards C.J. and </w:t>
            </w:r>
            <w:proofErr w:type="spellStart"/>
            <w:r w:rsidRPr="00EF295C">
              <w:rPr>
                <w:sz w:val="20"/>
                <w:szCs w:val="20"/>
              </w:rPr>
              <w:t>Ottenbreit</w:t>
            </w:r>
            <w:proofErr w:type="spellEnd"/>
            <w:r w:rsidRPr="00EF295C">
              <w:rPr>
                <w:sz w:val="20"/>
                <w:szCs w:val="20"/>
              </w:rPr>
              <w:t xml:space="preserve"> and Ryan-</w:t>
            </w:r>
            <w:proofErr w:type="spellStart"/>
            <w:r w:rsidRPr="00EF295C">
              <w:rPr>
                <w:sz w:val="20"/>
                <w:szCs w:val="20"/>
              </w:rPr>
              <w:t>Froslie</w:t>
            </w:r>
            <w:proofErr w:type="spellEnd"/>
            <w:r w:rsidRPr="00EF295C">
              <w:rPr>
                <w:sz w:val="20"/>
                <w:szCs w:val="20"/>
              </w:rPr>
              <w:t xml:space="preserve"> JJ.A.)</w:t>
            </w:r>
          </w:p>
          <w:p w:rsidR="00CD11F2" w:rsidRPr="00EF295C" w:rsidRDefault="002E5FCE" w:rsidP="00CD11F2">
            <w:pPr>
              <w:rPr>
                <w:sz w:val="20"/>
                <w:szCs w:val="20"/>
              </w:rPr>
            </w:pPr>
            <w:hyperlink r:id="rId39" w:history="1">
              <w:r w:rsidR="00CD11F2" w:rsidRPr="00EF295C">
                <w:rPr>
                  <w:rStyle w:val="Hyperlink"/>
                  <w:sz w:val="20"/>
                  <w:szCs w:val="20"/>
                </w:rPr>
                <w:t>2016 SKCA 59</w:t>
              </w:r>
            </w:hyperlink>
          </w:p>
          <w:p w:rsidR="00CD11F2" w:rsidRPr="00EF295C" w:rsidRDefault="00CD11F2" w:rsidP="00CD11F2">
            <w:pPr>
              <w:jc w:val="both"/>
              <w:rPr>
                <w:rFonts w:cs="Times New Roman"/>
                <w:sz w:val="20"/>
                <w:szCs w:val="20"/>
              </w:rPr>
            </w:pPr>
          </w:p>
        </w:tc>
        <w:tc>
          <w:tcPr>
            <w:tcW w:w="630" w:type="dxa"/>
          </w:tcPr>
          <w:p w:rsidR="00CD11F2" w:rsidRPr="00EF295C" w:rsidRDefault="00CD11F2" w:rsidP="00CD11F2">
            <w:pPr>
              <w:pStyle w:val="SCCShortJudgment"/>
              <w:ind w:firstLine="0"/>
              <w:rPr>
                <w:rFonts w:cs="Times New Roman"/>
                <w:szCs w:val="20"/>
              </w:rPr>
            </w:pPr>
          </w:p>
        </w:tc>
        <w:tc>
          <w:tcPr>
            <w:tcW w:w="4536" w:type="dxa"/>
          </w:tcPr>
          <w:p w:rsidR="00CD11F2" w:rsidRPr="00EF295C" w:rsidRDefault="00CD11F2" w:rsidP="00CD11F2">
            <w:pPr>
              <w:rPr>
                <w:sz w:val="20"/>
                <w:szCs w:val="20"/>
              </w:rPr>
            </w:pPr>
            <w:r w:rsidRPr="00EF295C">
              <w:rPr>
                <w:sz w:val="20"/>
                <w:szCs w:val="20"/>
              </w:rPr>
              <w:t>Appeal dismissed</w:t>
            </w:r>
          </w:p>
          <w:p w:rsidR="00CD11F2" w:rsidRPr="00EF295C" w:rsidRDefault="00CD11F2" w:rsidP="00CD11F2">
            <w:pPr>
              <w:jc w:val="both"/>
              <w:rPr>
                <w:rFonts w:cs="Times New Roman"/>
                <w:sz w:val="20"/>
                <w:szCs w:val="20"/>
              </w:rPr>
            </w:pPr>
          </w:p>
        </w:tc>
      </w:tr>
      <w:tr w:rsidR="00CD11F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t>May 27, 2016</w:t>
            </w:r>
          </w:p>
          <w:p w:rsidR="00CD11F2" w:rsidRPr="00EF295C" w:rsidRDefault="00CD11F2" w:rsidP="00CD11F2">
            <w:pPr>
              <w:rPr>
                <w:sz w:val="20"/>
                <w:szCs w:val="20"/>
              </w:rPr>
            </w:pPr>
            <w:r w:rsidRPr="00EF295C">
              <w:rPr>
                <w:sz w:val="20"/>
                <w:szCs w:val="20"/>
              </w:rPr>
              <w:t>Supreme Court of Canada</w:t>
            </w:r>
          </w:p>
          <w:p w:rsidR="00CD11F2" w:rsidRPr="00EF295C" w:rsidRDefault="00CD11F2" w:rsidP="00CD11F2">
            <w:pPr>
              <w:jc w:val="both"/>
              <w:rPr>
                <w:rFonts w:cs="Times New Roman"/>
                <w:sz w:val="20"/>
                <w:szCs w:val="20"/>
              </w:rPr>
            </w:pPr>
          </w:p>
        </w:tc>
        <w:tc>
          <w:tcPr>
            <w:tcW w:w="630" w:type="dxa"/>
          </w:tcPr>
          <w:p w:rsidR="00CD11F2" w:rsidRPr="00EF295C" w:rsidRDefault="00CD11F2" w:rsidP="00CD11F2">
            <w:pPr>
              <w:pStyle w:val="SCCShortJudgment"/>
              <w:ind w:firstLine="0"/>
              <w:rPr>
                <w:rFonts w:cs="Times New Roman"/>
                <w:szCs w:val="20"/>
              </w:rPr>
            </w:pPr>
          </w:p>
        </w:tc>
        <w:tc>
          <w:tcPr>
            <w:tcW w:w="4536" w:type="dxa"/>
          </w:tcPr>
          <w:p w:rsidR="00CD11F2" w:rsidRPr="00EF295C" w:rsidRDefault="00CD11F2" w:rsidP="00CD11F2">
            <w:pPr>
              <w:rPr>
                <w:sz w:val="20"/>
                <w:szCs w:val="20"/>
              </w:rPr>
            </w:pPr>
            <w:r w:rsidRPr="00EF295C">
              <w:rPr>
                <w:sz w:val="20"/>
                <w:szCs w:val="20"/>
              </w:rPr>
              <w:t>Application for leave to appeal filed</w:t>
            </w:r>
          </w:p>
          <w:p w:rsidR="00CD11F2" w:rsidRPr="00EF295C" w:rsidRDefault="00CD11F2" w:rsidP="00CD11F2">
            <w:pPr>
              <w:jc w:val="both"/>
              <w:rPr>
                <w:rFonts w:cs="Times New Roman"/>
                <w:sz w:val="20"/>
                <w:szCs w:val="20"/>
              </w:rPr>
            </w:pPr>
          </w:p>
        </w:tc>
      </w:tr>
      <w:tr w:rsidR="00CD11F2" w:rsidRPr="00EF295C" w:rsidTr="00665CAF">
        <w:trPr>
          <w:cantSplit/>
        </w:trPr>
        <w:tc>
          <w:tcPr>
            <w:tcW w:w="9576" w:type="dxa"/>
            <w:gridSpan w:val="4"/>
          </w:tcPr>
          <w:p w:rsidR="00CD11F2" w:rsidRPr="00EF295C" w:rsidRDefault="002E5FCE" w:rsidP="00CD11F2">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CD11F2" w:rsidRPr="00EF295C" w:rsidRDefault="00CD11F2" w:rsidP="00CD11F2">
            <w:pPr>
              <w:pStyle w:val="SCCShortJudgment"/>
              <w:ind w:firstLine="0"/>
              <w:rPr>
                <w:rFonts w:cs="Times New Roman"/>
                <w:szCs w:val="20"/>
                <w:lang w:val="fr-CA"/>
              </w:rPr>
            </w:pPr>
          </w:p>
        </w:tc>
      </w:tr>
      <w:tr w:rsidR="00CD11F2" w:rsidRPr="00EF295C" w:rsidTr="00665CAF">
        <w:trPr>
          <w:cantSplit/>
        </w:trPr>
        <w:tc>
          <w:tcPr>
            <w:tcW w:w="9576" w:type="dxa"/>
            <w:gridSpan w:val="4"/>
          </w:tcPr>
          <w:p w:rsidR="00CD11F2" w:rsidRPr="00EF295C" w:rsidRDefault="00CD11F2" w:rsidP="00CD11F2">
            <w:pPr>
              <w:pStyle w:val="SCCShortJudgment"/>
              <w:ind w:firstLine="0"/>
              <w:rPr>
                <w:rFonts w:cs="Times New Roman"/>
                <w:szCs w:val="20"/>
                <w:u w:val="single"/>
                <w:lang w:val="fr-CA"/>
              </w:rPr>
            </w:pPr>
            <w:r w:rsidRPr="00EF295C">
              <w:rPr>
                <w:rFonts w:cs="Times New Roman"/>
                <w:szCs w:val="20"/>
                <w:u w:val="single"/>
                <w:lang w:val="fr-CA"/>
              </w:rPr>
              <w:t>RÉSUMÉ DE L’AFFAIRE </w:t>
            </w:r>
          </w:p>
          <w:p w:rsidR="00CD11F2" w:rsidRPr="00EF295C" w:rsidRDefault="00CD11F2" w:rsidP="00CD11F2">
            <w:pPr>
              <w:pStyle w:val="SCCShortJudgment"/>
              <w:ind w:firstLine="0"/>
              <w:rPr>
                <w:rFonts w:cs="Times New Roman"/>
                <w:szCs w:val="20"/>
                <w:u w:val="single"/>
                <w:lang w:val="fr-CA"/>
              </w:rPr>
            </w:pPr>
          </w:p>
        </w:tc>
      </w:tr>
      <w:tr w:rsidR="00CD11F2" w:rsidRPr="002E5FCE" w:rsidTr="00665CAF">
        <w:trPr>
          <w:cantSplit/>
        </w:trPr>
        <w:tc>
          <w:tcPr>
            <w:tcW w:w="9576" w:type="dxa"/>
            <w:gridSpan w:val="4"/>
          </w:tcPr>
          <w:p w:rsidR="00CD11F2" w:rsidRPr="00EF295C" w:rsidRDefault="00CD11F2" w:rsidP="00CD11F2">
            <w:pPr>
              <w:pStyle w:val="SCCShortJudgment"/>
              <w:ind w:firstLine="0"/>
              <w:rPr>
                <w:szCs w:val="20"/>
                <w:lang w:val="fr-CA"/>
              </w:rPr>
            </w:pPr>
            <w:r w:rsidRPr="00EF295C">
              <w:rPr>
                <w:szCs w:val="20"/>
                <w:lang w:val="fr-CA"/>
              </w:rPr>
              <w:t>Appels – Demande d’autorisation d’appel – Le demandeur soulève-t-il une question de droit? – La question est-elle d’importance pour le public?</w:t>
            </w:r>
          </w:p>
          <w:p w:rsidR="00CD11F2" w:rsidRPr="00EF295C" w:rsidRDefault="00CD11F2" w:rsidP="00CD11F2">
            <w:pPr>
              <w:pStyle w:val="SCCShortJudgment"/>
              <w:ind w:firstLine="0"/>
              <w:rPr>
                <w:rFonts w:cs="Times New Roman"/>
                <w:szCs w:val="20"/>
                <w:u w:val="single"/>
                <w:lang w:val="fr-CA"/>
              </w:rPr>
            </w:pPr>
          </w:p>
        </w:tc>
      </w:tr>
      <w:tr w:rsidR="00CD11F2" w:rsidRPr="002E5FCE" w:rsidTr="00665CAF">
        <w:trPr>
          <w:cantSplit/>
        </w:trPr>
        <w:tc>
          <w:tcPr>
            <w:tcW w:w="9576" w:type="dxa"/>
            <w:gridSpan w:val="4"/>
          </w:tcPr>
          <w:p w:rsidR="00CD11F2" w:rsidRPr="00EF295C" w:rsidRDefault="00CD11F2" w:rsidP="00CD11F2">
            <w:pPr>
              <w:jc w:val="both"/>
              <w:rPr>
                <w:sz w:val="20"/>
                <w:szCs w:val="20"/>
                <w:lang w:val="fr-CA"/>
              </w:rPr>
            </w:pPr>
            <w:r w:rsidRPr="00EF295C">
              <w:rPr>
                <w:sz w:val="20"/>
                <w:szCs w:val="20"/>
                <w:lang w:val="fr-CA"/>
              </w:rPr>
              <w:t>Le demandeur, Jarvis Stewart, a été appréhendé par l’intimé, l’agent Gordon Keating, pendant qu’il se trouvait au volant de son véhicule. Il a été arrêté pour entrave d’un agent de la paix puis déclaré coupable. M. Stewart a intenté contre l’intimé une action civile en dommages-intérêts, pour de présumées lésions corporelles subies au cours de son arrestation et pour détention après l’arrestation. Le juge de première instance a rejeté l’action, et la Cour d’appel a rejeté l’appel.</w:t>
            </w:r>
          </w:p>
          <w:p w:rsidR="00CD11F2" w:rsidRPr="00EF295C" w:rsidRDefault="00CD11F2" w:rsidP="00CD11F2">
            <w:pPr>
              <w:jc w:val="both"/>
              <w:rPr>
                <w:rFonts w:cs="Times New Roman"/>
                <w:sz w:val="20"/>
                <w:szCs w:val="20"/>
                <w:u w:val="single"/>
                <w:lang w:val="fr-CA"/>
              </w:rPr>
            </w:pPr>
          </w:p>
        </w:tc>
      </w:tr>
      <w:tr w:rsidR="00CD11F2" w:rsidRPr="002E5FCE"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t>Le 15 avril 2015</w:t>
            </w:r>
          </w:p>
          <w:p w:rsidR="00CD11F2" w:rsidRPr="00EF295C" w:rsidRDefault="00CD11F2" w:rsidP="00CD11F2">
            <w:pPr>
              <w:rPr>
                <w:sz w:val="20"/>
                <w:szCs w:val="20"/>
                <w:lang w:val="fr-CA"/>
              </w:rPr>
            </w:pPr>
            <w:r w:rsidRPr="00EF295C">
              <w:rPr>
                <w:sz w:val="20"/>
                <w:szCs w:val="20"/>
                <w:lang w:val="fr-CA"/>
              </w:rPr>
              <w:t>Cour du Banc de la Reine de la Saskatchewan</w:t>
            </w:r>
          </w:p>
          <w:p w:rsidR="00CD11F2" w:rsidRPr="00EF295C" w:rsidRDefault="00CD11F2" w:rsidP="00CD11F2">
            <w:pPr>
              <w:rPr>
                <w:sz w:val="20"/>
                <w:szCs w:val="20"/>
                <w:lang w:val="fr-CA"/>
              </w:rPr>
            </w:pPr>
            <w:r w:rsidRPr="00EF295C">
              <w:rPr>
                <w:sz w:val="20"/>
                <w:szCs w:val="20"/>
                <w:lang w:val="fr-CA"/>
              </w:rPr>
              <w:t xml:space="preserve">(Juge </w:t>
            </w:r>
            <w:proofErr w:type="spellStart"/>
            <w:r w:rsidRPr="00EF295C">
              <w:rPr>
                <w:sz w:val="20"/>
                <w:szCs w:val="20"/>
                <w:lang w:val="fr-CA"/>
              </w:rPr>
              <w:t>Gabrielson</w:t>
            </w:r>
            <w:proofErr w:type="spellEnd"/>
            <w:r w:rsidRPr="00EF295C">
              <w:rPr>
                <w:sz w:val="20"/>
                <w:szCs w:val="20"/>
                <w:lang w:val="fr-CA"/>
              </w:rPr>
              <w:t>)</w:t>
            </w:r>
          </w:p>
          <w:p w:rsidR="00CD11F2" w:rsidRPr="00EF295C" w:rsidRDefault="002E5FCE" w:rsidP="00CD11F2">
            <w:pPr>
              <w:rPr>
                <w:sz w:val="20"/>
                <w:szCs w:val="20"/>
                <w:lang w:val="fr-CA"/>
              </w:rPr>
            </w:pPr>
            <w:hyperlink r:id="rId40" w:history="1">
              <w:r w:rsidR="00CD11F2" w:rsidRPr="00EF295C">
                <w:rPr>
                  <w:rStyle w:val="Hyperlink"/>
                  <w:sz w:val="20"/>
                  <w:szCs w:val="20"/>
                  <w:lang w:val="fr-CA"/>
                </w:rPr>
                <w:t>2015 SKQB 108</w:t>
              </w:r>
            </w:hyperlink>
          </w:p>
          <w:p w:rsidR="00CD11F2" w:rsidRPr="00EF295C" w:rsidRDefault="00CD11F2" w:rsidP="00CD11F2">
            <w:pPr>
              <w:pStyle w:val="SCCShortJudgment"/>
              <w:ind w:firstLine="0"/>
              <w:rPr>
                <w:rFonts w:cs="Times New Roman"/>
                <w:szCs w:val="20"/>
                <w:u w:val="single"/>
                <w:lang w:val="fr-CA"/>
              </w:rPr>
            </w:pPr>
          </w:p>
        </w:tc>
        <w:tc>
          <w:tcPr>
            <w:tcW w:w="630" w:type="dxa"/>
          </w:tcPr>
          <w:p w:rsidR="00CD11F2" w:rsidRPr="00EF295C" w:rsidRDefault="00CD11F2" w:rsidP="00CD11F2">
            <w:pPr>
              <w:pStyle w:val="SCCShortJudgment"/>
              <w:ind w:firstLine="0"/>
              <w:rPr>
                <w:rFonts w:cs="Times New Roman"/>
                <w:szCs w:val="20"/>
                <w:u w:val="single"/>
                <w:lang w:val="fr-CA"/>
              </w:rPr>
            </w:pPr>
          </w:p>
        </w:tc>
        <w:tc>
          <w:tcPr>
            <w:tcW w:w="4536" w:type="dxa"/>
          </w:tcPr>
          <w:p w:rsidR="00CD11F2" w:rsidRPr="00EF295C" w:rsidRDefault="00CD11F2" w:rsidP="00CD11F2">
            <w:pPr>
              <w:rPr>
                <w:sz w:val="20"/>
                <w:szCs w:val="20"/>
                <w:lang w:val="fr-CA"/>
              </w:rPr>
            </w:pPr>
            <w:r w:rsidRPr="00EF295C">
              <w:rPr>
                <w:sz w:val="20"/>
                <w:szCs w:val="20"/>
                <w:lang w:val="fr-CA"/>
              </w:rPr>
              <w:t>Rejet de l’action intentée par le demandeur</w:t>
            </w:r>
          </w:p>
          <w:p w:rsidR="00CD11F2" w:rsidRPr="00EF295C" w:rsidRDefault="00CD11F2" w:rsidP="00CD11F2">
            <w:pPr>
              <w:pStyle w:val="SCCShortJudgment"/>
              <w:ind w:firstLine="0"/>
              <w:rPr>
                <w:rFonts w:cs="Times New Roman"/>
                <w:szCs w:val="20"/>
                <w:u w:val="single"/>
                <w:lang w:val="fr-CA"/>
              </w:rPr>
            </w:pPr>
          </w:p>
        </w:tc>
      </w:tr>
      <w:tr w:rsidR="00CD11F2" w:rsidRPr="00EF295C"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lastRenderedPageBreak/>
              <w:t>Le 28 avril 2016</w:t>
            </w:r>
          </w:p>
          <w:p w:rsidR="00CD11F2" w:rsidRPr="00EF295C" w:rsidRDefault="00CD11F2" w:rsidP="00CD11F2">
            <w:pPr>
              <w:rPr>
                <w:sz w:val="20"/>
                <w:szCs w:val="20"/>
                <w:lang w:val="fr-CA"/>
              </w:rPr>
            </w:pPr>
            <w:r w:rsidRPr="00EF295C">
              <w:rPr>
                <w:sz w:val="20"/>
                <w:szCs w:val="20"/>
                <w:lang w:val="fr-CA"/>
              </w:rPr>
              <w:t>Cour d’appel de la Saskatchewan</w:t>
            </w:r>
          </w:p>
          <w:p w:rsidR="00CD11F2" w:rsidRPr="00EF295C" w:rsidRDefault="00CD11F2" w:rsidP="00CD11F2">
            <w:pPr>
              <w:rPr>
                <w:sz w:val="20"/>
                <w:szCs w:val="20"/>
                <w:lang w:val="fr-CA"/>
              </w:rPr>
            </w:pPr>
            <w:r w:rsidRPr="00EF295C">
              <w:rPr>
                <w:sz w:val="20"/>
                <w:szCs w:val="20"/>
                <w:lang w:val="fr-CA"/>
              </w:rPr>
              <w:t xml:space="preserve">(Juge en chef Richards et juges </w:t>
            </w:r>
            <w:proofErr w:type="spellStart"/>
            <w:r w:rsidRPr="00EF295C">
              <w:rPr>
                <w:sz w:val="20"/>
                <w:szCs w:val="20"/>
                <w:lang w:val="fr-CA"/>
              </w:rPr>
              <w:t>Ottenbreit</w:t>
            </w:r>
            <w:proofErr w:type="spellEnd"/>
            <w:r w:rsidRPr="00EF295C">
              <w:rPr>
                <w:sz w:val="20"/>
                <w:szCs w:val="20"/>
                <w:lang w:val="fr-CA"/>
              </w:rPr>
              <w:t xml:space="preserve"> et Ryan-</w:t>
            </w:r>
            <w:proofErr w:type="spellStart"/>
            <w:r w:rsidRPr="00EF295C">
              <w:rPr>
                <w:sz w:val="20"/>
                <w:szCs w:val="20"/>
                <w:lang w:val="fr-CA"/>
              </w:rPr>
              <w:t>Froslie</w:t>
            </w:r>
            <w:proofErr w:type="spellEnd"/>
            <w:r w:rsidRPr="00EF295C">
              <w:rPr>
                <w:sz w:val="20"/>
                <w:szCs w:val="20"/>
                <w:lang w:val="fr-CA"/>
              </w:rPr>
              <w:t>)</w:t>
            </w:r>
          </w:p>
          <w:p w:rsidR="00CD11F2" w:rsidRPr="00EF295C" w:rsidRDefault="002E5FCE" w:rsidP="00CD11F2">
            <w:pPr>
              <w:rPr>
                <w:sz w:val="20"/>
                <w:szCs w:val="20"/>
                <w:lang w:val="fr-CA"/>
              </w:rPr>
            </w:pPr>
            <w:hyperlink r:id="rId41" w:history="1">
              <w:r w:rsidR="00CD11F2" w:rsidRPr="00EF295C">
                <w:rPr>
                  <w:rStyle w:val="Hyperlink"/>
                  <w:sz w:val="20"/>
                  <w:szCs w:val="20"/>
                  <w:lang w:val="fr-CA"/>
                </w:rPr>
                <w:t>2016 SKCA 59</w:t>
              </w:r>
            </w:hyperlink>
          </w:p>
          <w:p w:rsidR="00CD11F2" w:rsidRPr="00EF295C" w:rsidRDefault="00CD11F2" w:rsidP="00CD11F2">
            <w:pPr>
              <w:pStyle w:val="SCCShortJudgment"/>
              <w:ind w:firstLine="0"/>
              <w:rPr>
                <w:rFonts w:cs="Times New Roman"/>
                <w:szCs w:val="20"/>
                <w:u w:val="single"/>
                <w:lang w:val="fr-CA"/>
              </w:rPr>
            </w:pPr>
          </w:p>
        </w:tc>
        <w:tc>
          <w:tcPr>
            <w:tcW w:w="630" w:type="dxa"/>
          </w:tcPr>
          <w:p w:rsidR="00CD11F2" w:rsidRPr="00EF295C" w:rsidRDefault="00CD11F2" w:rsidP="00CD11F2">
            <w:pPr>
              <w:pStyle w:val="SCCShortJudgment"/>
              <w:ind w:firstLine="0"/>
              <w:rPr>
                <w:rFonts w:cs="Times New Roman"/>
                <w:szCs w:val="20"/>
                <w:u w:val="single"/>
                <w:lang w:val="fr-CA"/>
              </w:rPr>
            </w:pPr>
          </w:p>
        </w:tc>
        <w:tc>
          <w:tcPr>
            <w:tcW w:w="4536" w:type="dxa"/>
          </w:tcPr>
          <w:p w:rsidR="00CD11F2" w:rsidRPr="00EF295C" w:rsidRDefault="00CD11F2" w:rsidP="00CD11F2">
            <w:pPr>
              <w:rPr>
                <w:sz w:val="20"/>
                <w:szCs w:val="20"/>
                <w:lang w:val="fr-CA"/>
              </w:rPr>
            </w:pPr>
            <w:r w:rsidRPr="00EF295C">
              <w:rPr>
                <w:sz w:val="20"/>
                <w:szCs w:val="20"/>
                <w:lang w:val="fr-CA"/>
              </w:rPr>
              <w:t>Rejet de l’appel</w:t>
            </w:r>
          </w:p>
          <w:p w:rsidR="00CD11F2" w:rsidRPr="00EF295C" w:rsidRDefault="00CD11F2" w:rsidP="00CD11F2">
            <w:pPr>
              <w:pStyle w:val="SCCShortJudgment"/>
              <w:ind w:firstLine="0"/>
              <w:rPr>
                <w:rFonts w:cs="Times New Roman"/>
                <w:szCs w:val="20"/>
                <w:u w:val="single"/>
                <w:lang w:val="fr-CA"/>
              </w:rPr>
            </w:pPr>
          </w:p>
        </w:tc>
      </w:tr>
      <w:tr w:rsidR="00CD11F2" w:rsidRPr="002E5FCE"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t>Le 27 mai 2016</w:t>
            </w:r>
          </w:p>
          <w:p w:rsidR="00CD11F2" w:rsidRPr="00EF295C" w:rsidRDefault="00CD11F2" w:rsidP="00CD11F2">
            <w:pPr>
              <w:pStyle w:val="SCCShortJudgment"/>
              <w:ind w:firstLine="0"/>
              <w:rPr>
                <w:rFonts w:cs="Times New Roman"/>
                <w:szCs w:val="20"/>
                <w:u w:val="single"/>
                <w:lang w:val="fr-CA"/>
              </w:rPr>
            </w:pPr>
            <w:r w:rsidRPr="00EF295C">
              <w:rPr>
                <w:szCs w:val="20"/>
                <w:lang w:val="fr-CA"/>
              </w:rPr>
              <w:t>Cour suprême du Canada</w:t>
            </w:r>
          </w:p>
        </w:tc>
        <w:tc>
          <w:tcPr>
            <w:tcW w:w="630" w:type="dxa"/>
          </w:tcPr>
          <w:p w:rsidR="00CD11F2" w:rsidRPr="00EF295C" w:rsidRDefault="00CD11F2" w:rsidP="00CD11F2">
            <w:pPr>
              <w:pStyle w:val="SCCShortJudgment"/>
              <w:ind w:firstLine="0"/>
              <w:rPr>
                <w:rFonts w:cs="Times New Roman"/>
                <w:szCs w:val="20"/>
                <w:u w:val="single"/>
                <w:lang w:val="fr-CA"/>
              </w:rPr>
            </w:pPr>
          </w:p>
        </w:tc>
        <w:tc>
          <w:tcPr>
            <w:tcW w:w="4536" w:type="dxa"/>
          </w:tcPr>
          <w:p w:rsidR="00CD11F2" w:rsidRPr="00EF295C" w:rsidRDefault="00CD11F2" w:rsidP="00CD11F2">
            <w:pPr>
              <w:rPr>
                <w:sz w:val="20"/>
                <w:szCs w:val="20"/>
                <w:lang w:val="fr-CA"/>
              </w:rPr>
            </w:pPr>
            <w:r w:rsidRPr="00EF295C">
              <w:rPr>
                <w:sz w:val="20"/>
                <w:szCs w:val="20"/>
                <w:lang w:val="fr-CA"/>
              </w:rPr>
              <w:t xml:space="preserve">Dépôt de la demande d’autorisation d’appel </w:t>
            </w:r>
          </w:p>
        </w:tc>
      </w:tr>
    </w:tbl>
    <w:p w:rsidR="00AF4BD2" w:rsidRPr="00EF295C" w:rsidRDefault="002E5FCE" w:rsidP="000E2959">
      <w:pPr>
        <w:rPr>
          <w:sz w:val="20"/>
          <w:szCs w:val="20"/>
          <w:lang w:val="fr-CA"/>
        </w:rPr>
      </w:pPr>
      <w:r>
        <w:rPr>
          <w:rFonts w:cs="Times New Roman"/>
          <w:szCs w:val="20"/>
          <w:lang w:val="fr-CA"/>
        </w:rPr>
        <w:pict>
          <v:rect id="_x0000_i1059" style="width:2in;height:1pt" o:hrpct="0" o:hralign="center" o:hrstd="t" o:hrnoshade="t" o:hr="t" fillcolor="black [3213]" stroked="f"/>
        </w:pict>
      </w:r>
    </w:p>
    <w:p w:rsidR="00AF4BD2" w:rsidRPr="00EF295C" w:rsidRDefault="00AF4BD2"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Style w:val="SCCFileNumberChar"/>
                <w:sz w:val="20"/>
                <w:szCs w:val="20"/>
              </w:rPr>
              <w:t>37055</w:t>
            </w:r>
          </w:p>
          <w:p w:rsidR="00AF4BD2" w:rsidRPr="00EF295C" w:rsidRDefault="00AF4BD2" w:rsidP="00665CAF">
            <w:pPr>
              <w:jc w:val="both"/>
              <w:rPr>
                <w:rFonts w:cs="Times New Roman"/>
                <w:b/>
                <w:sz w:val="20"/>
                <w:szCs w:val="20"/>
              </w:rPr>
            </w:pPr>
          </w:p>
        </w:tc>
        <w:tc>
          <w:tcPr>
            <w:tcW w:w="8118" w:type="dxa"/>
            <w:gridSpan w:val="3"/>
          </w:tcPr>
          <w:p w:rsidR="00AF4BD2" w:rsidRPr="00EF295C" w:rsidRDefault="00FD2FEC" w:rsidP="00665CAF">
            <w:pPr>
              <w:jc w:val="both"/>
              <w:rPr>
                <w:rFonts w:cs="Times New Roman"/>
                <w:sz w:val="20"/>
                <w:szCs w:val="20"/>
              </w:rPr>
            </w:pPr>
            <w:r w:rsidRPr="00EF295C">
              <w:rPr>
                <w:b/>
                <w:sz w:val="20"/>
                <w:szCs w:val="20"/>
                <w:u w:val="single"/>
              </w:rPr>
              <w:t xml:space="preserve">RBC General Insurance Company v. </w:t>
            </w:r>
            <w:proofErr w:type="spellStart"/>
            <w:r w:rsidRPr="00EF295C">
              <w:rPr>
                <w:b/>
                <w:sz w:val="20"/>
                <w:szCs w:val="20"/>
                <w:u w:val="single"/>
              </w:rPr>
              <w:t>Zofia</w:t>
            </w:r>
            <w:proofErr w:type="spellEnd"/>
            <w:r w:rsidRPr="00EF295C">
              <w:rPr>
                <w:b/>
                <w:sz w:val="20"/>
                <w:szCs w:val="20"/>
                <w:u w:val="single"/>
              </w:rPr>
              <w:t xml:space="preserve"> </w:t>
            </w:r>
            <w:proofErr w:type="spellStart"/>
            <w:r w:rsidRPr="00EF295C">
              <w:rPr>
                <w:b/>
                <w:sz w:val="20"/>
                <w:szCs w:val="20"/>
                <w:u w:val="single"/>
              </w:rPr>
              <w:t>Machaj</w:t>
            </w:r>
            <w:proofErr w:type="spellEnd"/>
            <w:r w:rsidRPr="00EF295C">
              <w:rPr>
                <w:rFonts w:cs="Times New Roman"/>
                <w:sz w:val="20"/>
                <w:szCs w:val="20"/>
              </w:rPr>
              <w:t xml:space="preserve"> </w:t>
            </w:r>
            <w:r w:rsidR="00AF4BD2" w:rsidRPr="00EF295C">
              <w:rPr>
                <w:rFonts w:cs="Times New Roman"/>
                <w:sz w:val="20"/>
                <w:szCs w:val="20"/>
              </w:rPr>
              <w:t>(Ont.) (Civil) (By Leave)</w:t>
            </w:r>
          </w:p>
          <w:p w:rsidR="00AF4BD2" w:rsidRPr="00EF295C" w:rsidRDefault="00AF4BD2" w:rsidP="00665CAF">
            <w:pPr>
              <w:jc w:val="both"/>
              <w:rPr>
                <w:rFonts w:cs="Times New Roman"/>
                <w:sz w:val="20"/>
                <w:szCs w:val="20"/>
              </w:rPr>
            </w:pPr>
          </w:p>
        </w:tc>
      </w:tr>
      <w:tr w:rsidR="00AF4BD2" w:rsidRPr="00EF295C" w:rsidTr="00665CAF">
        <w:trPr>
          <w:cantSplit/>
        </w:trPr>
        <w:tc>
          <w:tcPr>
            <w:tcW w:w="1458" w:type="dxa"/>
          </w:tcPr>
          <w:p w:rsidR="00AF4BD2" w:rsidRPr="00EF295C" w:rsidRDefault="00AF4BD2" w:rsidP="00665CAF">
            <w:pPr>
              <w:jc w:val="both"/>
              <w:rPr>
                <w:rFonts w:cs="Times New Roman"/>
                <w:sz w:val="20"/>
                <w:szCs w:val="20"/>
              </w:rPr>
            </w:pPr>
            <w:r w:rsidRPr="00EF295C">
              <w:rPr>
                <w:rFonts w:cs="Times New Roman"/>
                <w:sz w:val="20"/>
                <w:szCs w:val="20"/>
              </w:rPr>
              <w:t>Coram :</w:t>
            </w:r>
          </w:p>
        </w:tc>
        <w:tc>
          <w:tcPr>
            <w:tcW w:w="8118" w:type="dxa"/>
            <w:gridSpan w:val="3"/>
          </w:tcPr>
          <w:p w:rsidR="00AF4BD2" w:rsidRPr="00EF295C" w:rsidRDefault="00AF4BD2" w:rsidP="00665CAF">
            <w:pPr>
              <w:jc w:val="both"/>
              <w:rPr>
                <w:rStyle w:val="SCCCoramChar"/>
                <w:sz w:val="20"/>
                <w:szCs w:val="20"/>
                <w:lang w:val="en-CA"/>
              </w:rPr>
            </w:pPr>
            <w:r w:rsidRPr="00EF295C">
              <w:rPr>
                <w:rStyle w:val="SCCCoramChar"/>
                <w:sz w:val="20"/>
                <w:szCs w:val="20"/>
                <w:lang w:val="en-CA"/>
              </w:rPr>
              <w:t>McLachlin C.J. and Moldaver and Gascon JJ.</w:t>
            </w:r>
          </w:p>
          <w:p w:rsidR="00AF4BD2" w:rsidRPr="00EF295C" w:rsidRDefault="00AF4BD2" w:rsidP="00665CAF">
            <w:pPr>
              <w:jc w:val="both"/>
              <w:rPr>
                <w:rFonts w:cs="Times New Roman"/>
                <w:sz w:val="20"/>
                <w:szCs w:val="20"/>
                <w:u w:val="single"/>
              </w:rPr>
            </w:pPr>
          </w:p>
        </w:tc>
      </w:tr>
      <w:tr w:rsidR="00AF4BD2" w:rsidRPr="002E5FCE" w:rsidTr="00665CAF">
        <w:trPr>
          <w:cantSplit/>
        </w:trPr>
        <w:tc>
          <w:tcPr>
            <w:tcW w:w="9576" w:type="dxa"/>
            <w:gridSpan w:val="4"/>
          </w:tcPr>
          <w:p w:rsidR="00AF4BD2" w:rsidRPr="00EF295C" w:rsidRDefault="00AF4BD2" w:rsidP="00665CAF">
            <w:pPr>
              <w:pStyle w:val="SCCShortJudgment"/>
              <w:ind w:firstLine="0"/>
              <w:rPr>
                <w:rFonts w:cs="Times New Roman"/>
                <w:szCs w:val="20"/>
              </w:rPr>
            </w:pPr>
            <w:r w:rsidRPr="00EF295C">
              <w:rPr>
                <w:rFonts w:cs="Times New Roman"/>
                <w:szCs w:val="20"/>
              </w:rPr>
              <w:tab/>
            </w:r>
            <w:r w:rsidR="00FD2FEC" w:rsidRPr="00EF295C">
              <w:rPr>
                <w:szCs w:val="20"/>
              </w:rPr>
              <w:t>The application for leave to appeal from the judgment of the Court of Appeal for Ontario, Number C60814, 2016 ONCA 257, dated April 8, 2016, is dismissed with costs.</w:t>
            </w:r>
          </w:p>
          <w:p w:rsidR="00AF4BD2" w:rsidRPr="00EF295C" w:rsidRDefault="00AF4BD2" w:rsidP="00665CAF">
            <w:pPr>
              <w:pStyle w:val="SCCShortJudgment"/>
              <w:ind w:firstLine="0"/>
              <w:rPr>
                <w:rFonts w:cs="Times New Roman"/>
                <w:szCs w:val="20"/>
              </w:rPr>
            </w:pPr>
          </w:p>
          <w:p w:rsidR="00AF4BD2" w:rsidRPr="00EF295C" w:rsidRDefault="00AF4BD2" w:rsidP="00665CAF">
            <w:pPr>
              <w:pStyle w:val="SCCShortJudgment"/>
              <w:ind w:firstLine="0"/>
              <w:rPr>
                <w:szCs w:val="20"/>
                <w:lang w:val="fr-CA"/>
              </w:rPr>
            </w:pPr>
            <w:r w:rsidRPr="00EF295C">
              <w:rPr>
                <w:rFonts w:cs="Times New Roman"/>
                <w:szCs w:val="20"/>
              </w:rPr>
              <w:tab/>
            </w:r>
            <w:r w:rsidR="00FD2FEC" w:rsidRPr="00EF295C">
              <w:rPr>
                <w:szCs w:val="20"/>
                <w:lang w:val="fr-CA"/>
              </w:rPr>
              <w:t xml:space="preserve">La demande d’autorisation d’appel de l’arrêt de la </w:t>
            </w:r>
            <w:r w:rsidR="00FD2FEC" w:rsidRPr="00EF295C">
              <w:rPr>
                <w:szCs w:val="20"/>
                <w:lang w:val="fr-FR"/>
              </w:rPr>
              <w:t>Cour d’appel de l’Ontario</w:t>
            </w:r>
            <w:r w:rsidR="00FD2FEC" w:rsidRPr="00EF295C">
              <w:rPr>
                <w:szCs w:val="20"/>
                <w:lang w:val="fr-CA"/>
              </w:rPr>
              <w:t xml:space="preserve">, numéro </w:t>
            </w:r>
            <w:r w:rsidR="00FD2FEC" w:rsidRPr="00EF295C">
              <w:rPr>
                <w:szCs w:val="20"/>
                <w:lang w:val="fr-FR"/>
              </w:rPr>
              <w:t>C60814, 2016 ONCA 257</w:t>
            </w:r>
            <w:r w:rsidR="00FD2FEC" w:rsidRPr="00EF295C">
              <w:rPr>
                <w:szCs w:val="20"/>
                <w:lang w:val="fr-CA"/>
              </w:rPr>
              <w:t xml:space="preserve">, daté du </w:t>
            </w:r>
            <w:r w:rsidR="00FD2FEC" w:rsidRPr="00EF295C">
              <w:rPr>
                <w:szCs w:val="20"/>
                <w:lang w:val="fr-FR"/>
              </w:rPr>
              <w:t>8 avril 2016</w:t>
            </w:r>
            <w:r w:rsidR="00FD2FEC" w:rsidRPr="00EF295C">
              <w:rPr>
                <w:szCs w:val="20"/>
                <w:lang w:val="fr-CA"/>
              </w:rPr>
              <w:t xml:space="preserve">, est rejetée avec dépens. </w:t>
            </w:r>
          </w:p>
          <w:p w:rsidR="00FD2FEC" w:rsidRPr="00EF295C" w:rsidRDefault="00FD2FEC"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CASE SUMMARY</w:t>
            </w:r>
          </w:p>
          <w:p w:rsidR="00AF4BD2" w:rsidRPr="00EF295C" w:rsidRDefault="00AF4BD2" w:rsidP="00665CAF">
            <w:pPr>
              <w:pStyle w:val="SCCShortJudgment"/>
              <w:ind w:firstLine="0"/>
              <w:rPr>
                <w:rFonts w:cs="Times New Roman"/>
                <w:szCs w:val="20"/>
                <w:u w:val="single"/>
                <w:lang w:val="fr-CA"/>
              </w:rPr>
            </w:pPr>
          </w:p>
        </w:tc>
      </w:tr>
      <w:tr w:rsidR="00AF4BD2" w:rsidRPr="00EF295C" w:rsidTr="00665CAF">
        <w:trPr>
          <w:cantSplit/>
        </w:trPr>
        <w:tc>
          <w:tcPr>
            <w:tcW w:w="9576" w:type="dxa"/>
            <w:gridSpan w:val="4"/>
          </w:tcPr>
          <w:p w:rsidR="00AF4BD2" w:rsidRPr="00EF295C" w:rsidRDefault="00CD11F2" w:rsidP="00665CAF">
            <w:pPr>
              <w:pStyle w:val="SCCShortJudgment"/>
              <w:ind w:firstLine="0"/>
              <w:rPr>
                <w:szCs w:val="20"/>
              </w:rPr>
            </w:pPr>
            <w:r w:rsidRPr="00EF295C">
              <w:rPr>
                <w:szCs w:val="20"/>
              </w:rPr>
              <w:t xml:space="preserve">Limitations – Insurance – Statutory accident benefits – Catastrophic impairment – Whether an automobile insurer in Ontario, responsible for payment of statutory accident benefits, can rely upon s. 51 of the </w:t>
            </w:r>
            <w:r w:rsidRPr="00EF295C">
              <w:rPr>
                <w:i/>
                <w:szCs w:val="20"/>
              </w:rPr>
              <w:t>Statutory Accident Benefits Schedule – Accidents on or After November 1, 1996</w:t>
            </w:r>
            <w:r w:rsidRPr="00EF295C">
              <w:rPr>
                <w:szCs w:val="20"/>
              </w:rPr>
              <w:t xml:space="preserve">, O. Reg. 403/96 and on s. 281.1 of the </w:t>
            </w:r>
            <w:r w:rsidRPr="00EF295C">
              <w:rPr>
                <w:i/>
                <w:szCs w:val="20"/>
              </w:rPr>
              <w:t>Insurance Act</w:t>
            </w:r>
            <w:r w:rsidRPr="00EF295C">
              <w:rPr>
                <w:szCs w:val="20"/>
              </w:rPr>
              <w:t>, R.S.O. 1990, c. I.8 to dismiss a claim for catastrophic impairment designation and the increased supplementary medical or rehabilitation benefits that go with that designation.</w:t>
            </w:r>
          </w:p>
          <w:p w:rsidR="00CD11F2" w:rsidRPr="00EF295C" w:rsidRDefault="00CD11F2" w:rsidP="00665CAF">
            <w:pPr>
              <w:pStyle w:val="SCCShortJudgment"/>
              <w:ind w:firstLine="0"/>
              <w:rPr>
                <w:rFonts w:cs="Times New Roman"/>
                <w:szCs w:val="20"/>
              </w:rPr>
            </w:pPr>
          </w:p>
        </w:tc>
      </w:tr>
      <w:tr w:rsidR="00AF4BD2" w:rsidRPr="00EF295C" w:rsidTr="00665CAF">
        <w:trPr>
          <w:cantSplit/>
        </w:trPr>
        <w:tc>
          <w:tcPr>
            <w:tcW w:w="9576" w:type="dxa"/>
            <w:gridSpan w:val="4"/>
          </w:tcPr>
          <w:p w:rsidR="00CD11F2" w:rsidRPr="00EF295C" w:rsidRDefault="00CD11F2" w:rsidP="00CD11F2">
            <w:pPr>
              <w:jc w:val="both"/>
              <w:rPr>
                <w:sz w:val="20"/>
                <w:szCs w:val="20"/>
              </w:rPr>
            </w:pPr>
            <w:r w:rsidRPr="00EF295C">
              <w:rPr>
                <w:sz w:val="20"/>
                <w:szCs w:val="20"/>
              </w:rPr>
              <w:t xml:space="preserve">The respondent, </w:t>
            </w:r>
            <w:proofErr w:type="spellStart"/>
            <w:r w:rsidRPr="00EF295C">
              <w:rPr>
                <w:sz w:val="20"/>
                <w:szCs w:val="20"/>
              </w:rPr>
              <w:t>Zofia</w:t>
            </w:r>
            <w:proofErr w:type="spellEnd"/>
            <w:r w:rsidRPr="00EF295C">
              <w:rPr>
                <w:sz w:val="20"/>
                <w:szCs w:val="20"/>
              </w:rPr>
              <w:t xml:space="preserve"> </w:t>
            </w:r>
            <w:proofErr w:type="spellStart"/>
            <w:r w:rsidRPr="00EF295C">
              <w:rPr>
                <w:sz w:val="20"/>
                <w:szCs w:val="20"/>
              </w:rPr>
              <w:t>Machaj</w:t>
            </w:r>
            <w:proofErr w:type="spellEnd"/>
            <w:r w:rsidRPr="00EF295C">
              <w:rPr>
                <w:sz w:val="20"/>
                <w:szCs w:val="20"/>
              </w:rPr>
              <w:t xml:space="preserve">, was injured in a motor vehicle accident. Her request to the applicant, RBC General Insurance Company (“RBC”), for a catastrophic impairment designation (which would allow her to claim increased statutory accident benefits) was denied. </w:t>
            </w:r>
          </w:p>
          <w:p w:rsidR="00CD11F2" w:rsidRPr="00EF295C" w:rsidRDefault="00CD11F2" w:rsidP="00CD11F2">
            <w:pPr>
              <w:jc w:val="both"/>
              <w:rPr>
                <w:sz w:val="20"/>
                <w:szCs w:val="20"/>
              </w:rPr>
            </w:pPr>
          </w:p>
          <w:p w:rsidR="00CD11F2" w:rsidRPr="00EF295C" w:rsidRDefault="00CD11F2" w:rsidP="00CD11F2">
            <w:pPr>
              <w:jc w:val="both"/>
              <w:rPr>
                <w:sz w:val="20"/>
                <w:szCs w:val="20"/>
              </w:rPr>
            </w:pPr>
            <w:r w:rsidRPr="00EF295C">
              <w:rPr>
                <w:sz w:val="20"/>
                <w:szCs w:val="20"/>
              </w:rPr>
              <w:t>More than two years after the denial, Ms. </w:t>
            </w:r>
            <w:proofErr w:type="spellStart"/>
            <w:r w:rsidRPr="00EF295C">
              <w:rPr>
                <w:sz w:val="20"/>
                <w:szCs w:val="20"/>
              </w:rPr>
              <w:t>Machaj</w:t>
            </w:r>
            <w:proofErr w:type="spellEnd"/>
            <w:r w:rsidRPr="00EF295C">
              <w:rPr>
                <w:sz w:val="20"/>
                <w:szCs w:val="20"/>
              </w:rPr>
              <w:t xml:space="preserve"> commenced mediation proceedings. Mediation was unsuccessful and Ms. </w:t>
            </w:r>
            <w:proofErr w:type="spellStart"/>
            <w:r w:rsidRPr="00EF295C">
              <w:rPr>
                <w:sz w:val="20"/>
                <w:szCs w:val="20"/>
              </w:rPr>
              <w:t>Machaj</w:t>
            </w:r>
            <w:proofErr w:type="spellEnd"/>
            <w:r w:rsidRPr="00EF295C">
              <w:rPr>
                <w:sz w:val="20"/>
                <w:szCs w:val="20"/>
              </w:rPr>
              <w:t xml:space="preserve"> commenced an action against RBC seeking a declaration that she suffered a catastrophic impairment. RBC brought a motion for summary judgment, on the basis that Ms. </w:t>
            </w:r>
            <w:proofErr w:type="spellStart"/>
            <w:r w:rsidRPr="00EF295C">
              <w:rPr>
                <w:sz w:val="20"/>
                <w:szCs w:val="20"/>
              </w:rPr>
              <w:t>Machaj’s</w:t>
            </w:r>
            <w:proofErr w:type="spellEnd"/>
            <w:r w:rsidRPr="00EF295C">
              <w:rPr>
                <w:sz w:val="20"/>
                <w:szCs w:val="20"/>
              </w:rPr>
              <w:t xml:space="preserve"> action was statute barred by reason of the operation of the limitation period found at s. 281.1 of the </w:t>
            </w:r>
            <w:r w:rsidRPr="00EF295C">
              <w:rPr>
                <w:i/>
                <w:sz w:val="20"/>
                <w:szCs w:val="20"/>
              </w:rPr>
              <w:t>Insurance Act</w:t>
            </w:r>
            <w:r w:rsidRPr="00EF295C">
              <w:rPr>
                <w:sz w:val="20"/>
                <w:szCs w:val="20"/>
              </w:rPr>
              <w:t xml:space="preserve">, R.S.O. 1990, c. I.8, which provides that mediation proceedings must be commenced within two years after the insurer’s refusal to pay the benefits claimed.  </w:t>
            </w:r>
          </w:p>
          <w:p w:rsidR="00CD11F2" w:rsidRPr="00EF295C" w:rsidRDefault="00CD11F2" w:rsidP="00CD11F2">
            <w:pPr>
              <w:jc w:val="both"/>
              <w:rPr>
                <w:sz w:val="20"/>
                <w:szCs w:val="20"/>
              </w:rPr>
            </w:pPr>
          </w:p>
          <w:p w:rsidR="00CD11F2" w:rsidRPr="00EF295C" w:rsidRDefault="00CD11F2" w:rsidP="00CD11F2">
            <w:pPr>
              <w:jc w:val="both"/>
              <w:rPr>
                <w:sz w:val="20"/>
                <w:szCs w:val="20"/>
              </w:rPr>
            </w:pPr>
            <w:r w:rsidRPr="00EF295C">
              <w:rPr>
                <w:sz w:val="20"/>
                <w:szCs w:val="20"/>
              </w:rPr>
              <w:t>The motion judge allowed the motion and dismissed the action, finding that it was statute barred. The Court of Appeal allowed Ms. </w:t>
            </w:r>
            <w:proofErr w:type="spellStart"/>
            <w:r w:rsidRPr="00EF295C">
              <w:rPr>
                <w:sz w:val="20"/>
                <w:szCs w:val="20"/>
              </w:rPr>
              <w:t>Machaj’s</w:t>
            </w:r>
            <w:proofErr w:type="spellEnd"/>
            <w:r w:rsidRPr="00EF295C">
              <w:rPr>
                <w:sz w:val="20"/>
                <w:szCs w:val="20"/>
              </w:rPr>
              <w:t xml:space="preserve"> appeal and set aside the order dismissing the action.</w:t>
            </w:r>
          </w:p>
          <w:p w:rsidR="00AF4BD2" w:rsidRPr="00EF295C" w:rsidRDefault="00AF4BD2" w:rsidP="00665CAF">
            <w:pPr>
              <w:pStyle w:val="SCCShortJudgment"/>
              <w:ind w:firstLine="0"/>
              <w:rPr>
                <w:rFonts w:cs="Times New Roman"/>
                <w:szCs w:val="20"/>
              </w:rPr>
            </w:pPr>
          </w:p>
        </w:tc>
      </w:tr>
      <w:tr w:rsidR="00AF4BD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t>July 3, 2015</w:t>
            </w:r>
          </w:p>
          <w:p w:rsidR="00CD11F2" w:rsidRPr="00EF295C" w:rsidRDefault="00CD11F2" w:rsidP="00CD11F2">
            <w:pPr>
              <w:rPr>
                <w:sz w:val="20"/>
                <w:szCs w:val="20"/>
              </w:rPr>
            </w:pPr>
            <w:r w:rsidRPr="00EF295C">
              <w:rPr>
                <w:sz w:val="20"/>
                <w:szCs w:val="20"/>
              </w:rPr>
              <w:t>Ontario Superior Court of Justice</w:t>
            </w:r>
          </w:p>
          <w:p w:rsidR="00CD11F2" w:rsidRPr="00EF295C" w:rsidRDefault="00CD11F2" w:rsidP="00CD11F2">
            <w:pPr>
              <w:rPr>
                <w:sz w:val="20"/>
                <w:szCs w:val="20"/>
              </w:rPr>
            </w:pPr>
            <w:r w:rsidRPr="00EF295C">
              <w:rPr>
                <w:sz w:val="20"/>
                <w:szCs w:val="20"/>
              </w:rPr>
              <w:t>(Whitten J.)</w:t>
            </w:r>
          </w:p>
          <w:p w:rsidR="00CD11F2" w:rsidRPr="00EF295C" w:rsidRDefault="002E5FCE" w:rsidP="00CD11F2">
            <w:pPr>
              <w:rPr>
                <w:sz w:val="20"/>
                <w:szCs w:val="20"/>
              </w:rPr>
            </w:pPr>
            <w:hyperlink r:id="rId42" w:history="1">
              <w:r w:rsidR="00CD11F2" w:rsidRPr="00EF295C">
                <w:rPr>
                  <w:rStyle w:val="Hyperlink"/>
                  <w:sz w:val="20"/>
                  <w:szCs w:val="20"/>
                </w:rPr>
                <w:t>2015 ONSC 4310</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CD11F2" w:rsidRPr="00EF295C" w:rsidRDefault="00CD11F2" w:rsidP="00CD11F2">
            <w:pPr>
              <w:jc w:val="both"/>
              <w:rPr>
                <w:sz w:val="20"/>
                <w:szCs w:val="20"/>
              </w:rPr>
            </w:pPr>
            <w:r w:rsidRPr="00EF295C">
              <w:rPr>
                <w:sz w:val="20"/>
                <w:szCs w:val="20"/>
              </w:rPr>
              <w:t>Motion by applicant for summary judgment allowed: action by respondent dismissed</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t>April 8, 2016</w:t>
            </w:r>
          </w:p>
          <w:p w:rsidR="00CD11F2" w:rsidRPr="00EF295C" w:rsidRDefault="00CD11F2" w:rsidP="00CD11F2">
            <w:pPr>
              <w:rPr>
                <w:sz w:val="20"/>
                <w:szCs w:val="20"/>
              </w:rPr>
            </w:pPr>
            <w:r w:rsidRPr="00EF295C">
              <w:rPr>
                <w:sz w:val="20"/>
                <w:szCs w:val="20"/>
              </w:rPr>
              <w:t>Court of Appeal for Ontario</w:t>
            </w:r>
          </w:p>
          <w:p w:rsidR="00CD11F2" w:rsidRPr="00EF295C" w:rsidRDefault="00CD11F2" w:rsidP="00CD11F2">
            <w:pPr>
              <w:rPr>
                <w:sz w:val="20"/>
                <w:szCs w:val="20"/>
              </w:rPr>
            </w:pPr>
            <w:r w:rsidRPr="00EF295C">
              <w:rPr>
                <w:sz w:val="20"/>
                <w:szCs w:val="20"/>
              </w:rPr>
              <w:t xml:space="preserve">(Sharpe, </w:t>
            </w:r>
            <w:proofErr w:type="spellStart"/>
            <w:r w:rsidRPr="00EF295C">
              <w:rPr>
                <w:sz w:val="20"/>
                <w:szCs w:val="20"/>
              </w:rPr>
              <w:t>Juriansz</w:t>
            </w:r>
            <w:proofErr w:type="spellEnd"/>
            <w:r w:rsidRPr="00EF295C">
              <w:rPr>
                <w:sz w:val="20"/>
                <w:szCs w:val="20"/>
              </w:rPr>
              <w:t xml:space="preserve"> and Roberts JJ.A.)</w:t>
            </w:r>
          </w:p>
          <w:p w:rsidR="00CD11F2" w:rsidRPr="00EF295C" w:rsidRDefault="002E5FCE" w:rsidP="00CD11F2">
            <w:pPr>
              <w:rPr>
                <w:sz w:val="20"/>
                <w:szCs w:val="20"/>
              </w:rPr>
            </w:pPr>
            <w:hyperlink r:id="rId43" w:history="1">
              <w:r w:rsidR="00CD11F2" w:rsidRPr="00EF295C">
                <w:rPr>
                  <w:rStyle w:val="Hyperlink"/>
                  <w:sz w:val="20"/>
                  <w:szCs w:val="20"/>
                </w:rPr>
                <w:t>2016 ONCA 257</w:t>
              </w:r>
            </w:hyperlink>
          </w:p>
          <w:p w:rsidR="00AF4BD2" w:rsidRPr="00EF295C" w:rsidRDefault="00AF4BD2" w:rsidP="00665CAF">
            <w:pPr>
              <w:jc w:val="both"/>
              <w:rPr>
                <w:rFonts w:cs="Times New Roman"/>
                <w:sz w:val="20"/>
                <w:szCs w:val="20"/>
              </w:rPr>
            </w:pPr>
          </w:p>
        </w:tc>
        <w:tc>
          <w:tcPr>
            <w:tcW w:w="630" w:type="dxa"/>
          </w:tcPr>
          <w:p w:rsidR="00AF4BD2" w:rsidRPr="00EF295C" w:rsidRDefault="00AF4BD2" w:rsidP="00665CAF">
            <w:pPr>
              <w:pStyle w:val="SCCShortJudgment"/>
              <w:ind w:firstLine="0"/>
              <w:rPr>
                <w:rFonts w:cs="Times New Roman"/>
                <w:szCs w:val="20"/>
              </w:rPr>
            </w:pPr>
          </w:p>
        </w:tc>
        <w:tc>
          <w:tcPr>
            <w:tcW w:w="4536" w:type="dxa"/>
          </w:tcPr>
          <w:p w:rsidR="00CD11F2" w:rsidRPr="00EF295C" w:rsidRDefault="00CD11F2" w:rsidP="00CD11F2">
            <w:pPr>
              <w:jc w:val="both"/>
              <w:rPr>
                <w:sz w:val="20"/>
                <w:szCs w:val="20"/>
              </w:rPr>
            </w:pPr>
            <w:r w:rsidRPr="00EF295C">
              <w:rPr>
                <w:sz w:val="20"/>
                <w:szCs w:val="20"/>
              </w:rPr>
              <w:t>Appeal by respondent allowed: order dismissing the action set aside</w:t>
            </w:r>
          </w:p>
          <w:p w:rsidR="00AF4BD2" w:rsidRPr="00EF295C" w:rsidRDefault="00AF4BD2" w:rsidP="00665CAF">
            <w:pPr>
              <w:jc w:val="both"/>
              <w:rPr>
                <w:rFonts w:cs="Times New Roman"/>
                <w:sz w:val="20"/>
                <w:szCs w:val="20"/>
              </w:rPr>
            </w:pPr>
          </w:p>
        </w:tc>
      </w:tr>
      <w:tr w:rsidR="00AF4BD2" w:rsidRPr="00EF295C" w:rsidTr="00665CAF">
        <w:trPr>
          <w:cantSplit/>
        </w:trPr>
        <w:tc>
          <w:tcPr>
            <w:tcW w:w="4410" w:type="dxa"/>
            <w:gridSpan w:val="2"/>
          </w:tcPr>
          <w:p w:rsidR="00CD11F2" w:rsidRPr="00EF295C" w:rsidRDefault="00CD11F2" w:rsidP="00CD11F2">
            <w:pPr>
              <w:rPr>
                <w:sz w:val="20"/>
                <w:szCs w:val="20"/>
              </w:rPr>
            </w:pPr>
            <w:r w:rsidRPr="00EF295C">
              <w:rPr>
                <w:sz w:val="20"/>
                <w:szCs w:val="20"/>
              </w:rPr>
              <w:lastRenderedPageBreak/>
              <w:t>June 7, 2016</w:t>
            </w:r>
          </w:p>
          <w:p w:rsidR="00AF4BD2" w:rsidRPr="00EF295C" w:rsidRDefault="00CD11F2" w:rsidP="00CD11F2">
            <w:pPr>
              <w:jc w:val="both"/>
              <w:rPr>
                <w:rFonts w:cs="Times New Roman"/>
                <w:sz w:val="20"/>
                <w:szCs w:val="20"/>
              </w:rPr>
            </w:pPr>
            <w:r w:rsidRPr="00EF295C">
              <w:rPr>
                <w:sz w:val="20"/>
                <w:szCs w:val="20"/>
              </w:rPr>
              <w:t>Supreme Court of Canada</w:t>
            </w:r>
          </w:p>
        </w:tc>
        <w:tc>
          <w:tcPr>
            <w:tcW w:w="630" w:type="dxa"/>
          </w:tcPr>
          <w:p w:rsidR="00AF4BD2" w:rsidRPr="00EF295C" w:rsidRDefault="00AF4BD2" w:rsidP="00665CAF">
            <w:pPr>
              <w:pStyle w:val="SCCShortJudgment"/>
              <w:ind w:firstLine="0"/>
              <w:rPr>
                <w:rFonts w:cs="Times New Roman"/>
                <w:szCs w:val="20"/>
              </w:rPr>
            </w:pPr>
          </w:p>
        </w:tc>
        <w:tc>
          <w:tcPr>
            <w:tcW w:w="4536" w:type="dxa"/>
          </w:tcPr>
          <w:p w:rsidR="00AF4BD2" w:rsidRPr="00EF295C" w:rsidRDefault="00CD11F2" w:rsidP="00665CAF">
            <w:pPr>
              <w:jc w:val="both"/>
              <w:rPr>
                <w:rFonts w:cs="Times New Roman"/>
                <w:sz w:val="20"/>
                <w:szCs w:val="20"/>
              </w:rPr>
            </w:pPr>
            <w:r w:rsidRPr="00EF295C">
              <w:rPr>
                <w:sz w:val="20"/>
                <w:szCs w:val="20"/>
              </w:rPr>
              <w:t>Application for leave to appeal filed</w:t>
            </w:r>
          </w:p>
        </w:tc>
      </w:tr>
      <w:tr w:rsidR="00AF4BD2" w:rsidRPr="00EF295C" w:rsidTr="00665CAF">
        <w:trPr>
          <w:cantSplit/>
        </w:trPr>
        <w:tc>
          <w:tcPr>
            <w:tcW w:w="9576" w:type="dxa"/>
            <w:gridSpan w:val="4"/>
          </w:tcPr>
          <w:p w:rsidR="00AF4BD2" w:rsidRPr="00EF295C" w:rsidRDefault="002E5FCE" w:rsidP="00665CAF">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AF4BD2" w:rsidRPr="00EF295C" w:rsidRDefault="00AF4BD2" w:rsidP="00665CAF">
            <w:pPr>
              <w:pStyle w:val="SCCShortJudgment"/>
              <w:ind w:firstLine="0"/>
              <w:rPr>
                <w:rFonts w:cs="Times New Roman"/>
                <w:szCs w:val="20"/>
                <w:lang w:val="fr-CA"/>
              </w:rPr>
            </w:pPr>
          </w:p>
        </w:tc>
      </w:tr>
      <w:tr w:rsidR="00AF4BD2" w:rsidRPr="00EF295C" w:rsidTr="00665CAF">
        <w:trPr>
          <w:cantSplit/>
        </w:trPr>
        <w:tc>
          <w:tcPr>
            <w:tcW w:w="9576" w:type="dxa"/>
            <w:gridSpan w:val="4"/>
          </w:tcPr>
          <w:p w:rsidR="00AF4BD2" w:rsidRPr="00EF295C" w:rsidRDefault="00AF4BD2" w:rsidP="00665CAF">
            <w:pPr>
              <w:pStyle w:val="SCCShortJudgment"/>
              <w:ind w:firstLine="0"/>
              <w:rPr>
                <w:rFonts w:cs="Times New Roman"/>
                <w:szCs w:val="20"/>
                <w:u w:val="single"/>
                <w:lang w:val="fr-CA"/>
              </w:rPr>
            </w:pPr>
            <w:r w:rsidRPr="00EF295C">
              <w:rPr>
                <w:rFonts w:cs="Times New Roman"/>
                <w:szCs w:val="20"/>
                <w:u w:val="single"/>
                <w:lang w:val="fr-CA"/>
              </w:rPr>
              <w:t>RÉSUMÉ DE L’AFFAIRE </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AF4BD2" w:rsidRPr="00EF295C" w:rsidRDefault="00CD11F2" w:rsidP="00CD11F2">
            <w:pPr>
              <w:pStyle w:val="SCCShortJudgment"/>
              <w:ind w:firstLine="0"/>
              <w:rPr>
                <w:szCs w:val="20"/>
                <w:lang w:val="fr-CA"/>
              </w:rPr>
            </w:pPr>
            <w:r w:rsidRPr="00EF295C">
              <w:rPr>
                <w:szCs w:val="20"/>
                <w:lang w:val="fr-CA"/>
              </w:rPr>
              <w:t>Prescription – Assurances – Indemnités d’accident légales – Déficience invalidante – Un assureur automobile en Ontario qui doit verser les indemnités d’accident légales peut-il invoquer l’art. 51 de l’</w:t>
            </w:r>
            <w:r w:rsidRPr="00EF295C">
              <w:rPr>
                <w:i/>
                <w:szCs w:val="20"/>
                <w:lang w:val="fr-CA"/>
              </w:rPr>
              <w:t>Annexe sur les indemnités d’accident légales – Accidents survenus le 1er novembre 1996 ou après ce jour</w:t>
            </w:r>
            <w:r w:rsidRPr="00EF295C">
              <w:rPr>
                <w:szCs w:val="20"/>
                <w:lang w:val="fr-CA"/>
              </w:rPr>
              <w:t xml:space="preserve">, </w:t>
            </w:r>
            <w:proofErr w:type="spellStart"/>
            <w:r w:rsidRPr="00EF295C">
              <w:rPr>
                <w:szCs w:val="20"/>
                <w:lang w:val="fr-CA"/>
              </w:rPr>
              <w:t>Règl</w:t>
            </w:r>
            <w:proofErr w:type="spellEnd"/>
            <w:r w:rsidRPr="00EF295C">
              <w:rPr>
                <w:szCs w:val="20"/>
                <w:lang w:val="fr-CA"/>
              </w:rPr>
              <w:t xml:space="preserve">. O. 403/96, et l’art. 281.1 de la </w:t>
            </w:r>
            <w:r w:rsidRPr="00EF295C">
              <w:rPr>
                <w:i/>
                <w:szCs w:val="20"/>
                <w:lang w:val="fr-CA"/>
              </w:rPr>
              <w:t>Loi sur l’assurance</w:t>
            </w:r>
            <w:r w:rsidRPr="00EF295C">
              <w:rPr>
                <w:szCs w:val="20"/>
                <w:lang w:val="fr-CA"/>
              </w:rPr>
              <w:t>, L.R.O. 1990, c. I.8, pour rejeter une demande de détermination d’une déficience invalidante et les indemnités pour frais médicaux ou de réadaptation supplémentaires qu’emporte la détermination.</w:t>
            </w:r>
          </w:p>
          <w:p w:rsidR="00CD11F2" w:rsidRPr="00EF295C" w:rsidRDefault="00CD11F2" w:rsidP="00CD11F2">
            <w:pPr>
              <w:pStyle w:val="SCCShortJudgment"/>
              <w:ind w:firstLine="0"/>
              <w:rPr>
                <w:rFonts w:cs="Times New Roman"/>
                <w:szCs w:val="20"/>
                <w:u w:val="single"/>
                <w:lang w:val="fr-CA"/>
              </w:rPr>
            </w:pPr>
          </w:p>
        </w:tc>
      </w:tr>
      <w:tr w:rsidR="00AF4BD2" w:rsidRPr="002E5FCE" w:rsidTr="00665CAF">
        <w:trPr>
          <w:cantSplit/>
        </w:trPr>
        <w:tc>
          <w:tcPr>
            <w:tcW w:w="9576" w:type="dxa"/>
            <w:gridSpan w:val="4"/>
          </w:tcPr>
          <w:p w:rsidR="00CD11F2" w:rsidRPr="00EF295C" w:rsidRDefault="00CD11F2" w:rsidP="00CD11F2">
            <w:pPr>
              <w:jc w:val="both"/>
              <w:rPr>
                <w:sz w:val="20"/>
                <w:szCs w:val="20"/>
                <w:lang w:val="fr-CA"/>
              </w:rPr>
            </w:pPr>
            <w:r w:rsidRPr="00EF295C">
              <w:rPr>
                <w:sz w:val="20"/>
                <w:szCs w:val="20"/>
                <w:lang w:val="fr-CA"/>
              </w:rPr>
              <w:t xml:space="preserve">L’intimée, </w:t>
            </w:r>
            <w:proofErr w:type="spellStart"/>
            <w:r w:rsidRPr="00EF295C">
              <w:rPr>
                <w:sz w:val="20"/>
                <w:szCs w:val="20"/>
                <w:lang w:val="fr-CA"/>
              </w:rPr>
              <w:t>Zofia</w:t>
            </w:r>
            <w:proofErr w:type="spellEnd"/>
            <w:r w:rsidRPr="00EF295C">
              <w:rPr>
                <w:sz w:val="20"/>
                <w:szCs w:val="20"/>
                <w:lang w:val="fr-CA"/>
              </w:rPr>
              <w:t xml:space="preserve"> </w:t>
            </w:r>
            <w:proofErr w:type="spellStart"/>
            <w:r w:rsidRPr="00EF295C">
              <w:rPr>
                <w:sz w:val="20"/>
                <w:szCs w:val="20"/>
                <w:lang w:val="fr-CA"/>
              </w:rPr>
              <w:t>Machaj</w:t>
            </w:r>
            <w:proofErr w:type="spellEnd"/>
            <w:r w:rsidRPr="00EF295C">
              <w:rPr>
                <w:sz w:val="20"/>
                <w:szCs w:val="20"/>
                <w:lang w:val="fr-CA"/>
              </w:rPr>
              <w:t xml:space="preserve">, a subi des lésions corporelles dans un accident de la route. Elle a demandé à la demanderesse, la Compagnie générale d’assurance RBC (« RBC »), de déterminer qu’elle souffrait d’une déficience invalidante (ce qui lui permettrait de demander le versement d’indemnités d’accident légales plus élevées). RBC a refusé. </w:t>
            </w:r>
          </w:p>
          <w:p w:rsidR="00CD11F2" w:rsidRPr="00EF295C" w:rsidRDefault="00CD11F2" w:rsidP="00CD11F2">
            <w:pPr>
              <w:jc w:val="both"/>
              <w:rPr>
                <w:sz w:val="20"/>
                <w:szCs w:val="20"/>
                <w:lang w:val="fr-CA"/>
              </w:rPr>
            </w:pPr>
          </w:p>
          <w:p w:rsidR="00CD11F2" w:rsidRPr="00EF295C" w:rsidRDefault="00CD11F2" w:rsidP="00CD11F2">
            <w:pPr>
              <w:jc w:val="both"/>
              <w:rPr>
                <w:sz w:val="20"/>
                <w:szCs w:val="20"/>
                <w:lang w:val="fr-CA"/>
              </w:rPr>
            </w:pPr>
            <w:r w:rsidRPr="00EF295C">
              <w:rPr>
                <w:sz w:val="20"/>
                <w:szCs w:val="20"/>
                <w:lang w:val="fr-CA"/>
              </w:rPr>
              <w:t>Plus de deux ans après le refus, Mme </w:t>
            </w:r>
            <w:proofErr w:type="spellStart"/>
            <w:r w:rsidRPr="00EF295C">
              <w:rPr>
                <w:sz w:val="20"/>
                <w:szCs w:val="20"/>
                <w:lang w:val="fr-CA"/>
              </w:rPr>
              <w:t>Machaj</w:t>
            </w:r>
            <w:proofErr w:type="spellEnd"/>
            <w:r w:rsidRPr="00EF295C">
              <w:rPr>
                <w:sz w:val="20"/>
                <w:szCs w:val="20"/>
                <w:lang w:val="fr-CA"/>
              </w:rPr>
              <w:t xml:space="preserve"> a tenté la médiation, qui a échoué. Elle a intenté une action contre RBC pour obtenir une déclaration qu’elle souffre d’une déficience invalidante. RBC a présenté une motion en jugement sommaire, faisant valoir que l’action de Mme </w:t>
            </w:r>
            <w:proofErr w:type="spellStart"/>
            <w:r w:rsidRPr="00EF295C">
              <w:rPr>
                <w:sz w:val="20"/>
                <w:szCs w:val="20"/>
                <w:lang w:val="fr-CA"/>
              </w:rPr>
              <w:t>Machaj</w:t>
            </w:r>
            <w:proofErr w:type="spellEnd"/>
            <w:r w:rsidRPr="00EF295C">
              <w:rPr>
                <w:sz w:val="20"/>
                <w:szCs w:val="20"/>
                <w:lang w:val="fr-CA"/>
              </w:rPr>
              <w:t xml:space="preserve"> était prescrite par le jeu de l’art. 281.1 de la </w:t>
            </w:r>
            <w:r w:rsidRPr="00EF295C">
              <w:rPr>
                <w:i/>
                <w:sz w:val="20"/>
                <w:szCs w:val="20"/>
                <w:lang w:val="fr-CA"/>
              </w:rPr>
              <w:t>Loi sur l’assurance</w:t>
            </w:r>
            <w:r w:rsidRPr="00EF295C">
              <w:rPr>
                <w:sz w:val="20"/>
                <w:szCs w:val="20"/>
                <w:lang w:val="fr-CA"/>
              </w:rPr>
              <w:t xml:space="preserve">, L.R.O. 1990, c. I.8, aux termes duquel la procédure de médiation doit débuter dans les deux ans qui suivent le moment où l’assureur refuse de payer l’indemnité demandée.  </w:t>
            </w:r>
          </w:p>
          <w:p w:rsidR="00CD11F2" w:rsidRPr="00EF295C" w:rsidRDefault="00CD11F2" w:rsidP="00CD11F2">
            <w:pPr>
              <w:jc w:val="both"/>
              <w:rPr>
                <w:sz w:val="20"/>
                <w:szCs w:val="20"/>
                <w:lang w:val="fr-CA"/>
              </w:rPr>
            </w:pPr>
          </w:p>
          <w:p w:rsidR="00CD11F2" w:rsidRPr="00EF295C" w:rsidRDefault="00CD11F2" w:rsidP="00CD11F2">
            <w:pPr>
              <w:jc w:val="both"/>
              <w:rPr>
                <w:sz w:val="20"/>
                <w:szCs w:val="20"/>
                <w:lang w:val="fr-CA"/>
              </w:rPr>
            </w:pPr>
            <w:r w:rsidRPr="00EF295C">
              <w:rPr>
                <w:sz w:val="20"/>
                <w:szCs w:val="20"/>
                <w:lang w:val="fr-CA"/>
              </w:rPr>
              <w:t>Le juge des motions a accueilli la motion et rejeté l’action, estimant qu’elle était prescrite. La Cour d’appel a accueilli l’appel interjeté par Mme </w:t>
            </w:r>
            <w:proofErr w:type="spellStart"/>
            <w:r w:rsidRPr="00EF295C">
              <w:rPr>
                <w:sz w:val="20"/>
                <w:szCs w:val="20"/>
                <w:lang w:val="fr-CA"/>
              </w:rPr>
              <w:t>Machaj</w:t>
            </w:r>
            <w:proofErr w:type="spellEnd"/>
            <w:r w:rsidRPr="00EF295C">
              <w:rPr>
                <w:sz w:val="20"/>
                <w:szCs w:val="20"/>
                <w:lang w:val="fr-CA"/>
              </w:rPr>
              <w:t xml:space="preserve"> et a annulé l’ordonnance rejetant l’action.</w:t>
            </w:r>
          </w:p>
          <w:p w:rsidR="00AF4BD2" w:rsidRPr="00EF295C" w:rsidRDefault="00AF4BD2" w:rsidP="00CD11F2">
            <w:pPr>
              <w:jc w:val="both"/>
              <w:rPr>
                <w:rFonts w:cs="Times New Roman"/>
                <w:sz w:val="20"/>
                <w:szCs w:val="20"/>
                <w:u w:val="single"/>
                <w:lang w:val="fr-CA"/>
              </w:rPr>
            </w:pPr>
          </w:p>
        </w:tc>
      </w:tr>
      <w:tr w:rsidR="00AF4BD2" w:rsidRPr="002E5FCE"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t>Le 3 juillet 2015</w:t>
            </w:r>
          </w:p>
          <w:p w:rsidR="00CD11F2" w:rsidRPr="00EF295C" w:rsidRDefault="00CD11F2" w:rsidP="00CD11F2">
            <w:pPr>
              <w:rPr>
                <w:sz w:val="20"/>
                <w:szCs w:val="20"/>
                <w:lang w:val="fr-CA"/>
              </w:rPr>
            </w:pPr>
            <w:r w:rsidRPr="00EF295C">
              <w:rPr>
                <w:sz w:val="20"/>
                <w:szCs w:val="20"/>
                <w:lang w:val="fr-CA"/>
              </w:rPr>
              <w:t xml:space="preserve">Cour supérieure de justice de l’Ontario </w:t>
            </w:r>
          </w:p>
          <w:p w:rsidR="00CD11F2" w:rsidRPr="00EF295C" w:rsidRDefault="00CD11F2" w:rsidP="00CD11F2">
            <w:pPr>
              <w:rPr>
                <w:sz w:val="20"/>
                <w:szCs w:val="20"/>
                <w:lang w:val="fr-CA"/>
              </w:rPr>
            </w:pPr>
            <w:r w:rsidRPr="00EF295C">
              <w:rPr>
                <w:sz w:val="20"/>
                <w:szCs w:val="20"/>
                <w:lang w:val="fr-CA"/>
              </w:rPr>
              <w:t xml:space="preserve">(Juge </w:t>
            </w:r>
            <w:proofErr w:type="spellStart"/>
            <w:r w:rsidRPr="00EF295C">
              <w:rPr>
                <w:sz w:val="20"/>
                <w:szCs w:val="20"/>
                <w:lang w:val="fr-CA"/>
              </w:rPr>
              <w:t>Whitten</w:t>
            </w:r>
            <w:proofErr w:type="spellEnd"/>
            <w:r w:rsidRPr="00EF295C">
              <w:rPr>
                <w:sz w:val="20"/>
                <w:szCs w:val="20"/>
                <w:lang w:val="fr-CA"/>
              </w:rPr>
              <w:t>)</w:t>
            </w:r>
          </w:p>
          <w:p w:rsidR="00CD11F2" w:rsidRPr="00EF295C" w:rsidRDefault="002E5FCE" w:rsidP="00CD11F2">
            <w:pPr>
              <w:rPr>
                <w:sz w:val="20"/>
                <w:szCs w:val="20"/>
                <w:lang w:val="fr-CA"/>
              </w:rPr>
            </w:pPr>
            <w:hyperlink r:id="rId44" w:history="1">
              <w:r w:rsidR="00CD11F2" w:rsidRPr="00EF295C">
                <w:rPr>
                  <w:rStyle w:val="Hyperlink"/>
                  <w:sz w:val="20"/>
                  <w:szCs w:val="20"/>
                  <w:lang w:val="fr-CA"/>
                </w:rPr>
                <w:t>2015 ONSC 4310</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1758BD" w:rsidRPr="00EF295C" w:rsidRDefault="001758BD" w:rsidP="001758BD">
            <w:pPr>
              <w:jc w:val="both"/>
              <w:rPr>
                <w:sz w:val="20"/>
                <w:szCs w:val="20"/>
                <w:lang w:val="fr-CA"/>
              </w:rPr>
            </w:pPr>
            <w:r w:rsidRPr="00EF295C">
              <w:rPr>
                <w:sz w:val="20"/>
                <w:szCs w:val="20"/>
                <w:lang w:val="fr-CA"/>
              </w:rPr>
              <w:t>Motion de la demanderesse en jugement sommaire accueillie; rejet de l’action intentée par l’intimée</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t>Le 8 avril 2016</w:t>
            </w:r>
          </w:p>
          <w:p w:rsidR="00CD11F2" w:rsidRPr="00EF295C" w:rsidRDefault="00CD11F2" w:rsidP="00CD11F2">
            <w:pPr>
              <w:rPr>
                <w:sz w:val="20"/>
                <w:szCs w:val="20"/>
                <w:lang w:val="fr-CA"/>
              </w:rPr>
            </w:pPr>
            <w:r w:rsidRPr="00EF295C">
              <w:rPr>
                <w:sz w:val="20"/>
                <w:szCs w:val="20"/>
                <w:lang w:val="fr-CA"/>
              </w:rPr>
              <w:t>Cour d’appel de l’Ontario</w:t>
            </w:r>
          </w:p>
          <w:p w:rsidR="00CD11F2" w:rsidRPr="00EF295C" w:rsidRDefault="00CD11F2" w:rsidP="00CD11F2">
            <w:pPr>
              <w:rPr>
                <w:sz w:val="20"/>
                <w:szCs w:val="20"/>
                <w:lang w:val="fr-CA"/>
              </w:rPr>
            </w:pPr>
            <w:r w:rsidRPr="00EF295C">
              <w:rPr>
                <w:sz w:val="20"/>
                <w:szCs w:val="20"/>
                <w:lang w:val="fr-CA"/>
              </w:rPr>
              <w:t xml:space="preserve">(Juges Sharpe, </w:t>
            </w:r>
            <w:proofErr w:type="spellStart"/>
            <w:r w:rsidRPr="00EF295C">
              <w:rPr>
                <w:sz w:val="20"/>
                <w:szCs w:val="20"/>
                <w:lang w:val="fr-CA"/>
              </w:rPr>
              <w:t>Juriansz</w:t>
            </w:r>
            <w:proofErr w:type="spellEnd"/>
            <w:r w:rsidRPr="00EF295C">
              <w:rPr>
                <w:sz w:val="20"/>
                <w:szCs w:val="20"/>
                <w:lang w:val="fr-CA"/>
              </w:rPr>
              <w:t xml:space="preserve"> et Roberts)</w:t>
            </w:r>
          </w:p>
          <w:p w:rsidR="00CD11F2" w:rsidRPr="00EF295C" w:rsidRDefault="002E5FCE" w:rsidP="00CD11F2">
            <w:pPr>
              <w:rPr>
                <w:sz w:val="20"/>
                <w:szCs w:val="20"/>
                <w:lang w:val="fr-CA"/>
              </w:rPr>
            </w:pPr>
            <w:hyperlink r:id="rId45" w:history="1">
              <w:r w:rsidR="00CD11F2" w:rsidRPr="00EF295C">
                <w:rPr>
                  <w:rStyle w:val="Hyperlink"/>
                  <w:sz w:val="20"/>
                  <w:szCs w:val="20"/>
                  <w:lang w:val="fr-CA"/>
                </w:rPr>
                <w:t>2016 ONCA 257</w:t>
              </w:r>
            </w:hyperlink>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CD11F2" w:rsidRPr="00EF295C" w:rsidRDefault="00CD11F2" w:rsidP="00CD11F2">
            <w:pPr>
              <w:jc w:val="both"/>
              <w:rPr>
                <w:sz w:val="20"/>
                <w:szCs w:val="20"/>
                <w:lang w:val="fr-CA"/>
              </w:rPr>
            </w:pPr>
            <w:r w:rsidRPr="00EF295C">
              <w:rPr>
                <w:sz w:val="20"/>
                <w:szCs w:val="20"/>
                <w:lang w:val="fr-CA"/>
              </w:rPr>
              <w:t>Appel interjeté par l’intimée accueilli: annulation de l’ordonnance rejetant l’action</w:t>
            </w:r>
          </w:p>
          <w:p w:rsidR="00AF4BD2" w:rsidRPr="00EF295C" w:rsidRDefault="00AF4BD2" w:rsidP="00665CAF">
            <w:pPr>
              <w:pStyle w:val="SCCShortJudgment"/>
              <w:ind w:firstLine="0"/>
              <w:rPr>
                <w:rFonts w:cs="Times New Roman"/>
                <w:szCs w:val="20"/>
                <w:u w:val="single"/>
                <w:lang w:val="fr-CA"/>
              </w:rPr>
            </w:pPr>
          </w:p>
        </w:tc>
      </w:tr>
      <w:tr w:rsidR="00AF4BD2" w:rsidRPr="002E5FCE" w:rsidTr="00665CAF">
        <w:trPr>
          <w:cantSplit/>
        </w:trPr>
        <w:tc>
          <w:tcPr>
            <w:tcW w:w="4410" w:type="dxa"/>
            <w:gridSpan w:val="2"/>
          </w:tcPr>
          <w:p w:rsidR="00CD11F2" w:rsidRPr="00EF295C" w:rsidRDefault="00CD11F2" w:rsidP="00CD11F2">
            <w:pPr>
              <w:rPr>
                <w:sz w:val="20"/>
                <w:szCs w:val="20"/>
                <w:lang w:val="fr-CA"/>
              </w:rPr>
            </w:pPr>
            <w:r w:rsidRPr="00EF295C">
              <w:rPr>
                <w:sz w:val="20"/>
                <w:szCs w:val="20"/>
                <w:lang w:val="fr-CA"/>
              </w:rPr>
              <w:t>Le 7 juin 2016</w:t>
            </w:r>
          </w:p>
          <w:p w:rsidR="00CD11F2" w:rsidRPr="00EF295C" w:rsidRDefault="00CD11F2" w:rsidP="00CD11F2">
            <w:pPr>
              <w:rPr>
                <w:sz w:val="20"/>
                <w:szCs w:val="20"/>
                <w:lang w:val="fr-CA"/>
              </w:rPr>
            </w:pPr>
            <w:r w:rsidRPr="00EF295C">
              <w:rPr>
                <w:sz w:val="20"/>
                <w:szCs w:val="20"/>
                <w:lang w:val="fr-CA"/>
              </w:rPr>
              <w:t>Cour suprême du Canada</w:t>
            </w:r>
          </w:p>
          <w:p w:rsidR="00AF4BD2" w:rsidRPr="00EF295C" w:rsidRDefault="00AF4BD2" w:rsidP="00665CAF">
            <w:pPr>
              <w:pStyle w:val="SCCShortJudgment"/>
              <w:ind w:firstLine="0"/>
              <w:rPr>
                <w:rFonts w:cs="Times New Roman"/>
                <w:szCs w:val="20"/>
                <w:u w:val="single"/>
                <w:lang w:val="fr-CA"/>
              </w:rPr>
            </w:pPr>
          </w:p>
        </w:tc>
        <w:tc>
          <w:tcPr>
            <w:tcW w:w="630" w:type="dxa"/>
          </w:tcPr>
          <w:p w:rsidR="00AF4BD2" w:rsidRPr="00EF295C" w:rsidRDefault="00AF4BD2" w:rsidP="00665CAF">
            <w:pPr>
              <w:pStyle w:val="SCCShortJudgment"/>
              <w:ind w:firstLine="0"/>
              <w:rPr>
                <w:rFonts w:cs="Times New Roman"/>
                <w:szCs w:val="20"/>
                <w:u w:val="single"/>
                <w:lang w:val="fr-CA"/>
              </w:rPr>
            </w:pPr>
          </w:p>
        </w:tc>
        <w:tc>
          <w:tcPr>
            <w:tcW w:w="4536" w:type="dxa"/>
          </w:tcPr>
          <w:p w:rsidR="00CD11F2" w:rsidRPr="00EF295C" w:rsidRDefault="00CD11F2" w:rsidP="00CD11F2">
            <w:pPr>
              <w:rPr>
                <w:sz w:val="20"/>
                <w:szCs w:val="20"/>
                <w:lang w:val="fr-CA"/>
              </w:rPr>
            </w:pPr>
            <w:r w:rsidRPr="00EF295C">
              <w:rPr>
                <w:sz w:val="20"/>
                <w:szCs w:val="20"/>
                <w:lang w:val="fr-CA"/>
              </w:rPr>
              <w:t>Dépôt de la demande d’autorisation d’appel</w:t>
            </w:r>
          </w:p>
          <w:p w:rsidR="00AF4BD2" w:rsidRPr="00EF295C" w:rsidRDefault="00AF4BD2" w:rsidP="00665CAF">
            <w:pPr>
              <w:pStyle w:val="SCCShortJudgment"/>
              <w:ind w:firstLine="0"/>
              <w:rPr>
                <w:rFonts w:cs="Times New Roman"/>
                <w:szCs w:val="20"/>
                <w:u w:val="single"/>
                <w:lang w:val="fr-CA"/>
              </w:rPr>
            </w:pPr>
          </w:p>
        </w:tc>
      </w:tr>
    </w:tbl>
    <w:p w:rsidR="00AF4BD2" w:rsidRPr="00EF295C" w:rsidRDefault="00AF4BD2" w:rsidP="000E2959">
      <w:pPr>
        <w:rPr>
          <w:sz w:val="20"/>
          <w:szCs w:val="20"/>
          <w:lang w:val="fr-CA"/>
        </w:rPr>
      </w:pPr>
    </w:p>
    <w:p w:rsidR="000E2959" w:rsidRPr="00EF295C" w:rsidRDefault="002E5FCE" w:rsidP="000E2959">
      <w:pPr>
        <w:rPr>
          <w:sz w:val="20"/>
          <w:szCs w:val="20"/>
        </w:rPr>
      </w:pPr>
      <w:r>
        <w:rPr>
          <w:sz w:val="20"/>
          <w:szCs w:val="20"/>
          <w:lang w:val="fr-CA"/>
        </w:rPr>
        <w:pict>
          <v:rect id="_x0000_i1061" style="width:2in;height:1pt" o:hrpct="0" o:hralign="center" o:hrstd="t" o:hrnoshade="t" o:hr="t" fillcolor="black [3213]" stroked="f"/>
        </w:pict>
      </w:r>
    </w:p>
    <w:p w:rsidR="000E2959" w:rsidRPr="00EF295C" w:rsidRDefault="000E2959" w:rsidP="000E2959">
      <w:pPr>
        <w:rPr>
          <w:sz w:val="20"/>
          <w:szCs w:val="20"/>
        </w:rPr>
      </w:pPr>
    </w:p>
    <w:p w:rsidR="008D292F" w:rsidRPr="00EF295C" w:rsidRDefault="008D292F" w:rsidP="008D292F">
      <w:pPr>
        <w:rPr>
          <w:sz w:val="20"/>
          <w:szCs w:val="20"/>
          <w:lang w:val="fr-CA"/>
        </w:rPr>
      </w:pPr>
    </w:p>
    <w:p w:rsidR="00890FEB" w:rsidRPr="00EF295C" w:rsidRDefault="00890FEB" w:rsidP="008D292F">
      <w:pPr>
        <w:rPr>
          <w:sz w:val="20"/>
          <w:szCs w:val="20"/>
          <w:lang w:val="fr-CA"/>
        </w:rPr>
      </w:pPr>
    </w:p>
    <w:p w:rsidR="00890FEB" w:rsidRPr="00EF295C" w:rsidRDefault="00890FEB" w:rsidP="008D292F">
      <w:pPr>
        <w:rPr>
          <w:b/>
          <w:sz w:val="20"/>
          <w:szCs w:val="20"/>
          <w:lang w:val="fr-CA"/>
        </w:rPr>
        <w:sectPr w:rsidR="00890FEB" w:rsidRPr="00EF295C"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EF295C" w:rsidTr="00BA6468">
        <w:tc>
          <w:tcPr>
            <w:tcW w:w="4230" w:type="dxa"/>
            <w:shd w:val="clear" w:color="auto" w:fill="auto"/>
            <w:tcMar>
              <w:left w:w="0" w:type="dxa"/>
              <w:right w:w="0" w:type="dxa"/>
            </w:tcMar>
          </w:tcPr>
          <w:p w:rsidR="00890FEB" w:rsidRPr="00EF295C" w:rsidRDefault="00890FEB" w:rsidP="00EB2B90">
            <w:pPr>
              <w:keepNext/>
              <w:keepLines/>
              <w:tabs>
                <w:tab w:val="left" w:pos="-1440"/>
                <w:tab w:val="left" w:pos="-720"/>
              </w:tabs>
              <w:jc w:val="both"/>
              <w:rPr>
                <w:szCs w:val="24"/>
              </w:rPr>
            </w:pPr>
            <w:r w:rsidRPr="00EF295C">
              <w:rPr>
                <w:b/>
                <w:szCs w:val="24"/>
              </w:rPr>
              <w:lastRenderedPageBreak/>
              <w:t>MOTIONS</w:t>
            </w:r>
          </w:p>
        </w:tc>
        <w:tc>
          <w:tcPr>
            <w:tcW w:w="1170" w:type="dxa"/>
            <w:shd w:val="clear" w:color="auto" w:fill="auto"/>
            <w:tcMar>
              <w:left w:w="0" w:type="dxa"/>
              <w:right w:w="0" w:type="dxa"/>
            </w:tcMar>
          </w:tcPr>
          <w:p w:rsidR="00890FEB" w:rsidRPr="00EF295C" w:rsidRDefault="00890FEB" w:rsidP="00890FEB">
            <w:pPr>
              <w:keepNext/>
              <w:keepLines/>
              <w:tabs>
                <w:tab w:val="left" w:pos="-1440"/>
                <w:tab w:val="left" w:pos="-720"/>
              </w:tabs>
              <w:jc w:val="center"/>
              <w:rPr>
                <w:szCs w:val="24"/>
              </w:rPr>
            </w:pPr>
          </w:p>
          <w:p w:rsidR="00890FEB" w:rsidRPr="00EF295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EF295C" w:rsidRDefault="00890FEB" w:rsidP="00831CA9">
            <w:pPr>
              <w:keepNext/>
              <w:keepLines/>
              <w:tabs>
                <w:tab w:val="left" w:pos="-1440"/>
                <w:tab w:val="left" w:pos="-720"/>
              </w:tabs>
              <w:rPr>
                <w:szCs w:val="24"/>
                <w:lang w:val="fr-CA"/>
              </w:rPr>
            </w:pPr>
            <w:r w:rsidRPr="00EF295C">
              <w:rPr>
                <w:b/>
                <w:szCs w:val="24"/>
                <w:lang w:val="fr-CA"/>
              </w:rPr>
              <w:t>REQUÊTES</w:t>
            </w:r>
          </w:p>
        </w:tc>
      </w:tr>
    </w:tbl>
    <w:p w:rsidR="00890FEB" w:rsidRPr="00EF295C" w:rsidRDefault="00890FEB" w:rsidP="00890FEB">
      <w:pPr>
        <w:rPr>
          <w:rFonts w:cs="Times New Roman"/>
          <w:sz w:val="20"/>
          <w:szCs w:val="20"/>
        </w:rPr>
      </w:pPr>
    </w:p>
    <w:p w:rsidR="00ED3D48" w:rsidRPr="00EF295C" w:rsidRDefault="00ED3D48" w:rsidP="00ED3D48">
      <w:pPr>
        <w:tabs>
          <w:tab w:val="left" w:pos="-1440"/>
          <w:tab w:val="left" w:pos="-720"/>
        </w:tabs>
        <w:jc w:val="both"/>
        <w:rPr>
          <w:rFonts w:cs="Times New Roman"/>
          <w:sz w:val="20"/>
          <w:szCs w:val="20"/>
          <w:lang w:val="fr-CA"/>
        </w:rPr>
      </w:pPr>
      <w:r w:rsidRPr="00EF295C">
        <w:rPr>
          <w:rFonts w:cs="Times New Roman"/>
          <w:sz w:val="20"/>
          <w:szCs w:val="20"/>
          <w:lang w:val="fr-CA"/>
        </w:rPr>
        <w:t>13.09.2016</w:t>
      </w:r>
    </w:p>
    <w:p w:rsidR="00ED3D48" w:rsidRPr="00EF295C" w:rsidRDefault="00ED3D48" w:rsidP="00ED3D48">
      <w:pPr>
        <w:tabs>
          <w:tab w:val="left" w:pos="-1440"/>
          <w:tab w:val="left" w:pos="-720"/>
        </w:tabs>
        <w:jc w:val="both"/>
        <w:rPr>
          <w:rFonts w:cs="Times New Roman"/>
          <w:sz w:val="20"/>
          <w:szCs w:val="20"/>
          <w:lang w:val="fr-CA"/>
        </w:rPr>
      </w:pPr>
    </w:p>
    <w:p w:rsidR="00ED3D48" w:rsidRPr="00EF295C" w:rsidRDefault="00ED3D48" w:rsidP="00ED3D48">
      <w:pPr>
        <w:tabs>
          <w:tab w:val="left" w:pos="-1440"/>
          <w:tab w:val="left" w:pos="-720"/>
        </w:tabs>
        <w:jc w:val="both"/>
        <w:rPr>
          <w:rFonts w:cs="Times New Roman"/>
          <w:sz w:val="20"/>
          <w:szCs w:val="20"/>
          <w:lang w:val="fr-CA"/>
        </w:rPr>
      </w:pPr>
      <w:proofErr w:type="spellStart"/>
      <w:r w:rsidRPr="00EF295C">
        <w:rPr>
          <w:rFonts w:cs="Times New Roman"/>
          <w:sz w:val="20"/>
          <w:szCs w:val="20"/>
          <w:lang w:val="fr-CA"/>
        </w:rPr>
        <w:t>Before</w:t>
      </w:r>
      <w:proofErr w:type="spellEnd"/>
      <w:r w:rsidRPr="00EF295C">
        <w:rPr>
          <w:rFonts w:cs="Times New Roman"/>
          <w:sz w:val="20"/>
          <w:szCs w:val="20"/>
          <w:lang w:val="fr-CA"/>
        </w:rPr>
        <w:t xml:space="preserve"> / Devant :   GASCON J. / LE JUGE GASCON</w:t>
      </w:r>
    </w:p>
    <w:p w:rsidR="00ED3D48" w:rsidRPr="00EF295C" w:rsidRDefault="00ED3D48" w:rsidP="00ED3D4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970"/>
        <w:gridCol w:w="1062"/>
        <w:gridCol w:w="4237"/>
      </w:tblGrid>
      <w:tr w:rsidR="00ED3D48" w:rsidRPr="002E5FCE" w:rsidTr="0059470C">
        <w:tc>
          <w:tcPr>
            <w:tcW w:w="4320" w:type="dxa"/>
            <w:gridSpan w:val="2"/>
          </w:tcPr>
          <w:p w:rsidR="00ED3D48" w:rsidRPr="00EF295C" w:rsidRDefault="00D623C2" w:rsidP="00D623C2">
            <w:pPr>
              <w:rPr>
                <w:rFonts w:cs="Times New Roman"/>
                <w:b/>
                <w:sz w:val="20"/>
                <w:szCs w:val="20"/>
              </w:rPr>
            </w:pPr>
            <w:r w:rsidRPr="00EF295C">
              <w:rPr>
                <w:rFonts w:cs="Times New Roman"/>
                <w:b/>
                <w:bCs/>
                <w:sz w:val="20"/>
                <w:szCs w:val="20"/>
                <w:lang w:val="en-GB"/>
              </w:rPr>
              <w:t>Motions for extension of time and for leave to intervene</w:t>
            </w:r>
            <w:r w:rsidRPr="00EF295C">
              <w:rPr>
                <w:rFonts w:cs="Times New Roman"/>
                <w:sz w:val="20"/>
                <w:szCs w:val="20"/>
              </w:rPr>
              <w:t xml:space="preserve"> </w:t>
            </w:r>
            <w:r w:rsidR="00ED3D48" w:rsidRPr="00EF295C">
              <w:rPr>
                <w:rFonts w:cs="Times New Roman"/>
                <w:sz w:val="20"/>
                <w:szCs w:val="20"/>
              </w:rPr>
              <w:fldChar w:fldCharType="begin"/>
            </w:r>
            <w:r w:rsidR="00ED3D48" w:rsidRPr="00EF295C">
              <w:rPr>
                <w:rFonts w:cs="Times New Roman"/>
                <w:sz w:val="20"/>
                <w:szCs w:val="20"/>
              </w:rPr>
              <w:instrText xml:space="preserve"> SEQ CHAPTER \h \r 1</w:instrText>
            </w:r>
            <w:r w:rsidR="00ED3D48" w:rsidRPr="00EF295C">
              <w:rPr>
                <w:rFonts w:cs="Times New Roman"/>
                <w:sz w:val="20"/>
                <w:szCs w:val="20"/>
              </w:rPr>
              <w:fldChar w:fldCharType="end"/>
            </w:r>
          </w:p>
        </w:tc>
        <w:tc>
          <w:tcPr>
            <w:tcW w:w="1062" w:type="dxa"/>
          </w:tcPr>
          <w:p w:rsidR="00ED3D48" w:rsidRPr="00EF295C" w:rsidRDefault="00ED3D48" w:rsidP="005D7A3E">
            <w:pPr>
              <w:rPr>
                <w:rFonts w:cs="Times New Roman"/>
                <w:sz w:val="20"/>
                <w:szCs w:val="20"/>
              </w:rPr>
            </w:pPr>
          </w:p>
          <w:p w:rsidR="00ED3D48" w:rsidRPr="00EF295C" w:rsidRDefault="00ED3D48" w:rsidP="005D7A3E">
            <w:pPr>
              <w:rPr>
                <w:rFonts w:cs="Times New Roman"/>
                <w:sz w:val="20"/>
                <w:szCs w:val="20"/>
              </w:rPr>
            </w:pPr>
          </w:p>
        </w:tc>
        <w:tc>
          <w:tcPr>
            <w:tcW w:w="4237" w:type="dxa"/>
          </w:tcPr>
          <w:p w:rsidR="00ED3D48" w:rsidRPr="00EF295C" w:rsidRDefault="00D623C2" w:rsidP="005D7A3E">
            <w:pPr>
              <w:rPr>
                <w:rFonts w:cs="Times New Roman"/>
                <w:b/>
                <w:sz w:val="20"/>
                <w:szCs w:val="20"/>
                <w:lang w:val="fr-CA"/>
              </w:rPr>
            </w:pPr>
            <w:r w:rsidRPr="00EF295C">
              <w:rPr>
                <w:rFonts w:cs="Times New Roman"/>
                <w:b/>
                <w:bCs/>
                <w:sz w:val="20"/>
                <w:szCs w:val="20"/>
                <w:lang w:val="fr-CA"/>
              </w:rPr>
              <w:t>Requêtes en prorogation de délai et en autorisation d’intervenir</w:t>
            </w:r>
            <w:r w:rsidRPr="00EF295C">
              <w:rPr>
                <w:rFonts w:cs="Times New Roman"/>
                <w:sz w:val="20"/>
                <w:szCs w:val="20"/>
                <w:lang w:val="fr-CA"/>
              </w:rPr>
              <w:t xml:space="preserve"> </w:t>
            </w:r>
            <w:r w:rsidR="00ED3D48" w:rsidRPr="00EF295C">
              <w:rPr>
                <w:rFonts w:cs="Times New Roman"/>
                <w:sz w:val="20"/>
                <w:szCs w:val="20"/>
              </w:rPr>
              <w:fldChar w:fldCharType="begin"/>
            </w:r>
            <w:r w:rsidR="00ED3D48" w:rsidRPr="00EF295C">
              <w:rPr>
                <w:rFonts w:cs="Times New Roman"/>
                <w:sz w:val="20"/>
                <w:szCs w:val="20"/>
                <w:lang w:val="fr-CA"/>
              </w:rPr>
              <w:instrText xml:space="preserve"> SEQ CHAPTER \h \r 1</w:instrText>
            </w:r>
            <w:r w:rsidR="00ED3D48" w:rsidRPr="00EF295C">
              <w:rPr>
                <w:rFonts w:cs="Times New Roman"/>
                <w:sz w:val="20"/>
                <w:szCs w:val="20"/>
              </w:rPr>
              <w:fldChar w:fldCharType="end"/>
            </w:r>
          </w:p>
        </w:tc>
      </w:tr>
      <w:tr w:rsidR="00ED3D48" w:rsidRPr="00EF295C" w:rsidTr="0059470C">
        <w:tc>
          <w:tcPr>
            <w:tcW w:w="1350" w:type="dxa"/>
          </w:tcPr>
          <w:p w:rsidR="00ED3D48" w:rsidRPr="00EF295C" w:rsidRDefault="00ED3D48" w:rsidP="005D7A3E">
            <w:pPr>
              <w:rPr>
                <w:rFonts w:cs="Times New Roman"/>
                <w:sz w:val="20"/>
                <w:szCs w:val="20"/>
              </w:rPr>
            </w:pPr>
            <w:r w:rsidRPr="00EF295C">
              <w:rPr>
                <w:rFonts w:cs="Times New Roman"/>
                <w:sz w:val="20"/>
                <w:szCs w:val="20"/>
              </w:rPr>
              <w:t>BY / PAR</w:t>
            </w:r>
          </w:p>
        </w:tc>
        <w:tc>
          <w:tcPr>
            <w:tcW w:w="2970" w:type="dxa"/>
          </w:tcPr>
          <w:p w:rsidR="00ED3D48" w:rsidRPr="00EF295C" w:rsidRDefault="00ED3D48" w:rsidP="005D7A3E">
            <w:pPr>
              <w:rPr>
                <w:rFonts w:cs="Times New Roman"/>
                <w:sz w:val="20"/>
                <w:szCs w:val="20"/>
              </w:rPr>
            </w:pPr>
            <w:r w:rsidRPr="00EF295C">
              <w:rPr>
                <w:rFonts w:cs="Times New Roman"/>
                <w:sz w:val="20"/>
                <w:szCs w:val="20"/>
              </w:rPr>
              <w:t>Attorney General for Ontario</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bCs/>
                <w:sz w:val="20"/>
                <w:szCs w:val="20"/>
              </w:rPr>
              <w:t>Attorney General for Saskatchewan</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bCs/>
                <w:sz w:val="20"/>
                <w:szCs w:val="20"/>
              </w:rPr>
              <w:t>Canadian Chamber of Commerce</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bCs/>
                <w:sz w:val="20"/>
                <w:szCs w:val="20"/>
              </w:rPr>
              <w:t>Nunavut Wildlife Management Board</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bCs/>
                <w:sz w:val="20"/>
                <w:szCs w:val="20"/>
              </w:rPr>
              <w:t xml:space="preserve">Beaver Lake Cree Nation and </w:t>
            </w:r>
            <w:proofErr w:type="spellStart"/>
            <w:r w:rsidRPr="00EF295C">
              <w:rPr>
                <w:rFonts w:cs="Times New Roman"/>
                <w:bCs/>
                <w:sz w:val="20"/>
                <w:szCs w:val="20"/>
              </w:rPr>
              <w:t>Ermineskin</w:t>
            </w:r>
            <w:proofErr w:type="spellEnd"/>
            <w:r w:rsidRPr="00EF295C">
              <w:rPr>
                <w:rFonts w:cs="Times New Roman"/>
                <w:bCs/>
                <w:sz w:val="20"/>
                <w:szCs w:val="20"/>
              </w:rPr>
              <w:t xml:space="preserve"> Cree Nation (jointly)</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sz w:val="20"/>
                <w:szCs w:val="20"/>
              </w:rPr>
              <w:t xml:space="preserve">National Energy Board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sz w:val="20"/>
                <w:szCs w:val="20"/>
              </w:rPr>
              <w:t xml:space="preserve">Amnesty International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sz w:val="20"/>
                <w:szCs w:val="20"/>
              </w:rPr>
              <w:t xml:space="preserve">Nunavut </w:t>
            </w:r>
            <w:proofErr w:type="spellStart"/>
            <w:r w:rsidRPr="00EF295C">
              <w:rPr>
                <w:rFonts w:cs="Times New Roman"/>
                <w:sz w:val="20"/>
                <w:szCs w:val="20"/>
              </w:rPr>
              <w:t>Tunngavik</w:t>
            </w:r>
            <w:proofErr w:type="spellEnd"/>
            <w:r w:rsidRPr="00EF295C">
              <w:rPr>
                <w:rFonts w:cs="Times New Roman"/>
                <w:sz w:val="20"/>
                <w:szCs w:val="20"/>
              </w:rPr>
              <w:t xml:space="preserve"> Incorporated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proofErr w:type="spellStart"/>
            <w:r w:rsidRPr="00EF295C">
              <w:rPr>
                <w:rFonts w:cs="Times New Roman"/>
                <w:sz w:val="20"/>
                <w:szCs w:val="20"/>
              </w:rPr>
              <w:t>Makivik</w:t>
            </w:r>
            <w:proofErr w:type="spellEnd"/>
            <w:r w:rsidRPr="00EF295C">
              <w:rPr>
                <w:rFonts w:cs="Times New Roman"/>
                <w:sz w:val="20"/>
                <w:szCs w:val="20"/>
              </w:rPr>
              <w:t xml:space="preserve"> Corporation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sz w:val="20"/>
                <w:szCs w:val="20"/>
              </w:rPr>
              <w:t xml:space="preserve">Charlie Watt, Rosemarie </w:t>
            </w:r>
            <w:proofErr w:type="spellStart"/>
            <w:r w:rsidRPr="00EF295C">
              <w:rPr>
                <w:rFonts w:cs="Times New Roman"/>
                <w:sz w:val="20"/>
                <w:szCs w:val="20"/>
              </w:rPr>
              <w:t>Kuptana</w:t>
            </w:r>
            <w:proofErr w:type="spellEnd"/>
            <w:r w:rsidRPr="00EF295C">
              <w:rPr>
                <w:rFonts w:cs="Times New Roman"/>
                <w:sz w:val="20"/>
                <w:szCs w:val="20"/>
              </w:rPr>
              <w:t xml:space="preserve">, Peter </w:t>
            </w:r>
            <w:proofErr w:type="spellStart"/>
            <w:r w:rsidRPr="00EF295C">
              <w:rPr>
                <w:rFonts w:cs="Times New Roman"/>
                <w:sz w:val="20"/>
                <w:szCs w:val="20"/>
              </w:rPr>
              <w:t>Ittinuar</w:t>
            </w:r>
            <w:proofErr w:type="spellEnd"/>
            <w:r w:rsidRPr="00EF295C">
              <w:rPr>
                <w:rFonts w:cs="Times New Roman"/>
                <w:sz w:val="20"/>
                <w:szCs w:val="20"/>
              </w:rPr>
              <w:t xml:space="preserve"> and </w:t>
            </w:r>
            <w:proofErr w:type="spellStart"/>
            <w:r w:rsidRPr="00EF295C">
              <w:rPr>
                <w:rFonts w:cs="Times New Roman"/>
                <w:sz w:val="20"/>
                <w:szCs w:val="20"/>
              </w:rPr>
              <w:t>Tagak</w:t>
            </w:r>
            <w:proofErr w:type="spellEnd"/>
            <w:r w:rsidRPr="00EF295C">
              <w:rPr>
                <w:rFonts w:cs="Times New Roman"/>
                <w:sz w:val="20"/>
                <w:szCs w:val="20"/>
              </w:rPr>
              <w:t xml:space="preserve"> Curley (jointly)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sz w:val="20"/>
                <w:szCs w:val="20"/>
              </w:rPr>
              <w:t xml:space="preserve">Inuvialuit Regional Corporation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r w:rsidRPr="00EF295C">
              <w:rPr>
                <w:rFonts w:cs="Times New Roman"/>
                <w:bCs/>
                <w:sz w:val="20"/>
                <w:szCs w:val="20"/>
              </w:rPr>
              <w:t xml:space="preserve">Prophet River First Nation and West Moberly First Nations (jointly)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proofErr w:type="spellStart"/>
            <w:r w:rsidRPr="00EF295C">
              <w:rPr>
                <w:rFonts w:cs="Times New Roman"/>
                <w:bCs/>
                <w:sz w:val="20"/>
                <w:szCs w:val="20"/>
              </w:rPr>
              <w:t>Mikisew</w:t>
            </w:r>
            <w:proofErr w:type="spellEnd"/>
            <w:r w:rsidRPr="00EF295C">
              <w:rPr>
                <w:rFonts w:cs="Times New Roman"/>
                <w:bCs/>
                <w:sz w:val="20"/>
                <w:szCs w:val="20"/>
              </w:rPr>
              <w:t xml:space="preserve"> Cree First Nation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proofErr w:type="spellStart"/>
            <w:r w:rsidRPr="00EF295C">
              <w:rPr>
                <w:rFonts w:cs="Times New Roman"/>
                <w:bCs/>
                <w:sz w:val="20"/>
                <w:szCs w:val="20"/>
              </w:rPr>
              <w:t>Algonquins</w:t>
            </w:r>
            <w:proofErr w:type="spellEnd"/>
            <w:r w:rsidRPr="00EF295C">
              <w:rPr>
                <w:rFonts w:cs="Times New Roman"/>
                <w:bCs/>
                <w:sz w:val="20"/>
                <w:szCs w:val="20"/>
              </w:rPr>
              <w:t xml:space="preserve"> of </w:t>
            </w:r>
            <w:proofErr w:type="spellStart"/>
            <w:r w:rsidRPr="00EF295C">
              <w:rPr>
                <w:rFonts w:cs="Times New Roman"/>
                <w:bCs/>
                <w:sz w:val="20"/>
                <w:szCs w:val="20"/>
              </w:rPr>
              <w:t>Pikwakanagan</w:t>
            </w:r>
            <w:proofErr w:type="spellEnd"/>
            <w:r w:rsidRPr="00EF295C">
              <w:rPr>
                <w:rFonts w:cs="Times New Roman"/>
                <w:bCs/>
                <w:sz w:val="20"/>
                <w:szCs w:val="20"/>
              </w:rPr>
              <w:t xml:space="preserve"> First Nation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ED3D48" w:rsidRPr="00EF295C" w:rsidTr="0059470C">
        <w:tc>
          <w:tcPr>
            <w:tcW w:w="1350" w:type="dxa"/>
          </w:tcPr>
          <w:p w:rsidR="00ED3D48" w:rsidRPr="00EF295C" w:rsidRDefault="00ED3D48" w:rsidP="005D7A3E">
            <w:pPr>
              <w:rPr>
                <w:rFonts w:cs="Times New Roman"/>
                <w:sz w:val="20"/>
                <w:szCs w:val="20"/>
              </w:rPr>
            </w:pPr>
          </w:p>
        </w:tc>
        <w:tc>
          <w:tcPr>
            <w:tcW w:w="2970" w:type="dxa"/>
          </w:tcPr>
          <w:p w:rsidR="00ED3D48" w:rsidRPr="00EF295C" w:rsidRDefault="00ED3D48" w:rsidP="005D7A3E">
            <w:pPr>
              <w:rPr>
                <w:rFonts w:cs="Times New Roman"/>
                <w:sz w:val="20"/>
                <w:szCs w:val="20"/>
              </w:rPr>
            </w:pPr>
            <w:proofErr w:type="spellStart"/>
            <w:r w:rsidRPr="00EF295C">
              <w:rPr>
                <w:rFonts w:cs="Times New Roman"/>
                <w:bCs/>
                <w:sz w:val="20"/>
                <w:szCs w:val="20"/>
              </w:rPr>
              <w:t>Tsleil-Waututh</w:t>
            </w:r>
            <w:proofErr w:type="spellEnd"/>
            <w:r w:rsidRPr="00EF295C">
              <w:rPr>
                <w:rFonts w:cs="Times New Roman"/>
                <w:bCs/>
                <w:sz w:val="20"/>
                <w:szCs w:val="20"/>
              </w:rPr>
              <w:t xml:space="preserve"> Nation and the Chiefs of Ontario </w:t>
            </w:r>
          </w:p>
        </w:tc>
        <w:tc>
          <w:tcPr>
            <w:tcW w:w="1062" w:type="dxa"/>
          </w:tcPr>
          <w:p w:rsidR="00ED3D48" w:rsidRPr="00EF295C" w:rsidRDefault="00ED3D48" w:rsidP="005D7A3E">
            <w:pPr>
              <w:rPr>
                <w:rFonts w:cs="Times New Roman"/>
                <w:sz w:val="20"/>
                <w:szCs w:val="20"/>
              </w:rPr>
            </w:pPr>
          </w:p>
        </w:tc>
        <w:tc>
          <w:tcPr>
            <w:tcW w:w="4237" w:type="dxa"/>
          </w:tcPr>
          <w:p w:rsidR="00ED3D48" w:rsidRPr="00EF295C" w:rsidRDefault="00ED3D48" w:rsidP="005D7A3E">
            <w:pPr>
              <w:rPr>
                <w:rFonts w:cs="Times New Roman"/>
                <w:sz w:val="20"/>
                <w:szCs w:val="20"/>
              </w:rPr>
            </w:pPr>
          </w:p>
        </w:tc>
      </w:tr>
      <w:tr w:rsidR="00BD255D" w:rsidRPr="00EF295C" w:rsidTr="0059470C">
        <w:tc>
          <w:tcPr>
            <w:tcW w:w="1350" w:type="dxa"/>
          </w:tcPr>
          <w:p w:rsidR="00BD255D" w:rsidRPr="00EF295C" w:rsidRDefault="00BD255D" w:rsidP="00BD255D">
            <w:pPr>
              <w:rPr>
                <w:rFonts w:cs="Times New Roman"/>
                <w:sz w:val="20"/>
                <w:szCs w:val="20"/>
              </w:rPr>
            </w:pPr>
          </w:p>
        </w:tc>
        <w:tc>
          <w:tcPr>
            <w:tcW w:w="2970" w:type="dxa"/>
          </w:tcPr>
          <w:p w:rsidR="00BD255D" w:rsidRPr="00EF295C" w:rsidRDefault="00BD255D" w:rsidP="00BD255D">
            <w:pPr>
              <w:rPr>
                <w:rFonts w:cs="Times New Roman"/>
                <w:sz w:val="20"/>
                <w:szCs w:val="20"/>
              </w:rPr>
            </w:pPr>
            <w:r w:rsidRPr="00EF295C">
              <w:rPr>
                <w:rFonts w:cs="Times New Roman"/>
                <w:sz w:val="20"/>
                <w:szCs w:val="20"/>
              </w:rPr>
              <w:t xml:space="preserve">Mohawk Council of </w:t>
            </w:r>
            <w:proofErr w:type="spellStart"/>
            <w:r w:rsidRPr="00EF295C">
              <w:rPr>
                <w:rFonts w:cs="Times New Roman"/>
                <w:sz w:val="20"/>
                <w:szCs w:val="20"/>
              </w:rPr>
              <w:t>Kahnawà:ke</w:t>
            </w:r>
            <w:proofErr w:type="spellEnd"/>
          </w:p>
        </w:tc>
        <w:tc>
          <w:tcPr>
            <w:tcW w:w="1062" w:type="dxa"/>
          </w:tcPr>
          <w:p w:rsidR="00BD255D" w:rsidRPr="00EF295C" w:rsidRDefault="00BD255D" w:rsidP="00BD255D">
            <w:pPr>
              <w:rPr>
                <w:rFonts w:cs="Times New Roman"/>
                <w:sz w:val="20"/>
                <w:szCs w:val="20"/>
              </w:rPr>
            </w:pPr>
          </w:p>
        </w:tc>
        <w:tc>
          <w:tcPr>
            <w:tcW w:w="4237" w:type="dxa"/>
          </w:tcPr>
          <w:p w:rsidR="00BD255D" w:rsidRPr="00EF295C" w:rsidRDefault="00BD255D" w:rsidP="00BD255D">
            <w:pPr>
              <w:rPr>
                <w:rFonts w:cs="Times New Roman"/>
                <w:sz w:val="20"/>
                <w:szCs w:val="20"/>
              </w:rPr>
            </w:pPr>
          </w:p>
        </w:tc>
      </w:tr>
      <w:tr w:rsidR="00BD255D" w:rsidRPr="00EF295C" w:rsidTr="0059470C">
        <w:tc>
          <w:tcPr>
            <w:tcW w:w="1350" w:type="dxa"/>
          </w:tcPr>
          <w:p w:rsidR="00BD255D" w:rsidRPr="00EF295C" w:rsidRDefault="00BD255D" w:rsidP="00BD255D">
            <w:pPr>
              <w:rPr>
                <w:rFonts w:cs="Times New Roman"/>
                <w:sz w:val="20"/>
                <w:szCs w:val="20"/>
              </w:rPr>
            </w:pPr>
          </w:p>
        </w:tc>
        <w:tc>
          <w:tcPr>
            <w:tcW w:w="2970" w:type="dxa"/>
          </w:tcPr>
          <w:p w:rsidR="00BD255D" w:rsidRPr="00EF295C" w:rsidRDefault="00BD255D" w:rsidP="00BD255D">
            <w:pPr>
              <w:rPr>
                <w:rFonts w:cs="Times New Roman"/>
                <w:sz w:val="20"/>
                <w:szCs w:val="20"/>
              </w:rPr>
            </w:pPr>
            <w:r w:rsidRPr="00EF295C">
              <w:rPr>
                <w:rFonts w:cs="Times New Roman"/>
                <w:sz w:val="20"/>
                <w:szCs w:val="20"/>
              </w:rPr>
              <w:t>Suncor Energy Marketing Inc.</w:t>
            </w:r>
          </w:p>
        </w:tc>
        <w:tc>
          <w:tcPr>
            <w:tcW w:w="1062" w:type="dxa"/>
          </w:tcPr>
          <w:p w:rsidR="00BD255D" w:rsidRPr="00EF295C" w:rsidRDefault="00BD255D" w:rsidP="00BD255D">
            <w:pPr>
              <w:rPr>
                <w:rFonts w:cs="Times New Roman"/>
                <w:sz w:val="20"/>
                <w:szCs w:val="20"/>
              </w:rPr>
            </w:pPr>
          </w:p>
        </w:tc>
        <w:tc>
          <w:tcPr>
            <w:tcW w:w="4237" w:type="dxa"/>
          </w:tcPr>
          <w:p w:rsidR="00BD255D" w:rsidRPr="00EF295C" w:rsidRDefault="00BD255D" w:rsidP="00BD255D">
            <w:pPr>
              <w:rPr>
                <w:rFonts w:cs="Times New Roman"/>
                <w:sz w:val="20"/>
                <w:szCs w:val="20"/>
              </w:rPr>
            </w:pPr>
          </w:p>
        </w:tc>
      </w:tr>
      <w:tr w:rsidR="00BD255D" w:rsidRPr="00EF295C" w:rsidTr="0059470C">
        <w:tc>
          <w:tcPr>
            <w:tcW w:w="1350" w:type="dxa"/>
          </w:tcPr>
          <w:p w:rsidR="00BD255D" w:rsidRPr="00EF295C" w:rsidRDefault="00BD255D" w:rsidP="00BD255D">
            <w:pPr>
              <w:rPr>
                <w:rFonts w:cs="Times New Roman"/>
                <w:sz w:val="20"/>
                <w:szCs w:val="20"/>
              </w:rPr>
            </w:pPr>
          </w:p>
        </w:tc>
        <w:tc>
          <w:tcPr>
            <w:tcW w:w="2970" w:type="dxa"/>
          </w:tcPr>
          <w:p w:rsidR="00BD255D" w:rsidRPr="00EF295C" w:rsidRDefault="00BD255D" w:rsidP="00BD255D">
            <w:pPr>
              <w:rPr>
                <w:rFonts w:cs="Times New Roman"/>
                <w:sz w:val="20"/>
                <w:szCs w:val="20"/>
              </w:rPr>
            </w:pPr>
            <w:proofErr w:type="spellStart"/>
            <w:r w:rsidRPr="00EF295C">
              <w:rPr>
                <w:rFonts w:cs="Times New Roman"/>
                <w:sz w:val="20"/>
                <w:szCs w:val="20"/>
              </w:rPr>
              <w:t>Haisla</w:t>
            </w:r>
            <w:proofErr w:type="spellEnd"/>
            <w:r w:rsidRPr="00EF295C">
              <w:rPr>
                <w:rFonts w:cs="Times New Roman"/>
                <w:sz w:val="20"/>
                <w:szCs w:val="20"/>
              </w:rPr>
              <w:t xml:space="preserve"> Nation and </w:t>
            </w:r>
            <w:proofErr w:type="spellStart"/>
            <w:r w:rsidRPr="00EF295C">
              <w:rPr>
                <w:rFonts w:cs="Times New Roman"/>
                <w:sz w:val="20"/>
                <w:szCs w:val="20"/>
              </w:rPr>
              <w:t>Mississaugas</w:t>
            </w:r>
            <w:proofErr w:type="spellEnd"/>
            <w:r w:rsidRPr="00EF295C">
              <w:rPr>
                <w:rFonts w:cs="Times New Roman"/>
                <w:sz w:val="20"/>
                <w:szCs w:val="20"/>
              </w:rPr>
              <w:t xml:space="preserve"> of the New Credit First Nation</w:t>
            </w:r>
          </w:p>
          <w:p w:rsidR="00BD255D" w:rsidRPr="00EF295C" w:rsidRDefault="00BD255D" w:rsidP="00BD255D">
            <w:pPr>
              <w:rPr>
                <w:rFonts w:cs="Times New Roman"/>
                <w:sz w:val="20"/>
                <w:szCs w:val="20"/>
              </w:rPr>
            </w:pPr>
          </w:p>
        </w:tc>
        <w:tc>
          <w:tcPr>
            <w:tcW w:w="1062" w:type="dxa"/>
          </w:tcPr>
          <w:p w:rsidR="00BD255D" w:rsidRPr="00EF295C" w:rsidRDefault="00BD255D" w:rsidP="00BD255D">
            <w:pPr>
              <w:rPr>
                <w:rFonts w:cs="Times New Roman"/>
                <w:sz w:val="20"/>
                <w:szCs w:val="20"/>
              </w:rPr>
            </w:pPr>
          </w:p>
        </w:tc>
        <w:tc>
          <w:tcPr>
            <w:tcW w:w="4237" w:type="dxa"/>
          </w:tcPr>
          <w:p w:rsidR="00BD255D" w:rsidRPr="00EF295C" w:rsidRDefault="00BD255D" w:rsidP="00BD255D">
            <w:pPr>
              <w:rPr>
                <w:rFonts w:cs="Times New Roman"/>
                <w:sz w:val="20"/>
                <w:szCs w:val="20"/>
              </w:rPr>
            </w:pPr>
          </w:p>
        </w:tc>
      </w:tr>
      <w:tr w:rsidR="00BD255D" w:rsidRPr="00EF295C" w:rsidTr="0059470C">
        <w:tc>
          <w:tcPr>
            <w:tcW w:w="1350" w:type="dxa"/>
          </w:tcPr>
          <w:p w:rsidR="00BD255D" w:rsidRPr="00EF295C" w:rsidRDefault="00BD255D" w:rsidP="00BD255D">
            <w:pPr>
              <w:rPr>
                <w:rFonts w:cs="Times New Roman"/>
                <w:sz w:val="20"/>
                <w:szCs w:val="20"/>
              </w:rPr>
            </w:pPr>
          </w:p>
        </w:tc>
        <w:tc>
          <w:tcPr>
            <w:tcW w:w="2970" w:type="dxa"/>
          </w:tcPr>
          <w:p w:rsidR="00BD255D" w:rsidRPr="00EF295C" w:rsidRDefault="00BD255D" w:rsidP="00BD255D">
            <w:pPr>
              <w:rPr>
                <w:rFonts w:cs="Times New Roman"/>
                <w:sz w:val="20"/>
                <w:szCs w:val="20"/>
              </w:rPr>
            </w:pPr>
          </w:p>
        </w:tc>
        <w:tc>
          <w:tcPr>
            <w:tcW w:w="1062" w:type="dxa"/>
          </w:tcPr>
          <w:p w:rsidR="00BD255D" w:rsidRPr="00EF295C" w:rsidRDefault="00BD255D" w:rsidP="00BD255D">
            <w:pPr>
              <w:rPr>
                <w:rFonts w:cs="Times New Roman"/>
                <w:sz w:val="20"/>
                <w:szCs w:val="20"/>
              </w:rPr>
            </w:pPr>
          </w:p>
        </w:tc>
        <w:tc>
          <w:tcPr>
            <w:tcW w:w="4237" w:type="dxa"/>
          </w:tcPr>
          <w:p w:rsidR="00BD255D" w:rsidRPr="00EF295C" w:rsidRDefault="00BD255D" w:rsidP="00BD255D">
            <w:pPr>
              <w:rPr>
                <w:rFonts w:cs="Times New Roman"/>
                <w:sz w:val="20"/>
                <w:szCs w:val="20"/>
              </w:rPr>
            </w:pPr>
          </w:p>
        </w:tc>
      </w:tr>
      <w:tr w:rsidR="00BD255D" w:rsidRPr="00EF295C" w:rsidTr="0059470C">
        <w:tc>
          <w:tcPr>
            <w:tcW w:w="1350" w:type="dxa"/>
          </w:tcPr>
          <w:p w:rsidR="00BD255D" w:rsidRPr="00EF295C" w:rsidRDefault="00BD255D" w:rsidP="00BD255D">
            <w:pPr>
              <w:rPr>
                <w:rFonts w:cs="Times New Roman"/>
                <w:sz w:val="20"/>
                <w:szCs w:val="20"/>
              </w:rPr>
            </w:pPr>
            <w:r w:rsidRPr="00EF295C">
              <w:rPr>
                <w:rFonts w:cs="Times New Roman"/>
                <w:sz w:val="20"/>
                <w:szCs w:val="20"/>
              </w:rPr>
              <w:t>IN / DANS :</w:t>
            </w:r>
          </w:p>
        </w:tc>
        <w:tc>
          <w:tcPr>
            <w:tcW w:w="2970" w:type="dxa"/>
          </w:tcPr>
          <w:p w:rsidR="00BD255D" w:rsidRPr="00EF295C" w:rsidRDefault="00BD255D" w:rsidP="00BD255D">
            <w:pPr>
              <w:rPr>
                <w:rFonts w:cs="Times New Roman"/>
                <w:sz w:val="20"/>
                <w:szCs w:val="20"/>
              </w:rPr>
            </w:pPr>
            <w:r w:rsidRPr="00EF295C">
              <w:rPr>
                <w:rFonts w:cs="Times New Roman"/>
                <w:sz w:val="20"/>
                <w:szCs w:val="20"/>
              </w:rPr>
              <w:t>Hamlet of Clyde River et al.</w:t>
            </w:r>
          </w:p>
          <w:p w:rsidR="00BD255D" w:rsidRPr="00EF295C" w:rsidRDefault="00BD255D" w:rsidP="00BD255D">
            <w:pPr>
              <w:rPr>
                <w:rFonts w:cs="Times New Roman"/>
                <w:sz w:val="20"/>
                <w:szCs w:val="20"/>
              </w:rPr>
            </w:pPr>
          </w:p>
          <w:p w:rsidR="00BD255D" w:rsidRPr="00EF295C" w:rsidRDefault="00BD255D" w:rsidP="00BD255D">
            <w:pPr>
              <w:rPr>
                <w:rFonts w:cs="Times New Roman"/>
                <w:sz w:val="20"/>
                <w:szCs w:val="20"/>
              </w:rPr>
            </w:pPr>
            <w:r w:rsidRPr="00EF295C">
              <w:rPr>
                <w:rFonts w:cs="Times New Roman"/>
                <w:sz w:val="20"/>
                <w:szCs w:val="20"/>
              </w:rPr>
              <w:tab/>
              <w:t>v. (36692)</w:t>
            </w:r>
          </w:p>
          <w:p w:rsidR="00BD255D" w:rsidRPr="00EF295C" w:rsidRDefault="00BD255D" w:rsidP="00BD255D">
            <w:pPr>
              <w:rPr>
                <w:rFonts w:cs="Times New Roman"/>
                <w:sz w:val="20"/>
                <w:szCs w:val="20"/>
              </w:rPr>
            </w:pPr>
          </w:p>
          <w:p w:rsidR="00BD255D" w:rsidRPr="00EF295C" w:rsidRDefault="00BD255D" w:rsidP="00BD255D">
            <w:pPr>
              <w:rPr>
                <w:rFonts w:cs="Times New Roman"/>
                <w:sz w:val="20"/>
                <w:szCs w:val="20"/>
              </w:rPr>
            </w:pPr>
            <w:r w:rsidRPr="00EF295C">
              <w:rPr>
                <w:rFonts w:cs="Times New Roman"/>
                <w:sz w:val="20"/>
                <w:szCs w:val="20"/>
              </w:rPr>
              <w:t>Petroleum Geo-Services Inc. (PGS) et al. (F.C.)</w:t>
            </w:r>
          </w:p>
          <w:p w:rsidR="00BD255D" w:rsidRPr="00EF295C" w:rsidRDefault="00BD255D" w:rsidP="00BD255D">
            <w:pPr>
              <w:rPr>
                <w:rFonts w:cs="Times New Roman"/>
                <w:sz w:val="20"/>
                <w:szCs w:val="20"/>
              </w:rPr>
            </w:pPr>
          </w:p>
          <w:p w:rsidR="00BD255D" w:rsidRPr="00EF295C" w:rsidRDefault="00BD255D" w:rsidP="00BD255D">
            <w:pPr>
              <w:rPr>
                <w:rFonts w:cs="Times New Roman"/>
                <w:sz w:val="20"/>
                <w:szCs w:val="20"/>
              </w:rPr>
            </w:pPr>
            <w:r w:rsidRPr="00EF295C">
              <w:rPr>
                <w:rFonts w:cs="Times New Roman"/>
                <w:sz w:val="20"/>
                <w:szCs w:val="20"/>
              </w:rPr>
              <w:t xml:space="preserve">- and between - </w:t>
            </w:r>
          </w:p>
          <w:p w:rsidR="00BD255D" w:rsidRPr="00EF295C" w:rsidRDefault="00BD255D" w:rsidP="00BD255D">
            <w:pPr>
              <w:rPr>
                <w:rFonts w:cs="Times New Roman"/>
                <w:sz w:val="20"/>
                <w:szCs w:val="20"/>
              </w:rPr>
            </w:pPr>
          </w:p>
          <w:p w:rsidR="00BD255D" w:rsidRPr="00EF295C" w:rsidRDefault="00BD255D" w:rsidP="00BD255D">
            <w:pPr>
              <w:rPr>
                <w:rFonts w:cs="Times New Roman"/>
                <w:sz w:val="20"/>
                <w:szCs w:val="20"/>
              </w:rPr>
            </w:pPr>
            <w:proofErr w:type="spellStart"/>
            <w:r w:rsidRPr="00EF295C">
              <w:rPr>
                <w:rFonts w:cs="Times New Roman"/>
                <w:sz w:val="20"/>
                <w:szCs w:val="20"/>
              </w:rPr>
              <w:t>Chippewas</w:t>
            </w:r>
            <w:proofErr w:type="spellEnd"/>
            <w:r w:rsidRPr="00EF295C">
              <w:rPr>
                <w:rFonts w:cs="Times New Roman"/>
                <w:sz w:val="20"/>
                <w:szCs w:val="20"/>
              </w:rPr>
              <w:t xml:space="preserve"> of the Thames First Nation </w:t>
            </w:r>
          </w:p>
          <w:p w:rsidR="00BD255D" w:rsidRPr="00EF295C" w:rsidRDefault="00BD255D" w:rsidP="00BD255D">
            <w:pPr>
              <w:rPr>
                <w:rFonts w:cs="Times New Roman"/>
                <w:sz w:val="20"/>
                <w:szCs w:val="20"/>
              </w:rPr>
            </w:pPr>
          </w:p>
          <w:p w:rsidR="00BD255D" w:rsidRPr="00EF295C" w:rsidRDefault="00BD255D" w:rsidP="00BD255D">
            <w:pPr>
              <w:rPr>
                <w:rFonts w:cs="Times New Roman"/>
                <w:sz w:val="20"/>
                <w:szCs w:val="20"/>
                <w:lang w:val="fr-CA"/>
              </w:rPr>
            </w:pPr>
            <w:r w:rsidRPr="00EF295C">
              <w:rPr>
                <w:rFonts w:cs="Times New Roman"/>
                <w:sz w:val="20"/>
                <w:szCs w:val="20"/>
              </w:rPr>
              <w:tab/>
            </w:r>
            <w:r w:rsidRPr="00EF295C">
              <w:rPr>
                <w:rFonts w:cs="Times New Roman"/>
                <w:sz w:val="20"/>
                <w:szCs w:val="20"/>
                <w:lang w:val="fr-CA"/>
              </w:rPr>
              <w:t>v. (36776)</w:t>
            </w:r>
          </w:p>
          <w:p w:rsidR="00BD255D" w:rsidRPr="00EF295C" w:rsidRDefault="00BD255D" w:rsidP="00BD255D">
            <w:pPr>
              <w:rPr>
                <w:rFonts w:cs="Times New Roman"/>
                <w:sz w:val="20"/>
                <w:szCs w:val="20"/>
                <w:lang w:val="fr-CA"/>
              </w:rPr>
            </w:pPr>
          </w:p>
          <w:p w:rsidR="00BD255D" w:rsidRPr="00EF295C" w:rsidRDefault="00BD255D" w:rsidP="00BD255D">
            <w:pPr>
              <w:rPr>
                <w:rFonts w:cs="Times New Roman"/>
                <w:sz w:val="20"/>
                <w:szCs w:val="20"/>
                <w:lang w:val="fr-CA"/>
              </w:rPr>
            </w:pPr>
            <w:proofErr w:type="spellStart"/>
            <w:r w:rsidRPr="00EF295C">
              <w:rPr>
                <w:rFonts w:cs="Times New Roman"/>
                <w:sz w:val="20"/>
                <w:szCs w:val="20"/>
                <w:lang w:val="fr-CA"/>
              </w:rPr>
              <w:t>Enbridge</w:t>
            </w:r>
            <w:proofErr w:type="spellEnd"/>
            <w:r w:rsidRPr="00EF295C">
              <w:rPr>
                <w:rFonts w:cs="Times New Roman"/>
                <w:sz w:val="20"/>
                <w:szCs w:val="20"/>
                <w:lang w:val="fr-CA"/>
              </w:rPr>
              <w:t xml:space="preserve"> Pipelines Inc. et al. (F.C.)</w:t>
            </w:r>
          </w:p>
        </w:tc>
        <w:tc>
          <w:tcPr>
            <w:tcW w:w="1062" w:type="dxa"/>
          </w:tcPr>
          <w:p w:rsidR="00BD255D" w:rsidRPr="00EF295C" w:rsidRDefault="00BD255D" w:rsidP="00BD255D">
            <w:pPr>
              <w:rPr>
                <w:rFonts w:cs="Times New Roman"/>
                <w:sz w:val="20"/>
                <w:szCs w:val="20"/>
                <w:lang w:val="fr-CA"/>
              </w:rPr>
            </w:pPr>
          </w:p>
        </w:tc>
        <w:tc>
          <w:tcPr>
            <w:tcW w:w="4237" w:type="dxa"/>
          </w:tcPr>
          <w:p w:rsidR="00BD255D" w:rsidRPr="00EF295C" w:rsidRDefault="00BD255D" w:rsidP="00BD255D">
            <w:pPr>
              <w:rPr>
                <w:rFonts w:cs="Times New Roman"/>
                <w:sz w:val="20"/>
                <w:szCs w:val="20"/>
                <w:lang w:val="fr-CA"/>
              </w:rPr>
            </w:pPr>
          </w:p>
        </w:tc>
      </w:tr>
    </w:tbl>
    <w:p w:rsidR="0059470C" w:rsidRPr="00EF295C" w:rsidRDefault="0059470C" w:rsidP="00ED3D48">
      <w:pPr>
        <w:tabs>
          <w:tab w:val="left" w:pos="-1440"/>
          <w:tab w:val="left" w:pos="-720"/>
        </w:tabs>
        <w:jc w:val="both"/>
        <w:rPr>
          <w:rFonts w:cs="Times New Roman"/>
          <w:b/>
          <w:sz w:val="20"/>
          <w:szCs w:val="20"/>
          <w:lang w:val="fr-CA"/>
        </w:rPr>
      </w:pPr>
    </w:p>
    <w:p w:rsidR="00ED3D48" w:rsidRPr="00EF295C" w:rsidRDefault="00ED3D48" w:rsidP="00ED3D48">
      <w:pPr>
        <w:tabs>
          <w:tab w:val="left" w:pos="-1440"/>
          <w:tab w:val="left" w:pos="-720"/>
        </w:tabs>
        <w:jc w:val="both"/>
        <w:rPr>
          <w:rFonts w:cs="Times New Roman"/>
          <w:sz w:val="20"/>
          <w:szCs w:val="20"/>
          <w:lang w:val="fr-CA"/>
        </w:rPr>
      </w:pPr>
      <w:r w:rsidRPr="00EF295C">
        <w:rPr>
          <w:rFonts w:cs="Times New Roman"/>
          <w:b/>
          <w:sz w:val="20"/>
          <w:szCs w:val="20"/>
          <w:lang w:val="fr-CA"/>
        </w:rPr>
        <w:t>GRANTED IN PART / ACCORDÉES EN PARTIE</w:t>
      </w:r>
    </w:p>
    <w:p w:rsidR="00ED3D48" w:rsidRPr="00EF295C" w:rsidRDefault="00ED3D48" w:rsidP="00ED3D48">
      <w:pPr>
        <w:tabs>
          <w:tab w:val="left" w:pos="-1440"/>
          <w:tab w:val="left" w:pos="-720"/>
        </w:tabs>
        <w:jc w:val="both"/>
        <w:rPr>
          <w:rFonts w:cs="Times New Roman"/>
          <w:sz w:val="20"/>
          <w:szCs w:val="20"/>
          <w:lang w:val="fr-CA"/>
        </w:rPr>
      </w:pPr>
    </w:p>
    <w:p w:rsidR="00ED3D48" w:rsidRPr="00EF295C" w:rsidRDefault="00ED3D48" w:rsidP="00ED3D48">
      <w:pPr>
        <w:spacing w:line="233" w:lineRule="auto"/>
        <w:jc w:val="both"/>
        <w:rPr>
          <w:rFonts w:cs="Times New Roman"/>
          <w:bCs/>
          <w:sz w:val="20"/>
          <w:szCs w:val="20"/>
        </w:rPr>
      </w:pPr>
      <w:r w:rsidRPr="00EF295C">
        <w:rPr>
          <w:rFonts w:cs="Times New Roman"/>
          <w:b/>
          <w:bCs/>
          <w:sz w:val="20"/>
          <w:szCs w:val="20"/>
        </w:rPr>
        <w:t xml:space="preserve">UPON APPLICATIONS </w:t>
      </w:r>
      <w:r w:rsidRPr="00EF295C">
        <w:rPr>
          <w:rFonts w:cs="Times New Roman"/>
          <w:bCs/>
          <w:sz w:val="20"/>
          <w:szCs w:val="20"/>
        </w:rPr>
        <w:t xml:space="preserve">by the Attorney General for Ontario; the Attorney General for Saskatchewan; the Canadian Chamber of Commerce; the Nunavut Wildlife Management Board; and Beaver Lake Cree Nation and </w:t>
      </w:r>
      <w:proofErr w:type="spellStart"/>
      <w:r w:rsidRPr="00EF295C">
        <w:rPr>
          <w:rFonts w:cs="Times New Roman"/>
          <w:bCs/>
          <w:sz w:val="20"/>
          <w:szCs w:val="20"/>
        </w:rPr>
        <w:t>Ermineskin</w:t>
      </w:r>
      <w:proofErr w:type="spellEnd"/>
      <w:r w:rsidRPr="00EF295C">
        <w:rPr>
          <w:rFonts w:cs="Times New Roman"/>
          <w:bCs/>
          <w:sz w:val="20"/>
          <w:szCs w:val="20"/>
        </w:rPr>
        <w:t xml:space="preserve"> Cree Nation (jointly) </w:t>
      </w:r>
      <w:r w:rsidRPr="00EF295C">
        <w:rPr>
          <w:rFonts w:cs="Times New Roman"/>
          <w:sz w:val="20"/>
          <w:szCs w:val="20"/>
        </w:rPr>
        <w:t>for leave to intervene in the above appeals;</w:t>
      </w:r>
    </w:p>
    <w:p w:rsidR="00ED3D48" w:rsidRPr="00EF295C" w:rsidRDefault="00ED3D48" w:rsidP="00ED3D48">
      <w:pPr>
        <w:spacing w:line="233" w:lineRule="auto"/>
        <w:jc w:val="both"/>
        <w:rPr>
          <w:rFonts w:cs="Times New Roman"/>
          <w:b/>
          <w:bCs/>
          <w:sz w:val="20"/>
          <w:szCs w:val="20"/>
        </w:rPr>
      </w:pPr>
    </w:p>
    <w:p w:rsidR="00ED3D48" w:rsidRPr="00EF295C" w:rsidRDefault="00ED3D48" w:rsidP="00ED3D48">
      <w:pPr>
        <w:spacing w:line="233" w:lineRule="auto"/>
        <w:jc w:val="both"/>
        <w:rPr>
          <w:rFonts w:cs="Times New Roman"/>
          <w:sz w:val="20"/>
          <w:szCs w:val="20"/>
        </w:rPr>
      </w:pPr>
      <w:r w:rsidRPr="00EF295C">
        <w:rPr>
          <w:rFonts w:cs="Times New Roman"/>
          <w:b/>
          <w:bCs/>
          <w:sz w:val="20"/>
          <w:szCs w:val="20"/>
        </w:rPr>
        <w:t xml:space="preserve">AND UPON APPLICATIONS </w:t>
      </w:r>
      <w:r w:rsidRPr="00EF295C">
        <w:rPr>
          <w:rFonts w:cs="Times New Roman"/>
          <w:sz w:val="20"/>
          <w:szCs w:val="20"/>
        </w:rPr>
        <w:t xml:space="preserve">by the National Energy Board; Amnesty International; Nunavut </w:t>
      </w:r>
      <w:proofErr w:type="spellStart"/>
      <w:r w:rsidRPr="00EF295C">
        <w:rPr>
          <w:rFonts w:cs="Times New Roman"/>
          <w:sz w:val="20"/>
          <w:szCs w:val="20"/>
        </w:rPr>
        <w:t>Tunngavik</w:t>
      </w:r>
      <w:proofErr w:type="spellEnd"/>
      <w:r w:rsidRPr="00EF295C">
        <w:rPr>
          <w:rFonts w:cs="Times New Roman"/>
          <w:sz w:val="20"/>
          <w:szCs w:val="20"/>
        </w:rPr>
        <w:t xml:space="preserve"> Incorporated; </w:t>
      </w:r>
      <w:proofErr w:type="spellStart"/>
      <w:r w:rsidRPr="00EF295C">
        <w:rPr>
          <w:rFonts w:cs="Times New Roman"/>
          <w:sz w:val="20"/>
          <w:szCs w:val="20"/>
        </w:rPr>
        <w:t>Makivik</w:t>
      </w:r>
      <w:proofErr w:type="spellEnd"/>
      <w:r w:rsidRPr="00EF295C">
        <w:rPr>
          <w:rFonts w:cs="Times New Roman"/>
          <w:sz w:val="20"/>
          <w:szCs w:val="20"/>
        </w:rPr>
        <w:t xml:space="preserve"> Corporation; Charlie Watt, Rosemarie </w:t>
      </w:r>
      <w:proofErr w:type="spellStart"/>
      <w:r w:rsidRPr="00EF295C">
        <w:rPr>
          <w:rFonts w:cs="Times New Roman"/>
          <w:sz w:val="20"/>
          <w:szCs w:val="20"/>
        </w:rPr>
        <w:t>Kuptana</w:t>
      </w:r>
      <w:proofErr w:type="spellEnd"/>
      <w:r w:rsidRPr="00EF295C">
        <w:rPr>
          <w:rFonts w:cs="Times New Roman"/>
          <w:sz w:val="20"/>
          <w:szCs w:val="20"/>
        </w:rPr>
        <w:t xml:space="preserve">, Peter </w:t>
      </w:r>
      <w:proofErr w:type="spellStart"/>
      <w:r w:rsidRPr="00EF295C">
        <w:rPr>
          <w:rFonts w:cs="Times New Roman"/>
          <w:sz w:val="20"/>
          <w:szCs w:val="20"/>
        </w:rPr>
        <w:t>Ittinuar</w:t>
      </w:r>
      <w:proofErr w:type="spellEnd"/>
      <w:r w:rsidRPr="00EF295C">
        <w:rPr>
          <w:rFonts w:cs="Times New Roman"/>
          <w:sz w:val="20"/>
          <w:szCs w:val="20"/>
        </w:rPr>
        <w:t xml:space="preserve"> and </w:t>
      </w:r>
      <w:proofErr w:type="spellStart"/>
      <w:r w:rsidRPr="00EF295C">
        <w:rPr>
          <w:rFonts w:cs="Times New Roman"/>
          <w:sz w:val="20"/>
          <w:szCs w:val="20"/>
        </w:rPr>
        <w:t>Tagak</w:t>
      </w:r>
      <w:proofErr w:type="spellEnd"/>
      <w:r w:rsidRPr="00EF295C">
        <w:rPr>
          <w:rFonts w:cs="Times New Roman"/>
          <w:sz w:val="20"/>
          <w:szCs w:val="20"/>
        </w:rPr>
        <w:t xml:space="preserve"> Curley (jointly) and Inuvialuit Regional Corporation for leave to intervene in the appeal </w:t>
      </w:r>
      <w:r w:rsidRPr="00EF295C">
        <w:rPr>
          <w:rFonts w:cs="Times New Roman"/>
          <w:i/>
          <w:sz w:val="20"/>
          <w:szCs w:val="20"/>
        </w:rPr>
        <w:t>Hamlet of Clyde River et al. v. Petroleum Geo-Services Inc. (PGS) et al. (36692)</w:t>
      </w:r>
      <w:r w:rsidRPr="00EF295C">
        <w:rPr>
          <w:rFonts w:cs="Times New Roman"/>
          <w:sz w:val="20"/>
          <w:szCs w:val="20"/>
        </w:rPr>
        <w:t>;</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bCs/>
          <w:i/>
          <w:sz w:val="20"/>
          <w:szCs w:val="20"/>
        </w:rPr>
      </w:pPr>
      <w:r w:rsidRPr="00EF295C">
        <w:rPr>
          <w:rFonts w:cs="Times New Roman"/>
          <w:b/>
          <w:bCs/>
          <w:sz w:val="20"/>
          <w:szCs w:val="20"/>
        </w:rPr>
        <w:t xml:space="preserve">AND UPON APPLICATIONS </w:t>
      </w:r>
      <w:r w:rsidRPr="00EF295C">
        <w:rPr>
          <w:rFonts w:cs="Times New Roman"/>
          <w:bCs/>
          <w:sz w:val="20"/>
          <w:szCs w:val="20"/>
        </w:rPr>
        <w:t xml:space="preserve">by Mohawk Council of </w:t>
      </w:r>
      <w:proofErr w:type="spellStart"/>
      <w:r w:rsidRPr="00EF295C">
        <w:rPr>
          <w:rFonts w:cs="Times New Roman"/>
          <w:bCs/>
          <w:sz w:val="20"/>
          <w:szCs w:val="20"/>
        </w:rPr>
        <w:t>Kahnawà</w:t>
      </w:r>
      <w:proofErr w:type="gramStart"/>
      <w:r w:rsidRPr="00EF295C">
        <w:rPr>
          <w:rFonts w:cs="Times New Roman"/>
          <w:bCs/>
          <w:sz w:val="20"/>
          <w:szCs w:val="20"/>
        </w:rPr>
        <w:t>:ke</w:t>
      </w:r>
      <w:proofErr w:type="spellEnd"/>
      <w:proofErr w:type="gramEnd"/>
      <w:r w:rsidRPr="00EF295C">
        <w:rPr>
          <w:rFonts w:cs="Times New Roman"/>
          <w:bCs/>
          <w:sz w:val="20"/>
          <w:szCs w:val="20"/>
        </w:rPr>
        <w:t xml:space="preserve">; Suncor Energy Marketing Inc.; </w:t>
      </w:r>
      <w:proofErr w:type="spellStart"/>
      <w:r w:rsidRPr="00EF295C">
        <w:rPr>
          <w:rFonts w:cs="Times New Roman"/>
          <w:bCs/>
          <w:sz w:val="20"/>
          <w:szCs w:val="20"/>
        </w:rPr>
        <w:t>Haisla</w:t>
      </w:r>
      <w:proofErr w:type="spellEnd"/>
      <w:r w:rsidRPr="00EF295C">
        <w:rPr>
          <w:rFonts w:cs="Times New Roman"/>
          <w:bCs/>
          <w:sz w:val="20"/>
          <w:szCs w:val="20"/>
        </w:rPr>
        <w:t xml:space="preserve"> Nation and </w:t>
      </w:r>
      <w:proofErr w:type="spellStart"/>
      <w:r w:rsidRPr="00EF295C">
        <w:rPr>
          <w:rFonts w:cs="Times New Roman"/>
          <w:bCs/>
          <w:sz w:val="20"/>
          <w:szCs w:val="20"/>
        </w:rPr>
        <w:t>Mississaugas</w:t>
      </w:r>
      <w:proofErr w:type="spellEnd"/>
      <w:r w:rsidRPr="00EF295C">
        <w:rPr>
          <w:rFonts w:cs="Times New Roman"/>
          <w:bCs/>
          <w:sz w:val="20"/>
          <w:szCs w:val="20"/>
        </w:rPr>
        <w:t xml:space="preserve"> of the New Credit First Nation for leave to intervene in the appeal </w:t>
      </w:r>
      <w:proofErr w:type="spellStart"/>
      <w:r w:rsidRPr="00EF295C">
        <w:rPr>
          <w:rFonts w:cs="Times New Roman"/>
          <w:bCs/>
          <w:i/>
          <w:sz w:val="20"/>
          <w:szCs w:val="20"/>
        </w:rPr>
        <w:t>Chippewas</w:t>
      </w:r>
      <w:proofErr w:type="spellEnd"/>
      <w:r w:rsidRPr="00EF295C">
        <w:rPr>
          <w:rFonts w:cs="Times New Roman"/>
          <w:bCs/>
          <w:i/>
          <w:sz w:val="20"/>
          <w:szCs w:val="20"/>
        </w:rPr>
        <w:t xml:space="preserve"> of the Thames First Nation v. Enbridge Pipelines Inc. et al. (36776);</w:t>
      </w:r>
    </w:p>
    <w:p w:rsidR="00ED3D48" w:rsidRPr="00EF295C" w:rsidRDefault="00ED3D48" w:rsidP="00ED3D48">
      <w:pPr>
        <w:spacing w:line="233" w:lineRule="auto"/>
        <w:jc w:val="both"/>
        <w:rPr>
          <w:rFonts w:cs="Times New Roman"/>
          <w:b/>
          <w:bCs/>
          <w:sz w:val="20"/>
          <w:szCs w:val="20"/>
        </w:rPr>
      </w:pPr>
    </w:p>
    <w:p w:rsidR="00ED3D48" w:rsidRPr="00EF295C" w:rsidRDefault="00ED3D48" w:rsidP="00ED3D48">
      <w:pPr>
        <w:spacing w:line="233" w:lineRule="auto"/>
        <w:jc w:val="both"/>
        <w:rPr>
          <w:rFonts w:cs="Times New Roman"/>
          <w:sz w:val="20"/>
          <w:szCs w:val="20"/>
        </w:rPr>
      </w:pPr>
      <w:r w:rsidRPr="00EF295C">
        <w:rPr>
          <w:rFonts w:cs="Times New Roman"/>
          <w:b/>
          <w:bCs/>
          <w:sz w:val="20"/>
          <w:szCs w:val="20"/>
        </w:rPr>
        <w:t xml:space="preserve">AND UPON APPLICATION </w:t>
      </w:r>
      <w:r w:rsidRPr="00EF295C">
        <w:rPr>
          <w:rFonts w:cs="Times New Roman"/>
          <w:bCs/>
          <w:sz w:val="20"/>
          <w:szCs w:val="20"/>
        </w:rPr>
        <w:t xml:space="preserve">by Prophet River First Nation and West Moberly First Nations (jointly) for an extension of time to serve their motion for leave to intervene and for leave to intervene in the appeal </w:t>
      </w:r>
      <w:r w:rsidRPr="00EF295C">
        <w:rPr>
          <w:rFonts w:cs="Times New Roman"/>
          <w:i/>
          <w:sz w:val="20"/>
          <w:szCs w:val="20"/>
        </w:rPr>
        <w:t>Hamlet of Clyde River et al. v. Petroleum Geo-Services Inc. (PGS) et al. (36692)</w:t>
      </w:r>
      <w:r w:rsidRPr="00EF295C">
        <w:rPr>
          <w:rFonts w:cs="Times New Roman"/>
          <w:sz w:val="20"/>
          <w:szCs w:val="20"/>
        </w:rPr>
        <w:t>;</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b/>
          <w:bCs/>
          <w:sz w:val="20"/>
          <w:szCs w:val="20"/>
        </w:rPr>
        <w:t xml:space="preserve">AND UPON APPLICATIONS </w:t>
      </w:r>
      <w:r w:rsidRPr="00EF295C">
        <w:rPr>
          <w:rFonts w:cs="Times New Roman"/>
          <w:bCs/>
          <w:sz w:val="20"/>
          <w:szCs w:val="20"/>
        </w:rPr>
        <w:t xml:space="preserve">by </w:t>
      </w:r>
      <w:proofErr w:type="spellStart"/>
      <w:r w:rsidRPr="00EF295C">
        <w:rPr>
          <w:rFonts w:cs="Times New Roman"/>
          <w:bCs/>
          <w:sz w:val="20"/>
          <w:szCs w:val="20"/>
        </w:rPr>
        <w:t>Mikisew</w:t>
      </w:r>
      <w:proofErr w:type="spellEnd"/>
      <w:r w:rsidRPr="00EF295C">
        <w:rPr>
          <w:rFonts w:cs="Times New Roman"/>
          <w:bCs/>
          <w:sz w:val="20"/>
          <w:szCs w:val="20"/>
        </w:rPr>
        <w:t xml:space="preserve"> Cree First Nation; </w:t>
      </w:r>
      <w:proofErr w:type="spellStart"/>
      <w:r w:rsidRPr="00EF295C">
        <w:rPr>
          <w:rFonts w:cs="Times New Roman"/>
          <w:bCs/>
          <w:sz w:val="20"/>
          <w:szCs w:val="20"/>
        </w:rPr>
        <w:t>Algonquins</w:t>
      </w:r>
      <w:proofErr w:type="spellEnd"/>
      <w:r w:rsidRPr="00EF295C">
        <w:rPr>
          <w:rFonts w:cs="Times New Roman"/>
          <w:bCs/>
          <w:sz w:val="20"/>
          <w:szCs w:val="20"/>
        </w:rPr>
        <w:t xml:space="preserve"> of </w:t>
      </w:r>
      <w:proofErr w:type="spellStart"/>
      <w:r w:rsidRPr="00EF295C">
        <w:rPr>
          <w:rFonts w:cs="Times New Roman"/>
          <w:bCs/>
          <w:sz w:val="20"/>
          <w:szCs w:val="20"/>
        </w:rPr>
        <w:t>Pikwakanagan</w:t>
      </w:r>
      <w:proofErr w:type="spellEnd"/>
      <w:r w:rsidRPr="00EF295C">
        <w:rPr>
          <w:rFonts w:cs="Times New Roman"/>
          <w:bCs/>
          <w:sz w:val="20"/>
          <w:szCs w:val="20"/>
        </w:rPr>
        <w:t xml:space="preserve"> First Nation; </w:t>
      </w:r>
      <w:proofErr w:type="spellStart"/>
      <w:r w:rsidRPr="00EF295C">
        <w:rPr>
          <w:rFonts w:cs="Times New Roman"/>
          <w:bCs/>
          <w:sz w:val="20"/>
          <w:szCs w:val="20"/>
        </w:rPr>
        <w:t>Tsleil-Waututh</w:t>
      </w:r>
      <w:proofErr w:type="spellEnd"/>
      <w:r w:rsidRPr="00EF295C">
        <w:rPr>
          <w:rFonts w:cs="Times New Roman"/>
          <w:bCs/>
          <w:sz w:val="20"/>
          <w:szCs w:val="20"/>
        </w:rPr>
        <w:t xml:space="preserve"> Nation and the Chiefs of Ontario for an extension of time to serve and file their motions for leave to intervene in the appeal </w:t>
      </w:r>
      <w:r w:rsidRPr="00EF295C">
        <w:rPr>
          <w:rFonts w:cs="Times New Roman"/>
          <w:i/>
          <w:sz w:val="20"/>
          <w:szCs w:val="20"/>
        </w:rPr>
        <w:t xml:space="preserve">Hamlet of Clyde River et al. v. Petroleum Geo-Services Inc. (PGS) et al. (36692) </w:t>
      </w:r>
      <w:r w:rsidRPr="00EF295C">
        <w:rPr>
          <w:rFonts w:cs="Times New Roman"/>
          <w:sz w:val="20"/>
          <w:szCs w:val="20"/>
        </w:rPr>
        <w:t>and for leave to intervene in both appeals;</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b/>
          <w:bCs/>
          <w:sz w:val="20"/>
          <w:szCs w:val="20"/>
        </w:rPr>
        <w:t>AND THE MATERIAL FILED</w:t>
      </w:r>
      <w:r w:rsidRPr="00EF295C">
        <w:rPr>
          <w:rFonts w:cs="Times New Roman"/>
          <w:sz w:val="20"/>
          <w:szCs w:val="20"/>
        </w:rPr>
        <w:t xml:space="preserve"> having been read;</w:t>
      </w:r>
    </w:p>
    <w:p w:rsidR="00ED3D48" w:rsidRPr="00EF295C" w:rsidRDefault="00ED3D48" w:rsidP="00ED3D48">
      <w:pPr>
        <w:spacing w:line="233" w:lineRule="auto"/>
        <w:jc w:val="both"/>
        <w:rPr>
          <w:rFonts w:cs="Times New Roman"/>
          <w:b/>
          <w:bCs/>
          <w:sz w:val="20"/>
          <w:szCs w:val="20"/>
        </w:rPr>
      </w:pPr>
    </w:p>
    <w:p w:rsidR="00ED3D48" w:rsidRPr="00EF295C" w:rsidRDefault="00ED3D48" w:rsidP="00ED3D48">
      <w:pPr>
        <w:spacing w:line="233" w:lineRule="auto"/>
        <w:jc w:val="both"/>
        <w:rPr>
          <w:rFonts w:cs="Times New Roman"/>
          <w:b/>
          <w:bCs/>
          <w:sz w:val="20"/>
          <w:szCs w:val="20"/>
        </w:rPr>
      </w:pPr>
      <w:r w:rsidRPr="00EF295C">
        <w:rPr>
          <w:rFonts w:cs="Times New Roman"/>
          <w:b/>
          <w:bCs/>
          <w:sz w:val="20"/>
          <w:szCs w:val="20"/>
        </w:rPr>
        <w:t>IT IS HEREBY ORDERED THAT:</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The motions for an extension of time are granted.</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The motions for leave to intervene of the Attorney General for Ontario; the Attorney General for Saskatchewan; the Nunavut Wildlife Management Board and the Chiefs of Ontario in both appeals</w:t>
      </w:r>
      <w:r w:rsidRPr="00EF295C">
        <w:rPr>
          <w:rFonts w:cs="Times New Roman"/>
          <w:bCs/>
          <w:sz w:val="20"/>
          <w:szCs w:val="20"/>
        </w:rPr>
        <w:t xml:space="preserve"> </w:t>
      </w:r>
      <w:r w:rsidRPr="00EF295C">
        <w:rPr>
          <w:rFonts w:cs="Times New Roman"/>
          <w:sz w:val="20"/>
          <w:szCs w:val="20"/>
        </w:rPr>
        <w:t>are granted and the said interveners shall be entitled to each serve and file a single factum common to both appeals not to exceed ten (10) pages in length, on or before November 4, 2016.</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 xml:space="preserve">The motions for leave to intervene of Nunavut </w:t>
      </w:r>
      <w:proofErr w:type="spellStart"/>
      <w:r w:rsidRPr="00EF295C">
        <w:rPr>
          <w:rFonts w:cs="Times New Roman"/>
          <w:sz w:val="20"/>
          <w:szCs w:val="20"/>
        </w:rPr>
        <w:t>Tunngavik</w:t>
      </w:r>
      <w:proofErr w:type="spellEnd"/>
      <w:r w:rsidRPr="00EF295C">
        <w:rPr>
          <w:rFonts w:cs="Times New Roman"/>
          <w:sz w:val="20"/>
          <w:szCs w:val="20"/>
        </w:rPr>
        <w:t xml:space="preserve"> Incorporated; </w:t>
      </w:r>
      <w:proofErr w:type="spellStart"/>
      <w:r w:rsidRPr="00EF295C">
        <w:rPr>
          <w:rFonts w:cs="Times New Roman"/>
          <w:sz w:val="20"/>
          <w:szCs w:val="20"/>
        </w:rPr>
        <w:t>Makivik</w:t>
      </w:r>
      <w:proofErr w:type="spellEnd"/>
      <w:r w:rsidRPr="00EF295C">
        <w:rPr>
          <w:rFonts w:cs="Times New Roman"/>
          <w:sz w:val="20"/>
          <w:szCs w:val="20"/>
        </w:rPr>
        <w:t xml:space="preserve"> Corporation and Inuvialuit Regional Corporation are granted and the said interveners shall be entitled to each serve and file a single factum not to exceed ten (10) pages in length, on or before November 4, 2016, in the appeal </w:t>
      </w:r>
      <w:r w:rsidRPr="00EF295C">
        <w:rPr>
          <w:rFonts w:cs="Times New Roman"/>
          <w:i/>
          <w:sz w:val="20"/>
          <w:szCs w:val="20"/>
        </w:rPr>
        <w:t>Hamlet of Clyde River et al. v. Petroleum Geo-Services Inc. (PGS) et al. (36692)</w:t>
      </w:r>
      <w:r w:rsidRPr="00EF295C">
        <w:rPr>
          <w:rFonts w:cs="Times New Roman"/>
          <w:sz w:val="20"/>
          <w:szCs w:val="20"/>
        </w:rPr>
        <w:t>.</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 xml:space="preserve">The motions for leave to intervene of Mohawk Council of </w:t>
      </w:r>
      <w:proofErr w:type="spellStart"/>
      <w:r w:rsidRPr="00EF295C">
        <w:rPr>
          <w:rFonts w:cs="Times New Roman"/>
          <w:sz w:val="20"/>
          <w:szCs w:val="20"/>
        </w:rPr>
        <w:t>Kahnawà</w:t>
      </w:r>
      <w:proofErr w:type="gramStart"/>
      <w:r w:rsidRPr="00EF295C">
        <w:rPr>
          <w:rFonts w:cs="Times New Roman"/>
          <w:sz w:val="20"/>
          <w:szCs w:val="20"/>
        </w:rPr>
        <w:t>:ke</w:t>
      </w:r>
      <w:proofErr w:type="spellEnd"/>
      <w:proofErr w:type="gramEnd"/>
      <w:r w:rsidRPr="00EF295C">
        <w:rPr>
          <w:rFonts w:cs="Times New Roman"/>
          <w:sz w:val="20"/>
          <w:szCs w:val="20"/>
        </w:rPr>
        <w:t xml:space="preserve">; Suncor Energy Marketing Inc. and </w:t>
      </w:r>
      <w:proofErr w:type="spellStart"/>
      <w:r w:rsidRPr="00EF295C">
        <w:rPr>
          <w:rFonts w:cs="Times New Roman"/>
          <w:sz w:val="20"/>
          <w:szCs w:val="20"/>
        </w:rPr>
        <w:t>Mississaugas</w:t>
      </w:r>
      <w:proofErr w:type="spellEnd"/>
      <w:r w:rsidRPr="00EF295C">
        <w:rPr>
          <w:rFonts w:cs="Times New Roman"/>
          <w:sz w:val="20"/>
          <w:szCs w:val="20"/>
        </w:rPr>
        <w:t xml:space="preserve"> of the New Credit First Nation are granted and the said interveners shall be entitled to each serve and file a single factum not to exceed ten (10) pages in length, on or before November 4, 2016, in the appeal </w:t>
      </w:r>
      <w:proofErr w:type="spellStart"/>
      <w:r w:rsidRPr="00EF295C">
        <w:rPr>
          <w:rFonts w:cs="Times New Roman"/>
          <w:bCs/>
          <w:i/>
          <w:sz w:val="20"/>
          <w:szCs w:val="20"/>
        </w:rPr>
        <w:t>Chippewas</w:t>
      </w:r>
      <w:proofErr w:type="spellEnd"/>
      <w:r w:rsidRPr="00EF295C">
        <w:rPr>
          <w:rFonts w:cs="Times New Roman"/>
          <w:bCs/>
          <w:i/>
          <w:sz w:val="20"/>
          <w:szCs w:val="20"/>
        </w:rPr>
        <w:t xml:space="preserve"> of the Thames First Nation v. Enbridge Pipelines Inc. et al. (36776).</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 xml:space="preserve">The motions for leave to intervene of the Canadian Chamber of Commerce; Beaver Lake Cree Nation and </w:t>
      </w:r>
      <w:proofErr w:type="spellStart"/>
      <w:r w:rsidRPr="00EF295C">
        <w:rPr>
          <w:rFonts w:cs="Times New Roman"/>
          <w:sz w:val="20"/>
          <w:szCs w:val="20"/>
        </w:rPr>
        <w:t>Ermineskin</w:t>
      </w:r>
      <w:proofErr w:type="spellEnd"/>
      <w:r w:rsidRPr="00EF295C">
        <w:rPr>
          <w:rFonts w:cs="Times New Roman"/>
          <w:sz w:val="20"/>
          <w:szCs w:val="20"/>
        </w:rPr>
        <w:t xml:space="preserve"> Cree Nation (jointly); </w:t>
      </w:r>
      <w:proofErr w:type="spellStart"/>
      <w:r w:rsidRPr="00EF295C">
        <w:rPr>
          <w:rFonts w:cs="Times New Roman"/>
          <w:sz w:val="20"/>
          <w:szCs w:val="20"/>
        </w:rPr>
        <w:t>Mikisew</w:t>
      </w:r>
      <w:proofErr w:type="spellEnd"/>
      <w:r w:rsidRPr="00EF295C">
        <w:rPr>
          <w:rFonts w:cs="Times New Roman"/>
          <w:sz w:val="20"/>
          <w:szCs w:val="20"/>
        </w:rPr>
        <w:t xml:space="preserve"> Cree First Nation; </w:t>
      </w:r>
      <w:proofErr w:type="spellStart"/>
      <w:r w:rsidRPr="00EF295C">
        <w:rPr>
          <w:rFonts w:cs="Times New Roman"/>
          <w:sz w:val="20"/>
          <w:szCs w:val="20"/>
        </w:rPr>
        <w:t>Algonquins</w:t>
      </w:r>
      <w:proofErr w:type="spellEnd"/>
      <w:r w:rsidRPr="00EF295C">
        <w:rPr>
          <w:rFonts w:cs="Times New Roman"/>
          <w:sz w:val="20"/>
          <w:szCs w:val="20"/>
        </w:rPr>
        <w:t xml:space="preserve"> of </w:t>
      </w:r>
      <w:proofErr w:type="spellStart"/>
      <w:r w:rsidRPr="00EF295C">
        <w:rPr>
          <w:rFonts w:cs="Times New Roman"/>
          <w:sz w:val="20"/>
          <w:szCs w:val="20"/>
        </w:rPr>
        <w:t>Pikwakanagan</w:t>
      </w:r>
      <w:proofErr w:type="spellEnd"/>
      <w:r w:rsidRPr="00EF295C">
        <w:rPr>
          <w:rFonts w:cs="Times New Roman"/>
          <w:sz w:val="20"/>
          <w:szCs w:val="20"/>
        </w:rPr>
        <w:t xml:space="preserve"> First Nation; </w:t>
      </w:r>
      <w:proofErr w:type="spellStart"/>
      <w:r w:rsidRPr="00EF295C">
        <w:rPr>
          <w:rFonts w:cs="Times New Roman"/>
          <w:sz w:val="20"/>
          <w:szCs w:val="20"/>
        </w:rPr>
        <w:t>Tsleil-Waututh</w:t>
      </w:r>
      <w:proofErr w:type="spellEnd"/>
      <w:r w:rsidRPr="00EF295C">
        <w:rPr>
          <w:rFonts w:cs="Times New Roman"/>
          <w:sz w:val="20"/>
          <w:szCs w:val="20"/>
        </w:rPr>
        <w:t xml:space="preserve"> Nation; the National Energy Board; Amnesty International; Charlie Watt, Rosemarie </w:t>
      </w:r>
      <w:proofErr w:type="spellStart"/>
      <w:r w:rsidRPr="00EF295C">
        <w:rPr>
          <w:rFonts w:cs="Times New Roman"/>
          <w:sz w:val="20"/>
          <w:szCs w:val="20"/>
        </w:rPr>
        <w:t>Kuptana</w:t>
      </w:r>
      <w:proofErr w:type="spellEnd"/>
      <w:r w:rsidRPr="00EF295C">
        <w:rPr>
          <w:rFonts w:cs="Times New Roman"/>
          <w:sz w:val="20"/>
          <w:szCs w:val="20"/>
        </w:rPr>
        <w:t xml:space="preserve">, Peter </w:t>
      </w:r>
      <w:proofErr w:type="spellStart"/>
      <w:r w:rsidRPr="00EF295C">
        <w:rPr>
          <w:rFonts w:cs="Times New Roman"/>
          <w:sz w:val="20"/>
          <w:szCs w:val="20"/>
        </w:rPr>
        <w:t>Ittinuar</w:t>
      </w:r>
      <w:proofErr w:type="spellEnd"/>
      <w:r w:rsidRPr="00EF295C">
        <w:rPr>
          <w:rFonts w:cs="Times New Roman"/>
          <w:sz w:val="20"/>
          <w:szCs w:val="20"/>
        </w:rPr>
        <w:t xml:space="preserve"> and </w:t>
      </w:r>
      <w:proofErr w:type="spellStart"/>
      <w:r w:rsidRPr="00EF295C">
        <w:rPr>
          <w:rFonts w:cs="Times New Roman"/>
          <w:sz w:val="20"/>
          <w:szCs w:val="20"/>
        </w:rPr>
        <w:t>Tagak</w:t>
      </w:r>
      <w:proofErr w:type="spellEnd"/>
      <w:r w:rsidRPr="00EF295C">
        <w:rPr>
          <w:rFonts w:cs="Times New Roman"/>
          <w:sz w:val="20"/>
          <w:szCs w:val="20"/>
        </w:rPr>
        <w:t xml:space="preserve"> Curley (jointly); Prophet River First Nation and West Moberly First Nations (jointly) and </w:t>
      </w:r>
      <w:proofErr w:type="spellStart"/>
      <w:r w:rsidRPr="00EF295C">
        <w:rPr>
          <w:rFonts w:cs="Times New Roman"/>
          <w:sz w:val="20"/>
          <w:szCs w:val="20"/>
        </w:rPr>
        <w:t>Haisla</w:t>
      </w:r>
      <w:proofErr w:type="spellEnd"/>
      <w:r w:rsidRPr="00EF295C">
        <w:rPr>
          <w:rFonts w:cs="Times New Roman"/>
          <w:sz w:val="20"/>
          <w:szCs w:val="20"/>
        </w:rPr>
        <w:t xml:space="preserve"> Nation are dismissed.</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t>The requests to present oral argument are deferred to a date following receipt and consideration of the written arguments of the parties and the interveners.</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lang w:val="en-ZW"/>
        </w:rPr>
      </w:pPr>
      <w:r w:rsidRPr="00EF295C">
        <w:rPr>
          <w:rFonts w:cs="Times New Roman"/>
          <w:sz w:val="20"/>
          <w:szCs w:val="20"/>
          <w:lang w:val="en-ZW"/>
        </w:rPr>
        <w:t>The appellants and the respondents in both appeals are each permitted to serve and file a single 10-page factum in reply to these interventions on or before November 18, 2016.</w:t>
      </w:r>
    </w:p>
    <w:p w:rsidR="00ED3D48" w:rsidRPr="00EF295C" w:rsidRDefault="00ED3D48" w:rsidP="00ED3D48">
      <w:pPr>
        <w:spacing w:line="233" w:lineRule="auto"/>
        <w:jc w:val="both"/>
        <w:rPr>
          <w:rFonts w:cs="Times New Roman"/>
          <w:sz w:val="20"/>
          <w:szCs w:val="20"/>
        </w:rPr>
      </w:pPr>
    </w:p>
    <w:p w:rsidR="00ED3D48" w:rsidRPr="00EF295C" w:rsidRDefault="00ED3D48" w:rsidP="00ED3D48">
      <w:pPr>
        <w:spacing w:line="233" w:lineRule="auto"/>
        <w:jc w:val="both"/>
        <w:rPr>
          <w:rFonts w:cs="Times New Roman"/>
          <w:sz w:val="20"/>
          <w:szCs w:val="20"/>
        </w:rPr>
      </w:pPr>
      <w:r w:rsidRPr="00EF295C">
        <w:rPr>
          <w:rFonts w:cs="Times New Roman"/>
          <w:sz w:val="20"/>
          <w:szCs w:val="20"/>
        </w:rPr>
        <w:fldChar w:fldCharType="begin"/>
      </w:r>
      <w:r w:rsidRPr="00EF295C">
        <w:rPr>
          <w:rFonts w:cs="Times New Roman"/>
          <w:sz w:val="20"/>
          <w:szCs w:val="20"/>
        </w:rPr>
        <w:instrText xml:space="preserve"> SEQ CHAPTER \h \r 1</w:instrText>
      </w:r>
      <w:r w:rsidRPr="00EF295C">
        <w:rPr>
          <w:rFonts w:cs="Times New Roman"/>
          <w:sz w:val="20"/>
          <w:szCs w:val="20"/>
        </w:rPr>
        <w:fldChar w:fldCharType="end"/>
      </w:r>
      <w:r w:rsidRPr="00EF295C">
        <w:rPr>
          <w:rFonts w:cs="Times New Roman"/>
          <w:bCs/>
          <w:sz w:val="20"/>
          <w:szCs w:val="20"/>
        </w:rPr>
        <w:t>The interveners are not entitled to raise new issues or to adduce further evidence or otherwise to supplement the record of the parties.</w:t>
      </w:r>
    </w:p>
    <w:p w:rsidR="00ED3D48" w:rsidRPr="00EF295C" w:rsidRDefault="00ED3D48" w:rsidP="00ED3D48">
      <w:pPr>
        <w:spacing w:line="233" w:lineRule="auto"/>
        <w:jc w:val="both"/>
        <w:rPr>
          <w:rFonts w:cs="Times New Roman"/>
          <w:sz w:val="20"/>
          <w:szCs w:val="20"/>
        </w:rPr>
      </w:pPr>
      <w:r w:rsidRPr="00EF295C">
        <w:rPr>
          <w:rFonts w:cs="Times New Roman"/>
          <w:sz w:val="20"/>
          <w:szCs w:val="20"/>
        </w:rPr>
        <w:lastRenderedPageBreak/>
        <w:t>Pursuant to Rule 59(1</w:t>
      </w:r>
      <w:proofErr w:type="gramStart"/>
      <w:r w:rsidRPr="00EF295C">
        <w:rPr>
          <w:rFonts w:cs="Times New Roman"/>
          <w:sz w:val="20"/>
          <w:szCs w:val="20"/>
        </w:rPr>
        <w:t>)(</w:t>
      </w:r>
      <w:proofErr w:type="gramEnd"/>
      <w:r w:rsidRPr="00EF295C">
        <w:rPr>
          <w:rFonts w:cs="Times New Roman"/>
          <w:i/>
          <w:iCs/>
          <w:sz w:val="20"/>
          <w:szCs w:val="20"/>
        </w:rPr>
        <w:t>a</w:t>
      </w:r>
      <w:r w:rsidRPr="00EF295C">
        <w:rPr>
          <w:rFonts w:cs="Times New Roman"/>
          <w:sz w:val="20"/>
          <w:szCs w:val="20"/>
        </w:rPr>
        <w:t xml:space="preserve">) of the </w:t>
      </w:r>
      <w:r w:rsidRPr="00EF295C">
        <w:rPr>
          <w:rFonts w:cs="Times New Roman"/>
          <w:i/>
          <w:iCs/>
          <w:sz w:val="20"/>
          <w:szCs w:val="20"/>
        </w:rPr>
        <w:t>Rules of the Supreme Court of Canada</w:t>
      </w:r>
      <w:r w:rsidRPr="00EF295C">
        <w:rPr>
          <w:rFonts w:cs="Times New Roman"/>
          <w:sz w:val="20"/>
          <w:szCs w:val="20"/>
        </w:rPr>
        <w:t>, the interveners shall pay to the corresponding appellant(s) and respondents any additional disbursements occasioned to the appellant(s) and respondents by their interventions.</w:t>
      </w:r>
    </w:p>
    <w:p w:rsidR="00ED3D48" w:rsidRPr="00EF295C" w:rsidRDefault="00ED3D48" w:rsidP="00ED3D48">
      <w:pPr>
        <w:tabs>
          <w:tab w:val="left" w:pos="-1440"/>
          <w:tab w:val="left" w:pos="-720"/>
        </w:tabs>
        <w:jc w:val="both"/>
        <w:rPr>
          <w:rFonts w:cs="Times New Roman"/>
          <w:sz w:val="20"/>
          <w:szCs w:val="20"/>
        </w:rPr>
      </w:pPr>
    </w:p>
    <w:p w:rsidR="00ED3D48" w:rsidRPr="00EF295C" w:rsidRDefault="00ED3D48" w:rsidP="00ED3D48">
      <w:pPr>
        <w:tabs>
          <w:tab w:val="left" w:pos="-1440"/>
          <w:tab w:val="left" w:pos="-720"/>
        </w:tabs>
        <w:jc w:val="both"/>
        <w:rPr>
          <w:rFonts w:cs="Times New Roman"/>
          <w:sz w:val="20"/>
          <w:szCs w:val="20"/>
        </w:rPr>
      </w:pPr>
    </w:p>
    <w:p w:rsidR="00ED3D48" w:rsidRPr="00EF295C" w:rsidRDefault="00ED3D48" w:rsidP="00ED3D48">
      <w:pPr>
        <w:tabs>
          <w:tab w:val="left" w:pos="-1440"/>
          <w:tab w:val="left" w:pos="-720"/>
        </w:tabs>
        <w:jc w:val="both"/>
        <w:rPr>
          <w:rFonts w:cs="Times New Roman"/>
          <w:sz w:val="20"/>
          <w:szCs w:val="20"/>
        </w:rPr>
      </w:pPr>
    </w:p>
    <w:p w:rsidR="00ED3D48" w:rsidRPr="00EF295C" w:rsidRDefault="00ED3D48" w:rsidP="00ED3D48">
      <w:pPr>
        <w:spacing w:line="233" w:lineRule="auto"/>
        <w:jc w:val="both"/>
        <w:rPr>
          <w:rFonts w:cs="Times New Roman"/>
          <w:bCs/>
          <w:sz w:val="20"/>
          <w:szCs w:val="20"/>
          <w:lang w:val="fr-CA"/>
        </w:rPr>
      </w:pPr>
      <w:r w:rsidRPr="00EF295C">
        <w:rPr>
          <w:rFonts w:cs="Times New Roman"/>
          <w:b/>
          <w:bCs/>
          <w:sz w:val="20"/>
          <w:szCs w:val="20"/>
          <w:lang w:val="fr-CA"/>
        </w:rPr>
        <w:t xml:space="preserve">À LA SUITE DES DEMANDES </w:t>
      </w:r>
      <w:r w:rsidRPr="00EF295C">
        <w:rPr>
          <w:rFonts w:cs="Times New Roman"/>
          <w:bCs/>
          <w:sz w:val="20"/>
          <w:szCs w:val="20"/>
          <w:lang w:val="fr-CA"/>
        </w:rPr>
        <w:t xml:space="preserve">présentées par le procureur général de l’Ontario, le procureur général de la Saskatchewan, la Chambre de commerce du Canada, le </w:t>
      </w:r>
      <w:r w:rsidRPr="00EF295C">
        <w:rPr>
          <w:rFonts w:cs="Times New Roman"/>
          <w:sz w:val="20"/>
          <w:szCs w:val="20"/>
          <w:lang w:val="fr-CA"/>
        </w:rPr>
        <w:t>Conseil de gestion des ressources fauniques du Nunavut</w:t>
      </w:r>
      <w:r w:rsidRPr="00EF295C">
        <w:rPr>
          <w:rFonts w:cs="Times New Roman"/>
          <w:bCs/>
          <w:sz w:val="20"/>
          <w:szCs w:val="20"/>
          <w:lang w:val="fr-CA"/>
        </w:rPr>
        <w:t xml:space="preserve"> et par la Nation crie de Beaver Lake et la Nation crie d’</w:t>
      </w:r>
      <w:proofErr w:type="spellStart"/>
      <w:r w:rsidRPr="00EF295C">
        <w:rPr>
          <w:rFonts w:cs="Times New Roman"/>
          <w:bCs/>
          <w:sz w:val="20"/>
          <w:szCs w:val="20"/>
          <w:lang w:val="fr-CA"/>
        </w:rPr>
        <w:t>Ermineskin</w:t>
      </w:r>
      <w:proofErr w:type="spellEnd"/>
      <w:r w:rsidRPr="00EF295C">
        <w:rPr>
          <w:rFonts w:cs="Times New Roman"/>
          <w:bCs/>
          <w:sz w:val="20"/>
          <w:szCs w:val="20"/>
          <w:lang w:val="fr-CA"/>
        </w:rPr>
        <w:t xml:space="preserve"> (conjointement) </w:t>
      </w:r>
      <w:r w:rsidRPr="00EF295C">
        <w:rPr>
          <w:rFonts w:cs="Times New Roman"/>
          <w:sz w:val="20"/>
          <w:szCs w:val="20"/>
          <w:lang w:val="fr-CA"/>
        </w:rPr>
        <w:t>en autorisation d’intervenir dans les deux appels;</w:t>
      </w:r>
    </w:p>
    <w:p w:rsidR="00ED3D48" w:rsidRPr="00EF295C" w:rsidRDefault="00ED3D48" w:rsidP="00ED3D48">
      <w:pPr>
        <w:spacing w:line="233" w:lineRule="auto"/>
        <w:jc w:val="both"/>
        <w:rPr>
          <w:rFonts w:cs="Times New Roman"/>
          <w:b/>
          <w:bCs/>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b/>
          <w:bCs/>
          <w:sz w:val="20"/>
          <w:szCs w:val="20"/>
          <w:lang w:val="fr-CA"/>
        </w:rPr>
        <w:t xml:space="preserve">ET À LA SUITE DES DEMANDES </w:t>
      </w:r>
      <w:r w:rsidRPr="00EF295C">
        <w:rPr>
          <w:rFonts w:cs="Times New Roman"/>
          <w:bCs/>
          <w:sz w:val="20"/>
          <w:szCs w:val="20"/>
          <w:lang w:val="fr-CA"/>
        </w:rPr>
        <w:t xml:space="preserve">présentées par l’Office national de l’énergie, </w:t>
      </w:r>
      <w:proofErr w:type="spellStart"/>
      <w:r w:rsidRPr="00EF295C">
        <w:rPr>
          <w:rFonts w:cs="Times New Roman"/>
          <w:bCs/>
          <w:sz w:val="20"/>
          <w:szCs w:val="20"/>
          <w:lang w:val="fr-CA"/>
        </w:rPr>
        <w:t>Amnestie</w:t>
      </w:r>
      <w:proofErr w:type="spellEnd"/>
      <w:r w:rsidRPr="00EF295C">
        <w:rPr>
          <w:rFonts w:cs="Times New Roman"/>
          <w:bCs/>
          <w:sz w:val="20"/>
          <w:szCs w:val="20"/>
          <w:lang w:val="fr-CA"/>
        </w:rPr>
        <w:t xml:space="preserve"> Internationale, </w:t>
      </w:r>
      <w:r w:rsidRPr="00EF295C">
        <w:rPr>
          <w:rFonts w:cs="Times New Roman"/>
          <w:sz w:val="20"/>
          <w:szCs w:val="20"/>
          <w:lang w:val="fr-CA"/>
        </w:rPr>
        <w:t xml:space="preserve">Nunavut </w:t>
      </w:r>
      <w:proofErr w:type="spellStart"/>
      <w:r w:rsidRPr="00EF295C">
        <w:rPr>
          <w:rFonts w:cs="Times New Roman"/>
          <w:sz w:val="20"/>
          <w:szCs w:val="20"/>
          <w:lang w:val="fr-CA"/>
        </w:rPr>
        <w:t>Tunngavik</w:t>
      </w:r>
      <w:proofErr w:type="spellEnd"/>
      <w:r w:rsidRPr="00EF295C">
        <w:rPr>
          <w:rFonts w:cs="Times New Roman"/>
          <w:sz w:val="20"/>
          <w:szCs w:val="20"/>
          <w:lang w:val="fr-CA"/>
        </w:rPr>
        <w:t xml:space="preserve"> </w:t>
      </w:r>
      <w:proofErr w:type="spellStart"/>
      <w:r w:rsidRPr="00EF295C">
        <w:rPr>
          <w:rFonts w:cs="Times New Roman"/>
          <w:sz w:val="20"/>
          <w:szCs w:val="20"/>
          <w:lang w:val="fr-CA"/>
        </w:rPr>
        <w:t>Incorporated</w:t>
      </w:r>
      <w:proofErr w:type="spellEnd"/>
      <w:r w:rsidRPr="00EF295C">
        <w:rPr>
          <w:rFonts w:cs="Times New Roman"/>
          <w:sz w:val="20"/>
          <w:szCs w:val="20"/>
          <w:lang w:val="fr-CA"/>
        </w:rPr>
        <w:t xml:space="preserve">, la </w:t>
      </w:r>
      <w:proofErr w:type="spellStart"/>
      <w:r w:rsidRPr="00EF295C">
        <w:rPr>
          <w:rFonts w:cs="Times New Roman"/>
          <w:sz w:val="20"/>
          <w:szCs w:val="20"/>
          <w:lang w:val="fr-CA"/>
        </w:rPr>
        <w:t>Makivik</w:t>
      </w:r>
      <w:proofErr w:type="spellEnd"/>
      <w:r w:rsidRPr="00EF295C">
        <w:rPr>
          <w:rFonts w:cs="Times New Roman"/>
          <w:sz w:val="20"/>
          <w:szCs w:val="20"/>
          <w:lang w:val="fr-CA"/>
        </w:rPr>
        <w:t xml:space="preserve"> Corporation, par Charlie Watt, Rosemarie </w:t>
      </w:r>
      <w:proofErr w:type="spellStart"/>
      <w:r w:rsidRPr="00EF295C">
        <w:rPr>
          <w:rFonts w:cs="Times New Roman"/>
          <w:sz w:val="20"/>
          <w:szCs w:val="20"/>
          <w:lang w:val="fr-CA"/>
        </w:rPr>
        <w:t>Kuptana</w:t>
      </w:r>
      <w:proofErr w:type="spellEnd"/>
      <w:r w:rsidRPr="00EF295C">
        <w:rPr>
          <w:rFonts w:cs="Times New Roman"/>
          <w:sz w:val="20"/>
          <w:szCs w:val="20"/>
          <w:lang w:val="fr-CA"/>
        </w:rPr>
        <w:t xml:space="preserve">, Peter </w:t>
      </w:r>
      <w:proofErr w:type="spellStart"/>
      <w:r w:rsidRPr="00EF295C">
        <w:rPr>
          <w:rFonts w:cs="Times New Roman"/>
          <w:sz w:val="20"/>
          <w:szCs w:val="20"/>
          <w:lang w:val="fr-CA"/>
        </w:rPr>
        <w:t>Ittinuar</w:t>
      </w:r>
      <w:proofErr w:type="spellEnd"/>
      <w:r w:rsidRPr="00EF295C">
        <w:rPr>
          <w:rFonts w:cs="Times New Roman"/>
          <w:sz w:val="20"/>
          <w:szCs w:val="20"/>
          <w:lang w:val="fr-CA"/>
        </w:rPr>
        <w:t xml:space="preserve"> et </w:t>
      </w:r>
      <w:proofErr w:type="spellStart"/>
      <w:r w:rsidRPr="00EF295C">
        <w:rPr>
          <w:rFonts w:cs="Times New Roman"/>
          <w:sz w:val="20"/>
          <w:szCs w:val="20"/>
          <w:lang w:val="fr-CA"/>
        </w:rPr>
        <w:t>Tagak</w:t>
      </w:r>
      <w:proofErr w:type="spellEnd"/>
      <w:r w:rsidRPr="00EF295C">
        <w:rPr>
          <w:rFonts w:cs="Times New Roman"/>
          <w:sz w:val="20"/>
          <w:szCs w:val="20"/>
          <w:lang w:val="fr-CA"/>
        </w:rPr>
        <w:t xml:space="preserve"> </w:t>
      </w:r>
      <w:proofErr w:type="spellStart"/>
      <w:r w:rsidRPr="00EF295C">
        <w:rPr>
          <w:rFonts w:cs="Times New Roman"/>
          <w:sz w:val="20"/>
          <w:szCs w:val="20"/>
          <w:lang w:val="fr-CA"/>
        </w:rPr>
        <w:t>Curley</w:t>
      </w:r>
      <w:proofErr w:type="spellEnd"/>
      <w:r w:rsidRPr="00EF295C">
        <w:rPr>
          <w:rFonts w:cs="Times New Roman"/>
          <w:sz w:val="20"/>
          <w:szCs w:val="20"/>
          <w:lang w:val="fr-CA"/>
        </w:rPr>
        <w:t xml:space="preserve"> (conjointement) et par l’</w:t>
      </w:r>
      <w:proofErr w:type="spellStart"/>
      <w:r w:rsidRPr="00EF295C">
        <w:rPr>
          <w:rFonts w:cs="Times New Roman"/>
          <w:sz w:val="20"/>
          <w:szCs w:val="20"/>
          <w:lang w:val="fr-CA"/>
        </w:rPr>
        <w:t>Inuvialuit</w:t>
      </w:r>
      <w:proofErr w:type="spellEnd"/>
      <w:r w:rsidRPr="00EF295C">
        <w:rPr>
          <w:rFonts w:cs="Times New Roman"/>
          <w:sz w:val="20"/>
          <w:szCs w:val="20"/>
          <w:lang w:val="fr-CA"/>
        </w:rPr>
        <w:t xml:space="preserve"> </w:t>
      </w:r>
      <w:proofErr w:type="spellStart"/>
      <w:r w:rsidRPr="00EF295C">
        <w:rPr>
          <w:rFonts w:cs="Times New Roman"/>
          <w:sz w:val="20"/>
          <w:szCs w:val="20"/>
          <w:lang w:val="fr-CA"/>
        </w:rPr>
        <w:t>Regional</w:t>
      </w:r>
      <w:proofErr w:type="spellEnd"/>
      <w:r w:rsidRPr="00EF295C">
        <w:rPr>
          <w:rFonts w:cs="Times New Roman"/>
          <w:sz w:val="20"/>
          <w:szCs w:val="20"/>
          <w:lang w:val="fr-CA"/>
        </w:rPr>
        <w:t xml:space="preserve"> Corporation en autorisation d’intervenir dans l’appel </w:t>
      </w:r>
      <w:r w:rsidRPr="00EF295C">
        <w:rPr>
          <w:rFonts w:cs="Times New Roman"/>
          <w:i/>
          <w:sz w:val="20"/>
          <w:szCs w:val="20"/>
          <w:lang w:val="fr-CA"/>
        </w:rPr>
        <w:t xml:space="preserve">Hamlet of Clyde River et al. c. Petroleum </w:t>
      </w:r>
      <w:proofErr w:type="spellStart"/>
      <w:r w:rsidRPr="00EF295C">
        <w:rPr>
          <w:rFonts w:cs="Times New Roman"/>
          <w:i/>
          <w:sz w:val="20"/>
          <w:szCs w:val="20"/>
          <w:lang w:val="fr-CA"/>
        </w:rPr>
        <w:t>Geo</w:t>
      </w:r>
      <w:proofErr w:type="spellEnd"/>
      <w:r w:rsidRPr="00EF295C">
        <w:rPr>
          <w:rFonts w:cs="Times New Roman"/>
          <w:i/>
          <w:sz w:val="20"/>
          <w:szCs w:val="20"/>
          <w:lang w:val="fr-CA"/>
        </w:rPr>
        <w:t>-Services Inc. (PGS) et al. (36692)</w:t>
      </w:r>
      <w:r w:rsidRPr="00EF295C">
        <w:rPr>
          <w:rFonts w:cs="Times New Roman"/>
          <w:sz w:val="20"/>
          <w:szCs w:val="20"/>
          <w:lang w:val="fr-CA"/>
        </w:rPr>
        <w:t>;</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bCs/>
          <w:i/>
          <w:sz w:val="20"/>
          <w:szCs w:val="20"/>
          <w:lang w:val="fr-CA"/>
        </w:rPr>
      </w:pPr>
      <w:r w:rsidRPr="00EF295C">
        <w:rPr>
          <w:rFonts w:cs="Times New Roman"/>
          <w:b/>
          <w:bCs/>
          <w:sz w:val="20"/>
          <w:szCs w:val="20"/>
          <w:lang w:val="fr-CA"/>
        </w:rPr>
        <w:t xml:space="preserve">ET À LA SUITE DES DEMANDES </w:t>
      </w:r>
      <w:r w:rsidRPr="00EF295C">
        <w:rPr>
          <w:rFonts w:cs="Times New Roman"/>
          <w:bCs/>
          <w:sz w:val="20"/>
          <w:szCs w:val="20"/>
          <w:lang w:val="fr-CA"/>
        </w:rPr>
        <w:t xml:space="preserve">présentées par le Conseil Mohawk de </w:t>
      </w:r>
      <w:proofErr w:type="spellStart"/>
      <w:r w:rsidRPr="00EF295C">
        <w:rPr>
          <w:rFonts w:cs="Times New Roman"/>
          <w:bCs/>
          <w:sz w:val="20"/>
          <w:szCs w:val="20"/>
          <w:lang w:val="fr-CA"/>
        </w:rPr>
        <w:t>Kahnawake</w:t>
      </w:r>
      <w:proofErr w:type="spellEnd"/>
      <w:r w:rsidRPr="00EF295C">
        <w:rPr>
          <w:rFonts w:cs="Times New Roman"/>
          <w:bCs/>
          <w:sz w:val="20"/>
          <w:szCs w:val="20"/>
          <w:lang w:val="fr-CA"/>
        </w:rPr>
        <w:t xml:space="preserve">, </w:t>
      </w:r>
      <w:proofErr w:type="spellStart"/>
      <w:r w:rsidRPr="00EF295C">
        <w:rPr>
          <w:rFonts w:cs="Times New Roman"/>
          <w:bCs/>
          <w:sz w:val="20"/>
          <w:szCs w:val="20"/>
          <w:lang w:val="fr-CA"/>
        </w:rPr>
        <w:t>Suncor</w:t>
      </w:r>
      <w:proofErr w:type="spellEnd"/>
      <w:r w:rsidRPr="00EF295C">
        <w:rPr>
          <w:rFonts w:cs="Times New Roman"/>
          <w:bCs/>
          <w:sz w:val="20"/>
          <w:szCs w:val="20"/>
          <w:lang w:val="fr-CA"/>
        </w:rPr>
        <w:t xml:space="preserve"> </w:t>
      </w:r>
      <w:proofErr w:type="spellStart"/>
      <w:r w:rsidRPr="00EF295C">
        <w:rPr>
          <w:rFonts w:cs="Times New Roman"/>
          <w:bCs/>
          <w:sz w:val="20"/>
          <w:szCs w:val="20"/>
          <w:lang w:val="fr-CA"/>
        </w:rPr>
        <w:t>Energy</w:t>
      </w:r>
      <w:proofErr w:type="spellEnd"/>
      <w:r w:rsidRPr="00EF295C">
        <w:rPr>
          <w:rFonts w:cs="Times New Roman"/>
          <w:bCs/>
          <w:sz w:val="20"/>
          <w:szCs w:val="20"/>
          <w:lang w:val="fr-CA"/>
        </w:rPr>
        <w:t xml:space="preserve"> Marketing Inc., la Nation </w:t>
      </w:r>
      <w:proofErr w:type="spellStart"/>
      <w:r w:rsidRPr="00EF295C">
        <w:rPr>
          <w:rFonts w:cs="Times New Roman"/>
          <w:bCs/>
          <w:sz w:val="20"/>
          <w:szCs w:val="20"/>
          <w:lang w:val="fr-CA"/>
        </w:rPr>
        <w:t>Haisla</w:t>
      </w:r>
      <w:proofErr w:type="spellEnd"/>
      <w:r w:rsidRPr="00EF295C">
        <w:rPr>
          <w:rFonts w:cs="Times New Roman"/>
          <w:bCs/>
          <w:sz w:val="20"/>
          <w:szCs w:val="20"/>
          <w:lang w:val="fr-CA"/>
        </w:rPr>
        <w:t xml:space="preserve"> et la </w:t>
      </w:r>
      <w:proofErr w:type="spellStart"/>
      <w:r w:rsidRPr="00EF295C">
        <w:rPr>
          <w:rFonts w:cs="Times New Roman"/>
          <w:bCs/>
          <w:sz w:val="20"/>
          <w:szCs w:val="20"/>
          <w:lang w:val="fr-CA"/>
        </w:rPr>
        <w:t>Mississaugas</w:t>
      </w:r>
      <w:proofErr w:type="spellEnd"/>
      <w:r w:rsidRPr="00EF295C">
        <w:rPr>
          <w:rFonts w:cs="Times New Roman"/>
          <w:bCs/>
          <w:sz w:val="20"/>
          <w:szCs w:val="20"/>
          <w:lang w:val="fr-CA"/>
        </w:rPr>
        <w:t xml:space="preserve"> of the New </w:t>
      </w:r>
      <w:proofErr w:type="spellStart"/>
      <w:r w:rsidRPr="00EF295C">
        <w:rPr>
          <w:rFonts w:cs="Times New Roman"/>
          <w:bCs/>
          <w:sz w:val="20"/>
          <w:szCs w:val="20"/>
          <w:lang w:val="fr-CA"/>
        </w:rPr>
        <w:t>Credit</w:t>
      </w:r>
      <w:proofErr w:type="spellEnd"/>
      <w:r w:rsidRPr="00EF295C">
        <w:rPr>
          <w:rFonts w:cs="Times New Roman"/>
          <w:bCs/>
          <w:sz w:val="20"/>
          <w:szCs w:val="20"/>
          <w:lang w:val="fr-CA"/>
        </w:rPr>
        <w:t xml:space="preserve"> First Nation en autorisation d’intervenir dans l’appel </w:t>
      </w:r>
      <w:r w:rsidRPr="00EF295C">
        <w:rPr>
          <w:rFonts w:cs="Times New Roman"/>
          <w:bCs/>
          <w:i/>
          <w:sz w:val="20"/>
          <w:szCs w:val="20"/>
          <w:lang w:val="fr-CA"/>
        </w:rPr>
        <w:t xml:space="preserve">Chippewas of the Thames First Nation c. </w:t>
      </w:r>
      <w:proofErr w:type="spellStart"/>
      <w:r w:rsidRPr="00EF295C">
        <w:rPr>
          <w:rFonts w:cs="Times New Roman"/>
          <w:bCs/>
          <w:i/>
          <w:sz w:val="20"/>
          <w:szCs w:val="20"/>
          <w:lang w:val="fr-CA"/>
        </w:rPr>
        <w:t>Enbridge</w:t>
      </w:r>
      <w:proofErr w:type="spellEnd"/>
      <w:r w:rsidRPr="00EF295C">
        <w:rPr>
          <w:rFonts w:cs="Times New Roman"/>
          <w:bCs/>
          <w:i/>
          <w:sz w:val="20"/>
          <w:szCs w:val="20"/>
          <w:lang w:val="fr-CA"/>
        </w:rPr>
        <w:t xml:space="preserve"> Pipelines Inc. et al. (36776);</w:t>
      </w:r>
    </w:p>
    <w:p w:rsidR="00ED3D48" w:rsidRPr="00EF295C" w:rsidRDefault="00ED3D48" w:rsidP="00ED3D48">
      <w:pPr>
        <w:spacing w:line="233" w:lineRule="auto"/>
        <w:jc w:val="both"/>
        <w:rPr>
          <w:rFonts w:cs="Times New Roman"/>
          <w:b/>
          <w:bCs/>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b/>
          <w:bCs/>
          <w:sz w:val="20"/>
          <w:szCs w:val="20"/>
          <w:lang w:val="fr-CA"/>
        </w:rPr>
        <w:t xml:space="preserve">ET À LA SUITE DE LA DEMANDE </w:t>
      </w:r>
      <w:r w:rsidRPr="00EF295C">
        <w:rPr>
          <w:rFonts w:cs="Times New Roman"/>
          <w:bCs/>
          <w:sz w:val="20"/>
          <w:szCs w:val="20"/>
          <w:lang w:val="fr-CA"/>
        </w:rPr>
        <w:t xml:space="preserve">présentée par la </w:t>
      </w:r>
      <w:proofErr w:type="spellStart"/>
      <w:r w:rsidRPr="00EF295C">
        <w:rPr>
          <w:rFonts w:cs="Times New Roman"/>
          <w:bCs/>
          <w:sz w:val="20"/>
          <w:szCs w:val="20"/>
          <w:lang w:val="fr-CA"/>
        </w:rPr>
        <w:t>Prophet</w:t>
      </w:r>
      <w:proofErr w:type="spellEnd"/>
      <w:r w:rsidRPr="00EF295C">
        <w:rPr>
          <w:rFonts w:cs="Times New Roman"/>
          <w:bCs/>
          <w:sz w:val="20"/>
          <w:szCs w:val="20"/>
          <w:lang w:val="fr-CA"/>
        </w:rPr>
        <w:t xml:space="preserve"> River First Nation et les West </w:t>
      </w:r>
      <w:proofErr w:type="spellStart"/>
      <w:r w:rsidRPr="00EF295C">
        <w:rPr>
          <w:rFonts w:cs="Times New Roman"/>
          <w:bCs/>
          <w:sz w:val="20"/>
          <w:szCs w:val="20"/>
          <w:lang w:val="fr-CA"/>
        </w:rPr>
        <w:t>Moberly</w:t>
      </w:r>
      <w:proofErr w:type="spellEnd"/>
      <w:r w:rsidRPr="00EF295C">
        <w:rPr>
          <w:rFonts w:cs="Times New Roman"/>
          <w:bCs/>
          <w:sz w:val="20"/>
          <w:szCs w:val="20"/>
          <w:lang w:val="fr-CA"/>
        </w:rPr>
        <w:t xml:space="preserve"> First Nations (conjointement) en prorogation du délai pour signifier leur requête en autorisation d’intervenir et en autorisation d’intervenir dans l’appel </w:t>
      </w:r>
      <w:r w:rsidRPr="00EF295C">
        <w:rPr>
          <w:rFonts w:cs="Times New Roman"/>
          <w:i/>
          <w:sz w:val="20"/>
          <w:szCs w:val="20"/>
          <w:lang w:val="fr-CA"/>
        </w:rPr>
        <w:t xml:space="preserve">Hamlet of Clyde River et al. c. Petroleum </w:t>
      </w:r>
      <w:proofErr w:type="spellStart"/>
      <w:r w:rsidRPr="00EF295C">
        <w:rPr>
          <w:rFonts w:cs="Times New Roman"/>
          <w:i/>
          <w:sz w:val="20"/>
          <w:szCs w:val="20"/>
          <w:lang w:val="fr-CA"/>
        </w:rPr>
        <w:t>Geo</w:t>
      </w:r>
      <w:proofErr w:type="spellEnd"/>
      <w:r w:rsidRPr="00EF295C">
        <w:rPr>
          <w:rFonts w:cs="Times New Roman"/>
          <w:i/>
          <w:sz w:val="20"/>
          <w:szCs w:val="20"/>
          <w:lang w:val="fr-CA"/>
        </w:rPr>
        <w:t>-Services Inc. (PGS) et al. (36692)</w:t>
      </w:r>
      <w:r w:rsidRPr="00EF295C">
        <w:rPr>
          <w:rFonts w:cs="Times New Roman"/>
          <w:sz w:val="20"/>
          <w:szCs w:val="20"/>
          <w:lang w:val="fr-CA"/>
        </w:rPr>
        <w:t>;</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b/>
          <w:bCs/>
          <w:sz w:val="20"/>
          <w:szCs w:val="20"/>
          <w:lang w:val="fr-CA"/>
        </w:rPr>
        <w:t xml:space="preserve">ET À LA SUITE DES DEMANDES </w:t>
      </w:r>
      <w:r w:rsidRPr="00EF295C">
        <w:rPr>
          <w:rFonts w:cs="Times New Roman"/>
          <w:bCs/>
          <w:sz w:val="20"/>
          <w:szCs w:val="20"/>
          <w:lang w:val="fr-CA"/>
        </w:rPr>
        <w:t xml:space="preserve">présentées par la </w:t>
      </w:r>
      <w:r w:rsidRPr="00EF295C">
        <w:rPr>
          <w:rFonts w:cs="Times New Roman"/>
          <w:sz w:val="20"/>
          <w:szCs w:val="20"/>
          <w:lang w:val="fr-CA"/>
        </w:rPr>
        <w:t xml:space="preserve">Première Nation </w:t>
      </w:r>
      <w:proofErr w:type="gramStart"/>
      <w:r w:rsidRPr="00EF295C">
        <w:rPr>
          <w:rFonts w:cs="Times New Roman"/>
          <w:sz w:val="20"/>
          <w:szCs w:val="20"/>
          <w:lang w:val="fr-CA"/>
        </w:rPr>
        <w:t>crie</w:t>
      </w:r>
      <w:proofErr w:type="gramEnd"/>
      <w:r w:rsidRPr="00EF295C">
        <w:rPr>
          <w:rFonts w:cs="Times New Roman"/>
          <w:sz w:val="20"/>
          <w:szCs w:val="20"/>
          <w:lang w:val="fr-CA"/>
        </w:rPr>
        <w:t xml:space="preserve"> </w:t>
      </w:r>
      <w:proofErr w:type="spellStart"/>
      <w:r w:rsidRPr="00EF295C">
        <w:rPr>
          <w:rFonts w:cs="Times New Roman"/>
          <w:sz w:val="20"/>
          <w:szCs w:val="20"/>
          <w:lang w:val="fr-CA"/>
        </w:rPr>
        <w:t>Mikisew</w:t>
      </w:r>
      <w:proofErr w:type="spellEnd"/>
      <w:r w:rsidRPr="00EF295C">
        <w:rPr>
          <w:rFonts w:cs="Times New Roman"/>
          <w:sz w:val="20"/>
          <w:szCs w:val="20"/>
          <w:lang w:val="fr-CA"/>
        </w:rPr>
        <w:t>, l’</w:t>
      </w:r>
      <w:r w:rsidRPr="00EF295C">
        <w:rPr>
          <w:rFonts w:cs="Times New Roman"/>
          <w:bCs/>
          <w:sz w:val="20"/>
          <w:szCs w:val="20"/>
          <w:lang w:val="fr-CA"/>
        </w:rPr>
        <w:t xml:space="preserve">Algonquins of </w:t>
      </w:r>
      <w:proofErr w:type="spellStart"/>
      <w:r w:rsidRPr="00EF295C">
        <w:rPr>
          <w:rFonts w:cs="Times New Roman"/>
          <w:bCs/>
          <w:sz w:val="20"/>
          <w:szCs w:val="20"/>
          <w:lang w:val="fr-CA"/>
        </w:rPr>
        <w:t>Pikwakanagan</w:t>
      </w:r>
      <w:proofErr w:type="spellEnd"/>
      <w:r w:rsidRPr="00EF295C">
        <w:rPr>
          <w:rFonts w:cs="Times New Roman"/>
          <w:bCs/>
          <w:sz w:val="20"/>
          <w:szCs w:val="20"/>
          <w:lang w:val="fr-CA"/>
        </w:rPr>
        <w:t xml:space="preserve"> First Nation, la </w:t>
      </w:r>
      <w:proofErr w:type="spellStart"/>
      <w:r w:rsidRPr="00EF295C">
        <w:rPr>
          <w:rFonts w:cs="Times New Roman"/>
          <w:bCs/>
          <w:sz w:val="20"/>
          <w:szCs w:val="20"/>
          <w:lang w:val="fr-CA"/>
        </w:rPr>
        <w:t>Tsleil-Waututh</w:t>
      </w:r>
      <w:proofErr w:type="spellEnd"/>
      <w:r w:rsidRPr="00EF295C">
        <w:rPr>
          <w:rFonts w:cs="Times New Roman"/>
          <w:bCs/>
          <w:sz w:val="20"/>
          <w:szCs w:val="20"/>
          <w:lang w:val="fr-CA"/>
        </w:rPr>
        <w:t xml:space="preserve"> Nation et les Chefs de l’Ontario en prorogation du délai pour signifier et déposer leurs requêtes en autorisation d’intervenir dans l’appel </w:t>
      </w:r>
      <w:r w:rsidRPr="00EF295C">
        <w:rPr>
          <w:rFonts w:cs="Times New Roman"/>
          <w:i/>
          <w:sz w:val="20"/>
          <w:szCs w:val="20"/>
          <w:lang w:val="fr-CA"/>
        </w:rPr>
        <w:t xml:space="preserve">Hamlet of Clyde River et al. v. Petroleum </w:t>
      </w:r>
      <w:proofErr w:type="spellStart"/>
      <w:r w:rsidRPr="00EF295C">
        <w:rPr>
          <w:rFonts w:cs="Times New Roman"/>
          <w:i/>
          <w:sz w:val="20"/>
          <w:szCs w:val="20"/>
          <w:lang w:val="fr-CA"/>
        </w:rPr>
        <w:t>Geo</w:t>
      </w:r>
      <w:proofErr w:type="spellEnd"/>
      <w:r w:rsidRPr="00EF295C">
        <w:rPr>
          <w:rFonts w:cs="Times New Roman"/>
          <w:i/>
          <w:sz w:val="20"/>
          <w:szCs w:val="20"/>
          <w:lang w:val="fr-CA"/>
        </w:rPr>
        <w:t>-Services Inc. (PGS) et al. (36692</w:t>
      </w:r>
      <w:proofErr w:type="gramStart"/>
      <w:r w:rsidRPr="00EF295C">
        <w:rPr>
          <w:rFonts w:cs="Times New Roman"/>
          <w:i/>
          <w:sz w:val="20"/>
          <w:szCs w:val="20"/>
          <w:lang w:val="fr-CA"/>
        </w:rPr>
        <w:t>)</w:t>
      </w:r>
      <w:r w:rsidRPr="00EF295C">
        <w:rPr>
          <w:rFonts w:cs="Times New Roman"/>
          <w:bCs/>
          <w:sz w:val="20"/>
          <w:szCs w:val="20"/>
          <w:lang w:val="fr-CA"/>
        </w:rPr>
        <w:t>et</w:t>
      </w:r>
      <w:proofErr w:type="gramEnd"/>
      <w:r w:rsidRPr="00EF295C">
        <w:rPr>
          <w:rFonts w:cs="Times New Roman"/>
          <w:bCs/>
          <w:sz w:val="20"/>
          <w:szCs w:val="20"/>
          <w:lang w:val="fr-CA"/>
        </w:rPr>
        <w:t xml:space="preserve"> en autorisation d’intervenir dans les deux appels</w:t>
      </w:r>
      <w:r w:rsidRPr="00EF295C">
        <w:rPr>
          <w:rFonts w:cs="Times New Roman"/>
          <w:sz w:val="20"/>
          <w:szCs w:val="20"/>
          <w:lang w:val="fr-CA"/>
        </w:rPr>
        <w:t>;</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b/>
          <w:bCs/>
          <w:sz w:val="20"/>
          <w:szCs w:val="20"/>
          <w:lang w:val="fr-CA"/>
        </w:rPr>
      </w:pPr>
      <w:r w:rsidRPr="00EF295C">
        <w:rPr>
          <w:rFonts w:cs="Times New Roman"/>
          <w:b/>
          <w:bCs/>
          <w:sz w:val="20"/>
          <w:szCs w:val="20"/>
          <w:lang w:val="fr-CA"/>
        </w:rPr>
        <w:t xml:space="preserve">ET APRÈS EXAMEN </w:t>
      </w:r>
      <w:r w:rsidRPr="00EF295C">
        <w:rPr>
          <w:rFonts w:cs="Times New Roman"/>
          <w:bCs/>
          <w:sz w:val="20"/>
          <w:szCs w:val="20"/>
          <w:lang w:val="fr-CA"/>
        </w:rPr>
        <w:t>des documents déposés;</w:t>
      </w:r>
      <w:r w:rsidRPr="00EF295C">
        <w:rPr>
          <w:rFonts w:cs="Times New Roman"/>
          <w:b/>
          <w:bCs/>
          <w:sz w:val="20"/>
          <w:szCs w:val="20"/>
          <w:lang w:val="fr-CA"/>
        </w:rPr>
        <w:t xml:space="preserve"> </w:t>
      </w:r>
    </w:p>
    <w:p w:rsidR="00ED3D48" w:rsidRPr="00EF295C" w:rsidRDefault="00ED3D48" w:rsidP="00ED3D48">
      <w:pPr>
        <w:spacing w:line="233" w:lineRule="auto"/>
        <w:jc w:val="both"/>
        <w:rPr>
          <w:rFonts w:cs="Times New Roman"/>
          <w:b/>
          <w:bCs/>
          <w:sz w:val="20"/>
          <w:szCs w:val="20"/>
          <w:lang w:val="fr-CA"/>
        </w:rPr>
      </w:pPr>
    </w:p>
    <w:p w:rsidR="00ED3D48" w:rsidRPr="00EF295C" w:rsidRDefault="00ED3D48" w:rsidP="00ED3D48">
      <w:pPr>
        <w:spacing w:line="233" w:lineRule="auto"/>
        <w:jc w:val="both"/>
        <w:rPr>
          <w:rFonts w:cs="Times New Roman"/>
          <w:b/>
          <w:bCs/>
          <w:sz w:val="20"/>
          <w:szCs w:val="20"/>
          <w:lang w:val="fr-CA"/>
        </w:rPr>
      </w:pPr>
      <w:r w:rsidRPr="00EF295C">
        <w:rPr>
          <w:rFonts w:cs="Times New Roman"/>
          <w:b/>
          <w:bCs/>
          <w:sz w:val="20"/>
          <w:szCs w:val="20"/>
          <w:lang w:val="fr-CA"/>
        </w:rPr>
        <w:t>IL EST ORDONNÉ CE QUI SUIT :</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Les requêtes en prorogation sont accueillies.</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 xml:space="preserve">Les requêtes en autorisation d’intervenir présentées par </w:t>
      </w:r>
      <w:r w:rsidRPr="00EF295C">
        <w:rPr>
          <w:rFonts w:cs="Times New Roman"/>
          <w:bCs/>
          <w:sz w:val="20"/>
          <w:szCs w:val="20"/>
          <w:lang w:val="fr-CA"/>
        </w:rPr>
        <w:t xml:space="preserve">le procureur général de l’Ontario, le procureur général de la Saskatchewan, le </w:t>
      </w:r>
      <w:r w:rsidRPr="00EF295C">
        <w:rPr>
          <w:rFonts w:cs="Times New Roman"/>
          <w:sz w:val="20"/>
          <w:szCs w:val="20"/>
          <w:lang w:val="fr-CA"/>
        </w:rPr>
        <w:t>Conseil de gestion des ressources fauniques du Nunavut</w:t>
      </w:r>
      <w:r w:rsidRPr="00EF295C">
        <w:rPr>
          <w:rFonts w:cs="Times New Roman"/>
          <w:bCs/>
          <w:sz w:val="20"/>
          <w:szCs w:val="20"/>
          <w:lang w:val="fr-CA"/>
        </w:rPr>
        <w:t xml:space="preserve"> et par les Chefs de l’Ontario dans les deux appels sont accueillies et les intervenants en question sont autorisés à chacun signifier et déposer un seul mémoire d’au plus dix (10) pages pour les deux appels, au plus tard le 4 novembre 2016. </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 xml:space="preserve">Les requêtes en autorisation d’intervenir présentées par Nunavut </w:t>
      </w:r>
      <w:proofErr w:type="spellStart"/>
      <w:r w:rsidRPr="00EF295C">
        <w:rPr>
          <w:rFonts w:cs="Times New Roman"/>
          <w:sz w:val="20"/>
          <w:szCs w:val="20"/>
          <w:lang w:val="fr-CA"/>
        </w:rPr>
        <w:t>Tunngavik</w:t>
      </w:r>
      <w:proofErr w:type="spellEnd"/>
      <w:r w:rsidRPr="00EF295C">
        <w:rPr>
          <w:rFonts w:cs="Times New Roman"/>
          <w:sz w:val="20"/>
          <w:szCs w:val="20"/>
          <w:lang w:val="fr-CA"/>
        </w:rPr>
        <w:t xml:space="preserve"> </w:t>
      </w:r>
      <w:proofErr w:type="spellStart"/>
      <w:r w:rsidRPr="00EF295C">
        <w:rPr>
          <w:rFonts w:cs="Times New Roman"/>
          <w:sz w:val="20"/>
          <w:szCs w:val="20"/>
          <w:lang w:val="fr-CA"/>
        </w:rPr>
        <w:t>Incorporated</w:t>
      </w:r>
      <w:proofErr w:type="spellEnd"/>
      <w:r w:rsidRPr="00EF295C">
        <w:rPr>
          <w:rFonts w:cs="Times New Roman"/>
          <w:sz w:val="20"/>
          <w:szCs w:val="20"/>
          <w:lang w:val="fr-CA"/>
        </w:rPr>
        <w:t xml:space="preserve">, la </w:t>
      </w:r>
      <w:proofErr w:type="spellStart"/>
      <w:r w:rsidRPr="00EF295C">
        <w:rPr>
          <w:rFonts w:cs="Times New Roman"/>
          <w:sz w:val="20"/>
          <w:szCs w:val="20"/>
          <w:lang w:val="fr-CA"/>
        </w:rPr>
        <w:t>Makivik</w:t>
      </w:r>
      <w:proofErr w:type="spellEnd"/>
      <w:r w:rsidRPr="00EF295C">
        <w:rPr>
          <w:rFonts w:cs="Times New Roman"/>
          <w:sz w:val="20"/>
          <w:szCs w:val="20"/>
          <w:lang w:val="fr-CA"/>
        </w:rPr>
        <w:t xml:space="preserve"> Corporation et l’</w:t>
      </w:r>
      <w:proofErr w:type="spellStart"/>
      <w:r w:rsidRPr="00EF295C">
        <w:rPr>
          <w:rFonts w:cs="Times New Roman"/>
          <w:sz w:val="20"/>
          <w:szCs w:val="20"/>
          <w:lang w:val="fr-CA"/>
        </w:rPr>
        <w:t>Inuvialuit</w:t>
      </w:r>
      <w:proofErr w:type="spellEnd"/>
      <w:r w:rsidRPr="00EF295C">
        <w:rPr>
          <w:rFonts w:cs="Times New Roman"/>
          <w:sz w:val="20"/>
          <w:szCs w:val="20"/>
          <w:lang w:val="fr-CA"/>
        </w:rPr>
        <w:t xml:space="preserve"> </w:t>
      </w:r>
      <w:proofErr w:type="spellStart"/>
      <w:r w:rsidRPr="00EF295C">
        <w:rPr>
          <w:rFonts w:cs="Times New Roman"/>
          <w:sz w:val="20"/>
          <w:szCs w:val="20"/>
          <w:lang w:val="fr-CA"/>
        </w:rPr>
        <w:t>Regional</w:t>
      </w:r>
      <w:proofErr w:type="spellEnd"/>
      <w:r w:rsidRPr="00EF295C">
        <w:rPr>
          <w:rFonts w:cs="Times New Roman"/>
          <w:sz w:val="20"/>
          <w:szCs w:val="20"/>
          <w:lang w:val="fr-CA"/>
        </w:rPr>
        <w:t xml:space="preserve"> Corporation sont accueillies et les intervenantes en question sont autorisées à chacune signifier et déposer un seul mémoire d’au plus dix (10) pages, au plus tard le 4 novembre 2016 dans l’appel </w:t>
      </w:r>
      <w:r w:rsidRPr="00EF295C">
        <w:rPr>
          <w:rFonts w:cs="Times New Roman"/>
          <w:i/>
          <w:sz w:val="20"/>
          <w:szCs w:val="20"/>
          <w:lang w:val="fr-CA"/>
        </w:rPr>
        <w:t xml:space="preserve">Hamlet of Clyde River et al. c. Petroleum </w:t>
      </w:r>
      <w:proofErr w:type="spellStart"/>
      <w:r w:rsidRPr="00EF295C">
        <w:rPr>
          <w:rFonts w:cs="Times New Roman"/>
          <w:i/>
          <w:sz w:val="20"/>
          <w:szCs w:val="20"/>
          <w:lang w:val="fr-CA"/>
        </w:rPr>
        <w:t>Geo</w:t>
      </w:r>
      <w:proofErr w:type="spellEnd"/>
      <w:r w:rsidRPr="00EF295C">
        <w:rPr>
          <w:rFonts w:cs="Times New Roman"/>
          <w:i/>
          <w:sz w:val="20"/>
          <w:szCs w:val="20"/>
          <w:lang w:val="fr-CA"/>
        </w:rPr>
        <w:t>-Services Inc. (PGS) et al. (36692)</w:t>
      </w:r>
      <w:r w:rsidRPr="00EF295C">
        <w:rPr>
          <w:rFonts w:cs="Times New Roman"/>
          <w:sz w:val="20"/>
          <w:szCs w:val="20"/>
          <w:lang w:val="fr-CA"/>
        </w:rPr>
        <w:t>.</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 xml:space="preserve">Les requêtes en autorisation d’intervenir présentées par le </w:t>
      </w:r>
      <w:r w:rsidRPr="00EF295C">
        <w:rPr>
          <w:rFonts w:cs="Times New Roman"/>
          <w:bCs/>
          <w:sz w:val="20"/>
          <w:szCs w:val="20"/>
          <w:lang w:val="fr-CA"/>
        </w:rPr>
        <w:t xml:space="preserve">Conseil Mohawk de </w:t>
      </w:r>
      <w:proofErr w:type="spellStart"/>
      <w:r w:rsidRPr="00EF295C">
        <w:rPr>
          <w:rFonts w:cs="Times New Roman"/>
          <w:bCs/>
          <w:sz w:val="20"/>
          <w:szCs w:val="20"/>
          <w:lang w:val="fr-CA"/>
        </w:rPr>
        <w:t>Kahnawake</w:t>
      </w:r>
      <w:proofErr w:type="spellEnd"/>
      <w:r w:rsidRPr="00EF295C">
        <w:rPr>
          <w:rFonts w:cs="Times New Roman"/>
          <w:bCs/>
          <w:sz w:val="20"/>
          <w:szCs w:val="20"/>
          <w:lang w:val="fr-CA"/>
        </w:rPr>
        <w:t xml:space="preserve">, </w:t>
      </w:r>
      <w:proofErr w:type="spellStart"/>
      <w:r w:rsidRPr="00EF295C">
        <w:rPr>
          <w:rFonts w:cs="Times New Roman"/>
          <w:bCs/>
          <w:sz w:val="20"/>
          <w:szCs w:val="20"/>
          <w:lang w:val="fr-CA"/>
        </w:rPr>
        <w:t>Suncor</w:t>
      </w:r>
      <w:proofErr w:type="spellEnd"/>
      <w:r w:rsidRPr="00EF295C">
        <w:rPr>
          <w:rFonts w:cs="Times New Roman"/>
          <w:bCs/>
          <w:sz w:val="20"/>
          <w:szCs w:val="20"/>
          <w:lang w:val="fr-CA"/>
        </w:rPr>
        <w:t xml:space="preserve"> </w:t>
      </w:r>
      <w:proofErr w:type="spellStart"/>
      <w:r w:rsidRPr="00EF295C">
        <w:rPr>
          <w:rFonts w:cs="Times New Roman"/>
          <w:bCs/>
          <w:sz w:val="20"/>
          <w:szCs w:val="20"/>
          <w:lang w:val="fr-CA"/>
        </w:rPr>
        <w:t>Energy</w:t>
      </w:r>
      <w:proofErr w:type="spellEnd"/>
      <w:r w:rsidRPr="00EF295C">
        <w:rPr>
          <w:rFonts w:cs="Times New Roman"/>
          <w:bCs/>
          <w:sz w:val="20"/>
          <w:szCs w:val="20"/>
          <w:lang w:val="fr-CA"/>
        </w:rPr>
        <w:t xml:space="preserve"> Marketing Inc. et la </w:t>
      </w:r>
      <w:proofErr w:type="spellStart"/>
      <w:r w:rsidRPr="00EF295C">
        <w:rPr>
          <w:rFonts w:cs="Times New Roman"/>
          <w:bCs/>
          <w:sz w:val="20"/>
          <w:szCs w:val="20"/>
          <w:lang w:val="fr-CA"/>
        </w:rPr>
        <w:t>Mississaugas</w:t>
      </w:r>
      <w:proofErr w:type="spellEnd"/>
      <w:r w:rsidRPr="00EF295C">
        <w:rPr>
          <w:rFonts w:cs="Times New Roman"/>
          <w:bCs/>
          <w:sz w:val="20"/>
          <w:szCs w:val="20"/>
          <w:lang w:val="fr-CA"/>
        </w:rPr>
        <w:t xml:space="preserve"> of the New </w:t>
      </w:r>
      <w:proofErr w:type="spellStart"/>
      <w:r w:rsidRPr="00EF295C">
        <w:rPr>
          <w:rFonts w:cs="Times New Roman"/>
          <w:bCs/>
          <w:sz w:val="20"/>
          <w:szCs w:val="20"/>
          <w:lang w:val="fr-CA"/>
        </w:rPr>
        <w:t>Credit</w:t>
      </w:r>
      <w:proofErr w:type="spellEnd"/>
      <w:r w:rsidRPr="00EF295C">
        <w:rPr>
          <w:rFonts w:cs="Times New Roman"/>
          <w:bCs/>
          <w:sz w:val="20"/>
          <w:szCs w:val="20"/>
          <w:lang w:val="fr-CA"/>
        </w:rPr>
        <w:t xml:space="preserve"> First Nation sont accueillies et les intervenants en question sont autorisés à chacun signifier et déposer un seul mémoire d’au plus dix (10) pages, au plus tard le 4 novembre 2016 dans l’appel </w:t>
      </w:r>
      <w:r w:rsidRPr="00EF295C">
        <w:rPr>
          <w:rFonts w:cs="Times New Roman"/>
          <w:bCs/>
          <w:i/>
          <w:sz w:val="20"/>
          <w:szCs w:val="20"/>
          <w:lang w:val="fr-CA"/>
        </w:rPr>
        <w:t xml:space="preserve">Chippewas of the Thames First Nation c. </w:t>
      </w:r>
      <w:proofErr w:type="spellStart"/>
      <w:r w:rsidRPr="00EF295C">
        <w:rPr>
          <w:rFonts w:cs="Times New Roman"/>
          <w:bCs/>
          <w:i/>
          <w:sz w:val="20"/>
          <w:szCs w:val="20"/>
          <w:lang w:val="fr-CA"/>
        </w:rPr>
        <w:t>Enbridge</w:t>
      </w:r>
      <w:proofErr w:type="spellEnd"/>
      <w:r w:rsidRPr="00EF295C">
        <w:rPr>
          <w:rFonts w:cs="Times New Roman"/>
          <w:bCs/>
          <w:i/>
          <w:sz w:val="20"/>
          <w:szCs w:val="20"/>
          <w:lang w:val="fr-CA"/>
        </w:rPr>
        <w:t xml:space="preserve"> Pipelines Inc. et al. (36776).</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bCs/>
          <w:sz w:val="20"/>
          <w:szCs w:val="20"/>
          <w:lang w:val="fr-CA"/>
        </w:rPr>
        <w:t>Les requêtes en autorisation d’intervenir présentées par la Chambre de commerce du Canada, par la Nation crie de Beaver Lake et la Nation crie d’</w:t>
      </w:r>
      <w:proofErr w:type="spellStart"/>
      <w:r w:rsidRPr="00EF295C">
        <w:rPr>
          <w:rFonts w:cs="Times New Roman"/>
          <w:bCs/>
          <w:sz w:val="20"/>
          <w:szCs w:val="20"/>
          <w:lang w:val="fr-CA"/>
        </w:rPr>
        <w:t>Ermineskin</w:t>
      </w:r>
      <w:proofErr w:type="spellEnd"/>
      <w:r w:rsidRPr="00EF295C">
        <w:rPr>
          <w:rFonts w:cs="Times New Roman"/>
          <w:bCs/>
          <w:sz w:val="20"/>
          <w:szCs w:val="20"/>
          <w:lang w:val="fr-CA"/>
        </w:rPr>
        <w:t xml:space="preserve"> (conjointement), par la </w:t>
      </w:r>
      <w:r w:rsidRPr="00EF295C">
        <w:rPr>
          <w:rFonts w:cs="Times New Roman"/>
          <w:sz w:val="20"/>
          <w:szCs w:val="20"/>
          <w:lang w:val="fr-CA"/>
        </w:rPr>
        <w:t xml:space="preserve">Première Nation crie </w:t>
      </w:r>
      <w:proofErr w:type="spellStart"/>
      <w:r w:rsidRPr="00EF295C">
        <w:rPr>
          <w:rFonts w:cs="Times New Roman"/>
          <w:sz w:val="20"/>
          <w:szCs w:val="20"/>
          <w:lang w:val="fr-CA"/>
        </w:rPr>
        <w:t>Mikisew</w:t>
      </w:r>
      <w:proofErr w:type="spellEnd"/>
      <w:r w:rsidRPr="00EF295C">
        <w:rPr>
          <w:rFonts w:cs="Times New Roman"/>
          <w:sz w:val="20"/>
          <w:szCs w:val="20"/>
          <w:lang w:val="fr-CA"/>
        </w:rPr>
        <w:t>, l</w:t>
      </w:r>
      <w:r w:rsidRPr="00EF295C">
        <w:rPr>
          <w:rFonts w:cs="Times New Roman"/>
          <w:bCs/>
          <w:sz w:val="20"/>
          <w:szCs w:val="20"/>
          <w:lang w:val="fr-CA"/>
        </w:rPr>
        <w:t xml:space="preserve">’Algonquins of </w:t>
      </w:r>
      <w:proofErr w:type="spellStart"/>
      <w:r w:rsidRPr="00EF295C">
        <w:rPr>
          <w:rFonts w:cs="Times New Roman"/>
          <w:bCs/>
          <w:sz w:val="20"/>
          <w:szCs w:val="20"/>
          <w:lang w:val="fr-CA"/>
        </w:rPr>
        <w:t>Pikwakanagan</w:t>
      </w:r>
      <w:proofErr w:type="spellEnd"/>
      <w:r w:rsidRPr="00EF295C">
        <w:rPr>
          <w:rFonts w:cs="Times New Roman"/>
          <w:bCs/>
          <w:sz w:val="20"/>
          <w:szCs w:val="20"/>
          <w:lang w:val="fr-CA"/>
        </w:rPr>
        <w:t xml:space="preserve"> First Nation, la </w:t>
      </w:r>
      <w:proofErr w:type="spellStart"/>
      <w:r w:rsidRPr="00EF295C">
        <w:rPr>
          <w:rFonts w:cs="Times New Roman"/>
          <w:bCs/>
          <w:sz w:val="20"/>
          <w:szCs w:val="20"/>
          <w:lang w:val="fr-CA"/>
        </w:rPr>
        <w:t>Tsleil-Waututh</w:t>
      </w:r>
      <w:proofErr w:type="spellEnd"/>
      <w:r w:rsidRPr="00EF295C">
        <w:rPr>
          <w:rFonts w:cs="Times New Roman"/>
          <w:bCs/>
          <w:sz w:val="20"/>
          <w:szCs w:val="20"/>
          <w:lang w:val="fr-CA"/>
        </w:rPr>
        <w:t xml:space="preserve"> Nation, l’Office national de l’énergie, </w:t>
      </w:r>
      <w:proofErr w:type="spellStart"/>
      <w:r w:rsidRPr="00EF295C">
        <w:rPr>
          <w:rFonts w:cs="Times New Roman"/>
          <w:bCs/>
          <w:sz w:val="20"/>
          <w:szCs w:val="20"/>
          <w:lang w:val="fr-CA"/>
        </w:rPr>
        <w:t>Amnestie</w:t>
      </w:r>
      <w:proofErr w:type="spellEnd"/>
      <w:r w:rsidRPr="00EF295C">
        <w:rPr>
          <w:rFonts w:cs="Times New Roman"/>
          <w:bCs/>
          <w:sz w:val="20"/>
          <w:szCs w:val="20"/>
          <w:lang w:val="fr-CA"/>
        </w:rPr>
        <w:t xml:space="preserve"> internationale, par </w:t>
      </w:r>
      <w:r w:rsidRPr="00EF295C">
        <w:rPr>
          <w:rFonts w:cs="Times New Roman"/>
          <w:sz w:val="20"/>
          <w:szCs w:val="20"/>
          <w:lang w:val="fr-CA"/>
        </w:rPr>
        <w:t xml:space="preserve">Charlie Watt, Rosemarie </w:t>
      </w:r>
      <w:proofErr w:type="spellStart"/>
      <w:r w:rsidRPr="00EF295C">
        <w:rPr>
          <w:rFonts w:cs="Times New Roman"/>
          <w:sz w:val="20"/>
          <w:szCs w:val="20"/>
          <w:lang w:val="fr-CA"/>
        </w:rPr>
        <w:t>Kuptana</w:t>
      </w:r>
      <w:proofErr w:type="spellEnd"/>
      <w:r w:rsidRPr="00EF295C">
        <w:rPr>
          <w:rFonts w:cs="Times New Roman"/>
          <w:sz w:val="20"/>
          <w:szCs w:val="20"/>
          <w:lang w:val="fr-CA"/>
        </w:rPr>
        <w:t xml:space="preserve">, Peter </w:t>
      </w:r>
      <w:proofErr w:type="spellStart"/>
      <w:r w:rsidRPr="00EF295C">
        <w:rPr>
          <w:rFonts w:cs="Times New Roman"/>
          <w:sz w:val="20"/>
          <w:szCs w:val="20"/>
          <w:lang w:val="fr-CA"/>
        </w:rPr>
        <w:t>Ittinuar</w:t>
      </w:r>
      <w:proofErr w:type="spellEnd"/>
      <w:r w:rsidRPr="00EF295C">
        <w:rPr>
          <w:rFonts w:cs="Times New Roman"/>
          <w:sz w:val="20"/>
          <w:szCs w:val="20"/>
          <w:lang w:val="fr-CA"/>
        </w:rPr>
        <w:t xml:space="preserve"> et </w:t>
      </w:r>
      <w:proofErr w:type="spellStart"/>
      <w:r w:rsidRPr="00EF295C">
        <w:rPr>
          <w:rFonts w:cs="Times New Roman"/>
          <w:sz w:val="20"/>
          <w:szCs w:val="20"/>
          <w:lang w:val="fr-CA"/>
        </w:rPr>
        <w:t>Tagak</w:t>
      </w:r>
      <w:proofErr w:type="spellEnd"/>
      <w:r w:rsidRPr="00EF295C">
        <w:rPr>
          <w:rFonts w:cs="Times New Roman"/>
          <w:sz w:val="20"/>
          <w:szCs w:val="20"/>
          <w:lang w:val="fr-CA"/>
        </w:rPr>
        <w:t xml:space="preserve"> </w:t>
      </w:r>
      <w:proofErr w:type="spellStart"/>
      <w:r w:rsidRPr="00EF295C">
        <w:rPr>
          <w:rFonts w:cs="Times New Roman"/>
          <w:sz w:val="20"/>
          <w:szCs w:val="20"/>
          <w:lang w:val="fr-CA"/>
        </w:rPr>
        <w:t>Curley</w:t>
      </w:r>
      <w:proofErr w:type="spellEnd"/>
      <w:r w:rsidRPr="00EF295C">
        <w:rPr>
          <w:rFonts w:cs="Times New Roman"/>
          <w:sz w:val="20"/>
          <w:szCs w:val="20"/>
          <w:lang w:val="fr-CA"/>
        </w:rPr>
        <w:t xml:space="preserve"> (conjointement), par </w:t>
      </w:r>
      <w:r w:rsidRPr="00EF295C">
        <w:rPr>
          <w:rFonts w:cs="Times New Roman"/>
          <w:bCs/>
          <w:sz w:val="20"/>
          <w:szCs w:val="20"/>
          <w:lang w:val="fr-CA"/>
        </w:rPr>
        <w:t xml:space="preserve">la </w:t>
      </w:r>
      <w:proofErr w:type="spellStart"/>
      <w:r w:rsidRPr="00EF295C">
        <w:rPr>
          <w:rFonts w:cs="Times New Roman"/>
          <w:bCs/>
          <w:sz w:val="20"/>
          <w:szCs w:val="20"/>
          <w:lang w:val="fr-CA"/>
        </w:rPr>
        <w:t>Prophet</w:t>
      </w:r>
      <w:proofErr w:type="spellEnd"/>
      <w:r w:rsidRPr="00EF295C">
        <w:rPr>
          <w:rFonts w:cs="Times New Roman"/>
          <w:bCs/>
          <w:sz w:val="20"/>
          <w:szCs w:val="20"/>
          <w:lang w:val="fr-CA"/>
        </w:rPr>
        <w:t xml:space="preserve"> River First Nation et les West </w:t>
      </w:r>
      <w:proofErr w:type="spellStart"/>
      <w:r w:rsidRPr="00EF295C">
        <w:rPr>
          <w:rFonts w:cs="Times New Roman"/>
          <w:bCs/>
          <w:sz w:val="20"/>
          <w:szCs w:val="20"/>
          <w:lang w:val="fr-CA"/>
        </w:rPr>
        <w:t>Moberly</w:t>
      </w:r>
      <w:proofErr w:type="spellEnd"/>
      <w:r w:rsidRPr="00EF295C">
        <w:rPr>
          <w:rFonts w:cs="Times New Roman"/>
          <w:bCs/>
          <w:sz w:val="20"/>
          <w:szCs w:val="20"/>
          <w:lang w:val="fr-CA"/>
        </w:rPr>
        <w:t xml:space="preserve"> First Nations (conjointement) et par la Nation </w:t>
      </w:r>
      <w:proofErr w:type="spellStart"/>
      <w:r w:rsidRPr="00EF295C">
        <w:rPr>
          <w:rFonts w:cs="Times New Roman"/>
          <w:bCs/>
          <w:sz w:val="20"/>
          <w:szCs w:val="20"/>
          <w:lang w:val="fr-CA"/>
        </w:rPr>
        <w:t>Haisla</w:t>
      </w:r>
      <w:proofErr w:type="spellEnd"/>
      <w:r w:rsidRPr="00EF295C">
        <w:rPr>
          <w:rFonts w:cs="Times New Roman"/>
          <w:bCs/>
          <w:sz w:val="20"/>
          <w:szCs w:val="20"/>
          <w:lang w:val="fr-CA"/>
        </w:rPr>
        <w:t xml:space="preserve"> sont rejetées.</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lastRenderedPageBreak/>
        <w:t>Les décisions sur les demandes en vue de présenter une plaidoirie orale seront rendues après réception et examen des arguments écrits des parties et des intervenants.</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Les appelants et les intimés dans les deux appels sont autorisés à chacun signifier et déposer un seul mémoire d’au plus dix (10) pages / de 10 pages en réponse à ces interventions au plus tard le 18 novembre 2016.</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b/>
          <w:sz w:val="20"/>
          <w:szCs w:val="20"/>
          <w:lang w:val="fr-CA"/>
        </w:rPr>
      </w:pPr>
      <w:r w:rsidRPr="00EF295C">
        <w:rPr>
          <w:rFonts w:cs="Times New Roman"/>
          <w:b/>
          <w:sz w:val="20"/>
          <w:szCs w:val="20"/>
          <w:lang w:val="fr-CA"/>
        </w:rPr>
        <w:t>Les intervenants n’ont pas le droit de soulever de nouvelles questions, de produire d’autres éléments de preuve, ni de compléter de quelque autre façon le dossier des parties.</w:t>
      </w:r>
    </w:p>
    <w:p w:rsidR="00ED3D48" w:rsidRPr="00EF295C" w:rsidRDefault="00ED3D48" w:rsidP="00ED3D48">
      <w:pPr>
        <w:spacing w:line="233" w:lineRule="auto"/>
        <w:jc w:val="both"/>
        <w:rPr>
          <w:rFonts w:cs="Times New Roman"/>
          <w:sz w:val="20"/>
          <w:szCs w:val="20"/>
          <w:lang w:val="fr-CA"/>
        </w:rPr>
      </w:pPr>
    </w:p>
    <w:p w:rsidR="00ED3D48" w:rsidRPr="00EF295C" w:rsidRDefault="00ED3D48" w:rsidP="00ED3D48">
      <w:pPr>
        <w:spacing w:line="233" w:lineRule="auto"/>
        <w:jc w:val="both"/>
        <w:rPr>
          <w:rFonts w:cs="Times New Roman"/>
          <w:sz w:val="20"/>
          <w:szCs w:val="20"/>
          <w:lang w:val="fr-CA"/>
        </w:rPr>
      </w:pPr>
      <w:r w:rsidRPr="00EF295C">
        <w:rPr>
          <w:rFonts w:cs="Times New Roman"/>
          <w:sz w:val="20"/>
          <w:szCs w:val="20"/>
          <w:lang w:val="fr-CA"/>
        </w:rPr>
        <w:t xml:space="preserve">Conformément à l’alinéa 59(1)a) des </w:t>
      </w:r>
      <w:r w:rsidRPr="00EF295C">
        <w:rPr>
          <w:rFonts w:cs="Times New Roman"/>
          <w:i/>
          <w:sz w:val="20"/>
          <w:szCs w:val="20"/>
          <w:lang w:val="fr-CA"/>
        </w:rPr>
        <w:t>Règles de la Cour suprême du Canada</w:t>
      </w:r>
      <w:r w:rsidRPr="00EF295C">
        <w:rPr>
          <w:rFonts w:cs="Times New Roman"/>
          <w:sz w:val="20"/>
          <w:szCs w:val="20"/>
          <w:lang w:val="fr-CA"/>
        </w:rPr>
        <w:t>, les intervenants paieront à l’appelant ou aux appelants et aux intimés correspondants tous dépens supplémentaires résultant de leur intervention.</w:t>
      </w:r>
    </w:p>
    <w:p w:rsidR="00ED3D48" w:rsidRPr="00EF295C" w:rsidRDefault="00ED3D48" w:rsidP="00ED3D48">
      <w:pPr>
        <w:tabs>
          <w:tab w:val="left" w:pos="-1440"/>
          <w:tab w:val="left" w:pos="-720"/>
        </w:tabs>
        <w:jc w:val="both"/>
        <w:rPr>
          <w:rFonts w:cs="Times New Roman"/>
          <w:sz w:val="20"/>
          <w:szCs w:val="20"/>
          <w:lang w:val="fr-CA"/>
        </w:rPr>
      </w:pPr>
    </w:p>
    <w:p w:rsidR="00ED3D48" w:rsidRPr="00EF295C" w:rsidRDefault="002E5FCE" w:rsidP="00ED3D48">
      <w:pPr>
        <w:tabs>
          <w:tab w:val="left" w:pos="-1440"/>
          <w:tab w:val="left" w:pos="-720"/>
        </w:tabs>
        <w:jc w:val="both"/>
        <w:rPr>
          <w:rFonts w:cs="Times New Roman"/>
          <w:sz w:val="20"/>
          <w:szCs w:val="20"/>
        </w:rPr>
      </w:pPr>
      <w:r>
        <w:rPr>
          <w:rFonts w:cs="Times New Roman"/>
          <w:sz w:val="20"/>
          <w:szCs w:val="20"/>
          <w:lang w:val="fr-CA"/>
        </w:rPr>
        <w:pict>
          <v:rect id="_x0000_i1064" style="width:2in;height:1pt" o:hrpct="0" o:hralign="center" o:hrstd="t" o:hrnoshade="t" o:hr="t" fillcolor="black [3213]" stroked="f"/>
        </w:pict>
      </w:r>
    </w:p>
    <w:p w:rsidR="00ED3D48" w:rsidRPr="00EF295C" w:rsidRDefault="00ED3D48" w:rsidP="00ED3D48">
      <w:pPr>
        <w:tabs>
          <w:tab w:val="left" w:pos="-1440"/>
          <w:tab w:val="left" w:pos="-720"/>
        </w:tabs>
        <w:jc w:val="both"/>
        <w:rPr>
          <w:rFonts w:cs="Times New Roman"/>
          <w:sz w:val="20"/>
          <w:szCs w:val="20"/>
        </w:rPr>
      </w:pPr>
    </w:p>
    <w:p w:rsidR="00ED3D48" w:rsidRPr="00EF295C" w:rsidRDefault="00ED3D48" w:rsidP="00ED3D48">
      <w:pPr>
        <w:rPr>
          <w:rFonts w:cs="Times New Roman"/>
          <w:sz w:val="20"/>
          <w:szCs w:val="20"/>
          <w:lang w:val="fr-CA"/>
        </w:rPr>
      </w:pPr>
    </w:p>
    <w:p w:rsidR="00ED3D48" w:rsidRPr="00EF295C" w:rsidRDefault="00ED3D48" w:rsidP="00ED3D48">
      <w:pPr>
        <w:tabs>
          <w:tab w:val="left" w:pos="-1440"/>
          <w:tab w:val="left" w:pos="-720"/>
        </w:tabs>
        <w:jc w:val="both"/>
        <w:rPr>
          <w:rFonts w:cs="Times New Roman"/>
          <w:sz w:val="20"/>
          <w:szCs w:val="20"/>
          <w:lang w:val="fr-CA"/>
        </w:rPr>
      </w:pPr>
      <w:r w:rsidRPr="00EF295C">
        <w:rPr>
          <w:rFonts w:cs="Times New Roman"/>
          <w:sz w:val="20"/>
          <w:szCs w:val="20"/>
          <w:lang w:val="fr-CA"/>
        </w:rPr>
        <w:t>14.09.2016</w:t>
      </w:r>
    </w:p>
    <w:p w:rsidR="00ED3D48" w:rsidRPr="00EF295C" w:rsidRDefault="00ED3D48" w:rsidP="00ED3D48">
      <w:pPr>
        <w:tabs>
          <w:tab w:val="left" w:pos="-1440"/>
          <w:tab w:val="left" w:pos="-720"/>
        </w:tabs>
        <w:jc w:val="both"/>
        <w:rPr>
          <w:rFonts w:cs="Times New Roman"/>
          <w:sz w:val="20"/>
          <w:szCs w:val="20"/>
          <w:lang w:val="fr-CA"/>
        </w:rPr>
      </w:pPr>
    </w:p>
    <w:p w:rsidR="00ED3D48" w:rsidRPr="00EF295C" w:rsidRDefault="00ED3D48" w:rsidP="00ED3D48">
      <w:pPr>
        <w:tabs>
          <w:tab w:val="left" w:pos="-1440"/>
          <w:tab w:val="left" w:pos="-720"/>
        </w:tabs>
        <w:jc w:val="both"/>
        <w:rPr>
          <w:rFonts w:cs="Times New Roman"/>
          <w:sz w:val="20"/>
          <w:szCs w:val="20"/>
        </w:rPr>
      </w:pPr>
      <w:proofErr w:type="spellStart"/>
      <w:r w:rsidRPr="00EF295C">
        <w:rPr>
          <w:rFonts w:cs="Times New Roman"/>
          <w:sz w:val="20"/>
          <w:szCs w:val="20"/>
          <w:lang w:val="fr-CA"/>
        </w:rPr>
        <w:t>Before</w:t>
      </w:r>
      <w:proofErr w:type="spellEnd"/>
      <w:r w:rsidRPr="00EF295C">
        <w:rPr>
          <w:rFonts w:cs="Times New Roman"/>
          <w:sz w:val="20"/>
          <w:szCs w:val="20"/>
          <w:lang w:val="fr-CA"/>
        </w:rPr>
        <w:t xml:space="preserve"> / Devant:   </w:t>
      </w:r>
      <w:r w:rsidRPr="00EF295C">
        <w:rPr>
          <w:rFonts w:cs="Times New Roman"/>
          <w:sz w:val="20"/>
          <w:szCs w:val="20"/>
        </w:rPr>
        <w:t>THE REGISTRAR / LE REGISTRAIRE</w:t>
      </w:r>
    </w:p>
    <w:p w:rsidR="00ED3D48" w:rsidRPr="00EF295C" w:rsidRDefault="00ED3D48" w:rsidP="00ED3D4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D3D48" w:rsidRPr="00EF295C" w:rsidTr="005D7A3E">
        <w:trPr>
          <w:trHeight w:val="151"/>
        </w:trPr>
        <w:tc>
          <w:tcPr>
            <w:tcW w:w="4338" w:type="dxa"/>
          </w:tcPr>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proofErr w:type="spellStart"/>
            <w:r w:rsidRPr="00EF295C">
              <w:rPr>
                <w:rFonts w:cs="Times New Roman"/>
                <w:b/>
                <w:bCs/>
                <w:sz w:val="20"/>
                <w:szCs w:val="20"/>
                <w:lang w:val="fr-CA"/>
              </w:rPr>
              <w:t>Miscellaneous</w:t>
            </w:r>
            <w:proofErr w:type="spellEnd"/>
            <w:r w:rsidRPr="00EF295C">
              <w:rPr>
                <w:rFonts w:cs="Times New Roman"/>
                <w:b/>
                <w:bCs/>
                <w:sz w:val="20"/>
                <w:szCs w:val="20"/>
                <w:lang w:val="fr-CA"/>
              </w:rPr>
              <w:t xml:space="preserve"> motion</w:t>
            </w:r>
          </w:p>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p>
        </w:tc>
        <w:tc>
          <w:tcPr>
            <w:tcW w:w="1170" w:type="dxa"/>
          </w:tcPr>
          <w:p w:rsidR="00ED3D48" w:rsidRPr="00EF295C" w:rsidRDefault="00ED3D48" w:rsidP="005D7A3E">
            <w:pPr>
              <w:jc w:val="both"/>
              <w:rPr>
                <w:rFonts w:cs="Times New Roman"/>
                <w:sz w:val="20"/>
                <w:szCs w:val="20"/>
                <w:lang w:val="fr-CA"/>
              </w:rPr>
            </w:pPr>
          </w:p>
          <w:p w:rsidR="00ED3D48" w:rsidRPr="00EF295C" w:rsidRDefault="00ED3D48" w:rsidP="005D7A3E">
            <w:pPr>
              <w:jc w:val="both"/>
              <w:rPr>
                <w:rFonts w:cs="Times New Roman"/>
                <w:sz w:val="20"/>
                <w:szCs w:val="20"/>
                <w:lang w:val="fr-CA"/>
              </w:rPr>
            </w:pPr>
          </w:p>
        </w:tc>
        <w:tc>
          <w:tcPr>
            <w:tcW w:w="4327" w:type="dxa"/>
          </w:tcPr>
          <w:p w:rsidR="00ED3D48" w:rsidRPr="00EF295C" w:rsidRDefault="00ED3D48" w:rsidP="005D7A3E">
            <w:pPr>
              <w:jc w:val="both"/>
              <w:rPr>
                <w:rFonts w:cs="Times New Roman"/>
                <w:b/>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r w:rsidRPr="00EF295C">
              <w:rPr>
                <w:rFonts w:cs="Times New Roman"/>
                <w:b/>
                <w:bCs/>
                <w:sz w:val="20"/>
                <w:szCs w:val="20"/>
                <w:lang w:val="fr-CA"/>
              </w:rPr>
              <w:t>Requête diverse</w:t>
            </w:r>
          </w:p>
          <w:p w:rsidR="00ED3D48" w:rsidRPr="00EF295C" w:rsidRDefault="00ED3D48" w:rsidP="005D7A3E">
            <w:pPr>
              <w:jc w:val="both"/>
              <w:rPr>
                <w:rFonts w:cs="Times New Roman"/>
                <w:b/>
                <w:sz w:val="20"/>
                <w:szCs w:val="20"/>
                <w:lang w:val="fr-CA"/>
              </w:rPr>
            </w:pPr>
            <w:r w:rsidRPr="00EF295C">
              <w:rPr>
                <w:rFonts w:cs="Times New Roman"/>
                <w:b/>
                <w:sz w:val="20"/>
                <w:szCs w:val="20"/>
              </w:rPr>
              <w:fldChar w:fldCharType="begin"/>
            </w:r>
            <w:r w:rsidRPr="00EF295C">
              <w:rPr>
                <w:rFonts w:cs="Times New Roman"/>
                <w:b/>
                <w:sz w:val="20"/>
                <w:szCs w:val="20"/>
                <w:lang w:val="fr-CA"/>
              </w:rPr>
              <w:instrText xml:space="preserve"> SEQ CHAPTER \h \r 1</w:instrText>
            </w:r>
            <w:r w:rsidRPr="00EF295C">
              <w:rPr>
                <w:rFonts w:cs="Times New Roman"/>
                <w:b/>
                <w:sz w:val="20"/>
                <w:szCs w:val="20"/>
              </w:rPr>
              <w:fldChar w:fldCharType="end"/>
            </w:r>
            <w:r w:rsidRPr="00EF295C">
              <w:rPr>
                <w:rFonts w:cs="Times New Roman"/>
                <w:b/>
                <w:sz w:val="20"/>
                <w:szCs w:val="20"/>
              </w:rPr>
              <w:fldChar w:fldCharType="begin"/>
            </w:r>
            <w:r w:rsidRPr="00EF295C">
              <w:rPr>
                <w:rFonts w:cs="Times New Roman"/>
                <w:b/>
                <w:sz w:val="20"/>
                <w:szCs w:val="20"/>
                <w:lang w:val="fr-CA"/>
              </w:rPr>
              <w:instrText xml:space="preserve"> SEQ CHAPTER \h \r 1</w:instrText>
            </w:r>
            <w:r w:rsidRPr="00EF295C">
              <w:rPr>
                <w:rFonts w:cs="Times New Roman"/>
                <w:b/>
                <w:sz w:val="20"/>
                <w:szCs w:val="20"/>
              </w:rPr>
              <w:fldChar w:fldCharType="end"/>
            </w:r>
          </w:p>
        </w:tc>
      </w:tr>
      <w:tr w:rsidR="00ED3D48" w:rsidRPr="00EF295C" w:rsidTr="005D7A3E">
        <w:trPr>
          <w:trHeight w:val="150"/>
        </w:trPr>
        <w:tc>
          <w:tcPr>
            <w:tcW w:w="4338" w:type="dxa"/>
          </w:tcPr>
          <w:p w:rsidR="00ED3D48" w:rsidRPr="00EF295C" w:rsidRDefault="00ED3D48" w:rsidP="005D7A3E">
            <w:pPr>
              <w:tabs>
                <w:tab w:val="left" w:pos="-1440"/>
                <w:tab w:val="left" w:pos="-720"/>
              </w:tabs>
              <w:jc w:val="both"/>
              <w:rPr>
                <w:rFonts w:cs="Times New Roman"/>
                <w:sz w:val="20"/>
                <w:szCs w:val="20"/>
              </w:rPr>
            </w:pPr>
            <w:r w:rsidRPr="00EF295C">
              <w:rPr>
                <w:rFonts w:cs="Times New Roman"/>
                <w:sz w:val="20"/>
                <w:szCs w:val="20"/>
              </w:rPr>
              <w:t>P.M.</w:t>
            </w:r>
          </w:p>
          <w:p w:rsidR="00ED3D48" w:rsidRPr="00EF295C" w:rsidRDefault="00ED3D48" w:rsidP="005D7A3E">
            <w:pPr>
              <w:tabs>
                <w:tab w:val="left" w:pos="-1440"/>
                <w:tab w:val="left" w:pos="-720"/>
              </w:tabs>
              <w:jc w:val="both"/>
              <w:rPr>
                <w:rFonts w:cs="Times New Roman"/>
                <w:sz w:val="20"/>
                <w:szCs w:val="20"/>
              </w:rPr>
            </w:pPr>
          </w:p>
          <w:p w:rsidR="00ED3D48" w:rsidRPr="00EF295C" w:rsidRDefault="00ED3D48" w:rsidP="005D7A3E">
            <w:pPr>
              <w:tabs>
                <w:tab w:val="left" w:pos="-1440"/>
                <w:tab w:val="left" w:pos="-720"/>
              </w:tabs>
              <w:jc w:val="both"/>
              <w:rPr>
                <w:rFonts w:cs="Times New Roman"/>
                <w:sz w:val="20"/>
                <w:szCs w:val="20"/>
              </w:rPr>
            </w:pPr>
            <w:r w:rsidRPr="00EF295C">
              <w:rPr>
                <w:rFonts w:cs="Times New Roman"/>
                <w:sz w:val="20"/>
                <w:szCs w:val="20"/>
              </w:rPr>
              <w:tab/>
              <w:t>v. (36913)</w:t>
            </w:r>
          </w:p>
          <w:p w:rsidR="00ED3D48" w:rsidRPr="00EF295C" w:rsidRDefault="00ED3D48" w:rsidP="005D7A3E">
            <w:pPr>
              <w:tabs>
                <w:tab w:val="left" w:pos="-1440"/>
                <w:tab w:val="left" w:pos="-720"/>
              </w:tabs>
              <w:jc w:val="both"/>
              <w:rPr>
                <w:rFonts w:cs="Times New Roman"/>
                <w:sz w:val="20"/>
                <w:szCs w:val="20"/>
              </w:rPr>
            </w:pPr>
          </w:p>
          <w:p w:rsidR="00ED3D48" w:rsidRPr="00EF295C" w:rsidRDefault="00ED3D48" w:rsidP="005D7A3E">
            <w:pPr>
              <w:tabs>
                <w:tab w:val="left" w:pos="-1440"/>
                <w:tab w:val="left" w:pos="-720"/>
              </w:tabs>
              <w:jc w:val="both"/>
              <w:rPr>
                <w:rFonts w:cs="Times New Roman"/>
                <w:sz w:val="20"/>
                <w:szCs w:val="20"/>
              </w:rPr>
            </w:pPr>
            <w:r w:rsidRPr="00EF295C">
              <w:rPr>
                <w:rFonts w:cs="Times New Roman"/>
                <w:sz w:val="20"/>
                <w:szCs w:val="20"/>
              </w:rPr>
              <w:t>Children’s Aid Society of Toronto (Ont.)</w:t>
            </w:r>
          </w:p>
        </w:tc>
        <w:tc>
          <w:tcPr>
            <w:tcW w:w="1170" w:type="dxa"/>
          </w:tcPr>
          <w:p w:rsidR="00ED3D48" w:rsidRPr="00EF295C" w:rsidRDefault="00ED3D48" w:rsidP="005D7A3E">
            <w:pPr>
              <w:jc w:val="both"/>
              <w:rPr>
                <w:rFonts w:cs="Times New Roman"/>
                <w:sz w:val="20"/>
                <w:szCs w:val="20"/>
              </w:rPr>
            </w:pPr>
          </w:p>
        </w:tc>
        <w:tc>
          <w:tcPr>
            <w:tcW w:w="4327" w:type="dxa"/>
          </w:tcPr>
          <w:p w:rsidR="00ED3D48" w:rsidRPr="00EF295C" w:rsidRDefault="00ED3D48" w:rsidP="005D7A3E">
            <w:pPr>
              <w:jc w:val="both"/>
              <w:rPr>
                <w:rFonts w:cs="Times New Roman"/>
                <w:sz w:val="20"/>
                <w:szCs w:val="20"/>
              </w:rPr>
            </w:pPr>
          </w:p>
        </w:tc>
      </w:tr>
    </w:tbl>
    <w:p w:rsidR="00ED3D48" w:rsidRPr="00EF295C" w:rsidRDefault="00ED3D48" w:rsidP="00ED3D48">
      <w:pPr>
        <w:tabs>
          <w:tab w:val="left" w:pos="-1440"/>
          <w:tab w:val="left" w:pos="-720"/>
        </w:tabs>
        <w:jc w:val="both"/>
        <w:rPr>
          <w:rFonts w:cs="Times New Roman"/>
          <w:sz w:val="20"/>
          <w:szCs w:val="20"/>
        </w:rPr>
      </w:pPr>
    </w:p>
    <w:p w:rsidR="00ED3D48" w:rsidRPr="00EF295C" w:rsidRDefault="00ED3D48" w:rsidP="00ED3D48">
      <w:pPr>
        <w:tabs>
          <w:tab w:val="left" w:pos="-1440"/>
          <w:tab w:val="left" w:pos="-720"/>
        </w:tabs>
        <w:jc w:val="both"/>
        <w:rPr>
          <w:rFonts w:cs="Times New Roman"/>
          <w:sz w:val="20"/>
          <w:szCs w:val="20"/>
        </w:rPr>
      </w:pPr>
      <w:r w:rsidRPr="00EF295C">
        <w:rPr>
          <w:rFonts w:cs="Times New Roman"/>
          <w:b/>
          <w:sz w:val="20"/>
          <w:szCs w:val="20"/>
        </w:rPr>
        <w:t>GRANTED / ACCORDÉE</w:t>
      </w:r>
    </w:p>
    <w:p w:rsidR="00ED3D48" w:rsidRPr="00EF295C" w:rsidRDefault="00ED3D48" w:rsidP="00ED3D48">
      <w:pPr>
        <w:rPr>
          <w:rFonts w:cs="Times New Roman"/>
          <w:sz w:val="20"/>
          <w:szCs w:val="20"/>
        </w:rPr>
      </w:pPr>
    </w:p>
    <w:p w:rsidR="00ED3D48" w:rsidRPr="00EF295C" w:rsidRDefault="00ED3D48" w:rsidP="00ED3D48">
      <w:pPr>
        <w:jc w:val="both"/>
        <w:rPr>
          <w:rFonts w:cs="Times New Roman"/>
          <w:sz w:val="20"/>
          <w:szCs w:val="20"/>
        </w:rPr>
      </w:pPr>
      <w:r w:rsidRPr="00EF295C">
        <w:rPr>
          <w:rFonts w:cs="Times New Roman"/>
          <w:b/>
          <w:sz w:val="20"/>
          <w:szCs w:val="20"/>
        </w:rPr>
        <w:t>UPON APPLICATION</w:t>
      </w:r>
      <w:r w:rsidRPr="00EF295C">
        <w:rPr>
          <w:rFonts w:cs="Times New Roman"/>
          <w:sz w:val="20"/>
          <w:szCs w:val="20"/>
        </w:rPr>
        <w:t xml:space="preserve"> </w:t>
      </w:r>
      <w:r w:rsidRPr="00EF295C">
        <w:rPr>
          <w:rFonts w:cs="Times New Roman"/>
          <w:sz w:val="20"/>
          <w:szCs w:val="20"/>
        </w:rPr>
        <w:fldChar w:fldCharType="begin"/>
      </w:r>
      <w:r w:rsidRPr="00EF295C">
        <w:rPr>
          <w:rFonts w:cs="Times New Roman"/>
          <w:sz w:val="20"/>
          <w:szCs w:val="20"/>
        </w:rPr>
        <w:instrText xml:space="preserve"> SEQ CHAPTER \h \r 1</w:instrText>
      </w:r>
      <w:r w:rsidRPr="00EF295C">
        <w:rPr>
          <w:rFonts w:cs="Times New Roman"/>
          <w:sz w:val="20"/>
          <w:szCs w:val="20"/>
        </w:rPr>
        <w:fldChar w:fldCharType="end"/>
      </w:r>
      <w:r w:rsidRPr="00EF295C">
        <w:rPr>
          <w:rFonts w:cs="Times New Roman"/>
          <w:sz w:val="20"/>
          <w:szCs w:val="20"/>
        </w:rPr>
        <w:t xml:space="preserve">by the applicant pursuant to Rule 32(2) of the </w:t>
      </w:r>
      <w:r w:rsidRPr="00EF295C">
        <w:rPr>
          <w:rFonts w:cs="Times New Roman"/>
          <w:i/>
          <w:sz w:val="20"/>
          <w:szCs w:val="20"/>
        </w:rPr>
        <w:t>Rules of the Supreme Court of Canada</w:t>
      </w:r>
      <w:r w:rsidRPr="00EF295C">
        <w:rPr>
          <w:rFonts w:cs="Times New Roman"/>
          <w:sz w:val="20"/>
          <w:szCs w:val="20"/>
        </w:rPr>
        <w:t xml:space="preserve"> for an order to file additional materials. </w:t>
      </w:r>
    </w:p>
    <w:p w:rsidR="00ED3D48" w:rsidRPr="00EF295C" w:rsidRDefault="00ED3D48" w:rsidP="00ED3D48">
      <w:pPr>
        <w:jc w:val="both"/>
        <w:rPr>
          <w:rFonts w:cs="Times New Roman"/>
          <w:sz w:val="20"/>
          <w:szCs w:val="20"/>
        </w:rPr>
      </w:pPr>
    </w:p>
    <w:p w:rsidR="00ED3D48" w:rsidRPr="00EF295C" w:rsidRDefault="00ED3D48" w:rsidP="00ED3D48">
      <w:pPr>
        <w:rPr>
          <w:rFonts w:cs="Times New Roman"/>
          <w:sz w:val="20"/>
          <w:szCs w:val="20"/>
        </w:rPr>
      </w:pPr>
      <w:r w:rsidRPr="00EF295C">
        <w:rPr>
          <w:rFonts w:cs="Times New Roman"/>
          <w:sz w:val="20"/>
          <w:szCs w:val="20"/>
        </w:rPr>
        <w:fldChar w:fldCharType="begin"/>
      </w:r>
      <w:r w:rsidRPr="00EF295C">
        <w:rPr>
          <w:rFonts w:cs="Times New Roman"/>
          <w:sz w:val="20"/>
          <w:szCs w:val="20"/>
        </w:rPr>
        <w:instrText xml:space="preserve"> SEQ CHAPTER \h \r 1</w:instrText>
      </w:r>
      <w:r w:rsidRPr="00EF295C">
        <w:rPr>
          <w:rFonts w:cs="Times New Roman"/>
          <w:sz w:val="20"/>
          <w:szCs w:val="20"/>
        </w:rPr>
        <w:fldChar w:fldCharType="end"/>
      </w:r>
      <w:r w:rsidRPr="00EF295C">
        <w:rPr>
          <w:rFonts w:cs="Times New Roman"/>
          <w:b/>
          <w:bCs/>
          <w:sz w:val="20"/>
          <w:szCs w:val="20"/>
        </w:rPr>
        <w:t>AND HAVING READ</w:t>
      </w:r>
      <w:r w:rsidRPr="00EF295C">
        <w:rPr>
          <w:rFonts w:cs="Times New Roman"/>
          <w:sz w:val="20"/>
          <w:szCs w:val="20"/>
        </w:rPr>
        <w:t xml:space="preserve"> the motion materials filed;</w:t>
      </w:r>
    </w:p>
    <w:p w:rsidR="00ED3D48" w:rsidRPr="00EF295C" w:rsidRDefault="00ED3D48" w:rsidP="00ED3D48">
      <w:pPr>
        <w:rPr>
          <w:rFonts w:cs="Times New Roman"/>
          <w:sz w:val="20"/>
          <w:szCs w:val="20"/>
        </w:rPr>
      </w:pPr>
    </w:p>
    <w:p w:rsidR="00ED3D48" w:rsidRPr="00EF295C" w:rsidRDefault="00ED3D48" w:rsidP="00ED3D48">
      <w:pPr>
        <w:rPr>
          <w:rFonts w:cs="Times New Roman"/>
          <w:b/>
          <w:sz w:val="20"/>
          <w:szCs w:val="20"/>
        </w:rPr>
      </w:pPr>
      <w:r w:rsidRPr="00EF295C">
        <w:rPr>
          <w:rFonts w:cs="Times New Roman"/>
          <w:b/>
          <w:sz w:val="20"/>
          <w:szCs w:val="20"/>
        </w:rPr>
        <w:t>IT IS HEREBY ORDERED THAT:</w:t>
      </w:r>
    </w:p>
    <w:p w:rsidR="00ED3D48" w:rsidRPr="00EF295C" w:rsidRDefault="00ED3D48" w:rsidP="00ED3D48">
      <w:pPr>
        <w:pStyle w:val="ListParagraph"/>
        <w:ind w:left="360"/>
        <w:rPr>
          <w:rFonts w:cs="Times New Roman"/>
          <w:sz w:val="20"/>
          <w:szCs w:val="20"/>
        </w:rPr>
      </w:pPr>
    </w:p>
    <w:p w:rsidR="00ED3D48" w:rsidRPr="00EF295C" w:rsidRDefault="00ED3D48" w:rsidP="00ED3D48">
      <w:pPr>
        <w:rPr>
          <w:rFonts w:cs="Times New Roman"/>
          <w:sz w:val="20"/>
          <w:szCs w:val="20"/>
          <w:lang w:val="fr-CA"/>
        </w:rPr>
      </w:pPr>
      <w:r w:rsidRPr="00EF295C">
        <w:rPr>
          <w:rFonts w:cs="Times New Roman"/>
          <w:sz w:val="20"/>
          <w:szCs w:val="20"/>
          <w:lang w:val="fr-CA"/>
        </w:rPr>
        <w:t xml:space="preserve">The motion </w:t>
      </w:r>
      <w:proofErr w:type="spellStart"/>
      <w:r w:rsidRPr="00EF295C">
        <w:rPr>
          <w:rFonts w:cs="Times New Roman"/>
          <w:sz w:val="20"/>
          <w:szCs w:val="20"/>
          <w:lang w:val="fr-CA"/>
        </w:rPr>
        <w:t>is</w:t>
      </w:r>
      <w:proofErr w:type="spellEnd"/>
      <w:r w:rsidRPr="00EF295C">
        <w:rPr>
          <w:rFonts w:cs="Times New Roman"/>
          <w:sz w:val="20"/>
          <w:szCs w:val="20"/>
          <w:lang w:val="fr-CA"/>
        </w:rPr>
        <w:t xml:space="preserve"> </w:t>
      </w:r>
      <w:proofErr w:type="spellStart"/>
      <w:r w:rsidRPr="00EF295C">
        <w:rPr>
          <w:rFonts w:cs="Times New Roman"/>
          <w:sz w:val="20"/>
          <w:szCs w:val="20"/>
          <w:lang w:val="fr-CA"/>
        </w:rPr>
        <w:t>granted</w:t>
      </w:r>
      <w:proofErr w:type="spellEnd"/>
      <w:r w:rsidRPr="00EF295C">
        <w:rPr>
          <w:rFonts w:cs="Times New Roman"/>
          <w:sz w:val="20"/>
          <w:szCs w:val="20"/>
          <w:lang w:val="fr-CA"/>
        </w:rPr>
        <w:t xml:space="preserve">. </w:t>
      </w:r>
    </w:p>
    <w:p w:rsidR="00ED3D48" w:rsidRPr="00EF295C" w:rsidRDefault="00ED3D48" w:rsidP="00ED3D48">
      <w:pPr>
        <w:rPr>
          <w:rFonts w:cs="Times New Roman"/>
          <w:sz w:val="20"/>
          <w:szCs w:val="20"/>
          <w:lang w:val="fr-CA"/>
        </w:rPr>
      </w:pPr>
    </w:p>
    <w:p w:rsidR="00ED3D48" w:rsidRPr="00EF295C" w:rsidRDefault="00ED3D48" w:rsidP="00ED3D48">
      <w:pPr>
        <w:rPr>
          <w:rFonts w:cs="Times New Roman"/>
          <w:sz w:val="20"/>
          <w:szCs w:val="20"/>
          <w:lang w:val="fr-CA"/>
        </w:rPr>
      </w:pPr>
    </w:p>
    <w:p w:rsidR="00ED3D48" w:rsidRPr="00EF295C" w:rsidRDefault="00ED3D48" w:rsidP="00ED3D48">
      <w:pPr>
        <w:rPr>
          <w:rFonts w:cs="Times New Roman"/>
          <w:sz w:val="20"/>
          <w:szCs w:val="20"/>
          <w:lang w:val="fr-CA"/>
        </w:rPr>
      </w:pPr>
    </w:p>
    <w:p w:rsidR="00ED3D48" w:rsidRPr="00EF295C" w:rsidRDefault="00ED3D48" w:rsidP="00ED3D48">
      <w:pPr>
        <w:jc w:val="both"/>
        <w:rPr>
          <w:rFonts w:cs="Times New Roman"/>
          <w:sz w:val="20"/>
          <w:szCs w:val="20"/>
          <w:lang w:val="fr-CA"/>
        </w:rPr>
      </w:pPr>
      <w:r w:rsidRPr="00EF295C">
        <w:rPr>
          <w:rFonts w:cs="Times New Roman"/>
          <w:b/>
          <w:sz w:val="20"/>
          <w:szCs w:val="20"/>
          <w:lang w:val="fr-CA"/>
        </w:rPr>
        <w:t>À LA SUITE DE LA DEMANDE</w:t>
      </w:r>
      <w:r w:rsidRPr="00EF295C">
        <w:rPr>
          <w:rFonts w:cs="Times New Roman"/>
          <w:sz w:val="20"/>
          <w:szCs w:val="20"/>
          <w:lang w:val="fr-CA"/>
        </w:rPr>
        <w:t xml:space="preserve"> présentée par la partie demanderesse en application du par. 32(2) des </w:t>
      </w:r>
      <w:r w:rsidRPr="00EF295C">
        <w:rPr>
          <w:rFonts w:cs="Times New Roman"/>
          <w:i/>
          <w:sz w:val="20"/>
          <w:szCs w:val="20"/>
          <w:lang w:val="fr-CA"/>
        </w:rPr>
        <w:t>Règles de la Cour suprême du Canada</w:t>
      </w:r>
      <w:r w:rsidRPr="00EF295C">
        <w:rPr>
          <w:rFonts w:cs="Times New Roman"/>
          <w:sz w:val="20"/>
          <w:szCs w:val="20"/>
          <w:lang w:val="fr-CA"/>
        </w:rPr>
        <w:t xml:space="preserve"> en vue d’être autorisée à déposer des documents supplémentaires;</w:t>
      </w:r>
    </w:p>
    <w:p w:rsidR="00ED3D48" w:rsidRPr="00EF295C" w:rsidRDefault="00ED3D48" w:rsidP="00ED3D48">
      <w:pPr>
        <w:jc w:val="both"/>
        <w:rPr>
          <w:rFonts w:cs="Times New Roman"/>
          <w:sz w:val="20"/>
          <w:szCs w:val="20"/>
          <w:lang w:val="fr-CA"/>
        </w:rPr>
      </w:pPr>
    </w:p>
    <w:p w:rsidR="00ED3D48" w:rsidRPr="00EF295C" w:rsidRDefault="00ED3D48" w:rsidP="00ED3D48">
      <w:pPr>
        <w:jc w:val="both"/>
        <w:rPr>
          <w:rFonts w:cs="Times New Roman"/>
          <w:sz w:val="20"/>
          <w:szCs w:val="20"/>
          <w:lang w:val="fr-CA"/>
        </w:rPr>
      </w:pPr>
      <w:r w:rsidRPr="00EF295C">
        <w:rPr>
          <w:rFonts w:cs="Times New Roman"/>
          <w:b/>
          <w:sz w:val="20"/>
          <w:szCs w:val="20"/>
          <w:lang w:val="fr-CA"/>
        </w:rPr>
        <w:t>ET APRÈS EXAMEN</w:t>
      </w:r>
      <w:r w:rsidRPr="00EF295C">
        <w:rPr>
          <w:rFonts w:cs="Times New Roman"/>
          <w:sz w:val="20"/>
          <w:szCs w:val="20"/>
          <w:lang w:val="fr-CA"/>
        </w:rPr>
        <w:t xml:space="preserve"> des documents déposés;</w:t>
      </w:r>
    </w:p>
    <w:p w:rsidR="00ED3D48" w:rsidRPr="00EF295C" w:rsidRDefault="00ED3D48" w:rsidP="00ED3D48">
      <w:pPr>
        <w:jc w:val="both"/>
        <w:rPr>
          <w:rFonts w:cs="Times New Roman"/>
          <w:sz w:val="20"/>
          <w:szCs w:val="20"/>
          <w:lang w:val="fr-CA"/>
        </w:rPr>
      </w:pPr>
    </w:p>
    <w:p w:rsidR="00ED3D48" w:rsidRPr="00EF295C" w:rsidRDefault="00ED3D48" w:rsidP="00ED3D48">
      <w:pPr>
        <w:jc w:val="both"/>
        <w:rPr>
          <w:rFonts w:cs="Times New Roman"/>
          <w:b/>
          <w:sz w:val="20"/>
          <w:szCs w:val="20"/>
          <w:lang w:val="fr-CA"/>
        </w:rPr>
      </w:pPr>
      <w:r w:rsidRPr="00EF295C">
        <w:rPr>
          <w:rFonts w:cs="Times New Roman"/>
          <w:b/>
          <w:sz w:val="20"/>
          <w:szCs w:val="20"/>
          <w:lang w:val="fr-CA"/>
        </w:rPr>
        <w:t xml:space="preserve">IL EST ORDONNÉ CE QUI SUIT : </w:t>
      </w:r>
    </w:p>
    <w:p w:rsidR="00ED3D48" w:rsidRPr="00EF295C" w:rsidRDefault="00ED3D48" w:rsidP="00ED3D48">
      <w:pPr>
        <w:jc w:val="both"/>
        <w:rPr>
          <w:rFonts w:cs="Times New Roman"/>
          <w:sz w:val="20"/>
          <w:szCs w:val="20"/>
          <w:lang w:val="fr-CA"/>
        </w:rPr>
      </w:pPr>
    </w:p>
    <w:p w:rsidR="00ED3D48" w:rsidRPr="00EF295C" w:rsidRDefault="00ED3D48" w:rsidP="00ED3D48">
      <w:pPr>
        <w:jc w:val="both"/>
        <w:rPr>
          <w:rFonts w:cs="Times New Roman"/>
          <w:sz w:val="20"/>
          <w:szCs w:val="20"/>
          <w:lang w:val="fr-CA"/>
        </w:rPr>
      </w:pPr>
      <w:r w:rsidRPr="00EF295C">
        <w:rPr>
          <w:rFonts w:cs="Times New Roman"/>
          <w:sz w:val="20"/>
          <w:szCs w:val="20"/>
          <w:lang w:val="fr-CA"/>
        </w:rPr>
        <w:t>La requête est accueillie.</w:t>
      </w:r>
    </w:p>
    <w:p w:rsidR="00ED3D48" w:rsidRPr="00EF295C" w:rsidRDefault="00ED3D48" w:rsidP="00ED3D48">
      <w:pPr>
        <w:rPr>
          <w:rFonts w:cs="Times New Roman"/>
          <w:sz w:val="20"/>
          <w:szCs w:val="20"/>
        </w:rPr>
      </w:pPr>
    </w:p>
    <w:p w:rsidR="00ED3D48" w:rsidRPr="00EF295C" w:rsidRDefault="00ED3D48" w:rsidP="00ED3D48">
      <w:pPr>
        <w:rPr>
          <w:rFonts w:cs="Times New Roman"/>
          <w:sz w:val="20"/>
          <w:szCs w:val="20"/>
        </w:rPr>
      </w:pPr>
    </w:p>
    <w:p w:rsidR="00ED3D48" w:rsidRPr="00EF295C" w:rsidRDefault="002E5FCE" w:rsidP="00ED3D48">
      <w:pPr>
        <w:rPr>
          <w:rFonts w:cs="Times New Roman"/>
          <w:sz w:val="20"/>
          <w:szCs w:val="20"/>
          <w:lang w:val="fr-CA"/>
        </w:rPr>
      </w:pPr>
      <w:r>
        <w:rPr>
          <w:rFonts w:cs="Times New Roman"/>
          <w:sz w:val="20"/>
          <w:szCs w:val="20"/>
          <w:lang w:val="fr-CA"/>
        </w:rPr>
        <w:pict>
          <v:rect id="_x0000_i1065" style="width:2in;height:1pt" o:hrpct="0" o:hralign="center" o:hrstd="t" o:hrnoshade="t" o:hr="t" fillcolor="black [3213]" stroked="f"/>
        </w:pict>
      </w:r>
    </w:p>
    <w:p w:rsidR="00ED3D48" w:rsidRPr="00EF295C" w:rsidRDefault="00ED3D48" w:rsidP="00ED3D48">
      <w:pPr>
        <w:rPr>
          <w:rFonts w:cs="Times New Roman"/>
          <w:sz w:val="20"/>
          <w:szCs w:val="20"/>
          <w:lang w:val="fr-CA"/>
        </w:rPr>
      </w:pPr>
    </w:p>
    <w:p w:rsidR="00D526C5" w:rsidRPr="00EF295C" w:rsidRDefault="00D526C5">
      <w:pPr>
        <w:rPr>
          <w:rFonts w:cs="Times New Roman"/>
          <w:sz w:val="20"/>
          <w:szCs w:val="20"/>
          <w:lang w:val="fr-CA"/>
        </w:rPr>
      </w:pPr>
      <w:r w:rsidRPr="00EF295C">
        <w:rPr>
          <w:rFonts w:cs="Times New Roman"/>
          <w:sz w:val="20"/>
          <w:szCs w:val="20"/>
          <w:lang w:val="fr-CA"/>
        </w:rPr>
        <w:br w:type="page"/>
      </w:r>
    </w:p>
    <w:p w:rsidR="00ED3D48" w:rsidRPr="00EF295C" w:rsidRDefault="00ED3D48" w:rsidP="00ED3D48">
      <w:pPr>
        <w:tabs>
          <w:tab w:val="left" w:pos="-1440"/>
          <w:tab w:val="left" w:pos="-720"/>
        </w:tabs>
        <w:jc w:val="both"/>
        <w:rPr>
          <w:rFonts w:cs="Times New Roman"/>
          <w:sz w:val="20"/>
          <w:szCs w:val="20"/>
          <w:lang w:val="fr-CA"/>
        </w:rPr>
      </w:pPr>
      <w:r w:rsidRPr="00EF295C">
        <w:rPr>
          <w:rFonts w:cs="Times New Roman"/>
          <w:sz w:val="20"/>
          <w:szCs w:val="20"/>
          <w:lang w:val="fr-CA"/>
        </w:rPr>
        <w:lastRenderedPageBreak/>
        <w:t>14.09.2016</w:t>
      </w:r>
    </w:p>
    <w:p w:rsidR="00ED3D48" w:rsidRPr="00EF295C" w:rsidRDefault="00ED3D48" w:rsidP="00ED3D48">
      <w:pPr>
        <w:tabs>
          <w:tab w:val="left" w:pos="-1440"/>
          <w:tab w:val="left" w:pos="-720"/>
        </w:tabs>
        <w:jc w:val="both"/>
        <w:rPr>
          <w:rFonts w:cs="Times New Roman"/>
          <w:sz w:val="20"/>
          <w:szCs w:val="20"/>
          <w:lang w:val="fr-CA"/>
        </w:rPr>
      </w:pPr>
    </w:p>
    <w:p w:rsidR="00ED3D48" w:rsidRPr="00EF295C" w:rsidRDefault="00ED3D48" w:rsidP="00ED3D48">
      <w:pPr>
        <w:tabs>
          <w:tab w:val="left" w:pos="-1440"/>
          <w:tab w:val="left" w:pos="-720"/>
        </w:tabs>
        <w:jc w:val="both"/>
        <w:rPr>
          <w:rFonts w:cs="Times New Roman"/>
          <w:sz w:val="20"/>
          <w:szCs w:val="20"/>
          <w:lang w:val="fr-CA"/>
        </w:rPr>
      </w:pPr>
      <w:proofErr w:type="spellStart"/>
      <w:r w:rsidRPr="00EF295C">
        <w:rPr>
          <w:rFonts w:cs="Times New Roman"/>
          <w:sz w:val="20"/>
          <w:szCs w:val="20"/>
          <w:lang w:val="fr-CA"/>
        </w:rPr>
        <w:t>Before</w:t>
      </w:r>
      <w:proofErr w:type="spellEnd"/>
      <w:r w:rsidRPr="00EF295C">
        <w:rPr>
          <w:rFonts w:cs="Times New Roman"/>
          <w:sz w:val="20"/>
          <w:szCs w:val="20"/>
          <w:lang w:val="fr-CA"/>
        </w:rPr>
        <w:t xml:space="preserve"> / Devant :   THE CHIEF JUSTICE / LA JUGE EN CHEF</w:t>
      </w:r>
    </w:p>
    <w:p w:rsidR="00ED3D48" w:rsidRPr="00EF295C" w:rsidRDefault="00ED3D48" w:rsidP="00ED3D4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ED3D48" w:rsidRPr="00EF295C" w:rsidTr="005D7A3E">
        <w:trPr>
          <w:trHeight w:val="151"/>
        </w:trPr>
        <w:tc>
          <w:tcPr>
            <w:tcW w:w="4338" w:type="dxa"/>
          </w:tcPr>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proofErr w:type="spellStart"/>
            <w:r w:rsidRPr="00EF295C">
              <w:rPr>
                <w:rFonts w:cs="Times New Roman"/>
                <w:b/>
                <w:bCs/>
                <w:sz w:val="20"/>
                <w:szCs w:val="20"/>
                <w:lang w:val="fr-CA"/>
              </w:rPr>
              <w:t>Order</w:t>
            </w:r>
            <w:proofErr w:type="spellEnd"/>
          </w:p>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p>
        </w:tc>
        <w:tc>
          <w:tcPr>
            <w:tcW w:w="1170" w:type="dxa"/>
          </w:tcPr>
          <w:p w:rsidR="00ED3D48" w:rsidRPr="00EF295C" w:rsidRDefault="00ED3D48" w:rsidP="005D7A3E">
            <w:pPr>
              <w:jc w:val="both"/>
              <w:rPr>
                <w:rFonts w:cs="Times New Roman"/>
                <w:sz w:val="20"/>
                <w:szCs w:val="20"/>
                <w:lang w:val="fr-CA"/>
              </w:rPr>
            </w:pPr>
          </w:p>
          <w:p w:rsidR="00ED3D48" w:rsidRPr="00EF295C" w:rsidRDefault="00ED3D48" w:rsidP="005D7A3E">
            <w:pPr>
              <w:jc w:val="both"/>
              <w:rPr>
                <w:rFonts w:cs="Times New Roman"/>
                <w:sz w:val="20"/>
                <w:szCs w:val="20"/>
                <w:lang w:val="fr-CA"/>
              </w:rPr>
            </w:pPr>
          </w:p>
        </w:tc>
        <w:tc>
          <w:tcPr>
            <w:tcW w:w="4327" w:type="dxa"/>
          </w:tcPr>
          <w:p w:rsidR="00ED3D48" w:rsidRPr="00EF295C" w:rsidRDefault="00ED3D48" w:rsidP="005D7A3E">
            <w:pPr>
              <w:jc w:val="both"/>
              <w:rPr>
                <w:rFonts w:cs="Times New Roman"/>
                <w:b/>
                <w:sz w:val="20"/>
                <w:szCs w:val="20"/>
                <w:lang w:val="fr-CA"/>
              </w:rPr>
            </w:pPr>
            <w:r w:rsidRPr="00EF295C">
              <w:rPr>
                <w:rFonts w:cs="Times New Roman"/>
                <w:sz w:val="20"/>
                <w:szCs w:val="20"/>
              </w:rPr>
              <w:fldChar w:fldCharType="begin"/>
            </w:r>
            <w:r w:rsidRPr="00EF295C">
              <w:rPr>
                <w:rFonts w:cs="Times New Roman"/>
                <w:sz w:val="20"/>
                <w:szCs w:val="20"/>
                <w:lang w:val="fr-CA"/>
              </w:rPr>
              <w:instrText xml:space="preserve"> SEQ CHAPTER \h \r 1</w:instrText>
            </w:r>
            <w:r w:rsidRPr="00EF295C">
              <w:rPr>
                <w:rFonts w:cs="Times New Roman"/>
                <w:sz w:val="20"/>
                <w:szCs w:val="20"/>
              </w:rPr>
              <w:fldChar w:fldCharType="end"/>
            </w:r>
            <w:r w:rsidRPr="00EF295C">
              <w:rPr>
                <w:rFonts w:cs="Times New Roman"/>
                <w:b/>
                <w:bCs/>
                <w:sz w:val="20"/>
                <w:szCs w:val="20"/>
                <w:lang w:val="fr-CA"/>
              </w:rPr>
              <w:t>Ordonnance</w:t>
            </w:r>
          </w:p>
          <w:p w:rsidR="00ED3D48" w:rsidRPr="00EF295C" w:rsidRDefault="00ED3D48" w:rsidP="005D7A3E">
            <w:pPr>
              <w:jc w:val="both"/>
              <w:rPr>
                <w:rFonts w:cs="Times New Roman"/>
                <w:b/>
                <w:sz w:val="20"/>
                <w:szCs w:val="20"/>
                <w:lang w:val="fr-CA"/>
              </w:rPr>
            </w:pPr>
            <w:r w:rsidRPr="00EF295C">
              <w:rPr>
                <w:rFonts w:cs="Times New Roman"/>
                <w:b/>
                <w:sz w:val="20"/>
                <w:szCs w:val="20"/>
              </w:rPr>
              <w:fldChar w:fldCharType="begin"/>
            </w:r>
            <w:r w:rsidRPr="00EF295C">
              <w:rPr>
                <w:rFonts w:cs="Times New Roman"/>
                <w:b/>
                <w:sz w:val="20"/>
                <w:szCs w:val="20"/>
                <w:lang w:val="fr-CA"/>
              </w:rPr>
              <w:instrText xml:space="preserve"> SEQ CHAPTER \h \r 1</w:instrText>
            </w:r>
            <w:r w:rsidRPr="00EF295C">
              <w:rPr>
                <w:rFonts w:cs="Times New Roman"/>
                <w:b/>
                <w:sz w:val="20"/>
                <w:szCs w:val="20"/>
              </w:rPr>
              <w:fldChar w:fldCharType="end"/>
            </w:r>
            <w:r w:rsidRPr="00EF295C">
              <w:rPr>
                <w:rFonts w:cs="Times New Roman"/>
                <w:b/>
                <w:sz w:val="20"/>
                <w:szCs w:val="20"/>
              </w:rPr>
              <w:fldChar w:fldCharType="begin"/>
            </w:r>
            <w:r w:rsidRPr="00EF295C">
              <w:rPr>
                <w:rFonts w:cs="Times New Roman"/>
                <w:b/>
                <w:sz w:val="20"/>
                <w:szCs w:val="20"/>
                <w:lang w:val="fr-CA"/>
              </w:rPr>
              <w:instrText xml:space="preserve"> SEQ CHAPTER \h \r 1</w:instrText>
            </w:r>
            <w:r w:rsidRPr="00EF295C">
              <w:rPr>
                <w:rFonts w:cs="Times New Roman"/>
                <w:b/>
                <w:sz w:val="20"/>
                <w:szCs w:val="20"/>
              </w:rPr>
              <w:fldChar w:fldCharType="end"/>
            </w:r>
          </w:p>
        </w:tc>
      </w:tr>
      <w:tr w:rsidR="00ED3D48" w:rsidRPr="002E5FCE" w:rsidTr="005D7A3E">
        <w:trPr>
          <w:trHeight w:val="150"/>
        </w:trPr>
        <w:tc>
          <w:tcPr>
            <w:tcW w:w="4338" w:type="dxa"/>
          </w:tcPr>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lang w:val="fr-CA"/>
              </w:rPr>
              <w:t>Barreau du Québec</w:t>
            </w:r>
          </w:p>
          <w:p w:rsidR="00ED3D48" w:rsidRPr="00EF295C" w:rsidRDefault="00ED3D48" w:rsidP="005D7A3E">
            <w:pPr>
              <w:tabs>
                <w:tab w:val="left" w:pos="-1440"/>
                <w:tab w:val="left" w:pos="-720"/>
              </w:tabs>
              <w:jc w:val="both"/>
              <w:rPr>
                <w:rFonts w:cs="Times New Roman"/>
                <w:sz w:val="20"/>
                <w:szCs w:val="20"/>
                <w:lang w:val="fr-CA"/>
              </w:rPr>
            </w:pPr>
          </w:p>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lang w:val="fr-CA"/>
              </w:rPr>
              <w:tab/>
              <w:t>c. (37034)</w:t>
            </w:r>
          </w:p>
          <w:p w:rsidR="00ED3D48" w:rsidRPr="00EF295C" w:rsidRDefault="00ED3D48" w:rsidP="005D7A3E">
            <w:pPr>
              <w:tabs>
                <w:tab w:val="left" w:pos="-1440"/>
                <w:tab w:val="left" w:pos="-720"/>
              </w:tabs>
              <w:jc w:val="both"/>
              <w:rPr>
                <w:rFonts w:cs="Times New Roman"/>
                <w:sz w:val="20"/>
                <w:szCs w:val="20"/>
                <w:lang w:val="fr-CA"/>
              </w:rPr>
            </w:pPr>
          </w:p>
          <w:p w:rsidR="00ED3D48" w:rsidRPr="00EF295C" w:rsidRDefault="00ED3D48" w:rsidP="005D7A3E">
            <w:pPr>
              <w:tabs>
                <w:tab w:val="left" w:pos="-1440"/>
                <w:tab w:val="left" w:pos="-720"/>
              </w:tabs>
              <w:jc w:val="both"/>
              <w:rPr>
                <w:rFonts w:cs="Times New Roman"/>
                <w:sz w:val="20"/>
                <w:szCs w:val="20"/>
                <w:lang w:val="fr-CA"/>
              </w:rPr>
            </w:pPr>
            <w:r w:rsidRPr="00EF295C">
              <w:rPr>
                <w:rFonts w:cs="Times New Roman"/>
                <w:sz w:val="20"/>
                <w:szCs w:val="20"/>
                <w:lang w:val="fr-CA"/>
              </w:rPr>
              <w:t>Procureur général du Québec (Qc)</w:t>
            </w:r>
          </w:p>
        </w:tc>
        <w:tc>
          <w:tcPr>
            <w:tcW w:w="1170" w:type="dxa"/>
          </w:tcPr>
          <w:p w:rsidR="00ED3D48" w:rsidRPr="00EF295C" w:rsidRDefault="00ED3D48" w:rsidP="005D7A3E">
            <w:pPr>
              <w:jc w:val="both"/>
              <w:rPr>
                <w:rFonts w:cs="Times New Roman"/>
                <w:sz w:val="20"/>
                <w:szCs w:val="20"/>
                <w:lang w:val="fr-CA"/>
              </w:rPr>
            </w:pPr>
          </w:p>
        </w:tc>
        <w:tc>
          <w:tcPr>
            <w:tcW w:w="4327" w:type="dxa"/>
          </w:tcPr>
          <w:p w:rsidR="00ED3D48" w:rsidRPr="00EF295C" w:rsidRDefault="00ED3D48" w:rsidP="005D7A3E">
            <w:pPr>
              <w:jc w:val="both"/>
              <w:rPr>
                <w:rFonts w:cs="Times New Roman"/>
                <w:sz w:val="20"/>
                <w:szCs w:val="20"/>
                <w:lang w:val="fr-CA"/>
              </w:rPr>
            </w:pPr>
          </w:p>
        </w:tc>
      </w:tr>
    </w:tbl>
    <w:p w:rsidR="00ED3D48" w:rsidRPr="00EF295C" w:rsidRDefault="00ED3D48" w:rsidP="00ED3D48">
      <w:pPr>
        <w:rPr>
          <w:rFonts w:cs="Times New Roman"/>
          <w:sz w:val="20"/>
          <w:szCs w:val="20"/>
          <w:lang w:val="fr-CA"/>
        </w:rPr>
      </w:pPr>
    </w:p>
    <w:p w:rsidR="00ED3D48" w:rsidRPr="00EF295C" w:rsidRDefault="00ED3D48" w:rsidP="00ED3D48">
      <w:pPr>
        <w:rPr>
          <w:rFonts w:cs="Times New Roman"/>
          <w:b/>
          <w:sz w:val="20"/>
          <w:szCs w:val="20"/>
          <w:lang w:val="fr-CA"/>
        </w:rPr>
      </w:pPr>
      <w:r w:rsidRPr="00EF295C">
        <w:rPr>
          <w:rFonts w:cs="Times New Roman"/>
          <w:b/>
          <w:sz w:val="20"/>
          <w:szCs w:val="20"/>
          <w:lang w:val="fr-CA"/>
        </w:rPr>
        <w:t>IL EST ORDONNÉ CE QUI SUIT :</w:t>
      </w:r>
    </w:p>
    <w:p w:rsidR="00ED3D48" w:rsidRPr="00EF295C" w:rsidRDefault="00ED3D48" w:rsidP="00ED3D48">
      <w:pPr>
        <w:rPr>
          <w:rFonts w:cs="Times New Roman"/>
          <w:sz w:val="20"/>
          <w:szCs w:val="20"/>
          <w:lang w:val="fr-CA"/>
        </w:rPr>
      </w:pPr>
    </w:p>
    <w:p w:rsidR="00ED3D48" w:rsidRPr="00EF295C" w:rsidRDefault="00ED3D48" w:rsidP="00ED3D48">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F295C">
        <w:rPr>
          <w:rFonts w:cs="Times New Roman"/>
          <w:sz w:val="20"/>
          <w:szCs w:val="20"/>
          <w:lang w:val="fr-CA"/>
        </w:rPr>
        <w:t xml:space="preserve">Toute personne souhaitant intervenir dans le présent pourvoi en application de l’art. 55 des </w:t>
      </w:r>
      <w:r w:rsidRPr="00EF295C">
        <w:rPr>
          <w:rFonts w:cs="Times New Roman"/>
          <w:i/>
          <w:sz w:val="20"/>
          <w:szCs w:val="20"/>
          <w:lang w:val="fr-CA"/>
        </w:rPr>
        <w:t>Règles de la Cour suprême du Canada</w:t>
      </w:r>
      <w:r w:rsidRPr="00EF295C">
        <w:rPr>
          <w:rFonts w:cs="Times New Roman"/>
          <w:sz w:val="20"/>
          <w:szCs w:val="20"/>
          <w:lang w:val="fr-CA"/>
        </w:rPr>
        <w:t xml:space="preserve"> </w:t>
      </w:r>
      <w:proofErr w:type="gramStart"/>
      <w:r w:rsidRPr="00EF295C">
        <w:rPr>
          <w:rFonts w:cs="Times New Roman"/>
          <w:sz w:val="20"/>
          <w:szCs w:val="20"/>
          <w:lang w:val="fr-CA"/>
        </w:rPr>
        <w:t>devra</w:t>
      </w:r>
      <w:proofErr w:type="gramEnd"/>
      <w:r w:rsidRPr="00EF295C">
        <w:rPr>
          <w:rFonts w:cs="Times New Roman"/>
          <w:sz w:val="20"/>
          <w:szCs w:val="20"/>
          <w:lang w:val="fr-CA"/>
        </w:rPr>
        <w:t xml:space="preserve"> signifier et déposer une requête en autorisation d’intervenir au plus tard le 31 janvier 2017. </w:t>
      </w:r>
    </w:p>
    <w:p w:rsidR="00ED3D48" w:rsidRPr="00EF295C" w:rsidRDefault="00ED3D48" w:rsidP="00ED3D48">
      <w:pPr>
        <w:pStyle w:val="ListParagraph"/>
        <w:rPr>
          <w:rFonts w:cs="Times New Roman"/>
          <w:sz w:val="20"/>
          <w:szCs w:val="20"/>
          <w:lang w:val="fr-CA"/>
        </w:rPr>
      </w:pPr>
    </w:p>
    <w:p w:rsidR="00ED3D48" w:rsidRPr="00EF295C" w:rsidRDefault="00ED3D48" w:rsidP="00ED3D48">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F295C">
        <w:rPr>
          <w:rFonts w:cs="Times New Roman"/>
          <w:sz w:val="20"/>
          <w:szCs w:val="20"/>
          <w:lang w:val="fr-CA"/>
        </w:rPr>
        <w:t xml:space="preserve">L’appelant et l’intimé devront, le cas échéant, signifier et déposer leurs réponses aux requêtes en autorisation d’intervenir au plus tard le 7 février 2017. </w:t>
      </w:r>
    </w:p>
    <w:p w:rsidR="00ED3D48" w:rsidRPr="00EF295C" w:rsidRDefault="00ED3D48" w:rsidP="00ED3D48">
      <w:pPr>
        <w:rPr>
          <w:rFonts w:cs="Times New Roman"/>
          <w:sz w:val="20"/>
          <w:szCs w:val="20"/>
          <w:lang w:val="fr-CA"/>
        </w:rPr>
      </w:pPr>
    </w:p>
    <w:p w:rsidR="00ED3D48" w:rsidRPr="00EF295C" w:rsidRDefault="00ED3D48" w:rsidP="00ED3D48">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F295C">
        <w:rPr>
          <w:rFonts w:cs="Times New Roman"/>
          <w:sz w:val="20"/>
          <w:szCs w:val="20"/>
          <w:lang w:val="fr-CA"/>
        </w:rPr>
        <w:t>Les répliques aux réponses éventuelles aux requêtes en autorisation d’intervenir devront être signifiées et déposées au plus tard le 9 février 2017.</w:t>
      </w:r>
    </w:p>
    <w:p w:rsidR="00ED3D48" w:rsidRPr="00EF295C" w:rsidRDefault="00ED3D48" w:rsidP="00ED3D48">
      <w:pPr>
        <w:pStyle w:val="ListParagraph"/>
        <w:rPr>
          <w:rFonts w:cs="Times New Roman"/>
          <w:sz w:val="20"/>
          <w:szCs w:val="20"/>
          <w:lang w:val="fr-CA"/>
        </w:rPr>
      </w:pPr>
    </w:p>
    <w:p w:rsidR="00ED3D48" w:rsidRPr="00EF295C" w:rsidRDefault="00ED3D48" w:rsidP="00ED3D48">
      <w:pPr>
        <w:pStyle w:val="ListParagraph"/>
        <w:numPr>
          <w:ilvl w:val="0"/>
          <w:numId w:val="7"/>
        </w:numPr>
        <w:autoSpaceDE w:val="0"/>
        <w:autoSpaceDN w:val="0"/>
        <w:adjustRightInd w:val="0"/>
        <w:jc w:val="both"/>
        <w:rPr>
          <w:rFonts w:cs="Times New Roman"/>
          <w:bCs/>
          <w:sz w:val="20"/>
          <w:szCs w:val="20"/>
          <w:lang w:val="fr-CA"/>
        </w:rPr>
      </w:pPr>
      <w:r w:rsidRPr="00EF295C">
        <w:rPr>
          <w:rFonts w:cs="Times New Roman"/>
          <w:bCs/>
          <w:sz w:val="20"/>
          <w:szCs w:val="20"/>
          <w:lang w:val="fr-CA"/>
        </w:rPr>
        <w:t xml:space="preserve">Les intervenants qui seront autorisés à intervenir en application de l’art. 59 des </w:t>
      </w:r>
      <w:r w:rsidRPr="00EF295C">
        <w:rPr>
          <w:rFonts w:cs="Times New Roman"/>
          <w:bCs/>
          <w:i/>
          <w:sz w:val="20"/>
          <w:szCs w:val="20"/>
          <w:lang w:val="fr-CA"/>
        </w:rPr>
        <w:t>Règles de la Cour suprême du Canada</w:t>
      </w:r>
      <w:r w:rsidRPr="00EF295C">
        <w:rPr>
          <w:rFonts w:cs="Times New Roman"/>
          <w:bCs/>
          <w:sz w:val="20"/>
          <w:szCs w:val="20"/>
          <w:lang w:val="fr-CA"/>
        </w:rPr>
        <w:t xml:space="preserve"> devront signifier et déposer leur mémoire et recueil de sources au plus tard le 17 mars 2017.</w:t>
      </w:r>
    </w:p>
    <w:p w:rsidR="00ED3D48" w:rsidRPr="00EF295C" w:rsidRDefault="00ED3D48" w:rsidP="00ED3D48">
      <w:pPr>
        <w:autoSpaceDE w:val="0"/>
        <w:autoSpaceDN w:val="0"/>
        <w:adjustRightInd w:val="0"/>
        <w:jc w:val="both"/>
        <w:rPr>
          <w:rFonts w:cs="Times New Roman"/>
          <w:bCs/>
          <w:sz w:val="20"/>
          <w:szCs w:val="20"/>
          <w:lang w:val="fr-CA"/>
        </w:rPr>
      </w:pPr>
    </w:p>
    <w:p w:rsidR="00ED3D48" w:rsidRPr="00EF295C" w:rsidRDefault="00ED3D48" w:rsidP="00ED3D48">
      <w:pPr>
        <w:autoSpaceDE w:val="0"/>
        <w:autoSpaceDN w:val="0"/>
        <w:adjustRightInd w:val="0"/>
        <w:jc w:val="both"/>
        <w:rPr>
          <w:rFonts w:cs="Times New Roman"/>
          <w:bCs/>
          <w:sz w:val="20"/>
          <w:szCs w:val="20"/>
          <w:lang w:val="fr-CA"/>
        </w:rPr>
      </w:pPr>
    </w:p>
    <w:p w:rsidR="00ED3D48" w:rsidRPr="00EF295C" w:rsidRDefault="00ED3D48" w:rsidP="00ED3D48">
      <w:pPr>
        <w:autoSpaceDE w:val="0"/>
        <w:autoSpaceDN w:val="0"/>
        <w:adjustRightInd w:val="0"/>
        <w:jc w:val="both"/>
        <w:rPr>
          <w:rFonts w:cs="Times New Roman"/>
          <w:bCs/>
          <w:sz w:val="20"/>
          <w:szCs w:val="20"/>
          <w:lang w:val="fr-CA"/>
        </w:rPr>
      </w:pPr>
    </w:p>
    <w:p w:rsidR="00ED3D48" w:rsidRPr="00EF295C" w:rsidRDefault="00ED3D48" w:rsidP="00ED3D48">
      <w:pPr>
        <w:rPr>
          <w:rFonts w:cs="Times New Roman"/>
          <w:b/>
          <w:sz w:val="20"/>
          <w:szCs w:val="20"/>
        </w:rPr>
      </w:pPr>
      <w:r w:rsidRPr="00EF295C">
        <w:rPr>
          <w:rFonts w:cs="Times New Roman"/>
          <w:b/>
          <w:sz w:val="20"/>
          <w:szCs w:val="20"/>
        </w:rPr>
        <w:t>IT IS HEREBY ORDERED THAT:</w:t>
      </w:r>
    </w:p>
    <w:p w:rsidR="00ED3D48" w:rsidRPr="00EF295C" w:rsidRDefault="00ED3D48" w:rsidP="00ED3D48">
      <w:pPr>
        <w:rPr>
          <w:rFonts w:cs="Times New Roman"/>
          <w:sz w:val="20"/>
          <w:szCs w:val="20"/>
        </w:rPr>
      </w:pPr>
    </w:p>
    <w:p w:rsidR="00ED3D48" w:rsidRPr="00EF295C" w:rsidRDefault="00ED3D48" w:rsidP="00ED3D4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F295C">
        <w:rPr>
          <w:rFonts w:cs="Times New Roman"/>
          <w:sz w:val="20"/>
          <w:szCs w:val="20"/>
        </w:rPr>
        <w:t xml:space="preserve">Any person wishing to intervene in this appeal under Rule 55 of the </w:t>
      </w:r>
      <w:r w:rsidRPr="00EF295C">
        <w:rPr>
          <w:rFonts w:cs="Times New Roman"/>
          <w:i/>
          <w:sz w:val="20"/>
          <w:szCs w:val="20"/>
        </w:rPr>
        <w:t>Rules of the Supreme Court of Canada</w:t>
      </w:r>
      <w:r w:rsidRPr="00EF295C">
        <w:rPr>
          <w:rFonts w:cs="Times New Roman"/>
          <w:sz w:val="20"/>
          <w:szCs w:val="20"/>
        </w:rPr>
        <w:t xml:space="preserve"> shall serve and file a motion for leave to intervene on or before January 31, 2017. </w:t>
      </w:r>
    </w:p>
    <w:p w:rsidR="00ED3D48" w:rsidRPr="00EF295C" w:rsidRDefault="00ED3D48" w:rsidP="00ED3D48">
      <w:pPr>
        <w:pStyle w:val="ListParagraph"/>
        <w:rPr>
          <w:rFonts w:cs="Times New Roman"/>
          <w:sz w:val="20"/>
          <w:szCs w:val="20"/>
        </w:rPr>
      </w:pPr>
    </w:p>
    <w:p w:rsidR="00ED3D48" w:rsidRPr="00EF295C" w:rsidRDefault="00ED3D48" w:rsidP="00ED3D4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F295C">
        <w:rPr>
          <w:rFonts w:cs="Times New Roman"/>
          <w:sz w:val="20"/>
          <w:szCs w:val="20"/>
        </w:rPr>
        <w:t xml:space="preserve">The appellant and respondent shall serve and file their responses, if any, to the motions for leave to intervene on or before February 7, 2017. </w:t>
      </w:r>
    </w:p>
    <w:p w:rsidR="00ED3D48" w:rsidRPr="00EF295C" w:rsidRDefault="00ED3D48" w:rsidP="00ED3D48">
      <w:pPr>
        <w:rPr>
          <w:rFonts w:cs="Times New Roman"/>
          <w:sz w:val="20"/>
          <w:szCs w:val="20"/>
        </w:rPr>
      </w:pPr>
    </w:p>
    <w:p w:rsidR="00ED3D48" w:rsidRPr="00EF295C" w:rsidRDefault="00ED3D48" w:rsidP="00ED3D4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EF295C">
        <w:rPr>
          <w:rFonts w:cs="Times New Roman"/>
          <w:sz w:val="20"/>
          <w:szCs w:val="20"/>
        </w:rPr>
        <w:t>Replies to any responses to the motions for leave to intervene shall be served and filed on or before February 9, 2017.</w:t>
      </w:r>
    </w:p>
    <w:p w:rsidR="00ED3D48" w:rsidRPr="00EF295C" w:rsidRDefault="00ED3D48" w:rsidP="00ED3D48">
      <w:pPr>
        <w:pStyle w:val="ListParagraph"/>
        <w:rPr>
          <w:rFonts w:cs="Times New Roman"/>
          <w:sz w:val="20"/>
          <w:szCs w:val="20"/>
        </w:rPr>
      </w:pPr>
    </w:p>
    <w:p w:rsidR="00ED3D48" w:rsidRPr="00EF295C" w:rsidRDefault="00ED3D48" w:rsidP="00ED3D48">
      <w:pPr>
        <w:pStyle w:val="ListParagraph"/>
        <w:numPr>
          <w:ilvl w:val="0"/>
          <w:numId w:val="8"/>
        </w:numPr>
        <w:autoSpaceDE w:val="0"/>
        <w:autoSpaceDN w:val="0"/>
        <w:adjustRightInd w:val="0"/>
        <w:jc w:val="both"/>
        <w:rPr>
          <w:rFonts w:cs="Times New Roman"/>
          <w:bCs/>
          <w:sz w:val="20"/>
          <w:szCs w:val="20"/>
        </w:rPr>
      </w:pPr>
      <w:r w:rsidRPr="00EF295C">
        <w:rPr>
          <w:rFonts w:cs="Times New Roman"/>
          <w:bCs/>
          <w:sz w:val="20"/>
          <w:szCs w:val="20"/>
        </w:rPr>
        <w:t xml:space="preserve">Any interveners granted leave to intervene under Rule 59 of the </w:t>
      </w:r>
      <w:r w:rsidRPr="00EF295C">
        <w:rPr>
          <w:rFonts w:cs="Times New Roman"/>
          <w:bCs/>
          <w:i/>
          <w:sz w:val="20"/>
          <w:szCs w:val="20"/>
        </w:rPr>
        <w:t>Rules of the Supreme Court of Canada</w:t>
      </w:r>
      <w:r w:rsidRPr="00EF295C">
        <w:rPr>
          <w:rFonts w:cs="Times New Roman"/>
          <w:bCs/>
          <w:sz w:val="20"/>
          <w:szCs w:val="20"/>
        </w:rPr>
        <w:t xml:space="preserve"> shall serve and file their factums and books of authorities on or before March 17, 2017.</w:t>
      </w:r>
    </w:p>
    <w:p w:rsidR="00ED3D48" w:rsidRPr="00EF295C" w:rsidRDefault="00ED3D48" w:rsidP="00ED3D48">
      <w:pPr>
        <w:rPr>
          <w:rFonts w:cs="Times New Roman"/>
          <w:bCs/>
          <w:sz w:val="20"/>
          <w:szCs w:val="20"/>
        </w:rPr>
      </w:pPr>
    </w:p>
    <w:p w:rsidR="00CA2DEA" w:rsidRPr="00EF295C" w:rsidRDefault="002E5FCE" w:rsidP="00ED3D48">
      <w:pPr>
        <w:rPr>
          <w:rFonts w:cs="Times New Roman"/>
          <w:sz w:val="20"/>
          <w:szCs w:val="20"/>
          <w:lang w:val="fr-CA"/>
        </w:rPr>
      </w:pPr>
      <w:r>
        <w:rPr>
          <w:rFonts w:cs="Times New Roman"/>
          <w:sz w:val="20"/>
          <w:szCs w:val="20"/>
          <w:lang w:val="fr-CA"/>
        </w:rPr>
        <w:pict>
          <v:rect id="_x0000_i1066" style="width:2in;height:1pt" o:hrpct="0" o:hralign="center" o:hrstd="t" o:hrnoshade="t" o:hr="t" fillcolor="black [3213]" stroked="f"/>
        </w:pict>
      </w:r>
    </w:p>
    <w:p w:rsidR="00CA2DEA" w:rsidRPr="00EF295C" w:rsidRDefault="00CA2DEA" w:rsidP="00CA2DEA">
      <w:pPr>
        <w:widowControl w:val="0"/>
        <w:rPr>
          <w:rFonts w:eastAsia="Times New Roman" w:cs="Times New Roman"/>
          <w:sz w:val="20"/>
          <w:szCs w:val="20"/>
          <w:lang w:val="en-US" w:eastAsia="en-CA"/>
        </w:rPr>
      </w:pPr>
    </w:p>
    <w:p w:rsidR="00CA2DEA" w:rsidRPr="00EF295C" w:rsidRDefault="00CA2DEA" w:rsidP="0010587F">
      <w:pPr>
        <w:tabs>
          <w:tab w:val="left" w:pos="-1440"/>
          <w:tab w:val="left" w:pos="-720"/>
        </w:tabs>
        <w:jc w:val="both"/>
        <w:rPr>
          <w:sz w:val="20"/>
          <w:szCs w:val="20"/>
          <w:lang w:val="fr-CA"/>
        </w:rPr>
      </w:pPr>
    </w:p>
    <w:p w:rsidR="00890FEB" w:rsidRPr="00EF295C" w:rsidRDefault="00890FEB" w:rsidP="00831CA9">
      <w:pPr>
        <w:jc w:val="both"/>
        <w:rPr>
          <w:sz w:val="20"/>
          <w:szCs w:val="20"/>
          <w:lang w:val="fr-CA"/>
        </w:rPr>
      </w:pPr>
    </w:p>
    <w:p w:rsidR="00831CA9" w:rsidRPr="00EF295C" w:rsidRDefault="00831CA9" w:rsidP="00831CA9">
      <w:pPr>
        <w:jc w:val="both"/>
        <w:rPr>
          <w:sz w:val="20"/>
          <w:szCs w:val="20"/>
          <w:lang w:val="fr-CA"/>
        </w:rPr>
        <w:sectPr w:rsidR="00831CA9" w:rsidRPr="00EF295C"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EF295C" w:rsidTr="0085476B">
        <w:tc>
          <w:tcPr>
            <w:tcW w:w="4320" w:type="dxa"/>
            <w:shd w:val="clear" w:color="auto" w:fill="auto"/>
            <w:tcMar>
              <w:left w:w="0" w:type="dxa"/>
              <w:right w:w="0" w:type="dxa"/>
            </w:tcMar>
          </w:tcPr>
          <w:p w:rsidR="0022323B" w:rsidRPr="00EF295C" w:rsidRDefault="0022323B" w:rsidP="00A03BAB">
            <w:pPr>
              <w:keepNext/>
              <w:keepLines/>
              <w:rPr>
                <w:b/>
                <w:szCs w:val="24"/>
              </w:rPr>
            </w:pPr>
            <w:r w:rsidRPr="00EF295C">
              <w:rPr>
                <w:b/>
                <w:szCs w:val="24"/>
              </w:rPr>
              <w:lastRenderedPageBreak/>
              <w:t xml:space="preserve">AGENDA FOR </w:t>
            </w:r>
            <w:r w:rsidR="00A03BAB" w:rsidRPr="00EF295C">
              <w:rPr>
                <w:b/>
                <w:szCs w:val="24"/>
              </w:rPr>
              <w:t>OCTOBER</w:t>
            </w:r>
            <w:r w:rsidR="005F1ED8" w:rsidRPr="00EF295C">
              <w:rPr>
                <w:b/>
                <w:szCs w:val="24"/>
              </w:rPr>
              <w:t xml:space="preserve"> 201</w:t>
            </w:r>
            <w:r w:rsidR="00E942C2" w:rsidRPr="00EF295C">
              <w:rPr>
                <w:b/>
                <w:szCs w:val="24"/>
              </w:rPr>
              <w:t>6</w:t>
            </w:r>
          </w:p>
        </w:tc>
        <w:tc>
          <w:tcPr>
            <w:tcW w:w="840" w:type="dxa"/>
            <w:shd w:val="clear" w:color="auto" w:fill="auto"/>
            <w:tcMar>
              <w:left w:w="0" w:type="dxa"/>
              <w:right w:w="0" w:type="dxa"/>
            </w:tcMar>
          </w:tcPr>
          <w:p w:rsidR="0022323B" w:rsidRPr="00EF295C" w:rsidRDefault="0022323B" w:rsidP="0022323B">
            <w:pPr>
              <w:keepNext/>
              <w:keepLines/>
              <w:jc w:val="center"/>
              <w:rPr>
                <w:b/>
                <w:szCs w:val="24"/>
              </w:rPr>
            </w:pPr>
          </w:p>
          <w:p w:rsidR="0022323B" w:rsidRPr="00EF295C" w:rsidRDefault="0022323B" w:rsidP="0022323B">
            <w:pPr>
              <w:keepNext/>
              <w:keepLines/>
              <w:jc w:val="center"/>
              <w:rPr>
                <w:b/>
                <w:szCs w:val="24"/>
              </w:rPr>
            </w:pPr>
          </w:p>
        </w:tc>
        <w:tc>
          <w:tcPr>
            <w:tcW w:w="4320" w:type="dxa"/>
            <w:shd w:val="clear" w:color="auto" w:fill="auto"/>
            <w:tcMar>
              <w:left w:w="0" w:type="dxa"/>
              <w:right w:w="0" w:type="dxa"/>
            </w:tcMar>
          </w:tcPr>
          <w:p w:rsidR="0022323B" w:rsidRPr="00EF295C" w:rsidRDefault="0022323B" w:rsidP="00A03BAB">
            <w:pPr>
              <w:keepNext/>
              <w:keepLines/>
              <w:rPr>
                <w:b/>
                <w:szCs w:val="24"/>
                <w:lang w:val="fr-CA"/>
              </w:rPr>
            </w:pPr>
            <w:r w:rsidRPr="00EF295C">
              <w:rPr>
                <w:b/>
                <w:szCs w:val="24"/>
                <w:lang w:val="fr-CA"/>
              </w:rPr>
              <w:t>CALENDRIER D</w:t>
            </w:r>
            <w:r w:rsidR="005F1ED8" w:rsidRPr="00EF295C">
              <w:rPr>
                <w:b/>
                <w:szCs w:val="24"/>
                <w:lang w:val="fr-CA"/>
              </w:rPr>
              <w:t>’</w:t>
            </w:r>
            <w:r w:rsidR="00A03BAB" w:rsidRPr="00EF295C">
              <w:rPr>
                <w:b/>
                <w:szCs w:val="24"/>
                <w:lang w:val="fr-CA"/>
              </w:rPr>
              <w:t>OCTOBRE</w:t>
            </w:r>
            <w:r w:rsidRPr="00EF295C">
              <w:rPr>
                <w:b/>
                <w:szCs w:val="24"/>
                <w:lang w:val="fr-CA"/>
              </w:rPr>
              <w:t xml:space="preserve"> </w:t>
            </w:r>
            <w:r w:rsidR="005F1ED8" w:rsidRPr="00EF295C">
              <w:rPr>
                <w:b/>
                <w:szCs w:val="24"/>
                <w:lang w:val="fr-CA"/>
              </w:rPr>
              <w:t>201</w:t>
            </w:r>
            <w:r w:rsidR="00E75CFD" w:rsidRPr="00EF295C">
              <w:rPr>
                <w:b/>
                <w:szCs w:val="24"/>
                <w:lang w:val="fr-CA"/>
              </w:rPr>
              <w:t>6</w:t>
            </w:r>
          </w:p>
        </w:tc>
      </w:tr>
    </w:tbl>
    <w:p w:rsidR="004B66B4" w:rsidRPr="00EF295C" w:rsidRDefault="004B66B4" w:rsidP="004B66B4">
      <w:pPr>
        <w:rPr>
          <w:b/>
          <w:sz w:val="20"/>
          <w:szCs w:val="20"/>
        </w:rPr>
      </w:pPr>
    </w:p>
    <w:p w:rsidR="005F1ED8" w:rsidRPr="00EF295C" w:rsidRDefault="005F1ED8" w:rsidP="005F1ED8">
      <w:pPr>
        <w:rPr>
          <w:b/>
          <w:sz w:val="20"/>
          <w:szCs w:val="20"/>
        </w:rPr>
      </w:pPr>
      <w:r w:rsidRPr="00EF295C">
        <w:rPr>
          <w:b/>
          <w:sz w:val="20"/>
          <w:szCs w:val="20"/>
        </w:rPr>
        <w:t xml:space="preserve">AGENDA for the weeks of </w:t>
      </w:r>
      <w:r w:rsidR="00BB1203" w:rsidRPr="00EF295C">
        <w:rPr>
          <w:b/>
          <w:sz w:val="20"/>
          <w:szCs w:val="20"/>
        </w:rPr>
        <w:t>October 3</w:t>
      </w:r>
      <w:r w:rsidRPr="00EF295C">
        <w:rPr>
          <w:b/>
          <w:sz w:val="20"/>
          <w:szCs w:val="20"/>
        </w:rPr>
        <w:t xml:space="preserve"> and </w:t>
      </w:r>
      <w:r w:rsidR="00BB1203" w:rsidRPr="00EF295C">
        <w:rPr>
          <w:b/>
          <w:sz w:val="20"/>
          <w:szCs w:val="20"/>
        </w:rPr>
        <w:t>10</w:t>
      </w:r>
      <w:r w:rsidRPr="00EF295C">
        <w:rPr>
          <w:b/>
          <w:sz w:val="20"/>
          <w:szCs w:val="20"/>
        </w:rPr>
        <w:t>, 201</w:t>
      </w:r>
      <w:r w:rsidR="00E75CFD" w:rsidRPr="00EF295C">
        <w:rPr>
          <w:b/>
          <w:sz w:val="20"/>
          <w:szCs w:val="20"/>
        </w:rPr>
        <w:t>6</w:t>
      </w:r>
      <w:r w:rsidRPr="00EF295C">
        <w:rPr>
          <w:b/>
          <w:sz w:val="20"/>
          <w:szCs w:val="20"/>
        </w:rPr>
        <w:t>.</w:t>
      </w:r>
    </w:p>
    <w:p w:rsidR="005F1ED8" w:rsidRPr="00EF295C" w:rsidRDefault="005F1ED8" w:rsidP="005F1ED8">
      <w:pPr>
        <w:rPr>
          <w:sz w:val="20"/>
          <w:szCs w:val="20"/>
          <w:lang w:val="fr-CA"/>
        </w:rPr>
      </w:pPr>
      <w:r w:rsidRPr="00EF295C">
        <w:rPr>
          <w:b/>
          <w:sz w:val="20"/>
          <w:szCs w:val="20"/>
          <w:lang w:val="fr-CA"/>
        </w:rPr>
        <w:t xml:space="preserve">CALENDRIER de la semaine du </w:t>
      </w:r>
      <w:r w:rsidR="00BB1203" w:rsidRPr="00EF295C">
        <w:rPr>
          <w:b/>
          <w:sz w:val="20"/>
          <w:szCs w:val="20"/>
          <w:lang w:val="fr-CA"/>
        </w:rPr>
        <w:t>3 octobre</w:t>
      </w:r>
      <w:r w:rsidRPr="00EF295C">
        <w:rPr>
          <w:b/>
          <w:sz w:val="20"/>
          <w:szCs w:val="20"/>
          <w:lang w:val="fr-CA"/>
        </w:rPr>
        <w:t xml:space="preserve"> et celle du </w:t>
      </w:r>
      <w:r w:rsidR="00BB1203" w:rsidRPr="00EF295C">
        <w:rPr>
          <w:b/>
          <w:sz w:val="20"/>
          <w:szCs w:val="20"/>
          <w:lang w:val="fr-CA"/>
        </w:rPr>
        <w:t>10 octobre</w:t>
      </w:r>
      <w:r w:rsidRPr="00EF295C">
        <w:rPr>
          <w:b/>
          <w:sz w:val="20"/>
          <w:szCs w:val="20"/>
          <w:lang w:val="fr-CA"/>
        </w:rPr>
        <w:t xml:space="preserve"> 201</w:t>
      </w:r>
      <w:r w:rsidR="00E75CFD" w:rsidRPr="00EF295C">
        <w:rPr>
          <w:b/>
          <w:sz w:val="20"/>
          <w:szCs w:val="20"/>
          <w:lang w:val="fr-CA"/>
        </w:rPr>
        <w:t>6</w:t>
      </w:r>
      <w:r w:rsidRPr="00EF295C">
        <w:rPr>
          <w:b/>
          <w:sz w:val="20"/>
          <w:szCs w:val="20"/>
          <w:lang w:val="fr-CA"/>
        </w:rPr>
        <w:t>.</w:t>
      </w:r>
    </w:p>
    <w:p w:rsidR="005F1ED8" w:rsidRPr="00EF295C" w:rsidRDefault="005F1ED8" w:rsidP="005F1ED8">
      <w:pPr>
        <w:rPr>
          <w:sz w:val="20"/>
          <w:szCs w:val="20"/>
          <w:lang w:val="fr-CA"/>
        </w:rPr>
      </w:pPr>
    </w:p>
    <w:p w:rsidR="005F1ED8" w:rsidRPr="00EF295C" w:rsidRDefault="005F1ED8" w:rsidP="005F1ED8">
      <w:pPr>
        <w:rPr>
          <w:sz w:val="20"/>
          <w:szCs w:val="20"/>
        </w:rPr>
      </w:pPr>
      <w:r w:rsidRPr="00EF295C">
        <w:rPr>
          <w:sz w:val="20"/>
          <w:szCs w:val="20"/>
        </w:rPr>
        <w:t xml:space="preserve">The Court will not be sitting during the weeks of </w:t>
      </w:r>
      <w:r w:rsidR="00BB1203" w:rsidRPr="00EF295C">
        <w:rPr>
          <w:sz w:val="20"/>
          <w:szCs w:val="20"/>
        </w:rPr>
        <w:t>October 17</w:t>
      </w:r>
      <w:r w:rsidRPr="00EF295C">
        <w:rPr>
          <w:sz w:val="20"/>
          <w:szCs w:val="20"/>
        </w:rPr>
        <w:t xml:space="preserve"> and </w:t>
      </w:r>
      <w:r w:rsidR="00BB1203" w:rsidRPr="00EF295C">
        <w:rPr>
          <w:sz w:val="20"/>
          <w:szCs w:val="20"/>
        </w:rPr>
        <w:t>24</w:t>
      </w:r>
      <w:r w:rsidRPr="00EF295C">
        <w:rPr>
          <w:sz w:val="20"/>
          <w:szCs w:val="20"/>
        </w:rPr>
        <w:t>, 201</w:t>
      </w:r>
      <w:r w:rsidR="00E75CFD" w:rsidRPr="00EF295C">
        <w:rPr>
          <w:sz w:val="20"/>
          <w:szCs w:val="20"/>
        </w:rPr>
        <w:t>6</w:t>
      </w:r>
      <w:r w:rsidRPr="00EF295C">
        <w:rPr>
          <w:sz w:val="20"/>
          <w:szCs w:val="20"/>
        </w:rPr>
        <w:t>.</w:t>
      </w:r>
    </w:p>
    <w:p w:rsidR="005F1ED8" w:rsidRPr="00EF295C" w:rsidRDefault="005F1ED8" w:rsidP="005F1ED8">
      <w:pPr>
        <w:rPr>
          <w:sz w:val="20"/>
          <w:szCs w:val="20"/>
          <w:lang w:val="fr-CA"/>
        </w:rPr>
      </w:pPr>
      <w:r w:rsidRPr="00EF295C">
        <w:rPr>
          <w:sz w:val="20"/>
          <w:szCs w:val="20"/>
          <w:lang w:val="fr-CA"/>
        </w:rPr>
        <w:t xml:space="preserve">La Cour ne siègera pas pendant les semaines du </w:t>
      </w:r>
      <w:r w:rsidR="00BB1203" w:rsidRPr="00EF295C">
        <w:rPr>
          <w:sz w:val="20"/>
          <w:szCs w:val="20"/>
          <w:lang w:val="fr-CA"/>
        </w:rPr>
        <w:t>1</w:t>
      </w:r>
      <w:r w:rsidRPr="00EF295C">
        <w:rPr>
          <w:sz w:val="20"/>
          <w:szCs w:val="20"/>
          <w:lang w:val="fr-CA"/>
        </w:rPr>
        <w:t>7 et du 2</w:t>
      </w:r>
      <w:r w:rsidR="00BB1203" w:rsidRPr="00EF295C">
        <w:rPr>
          <w:sz w:val="20"/>
          <w:szCs w:val="20"/>
          <w:lang w:val="fr-CA"/>
        </w:rPr>
        <w:t>4</w:t>
      </w:r>
      <w:r w:rsidRPr="00EF295C">
        <w:rPr>
          <w:sz w:val="20"/>
          <w:szCs w:val="20"/>
          <w:lang w:val="fr-CA"/>
        </w:rPr>
        <w:t xml:space="preserve"> </w:t>
      </w:r>
      <w:r w:rsidR="00BB1203" w:rsidRPr="00EF295C">
        <w:rPr>
          <w:sz w:val="20"/>
          <w:szCs w:val="20"/>
          <w:lang w:val="fr-CA"/>
        </w:rPr>
        <w:t>octobre</w:t>
      </w:r>
      <w:r w:rsidRPr="00EF295C">
        <w:rPr>
          <w:sz w:val="20"/>
          <w:szCs w:val="20"/>
          <w:lang w:val="fr-CA"/>
        </w:rPr>
        <w:t xml:space="preserve"> 201</w:t>
      </w:r>
      <w:r w:rsidR="00E75CFD" w:rsidRPr="00EF295C">
        <w:rPr>
          <w:sz w:val="20"/>
          <w:szCs w:val="20"/>
          <w:lang w:val="fr-CA"/>
        </w:rPr>
        <w:t>6</w:t>
      </w:r>
      <w:r w:rsidRPr="00EF295C">
        <w:rPr>
          <w:sz w:val="20"/>
          <w:szCs w:val="20"/>
          <w:lang w:val="fr-CA"/>
        </w:rPr>
        <w:t>.</w:t>
      </w:r>
    </w:p>
    <w:p w:rsidR="004B66B4" w:rsidRPr="00EF295C" w:rsidRDefault="002E5FCE" w:rsidP="004B66B4">
      <w:pPr>
        <w:rPr>
          <w:sz w:val="20"/>
          <w:szCs w:val="20"/>
        </w:rPr>
      </w:pPr>
      <w:r>
        <w:rPr>
          <w:sz w:val="20"/>
          <w:szCs w:val="20"/>
        </w:rPr>
        <w:pict>
          <v:rect id="_x0000_i1069" style="width:480.95pt;height:1pt" o:hralign="center" o:hrstd="t" o:hrnoshade="t" o:hr="t" fillcolor="black [3213]" stroked="f"/>
        </w:pict>
      </w:r>
    </w:p>
    <w:p w:rsidR="004B66B4" w:rsidRPr="00EF295C"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1608EC" w:rsidRPr="002E5FCE" w:rsidTr="001608EC">
        <w:trPr>
          <w:cantSplit/>
        </w:trPr>
        <w:tc>
          <w:tcPr>
            <w:tcW w:w="2398" w:type="dxa"/>
          </w:tcPr>
          <w:p w:rsidR="001608EC" w:rsidRPr="00EF295C" w:rsidRDefault="001608EC" w:rsidP="00665CAF">
            <w:pPr>
              <w:rPr>
                <w:sz w:val="20"/>
                <w:szCs w:val="20"/>
              </w:rPr>
            </w:pPr>
            <w:r w:rsidRPr="00EF295C">
              <w:rPr>
                <w:sz w:val="20"/>
                <w:szCs w:val="20"/>
              </w:rPr>
              <w:t>DATE OF HEARING /</w:t>
            </w:r>
          </w:p>
          <w:p w:rsidR="001608EC" w:rsidRPr="00EF295C" w:rsidRDefault="001608EC" w:rsidP="00665CAF">
            <w:pPr>
              <w:rPr>
                <w:sz w:val="20"/>
                <w:szCs w:val="20"/>
              </w:rPr>
            </w:pPr>
            <w:r w:rsidRPr="00EF295C">
              <w:rPr>
                <w:sz w:val="20"/>
                <w:szCs w:val="20"/>
              </w:rPr>
              <w:t>DATE D’AUDITION</w:t>
            </w:r>
          </w:p>
        </w:tc>
        <w:tc>
          <w:tcPr>
            <w:tcW w:w="7178" w:type="dxa"/>
          </w:tcPr>
          <w:p w:rsidR="001608EC" w:rsidRPr="00EF295C" w:rsidRDefault="001608EC" w:rsidP="00665CAF">
            <w:pPr>
              <w:rPr>
                <w:sz w:val="20"/>
                <w:szCs w:val="20"/>
                <w:lang w:val="fr-CA"/>
              </w:rPr>
            </w:pPr>
            <w:r w:rsidRPr="00EF295C">
              <w:rPr>
                <w:sz w:val="20"/>
                <w:szCs w:val="20"/>
                <w:lang w:val="fr-CA"/>
              </w:rPr>
              <w:t>NAME AND CASE NUMBER /</w:t>
            </w:r>
          </w:p>
          <w:p w:rsidR="001608EC" w:rsidRPr="00EF295C" w:rsidRDefault="001608EC" w:rsidP="00665CAF">
            <w:pPr>
              <w:rPr>
                <w:sz w:val="20"/>
                <w:szCs w:val="20"/>
                <w:lang w:val="fr-CA"/>
              </w:rPr>
            </w:pPr>
            <w:r w:rsidRPr="00EF295C">
              <w:rPr>
                <w:sz w:val="20"/>
                <w:szCs w:val="20"/>
                <w:lang w:val="fr-CA"/>
              </w:rPr>
              <w:t>NOM DE LA CAUSE ET NUMÉRO</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2016-10-05</w:t>
            </w:r>
          </w:p>
        </w:tc>
        <w:tc>
          <w:tcPr>
            <w:tcW w:w="7178" w:type="dxa"/>
          </w:tcPr>
          <w:p w:rsidR="001608EC" w:rsidRPr="00EF295C" w:rsidRDefault="001608EC" w:rsidP="003124C3">
            <w:pPr>
              <w:jc w:val="both"/>
              <w:rPr>
                <w:sz w:val="20"/>
                <w:szCs w:val="20"/>
                <w:lang w:val="fr-CA"/>
              </w:rPr>
            </w:pPr>
            <w:r w:rsidRPr="00EF295C">
              <w:rPr>
                <w:rStyle w:val="SCCSsocChar"/>
                <w:lang w:val="fr-CA"/>
              </w:rPr>
              <w:t xml:space="preserve">Andrew </w:t>
            </w:r>
            <w:proofErr w:type="spellStart"/>
            <w:r w:rsidRPr="00EF295C">
              <w:rPr>
                <w:rStyle w:val="SCCSsocChar"/>
                <w:lang w:val="fr-CA"/>
              </w:rPr>
              <w:t>Sabean</w:t>
            </w:r>
            <w:proofErr w:type="spellEnd"/>
            <w:r w:rsidRPr="00EF295C">
              <w:rPr>
                <w:rStyle w:val="SCCSsocChar"/>
                <w:lang w:val="fr-CA"/>
              </w:rPr>
              <w:t xml:space="preserve"> v. Portage La Prairie </w:t>
            </w:r>
            <w:proofErr w:type="spellStart"/>
            <w:r w:rsidRPr="00EF295C">
              <w:rPr>
                <w:rStyle w:val="SCCSsocChar"/>
                <w:lang w:val="fr-CA"/>
              </w:rPr>
              <w:t>Mutual</w:t>
            </w:r>
            <w:proofErr w:type="spellEnd"/>
            <w:r w:rsidRPr="00EF295C">
              <w:rPr>
                <w:rStyle w:val="SCCSsocChar"/>
                <w:lang w:val="fr-CA"/>
              </w:rPr>
              <w:t xml:space="preserve"> </w:t>
            </w:r>
            <w:proofErr w:type="spellStart"/>
            <w:r w:rsidRPr="00EF295C">
              <w:rPr>
                <w:rStyle w:val="SCCSsocChar"/>
                <w:lang w:val="fr-CA"/>
              </w:rPr>
              <w:t>Insurance</w:t>
            </w:r>
            <w:proofErr w:type="spellEnd"/>
            <w:r w:rsidRPr="00EF295C">
              <w:rPr>
                <w:rStyle w:val="SCCSsocChar"/>
                <w:lang w:val="fr-CA"/>
              </w:rPr>
              <w:t xml:space="preserve"> </w:t>
            </w:r>
            <w:proofErr w:type="spellStart"/>
            <w:r w:rsidRPr="00EF295C">
              <w:rPr>
                <w:rStyle w:val="SCCSsocChar"/>
                <w:lang w:val="fr-CA"/>
              </w:rPr>
              <w:t>Company</w:t>
            </w:r>
            <w:proofErr w:type="spellEnd"/>
            <w:r w:rsidRPr="00EF295C">
              <w:rPr>
                <w:sz w:val="20"/>
                <w:szCs w:val="20"/>
                <w:lang w:val="fr-CA"/>
              </w:rPr>
              <w:t xml:space="preserve"> (N.S.) (Civil) (By Leave) (36575)</w:t>
            </w:r>
          </w:p>
        </w:tc>
      </w:tr>
      <w:tr w:rsidR="001608EC" w:rsidRPr="002E5FCE" w:rsidTr="001608EC">
        <w:trPr>
          <w:cantSplit/>
        </w:trPr>
        <w:tc>
          <w:tcPr>
            <w:tcW w:w="2398" w:type="dxa"/>
          </w:tcPr>
          <w:p w:rsidR="001608EC" w:rsidRPr="00EF295C" w:rsidRDefault="001608EC" w:rsidP="00665CAF">
            <w:pPr>
              <w:rPr>
                <w:sz w:val="20"/>
                <w:szCs w:val="20"/>
                <w:lang w:val="fr-CA"/>
              </w:rPr>
            </w:pPr>
            <w:r w:rsidRPr="00EF295C">
              <w:rPr>
                <w:sz w:val="20"/>
                <w:szCs w:val="20"/>
                <w:lang w:val="fr-CA"/>
              </w:rPr>
              <w:t>2016-10-06</w:t>
            </w:r>
          </w:p>
        </w:tc>
        <w:tc>
          <w:tcPr>
            <w:tcW w:w="7178" w:type="dxa"/>
          </w:tcPr>
          <w:p w:rsidR="001608EC" w:rsidRPr="00EF295C" w:rsidRDefault="001608EC" w:rsidP="00194A08">
            <w:pPr>
              <w:jc w:val="both"/>
              <w:rPr>
                <w:sz w:val="20"/>
                <w:szCs w:val="20"/>
                <w:lang w:val="fr-CA"/>
              </w:rPr>
            </w:pPr>
            <w:r w:rsidRPr="00EF295C">
              <w:rPr>
                <w:rStyle w:val="SCCSsocChar"/>
                <w:lang w:val="fr-CA"/>
              </w:rPr>
              <w:t>Thérèse Godbout et a</w:t>
            </w:r>
            <w:r w:rsidR="00194A08">
              <w:rPr>
                <w:rStyle w:val="SCCSsocChar"/>
                <w:lang w:val="fr-CA"/>
              </w:rPr>
              <w:t>utres</w:t>
            </w:r>
            <w:r w:rsidRPr="00EF295C">
              <w:rPr>
                <w:rStyle w:val="SCCSsocChar"/>
                <w:lang w:val="fr-CA"/>
              </w:rPr>
              <w:t xml:space="preserve"> c. </w:t>
            </w:r>
            <w:proofErr w:type="spellStart"/>
            <w:r w:rsidRPr="00EF295C">
              <w:rPr>
                <w:rStyle w:val="SCCSsocChar"/>
                <w:lang w:val="fr-CA"/>
              </w:rPr>
              <w:t>Jean-Maurice</w:t>
            </w:r>
            <w:proofErr w:type="spellEnd"/>
            <w:r w:rsidRPr="00EF295C">
              <w:rPr>
                <w:rStyle w:val="SCCSsocChar"/>
                <w:lang w:val="fr-CA"/>
              </w:rPr>
              <w:t xml:space="preserve"> </w:t>
            </w:r>
            <w:proofErr w:type="spellStart"/>
            <w:r w:rsidRPr="00EF295C">
              <w:rPr>
                <w:rStyle w:val="SCCSsocChar"/>
                <w:lang w:val="fr-CA"/>
              </w:rPr>
              <w:t>Pagé</w:t>
            </w:r>
            <w:proofErr w:type="spellEnd"/>
            <w:r w:rsidRPr="00EF295C">
              <w:rPr>
                <w:rStyle w:val="SCCSsocChar"/>
                <w:lang w:val="fr-CA"/>
              </w:rPr>
              <w:t xml:space="preserve"> et a</w:t>
            </w:r>
            <w:r w:rsidR="00194A08">
              <w:rPr>
                <w:rStyle w:val="SCCSsocChar"/>
                <w:lang w:val="fr-CA"/>
              </w:rPr>
              <w:t>utres</w:t>
            </w:r>
            <w:r w:rsidRPr="00EF295C">
              <w:rPr>
                <w:sz w:val="20"/>
                <w:szCs w:val="20"/>
                <w:lang w:val="fr-CA"/>
              </w:rPr>
              <w:t xml:space="preserve"> (</w:t>
            </w:r>
            <w:proofErr w:type="spellStart"/>
            <w:r w:rsidRPr="00EF295C">
              <w:rPr>
                <w:sz w:val="20"/>
                <w:szCs w:val="20"/>
                <w:lang w:val="fr-CA"/>
              </w:rPr>
              <w:t>Qc</w:t>
            </w:r>
            <w:proofErr w:type="spellEnd"/>
            <w:r w:rsidRPr="00EF295C">
              <w:rPr>
                <w:sz w:val="20"/>
                <w:szCs w:val="20"/>
                <w:lang w:val="fr-CA"/>
              </w:rPr>
              <w:t>) (Civile) (Autorisation) (36385)</w:t>
            </w:r>
          </w:p>
        </w:tc>
      </w:tr>
      <w:tr w:rsidR="001608EC" w:rsidRPr="00EF295C" w:rsidTr="001608EC">
        <w:trPr>
          <w:cantSplit/>
        </w:trPr>
        <w:tc>
          <w:tcPr>
            <w:tcW w:w="2398" w:type="dxa"/>
          </w:tcPr>
          <w:p w:rsidR="001608EC" w:rsidRPr="00EF295C" w:rsidRDefault="001608EC" w:rsidP="00665CAF">
            <w:pPr>
              <w:rPr>
                <w:sz w:val="20"/>
                <w:szCs w:val="20"/>
                <w:lang w:val="fr-CA"/>
              </w:rPr>
            </w:pPr>
            <w:r w:rsidRPr="00EF295C">
              <w:rPr>
                <w:sz w:val="20"/>
                <w:szCs w:val="20"/>
                <w:lang w:val="fr-CA"/>
              </w:rPr>
              <w:t>2016-10-06</w:t>
            </w:r>
          </w:p>
        </w:tc>
        <w:tc>
          <w:tcPr>
            <w:tcW w:w="7178" w:type="dxa"/>
          </w:tcPr>
          <w:p w:rsidR="001608EC" w:rsidRPr="00EF295C" w:rsidRDefault="001608EC" w:rsidP="001608EC">
            <w:pPr>
              <w:jc w:val="both"/>
              <w:rPr>
                <w:sz w:val="20"/>
                <w:szCs w:val="20"/>
              </w:rPr>
            </w:pPr>
            <w:r w:rsidRPr="00EF295C">
              <w:rPr>
                <w:rStyle w:val="SCCSsocChar"/>
              </w:rPr>
              <w:t xml:space="preserve">Gilles </w:t>
            </w:r>
            <w:proofErr w:type="spellStart"/>
            <w:r w:rsidRPr="00EF295C">
              <w:rPr>
                <w:rStyle w:val="SCCSsocChar"/>
              </w:rPr>
              <w:t>Gargantiel</w:t>
            </w:r>
            <w:proofErr w:type="spellEnd"/>
            <w:r w:rsidRPr="00EF295C">
              <w:rPr>
                <w:rStyle w:val="SCCSsocChar"/>
              </w:rPr>
              <w:t xml:space="preserve"> v. Attorney General of Quebec</w:t>
            </w:r>
            <w:r w:rsidRPr="00EF295C">
              <w:rPr>
                <w:sz w:val="20"/>
                <w:szCs w:val="20"/>
              </w:rPr>
              <w:t xml:space="preserve"> (Que.) (Civil) (By Leave) (36388)</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2016-10-07</w:t>
            </w:r>
          </w:p>
        </w:tc>
        <w:tc>
          <w:tcPr>
            <w:tcW w:w="7178" w:type="dxa"/>
          </w:tcPr>
          <w:p w:rsidR="001608EC" w:rsidRPr="00EF295C" w:rsidRDefault="001608EC" w:rsidP="001608EC">
            <w:pPr>
              <w:jc w:val="both"/>
              <w:rPr>
                <w:sz w:val="20"/>
                <w:szCs w:val="20"/>
                <w:lang w:val="fr-CA"/>
              </w:rPr>
            </w:pPr>
            <w:r w:rsidRPr="00EF295C">
              <w:rPr>
                <w:rStyle w:val="SCCSsocChar"/>
                <w:lang w:val="fr-CA"/>
              </w:rPr>
              <w:t xml:space="preserve">Alain </w:t>
            </w:r>
            <w:proofErr w:type="spellStart"/>
            <w:r w:rsidRPr="00EF295C">
              <w:rPr>
                <w:rStyle w:val="SCCSsocChar"/>
                <w:lang w:val="fr-CA"/>
              </w:rPr>
              <w:t>Ostiguy</w:t>
            </w:r>
            <w:proofErr w:type="spellEnd"/>
            <w:r w:rsidRPr="00EF295C">
              <w:rPr>
                <w:rStyle w:val="SCCSsocChar"/>
                <w:lang w:val="fr-CA"/>
              </w:rPr>
              <w:t xml:space="preserve"> et a</w:t>
            </w:r>
            <w:r w:rsidR="00194A08">
              <w:rPr>
                <w:rStyle w:val="SCCSsocChar"/>
                <w:lang w:val="fr-CA"/>
              </w:rPr>
              <w:t>utre</w:t>
            </w:r>
            <w:r w:rsidRPr="00EF295C">
              <w:rPr>
                <w:rStyle w:val="SCCSsocChar"/>
                <w:lang w:val="fr-CA"/>
              </w:rPr>
              <w:t xml:space="preserve"> c. Hélène Allie</w:t>
            </w:r>
            <w:r w:rsidRPr="00EF295C">
              <w:rPr>
                <w:sz w:val="20"/>
                <w:szCs w:val="20"/>
                <w:lang w:val="fr-CA"/>
              </w:rPr>
              <w:t xml:space="preserve"> (Qc) (Civile) (Autorisation) (36694)</w:t>
            </w:r>
          </w:p>
          <w:p w:rsidR="001608EC" w:rsidRPr="00EF295C" w:rsidRDefault="003124C3" w:rsidP="003124C3">
            <w:pPr>
              <w:jc w:val="both"/>
              <w:rPr>
                <w:sz w:val="20"/>
                <w:szCs w:val="20"/>
                <w:lang w:val="fr-CA"/>
              </w:rPr>
            </w:pPr>
            <w:r w:rsidRPr="00EF295C">
              <w:rPr>
                <w:sz w:val="20"/>
                <w:lang w:val="fr-CA"/>
              </w:rPr>
              <w:t>(</w:t>
            </w:r>
            <w:proofErr w:type="spellStart"/>
            <w:r w:rsidRPr="00EF295C">
              <w:rPr>
                <w:sz w:val="20"/>
                <w:lang w:val="fr-CA"/>
              </w:rPr>
              <w:t>Early</w:t>
            </w:r>
            <w:proofErr w:type="spellEnd"/>
            <w:r w:rsidRPr="00EF295C">
              <w:rPr>
                <w:sz w:val="20"/>
                <w:lang w:val="fr-CA"/>
              </w:rPr>
              <w:t xml:space="preserve"> </w:t>
            </w:r>
            <w:proofErr w:type="spellStart"/>
            <w:r w:rsidRPr="00EF295C">
              <w:rPr>
                <w:sz w:val="20"/>
                <w:lang w:val="fr-CA"/>
              </w:rPr>
              <w:t>start</w:t>
            </w:r>
            <w:proofErr w:type="spellEnd"/>
            <w:r w:rsidRPr="00EF295C">
              <w:rPr>
                <w:sz w:val="20"/>
                <w:lang w:val="fr-CA"/>
              </w:rPr>
              <w:t xml:space="preserve"> time : 9 :00 </w:t>
            </w:r>
            <w:proofErr w:type="spellStart"/>
            <w:r w:rsidRPr="00EF295C">
              <w:rPr>
                <w:sz w:val="20"/>
                <w:lang w:val="fr-CA"/>
              </w:rPr>
              <w:t>a.m</w:t>
            </w:r>
            <w:proofErr w:type="spellEnd"/>
            <w:r w:rsidRPr="00EF295C">
              <w:rPr>
                <w:sz w:val="20"/>
                <w:lang w:val="fr-CA"/>
              </w:rPr>
              <w:t>. / Horaire modifié : audience débutant à 9 h)</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2016-10-07</w:t>
            </w:r>
          </w:p>
        </w:tc>
        <w:tc>
          <w:tcPr>
            <w:tcW w:w="7178" w:type="dxa"/>
          </w:tcPr>
          <w:p w:rsidR="001608EC" w:rsidRDefault="001608EC" w:rsidP="001608EC">
            <w:pPr>
              <w:jc w:val="both"/>
              <w:rPr>
                <w:sz w:val="20"/>
                <w:szCs w:val="20"/>
              </w:rPr>
            </w:pPr>
            <w:r w:rsidRPr="00EF295C">
              <w:rPr>
                <w:rStyle w:val="SCCSsocChar"/>
              </w:rPr>
              <w:t xml:space="preserve">Corporation of the City of Nelson v. Mary Geraldine </w:t>
            </w:r>
            <w:proofErr w:type="spellStart"/>
            <w:r w:rsidRPr="00EF295C">
              <w:rPr>
                <w:rStyle w:val="SCCSsocChar"/>
              </w:rPr>
              <w:t>Mowatt</w:t>
            </w:r>
            <w:proofErr w:type="spellEnd"/>
            <w:r w:rsidRPr="00EF295C">
              <w:rPr>
                <w:rStyle w:val="SCCSsocChar"/>
              </w:rPr>
              <w:t xml:space="preserve"> et al.</w:t>
            </w:r>
            <w:r w:rsidRPr="00EF295C">
              <w:rPr>
                <w:sz w:val="20"/>
                <w:szCs w:val="20"/>
              </w:rPr>
              <w:t xml:space="preserve"> (B.C.) (Civil) (By Leave) (36999)</w:t>
            </w:r>
          </w:p>
          <w:p w:rsidR="00505DBF" w:rsidRPr="00EF295C" w:rsidRDefault="00505DBF" w:rsidP="001608EC">
            <w:pPr>
              <w:jc w:val="both"/>
              <w:rPr>
                <w:sz w:val="20"/>
                <w:szCs w:val="20"/>
              </w:rPr>
            </w:pPr>
            <w:r w:rsidRPr="002E5FCE">
              <w:rPr>
                <w:sz w:val="20"/>
                <w:lang w:val="en-US"/>
              </w:rPr>
              <w:t>(Early start time : 9 :00 a.m. / Horaire modifié : audience débutant à 9 h)</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2016-10-11</w:t>
            </w:r>
          </w:p>
        </w:tc>
        <w:tc>
          <w:tcPr>
            <w:tcW w:w="7178" w:type="dxa"/>
          </w:tcPr>
          <w:p w:rsidR="001608EC" w:rsidRPr="00EF295C" w:rsidRDefault="001608EC" w:rsidP="001608EC">
            <w:pPr>
              <w:jc w:val="both"/>
              <w:rPr>
                <w:sz w:val="20"/>
                <w:szCs w:val="20"/>
              </w:rPr>
            </w:pPr>
            <w:r w:rsidRPr="00EF295C">
              <w:rPr>
                <w:rStyle w:val="SCCSsocChar"/>
              </w:rPr>
              <w:t>BC Freedom of Information and Privacy Association v. Attorney General of British Columbia</w:t>
            </w:r>
            <w:r w:rsidRPr="00EF295C">
              <w:rPr>
                <w:sz w:val="20"/>
                <w:szCs w:val="20"/>
              </w:rPr>
              <w:t xml:space="preserve"> (B.C.) (Civil) (By Leave) (36495)</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2016-10-12</w:t>
            </w:r>
          </w:p>
        </w:tc>
        <w:tc>
          <w:tcPr>
            <w:tcW w:w="7178" w:type="dxa"/>
          </w:tcPr>
          <w:p w:rsidR="001608EC" w:rsidRPr="00EF295C" w:rsidRDefault="001608EC" w:rsidP="00194A08">
            <w:pPr>
              <w:jc w:val="both"/>
              <w:rPr>
                <w:sz w:val="20"/>
                <w:szCs w:val="20"/>
              </w:rPr>
            </w:pPr>
            <w:r w:rsidRPr="00EF295C">
              <w:rPr>
                <w:rStyle w:val="SCCSsocChar"/>
              </w:rPr>
              <w:t>Scott Diamond v. Her Majesty the Queen in Right of Newfoundland and Labrador et al.</w:t>
            </w:r>
            <w:r w:rsidRPr="00EF295C">
              <w:rPr>
                <w:sz w:val="20"/>
                <w:szCs w:val="20"/>
              </w:rPr>
              <w:t xml:space="preserve"> (N.L.) (Criminal) (As of Right) (36816)</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2016-10-13</w:t>
            </w:r>
          </w:p>
        </w:tc>
        <w:tc>
          <w:tcPr>
            <w:tcW w:w="7178" w:type="dxa"/>
          </w:tcPr>
          <w:p w:rsidR="001608EC" w:rsidRPr="00EF295C" w:rsidRDefault="001608EC" w:rsidP="001608EC">
            <w:pPr>
              <w:jc w:val="both"/>
              <w:rPr>
                <w:sz w:val="20"/>
                <w:szCs w:val="20"/>
              </w:rPr>
            </w:pPr>
            <w:r w:rsidRPr="00EF295C">
              <w:rPr>
                <w:rStyle w:val="SCCSsocChar"/>
              </w:rPr>
              <w:t>Carson Bingley v. Her Majesty the Queen</w:t>
            </w:r>
            <w:r w:rsidRPr="00EF295C">
              <w:rPr>
                <w:sz w:val="20"/>
                <w:szCs w:val="20"/>
              </w:rPr>
              <w:t xml:space="preserve"> (Ont.) (Criminal) (By Leave) (36610)</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2016-10-14</w:t>
            </w:r>
          </w:p>
        </w:tc>
        <w:tc>
          <w:tcPr>
            <w:tcW w:w="7178" w:type="dxa"/>
          </w:tcPr>
          <w:p w:rsidR="001608EC" w:rsidRPr="00EF295C" w:rsidRDefault="001608EC" w:rsidP="001608EC">
            <w:pPr>
              <w:jc w:val="both"/>
              <w:rPr>
                <w:sz w:val="20"/>
                <w:szCs w:val="20"/>
              </w:rPr>
            </w:pPr>
            <w:r w:rsidRPr="00EF295C">
              <w:rPr>
                <w:rStyle w:val="SCCSsocChar"/>
              </w:rPr>
              <w:t xml:space="preserve">Eric Andrew </w:t>
            </w:r>
            <w:proofErr w:type="spellStart"/>
            <w:r w:rsidRPr="00EF295C">
              <w:rPr>
                <w:rStyle w:val="SCCSsocChar"/>
              </w:rPr>
              <w:t>Rowson</w:t>
            </w:r>
            <w:proofErr w:type="spellEnd"/>
            <w:r w:rsidRPr="00EF295C">
              <w:rPr>
                <w:rStyle w:val="SCCSsocChar"/>
              </w:rPr>
              <w:t xml:space="preserve"> v. Her Majesty the Queen</w:t>
            </w:r>
            <w:r w:rsidRPr="00EF295C">
              <w:rPr>
                <w:sz w:val="20"/>
                <w:szCs w:val="20"/>
              </w:rPr>
              <w:t xml:space="preserve"> (Alta.) (Criminal) (As of Right) (36777)</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2016-10-14</w:t>
            </w:r>
          </w:p>
        </w:tc>
        <w:tc>
          <w:tcPr>
            <w:tcW w:w="7178" w:type="dxa"/>
          </w:tcPr>
          <w:p w:rsidR="001608EC" w:rsidRPr="00EF295C" w:rsidRDefault="001608EC" w:rsidP="001608EC">
            <w:pPr>
              <w:jc w:val="both"/>
              <w:rPr>
                <w:sz w:val="20"/>
                <w:szCs w:val="20"/>
              </w:rPr>
            </w:pPr>
            <w:r w:rsidRPr="00EF295C">
              <w:rPr>
                <w:rStyle w:val="SCCSsocChar"/>
              </w:rPr>
              <w:t>Her Majesty the Queen v. C. K-D.</w:t>
            </w:r>
            <w:r w:rsidRPr="00EF295C">
              <w:rPr>
                <w:sz w:val="20"/>
                <w:szCs w:val="20"/>
              </w:rPr>
              <w:t xml:space="preserve"> (Ont.) (Criminal) (As of Right) (36877)</w:t>
            </w:r>
          </w:p>
        </w:tc>
      </w:tr>
      <w:tr w:rsidR="001608EC" w:rsidRPr="00EF295C" w:rsidTr="001608EC">
        <w:trPr>
          <w:cantSplit/>
        </w:trPr>
        <w:tc>
          <w:tcPr>
            <w:tcW w:w="2398" w:type="dxa"/>
          </w:tcPr>
          <w:p w:rsidR="001608EC" w:rsidRPr="00EF295C" w:rsidRDefault="001608EC" w:rsidP="00665CAF">
            <w:pPr>
              <w:rPr>
                <w:sz w:val="20"/>
                <w:szCs w:val="20"/>
              </w:rPr>
            </w:pPr>
            <w:r w:rsidRPr="00EF295C">
              <w:rPr>
                <w:sz w:val="20"/>
                <w:szCs w:val="20"/>
              </w:rPr>
              <w:t>2016-10-31</w:t>
            </w:r>
          </w:p>
        </w:tc>
        <w:tc>
          <w:tcPr>
            <w:tcW w:w="7178" w:type="dxa"/>
          </w:tcPr>
          <w:p w:rsidR="001608EC" w:rsidRPr="00EF295C" w:rsidRDefault="001608EC" w:rsidP="001608EC">
            <w:pPr>
              <w:jc w:val="both"/>
              <w:rPr>
                <w:sz w:val="20"/>
                <w:szCs w:val="20"/>
              </w:rPr>
            </w:pPr>
            <w:r w:rsidRPr="00EF295C">
              <w:rPr>
                <w:rStyle w:val="SCCSsocChar"/>
              </w:rPr>
              <w:t>Dennis James Oland v. Her Majesty the Queen</w:t>
            </w:r>
            <w:r w:rsidRPr="00EF295C">
              <w:rPr>
                <w:sz w:val="20"/>
                <w:szCs w:val="20"/>
              </w:rPr>
              <w:t xml:space="preserve"> (N.B.) (Criminal) (By Leave) (36986)</w:t>
            </w:r>
          </w:p>
        </w:tc>
      </w:tr>
    </w:tbl>
    <w:p w:rsidR="005F1ED8" w:rsidRPr="00EF295C" w:rsidRDefault="005F1ED8" w:rsidP="004B66B4">
      <w:pPr>
        <w:rPr>
          <w:sz w:val="20"/>
          <w:szCs w:val="20"/>
          <w:lang w:val="fr-CA"/>
        </w:rPr>
      </w:pPr>
    </w:p>
    <w:p w:rsidR="004B66B4" w:rsidRPr="00EF295C" w:rsidRDefault="002E5FCE" w:rsidP="002868D0">
      <w:pPr>
        <w:jc w:val="both"/>
        <w:rPr>
          <w:sz w:val="20"/>
          <w:szCs w:val="20"/>
        </w:rPr>
      </w:pPr>
      <w:r>
        <w:rPr>
          <w:sz w:val="20"/>
          <w:szCs w:val="20"/>
          <w:lang w:val="fr-CA"/>
        </w:rPr>
        <w:pict>
          <v:rect id="_x0000_i1070" style="width:2in;height:1pt" o:hrpct="0" o:hralign="center" o:hrstd="t" o:hrnoshade="t" o:hr="t" fillcolor="black [3213]" stroked="f"/>
        </w:pict>
      </w:r>
    </w:p>
    <w:p w:rsidR="004B66B4" w:rsidRPr="00EF295C" w:rsidRDefault="004B66B4" w:rsidP="004B66B4">
      <w:pPr>
        <w:tabs>
          <w:tab w:val="left" w:pos="1980"/>
        </w:tabs>
        <w:jc w:val="both"/>
        <w:rPr>
          <w:sz w:val="20"/>
          <w:szCs w:val="20"/>
        </w:rPr>
      </w:pPr>
    </w:p>
    <w:p w:rsidR="004B66B4" w:rsidRPr="00EF295C" w:rsidRDefault="004B66B4" w:rsidP="004B66B4">
      <w:pPr>
        <w:jc w:val="both"/>
        <w:rPr>
          <w:sz w:val="20"/>
          <w:szCs w:val="20"/>
        </w:rPr>
      </w:pPr>
      <w:r w:rsidRPr="00EF295C">
        <w:rPr>
          <w:b/>
          <w:sz w:val="20"/>
          <w:szCs w:val="20"/>
        </w:rPr>
        <w:t>NOTE:</w:t>
      </w:r>
      <w:r w:rsidRPr="00EF295C">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EF295C">
        <w:rPr>
          <w:sz w:val="20"/>
          <w:szCs w:val="20"/>
        </w:rPr>
        <w:t>-</w:t>
      </w:r>
      <w:r w:rsidRPr="00EF295C">
        <w:rPr>
          <w:sz w:val="20"/>
          <w:szCs w:val="20"/>
        </w:rPr>
        <w:t xml:space="preserve"> 996-8666.</w:t>
      </w:r>
    </w:p>
    <w:p w:rsidR="004B66B4" w:rsidRPr="00EF295C" w:rsidRDefault="004B66B4" w:rsidP="004B66B4">
      <w:pPr>
        <w:jc w:val="both"/>
        <w:rPr>
          <w:sz w:val="20"/>
          <w:szCs w:val="20"/>
        </w:rPr>
      </w:pPr>
    </w:p>
    <w:p w:rsidR="004B66B4" w:rsidRPr="00EF295C" w:rsidRDefault="004B66B4" w:rsidP="004B66B4">
      <w:pPr>
        <w:jc w:val="both"/>
        <w:rPr>
          <w:sz w:val="20"/>
          <w:szCs w:val="20"/>
          <w:lang w:val="fr-CA"/>
        </w:rPr>
      </w:pPr>
      <w:r w:rsidRPr="00EF295C">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EF295C" w:rsidRDefault="00C50A5C" w:rsidP="0022323B">
      <w:pPr>
        <w:rPr>
          <w:sz w:val="20"/>
          <w:szCs w:val="20"/>
          <w:lang w:val="fr-CA"/>
        </w:rPr>
      </w:pPr>
    </w:p>
    <w:p w:rsidR="00102926" w:rsidRPr="00EF295C" w:rsidRDefault="00102926" w:rsidP="00782AE4">
      <w:pPr>
        <w:jc w:val="both"/>
        <w:rPr>
          <w:sz w:val="20"/>
          <w:szCs w:val="20"/>
          <w:lang w:val="fr-CA"/>
        </w:rPr>
      </w:pPr>
    </w:p>
    <w:p w:rsidR="0022323B" w:rsidRPr="00EF295C" w:rsidRDefault="0022323B" w:rsidP="00782AE4">
      <w:pPr>
        <w:jc w:val="both"/>
        <w:rPr>
          <w:sz w:val="20"/>
          <w:szCs w:val="20"/>
          <w:lang w:val="fr-CA"/>
        </w:rPr>
        <w:sectPr w:rsidR="0022323B" w:rsidRPr="00EF295C" w:rsidSect="0022323B">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EF295C" w:rsidTr="0085476B">
        <w:tc>
          <w:tcPr>
            <w:tcW w:w="4200" w:type="dxa"/>
            <w:shd w:val="clear" w:color="auto" w:fill="auto"/>
            <w:tcMar>
              <w:left w:w="0" w:type="dxa"/>
              <w:right w:w="0" w:type="dxa"/>
            </w:tcMar>
          </w:tcPr>
          <w:p w:rsidR="005F263E" w:rsidRPr="00EF295C" w:rsidRDefault="005F263E" w:rsidP="006B6926">
            <w:pPr>
              <w:keepNext/>
              <w:keepLines/>
              <w:rPr>
                <w:b/>
                <w:szCs w:val="24"/>
              </w:rPr>
            </w:pPr>
            <w:r w:rsidRPr="00EF295C">
              <w:rPr>
                <w:b/>
                <w:szCs w:val="24"/>
              </w:rPr>
              <w:lastRenderedPageBreak/>
              <w:t>SUMMARIES OF THE CASES</w:t>
            </w:r>
          </w:p>
        </w:tc>
        <w:tc>
          <w:tcPr>
            <w:tcW w:w="1200" w:type="dxa"/>
            <w:shd w:val="clear" w:color="auto" w:fill="auto"/>
            <w:tcMar>
              <w:left w:w="0" w:type="dxa"/>
              <w:right w:w="0" w:type="dxa"/>
            </w:tcMar>
          </w:tcPr>
          <w:p w:rsidR="005F263E" w:rsidRPr="00EF29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EF29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EF29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F295C">
              <w:rPr>
                <w:b/>
                <w:szCs w:val="24"/>
                <w:lang w:val="fr-CA"/>
              </w:rPr>
              <w:t>RÉSUMÉS DES AFFAIRES</w:t>
            </w:r>
          </w:p>
        </w:tc>
      </w:tr>
    </w:tbl>
    <w:p w:rsidR="005F263E" w:rsidRPr="00EF295C" w:rsidRDefault="005F263E" w:rsidP="005F263E">
      <w:pPr>
        <w:tabs>
          <w:tab w:val="left" w:pos="-1440"/>
          <w:tab w:val="left" w:pos="-720"/>
        </w:tabs>
        <w:ind w:left="720" w:hanging="720"/>
        <w:jc w:val="both"/>
        <w:rPr>
          <w:b/>
          <w:sz w:val="20"/>
          <w:szCs w:val="20"/>
        </w:rPr>
      </w:pPr>
    </w:p>
    <w:bookmarkStart w:id="3" w:name="1"/>
    <w:bookmarkEnd w:id="3"/>
    <w:p w:rsidR="001608EC" w:rsidRPr="00EF295C" w:rsidRDefault="001608EC" w:rsidP="001608EC">
      <w:pPr>
        <w:widowControl w:val="0"/>
        <w:ind w:left="720" w:hanging="720"/>
        <w:jc w:val="both"/>
        <w:rPr>
          <w:rFonts w:cs="Times New Roman"/>
          <w:sz w:val="20"/>
          <w:szCs w:val="20"/>
        </w:rPr>
      </w:pPr>
      <w:r w:rsidRPr="00EF295C">
        <w:rPr>
          <w:rFonts w:cs="Times New Roman"/>
          <w:b/>
          <w:sz w:val="20"/>
          <w:szCs w:val="20"/>
        </w:rPr>
        <w:fldChar w:fldCharType="begin"/>
      </w:r>
      <w:r w:rsidRPr="00EF295C">
        <w:rPr>
          <w:rFonts w:cs="Times New Roman"/>
          <w:b/>
          <w:sz w:val="20"/>
          <w:szCs w:val="20"/>
          <w:lang w:val="fr-CA"/>
        </w:rPr>
        <w:instrText xml:space="preserve"> SEQ CHAPTER \h \r 1</w:instrText>
      </w:r>
      <w:r w:rsidRPr="00EF295C">
        <w:rPr>
          <w:rFonts w:cs="Times New Roman"/>
          <w:b/>
          <w:sz w:val="20"/>
          <w:szCs w:val="20"/>
        </w:rPr>
        <w:fldChar w:fldCharType="end"/>
      </w:r>
      <w:r w:rsidRPr="00EF295C">
        <w:rPr>
          <w:rFonts w:cs="Times New Roman"/>
          <w:b/>
          <w:sz w:val="20"/>
          <w:szCs w:val="20"/>
          <w:lang w:val="fr-CA"/>
        </w:rPr>
        <w:t>36575</w:t>
      </w:r>
      <w:r w:rsidRPr="00EF295C">
        <w:rPr>
          <w:rStyle w:val="SCCFileNumberChar"/>
          <w:sz w:val="20"/>
          <w:szCs w:val="20"/>
          <w:lang w:val="fr-CA"/>
        </w:rPr>
        <w:tab/>
      </w:r>
      <w:bookmarkStart w:id="4" w:name="3"/>
      <w:bookmarkEnd w:id="4"/>
      <w:r w:rsidRPr="00EF295C">
        <w:rPr>
          <w:rFonts w:eastAsia="Times New Roman" w:cs="Times New Roman"/>
          <w:b/>
          <w:i/>
          <w:sz w:val="20"/>
          <w:szCs w:val="20"/>
          <w:lang w:val="fr-CA" w:eastAsia="en-CA"/>
        </w:rPr>
        <w:t>Andrew</w:t>
      </w:r>
      <w:r w:rsidRPr="00EF295C">
        <w:rPr>
          <w:rFonts w:cs="Times New Roman"/>
          <w:b/>
          <w:i/>
          <w:sz w:val="20"/>
          <w:szCs w:val="20"/>
          <w:lang w:val="fr-CA"/>
        </w:rPr>
        <w:t xml:space="preserve"> </w:t>
      </w:r>
      <w:proofErr w:type="spellStart"/>
      <w:r w:rsidRPr="00EF295C">
        <w:rPr>
          <w:rFonts w:cs="Times New Roman"/>
          <w:b/>
          <w:i/>
          <w:sz w:val="20"/>
          <w:szCs w:val="20"/>
          <w:lang w:val="fr-CA"/>
        </w:rPr>
        <w:t>Sabean</w:t>
      </w:r>
      <w:proofErr w:type="spellEnd"/>
      <w:r w:rsidRPr="00EF295C">
        <w:rPr>
          <w:rFonts w:cs="Times New Roman"/>
          <w:b/>
          <w:i/>
          <w:sz w:val="20"/>
          <w:szCs w:val="20"/>
          <w:lang w:val="fr-CA"/>
        </w:rPr>
        <w:t xml:space="preserve"> v. Portage La Prairie </w:t>
      </w:r>
      <w:proofErr w:type="spellStart"/>
      <w:r w:rsidRPr="00EF295C">
        <w:rPr>
          <w:rFonts w:cs="Times New Roman"/>
          <w:b/>
          <w:i/>
          <w:sz w:val="20"/>
          <w:szCs w:val="20"/>
          <w:lang w:val="fr-CA"/>
        </w:rPr>
        <w:t>Mutual</w:t>
      </w:r>
      <w:proofErr w:type="spellEnd"/>
      <w:r w:rsidRPr="00EF295C">
        <w:rPr>
          <w:rFonts w:cs="Times New Roman"/>
          <w:b/>
          <w:i/>
          <w:sz w:val="20"/>
          <w:szCs w:val="20"/>
          <w:lang w:val="fr-CA"/>
        </w:rPr>
        <w:t xml:space="preserve"> </w:t>
      </w:r>
      <w:proofErr w:type="spellStart"/>
      <w:r w:rsidRPr="00EF295C">
        <w:rPr>
          <w:rFonts w:cs="Times New Roman"/>
          <w:b/>
          <w:i/>
          <w:sz w:val="20"/>
          <w:szCs w:val="20"/>
          <w:lang w:val="fr-CA"/>
        </w:rPr>
        <w:t>Insurance</w:t>
      </w:r>
      <w:proofErr w:type="spellEnd"/>
      <w:r w:rsidRPr="00EF295C">
        <w:rPr>
          <w:rFonts w:cs="Times New Roman"/>
          <w:b/>
          <w:i/>
          <w:sz w:val="20"/>
          <w:szCs w:val="20"/>
          <w:lang w:val="fr-CA"/>
        </w:rPr>
        <w:t xml:space="preserve"> </w:t>
      </w:r>
      <w:proofErr w:type="spellStart"/>
      <w:r w:rsidRPr="00EF295C">
        <w:rPr>
          <w:rFonts w:cs="Times New Roman"/>
          <w:b/>
          <w:i/>
          <w:sz w:val="20"/>
          <w:szCs w:val="20"/>
          <w:lang w:val="fr-CA"/>
        </w:rPr>
        <w:t>Company</w:t>
      </w:r>
      <w:proofErr w:type="spellEnd"/>
      <w:r w:rsidRPr="00EF295C">
        <w:rPr>
          <w:rFonts w:cs="Times New Roman"/>
          <w:b/>
          <w:i/>
          <w:sz w:val="20"/>
          <w:szCs w:val="20"/>
          <w:lang w:val="fr-CA"/>
        </w:rPr>
        <w:t xml:space="preserve"> </w:t>
      </w:r>
      <w:r w:rsidRPr="00EF295C">
        <w:rPr>
          <w:rFonts w:cs="Times New Roman"/>
          <w:sz w:val="20"/>
          <w:szCs w:val="20"/>
          <w:lang w:val="fr-CA"/>
        </w:rPr>
        <w:t xml:space="preserve">(N.S.) </w:t>
      </w:r>
      <w:r w:rsidRPr="00EF295C">
        <w:rPr>
          <w:rFonts w:cs="Times New Roman"/>
          <w:sz w:val="20"/>
          <w:szCs w:val="20"/>
        </w:rPr>
        <w:t>(Civil) (By Leave)</w:t>
      </w:r>
      <w:bookmarkStart w:id="5" w:name="4"/>
      <w:bookmarkEnd w:id="5"/>
    </w:p>
    <w:p w:rsidR="001608EC" w:rsidRPr="00EF295C" w:rsidRDefault="001608EC" w:rsidP="001608EC">
      <w:pPr>
        <w:rPr>
          <w:rFonts w:cs="Times New Roman"/>
          <w:sz w:val="20"/>
          <w:szCs w:val="20"/>
        </w:rPr>
      </w:pPr>
    </w:p>
    <w:p w:rsidR="001608EC" w:rsidRPr="00EF295C" w:rsidRDefault="001608EC" w:rsidP="001608EC">
      <w:pPr>
        <w:jc w:val="both"/>
        <w:rPr>
          <w:rFonts w:cs="Times New Roman"/>
          <w:sz w:val="20"/>
          <w:szCs w:val="20"/>
        </w:rPr>
      </w:pPr>
      <w:r w:rsidRPr="00EF295C">
        <w:rPr>
          <w:rFonts w:cs="Times New Roman"/>
          <w:sz w:val="20"/>
          <w:szCs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p w:rsidR="001608EC" w:rsidRPr="00EF295C" w:rsidRDefault="001608EC" w:rsidP="001608EC">
      <w:pPr>
        <w:jc w:val="both"/>
        <w:rPr>
          <w:rFonts w:cs="Times New Roman"/>
          <w:sz w:val="20"/>
          <w:szCs w:val="20"/>
        </w:rPr>
      </w:pPr>
    </w:p>
    <w:p w:rsidR="001608EC" w:rsidRPr="00EF295C" w:rsidRDefault="001608EC" w:rsidP="001608EC">
      <w:pPr>
        <w:jc w:val="both"/>
        <w:rPr>
          <w:rFonts w:cs="Times New Roman"/>
          <w:b/>
          <w:sz w:val="20"/>
          <w:szCs w:val="20"/>
        </w:rPr>
      </w:pPr>
      <w:r w:rsidRPr="00EF295C">
        <w:rPr>
          <w:rFonts w:cs="Times New Roman"/>
          <w:sz w:val="20"/>
          <w:szCs w:val="20"/>
        </w:rPr>
        <w:t>In October 2004, Mr. </w:t>
      </w:r>
      <w:proofErr w:type="spellStart"/>
      <w:r w:rsidRPr="00EF295C">
        <w:rPr>
          <w:rFonts w:cs="Times New Roman"/>
          <w:sz w:val="20"/>
          <w:szCs w:val="20"/>
        </w:rPr>
        <w:t>Sabean</w:t>
      </w:r>
      <w:proofErr w:type="spellEnd"/>
      <w:r w:rsidRPr="00EF295C">
        <w:rPr>
          <w:rFonts w:cs="Times New Roman"/>
          <w:sz w:val="20"/>
          <w:szCs w:val="20"/>
        </w:rPr>
        <w:t xml:space="preserve"> and his passenger were injured in a motor vehicle accident when the car driven by the </w:t>
      </w:r>
      <w:proofErr w:type="spellStart"/>
      <w:r w:rsidRPr="00EF295C">
        <w:rPr>
          <w:rFonts w:cs="Times New Roman"/>
          <w:sz w:val="20"/>
          <w:szCs w:val="20"/>
        </w:rPr>
        <w:t>tortfeasor</w:t>
      </w:r>
      <w:proofErr w:type="spellEnd"/>
      <w:r w:rsidRPr="00EF295C">
        <w:rPr>
          <w:rFonts w:cs="Times New Roman"/>
          <w:sz w:val="20"/>
          <w:szCs w:val="20"/>
        </w:rPr>
        <w:t xml:space="preserve"> struck his vehicle in an intersection. That driver was inadequately insured. Mr. </w:t>
      </w:r>
      <w:proofErr w:type="spellStart"/>
      <w:r w:rsidRPr="00EF295C">
        <w:rPr>
          <w:rFonts w:cs="Times New Roman"/>
          <w:sz w:val="20"/>
          <w:szCs w:val="20"/>
        </w:rPr>
        <w:t>Sabean’s</w:t>
      </w:r>
      <w:proofErr w:type="spellEnd"/>
      <w:r w:rsidRPr="00EF295C">
        <w:rPr>
          <w:rFonts w:cs="Times New Roman"/>
          <w:sz w:val="20"/>
          <w:szCs w:val="20"/>
        </w:rPr>
        <w:t xml:space="preserve"> most significant injury was to his left shoulder and arm and eventually had to be amputated to relieve his pain. He could no longer work as a farm labourer and was approved for CPP disability benefits effective February, 2005. In May, 2013, a jury awarded Mr. </w:t>
      </w:r>
      <w:proofErr w:type="spellStart"/>
      <w:r w:rsidRPr="00EF295C">
        <w:rPr>
          <w:rFonts w:cs="Times New Roman"/>
          <w:sz w:val="20"/>
          <w:szCs w:val="20"/>
        </w:rPr>
        <w:t>Sabean</w:t>
      </w:r>
      <w:proofErr w:type="spellEnd"/>
      <w:r w:rsidRPr="00EF295C">
        <w:rPr>
          <w:rFonts w:cs="Times New Roman"/>
          <w:sz w:val="20"/>
          <w:szCs w:val="20"/>
        </w:rPr>
        <w:t xml:space="preserve"> damages for his injuries in the amount of $465,408. The amount he received from the </w:t>
      </w:r>
      <w:proofErr w:type="spellStart"/>
      <w:r w:rsidRPr="00EF295C">
        <w:rPr>
          <w:rFonts w:cs="Times New Roman"/>
          <w:sz w:val="20"/>
          <w:szCs w:val="20"/>
        </w:rPr>
        <w:t>tortfeasor’s</w:t>
      </w:r>
      <w:proofErr w:type="spellEnd"/>
      <w:r w:rsidRPr="00EF295C">
        <w:rPr>
          <w:rFonts w:cs="Times New Roman"/>
          <w:sz w:val="20"/>
          <w:szCs w:val="20"/>
        </w:rPr>
        <w:t xml:space="preserve"> insurer was $382,131.13. Mr. </w:t>
      </w:r>
      <w:proofErr w:type="spellStart"/>
      <w:r w:rsidRPr="00EF295C">
        <w:rPr>
          <w:rFonts w:cs="Times New Roman"/>
          <w:sz w:val="20"/>
          <w:szCs w:val="20"/>
        </w:rPr>
        <w:t>Sabean</w:t>
      </w:r>
      <w:proofErr w:type="spellEnd"/>
      <w:r w:rsidRPr="00EF295C">
        <w:rPr>
          <w:rFonts w:cs="Times New Roman"/>
          <w:sz w:val="20"/>
          <w:szCs w:val="20"/>
        </w:rPr>
        <w:t xml:space="preserve"> then made claim under the excess insurance provisions of his own policy with the respondent, Portage La Prairie Mutual Insurance Company. A dispute arose regarding the deductibility of his future CPP disability benefits. The court was asked to decide whether the value of those future benefits should be deducted from the remaining portion of the damages award.</w:t>
      </w:r>
    </w:p>
    <w:p w:rsidR="000B3C9A" w:rsidRPr="00EF295C" w:rsidRDefault="000B3C9A" w:rsidP="001608EC">
      <w:pPr>
        <w:tabs>
          <w:tab w:val="left" w:pos="-1440"/>
          <w:tab w:val="left" w:pos="-720"/>
        </w:tabs>
        <w:jc w:val="both"/>
        <w:rPr>
          <w:sz w:val="20"/>
          <w:szCs w:val="20"/>
        </w:rPr>
      </w:pPr>
    </w:p>
    <w:p w:rsidR="000B3C9A" w:rsidRPr="00EF295C" w:rsidRDefault="002E5FCE" w:rsidP="001608EC">
      <w:pPr>
        <w:tabs>
          <w:tab w:val="left" w:pos="-1440"/>
          <w:tab w:val="left" w:pos="-720"/>
        </w:tabs>
        <w:jc w:val="both"/>
        <w:rPr>
          <w:sz w:val="20"/>
          <w:szCs w:val="20"/>
          <w:lang w:val="fr-CA"/>
        </w:rPr>
      </w:pPr>
      <w:r>
        <w:rPr>
          <w:sz w:val="20"/>
          <w:szCs w:val="20"/>
          <w:lang w:val="fr-CA"/>
        </w:rPr>
        <w:pict>
          <v:rect id="_x0000_i1073" style="width:2in;height:1pt" o:hrpct="0" o:hralign="center" o:hrstd="t" o:hrnoshade="t" o:hr="t" fillcolor="black [3213]" stroked="f"/>
        </w:pict>
      </w:r>
    </w:p>
    <w:p w:rsidR="005F263E" w:rsidRPr="00EF295C" w:rsidRDefault="005F263E" w:rsidP="001608EC">
      <w:pPr>
        <w:jc w:val="both"/>
        <w:rPr>
          <w:sz w:val="20"/>
          <w:szCs w:val="20"/>
          <w:lang w:val="fr-CA"/>
        </w:rPr>
      </w:pPr>
    </w:p>
    <w:p w:rsidR="001608EC" w:rsidRPr="00EF295C" w:rsidRDefault="001608EC" w:rsidP="001608EC">
      <w:pPr>
        <w:jc w:val="both"/>
        <w:rPr>
          <w:sz w:val="20"/>
          <w:szCs w:val="20"/>
          <w:lang w:val="fr-CA"/>
        </w:rPr>
      </w:pPr>
    </w:p>
    <w:p w:rsidR="001608EC" w:rsidRPr="00EF295C" w:rsidRDefault="001608EC" w:rsidP="001608EC">
      <w:pPr>
        <w:pStyle w:val="SCCLsocParty"/>
        <w:rPr>
          <w:sz w:val="20"/>
          <w:szCs w:val="20"/>
          <w:lang w:val="fr-CA"/>
        </w:rPr>
      </w:pPr>
      <w:r w:rsidRPr="00EF295C">
        <w:rPr>
          <w:rStyle w:val="SCCFileNumberChar"/>
          <w:b/>
          <w:sz w:val="20"/>
          <w:szCs w:val="20"/>
          <w:lang w:val="fr-CA"/>
        </w:rPr>
        <w:t>36575</w:t>
      </w:r>
      <w:r w:rsidRPr="00EF295C">
        <w:rPr>
          <w:rStyle w:val="SCCFileNumberChar"/>
          <w:b/>
          <w:sz w:val="20"/>
          <w:szCs w:val="20"/>
          <w:lang w:val="fr-CA"/>
        </w:rPr>
        <w:tab/>
      </w:r>
      <w:r w:rsidRPr="00EF295C">
        <w:rPr>
          <w:i/>
          <w:sz w:val="20"/>
          <w:szCs w:val="20"/>
          <w:lang w:val="fr-CA"/>
        </w:rPr>
        <w:t xml:space="preserve">Andrew </w:t>
      </w:r>
      <w:proofErr w:type="spellStart"/>
      <w:r w:rsidRPr="00EF295C">
        <w:rPr>
          <w:i/>
          <w:sz w:val="20"/>
          <w:szCs w:val="20"/>
          <w:lang w:val="fr-CA"/>
        </w:rPr>
        <w:t>Sabean</w:t>
      </w:r>
      <w:proofErr w:type="spellEnd"/>
      <w:r w:rsidRPr="00EF295C">
        <w:rPr>
          <w:i/>
          <w:sz w:val="20"/>
          <w:szCs w:val="20"/>
          <w:lang w:val="fr-CA"/>
        </w:rPr>
        <w:t xml:space="preserve"> c. Portage La Prairie </w:t>
      </w:r>
      <w:proofErr w:type="spellStart"/>
      <w:r w:rsidRPr="00EF295C">
        <w:rPr>
          <w:i/>
          <w:sz w:val="20"/>
          <w:szCs w:val="20"/>
          <w:lang w:val="fr-CA"/>
        </w:rPr>
        <w:t>Mutual</w:t>
      </w:r>
      <w:proofErr w:type="spellEnd"/>
      <w:r w:rsidRPr="00EF295C">
        <w:rPr>
          <w:i/>
          <w:sz w:val="20"/>
          <w:szCs w:val="20"/>
          <w:lang w:val="fr-CA"/>
        </w:rPr>
        <w:t xml:space="preserve"> </w:t>
      </w:r>
      <w:proofErr w:type="spellStart"/>
      <w:r w:rsidRPr="00EF295C">
        <w:rPr>
          <w:i/>
          <w:sz w:val="20"/>
          <w:szCs w:val="20"/>
          <w:lang w:val="fr-CA"/>
        </w:rPr>
        <w:t>Insurance</w:t>
      </w:r>
      <w:proofErr w:type="spellEnd"/>
      <w:r w:rsidRPr="00EF295C">
        <w:rPr>
          <w:i/>
          <w:sz w:val="20"/>
          <w:szCs w:val="20"/>
          <w:lang w:val="fr-CA"/>
        </w:rPr>
        <w:t xml:space="preserve"> </w:t>
      </w:r>
      <w:proofErr w:type="spellStart"/>
      <w:r w:rsidRPr="00EF295C">
        <w:rPr>
          <w:i/>
          <w:sz w:val="20"/>
          <w:szCs w:val="20"/>
          <w:lang w:val="fr-CA"/>
        </w:rPr>
        <w:t>Company</w:t>
      </w:r>
      <w:proofErr w:type="spellEnd"/>
      <w:r w:rsidRPr="00EF295C">
        <w:rPr>
          <w:i/>
          <w:sz w:val="20"/>
          <w:szCs w:val="20"/>
          <w:lang w:val="fr-CA"/>
        </w:rPr>
        <w:t xml:space="preserve"> </w:t>
      </w:r>
      <w:r w:rsidRPr="00EF295C">
        <w:rPr>
          <w:b w:val="0"/>
          <w:sz w:val="20"/>
          <w:szCs w:val="20"/>
          <w:lang w:val="fr-CA"/>
        </w:rPr>
        <w:t>(N.-É.) (Civile) (Sur autorisation)</w:t>
      </w:r>
    </w:p>
    <w:p w:rsidR="001608EC" w:rsidRPr="00EF295C" w:rsidRDefault="001608EC" w:rsidP="001608EC">
      <w:pPr>
        <w:spacing w:after="160"/>
        <w:rPr>
          <w:sz w:val="20"/>
          <w:szCs w:val="20"/>
          <w:lang w:val="fr-CA"/>
        </w:rPr>
      </w:pPr>
    </w:p>
    <w:p w:rsidR="001608EC" w:rsidRPr="00EF295C" w:rsidRDefault="001608EC" w:rsidP="001608EC">
      <w:pPr>
        <w:spacing w:after="160"/>
        <w:jc w:val="both"/>
        <w:rPr>
          <w:sz w:val="20"/>
          <w:szCs w:val="20"/>
          <w:lang w:val="fr-CA"/>
        </w:rPr>
      </w:pPr>
      <w:r w:rsidRPr="00EF295C">
        <w:rPr>
          <w:sz w:val="20"/>
          <w:szCs w:val="20"/>
          <w:lang w:val="fr-CA"/>
        </w:rPr>
        <w:t>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statuant que les prestations d’invalidité sous le Régime de pensions du Canada étaient une [</w:t>
      </w:r>
      <w:r w:rsidRPr="00EF295C">
        <w:rPr>
          <w:smallCaps/>
          <w:sz w:val="20"/>
          <w:szCs w:val="20"/>
          <w:lang w:val="fr-CA"/>
        </w:rPr>
        <w:t>traduction</w:t>
      </w:r>
      <w:r w:rsidRPr="00EF295C">
        <w:rPr>
          <w:sz w:val="20"/>
          <w:szCs w:val="20"/>
          <w:lang w:val="fr-CA"/>
        </w:rPr>
        <w:t>] « police d’assurance » au sens du sous-al. 4</w:t>
      </w:r>
      <w:r w:rsidRPr="00EF295C">
        <w:rPr>
          <w:i/>
          <w:sz w:val="20"/>
          <w:szCs w:val="20"/>
          <w:lang w:val="fr-CA"/>
        </w:rPr>
        <w:t>b</w:t>
      </w:r>
      <w:proofErr w:type="gramStart"/>
      <w:r w:rsidRPr="00EF295C">
        <w:rPr>
          <w:sz w:val="20"/>
          <w:szCs w:val="20"/>
          <w:lang w:val="fr-CA"/>
        </w:rPr>
        <w:t>)(</w:t>
      </w:r>
      <w:proofErr w:type="gramEnd"/>
      <w:r w:rsidRPr="00EF295C">
        <w:rPr>
          <w:sz w:val="20"/>
          <w:szCs w:val="20"/>
          <w:lang w:val="fr-CA"/>
        </w:rPr>
        <w:t>vii) de l’avenant SEF 44?</w:t>
      </w:r>
    </w:p>
    <w:p w:rsidR="001608EC" w:rsidRPr="00EF295C" w:rsidRDefault="001608EC" w:rsidP="001608EC">
      <w:pPr>
        <w:jc w:val="both"/>
        <w:rPr>
          <w:sz w:val="20"/>
          <w:szCs w:val="20"/>
          <w:lang w:val="fr-CA"/>
        </w:rPr>
      </w:pPr>
      <w:r w:rsidRPr="00EF295C">
        <w:rPr>
          <w:sz w:val="20"/>
          <w:szCs w:val="20"/>
          <w:lang w:val="fr-CA"/>
        </w:rPr>
        <w:t>En octobre 2004, M. </w:t>
      </w:r>
      <w:proofErr w:type="spellStart"/>
      <w:r w:rsidRPr="00EF295C">
        <w:rPr>
          <w:sz w:val="20"/>
          <w:szCs w:val="20"/>
          <w:lang w:val="fr-CA"/>
        </w:rPr>
        <w:t>Sabean</w:t>
      </w:r>
      <w:proofErr w:type="spellEnd"/>
      <w:r w:rsidRPr="00EF295C">
        <w:rPr>
          <w:sz w:val="20"/>
          <w:szCs w:val="20"/>
          <w:lang w:val="fr-CA"/>
        </w:rPr>
        <w:t xml:space="preserve"> et sa passagère ont été blessés dans un accident automobile lorsque la voiture que conduisait l’auteur du délit a heurté son véhicule à une intersection. Ce conducteur était sous-assuré. La blessure la plus grave qu’a subie M. </w:t>
      </w:r>
      <w:proofErr w:type="spellStart"/>
      <w:r w:rsidRPr="00EF295C">
        <w:rPr>
          <w:sz w:val="20"/>
          <w:szCs w:val="20"/>
          <w:lang w:val="fr-CA"/>
        </w:rPr>
        <w:t>Sabean</w:t>
      </w:r>
      <w:proofErr w:type="spellEnd"/>
      <w:r w:rsidRPr="00EF295C">
        <w:rPr>
          <w:sz w:val="20"/>
          <w:szCs w:val="20"/>
          <w:lang w:val="fr-CA"/>
        </w:rPr>
        <w:t xml:space="preserve"> était à l’épaule et au bras gauches, ce qui a finalement nécessité une amputation pour soulager la douleur. Monsieur </w:t>
      </w:r>
      <w:proofErr w:type="spellStart"/>
      <w:r w:rsidRPr="00EF295C">
        <w:rPr>
          <w:sz w:val="20"/>
          <w:szCs w:val="20"/>
          <w:lang w:val="fr-CA"/>
        </w:rPr>
        <w:t>Sabean</w:t>
      </w:r>
      <w:proofErr w:type="spellEnd"/>
      <w:r w:rsidRPr="00EF295C">
        <w:rPr>
          <w:sz w:val="20"/>
          <w:szCs w:val="20"/>
          <w:lang w:val="fr-CA"/>
        </w:rPr>
        <w:t xml:space="preserve"> ne pouvait plus travailler comme ouvrier agricole et sa demande de prestations d’invalidité sous le RPC a été approuvée avec prise d’effet en février 2005. En mai 2013, un jury a accordé à M. </w:t>
      </w:r>
      <w:proofErr w:type="spellStart"/>
      <w:r w:rsidRPr="00EF295C">
        <w:rPr>
          <w:sz w:val="20"/>
          <w:szCs w:val="20"/>
          <w:lang w:val="fr-CA"/>
        </w:rPr>
        <w:t>Sabean</w:t>
      </w:r>
      <w:proofErr w:type="spellEnd"/>
      <w:r w:rsidRPr="00EF295C">
        <w:rPr>
          <w:sz w:val="20"/>
          <w:szCs w:val="20"/>
          <w:lang w:val="fr-CA"/>
        </w:rPr>
        <w:t xml:space="preserve"> la somme de 465 408 $ à titre de dommages-intérêts pour ses blessures. Il a reçu la somme de 382 131,13 $ de l’assureur de l’auteur du délit. Monsieur </w:t>
      </w:r>
      <w:proofErr w:type="spellStart"/>
      <w:r w:rsidRPr="00EF295C">
        <w:rPr>
          <w:sz w:val="20"/>
          <w:szCs w:val="20"/>
          <w:lang w:val="fr-CA"/>
        </w:rPr>
        <w:t>Sabean</w:t>
      </w:r>
      <w:proofErr w:type="spellEnd"/>
      <w:r w:rsidRPr="00EF295C">
        <w:rPr>
          <w:sz w:val="20"/>
          <w:szCs w:val="20"/>
          <w:lang w:val="fr-CA"/>
        </w:rPr>
        <w:t xml:space="preserve"> a alors fait une réclamation fondée sur les dispositions en matière d’assurance de risques successifs de sa propre police auprès de l’intimée, Portage La Prairie </w:t>
      </w:r>
      <w:proofErr w:type="spellStart"/>
      <w:r w:rsidRPr="00EF295C">
        <w:rPr>
          <w:sz w:val="20"/>
          <w:szCs w:val="20"/>
          <w:lang w:val="fr-CA"/>
        </w:rPr>
        <w:t>Mutual</w:t>
      </w:r>
      <w:proofErr w:type="spellEnd"/>
      <w:r w:rsidRPr="00EF295C">
        <w:rPr>
          <w:sz w:val="20"/>
          <w:szCs w:val="20"/>
          <w:lang w:val="fr-CA"/>
        </w:rPr>
        <w:t xml:space="preserve"> </w:t>
      </w:r>
      <w:proofErr w:type="spellStart"/>
      <w:r w:rsidRPr="00EF295C">
        <w:rPr>
          <w:sz w:val="20"/>
          <w:szCs w:val="20"/>
          <w:lang w:val="fr-CA"/>
        </w:rPr>
        <w:t>Insurance</w:t>
      </w:r>
      <w:proofErr w:type="spellEnd"/>
      <w:r w:rsidRPr="00EF295C">
        <w:rPr>
          <w:sz w:val="20"/>
          <w:szCs w:val="20"/>
          <w:lang w:val="fr-CA"/>
        </w:rPr>
        <w:t xml:space="preserve"> </w:t>
      </w:r>
      <w:proofErr w:type="spellStart"/>
      <w:r w:rsidRPr="00EF295C">
        <w:rPr>
          <w:sz w:val="20"/>
          <w:szCs w:val="20"/>
          <w:lang w:val="fr-CA"/>
        </w:rPr>
        <w:t>Company</w:t>
      </w:r>
      <w:proofErr w:type="spellEnd"/>
      <w:r w:rsidRPr="00EF295C">
        <w:rPr>
          <w:sz w:val="20"/>
          <w:szCs w:val="20"/>
          <w:lang w:val="fr-CA"/>
        </w:rPr>
        <w:t>. Il y a eu un litige portant sur la déductibilité de ses futures prestations d’invalidité sous le RPC. On a demandé à la cour de statuer sur la question de savoir si la valeur de ces prestations futures devait être déduite du solde du montant des dommages-intérêts accordés. </w:t>
      </w:r>
    </w:p>
    <w:p w:rsidR="001608EC" w:rsidRPr="00EF295C" w:rsidRDefault="001608EC" w:rsidP="001608EC">
      <w:pPr>
        <w:jc w:val="both"/>
        <w:rPr>
          <w:sz w:val="20"/>
          <w:szCs w:val="20"/>
          <w:lang w:val="fr-CA"/>
        </w:rPr>
      </w:pPr>
    </w:p>
    <w:p w:rsidR="001608EC" w:rsidRPr="00EF295C" w:rsidRDefault="002E5FCE" w:rsidP="001608EC">
      <w:pPr>
        <w:jc w:val="both"/>
        <w:rPr>
          <w:sz w:val="20"/>
          <w:szCs w:val="20"/>
          <w:lang w:val="fr-CA"/>
        </w:rPr>
      </w:pPr>
      <w:r>
        <w:rPr>
          <w:sz w:val="20"/>
          <w:szCs w:val="20"/>
          <w:lang w:val="fr-CA"/>
        </w:rPr>
        <w:pict>
          <v:rect id="_x0000_i1074" style="width:2in;height:1pt" o:hrpct="0" o:hralign="center" o:hrstd="t" o:hrnoshade="t" o:hr="t" fillcolor="black [3213]" stroked="f"/>
        </w:pict>
      </w:r>
    </w:p>
    <w:p w:rsidR="001608EC" w:rsidRPr="00EF295C" w:rsidRDefault="001608EC" w:rsidP="00782AE4">
      <w:pPr>
        <w:jc w:val="both"/>
        <w:rPr>
          <w:sz w:val="20"/>
          <w:szCs w:val="20"/>
          <w:lang w:val="fr-CA"/>
        </w:rPr>
      </w:pPr>
    </w:p>
    <w:p w:rsidR="001608EC" w:rsidRPr="00EF295C" w:rsidRDefault="001608EC">
      <w:pPr>
        <w:rPr>
          <w:sz w:val="20"/>
          <w:szCs w:val="20"/>
          <w:lang w:val="fr-CA"/>
        </w:rPr>
      </w:pPr>
      <w:r w:rsidRPr="00EF295C">
        <w:rPr>
          <w:sz w:val="20"/>
          <w:szCs w:val="20"/>
          <w:lang w:val="fr-CA"/>
        </w:rPr>
        <w:br w:type="page"/>
      </w:r>
    </w:p>
    <w:p w:rsidR="001608EC" w:rsidRPr="00EF295C" w:rsidRDefault="001608EC" w:rsidP="001608EC">
      <w:pPr>
        <w:widowControl w:val="0"/>
        <w:ind w:left="720" w:hanging="720"/>
        <w:jc w:val="both"/>
        <w:rPr>
          <w:sz w:val="20"/>
          <w:szCs w:val="20"/>
        </w:rPr>
      </w:pPr>
      <w:r w:rsidRPr="00EF295C">
        <w:rPr>
          <w:sz w:val="20"/>
          <w:szCs w:val="20"/>
          <w:lang w:val="fr-CA"/>
        </w:rPr>
        <w:lastRenderedPageBreak/>
        <w:fldChar w:fldCharType="begin"/>
      </w:r>
      <w:r w:rsidRPr="00EF295C">
        <w:rPr>
          <w:sz w:val="20"/>
          <w:szCs w:val="20"/>
          <w:lang w:val="fr-CA"/>
        </w:rPr>
        <w:instrText xml:space="preserve"> SEQ CHAPTER \h \r 1</w:instrText>
      </w:r>
      <w:r w:rsidRPr="00EF295C">
        <w:rPr>
          <w:sz w:val="20"/>
          <w:szCs w:val="20"/>
        </w:rPr>
        <w:fldChar w:fldCharType="end"/>
      </w:r>
      <w:r w:rsidRPr="00EF295C">
        <w:rPr>
          <w:rStyle w:val="SCCFileNumberChar"/>
          <w:sz w:val="20"/>
          <w:szCs w:val="20"/>
          <w:lang w:val="fr-CA"/>
        </w:rPr>
        <w:t>36385</w:t>
      </w:r>
      <w:r w:rsidRPr="00EF295C">
        <w:rPr>
          <w:sz w:val="20"/>
          <w:szCs w:val="20"/>
          <w:lang w:val="fr-CA"/>
        </w:rPr>
        <w:tab/>
      </w:r>
      <w:r w:rsidRPr="00EF295C">
        <w:rPr>
          <w:b/>
          <w:i/>
          <w:sz w:val="20"/>
          <w:szCs w:val="20"/>
          <w:lang w:val="fr-CA"/>
        </w:rPr>
        <w:t xml:space="preserve">Thérèse Godbout, Louis Godbout, Iris Godbout v. </w:t>
      </w:r>
      <w:proofErr w:type="spellStart"/>
      <w:r w:rsidRPr="00EF295C">
        <w:rPr>
          <w:b/>
          <w:i/>
          <w:sz w:val="20"/>
          <w:szCs w:val="20"/>
          <w:lang w:val="fr-CA"/>
        </w:rPr>
        <w:t>Jean-Maurice</w:t>
      </w:r>
      <w:proofErr w:type="spellEnd"/>
      <w:r w:rsidRPr="00EF295C">
        <w:rPr>
          <w:b/>
          <w:i/>
          <w:sz w:val="20"/>
          <w:szCs w:val="20"/>
          <w:lang w:val="fr-CA"/>
        </w:rPr>
        <w:t xml:space="preserve"> </w:t>
      </w:r>
      <w:proofErr w:type="spellStart"/>
      <w:r w:rsidRPr="00EF295C">
        <w:rPr>
          <w:b/>
          <w:i/>
          <w:sz w:val="20"/>
          <w:szCs w:val="20"/>
          <w:lang w:val="fr-CA"/>
        </w:rPr>
        <w:t>Pagé</w:t>
      </w:r>
      <w:proofErr w:type="spellEnd"/>
      <w:r w:rsidRPr="00EF295C">
        <w:rPr>
          <w:b/>
          <w:i/>
          <w:sz w:val="20"/>
          <w:szCs w:val="20"/>
          <w:lang w:val="fr-CA"/>
        </w:rPr>
        <w:t xml:space="preserve">, Anick Dulong, Moreno </w:t>
      </w:r>
      <w:proofErr w:type="spellStart"/>
      <w:r w:rsidRPr="00EF295C">
        <w:rPr>
          <w:b/>
          <w:i/>
          <w:sz w:val="20"/>
          <w:szCs w:val="20"/>
          <w:lang w:val="fr-CA"/>
        </w:rPr>
        <w:t>Morelli</w:t>
      </w:r>
      <w:proofErr w:type="spellEnd"/>
      <w:r w:rsidRPr="00EF295C">
        <w:rPr>
          <w:b/>
          <w:i/>
          <w:sz w:val="20"/>
          <w:szCs w:val="20"/>
          <w:lang w:val="fr-CA"/>
        </w:rPr>
        <w:t xml:space="preserve">, Martin Lavigne, Jacques </w:t>
      </w:r>
      <w:proofErr w:type="spellStart"/>
      <w:r w:rsidRPr="00EF295C">
        <w:rPr>
          <w:b/>
          <w:i/>
          <w:sz w:val="20"/>
          <w:szCs w:val="20"/>
          <w:lang w:val="fr-CA"/>
        </w:rPr>
        <w:t>Toueg</w:t>
      </w:r>
      <w:proofErr w:type="spellEnd"/>
      <w:r w:rsidRPr="00EF295C">
        <w:rPr>
          <w:b/>
          <w:i/>
          <w:sz w:val="20"/>
          <w:szCs w:val="20"/>
          <w:lang w:val="fr-CA"/>
        </w:rPr>
        <w:t xml:space="preserve">, Hôpital du </w:t>
      </w:r>
      <w:proofErr w:type="spellStart"/>
      <w:r w:rsidRPr="00EF295C">
        <w:rPr>
          <w:b/>
          <w:i/>
          <w:sz w:val="20"/>
          <w:szCs w:val="20"/>
          <w:lang w:val="fr-CA"/>
        </w:rPr>
        <w:t>Sacré-Coeur</w:t>
      </w:r>
      <w:proofErr w:type="spellEnd"/>
      <w:r w:rsidRPr="00EF295C">
        <w:rPr>
          <w:b/>
          <w:i/>
          <w:sz w:val="20"/>
          <w:szCs w:val="20"/>
          <w:lang w:val="fr-CA"/>
        </w:rPr>
        <w:t xml:space="preserve"> de Montréal - and - Attorney General of </w:t>
      </w:r>
      <w:proofErr w:type="spellStart"/>
      <w:r w:rsidRPr="00EF295C">
        <w:rPr>
          <w:b/>
          <w:i/>
          <w:sz w:val="20"/>
          <w:szCs w:val="20"/>
          <w:lang w:val="fr-CA"/>
        </w:rPr>
        <w:t>Quebec</w:t>
      </w:r>
      <w:proofErr w:type="spellEnd"/>
      <w:r w:rsidRPr="00EF295C">
        <w:rPr>
          <w:b/>
          <w:i/>
          <w:sz w:val="20"/>
          <w:szCs w:val="20"/>
          <w:lang w:val="fr-CA"/>
        </w:rPr>
        <w:t xml:space="preserve"> </w:t>
      </w:r>
      <w:r w:rsidRPr="00EF295C">
        <w:rPr>
          <w:sz w:val="20"/>
          <w:szCs w:val="20"/>
          <w:lang w:val="fr-CA"/>
        </w:rPr>
        <w:t xml:space="preserve">(Que.) </w:t>
      </w:r>
      <w:r w:rsidRPr="00EF295C">
        <w:rPr>
          <w:sz w:val="20"/>
          <w:szCs w:val="20"/>
        </w:rPr>
        <w:t>(Civil) (By Leave)</w:t>
      </w:r>
    </w:p>
    <w:p w:rsidR="001608EC" w:rsidRPr="00EF295C" w:rsidRDefault="001608EC" w:rsidP="001608EC">
      <w:pPr>
        <w:widowControl w:val="0"/>
        <w:jc w:val="both"/>
        <w:rPr>
          <w:sz w:val="20"/>
          <w:szCs w:val="20"/>
        </w:rPr>
      </w:pPr>
    </w:p>
    <w:p w:rsidR="001608EC" w:rsidRPr="00EF295C" w:rsidRDefault="001608EC" w:rsidP="001608EC">
      <w:pPr>
        <w:jc w:val="both"/>
        <w:rPr>
          <w:iCs/>
          <w:sz w:val="20"/>
          <w:szCs w:val="20"/>
        </w:rPr>
      </w:pPr>
      <w:r w:rsidRPr="00EF295C">
        <w:rPr>
          <w:iCs/>
          <w:sz w:val="20"/>
          <w:szCs w:val="20"/>
        </w:rPr>
        <w:t xml:space="preserve">Insurance - Automobile insurance - Public no-fault automobile insurance scheme - Whether Court of Appeal erred in law in concluding that s. 83.57 of </w:t>
      </w:r>
      <w:r w:rsidRPr="00EF295C">
        <w:rPr>
          <w:i/>
          <w:iCs/>
          <w:sz w:val="20"/>
          <w:szCs w:val="20"/>
        </w:rPr>
        <w:t>Automobile Insurance Act</w:t>
      </w:r>
      <w:r w:rsidRPr="00EF295C">
        <w:rPr>
          <w:iCs/>
          <w:sz w:val="20"/>
          <w:szCs w:val="20"/>
        </w:rPr>
        <w:t xml:space="preserve"> barred appellants’ action in damages for injury separate from injury caused by automobile accident - Whether Court of Appeal erred in concluding that receipt of compensation from </w:t>
      </w:r>
      <w:proofErr w:type="spellStart"/>
      <w:r w:rsidRPr="00EF295C">
        <w:rPr>
          <w:iCs/>
          <w:sz w:val="20"/>
          <w:szCs w:val="20"/>
        </w:rPr>
        <w:t>Société</w:t>
      </w:r>
      <w:proofErr w:type="spellEnd"/>
      <w:r w:rsidRPr="00EF295C">
        <w:rPr>
          <w:iCs/>
          <w:sz w:val="20"/>
          <w:szCs w:val="20"/>
        </w:rPr>
        <w:t xml:space="preserve"> de </w:t>
      </w:r>
      <w:proofErr w:type="spellStart"/>
      <w:r w:rsidRPr="00EF295C">
        <w:rPr>
          <w:iCs/>
          <w:sz w:val="20"/>
          <w:szCs w:val="20"/>
        </w:rPr>
        <w:t>l’assurance</w:t>
      </w:r>
      <w:proofErr w:type="spellEnd"/>
      <w:r w:rsidRPr="00EF295C">
        <w:rPr>
          <w:iCs/>
          <w:sz w:val="20"/>
          <w:szCs w:val="20"/>
        </w:rPr>
        <w:t xml:space="preserve"> automobile du Québec (the “SAAQ”) negated any right to claim from others for injury caused by act independent of and separate from automobile accident - </w:t>
      </w:r>
      <w:r w:rsidRPr="00EF295C">
        <w:rPr>
          <w:i/>
          <w:iCs/>
          <w:sz w:val="20"/>
          <w:szCs w:val="20"/>
        </w:rPr>
        <w:t>Automobile Insurance Act</w:t>
      </w:r>
      <w:r w:rsidRPr="00EF295C">
        <w:rPr>
          <w:iCs/>
          <w:sz w:val="20"/>
          <w:szCs w:val="20"/>
        </w:rPr>
        <w:t>, CQLR, c. A-25 (the “Act”), s. 83.57.</w:t>
      </w:r>
    </w:p>
    <w:p w:rsidR="001608EC" w:rsidRPr="00EF295C" w:rsidRDefault="001608EC" w:rsidP="001608EC">
      <w:pPr>
        <w:jc w:val="both"/>
        <w:rPr>
          <w:iCs/>
          <w:sz w:val="20"/>
          <w:szCs w:val="20"/>
        </w:rPr>
      </w:pPr>
    </w:p>
    <w:p w:rsidR="001608EC" w:rsidRPr="00EF295C" w:rsidRDefault="001608EC" w:rsidP="001608EC">
      <w:pPr>
        <w:autoSpaceDE w:val="0"/>
        <w:autoSpaceDN w:val="0"/>
        <w:adjustRightInd w:val="0"/>
        <w:jc w:val="both"/>
        <w:rPr>
          <w:sz w:val="20"/>
          <w:szCs w:val="20"/>
        </w:rPr>
      </w:pPr>
      <w:r w:rsidRPr="00EF295C">
        <w:rPr>
          <w:sz w:val="20"/>
          <w:szCs w:val="20"/>
        </w:rPr>
        <w:t xml:space="preserve">On January 10, 1999, </w:t>
      </w:r>
      <w:proofErr w:type="spellStart"/>
      <w:r w:rsidRPr="00EF295C">
        <w:rPr>
          <w:sz w:val="20"/>
          <w:szCs w:val="20"/>
        </w:rPr>
        <w:t>Thérèse</w:t>
      </w:r>
      <w:proofErr w:type="spellEnd"/>
      <w:r w:rsidRPr="00EF295C">
        <w:rPr>
          <w:sz w:val="20"/>
          <w:szCs w:val="20"/>
        </w:rPr>
        <w:t xml:space="preserve"> Godbout (“the appellant”) was involved in an automobile accident, following which she was transferred to the respondent </w:t>
      </w:r>
      <w:proofErr w:type="spellStart"/>
      <w:r w:rsidRPr="00EF295C">
        <w:rPr>
          <w:sz w:val="20"/>
          <w:szCs w:val="20"/>
        </w:rPr>
        <w:t>Hôpital</w:t>
      </w:r>
      <w:proofErr w:type="spellEnd"/>
      <w:r w:rsidRPr="00EF295C">
        <w:rPr>
          <w:sz w:val="20"/>
          <w:szCs w:val="20"/>
        </w:rPr>
        <w:t xml:space="preserve"> du Sacré-</w:t>
      </w:r>
      <w:proofErr w:type="spellStart"/>
      <w:r w:rsidRPr="00EF295C">
        <w:rPr>
          <w:sz w:val="20"/>
          <w:szCs w:val="20"/>
        </w:rPr>
        <w:t>Cœur</w:t>
      </w:r>
      <w:proofErr w:type="spellEnd"/>
      <w:r w:rsidRPr="00EF295C">
        <w:rPr>
          <w:sz w:val="20"/>
          <w:szCs w:val="20"/>
        </w:rPr>
        <w:t xml:space="preserve"> de Montréal under the care of the respondent physicians. While in hospital, she underwent a double amputation below the knees and suffered permanent neurological impairment to her right hand. The appellant and her brother and daughter brought an action in damages against the respondents, alleging that they had failed to assess, monitor and treat her condition properly and that this had resulted in an aggravation of her injury and had caused separate injuries that were not a logical and foreseeable consequence of the automobile accident. In addition to that action, the appellant collected and continues to collect compensation from the </w:t>
      </w:r>
      <w:proofErr w:type="spellStart"/>
      <w:r w:rsidRPr="00EF295C">
        <w:rPr>
          <w:sz w:val="20"/>
          <w:szCs w:val="20"/>
        </w:rPr>
        <w:t>Société</w:t>
      </w:r>
      <w:proofErr w:type="spellEnd"/>
      <w:r w:rsidRPr="00EF295C">
        <w:rPr>
          <w:sz w:val="20"/>
          <w:szCs w:val="20"/>
        </w:rPr>
        <w:t xml:space="preserve"> de </w:t>
      </w:r>
      <w:proofErr w:type="spellStart"/>
      <w:r w:rsidRPr="00EF295C">
        <w:rPr>
          <w:sz w:val="20"/>
          <w:szCs w:val="20"/>
        </w:rPr>
        <w:t>l’assurance</w:t>
      </w:r>
      <w:proofErr w:type="spellEnd"/>
      <w:r w:rsidRPr="00EF295C">
        <w:rPr>
          <w:sz w:val="20"/>
          <w:szCs w:val="20"/>
        </w:rPr>
        <w:t xml:space="preserve"> automobile du Québec under s. 83.57 of the </w:t>
      </w:r>
      <w:r w:rsidRPr="00EF295C">
        <w:rPr>
          <w:i/>
          <w:iCs/>
          <w:sz w:val="20"/>
          <w:szCs w:val="20"/>
        </w:rPr>
        <w:t>Automobile Insurance Act</w:t>
      </w:r>
      <w:r w:rsidRPr="00EF295C">
        <w:rPr>
          <w:iCs/>
          <w:sz w:val="20"/>
          <w:szCs w:val="20"/>
        </w:rPr>
        <w:t>, CQLR, c. A-25 (the “Act”)</w:t>
      </w:r>
      <w:r w:rsidRPr="00EF295C">
        <w:rPr>
          <w:sz w:val="20"/>
          <w:szCs w:val="20"/>
        </w:rPr>
        <w:t>. Before trial, the parties jointly asked the Superior Court to determine whether s. 83.57 of the Act barred the appellants’ action in damages.</w:t>
      </w:r>
    </w:p>
    <w:p w:rsidR="005F263E" w:rsidRPr="00EF295C" w:rsidRDefault="005F263E" w:rsidP="00782AE4">
      <w:pPr>
        <w:jc w:val="both"/>
        <w:rPr>
          <w:sz w:val="20"/>
          <w:szCs w:val="20"/>
        </w:rPr>
      </w:pPr>
    </w:p>
    <w:p w:rsidR="001608EC" w:rsidRPr="00EF295C" w:rsidRDefault="002E5FCE" w:rsidP="00782AE4">
      <w:pPr>
        <w:jc w:val="both"/>
        <w:rPr>
          <w:sz w:val="20"/>
          <w:szCs w:val="20"/>
          <w:lang w:val="fr-CA"/>
        </w:rPr>
      </w:pPr>
      <w:r>
        <w:rPr>
          <w:sz w:val="20"/>
          <w:szCs w:val="20"/>
          <w:lang w:val="fr-CA"/>
        </w:rPr>
        <w:pict>
          <v:rect id="_x0000_i1075" style="width:2in;height:1pt" o:hrpct="0" o:hralign="center" o:hrstd="t" o:hrnoshade="t" o:hr="t" fillcolor="black [3213]" stroked="f"/>
        </w:pict>
      </w:r>
    </w:p>
    <w:p w:rsidR="001608EC" w:rsidRPr="00EF295C" w:rsidRDefault="001608EC" w:rsidP="00782AE4">
      <w:pPr>
        <w:jc w:val="both"/>
        <w:rPr>
          <w:sz w:val="20"/>
          <w:szCs w:val="20"/>
          <w:lang w:val="fr-CA"/>
        </w:rPr>
      </w:pPr>
    </w:p>
    <w:p w:rsidR="001608EC" w:rsidRPr="00EF295C" w:rsidRDefault="001608EC" w:rsidP="00782AE4">
      <w:pPr>
        <w:jc w:val="both"/>
        <w:rPr>
          <w:sz w:val="20"/>
          <w:szCs w:val="20"/>
          <w:lang w:val="fr-CA"/>
        </w:rPr>
      </w:pPr>
    </w:p>
    <w:p w:rsidR="001608EC" w:rsidRPr="00EF295C" w:rsidRDefault="001608EC" w:rsidP="001608EC">
      <w:pPr>
        <w:widowControl w:val="0"/>
        <w:ind w:left="720" w:hanging="720"/>
        <w:jc w:val="both"/>
        <w:rPr>
          <w:sz w:val="20"/>
          <w:szCs w:val="20"/>
          <w:lang w:val="fr-CA"/>
        </w:rPr>
      </w:pPr>
      <w:r w:rsidRPr="00EF295C">
        <w:rPr>
          <w:sz w:val="20"/>
          <w:szCs w:val="20"/>
          <w:lang w:val="fr-CA"/>
        </w:rPr>
        <w:fldChar w:fldCharType="begin"/>
      </w:r>
      <w:r w:rsidRPr="00EF295C">
        <w:rPr>
          <w:sz w:val="20"/>
          <w:szCs w:val="20"/>
          <w:lang w:val="fr-CA"/>
        </w:rPr>
        <w:instrText xml:space="preserve"> SEQ CHAPTER \h \r 1</w:instrText>
      </w:r>
      <w:r w:rsidRPr="00EF295C">
        <w:rPr>
          <w:sz w:val="20"/>
          <w:szCs w:val="20"/>
        </w:rPr>
        <w:fldChar w:fldCharType="end"/>
      </w:r>
      <w:r w:rsidRPr="00EF295C">
        <w:rPr>
          <w:rStyle w:val="SCCFileNumberChar"/>
          <w:sz w:val="20"/>
          <w:szCs w:val="20"/>
          <w:lang w:val="fr-CA"/>
        </w:rPr>
        <w:t>36385</w:t>
      </w:r>
      <w:r w:rsidRPr="00EF295C">
        <w:rPr>
          <w:sz w:val="20"/>
          <w:szCs w:val="20"/>
          <w:lang w:val="fr-CA"/>
        </w:rPr>
        <w:tab/>
      </w:r>
      <w:r w:rsidRPr="00EF295C">
        <w:rPr>
          <w:b/>
          <w:i/>
          <w:sz w:val="20"/>
          <w:szCs w:val="20"/>
          <w:lang w:val="fr-CA"/>
        </w:rPr>
        <w:t xml:space="preserve">Thérèse Godbout, Louis Godbout, Iris Godbout c. </w:t>
      </w:r>
      <w:proofErr w:type="spellStart"/>
      <w:r w:rsidRPr="00EF295C">
        <w:rPr>
          <w:b/>
          <w:i/>
          <w:sz w:val="20"/>
          <w:szCs w:val="20"/>
          <w:lang w:val="fr-CA"/>
        </w:rPr>
        <w:t>Jean-Maurice</w:t>
      </w:r>
      <w:proofErr w:type="spellEnd"/>
      <w:r w:rsidRPr="00EF295C">
        <w:rPr>
          <w:b/>
          <w:i/>
          <w:sz w:val="20"/>
          <w:szCs w:val="20"/>
          <w:lang w:val="fr-CA"/>
        </w:rPr>
        <w:t xml:space="preserve"> </w:t>
      </w:r>
      <w:proofErr w:type="spellStart"/>
      <w:r w:rsidRPr="00EF295C">
        <w:rPr>
          <w:b/>
          <w:i/>
          <w:sz w:val="20"/>
          <w:szCs w:val="20"/>
          <w:lang w:val="fr-CA"/>
        </w:rPr>
        <w:t>Pagé</w:t>
      </w:r>
      <w:proofErr w:type="spellEnd"/>
      <w:r w:rsidRPr="00EF295C">
        <w:rPr>
          <w:b/>
          <w:i/>
          <w:sz w:val="20"/>
          <w:szCs w:val="20"/>
          <w:lang w:val="fr-CA"/>
        </w:rPr>
        <w:t xml:space="preserve">, Anick Dulong, Moreno </w:t>
      </w:r>
      <w:proofErr w:type="spellStart"/>
      <w:r w:rsidRPr="00EF295C">
        <w:rPr>
          <w:b/>
          <w:i/>
          <w:sz w:val="20"/>
          <w:szCs w:val="20"/>
          <w:lang w:val="fr-CA"/>
        </w:rPr>
        <w:t>Morelli</w:t>
      </w:r>
      <w:proofErr w:type="spellEnd"/>
      <w:r w:rsidRPr="00EF295C">
        <w:rPr>
          <w:b/>
          <w:i/>
          <w:sz w:val="20"/>
          <w:szCs w:val="20"/>
          <w:lang w:val="fr-CA"/>
        </w:rPr>
        <w:t xml:space="preserve">, Martin Lavigne, Jacques </w:t>
      </w:r>
      <w:proofErr w:type="spellStart"/>
      <w:r w:rsidRPr="00EF295C">
        <w:rPr>
          <w:b/>
          <w:i/>
          <w:sz w:val="20"/>
          <w:szCs w:val="20"/>
          <w:lang w:val="fr-CA"/>
        </w:rPr>
        <w:t>Toueg</w:t>
      </w:r>
      <w:proofErr w:type="spellEnd"/>
      <w:r w:rsidRPr="00EF295C">
        <w:rPr>
          <w:b/>
          <w:i/>
          <w:sz w:val="20"/>
          <w:szCs w:val="20"/>
          <w:lang w:val="fr-CA"/>
        </w:rPr>
        <w:t xml:space="preserve">, Hôpital du </w:t>
      </w:r>
      <w:proofErr w:type="spellStart"/>
      <w:r w:rsidRPr="00EF295C">
        <w:rPr>
          <w:b/>
          <w:i/>
          <w:sz w:val="20"/>
          <w:szCs w:val="20"/>
          <w:lang w:val="fr-CA"/>
        </w:rPr>
        <w:t>Sacré-Coeur</w:t>
      </w:r>
      <w:proofErr w:type="spellEnd"/>
      <w:r w:rsidRPr="00EF295C">
        <w:rPr>
          <w:b/>
          <w:i/>
          <w:sz w:val="20"/>
          <w:szCs w:val="20"/>
          <w:lang w:val="fr-CA"/>
        </w:rPr>
        <w:t xml:space="preserve"> de Montréal - et - Procureure générale du Québec </w:t>
      </w:r>
      <w:r w:rsidRPr="00EF295C">
        <w:rPr>
          <w:sz w:val="20"/>
          <w:szCs w:val="20"/>
          <w:lang w:val="fr-CA"/>
        </w:rPr>
        <w:t>(Qc) (Civile) (Autorisation)</w:t>
      </w:r>
    </w:p>
    <w:p w:rsidR="001608EC" w:rsidRPr="00EF295C" w:rsidRDefault="001608EC" w:rsidP="001608EC">
      <w:pPr>
        <w:widowControl w:val="0"/>
        <w:jc w:val="both"/>
        <w:rPr>
          <w:sz w:val="20"/>
          <w:szCs w:val="20"/>
          <w:lang w:val="fr-CA"/>
        </w:rPr>
      </w:pPr>
    </w:p>
    <w:p w:rsidR="001608EC" w:rsidRPr="00EF295C" w:rsidRDefault="001608EC" w:rsidP="001608EC">
      <w:pPr>
        <w:jc w:val="both"/>
        <w:rPr>
          <w:iCs/>
          <w:sz w:val="20"/>
          <w:szCs w:val="20"/>
          <w:lang w:val="fr-FR"/>
        </w:rPr>
      </w:pPr>
      <w:r w:rsidRPr="00EF295C">
        <w:rPr>
          <w:iCs/>
          <w:sz w:val="20"/>
          <w:szCs w:val="20"/>
          <w:lang w:val="fr-FR"/>
        </w:rPr>
        <w:t>Assurance - Assurance automobile - Régime public d’assurance automobile sans égard à la responsabilité -</w:t>
      </w:r>
      <w:r w:rsidRPr="00EF295C">
        <w:rPr>
          <w:sz w:val="20"/>
          <w:szCs w:val="20"/>
          <w:lang w:val="fr-CA"/>
        </w:rPr>
        <w:t xml:space="preserve"> La Cour d’appel a-t-elle erré en droit en concluant que l’article 83.57 de la </w:t>
      </w:r>
      <w:r w:rsidRPr="00EF295C">
        <w:rPr>
          <w:i/>
          <w:iCs/>
          <w:sz w:val="20"/>
          <w:szCs w:val="20"/>
          <w:lang w:val="fr-FR"/>
        </w:rPr>
        <w:t>Loi sur l’assurance automobile</w:t>
      </w:r>
      <w:r w:rsidRPr="00EF295C">
        <w:rPr>
          <w:sz w:val="20"/>
          <w:szCs w:val="20"/>
          <w:lang w:val="fr-CA"/>
        </w:rPr>
        <w:t xml:space="preserve"> fait obstacle au recours en dommages-intérêts des appelants compte tenu du préjudice distinct du préjudice causé par l’accident d’automobile? - La Cour d’appel a-t-elle erré en concluant que l’encaissement des indemnités de la </w:t>
      </w:r>
      <w:r w:rsidRPr="00EF295C">
        <w:rPr>
          <w:sz w:val="20"/>
          <w:szCs w:val="20"/>
          <w:lang w:val="fr-FR"/>
        </w:rPr>
        <w:t>Société de l’assurance automobile du Québec</w:t>
      </w:r>
      <w:r w:rsidRPr="00EF295C">
        <w:rPr>
          <w:sz w:val="20"/>
          <w:szCs w:val="20"/>
          <w:lang w:val="fr-CA"/>
        </w:rPr>
        <w:t xml:space="preserve"> (la « SAAQ ») par l’appelante écarte tout droit de réclamer d’autrui pour des dommages causés par un fait autonome et distinct de l’accident d’automobile? - </w:t>
      </w:r>
      <w:r w:rsidRPr="00EF295C">
        <w:rPr>
          <w:i/>
          <w:iCs/>
          <w:sz w:val="20"/>
          <w:szCs w:val="20"/>
          <w:lang w:val="fr-FR"/>
        </w:rPr>
        <w:t>Loi sur l’assurance automobile</w:t>
      </w:r>
      <w:r w:rsidRPr="00EF295C">
        <w:rPr>
          <w:iCs/>
          <w:sz w:val="20"/>
          <w:szCs w:val="20"/>
          <w:lang w:val="fr-FR"/>
        </w:rPr>
        <w:t>, RLRQ, ch. A-25 (la « Loi »), art. 83.57.</w:t>
      </w:r>
    </w:p>
    <w:p w:rsidR="001608EC" w:rsidRPr="00EF295C" w:rsidRDefault="001608EC" w:rsidP="001608EC">
      <w:pPr>
        <w:jc w:val="both"/>
        <w:rPr>
          <w:iCs/>
          <w:sz w:val="20"/>
          <w:szCs w:val="20"/>
          <w:lang w:val="fr-FR"/>
        </w:rPr>
      </w:pPr>
    </w:p>
    <w:p w:rsidR="001608EC" w:rsidRPr="00EF295C" w:rsidRDefault="001608EC" w:rsidP="001608EC">
      <w:pPr>
        <w:autoSpaceDE w:val="0"/>
        <w:autoSpaceDN w:val="0"/>
        <w:adjustRightInd w:val="0"/>
        <w:jc w:val="both"/>
        <w:rPr>
          <w:sz w:val="20"/>
          <w:szCs w:val="20"/>
          <w:lang w:val="fr-CA"/>
        </w:rPr>
      </w:pPr>
      <w:r w:rsidRPr="00EF295C">
        <w:rPr>
          <w:sz w:val="20"/>
          <w:szCs w:val="20"/>
          <w:lang w:val="fr-CA"/>
        </w:rPr>
        <w:t xml:space="preserve">Le 10 janvier 1999, l’appelante est impliquée dans un accident d’automobile à la suite duquel elle est transférée à l’Hôpital du Sacré-Cœur de Montréal, intimé, sous les soins des médecins intimés. Lors de son hospitalisation, l’appelante a subi une amputation bilatérale au niveau du bas des genoux et souffre d’une atteinte neurologique permanente à la main droite. L’appelante ainsi que son frère et sa fille </w:t>
      </w:r>
      <w:r w:rsidRPr="00EF295C">
        <w:rPr>
          <w:sz w:val="20"/>
          <w:szCs w:val="20"/>
          <w:lang w:val="fr-FR"/>
        </w:rPr>
        <w:t>ont intenté un recours en dommages-intérêts contre les intimés, leur reprochant</w:t>
      </w:r>
      <w:r w:rsidRPr="00EF295C">
        <w:rPr>
          <w:sz w:val="20"/>
          <w:szCs w:val="20"/>
          <w:lang w:val="fr-CA"/>
        </w:rPr>
        <w:t xml:space="preserve"> de ne pas avoir évalué, suivi et traité sa condition conformément aux règles de l’art, entraînant une aggravation de son préjudice et causant des dommages distincts qui ne constituent pas une conséquence logique et prévisible de l’accident d’automobile. En marge de ce recours, l’appelante a perçu et continue de percevoir des indemnités de la </w:t>
      </w:r>
      <w:r w:rsidRPr="00EF295C">
        <w:rPr>
          <w:sz w:val="20"/>
          <w:szCs w:val="20"/>
          <w:lang w:val="fr-FR"/>
        </w:rPr>
        <w:t xml:space="preserve">Société de l’assurance automobile du Québec </w:t>
      </w:r>
      <w:r w:rsidRPr="00EF295C">
        <w:rPr>
          <w:sz w:val="20"/>
          <w:szCs w:val="20"/>
          <w:lang w:val="fr-CA"/>
        </w:rPr>
        <w:t xml:space="preserve">aux termes de l’article 83.57 de la </w:t>
      </w:r>
      <w:r w:rsidRPr="00EF295C">
        <w:rPr>
          <w:i/>
          <w:iCs/>
          <w:sz w:val="20"/>
          <w:szCs w:val="20"/>
          <w:lang w:val="fr-FR"/>
        </w:rPr>
        <w:t>Loi sur l’assurance automobile</w:t>
      </w:r>
      <w:r w:rsidRPr="00EF295C">
        <w:rPr>
          <w:iCs/>
          <w:sz w:val="20"/>
          <w:szCs w:val="20"/>
          <w:lang w:val="fr-FR"/>
        </w:rPr>
        <w:t>, RLRQ, ch. A-25 (la « Loi »)</w:t>
      </w:r>
      <w:r w:rsidRPr="00EF295C">
        <w:rPr>
          <w:sz w:val="20"/>
          <w:szCs w:val="20"/>
          <w:lang w:val="fr-FR"/>
        </w:rPr>
        <w:t>.</w:t>
      </w:r>
      <w:r w:rsidRPr="00EF295C">
        <w:rPr>
          <w:sz w:val="20"/>
          <w:szCs w:val="20"/>
          <w:lang w:val="fr-CA"/>
        </w:rPr>
        <w:t xml:space="preserve"> Avant procès, les parties ont conjointement demandé à la Cour supérieure de déterminer si l’article 83.57 de la Loi fait échec au recours en dommages-intérêts des appelants.</w:t>
      </w:r>
    </w:p>
    <w:p w:rsidR="001608EC" w:rsidRPr="00EF295C" w:rsidRDefault="001608EC" w:rsidP="00782AE4">
      <w:pPr>
        <w:jc w:val="both"/>
        <w:rPr>
          <w:sz w:val="20"/>
          <w:szCs w:val="20"/>
          <w:lang w:val="fr-CA"/>
        </w:rPr>
      </w:pPr>
    </w:p>
    <w:p w:rsidR="001608EC" w:rsidRPr="00EF295C" w:rsidRDefault="002E5FCE" w:rsidP="00782AE4">
      <w:pPr>
        <w:jc w:val="both"/>
        <w:rPr>
          <w:sz w:val="20"/>
          <w:szCs w:val="20"/>
          <w:lang w:val="fr-CA"/>
        </w:rPr>
      </w:pPr>
      <w:r>
        <w:rPr>
          <w:sz w:val="20"/>
          <w:szCs w:val="20"/>
          <w:lang w:val="fr-CA"/>
        </w:rPr>
        <w:pict>
          <v:rect id="_x0000_i1076" style="width:2in;height:1pt" o:hrpct="0" o:hralign="center" o:hrstd="t" o:hrnoshade="t" o:hr="t" fillcolor="black [3213]" stroked="f"/>
        </w:pict>
      </w:r>
    </w:p>
    <w:p w:rsidR="001608EC" w:rsidRPr="00EF295C" w:rsidRDefault="001608EC" w:rsidP="00782AE4">
      <w:pPr>
        <w:jc w:val="both"/>
        <w:rPr>
          <w:sz w:val="20"/>
          <w:szCs w:val="20"/>
          <w:lang w:val="fr-CA"/>
        </w:rPr>
      </w:pPr>
    </w:p>
    <w:p w:rsidR="001608EC" w:rsidRPr="00EF295C" w:rsidRDefault="001608EC" w:rsidP="00782AE4">
      <w:pPr>
        <w:jc w:val="both"/>
        <w:rPr>
          <w:sz w:val="20"/>
          <w:szCs w:val="20"/>
          <w:lang w:val="fr-CA"/>
        </w:rPr>
      </w:pPr>
    </w:p>
    <w:p w:rsidR="001608EC" w:rsidRPr="00EF295C" w:rsidRDefault="001608EC">
      <w:pPr>
        <w:rPr>
          <w:sz w:val="20"/>
          <w:szCs w:val="20"/>
          <w:lang w:val="fr-CA"/>
        </w:rPr>
      </w:pPr>
      <w:r w:rsidRPr="00EF295C">
        <w:rPr>
          <w:sz w:val="20"/>
          <w:szCs w:val="20"/>
          <w:lang w:val="fr-CA"/>
        </w:rPr>
        <w:br w:type="page"/>
      </w:r>
    </w:p>
    <w:p w:rsidR="001608EC" w:rsidRPr="00EF295C" w:rsidRDefault="001608EC" w:rsidP="00CA0038">
      <w:pPr>
        <w:widowControl w:val="0"/>
        <w:ind w:left="720" w:hanging="720"/>
        <w:jc w:val="both"/>
        <w:rPr>
          <w:sz w:val="20"/>
          <w:szCs w:val="20"/>
        </w:rPr>
      </w:pPr>
      <w:r w:rsidRPr="00EF295C">
        <w:rPr>
          <w:b/>
          <w:sz w:val="20"/>
          <w:szCs w:val="20"/>
        </w:rPr>
        <w:lastRenderedPageBreak/>
        <w:fldChar w:fldCharType="begin"/>
      </w:r>
      <w:r w:rsidRPr="00EF295C">
        <w:rPr>
          <w:sz w:val="20"/>
          <w:szCs w:val="20"/>
          <w:lang w:val="fr-CA"/>
        </w:rPr>
        <w:instrText xml:space="preserve"> SEQ CHAPTER \h \r 1</w:instrText>
      </w:r>
      <w:r w:rsidRPr="00EF295C">
        <w:rPr>
          <w:b/>
          <w:sz w:val="20"/>
          <w:szCs w:val="20"/>
        </w:rPr>
        <w:fldChar w:fldCharType="end"/>
      </w:r>
      <w:r w:rsidRPr="00EF295C">
        <w:rPr>
          <w:rStyle w:val="SCCFileNumberChar"/>
          <w:sz w:val="20"/>
          <w:szCs w:val="20"/>
          <w:lang w:val="fr-CA"/>
        </w:rPr>
        <w:t>36388</w:t>
      </w:r>
      <w:r w:rsidR="00CA0038" w:rsidRPr="00EF295C">
        <w:rPr>
          <w:rStyle w:val="SCCFileNumberChar"/>
          <w:sz w:val="20"/>
          <w:szCs w:val="20"/>
          <w:lang w:val="fr-CA"/>
        </w:rPr>
        <w:tab/>
      </w:r>
      <w:r w:rsidRPr="00EF295C">
        <w:rPr>
          <w:b/>
          <w:i/>
          <w:sz w:val="20"/>
          <w:szCs w:val="20"/>
          <w:lang w:val="fr-CA"/>
        </w:rPr>
        <w:t>Gilles</w:t>
      </w:r>
      <w:r w:rsidRPr="00EF295C">
        <w:rPr>
          <w:i/>
          <w:sz w:val="20"/>
          <w:szCs w:val="20"/>
          <w:lang w:val="fr-CA"/>
        </w:rPr>
        <w:t xml:space="preserve"> </w:t>
      </w:r>
      <w:proofErr w:type="spellStart"/>
      <w:r w:rsidRPr="00EF295C">
        <w:rPr>
          <w:b/>
          <w:i/>
          <w:sz w:val="20"/>
          <w:szCs w:val="20"/>
          <w:lang w:val="fr-CA"/>
        </w:rPr>
        <w:t>Gargantiel</w:t>
      </w:r>
      <w:proofErr w:type="spellEnd"/>
      <w:r w:rsidRPr="00EF295C">
        <w:rPr>
          <w:b/>
          <w:i/>
          <w:sz w:val="20"/>
          <w:szCs w:val="20"/>
          <w:lang w:val="fr-CA"/>
        </w:rPr>
        <w:t xml:space="preserve"> v. Attorney General of </w:t>
      </w:r>
      <w:proofErr w:type="spellStart"/>
      <w:r w:rsidRPr="00EF295C">
        <w:rPr>
          <w:b/>
          <w:i/>
          <w:sz w:val="20"/>
          <w:szCs w:val="20"/>
          <w:lang w:val="fr-CA"/>
        </w:rPr>
        <w:t>Quebec</w:t>
      </w:r>
      <w:proofErr w:type="spellEnd"/>
      <w:r w:rsidRPr="00EF295C">
        <w:rPr>
          <w:b/>
          <w:i/>
          <w:sz w:val="20"/>
          <w:szCs w:val="20"/>
          <w:lang w:val="fr-CA"/>
        </w:rPr>
        <w:t xml:space="preserve"> </w:t>
      </w:r>
      <w:r w:rsidRPr="00EF295C">
        <w:rPr>
          <w:i/>
          <w:sz w:val="20"/>
          <w:szCs w:val="20"/>
          <w:lang w:val="fr-CA"/>
        </w:rPr>
        <w:t xml:space="preserve">- </w:t>
      </w:r>
      <w:r w:rsidRPr="00EF295C">
        <w:rPr>
          <w:b/>
          <w:i/>
          <w:sz w:val="20"/>
          <w:szCs w:val="20"/>
          <w:lang w:val="fr-CA"/>
        </w:rPr>
        <w:t>and</w:t>
      </w:r>
      <w:r w:rsidRPr="00EF295C">
        <w:rPr>
          <w:i/>
          <w:sz w:val="20"/>
          <w:szCs w:val="20"/>
          <w:lang w:val="fr-CA"/>
        </w:rPr>
        <w:t xml:space="preserve"> - </w:t>
      </w:r>
      <w:r w:rsidRPr="00EF295C">
        <w:rPr>
          <w:b/>
          <w:i/>
          <w:sz w:val="20"/>
          <w:szCs w:val="20"/>
          <w:lang w:val="fr-CA"/>
        </w:rPr>
        <w:t xml:space="preserve">Société de l'assurance automobile du Québec </w:t>
      </w:r>
      <w:r w:rsidRPr="00EF295C">
        <w:rPr>
          <w:sz w:val="20"/>
          <w:szCs w:val="20"/>
          <w:lang w:val="fr-CA"/>
        </w:rPr>
        <w:t xml:space="preserve">(Que.) </w:t>
      </w:r>
      <w:r w:rsidRPr="00EF295C">
        <w:rPr>
          <w:sz w:val="20"/>
          <w:szCs w:val="20"/>
        </w:rPr>
        <w:t>(Civil) (By Leave)</w:t>
      </w:r>
    </w:p>
    <w:p w:rsidR="001608EC" w:rsidRPr="00EF295C" w:rsidRDefault="001608EC" w:rsidP="001608EC">
      <w:pPr>
        <w:widowControl w:val="0"/>
        <w:ind w:left="1440" w:hanging="1440"/>
        <w:jc w:val="both"/>
        <w:rPr>
          <w:sz w:val="20"/>
          <w:szCs w:val="20"/>
        </w:rPr>
      </w:pPr>
    </w:p>
    <w:p w:rsidR="001608EC" w:rsidRPr="00EF295C" w:rsidRDefault="001608EC" w:rsidP="001608EC">
      <w:pPr>
        <w:jc w:val="both"/>
        <w:rPr>
          <w:sz w:val="20"/>
          <w:szCs w:val="20"/>
        </w:rPr>
      </w:pPr>
      <w:r w:rsidRPr="00EF295C">
        <w:rPr>
          <w:iCs/>
          <w:sz w:val="20"/>
          <w:szCs w:val="20"/>
          <w:lang w:val="en"/>
        </w:rPr>
        <w:t xml:space="preserve">Insurance </w:t>
      </w:r>
      <w:r w:rsidRPr="00EF295C">
        <w:rPr>
          <w:iCs/>
          <w:sz w:val="20"/>
          <w:szCs w:val="20"/>
        </w:rPr>
        <w:t>-</w:t>
      </w:r>
      <w:r w:rsidRPr="00EF295C">
        <w:rPr>
          <w:iCs/>
          <w:sz w:val="20"/>
          <w:szCs w:val="20"/>
          <w:lang w:val="en"/>
        </w:rPr>
        <w:t xml:space="preserve"> Automobile insurance </w:t>
      </w:r>
      <w:r w:rsidRPr="00EF295C">
        <w:rPr>
          <w:iCs/>
          <w:sz w:val="20"/>
          <w:szCs w:val="20"/>
        </w:rPr>
        <w:t>-</w:t>
      </w:r>
      <w:r w:rsidRPr="00EF295C">
        <w:rPr>
          <w:iCs/>
          <w:sz w:val="20"/>
          <w:szCs w:val="20"/>
          <w:lang w:val="en"/>
        </w:rPr>
        <w:t xml:space="preserve"> No-fault public automobile insurance scheme </w:t>
      </w:r>
      <w:r w:rsidRPr="00EF295C">
        <w:rPr>
          <w:iCs/>
          <w:sz w:val="20"/>
          <w:szCs w:val="20"/>
        </w:rPr>
        <w:t xml:space="preserve">- </w:t>
      </w:r>
      <w:r w:rsidRPr="00EF295C">
        <w:rPr>
          <w:iCs/>
          <w:sz w:val="20"/>
          <w:szCs w:val="20"/>
          <w:lang w:val="en"/>
        </w:rPr>
        <w:t xml:space="preserve">Civil procedure </w:t>
      </w:r>
      <w:r w:rsidRPr="00EF295C">
        <w:rPr>
          <w:iCs/>
          <w:sz w:val="20"/>
          <w:szCs w:val="20"/>
        </w:rPr>
        <w:t>-</w:t>
      </w:r>
      <w:r w:rsidRPr="00EF295C">
        <w:rPr>
          <w:iCs/>
          <w:sz w:val="20"/>
          <w:szCs w:val="20"/>
          <w:lang w:val="en"/>
        </w:rPr>
        <w:t xml:space="preserve"> Exception to dismiss action - Whether </w:t>
      </w:r>
      <w:r w:rsidRPr="00EF295C">
        <w:rPr>
          <w:sz w:val="20"/>
          <w:szCs w:val="20"/>
        </w:rPr>
        <w:t xml:space="preserve">article 83.57 of the </w:t>
      </w:r>
      <w:r w:rsidRPr="00EF295C">
        <w:rPr>
          <w:i/>
          <w:iCs/>
          <w:sz w:val="20"/>
          <w:szCs w:val="20"/>
        </w:rPr>
        <w:t>Automobile Insurance Act</w:t>
      </w:r>
      <w:r w:rsidRPr="00EF295C">
        <w:rPr>
          <w:iCs/>
          <w:sz w:val="20"/>
          <w:szCs w:val="20"/>
        </w:rPr>
        <w:t>,</w:t>
      </w:r>
      <w:r w:rsidRPr="00EF295C">
        <w:rPr>
          <w:i/>
          <w:iCs/>
          <w:sz w:val="20"/>
          <w:szCs w:val="20"/>
        </w:rPr>
        <w:t xml:space="preserve"> </w:t>
      </w:r>
      <w:r w:rsidRPr="00EF295C">
        <w:rPr>
          <w:iCs/>
          <w:sz w:val="20"/>
          <w:szCs w:val="20"/>
        </w:rPr>
        <w:t>CQLR,</w:t>
      </w:r>
      <w:r w:rsidRPr="00EF295C">
        <w:rPr>
          <w:sz w:val="20"/>
          <w:szCs w:val="20"/>
        </w:rPr>
        <w:t xml:space="preserve"> c. A-25, creates a bar or civil immunity preventing an automobile accident victim in Quebec from suing a third party who commits an intervening act of negligence following the accident which causes new or aggravated injuries to the accident victim - In the event an automobile accident victim in Quebec makes a claim to the </w:t>
      </w:r>
      <w:proofErr w:type="spellStart"/>
      <w:r w:rsidRPr="00EF295C">
        <w:rPr>
          <w:i/>
          <w:iCs/>
          <w:sz w:val="20"/>
          <w:szCs w:val="20"/>
        </w:rPr>
        <w:t>Société</w:t>
      </w:r>
      <w:proofErr w:type="spellEnd"/>
      <w:r w:rsidRPr="00EF295C">
        <w:rPr>
          <w:i/>
          <w:iCs/>
          <w:sz w:val="20"/>
          <w:szCs w:val="20"/>
        </w:rPr>
        <w:t xml:space="preserve"> </w:t>
      </w:r>
      <w:proofErr w:type="spellStart"/>
      <w:r w:rsidRPr="00EF295C">
        <w:rPr>
          <w:i/>
          <w:iCs/>
          <w:sz w:val="20"/>
          <w:szCs w:val="20"/>
        </w:rPr>
        <w:t>d’assurance</w:t>
      </w:r>
      <w:proofErr w:type="spellEnd"/>
      <w:r w:rsidRPr="00EF295C">
        <w:rPr>
          <w:i/>
          <w:iCs/>
          <w:sz w:val="20"/>
          <w:szCs w:val="20"/>
        </w:rPr>
        <w:t xml:space="preserve"> automobile du Québec</w:t>
      </w:r>
      <w:r w:rsidRPr="00EF295C">
        <w:rPr>
          <w:sz w:val="20"/>
          <w:szCs w:val="20"/>
        </w:rPr>
        <w:t xml:space="preserve"> (“SAAQ”) and cashes indemnity payments received from the SAAQ, whether such action means that the accident victim has automatically renounced to any civil recourse that he or she may have had against a third party - </w:t>
      </w:r>
      <w:r w:rsidRPr="00EF295C">
        <w:rPr>
          <w:i/>
          <w:iCs/>
          <w:sz w:val="20"/>
          <w:szCs w:val="20"/>
        </w:rPr>
        <w:t>Automobile Insurance Act</w:t>
      </w:r>
      <w:r w:rsidRPr="00EF295C">
        <w:rPr>
          <w:iCs/>
          <w:sz w:val="20"/>
          <w:szCs w:val="20"/>
        </w:rPr>
        <w:t>,</w:t>
      </w:r>
      <w:r w:rsidRPr="00EF295C">
        <w:rPr>
          <w:i/>
          <w:iCs/>
          <w:sz w:val="20"/>
          <w:szCs w:val="20"/>
        </w:rPr>
        <w:t xml:space="preserve"> </w:t>
      </w:r>
      <w:r w:rsidRPr="00EF295C">
        <w:rPr>
          <w:iCs/>
          <w:sz w:val="20"/>
          <w:szCs w:val="20"/>
        </w:rPr>
        <w:t>CQLR,</w:t>
      </w:r>
      <w:r w:rsidRPr="00EF295C">
        <w:rPr>
          <w:sz w:val="20"/>
          <w:szCs w:val="20"/>
        </w:rPr>
        <w:t xml:space="preserve"> c. A-25, art. 83.57.</w:t>
      </w:r>
    </w:p>
    <w:p w:rsidR="001608EC" w:rsidRPr="00EF295C" w:rsidRDefault="001608EC" w:rsidP="001608EC">
      <w:pPr>
        <w:widowControl w:val="0"/>
        <w:jc w:val="both"/>
        <w:rPr>
          <w:sz w:val="20"/>
          <w:szCs w:val="20"/>
        </w:rPr>
      </w:pPr>
    </w:p>
    <w:p w:rsidR="001608EC" w:rsidRPr="00EF295C" w:rsidRDefault="001608EC" w:rsidP="001608EC">
      <w:pPr>
        <w:autoSpaceDE w:val="0"/>
        <w:autoSpaceDN w:val="0"/>
        <w:adjustRightInd w:val="0"/>
        <w:jc w:val="both"/>
        <w:rPr>
          <w:sz w:val="20"/>
          <w:szCs w:val="20"/>
        </w:rPr>
      </w:pPr>
      <w:r w:rsidRPr="00EF295C">
        <w:rPr>
          <w:sz w:val="20"/>
          <w:szCs w:val="20"/>
        </w:rPr>
        <w:t xml:space="preserve">On October 18, 2009, just after 6:00 P.M., the Appellant lost control of his automobile and careened off the highway into a patch of bushes next to a railway track. A few minutes later, the </w:t>
      </w:r>
      <w:proofErr w:type="spellStart"/>
      <w:r w:rsidRPr="00EF295C">
        <w:rPr>
          <w:i/>
          <w:iCs/>
          <w:sz w:val="20"/>
          <w:szCs w:val="20"/>
        </w:rPr>
        <w:t>Sûreté</w:t>
      </w:r>
      <w:proofErr w:type="spellEnd"/>
      <w:r w:rsidRPr="00EF295C">
        <w:rPr>
          <w:i/>
          <w:iCs/>
          <w:sz w:val="20"/>
          <w:szCs w:val="20"/>
        </w:rPr>
        <w:t xml:space="preserve"> du Québec </w:t>
      </w:r>
      <w:r w:rsidRPr="00EF295C">
        <w:rPr>
          <w:sz w:val="20"/>
          <w:szCs w:val="20"/>
        </w:rPr>
        <w:t xml:space="preserve">(“SQ”) was notified of the accident by the automobile’s OnStar system with precise GPS coordinates of the location of the accident and the Appellant’s automobile. In the two hours following the accident, the SQ agents failed to locate the Appellant and his automobile, never having stopped to search at the precise location indicated to them by the GPS coordinates and ostensibly annoyed by the OnStar system’s repeated calls. The search was called off, and the Appellant was only found approximately two days after, in a semi-conscious state, by a railway worker doing a routine inspection of the tracks. The Appellant was subsequently treated for severe injuries resulting, </w:t>
      </w:r>
      <w:r w:rsidRPr="00EF295C">
        <w:rPr>
          <w:i/>
          <w:sz w:val="20"/>
          <w:szCs w:val="20"/>
        </w:rPr>
        <w:t>inter alia</w:t>
      </w:r>
      <w:r w:rsidRPr="00EF295C">
        <w:rPr>
          <w:sz w:val="20"/>
          <w:szCs w:val="20"/>
        </w:rPr>
        <w:t xml:space="preserve">, in the partial amputation of his right leg due to frostbite. The Appellant instituted legal proceedings for damages against the Respondent alleging negligence on the part of the SQ agents. In response, the Respondent filed a motion to have the Appellant’s action dismissed on grounds that the Appellant had already been entirely indemnified in accordance with the </w:t>
      </w:r>
      <w:r w:rsidRPr="00EF295C">
        <w:rPr>
          <w:iCs/>
          <w:sz w:val="20"/>
          <w:szCs w:val="20"/>
          <w:lang w:val="en"/>
        </w:rPr>
        <w:t>no-fault public automobile insurance scheme set forth under the</w:t>
      </w:r>
      <w:r w:rsidRPr="00EF295C">
        <w:rPr>
          <w:sz w:val="20"/>
          <w:szCs w:val="20"/>
        </w:rPr>
        <w:t xml:space="preserve"> </w:t>
      </w:r>
      <w:r w:rsidRPr="00EF295C">
        <w:rPr>
          <w:i/>
          <w:iCs/>
          <w:sz w:val="20"/>
          <w:szCs w:val="20"/>
        </w:rPr>
        <w:t>Automobile Insurance Act</w:t>
      </w:r>
      <w:r w:rsidRPr="00EF295C">
        <w:rPr>
          <w:iCs/>
          <w:sz w:val="20"/>
          <w:szCs w:val="20"/>
        </w:rPr>
        <w:t>,</w:t>
      </w:r>
      <w:r w:rsidRPr="00EF295C">
        <w:rPr>
          <w:i/>
          <w:iCs/>
          <w:sz w:val="20"/>
          <w:szCs w:val="20"/>
        </w:rPr>
        <w:t xml:space="preserve"> </w:t>
      </w:r>
      <w:r w:rsidRPr="00EF295C">
        <w:rPr>
          <w:sz w:val="20"/>
          <w:szCs w:val="20"/>
        </w:rPr>
        <w:t xml:space="preserve">CQLR, </w:t>
      </w:r>
      <w:proofErr w:type="gramStart"/>
      <w:r w:rsidRPr="00EF295C">
        <w:rPr>
          <w:sz w:val="20"/>
          <w:szCs w:val="20"/>
        </w:rPr>
        <w:t>c. A-25 (the “Act</w:t>
      </w:r>
      <w:proofErr w:type="gramEnd"/>
      <w:r w:rsidRPr="00EF295C">
        <w:rPr>
          <w:sz w:val="20"/>
          <w:szCs w:val="20"/>
        </w:rPr>
        <w:t>”).</w:t>
      </w:r>
    </w:p>
    <w:p w:rsidR="001608EC" w:rsidRPr="00EF295C" w:rsidRDefault="001608EC" w:rsidP="00782AE4">
      <w:pPr>
        <w:jc w:val="both"/>
        <w:rPr>
          <w:sz w:val="20"/>
          <w:szCs w:val="20"/>
        </w:rPr>
      </w:pPr>
    </w:p>
    <w:p w:rsidR="001608EC" w:rsidRPr="00EF295C" w:rsidRDefault="002E5FCE" w:rsidP="00782AE4">
      <w:pPr>
        <w:jc w:val="both"/>
        <w:rPr>
          <w:sz w:val="20"/>
          <w:szCs w:val="20"/>
          <w:lang w:val="fr-CA"/>
        </w:rPr>
      </w:pPr>
      <w:r>
        <w:rPr>
          <w:sz w:val="20"/>
          <w:szCs w:val="20"/>
          <w:lang w:val="fr-CA"/>
        </w:rPr>
        <w:pict>
          <v:rect id="_x0000_i1077" style="width:2in;height:1pt" o:hrpct="0" o:hralign="center" o:hrstd="t" o:hrnoshade="t" o:hr="t" fillcolor="black [3213]" stroked="f"/>
        </w:pict>
      </w:r>
    </w:p>
    <w:p w:rsidR="00CA0038" w:rsidRPr="00EF295C" w:rsidRDefault="00CA0038" w:rsidP="00782AE4">
      <w:pPr>
        <w:jc w:val="both"/>
        <w:rPr>
          <w:sz w:val="20"/>
          <w:szCs w:val="20"/>
          <w:lang w:val="fr-CA"/>
        </w:rPr>
      </w:pPr>
    </w:p>
    <w:p w:rsidR="00CA0038" w:rsidRPr="00EF295C" w:rsidRDefault="00CA0038" w:rsidP="00782AE4">
      <w:pPr>
        <w:jc w:val="both"/>
        <w:rPr>
          <w:sz w:val="20"/>
          <w:szCs w:val="20"/>
        </w:rPr>
      </w:pPr>
    </w:p>
    <w:p w:rsidR="00CA0038" w:rsidRPr="00EF295C" w:rsidRDefault="00CA0038" w:rsidP="00CA0038">
      <w:pPr>
        <w:widowControl w:val="0"/>
        <w:ind w:left="720" w:hanging="720"/>
        <w:jc w:val="both"/>
        <w:rPr>
          <w:sz w:val="20"/>
          <w:szCs w:val="20"/>
          <w:lang w:val="fr-CA"/>
        </w:rPr>
      </w:pPr>
      <w:r w:rsidRPr="00EF295C">
        <w:rPr>
          <w:b/>
          <w:sz w:val="20"/>
          <w:szCs w:val="20"/>
          <w:lang w:val="fr-CA"/>
        </w:rPr>
        <w:fldChar w:fldCharType="begin"/>
      </w:r>
      <w:r w:rsidRPr="00EF295C">
        <w:rPr>
          <w:sz w:val="20"/>
          <w:szCs w:val="20"/>
          <w:lang w:val="fr-CA"/>
        </w:rPr>
        <w:instrText xml:space="preserve"> SEQ CHAPTER \h \r 1</w:instrText>
      </w:r>
      <w:r w:rsidRPr="00EF295C">
        <w:rPr>
          <w:b/>
          <w:sz w:val="20"/>
          <w:szCs w:val="20"/>
          <w:lang w:val="fr-CA"/>
        </w:rPr>
        <w:fldChar w:fldCharType="end"/>
      </w:r>
      <w:r w:rsidRPr="00EF295C">
        <w:rPr>
          <w:rStyle w:val="SCCFileNumberChar"/>
          <w:sz w:val="20"/>
          <w:szCs w:val="20"/>
          <w:lang w:val="fr-CA"/>
        </w:rPr>
        <w:t>36388</w:t>
      </w:r>
      <w:r w:rsidRPr="00EF295C">
        <w:rPr>
          <w:rStyle w:val="SCCFileNumberChar"/>
          <w:sz w:val="20"/>
          <w:szCs w:val="20"/>
          <w:lang w:val="fr-CA"/>
        </w:rPr>
        <w:tab/>
      </w:r>
      <w:r w:rsidRPr="00EF295C">
        <w:rPr>
          <w:b/>
          <w:i/>
          <w:sz w:val="20"/>
          <w:szCs w:val="20"/>
          <w:lang w:val="fr-CA"/>
        </w:rPr>
        <w:t>Gilles</w:t>
      </w:r>
      <w:r w:rsidRPr="00EF295C">
        <w:rPr>
          <w:i/>
          <w:sz w:val="20"/>
          <w:szCs w:val="20"/>
          <w:lang w:val="fr-CA"/>
        </w:rPr>
        <w:t xml:space="preserve"> </w:t>
      </w:r>
      <w:proofErr w:type="spellStart"/>
      <w:r w:rsidRPr="00EF295C">
        <w:rPr>
          <w:b/>
          <w:i/>
          <w:sz w:val="20"/>
          <w:szCs w:val="20"/>
          <w:lang w:val="fr-CA"/>
        </w:rPr>
        <w:t>Gargantiel</w:t>
      </w:r>
      <w:proofErr w:type="spellEnd"/>
      <w:r w:rsidRPr="00EF295C">
        <w:rPr>
          <w:b/>
          <w:i/>
          <w:sz w:val="20"/>
          <w:szCs w:val="20"/>
          <w:lang w:val="fr-CA"/>
        </w:rPr>
        <w:t xml:space="preserve"> c. Procureure générale du Québec </w:t>
      </w:r>
      <w:r w:rsidRPr="00EF295C">
        <w:rPr>
          <w:i/>
          <w:sz w:val="20"/>
          <w:szCs w:val="20"/>
          <w:lang w:val="fr-CA"/>
        </w:rPr>
        <w:t xml:space="preserve">- </w:t>
      </w:r>
      <w:r w:rsidRPr="00EF295C">
        <w:rPr>
          <w:b/>
          <w:i/>
          <w:sz w:val="20"/>
          <w:szCs w:val="20"/>
          <w:lang w:val="fr-CA"/>
        </w:rPr>
        <w:t>et</w:t>
      </w:r>
      <w:r w:rsidRPr="00EF295C">
        <w:rPr>
          <w:i/>
          <w:sz w:val="20"/>
          <w:szCs w:val="20"/>
          <w:lang w:val="fr-CA"/>
        </w:rPr>
        <w:t xml:space="preserve"> - </w:t>
      </w:r>
      <w:r w:rsidRPr="00EF295C">
        <w:rPr>
          <w:b/>
          <w:i/>
          <w:sz w:val="20"/>
          <w:szCs w:val="20"/>
          <w:lang w:val="fr-CA"/>
        </w:rPr>
        <w:t xml:space="preserve">Société de l'assurance automobile du Québec </w:t>
      </w:r>
      <w:r w:rsidRPr="00EF295C">
        <w:rPr>
          <w:sz w:val="20"/>
          <w:szCs w:val="20"/>
          <w:lang w:val="fr-CA"/>
        </w:rPr>
        <w:t>(Qc) (Civile) (Sur autorisation)</w:t>
      </w:r>
    </w:p>
    <w:p w:rsidR="00CA0038" w:rsidRPr="00EF295C" w:rsidRDefault="00CA0038" w:rsidP="00CA0038">
      <w:pPr>
        <w:widowControl w:val="0"/>
        <w:ind w:left="1440" w:hanging="1440"/>
        <w:jc w:val="both"/>
        <w:rPr>
          <w:sz w:val="20"/>
          <w:szCs w:val="20"/>
          <w:lang w:val="fr-CA"/>
        </w:rPr>
      </w:pPr>
    </w:p>
    <w:p w:rsidR="00CA0038" w:rsidRPr="00EF295C" w:rsidRDefault="00CA0038" w:rsidP="00CA0038">
      <w:pPr>
        <w:jc w:val="both"/>
        <w:rPr>
          <w:sz w:val="20"/>
          <w:szCs w:val="20"/>
          <w:lang w:val="fr-CA"/>
        </w:rPr>
      </w:pPr>
      <w:r w:rsidRPr="00EF295C">
        <w:rPr>
          <w:iCs/>
          <w:sz w:val="20"/>
          <w:szCs w:val="20"/>
          <w:lang w:val="fr-CA"/>
        </w:rPr>
        <w:t xml:space="preserve">Assurance - Assurance automobile - Régime public d’assurance automobile sans égard à la responsabilité - Procédure civile - Moyens de non-recevabilité - L’article 83.57 de la </w:t>
      </w:r>
      <w:r w:rsidRPr="00EF295C">
        <w:rPr>
          <w:i/>
          <w:iCs/>
          <w:sz w:val="20"/>
          <w:szCs w:val="20"/>
          <w:lang w:val="fr-CA"/>
        </w:rPr>
        <w:t>Loi sur l’assurance automobile</w:t>
      </w:r>
      <w:r w:rsidRPr="00EF295C">
        <w:rPr>
          <w:iCs/>
          <w:sz w:val="20"/>
          <w:szCs w:val="20"/>
          <w:lang w:val="fr-CA"/>
        </w:rPr>
        <w:t>, RLRQ, ch. A-25 crée-t-il un moyen de non-recevabilité ou une immunité civile qui empêche une victime d’accident de la route au Québec de poursuivre un tiers qui commet, à la suite de l’accident, un acte de négligence qui cause des blessures nouvelles ou aggravées à la victime de l’accident? - Si la victime d’un accident de la route au Québec fait une réclamation à la Société d’assurance automobile du Québec</w:t>
      </w:r>
      <w:r w:rsidRPr="00EF295C">
        <w:rPr>
          <w:i/>
          <w:iCs/>
          <w:sz w:val="20"/>
          <w:szCs w:val="20"/>
          <w:lang w:val="fr-CA"/>
        </w:rPr>
        <w:t xml:space="preserve"> </w:t>
      </w:r>
      <w:r w:rsidRPr="00EF295C">
        <w:rPr>
          <w:iCs/>
          <w:sz w:val="20"/>
          <w:szCs w:val="20"/>
          <w:lang w:val="fr-CA"/>
        </w:rPr>
        <w:t xml:space="preserve">(« SAAQ ») et encaisse les indemnités reçues de la SAAQ, la victime de l’accident se trouve-t-elle à avoir automatiquement renoncé à intenter un recours civil qu’elle pouvait avoir contre un tiers? - </w:t>
      </w:r>
      <w:r w:rsidRPr="00EF295C">
        <w:rPr>
          <w:i/>
          <w:iCs/>
          <w:sz w:val="20"/>
          <w:szCs w:val="20"/>
          <w:lang w:val="fr-CA"/>
        </w:rPr>
        <w:t>Loi sur l’assurance automobile</w:t>
      </w:r>
      <w:r w:rsidRPr="00EF295C">
        <w:rPr>
          <w:iCs/>
          <w:sz w:val="20"/>
          <w:szCs w:val="20"/>
          <w:lang w:val="fr-CA"/>
        </w:rPr>
        <w:t>,</w:t>
      </w:r>
      <w:r w:rsidRPr="00EF295C">
        <w:rPr>
          <w:i/>
          <w:iCs/>
          <w:sz w:val="20"/>
          <w:szCs w:val="20"/>
          <w:lang w:val="fr-CA"/>
        </w:rPr>
        <w:t xml:space="preserve"> </w:t>
      </w:r>
      <w:r w:rsidRPr="00EF295C">
        <w:rPr>
          <w:iCs/>
          <w:sz w:val="20"/>
          <w:szCs w:val="20"/>
          <w:lang w:val="fr-CA"/>
        </w:rPr>
        <w:t>RLRQ, ch. A-25, art. 83.57</w:t>
      </w:r>
      <w:r w:rsidRPr="00EF295C">
        <w:rPr>
          <w:sz w:val="20"/>
          <w:szCs w:val="20"/>
          <w:lang w:val="fr-CA"/>
        </w:rPr>
        <w:t>.</w:t>
      </w:r>
    </w:p>
    <w:p w:rsidR="00CA0038" w:rsidRPr="00EF295C" w:rsidRDefault="00CA0038" w:rsidP="00CA0038">
      <w:pPr>
        <w:widowControl w:val="0"/>
        <w:jc w:val="both"/>
        <w:rPr>
          <w:sz w:val="20"/>
          <w:szCs w:val="20"/>
          <w:lang w:val="fr-CA"/>
        </w:rPr>
      </w:pPr>
    </w:p>
    <w:p w:rsidR="00CA0038" w:rsidRPr="00EF295C" w:rsidRDefault="00CA0038" w:rsidP="00CA0038">
      <w:pPr>
        <w:autoSpaceDE w:val="0"/>
        <w:autoSpaceDN w:val="0"/>
        <w:adjustRightInd w:val="0"/>
        <w:jc w:val="both"/>
        <w:rPr>
          <w:sz w:val="20"/>
          <w:szCs w:val="20"/>
          <w:lang w:val="fr-CA"/>
        </w:rPr>
      </w:pPr>
      <w:r w:rsidRPr="00EF295C">
        <w:rPr>
          <w:sz w:val="20"/>
          <w:szCs w:val="20"/>
          <w:lang w:val="fr-CA"/>
        </w:rPr>
        <w:t>Le 18 octobre 2009, peu après 18 heures, l’appelant a perdu la maîtrise de son véhicule, a fait une sortie de route et s’est retrouvé dans un massif de buissons près d’une voie ferrée. Quelques minutes plus tard, la Sûreté du Québec</w:t>
      </w:r>
      <w:r w:rsidRPr="00EF295C">
        <w:rPr>
          <w:i/>
          <w:iCs/>
          <w:sz w:val="20"/>
          <w:szCs w:val="20"/>
          <w:lang w:val="fr-CA"/>
        </w:rPr>
        <w:t xml:space="preserve"> </w:t>
      </w:r>
      <w:r w:rsidRPr="00EF295C">
        <w:rPr>
          <w:sz w:val="20"/>
          <w:szCs w:val="20"/>
          <w:lang w:val="fr-CA"/>
        </w:rPr>
        <w:t xml:space="preserve">(« SQ ») a été avisée de l’accident par le système </w:t>
      </w:r>
      <w:proofErr w:type="spellStart"/>
      <w:r w:rsidRPr="00EF295C">
        <w:rPr>
          <w:sz w:val="20"/>
          <w:szCs w:val="20"/>
          <w:lang w:val="fr-CA"/>
        </w:rPr>
        <w:t>OnStar</w:t>
      </w:r>
      <w:proofErr w:type="spellEnd"/>
      <w:r w:rsidRPr="00EF295C">
        <w:rPr>
          <w:sz w:val="20"/>
          <w:szCs w:val="20"/>
          <w:lang w:val="fr-CA"/>
        </w:rPr>
        <w:t xml:space="preserve"> qui a fourni les coordonnées GPS précises du lieu de l’accident et de l’automobile du demandeur. Dans les deux heures qui ont suivi l’accident, les agents de la SQ n’ont pas réussi à localiser l’appelant et son automobile, ne s’étant jamais arrêtés pour faire des recherches à l’endroit précis que leur avaient indiqué les coordonnées GPS, et clairement agacés par les appels répétés du système </w:t>
      </w:r>
      <w:proofErr w:type="spellStart"/>
      <w:r w:rsidRPr="00EF295C">
        <w:rPr>
          <w:sz w:val="20"/>
          <w:szCs w:val="20"/>
          <w:lang w:val="fr-CA"/>
        </w:rPr>
        <w:t>OnStar</w:t>
      </w:r>
      <w:proofErr w:type="spellEnd"/>
      <w:r w:rsidRPr="00EF295C">
        <w:rPr>
          <w:sz w:val="20"/>
          <w:szCs w:val="20"/>
          <w:lang w:val="fr-CA"/>
        </w:rPr>
        <w:t xml:space="preserve">. On met fin aux recherches et ce n’est qu’environ deux jours plus tard qu’un cheminot, effectuant une inspection de routine de la voie, trouve l’appelant à demi inconscient. L’appelant a subséquemment été traité pour des blessures graves, entraînant notamment l’amputation partielle de sa jambe droite en raison d’engelures. L’appelant a intenté contre l’intimé une poursuite en dommages-intérêts, alléguant la négligence des agents de la SQ. En réponse, l’intimé a déposé une requête en rejet de l’action, alléguant que l’appelant avait déjà été entièrement indemnisé en application du régime public d’assurance automobile sans égard à la responsabilité établi par la </w:t>
      </w:r>
      <w:r w:rsidRPr="00EF295C">
        <w:rPr>
          <w:i/>
          <w:iCs/>
          <w:sz w:val="20"/>
          <w:szCs w:val="20"/>
          <w:lang w:val="fr-CA"/>
        </w:rPr>
        <w:t>Loi sur l’assurance automobile</w:t>
      </w:r>
      <w:r w:rsidRPr="00EF295C">
        <w:rPr>
          <w:iCs/>
          <w:sz w:val="20"/>
          <w:szCs w:val="20"/>
          <w:lang w:val="fr-CA"/>
        </w:rPr>
        <w:t>,</w:t>
      </w:r>
      <w:r w:rsidRPr="00EF295C">
        <w:rPr>
          <w:i/>
          <w:iCs/>
          <w:sz w:val="20"/>
          <w:szCs w:val="20"/>
          <w:lang w:val="fr-CA"/>
        </w:rPr>
        <w:t xml:space="preserve"> </w:t>
      </w:r>
      <w:r w:rsidRPr="00EF295C">
        <w:rPr>
          <w:sz w:val="20"/>
          <w:szCs w:val="20"/>
          <w:lang w:val="fr-CA"/>
        </w:rPr>
        <w:t>RLRQ, ch. A-25.</w:t>
      </w:r>
    </w:p>
    <w:p w:rsidR="001608EC" w:rsidRPr="00EF295C" w:rsidRDefault="001608EC" w:rsidP="00782AE4">
      <w:pPr>
        <w:jc w:val="both"/>
        <w:rPr>
          <w:sz w:val="20"/>
          <w:szCs w:val="20"/>
        </w:rPr>
      </w:pPr>
    </w:p>
    <w:p w:rsidR="001608EC" w:rsidRPr="00EF295C" w:rsidRDefault="002E5FCE" w:rsidP="00782AE4">
      <w:pPr>
        <w:jc w:val="both"/>
        <w:rPr>
          <w:sz w:val="20"/>
          <w:szCs w:val="20"/>
        </w:rPr>
      </w:pPr>
      <w:r>
        <w:rPr>
          <w:sz w:val="20"/>
          <w:szCs w:val="20"/>
          <w:lang w:val="fr-CA"/>
        </w:rPr>
        <w:pict>
          <v:rect id="_x0000_i1078" style="width:2in;height:1pt" o:hrpct="0" o:hralign="center" o:hrstd="t" o:hrnoshade="t" o:hr="t" fillcolor="black [3213]" stroked="f"/>
        </w:pict>
      </w:r>
    </w:p>
    <w:p w:rsidR="001608EC" w:rsidRPr="00EF295C" w:rsidRDefault="001608EC" w:rsidP="00782AE4">
      <w:pPr>
        <w:jc w:val="both"/>
        <w:rPr>
          <w:sz w:val="20"/>
          <w:szCs w:val="20"/>
        </w:rPr>
      </w:pPr>
    </w:p>
    <w:p w:rsidR="00CA0038" w:rsidRPr="00EF295C" w:rsidRDefault="00CA0038">
      <w:pPr>
        <w:rPr>
          <w:sz w:val="20"/>
          <w:szCs w:val="20"/>
        </w:rPr>
      </w:pPr>
      <w:r w:rsidRPr="00EF295C">
        <w:rPr>
          <w:sz w:val="20"/>
          <w:szCs w:val="20"/>
        </w:rPr>
        <w:br w:type="page"/>
      </w:r>
    </w:p>
    <w:p w:rsidR="000304EA" w:rsidRPr="00EF295C" w:rsidRDefault="000304EA" w:rsidP="000304EA">
      <w:pPr>
        <w:pStyle w:val="SCCLsocParty"/>
        <w:rPr>
          <w:sz w:val="20"/>
          <w:szCs w:val="20"/>
        </w:rPr>
      </w:pPr>
      <w:r w:rsidRPr="00EF295C">
        <w:rPr>
          <w:rStyle w:val="SCCFileNumberChar"/>
          <w:b/>
          <w:sz w:val="20"/>
          <w:szCs w:val="20"/>
          <w:lang w:val="fr-CA"/>
        </w:rPr>
        <w:lastRenderedPageBreak/>
        <w:t>36694</w:t>
      </w:r>
      <w:r w:rsidRPr="00EF295C">
        <w:rPr>
          <w:rStyle w:val="SCCFileNumberChar"/>
          <w:b/>
          <w:sz w:val="20"/>
          <w:szCs w:val="20"/>
          <w:lang w:val="fr-CA"/>
        </w:rPr>
        <w:tab/>
      </w:r>
      <w:r w:rsidRPr="00EF295C">
        <w:rPr>
          <w:i/>
          <w:sz w:val="20"/>
          <w:szCs w:val="20"/>
          <w:lang w:val="fr-CA"/>
        </w:rPr>
        <w:t xml:space="preserve">Alain </w:t>
      </w:r>
      <w:proofErr w:type="spellStart"/>
      <w:r w:rsidRPr="00EF295C">
        <w:rPr>
          <w:i/>
          <w:sz w:val="20"/>
          <w:szCs w:val="20"/>
          <w:lang w:val="fr-CA"/>
        </w:rPr>
        <w:t>Ostiguy</w:t>
      </w:r>
      <w:proofErr w:type="spellEnd"/>
      <w:r w:rsidRPr="00EF295C">
        <w:rPr>
          <w:i/>
          <w:sz w:val="20"/>
          <w:szCs w:val="20"/>
          <w:lang w:val="fr-CA"/>
        </w:rPr>
        <w:t xml:space="preserve"> and Valérie Savard v. Hélène Allie </w:t>
      </w:r>
      <w:r w:rsidRPr="00EF295C">
        <w:rPr>
          <w:b w:val="0"/>
          <w:sz w:val="20"/>
          <w:szCs w:val="20"/>
          <w:lang w:val="fr-CA"/>
        </w:rPr>
        <w:t xml:space="preserve">(Que.) </w:t>
      </w:r>
      <w:r w:rsidRPr="00EF295C">
        <w:rPr>
          <w:b w:val="0"/>
          <w:sz w:val="20"/>
          <w:szCs w:val="20"/>
        </w:rPr>
        <w:t>(Civil) (By Leave)</w:t>
      </w:r>
    </w:p>
    <w:p w:rsidR="000304EA" w:rsidRPr="00EF295C" w:rsidRDefault="000304EA" w:rsidP="000304EA"/>
    <w:p w:rsidR="000304EA" w:rsidRPr="00EF295C" w:rsidRDefault="000304EA" w:rsidP="000304EA">
      <w:pPr>
        <w:jc w:val="both"/>
        <w:rPr>
          <w:sz w:val="20"/>
          <w:szCs w:val="20"/>
        </w:rPr>
      </w:pPr>
      <w:r w:rsidRPr="00EF295C">
        <w:rPr>
          <w:sz w:val="20"/>
          <w:szCs w:val="20"/>
        </w:rPr>
        <w:t xml:space="preserve">Prescription - Immovable - Publication of rights - Acquisition of edge of property used for parking by way of acquisitive prescription - Whether Court of Appeal erred in finding that art. 2918 of </w:t>
      </w:r>
      <w:r w:rsidRPr="00EF295C">
        <w:rPr>
          <w:i/>
          <w:sz w:val="20"/>
          <w:szCs w:val="20"/>
        </w:rPr>
        <w:t>Civil Code of Québec</w:t>
      </w:r>
      <w:r w:rsidRPr="00EF295C">
        <w:rPr>
          <w:sz w:val="20"/>
          <w:szCs w:val="20"/>
        </w:rPr>
        <w:t xml:space="preserve"> did not change law that applied under </w:t>
      </w:r>
      <w:r w:rsidRPr="00EF295C">
        <w:rPr>
          <w:i/>
          <w:sz w:val="20"/>
          <w:szCs w:val="20"/>
        </w:rPr>
        <w:t>Civil Code of Lower Canada</w:t>
      </w:r>
      <w:r w:rsidRPr="00EF295C">
        <w:rPr>
          <w:sz w:val="20"/>
          <w:szCs w:val="20"/>
        </w:rPr>
        <w:t xml:space="preserve">, in sense that possessor’s effective possession can be set up against owner whose title is registered in land register regardless of whether registration occurs after acquisitive prescription period of ten (10) years and even before judicial application required by art. 2918 C.C.Q - Arts. 921, 922, 2910, 2918, 2938, 2941, 2943, 2944, 2946, 2957 and 2963, </w:t>
      </w:r>
      <w:r w:rsidRPr="00EF295C">
        <w:rPr>
          <w:i/>
          <w:sz w:val="20"/>
          <w:szCs w:val="20"/>
        </w:rPr>
        <w:t>Civil Code of Québec</w:t>
      </w:r>
      <w:r w:rsidRPr="00EF295C">
        <w:rPr>
          <w:sz w:val="20"/>
          <w:szCs w:val="20"/>
        </w:rPr>
        <w:t xml:space="preserve">, CQLR, c. C-1991 - Arts. 805 and 806, </w:t>
      </w:r>
      <w:r w:rsidRPr="00EF295C">
        <w:rPr>
          <w:i/>
          <w:sz w:val="20"/>
          <w:szCs w:val="20"/>
        </w:rPr>
        <w:t>Code of Civil Procedure</w:t>
      </w:r>
      <w:r w:rsidRPr="00EF295C">
        <w:rPr>
          <w:sz w:val="20"/>
          <w:szCs w:val="20"/>
        </w:rPr>
        <w:t xml:space="preserve">, CQLR, c. C-25 - Art. 468, </w:t>
      </w:r>
      <w:r w:rsidRPr="00EF295C">
        <w:rPr>
          <w:i/>
          <w:sz w:val="20"/>
          <w:szCs w:val="20"/>
        </w:rPr>
        <w:t>Code of Civil Procedure</w:t>
      </w:r>
      <w:r w:rsidRPr="00EF295C">
        <w:rPr>
          <w:sz w:val="20"/>
          <w:szCs w:val="20"/>
        </w:rPr>
        <w:t>, CQLR, c. C-25.01.</w:t>
      </w:r>
    </w:p>
    <w:p w:rsidR="000304EA" w:rsidRPr="00EF295C" w:rsidRDefault="000304EA" w:rsidP="000304EA">
      <w:pPr>
        <w:jc w:val="both"/>
        <w:rPr>
          <w:sz w:val="20"/>
          <w:szCs w:val="20"/>
        </w:rPr>
      </w:pPr>
    </w:p>
    <w:p w:rsidR="001608EC" w:rsidRPr="00EF295C" w:rsidRDefault="000304EA" w:rsidP="000304EA">
      <w:pPr>
        <w:jc w:val="both"/>
        <w:rPr>
          <w:sz w:val="20"/>
          <w:szCs w:val="20"/>
        </w:rPr>
      </w:pPr>
      <w:r w:rsidRPr="00EF295C">
        <w:rPr>
          <w:sz w:val="20"/>
          <w:szCs w:val="20"/>
        </w:rPr>
        <w:t>The appellants, Mr. </w:t>
      </w:r>
      <w:proofErr w:type="spellStart"/>
      <w:r w:rsidRPr="00EF295C">
        <w:rPr>
          <w:sz w:val="20"/>
          <w:szCs w:val="20"/>
        </w:rPr>
        <w:t>Ostiguy</w:t>
      </w:r>
      <w:proofErr w:type="spellEnd"/>
      <w:r w:rsidRPr="00EF295C">
        <w:rPr>
          <w:sz w:val="20"/>
          <w:szCs w:val="20"/>
        </w:rPr>
        <w:t xml:space="preserve"> and Ms. Savard, purchased a mountainside chalet on Mont Brome in </w:t>
      </w:r>
      <w:proofErr w:type="spellStart"/>
      <w:r w:rsidRPr="00EF295C">
        <w:rPr>
          <w:sz w:val="20"/>
          <w:szCs w:val="20"/>
        </w:rPr>
        <w:t>Bromont</w:t>
      </w:r>
      <w:proofErr w:type="spellEnd"/>
      <w:r w:rsidRPr="00EF295C">
        <w:rPr>
          <w:sz w:val="20"/>
          <w:szCs w:val="20"/>
        </w:rPr>
        <w:t xml:space="preserve">, Quebec in 2011. A few months after they arrived, they noticed that their parking space, which could hold up to four cars, was being used by the son of the respondent, Ms. Allie. They gave the respondent’s son formal notice to stop using their parking space. Because he continued to use it, the appellants applied to the Superior Court for a permanent injunction to assert the registration of their title of ownership in the register of land rights against the respondent. In a cross demand, the respondent claimed ownership of half of the appellants’ parking space by way of acquisitive prescription under the </w:t>
      </w:r>
      <w:r w:rsidRPr="00EF295C">
        <w:rPr>
          <w:i/>
          <w:sz w:val="20"/>
          <w:szCs w:val="20"/>
        </w:rPr>
        <w:t>Civil Code of Québec</w:t>
      </w:r>
      <w:r w:rsidRPr="00EF295C">
        <w:rPr>
          <w:sz w:val="20"/>
          <w:szCs w:val="20"/>
        </w:rPr>
        <w:t>.</w:t>
      </w:r>
    </w:p>
    <w:p w:rsidR="001608EC" w:rsidRPr="00EF295C" w:rsidRDefault="001608EC" w:rsidP="00782AE4">
      <w:pPr>
        <w:jc w:val="both"/>
        <w:rPr>
          <w:sz w:val="20"/>
          <w:szCs w:val="20"/>
        </w:rPr>
      </w:pPr>
    </w:p>
    <w:p w:rsidR="001608EC" w:rsidRPr="00EF295C" w:rsidRDefault="002E5FCE" w:rsidP="00782AE4">
      <w:pPr>
        <w:jc w:val="both"/>
        <w:rPr>
          <w:sz w:val="20"/>
          <w:szCs w:val="20"/>
          <w:lang w:val="fr-CA"/>
        </w:rPr>
      </w:pPr>
      <w:r>
        <w:rPr>
          <w:sz w:val="20"/>
          <w:szCs w:val="20"/>
          <w:lang w:val="fr-CA"/>
        </w:rPr>
        <w:pict>
          <v:rect id="_x0000_i1079" style="width:2in;height:1pt" o:hrpct="0" o:hralign="center" o:hrstd="t" o:hrnoshade="t" o:hr="t" fillcolor="black [3213]" stroked="f"/>
        </w:pict>
      </w:r>
    </w:p>
    <w:p w:rsidR="000304EA" w:rsidRPr="00EF295C" w:rsidRDefault="000304EA" w:rsidP="00782AE4">
      <w:pPr>
        <w:jc w:val="both"/>
        <w:rPr>
          <w:sz w:val="20"/>
          <w:szCs w:val="20"/>
          <w:lang w:val="fr-CA"/>
        </w:rPr>
      </w:pPr>
    </w:p>
    <w:p w:rsidR="000304EA" w:rsidRPr="00EF295C" w:rsidRDefault="000304EA" w:rsidP="000304EA">
      <w:pPr>
        <w:pStyle w:val="SCCLsocParty"/>
        <w:rPr>
          <w:b w:val="0"/>
          <w:sz w:val="20"/>
          <w:szCs w:val="20"/>
          <w:lang w:val="fr-CA"/>
        </w:rPr>
      </w:pPr>
      <w:r w:rsidRPr="00EF295C">
        <w:rPr>
          <w:rStyle w:val="SCCFileNumberChar"/>
          <w:b/>
          <w:sz w:val="20"/>
          <w:szCs w:val="20"/>
          <w:lang w:val="fr-CA"/>
        </w:rPr>
        <w:t>36694</w:t>
      </w:r>
      <w:r w:rsidRPr="00EF295C">
        <w:rPr>
          <w:rStyle w:val="SCCFileNumberChar"/>
          <w:sz w:val="20"/>
          <w:szCs w:val="20"/>
          <w:lang w:val="fr-CA"/>
        </w:rPr>
        <w:tab/>
      </w:r>
      <w:r w:rsidRPr="00EF295C">
        <w:rPr>
          <w:i/>
          <w:sz w:val="20"/>
          <w:szCs w:val="20"/>
          <w:lang w:val="fr-CA"/>
        </w:rPr>
        <w:t xml:space="preserve">Alain </w:t>
      </w:r>
      <w:proofErr w:type="spellStart"/>
      <w:r w:rsidRPr="00EF295C">
        <w:rPr>
          <w:i/>
          <w:sz w:val="20"/>
          <w:szCs w:val="20"/>
          <w:lang w:val="fr-CA"/>
        </w:rPr>
        <w:t>Ostiguy</w:t>
      </w:r>
      <w:proofErr w:type="spellEnd"/>
      <w:r w:rsidRPr="00EF295C">
        <w:rPr>
          <w:i/>
          <w:sz w:val="20"/>
          <w:szCs w:val="20"/>
          <w:lang w:val="fr-CA"/>
        </w:rPr>
        <w:t xml:space="preserve"> et Valérie Savard c. Hélène Allie </w:t>
      </w:r>
      <w:r w:rsidRPr="00EF295C">
        <w:rPr>
          <w:b w:val="0"/>
          <w:sz w:val="20"/>
          <w:szCs w:val="20"/>
          <w:lang w:val="fr-CA"/>
        </w:rPr>
        <w:t>(Qc) (Civile) (Autorisation)</w:t>
      </w:r>
    </w:p>
    <w:p w:rsidR="000304EA" w:rsidRPr="00EF295C" w:rsidRDefault="000304EA" w:rsidP="000304EA">
      <w:pPr>
        <w:rPr>
          <w:lang w:val="fr-CA"/>
        </w:rPr>
      </w:pPr>
    </w:p>
    <w:p w:rsidR="000304EA" w:rsidRPr="00EF295C" w:rsidRDefault="000304EA" w:rsidP="003124C3">
      <w:pPr>
        <w:jc w:val="both"/>
        <w:rPr>
          <w:sz w:val="20"/>
          <w:szCs w:val="20"/>
          <w:lang w:val="fr-CA"/>
        </w:rPr>
      </w:pPr>
      <w:r w:rsidRPr="00EF295C">
        <w:rPr>
          <w:sz w:val="20"/>
          <w:szCs w:val="20"/>
          <w:lang w:val="fr-CA"/>
        </w:rPr>
        <w:t xml:space="preserve">Prescription - Bien immeuble - Publicité des droits - Acquisition d’une bordure de terrain servant de stationnement par prescription acquisitive - La Cour d’appel a-t-elle erré en concluant que l’article 2918 du </w:t>
      </w:r>
      <w:r w:rsidRPr="00EF295C">
        <w:rPr>
          <w:i/>
          <w:sz w:val="20"/>
          <w:szCs w:val="20"/>
          <w:lang w:val="fr-CA"/>
        </w:rPr>
        <w:t>Code civil du Québec</w:t>
      </w:r>
      <w:r w:rsidRPr="00EF295C">
        <w:rPr>
          <w:sz w:val="20"/>
          <w:szCs w:val="20"/>
          <w:lang w:val="fr-CA"/>
        </w:rPr>
        <w:t xml:space="preserve"> ne modifiait pas le droit prévalant sous le </w:t>
      </w:r>
      <w:r w:rsidRPr="00EF295C">
        <w:rPr>
          <w:i/>
          <w:sz w:val="20"/>
          <w:szCs w:val="20"/>
          <w:lang w:val="fr-CA"/>
        </w:rPr>
        <w:t>Code civil du Bas-Canada</w:t>
      </w:r>
      <w:r w:rsidRPr="00EF295C">
        <w:rPr>
          <w:sz w:val="20"/>
          <w:szCs w:val="20"/>
          <w:lang w:val="fr-CA"/>
        </w:rPr>
        <w:t xml:space="preserve">, en ce que la possession utile d’un possesseur est opposable au propriétaire dont le titre est inscrit au registre foncier, peu importe que cette inscription survienne après le délai acquisitif de dix (10) ans et même avant la demande en justice requise en vertu de l’art. 2918 </w:t>
      </w:r>
      <w:proofErr w:type="spellStart"/>
      <w:r w:rsidRPr="00EF295C">
        <w:rPr>
          <w:sz w:val="20"/>
          <w:szCs w:val="20"/>
          <w:lang w:val="fr-CA"/>
        </w:rPr>
        <w:t>C.c.Q</w:t>
      </w:r>
      <w:proofErr w:type="spellEnd"/>
      <w:r w:rsidRPr="00EF295C">
        <w:rPr>
          <w:sz w:val="20"/>
          <w:szCs w:val="20"/>
          <w:lang w:val="fr-CA"/>
        </w:rPr>
        <w:t xml:space="preserve">.? - Art. 921, 922, 2910, 2918, 2938, 2941, 2943, 2944, 2946, 2957 et 2963, </w:t>
      </w:r>
      <w:r w:rsidRPr="00EF295C">
        <w:rPr>
          <w:i/>
          <w:sz w:val="20"/>
          <w:szCs w:val="20"/>
          <w:lang w:val="fr-CA"/>
        </w:rPr>
        <w:t>Code civil du Québec</w:t>
      </w:r>
      <w:r w:rsidRPr="00EF295C">
        <w:rPr>
          <w:sz w:val="20"/>
          <w:szCs w:val="20"/>
          <w:lang w:val="fr-CA"/>
        </w:rPr>
        <w:t xml:space="preserve">, RLRQ, c. C-1991 - Art. 805 et 806, </w:t>
      </w:r>
      <w:r w:rsidRPr="00EF295C">
        <w:rPr>
          <w:i/>
          <w:sz w:val="20"/>
          <w:szCs w:val="20"/>
          <w:lang w:val="fr-CA"/>
        </w:rPr>
        <w:t>Code de procédure civile</w:t>
      </w:r>
      <w:r w:rsidRPr="00EF295C">
        <w:rPr>
          <w:sz w:val="20"/>
          <w:szCs w:val="20"/>
          <w:lang w:val="fr-CA"/>
        </w:rPr>
        <w:t xml:space="preserve">, RLRQ, c. C-25 - Art. 468, </w:t>
      </w:r>
      <w:r w:rsidRPr="00EF295C">
        <w:rPr>
          <w:i/>
          <w:sz w:val="20"/>
          <w:szCs w:val="20"/>
          <w:lang w:val="fr-CA"/>
        </w:rPr>
        <w:t>Code de procédure civile</w:t>
      </w:r>
      <w:r w:rsidRPr="00EF295C">
        <w:rPr>
          <w:sz w:val="20"/>
          <w:szCs w:val="20"/>
          <w:lang w:val="fr-CA"/>
        </w:rPr>
        <w:t>, RLRQ, c. C-25.01.</w:t>
      </w:r>
    </w:p>
    <w:p w:rsidR="000304EA" w:rsidRPr="00EF295C" w:rsidRDefault="000304EA" w:rsidP="000304EA">
      <w:pPr>
        <w:rPr>
          <w:sz w:val="20"/>
          <w:szCs w:val="20"/>
          <w:lang w:val="fr-CA"/>
        </w:rPr>
      </w:pPr>
    </w:p>
    <w:p w:rsidR="000304EA" w:rsidRPr="00EF295C" w:rsidRDefault="000304EA" w:rsidP="000304EA">
      <w:pPr>
        <w:jc w:val="both"/>
        <w:rPr>
          <w:sz w:val="20"/>
          <w:szCs w:val="20"/>
          <w:lang w:val="fr-CA"/>
        </w:rPr>
      </w:pPr>
      <w:r w:rsidRPr="00EF295C">
        <w:rPr>
          <w:sz w:val="20"/>
          <w:szCs w:val="20"/>
          <w:lang w:val="fr-CA"/>
        </w:rPr>
        <w:t>Les appelants, M. </w:t>
      </w:r>
      <w:proofErr w:type="spellStart"/>
      <w:r w:rsidRPr="00EF295C">
        <w:rPr>
          <w:sz w:val="20"/>
          <w:szCs w:val="20"/>
          <w:lang w:val="fr-CA"/>
        </w:rPr>
        <w:t>Ostiguy</w:t>
      </w:r>
      <w:proofErr w:type="spellEnd"/>
      <w:r w:rsidRPr="00EF295C">
        <w:rPr>
          <w:sz w:val="20"/>
          <w:szCs w:val="20"/>
          <w:lang w:val="fr-CA"/>
        </w:rPr>
        <w:t xml:space="preserve"> et Mme Savard, ont fait l’acquisition d’un chalet construit à flanc de montagne sur le Mont Brome à Bromont, Province de Québec en 2011. Quelques mois après leur arrivée, ils constatent que leur espace de stationnement pouvant accommoder jusqu’à quatre voitures est utilisé par le fils de l’intimée, Mme Allie. En conséquence, ils enjoignent le fils de l’intimée, par mise en demeure, de ne plus utiliser leur espace de stationnement. En raison de la persistance du comportement du fils de l’intimée, les appelants ont déposé en Cour supérieure une demande d’injonction permanente afin de faire valoir l’enregistrement de leur titre de propriété au registre des droits fonciers à l’encontre de l’intimée. En demande reconventionnelle, l’intimée réclame la propriété de la moitié de l’espace de stationnement des appelants par prescription acquisitive aux termes du </w:t>
      </w:r>
      <w:r w:rsidRPr="00EF295C">
        <w:rPr>
          <w:i/>
          <w:sz w:val="20"/>
          <w:szCs w:val="20"/>
          <w:lang w:val="fr-CA"/>
        </w:rPr>
        <w:t>Code civil du Québec</w:t>
      </w:r>
      <w:r w:rsidRPr="00EF295C">
        <w:rPr>
          <w:sz w:val="20"/>
          <w:szCs w:val="20"/>
          <w:lang w:val="fr-CA"/>
        </w:rPr>
        <w:t>.</w:t>
      </w:r>
    </w:p>
    <w:p w:rsidR="000304EA" w:rsidRPr="00EF295C" w:rsidRDefault="000304EA" w:rsidP="000304EA">
      <w:pPr>
        <w:jc w:val="both"/>
        <w:rPr>
          <w:sz w:val="20"/>
          <w:szCs w:val="20"/>
          <w:lang w:val="fr-CA"/>
        </w:rPr>
      </w:pPr>
    </w:p>
    <w:p w:rsidR="000304EA" w:rsidRPr="00EF295C" w:rsidRDefault="002E5FCE" w:rsidP="000304EA">
      <w:pPr>
        <w:jc w:val="both"/>
        <w:rPr>
          <w:sz w:val="20"/>
          <w:szCs w:val="20"/>
          <w:lang w:val="fr-CA"/>
        </w:rPr>
      </w:pPr>
      <w:r>
        <w:rPr>
          <w:sz w:val="20"/>
          <w:szCs w:val="20"/>
          <w:lang w:val="fr-CA"/>
        </w:rPr>
        <w:pict>
          <v:rect id="_x0000_i1080" style="width:2in;height:1pt" o:hrpct="0" o:hralign="center" o:hrstd="t" o:hrnoshade="t" o:hr="t" fillcolor="black [3213]" stroked="f"/>
        </w:pict>
      </w:r>
    </w:p>
    <w:p w:rsidR="000304EA" w:rsidRPr="00EF295C" w:rsidRDefault="000304EA" w:rsidP="000304EA">
      <w:pPr>
        <w:jc w:val="both"/>
        <w:rPr>
          <w:sz w:val="20"/>
          <w:szCs w:val="20"/>
          <w:lang w:val="fr-CA"/>
        </w:rPr>
      </w:pPr>
    </w:p>
    <w:p w:rsidR="000304EA" w:rsidRPr="00EF295C" w:rsidRDefault="000304EA">
      <w:pPr>
        <w:rPr>
          <w:sz w:val="20"/>
          <w:szCs w:val="20"/>
          <w:lang w:val="fr-CA"/>
        </w:rPr>
      </w:pPr>
      <w:r w:rsidRPr="00EF295C">
        <w:rPr>
          <w:sz w:val="20"/>
          <w:szCs w:val="20"/>
          <w:lang w:val="fr-CA"/>
        </w:rPr>
        <w:br w:type="page"/>
      </w:r>
    </w:p>
    <w:p w:rsidR="000304EA" w:rsidRPr="00EF295C" w:rsidRDefault="000304EA" w:rsidP="000304EA">
      <w:pPr>
        <w:pStyle w:val="SCCLsocParty"/>
        <w:ind w:left="630" w:hanging="630"/>
        <w:rPr>
          <w:b w:val="0"/>
          <w:sz w:val="20"/>
        </w:rPr>
      </w:pPr>
      <w:r w:rsidRPr="00EF295C">
        <w:rPr>
          <w:sz w:val="20"/>
          <w:szCs w:val="20"/>
        </w:rPr>
        <w:lastRenderedPageBreak/>
        <w:t>36999</w:t>
      </w:r>
      <w:r w:rsidRPr="00EF295C">
        <w:rPr>
          <w:sz w:val="20"/>
        </w:rPr>
        <w:tab/>
      </w:r>
      <w:r w:rsidRPr="00EF295C">
        <w:rPr>
          <w:i/>
          <w:sz w:val="20"/>
          <w:szCs w:val="20"/>
          <w:lang w:val="en-US"/>
        </w:rPr>
        <w:t>The</w:t>
      </w:r>
      <w:r w:rsidRPr="00EF295C">
        <w:rPr>
          <w:i/>
          <w:sz w:val="20"/>
          <w:szCs w:val="20"/>
        </w:rPr>
        <w:t xml:space="preserve"> Corporation of the City of Nelson v. Mary Geraldine </w:t>
      </w:r>
      <w:proofErr w:type="spellStart"/>
      <w:r w:rsidRPr="00EF295C">
        <w:rPr>
          <w:i/>
          <w:sz w:val="20"/>
          <w:szCs w:val="20"/>
        </w:rPr>
        <w:t>Mowatt</w:t>
      </w:r>
      <w:proofErr w:type="spellEnd"/>
      <w:r w:rsidRPr="00EF295C">
        <w:rPr>
          <w:i/>
          <w:sz w:val="20"/>
          <w:szCs w:val="20"/>
        </w:rPr>
        <w:t xml:space="preserve"> and Earl Wayne </w:t>
      </w:r>
      <w:proofErr w:type="spellStart"/>
      <w:r w:rsidRPr="00EF295C">
        <w:rPr>
          <w:i/>
          <w:sz w:val="20"/>
          <w:szCs w:val="20"/>
        </w:rPr>
        <w:t>Mowatt</w:t>
      </w:r>
      <w:proofErr w:type="spellEnd"/>
      <w:r w:rsidRPr="00EF295C">
        <w:rPr>
          <w:i/>
          <w:sz w:val="20"/>
        </w:rPr>
        <w:t xml:space="preserve"> </w:t>
      </w:r>
      <w:r w:rsidRPr="00EF295C">
        <w:rPr>
          <w:b w:val="0"/>
          <w:sz w:val="20"/>
          <w:szCs w:val="20"/>
        </w:rPr>
        <w:t>(B.C.) (Civil) (By Leave)</w:t>
      </w:r>
    </w:p>
    <w:p w:rsidR="000304EA" w:rsidRPr="00EF295C" w:rsidRDefault="000304EA" w:rsidP="000304EA">
      <w:pPr>
        <w:rPr>
          <w:lang w:eastAsia="en-CA"/>
        </w:rPr>
      </w:pPr>
    </w:p>
    <w:p w:rsidR="000304EA" w:rsidRPr="00EF295C" w:rsidRDefault="000304EA" w:rsidP="00BC41EA">
      <w:pPr>
        <w:jc w:val="both"/>
        <w:rPr>
          <w:sz w:val="20"/>
          <w:szCs w:val="20"/>
        </w:rPr>
      </w:pPr>
      <w:r w:rsidRPr="00EF295C">
        <w:rPr>
          <w:sz w:val="20"/>
          <w:szCs w:val="20"/>
        </w:rPr>
        <w:t xml:space="preserve">Property - Real property - Acquisition of title by way of adverse possession - Does s. 20 of the </w:t>
      </w:r>
      <w:r w:rsidRPr="00EF295C">
        <w:rPr>
          <w:i/>
          <w:sz w:val="20"/>
          <w:szCs w:val="20"/>
        </w:rPr>
        <w:t>Land Title Act</w:t>
      </w:r>
      <w:r w:rsidRPr="00EF295C">
        <w:rPr>
          <w:sz w:val="20"/>
          <w:szCs w:val="20"/>
        </w:rPr>
        <w:t xml:space="preserve">, preclude de </w:t>
      </w:r>
      <w:proofErr w:type="spellStart"/>
      <w:r w:rsidRPr="00EF295C">
        <w:rPr>
          <w:sz w:val="20"/>
          <w:szCs w:val="20"/>
        </w:rPr>
        <w:t>Mowatts</w:t>
      </w:r>
      <w:proofErr w:type="spellEnd"/>
      <w:r w:rsidRPr="00EF295C">
        <w:rPr>
          <w:sz w:val="20"/>
          <w:szCs w:val="20"/>
        </w:rPr>
        <w:t xml:space="preserve"> from asserting title to the Disputed Area? - Is the doctrine of inconsistent use fatal to the </w:t>
      </w:r>
      <w:proofErr w:type="spellStart"/>
      <w:r w:rsidRPr="00EF295C">
        <w:rPr>
          <w:sz w:val="20"/>
          <w:szCs w:val="20"/>
        </w:rPr>
        <w:t>Mowatts</w:t>
      </w:r>
      <w:proofErr w:type="spellEnd"/>
      <w:r w:rsidRPr="00EF295C">
        <w:rPr>
          <w:sz w:val="20"/>
          <w:szCs w:val="20"/>
        </w:rPr>
        <w:t>’ historical adverse possession argument? - Did the Court of Appeal err in substituting its view of whether there was continuous adverse possession for that of Kelleher J.?</w:t>
      </w:r>
    </w:p>
    <w:p w:rsidR="000304EA" w:rsidRPr="00EF295C" w:rsidRDefault="000304EA" w:rsidP="000304EA">
      <w:pPr>
        <w:rPr>
          <w:sz w:val="20"/>
          <w:szCs w:val="20"/>
        </w:rPr>
      </w:pPr>
    </w:p>
    <w:p w:rsidR="000304EA" w:rsidRPr="00EF295C" w:rsidRDefault="000304EA" w:rsidP="000304EA">
      <w:pPr>
        <w:jc w:val="both"/>
        <w:rPr>
          <w:sz w:val="20"/>
          <w:szCs w:val="20"/>
        </w:rPr>
      </w:pPr>
      <w:r w:rsidRPr="00EF295C">
        <w:rPr>
          <w:sz w:val="20"/>
          <w:szCs w:val="20"/>
        </w:rPr>
        <w:t xml:space="preserve">Mrs. Mary Geraldine </w:t>
      </w:r>
      <w:proofErr w:type="spellStart"/>
      <w:r w:rsidRPr="00EF295C">
        <w:rPr>
          <w:sz w:val="20"/>
          <w:szCs w:val="20"/>
        </w:rPr>
        <w:t>Mowatt</w:t>
      </w:r>
      <w:proofErr w:type="spellEnd"/>
      <w:r w:rsidRPr="00EF295C">
        <w:rPr>
          <w:sz w:val="20"/>
          <w:szCs w:val="20"/>
        </w:rPr>
        <w:t xml:space="preserve"> and Mr. Earl Wayne </w:t>
      </w:r>
      <w:proofErr w:type="spellStart"/>
      <w:r w:rsidRPr="00EF295C">
        <w:rPr>
          <w:sz w:val="20"/>
          <w:szCs w:val="20"/>
        </w:rPr>
        <w:t>Mowatt</w:t>
      </w:r>
      <w:proofErr w:type="spellEnd"/>
      <w:r w:rsidRPr="00EF295C">
        <w:rPr>
          <w:sz w:val="20"/>
          <w:szCs w:val="20"/>
        </w:rPr>
        <w:t xml:space="preserve">, the respondents, live at properties bearing the civil addresses 1112 and 1114 Beatty St. in the City of Nelson, Province of British Columbia. They claim to have purchased both lots at the same time in 1992 from the former owner, Ms. Marquis. The Appellant, the City of Nelson, however, took the view that the lot bearing the civil address 1114 Beatty St. is a municipal road allowance and contends that it was escheated to the Crown after the dissolution of the land company that had owned it pursuant s. 3A of the </w:t>
      </w:r>
      <w:r w:rsidRPr="00EF295C">
        <w:rPr>
          <w:i/>
          <w:sz w:val="20"/>
          <w:szCs w:val="20"/>
        </w:rPr>
        <w:t>Escheat Act</w:t>
      </w:r>
      <w:r w:rsidRPr="00EF295C">
        <w:rPr>
          <w:sz w:val="20"/>
          <w:szCs w:val="20"/>
        </w:rPr>
        <w:t xml:space="preserve">, R.S.B.C. 1924, c. 81, as amended by S.B.C. 1929, c. 23, s. 2 in 1930-31. In the past, the City had directed Mrs. and Mr. </w:t>
      </w:r>
      <w:proofErr w:type="spellStart"/>
      <w:r w:rsidRPr="00EF295C">
        <w:rPr>
          <w:sz w:val="20"/>
          <w:szCs w:val="20"/>
        </w:rPr>
        <w:t>Mowatt</w:t>
      </w:r>
      <w:proofErr w:type="spellEnd"/>
      <w:r w:rsidRPr="00EF295C">
        <w:rPr>
          <w:sz w:val="20"/>
          <w:szCs w:val="20"/>
        </w:rPr>
        <w:t xml:space="preserve">, and the former owner, to remove their buildings from the lot because it was City land. In order to clarify their title to the land, Mrs. and Mr. </w:t>
      </w:r>
      <w:proofErr w:type="spellStart"/>
      <w:r w:rsidRPr="00EF295C">
        <w:rPr>
          <w:sz w:val="20"/>
          <w:szCs w:val="20"/>
        </w:rPr>
        <w:t>Mowatt</w:t>
      </w:r>
      <w:proofErr w:type="spellEnd"/>
      <w:r w:rsidRPr="00EF295C">
        <w:rPr>
          <w:sz w:val="20"/>
          <w:szCs w:val="20"/>
        </w:rPr>
        <w:t xml:space="preserve"> took a petition seeking a judicial investigation of the disputed lot under the </w:t>
      </w:r>
      <w:r w:rsidRPr="00EF295C">
        <w:rPr>
          <w:i/>
          <w:sz w:val="20"/>
          <w:szCs w:val="20"/>
        </w:rPr>
        <w:t>Land Title Inquiry Act</w:t>
      </w:r>
      <w:r w:rsidRPr="00EF295C">
        <w:rPr>
          <w:sz w:val="20"/>
          <w:szCs w:val="20"/>
        </w:rPr>
        <w:t xml:space="preserve">, R.S.B.C. 1996, c. 251, a declaration that they were the owners of the lot in fee simple in possession and an order that they had established good, safe-holding and marketable title in fee simple.  </w:t>
      </w:r>
    </w:p>
    <w:p w:rsidR="000304EA" w:rsidRPr="00EF295C" w:rsidRDefault="000304EA" w:rsidP="000304EA">
      <w:pPr>
        <w:jc w:val="both"/>
        <w:rPr>
          <w:sz w:val="20"/>
          <w:szCs w:val="20"/>
        </w:rPr>
      </w:pPr>
    </w:p>
    <w:p w:rsidR="000304EA" w:rsidRPr="00EF295C" w:rsidRDefault="002E5FCE" w:rsidP="000304EA">
      <w:pPr>
        <w:jc w:val="both"/>
        <w:rPr>
          <w:sz w:val="20"/>
          <w:szCs w:val="20"/>
        </w:rPr>
      </w:pPr>
      <w:r>
        <w:rPr>
          <w:sz w:val="20"/>
          <w:szCs w:val="20"/>
          <w:lang w:val="fr-CA"/>
        </w:rPr>
        <w:pict>
          <v:rect id="_x0000_i1081" style="width:2in;height:1pt" o:hrpct="0" o:hralign="center" o:hrstd="t" o:hrnoshade="t" o:hr="t" fillcolor="black [3213]" stroked="f"/>
        </w:pict>
      </w:r>
    </w:p>
    <w:p w:rsidR="000304EA" w:rsidRPr="00EF295C" w:rsidRDefault="000304EA" w:rsidP="000304EA">
      <w:pPr>
        <w:jc w:val="both"/>
        <w:rPr>
          <w:sz w:val="20"/>
          <w:szCs w:val="20"/>
        </w:rPr>
      </w:pPr>
    </w:p>
    <w:p w:rsidR="00665CAF" w:rsidRPr="00EF295C" w:rsidRDefault="00665CAF" w:rsidP="00665CAF">
      <w:pPr>
        <w:pStyle w:val="SCCLsocParty"/>
        <w:rPr>
          <w:b w:val="0"/>
          <w:sz w:val="20"/>
          <w:szCs w:val="20"/>
          <w:lang w:val="fr-CA"/>
        </w:rPr>
      </w:pPr>
      <w:r w:rsidRPr="00EF295C">
        <w:rPr>
          <w:rStyle w:val="SCCFileNumberChar"/>
          <w:b/>
          <w:sz w:val="20"/>
          <w:szCs w:val="20"/>
        </w:rPr>
        <w:t>36999</w:t>
      </w:r>
      <w:r w:rsidRPr="00EF295C">
        <w:rPr>
          <w:rStyle w:val="SCCFileNumberChar"/>
          <w:b/>
          <w:sz w:val="20"/>
          <w:szCs w:val="20"/>
        </w:rPr>
        <w:tab/>
      </w:r>
      <w:r w:rsidRPr="00EF295C">
        <w:rPr>
          <w:i/>
          <w:sz w:val="20"/>
          <w:szCs w:val="20"/>
          <w:lang w:val="en-US"/>
        </w:rPr>
        <w:t xml:space="preserve">The </w:t>
      </w:r>
      <w:r w:rsidRPr="00EF295C">
        <w:rPr>
          <w:i/>
          <w:sz w:val="20"/>
          <w:szCs w:val="20"/>
        </w:rPr>
        <w:t>Corporation</w:t>
      </w:r>
      <w:r w:rsidRPr="00EF295C">
        <w:rPr>
          <w:i/>
          <w:sz w:val="20"/>
          <w:szCs w:val="20"/>
          <w:lang w:val="en-US"/>
        </w:rPr>
        <w:t xml:space="preserve"> of the City of Nelson c. Mary Geraldine </w:t>
      </w:r>
      <w:proofErr w:type="spellStart"/>
      <w:r w:rsidRPr="00EF295C">
        <w:rPr>
          <w:i/>
          <w:sz w:val="20"/>
          <w:szCs w:val="20"/>
          <w:lang w:val="en-US"/>
        </w:rPr>
        <w:t>Mowatt</w:t>
      </w:r>
      <w:proofErr w:type="spellEnd"/>
      <w:r w:rsidRPr="00EF295C">
        <w:rPr>
          <w:i/>
          <w:sz w:val="20"/>
          <w:szCs w:val="20"/>
          <w:lang w:val="en-US"/>
        </w:rPr>
        <w:t xml:space="preserve"> </w:t>
      </w:r>
      <w:proofErr w:type="gramStart"/>
      <w:r w:rsidRPr="00EF295C">
        <w:rPr>
          <w:i/>
          <w:sz w:val="20"/>
          <w:szCs w:val="20"/>
          <w:lang w:val="en-US"/>
        </w:rPr>
        <w:t>et</w:t>
      </w:r>
      <w:proofErr w:type="gramEnd"/>
      <w:r w:rsidRPr="00EF295C">
        <w:rPr>
          <w:i/>
          <w:sz w:val="20"/>
          <w:szCs w:val="20"/>
          <w:lang w:val="en-US"/>
        </w:rPr>
        <w:t xml:space="preserve"> Earl Wayne </w:t>
      </w:r>
      <w:proofErr w:type="spellStart"/>
      <w:r w:rsidRPr="00EF295C">
        <w:rPr>
          <w:i/>
          <w:sz w:val="20"/>
          <w:szCs w:val="20"/>
          <w:lang w:val="en-US"/>
        </w:rPr>
        <w:t>Mowatt</w:t>
      </w:r>
      <w:proofErr w:type="spellEnd"/>
      <w:r w:rsidRPr="00EF295C">
        <w:rPr>
          <w:i/>
          <w:sz w:val="20"/>
          <w:szCs w:val="20"/>
          <w:lang w:val="en-US"/>
        </w:rPr>
        <w:t xml:space="preserve"> </w:t>
      </w:r>
      <w:r w:rsidRPr="00EF295C">
        <w:rPr>
          <w:b w:val="0"/>
          <w:sz w:val="20"/>
          <w:szCs w:val="20"/>
        </w:rPr>
        <w:t xml:space="preserve">(C.-B.) </w:t>
      </w:r>
      <w:r w:rsidRPr="00EF295C">
        <w:rPr>
          <w:b w:val="0"/>
          <w:sz w:val="20"/>
          <w:szCs w:val="20"/>
          <w:lang w:val="fr-CA"/>
        </w:rPr>
        <w:t>(Civile) (Sur autorisation)</w:t>
      </w:r>
    </w:p>
    <w:p w:rsidR="00665CAF" w:rsidRPr="00EF295C" w:rsidRDefault="00665CAF" w:rsidP="00665CAF">
      <w:pPr>
        <w:rPr>
          <w:sz w:val="20"/>
          <w:szCs w:val="20"/>
          <w:lang w:val="fr-CA"/>
        </w:rPr>
      </w:pPr>
    </w:p>
    <w:p w:rsidR="00665CAF" w:rsidRPr="00EF295C" w:rsidRDefault="00665CAF" w:rsidP="00665CAF">
      <w:pPr>
        <w:jc w:val="both"/>
        <w:rPr>
          <w:sz w:val="20"/>
          <w:szCs w:val="20"/>
          <w:lang w:val="fr-CA"/>
        </w:rPr>
      </w:pPr>
      <w:r w:rsidRPr="00EF295C">
        <w:rPr>
          <w:sz w:val="20"/>
          <w:szCs w:val="20"/>
          <w:lang w:val="fr-CA"/>
        </w:rPr>
        <w:t xml:space="preserve">Biens - Biens réels - Acquisition d’un titre par possession acquisitive - L’art. 20 de la </w:t>
      </w:r>
      <w:r w:rsidRPr="00EF295C">
        <w:rPr>
          <w:i/>
          <w:sz w:val="20"/>
          <w:szCs w:val="20"/>
          <w:lang w:val="fr-CA"/>
        </w:rPr>
        <w:t xml:space="preserve">Land </w:t>
      </w:r>
      <w:proofErr w:type="spellStart"/>
      <w:r w:rsidRPr="00EF295C">
        <w:rPr>
          <w:i/>
          <w:sz w:val="20"/>
          <w:szCs w:val="20"/>
          <w:lang w:val="fr-CA"/>
        </w:rPr>
        <w:t>Title</w:t>
      </w:r>
      <w:proofErr w:type="spellEnd"/>
      <w:r w:rsidRPr="00EF295C">
        <w:rPr>
          <w:i/>
          <w:sz w:val="20"/>
          <w:szCs w:val="20"/>
          <w:lang w:val="fr-CA"/>
        </w:rPr>
        <w:t xml:space="preserve"> </w:t>
      </w:r>
      <w:proofErr w:type="spellStart"/>
      <w:r w:rsidRPr="00EF295C">
        <w:rPr>
          <w:i/>
          <w:sz w:val="20"/>
          <w:szCs w:val="20"/>
          <w:lang w:val="fr-CA"/>
        </w:rPr>
        <w:t>Act</w:t>
      </w:r>
      <w:proofErr w:type="spellEnd"/>
      <w:r w:rsidRPr="00EF295C">
        <w:rPr>
          <w:sz w:val="20"/>
          <w:szCs w:val="20"/>
          <w:lang w:val="fr-CA"/>
        </w:rPr>
        <w:t xml:space="preserve">, R.S.B.C. 1996, c. 250, empêche-t-il les </w:t>
      </w:r>
      <w:proofErr w:type="spellStart"/>
      <w:r w:rsidRPr="00EF295C">
        <w:rPr>
          <w:sz w:val="20"/>
          <w:szCs w:val="20"/>
          <w:lang w:val="fr-CA"/>
        </w:rPr>
        <w:t>Mowatt</w:t>
      </w:r>
      <w:proofErr w:type="spellEnd"/>
      <w:r w:rsidRPr="00EF295C">
        <w:rPr>
          <w:sz w:val="20"/>
          <w:szCs w:val="20"/>
          <w:lang w:val="fr-CA"/>
        </w:rPr>
        <w:t xml:space="preserve"> de revendiquer le titre sur le terrain litigieux? - La doctrine dite de « l’usage incompatible » est-elle fatale à l’argument des </w:t>
      </w:r>
      <w:proofErr w:type="spellStart"/>
      <w:r w:rsidRPr="00EF295C">
        <w:rPr>
          <w:sz w:val="20"/>
          <w:szCs w:val="20"/>
          <w:lang w:val="fr-CA"/>
        </w:rPr>
        <w:t>Mowatt</w:t>
      </w:r>
      <w:proofErr w:type="spellEnd"/>
      <w:r w:rsidRPr="00EF295C">
        <w:rPr>
          <w:sz w:val="20"/>
          <w:szCs w:val="20"/>
          <w:lang w:val="fr-CA"/>
        </w:rPr>
        <w:t xml:space="preserve"> fondé sur la possession acquisitive historique? - La Cour d’appel a-t-elle fait erreur en substituant son avis à celui du juge Kelleher sur la question de savoir s’il y avait eu possession acquisitive continue?</w:t>
      </w:r>
    </w:p>
    <w:p w:rsidR="00665CAF" w:rsidRPr="00EF295C" w:rsidRDefault="00665CAF" w:rsidP="00665CAF">
      <w:pPr>
        <w:rPr>
          <w:sz w:val="20"/>
          <w:szCs w:val="20"/>
          <w:lang w:val="fr-CA"/>
        </w:rPr>
      </w:pPr>
    </w:p>
    <w:p w:rsidR="00665CAF" w:rsidRPr="00EF295C" w:rsidRDefault="00665CAF" w:rsidP="00665CAF">
      <w:pPr>
        <w:jc w:val="both"/>
        <w:rPr>
          <w:sz w:val="20"/>
          <w:szCs w:val="20"/>
          <w:lang w:val="fr-CA"/>
        </w:rPr>
      </w:pPr>
      <w:r w:rsidRPr="00EF295C">
        <w:rPr>
          <w:sz w:val="20"/>
          <w:szCs w:val="20"/>
          <w:lang w:val="fr-CA"/>
        </w:rPr>
        <w:t xml:space="preserve">Madame Mary </w:t>
      </w:r>
      <w:proofErr w:type="spellStart"/>
      <w:r w:rsidRPr="00EF295C">
        <w:rPr>
          <w:sz w:val="20"/>
          <w:szCs w:val="20"/>
          <w:lang w:val="fr-CA"/>
        </w:rPr>
        <w:t>Geraldine</w:t>
      </w:r>
      <w:proofErr w:type="spellEnd"/>
      <w:r w:rsidRPr="00EF295C">
        <w:rPr>
          <w:sz w:val="20"/>
          <w:szCs w:val="20"/>
          <w:lang w:val="fr-CA"/>
        </w:rPr>
        <w:t xml:space="preserve"> </w:t>
      </w:r>
      <w:proofErr w:type="spellStart"/>
      <w:r w:rsidRPr="00EF295C">
        <w:rPr>
          <w:sz w:val="20"/>
          <w:szCs w:val="20"/>
          <w:lang w:val="fr-CA"/>
        </w:rPr>
        <w:t>Mowatt</w:t>
      </w:r>
      <w:proofErr w:type="spellEnd"/>
      <w:r w:rsidRPr="00EF295C">
        <w:rPr>
          <w:sz w:val="20"/>
          <w:szCs w:val="20"/>
          <w:lang w:val="fr-CA"/>
        </w:rPr>
        <w:t xml:space="preserve"> et M. Earl Wayne </w:t>
      </w:r>
      <w:proofErr w:type="spellStart"/>
      <w:r w:rsidRPr="00EF295C">
        <w:rPr>
          <w:sz w:val="20"/>
          <w:szCs w:val="20"/>
          <w:lang w:val="fr-CA"/>
        </w:rPr>
        <w:t>Mowatt</w:t>
      </w:r>
      <w:proofErr w:type="spellEnd"/>
      <w:r w:rsidRPr="00EF295C">
        <w:rPr>
          <w:sz w:val="20"/>
          <w:szCs w:val="20"/>
          <w:lang w:val="fr-CA"/>
        </w:rPr>
        <w:t xml:space="preserve">, les intimés, habitent au 1112 </w:t>
      </w:r>
      <w:proofErr w:type="spellStart"/>
      <w:r w:rsidRPr="00EF295C">
        <w:rPr>
          <w:sz w:val="20"/>
          <w:szCs w:val="20"/>
          <w:lang w:val="fr-CA"/>
        </w:rPr>
        <w:t>et</w:t>
      </w:r>
      <w:proofErr w:type="spellEnd"/>
      <w:r w:rsidRPr="00EF295C">
        <w:rPr>
          <w:sz w:val="20"/>
          <w:szCs w:val="20"/>
          <w:lang w:val="fr-CA"/>
        </w:rPr>
        <w:t xml:space="preserve"> au 1114 de la rue Beatty, dans la ville de Nelson (Colombie-Britannique). Ils allèguent avoir acheté les deux lots en même temps, en 1992, de l’ancien propriétaire, Mme Marquis. Toutefois, l’appelante, la ville de Nelson, estime que le lot portant l’adresse de voirie 1114, rue Beatty est une emprise de voirie municipale et prétend qu’il est échu à l’État après la dissolution de la société foncière qui en était propriétaire en application de l’art.</w:t>
      </w:r>
      <w:r w:rsidRPr="00EF295C">
        <w:rPr>
          <w:color w:val="151515"/>
          <w:sz w:val="20"/>
          <w:szCs w:val="20"/>
          <w:lang w:val="fr-CA"/>
        </w:rPr>
        <w:t> 3A de l’</w:t>
      </w:r>
      <w:proofErr w:type="spellStart"/>
      <w:r w:rsidRPr="00EF295C">
        <w:rPr>
          <w:i/>
          <w:color w:val="151515"/>
          <w:sz w:val="20"/>
          <w:szCs w:val="20"/>
          <w:lang w:val="fr-CA"/>
        </w:rPr>
        <w:t>Escheat</w:t>
      </w:r>
      <w:proofErr w:type="spellEnd"/>
      <w:r w:rsidRPr="00EF295C">
        <w:rPr>
          <w:i/>
          <w:color w:val="151515"/>
          <w:sz w:val="20"/>
          <w:szCs w:val="20"/>
          <w:lang w:val="fr-CA"/>
        </w:rPr>
        <w:t xml:space="preserve"> </w:t>
      </w:r>
      <w:proofErr w:type="spellStart"/>
      <w:r w:rsidRPr="00EF295C">
        <w:rPr>
          <w:i/>
          <w:color w:val="151515"/>
          <w:sz w:val="20"/>
          <w:szCs w:val="20"/>
          <w:lang w:val="fr-CA"/>
        </w:rPr>
        <w:t>Act</w:t>
      </w:r>
      <w:proofErr w:type="spellEnd"/>
      <w:r w:rsidRPr="00EF295C">
        <w:rPr>
          <w:color w:val="151515"/>
          <w:sz w:val="20"/>
          <w:szCs w:val="20"/>
          <w:lang w:val="fr-CA"/>
        </w:rPr>
        <w:t>, R.S.B.C. 1924, ch. 81, modifiée par S.B.C. 1929, ch. 23, art. 2 en 1930-31</w:t>
      </w:r>
      <w:r w:rsidRPr="00EF295C">
        <w:rPr>
          <w:sz w:val="20"/>
          <w:szCs w:val="20"/>
          <w:lang w:val="fr-CA"/>
        </w:rPr>
        <w:t>. Par le passé, la Ville avait demandé à Mme et à M. </w:t>
      </w:r>
      <w:proofErr w:type="spellStart"/>
      <w:r w:rsidRPr="00EF295C">
        <w:rPr>
          <w:sz w:val="20"/>
          <w:szCs w:val="20"/>
          <w:lang w:val="fr-CA"/>
        </w:rPr>
        <w:t>Mowatt</w:t>
      </w:r>
      <w:proofErr w:type="spellEnd"/>
      <w:r w:rsidRPr="00EF295C">
        <w:rPr>
          <w:sz w:val="20"/>
          <w:szCs w:val="20"/>
          <w:lang w:val="fr-CA"/>
        </w:rPr>
        <w:t>, ainsi qu’à l’ancien propriétaire, d’enlever leurs immeubles du lot, puisqu’il s’agissait d’un bien-fonds municipal. Pour clarifier leur titre à l’égard du bien-fonds, Mme et M. </w:t>
      </w:r>
      <w:proofErr w:type="spellStart"/>
      <w:r w:rsidRPr="00EF295C">
        <w:rPr>
          <w:sz w:val="20"/>
          <w:szCs w:val="20"/>
          <w:lang w:val="fr-CA"/>
        </w:rPr>
        <w:t>Mowatt</w:t>
      </w:r>
      <w:proofErr w:type="spellEnd"/>
      <w:r w:rsidRPr="00EF295C">
        <w:rPr>
          <w:sz w:val="20"/>
          <w:szCs w:val="20"/>
          <w:lang w:val="fr-CA"/>
        </w:rPr>
        <w:t xml:space="preserve"> ont présenté une requête sollicitant une enquête judiciaire sur le lot en litige en application de la </w:t>
      </w:r>
      <w:r w:rsidRPr="00EF295C">
        <w:rPr>
          <w:i/>
          <w:sz w:val="20"/>
          <w:szCs w:val="20"/>
          <w:lang w:val="fr-CA"/>
        </w:rPr>
        <w:t xml:space="preserve">Land </w:t>
      </w:r>
      <w:proofErr w:type="spellStart"/>
      <w:r w:rsidRPr="00EF295C">
        <w:rPr>
          <w:i/>
          <w:sz w:val="20"/>
          <w:szCs w:val="20"/>
          <w:lang w:val="fr-CA"/>
        </w:rPr>
        <w:t>Title</w:t>
      </w:r>
      <w:proofErr w:type="spellEnd"/>
      <w:r w:rsidRPr="00EF295C">
        <w:rPr>
          <w:i/>
          <w:sz w:val="20"/>
          <w:szCs w:val="20"/>
          <w:lang w:val="fr-CA"/>
        </w:rPr>
        <w:t xml:space="preserve"> </w:t>
      </w:r>
      <w:proofErr w:type="spellStart"/>
      <w:r w:rsidRPr="00EF295C">
        <w:rPr>
          <w:i/>
          <w:sz w:val="20"/>
          <w:szCs w:val="20"/>
          <w:lang w:val="fr-CA"/>
        </w:rPr>
        <w:t>Inquiry</w:t>
      </w:r>
      <w:proofErr w:type="spellEnd"/>
      <w:r w:rsidRPr="00EF295C">
        <w:rPr>
          <w:i/>
          <w:sz w:val="20"/>
          <w:szCs w:val="20"/>
          <w:lang w:val="fr-CA"/>
        </w:rPr>
        <w:t xml:space="preserve"> </w:t>
      </w:r>
      <w:proofErr w:type="spellStart"/>
      <w:r w:rsidRPr="00EF295C">
        <w:rPr>
          <w:i/>
          <w:sz w:val="20"/>
          <w:szCs w:val="20"/>
          <w:lang w:val="fr-CA"/>
        </w:rPr>
        <w:t>Act</w:t>
      </w:r>
      <w:proofErr w:type="spellEnd"/>
      <w:r w:rsidRPr="00EF295C">
        <w:rPr>
          <w:sz w:val="20"/>
          <w:szCs w:val="20"/>
          <w:lang w:val="fr-CA"/>
        </w:rPr>
        <w:t xml:space="preserve">, R.S.B.C. 1996, ch. 251, un jugement déclarant qu’ils étaient les propriétaires du lot en fief simple en possession et une ordonnance portant qu’ils avaient établi un titre valable, stable et marchand en fief simple.  </w:t>
      </w:r>
    </w:p>
    <w:p w:rsidR="000304EA" w:rsidRPr="00EF295C" w:rsidRDefault="000304EA" w:rsidP="000304EA">
      <w:pPr>
        <w:jc w:val="both"/>
        <w:rPr>
          <w:sz w:val="20"/>
          <w:szCs w:val="20"/>
          <w:lang w:val="fr-CA"/>
        </w:rPr>
      </w:pPr>
    </w:p>
    <w:p w:rsidR="000304EA" w:rsidRPr="00EF295C" w:rsidRDefault="002E5FCE" w:rsidP="000304EA">
      <w:pPr>
        <w:jc w:val="both"/>
        <w:rPr>
          <w:sz w:val="20"/>
          <w:szCs w:val="20"/>
          <w:lang w:val="fr-CA"/>
        </w:rPr>
      </w:pPr>
      <w:r>
        <w:rPr>
          <w:sz w:val="20"/>
          <w:szCs w:val="20"/>
          <w:lang w:val="fr-CA"/>
        </w:rPr>
        <w:pict>
          <v:rect id="_x0000_i1082" style="width:2in;height:1pt" o:hrpct="0" o:hralign="center" o:hrstd="t" o:hrnoshade="t" o:hr="t" fillcolor="black [3213]" stroked="f"/>
        </w:pict>
      </w:r>
    </w:p>
    <w:p w:rsidR="00665CAF" w:rsidRPr="00EF295C" w:rsidRDefault="00665CAF" w:rsidP="000304EA">
      <w:pPr>
        <w:jc w:val="both"/>
        <w:rPr>
          <w:sz w:val="20"/>
          <w:szCs w:val="20"/>
          <w:lang w:val="fr-CA"/>
        </w:rPr>
      </w:pPr>
    </w:p>
    <w:p w:rsidR="00665CAF" w:rsidRPr="00EF295C" w:rsidRDefault="00665CAF">
      <w:pPr>
        <w:rPr>
          <w:sz w:val="20"/>
          <w:szCs w:val="20"/>
          <w:lang w:val="fr-CA"/>
        </w:rPr>
      </w:pPr>
      <w:r w:rsidRPr="00EF295C">
        <w:rPr>
          <w:sz w:val="20"/>
          <w:szCs w:val="20"/>
          <w:lang w:val="fr-CA"/>
        </w:rPr>
        <w:br w:type="page"/>
      </w:r>
    </w:p>
    <w:p w:rsidR="00665CAF" w:rsidRPr="00EF295C" w:rsidRDefault="00665CAF" w:rsidP="00665CAF">
      <w:pPr>
        <w:widowControl w:val="0"/>
        <w:ind w:left="720" w:hanging="720"/>
        <w:jc w:val="both"/>
        <w:rPr>
          <w:b/>
          <w:i/>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36495</w:t>
      </w:r>
      <w:r w:rsidRPr="00EF295C">
        <w:rPr>
          <w:sz w:val="20"/>
          <w:szCs w:val="20"/>
        </w:rPr>
        <w:tab/>
      </w:r>
      <w:r w:rsidRPr="00EF295C">
        <w:rPr>
          <w:b/>
          <w:i/>
          <w:sz w:val="20"/>
          <w:szCs w:val="20"/>
        </w:rPr>
        <w:t xml:space="preserve">BC Freedom of Information and Privacy Association v. Attorney General of British Columbia </w:t>
      </w:r>
      <w:r w:rsidRPr="00EF295C">
        <w:rPr>
          <w:sz w:val="20"/>
          <w:szCs w:val="20"/>
        </w:rPr>
        <w:t>(B.C.) (Civil) (By Leave)</w:t>
      </w:r>
    </w:p>
    <w:p w:rsidR="00665CAF" w:rsidRPr="00EF295C" w:rsidRDefault="00665CAF" w:rsidP="00665CAF">
      <w:pPr>
        <w:widowControl w:val="0"/>
        <w:jc w:val="both"/>
        <w:rPr>
          <w:sz w:val="20"/>
          <w:szCs w:val="20"/>
        </w:rPr>
      </w:pPr>
    </w:p>
    <w:p w:rsidR="00665CAF" w:rsidRPr="00EF295C" w:rsidRDefault="00665CAF" w:rsidP="00665CAF">
      <w:pPr>
        <w:jc w:val="both"/>
        <w:rPr>
          <w:sz w:val="20"/>
          <w:szCs w:val="20"/>
        </w:rPr>
      </w:pPr>
      <w:r w:rsidRPr="00EF295C">
        <w:rPr>
          <w:i/>
          <w:sz w:val="20"/>
          <w:szCs w:val="20"/>
        </w:rPr>
        <w:t>Charter of Rights</w:t>
      </w:r>
      <w:r w:rsidRPr="00EF295C">
        <w:rPr>
          <w:sz w:val="20"/>
          <w:szCs w:val="20"/>
        </w:rPr>
        <w:t xml:space="preserve"> - Constitutional law - Freedom of expression - Elections - Election advertising - Third party advertising - Requirement that all third party advertisers register before advertising - Does s. 239 of the </w:t>
      </w:r>
      <w:r w:rsidRPr="00EF295C">
        <w:rPr>
          <w:i/>
          <w:sz w:val="20"/>
          <w:szCs w:val="20"/>
        </w:rPr>
        <w:t>Election Act</w:t>
      </w:r>
      <w:r w:rsidRPr="00EF295C">
        <w:rPr>
          <w:sz w:val="20"/>
          <w:szCs w:val="20"/>
        </w:rPr>
        <w:t>, R.S.B.C. 1996, c. 106, infringe s. 2(</w:t>
      </w:r>
      <w:r w:rsidRPr="00EF295C">
        <w:rPr>
          <w:i/>
          <w:sz w:val="20"/>
          <w:szCs w:val="20"/>
        </w:rPr>
        <w:t>b</w:t>
      </w:r>
      <w:r w:rsidRPr="00EF295C">
        <w:rPr>
          <w:sz w:val="20"/>
          <w:szCs w:val="20"/>
        </w:rPr>
        <w:t xml:space="preserve">) of the Canadian </w:t>
      </w:r>
      <w:r w:rsidRPr="00EF295C">
        <w:rPr>
          <w:i/>
          <w:sz w:val="20"/>
          <w:szCs w:val="20"/>
        </w:rPr>
        <w:t>Charter of Rights and Freedoms</w:t>
      </w:r>
      <w:r w:rsidRPr="00EF295C">
        <w:rPr>
          <w:sz w:val="20"/>
          <w:szCs w:val="20"/>
        </w:rPr>
        <w:t xml:space="preserve"> - If so, is the infringement a reasonable limit prescribed by law as can be demonstrably justified in a free and democratic society under s. 1 of the Canadian </w:t>
      </w:r>
      <w:r w:rsidRPr="00EF295C">
        <w:rPr>
          <w:i/>
          <w:sz w:val="20"/>
          <w:szCs w:val="20"/>
        </w:rPr>
        <w:t>Charter of Rights and Freedoms</w:t>
      </w:r>
      <w:r w:rsidRPr="00EF295C">
        <w:rPr>
          <w:sz w:val="20"/>
          <w:szCs w:val="20"/>
        </w:rPr>
        <w:t xml:space="preserve"> - What remedy is appropriate?</w:t>
      </w:r>
    </w:p>
    <w:p w:rsidR="00665CAF" w:rsidRPr="00EF295C" w:rsidRDefault="00665CAF" w:rsidP="00665CAF">
      <w:pPr>
        <w:widowControl w:val="0"/>
        <w:jc w:val="both"/>
        <w:rPr>
          <w:sz w:val="20"/>
          <w:szCs w:val="20"/>
        </w:rPr>
      </w:pPr>
    </w:p>
    <w:p w:rsidR="00665CAF" w:rsidRPr="00EF295C" w:rsidRDefault="00665CAF" w:rsidP="00665CAF">
      <w:pPr>
        <w:jc w:val="both"/>
        <w:rPr>
          <w:sz w:val="20"/>
          <w:szCs w:val="20"/>
        </w:rPr>
      </w:pPr>
      <w:r w:rsidRPr="00EF295C">
        <w:rPr>
          <w:sz w:val="20"/>
          <w:szCs w:val="20"/>
        </w:rPr>
        <w:t xml:space="preserve">Section 239 of the </w:t>
      </w:r>
      <w:r w:rsidRPr="00EF295C">
        <w:rPr>
          <w:i/>
          <w:sz w:val="20"/>
          <w:szCs w:val="20"/>
        </w:rPr>
        <w:t>Election Act</w:t>
      </w:r>
      <w:r w:rsidRPr="00EF295C">
        <w:rPr>
          <w:sz w:val="20"/>
          <w:szCs w:val="20"/>
        </w:rPr>
        <w:t xml:space="preserve">, R.S.B.C. 1996, c. 106, requires third party sponsors of election advertising during a campaign period to register with the Chief Electoral Officer. The British Columbia Freedom of Information and Privacy Association brought a </w:t>
      </w:r>
      <w:r w:rsidRPr="00EF295C">
        <w:rPr>
          <w:i/>
          <w:sz w:val="20"/>
          <w:szCs w:val="20"/>
        </w:rPr>
        <w:t>Charter</w:t>
      </w:r>
      <w:r w:rsidRPr="00EF295C">
        <w:rPr>
          <w:sz w:val="20"/>
          <w:szCs w:val="20"/>
        </w:rPr>
        <w:t xml:space="preserve"> challenge to this provision, alleging that it breached the right to freedom of expression found in s. 2(</w:t>
      </w:r>
      <w:r w:rsidRPr="00EF295C">
        <w:rPr>
          <w:i/>
          <w:sz w:val="20"/>
          <w:szCs w:val="20"/>
        </w:rPr>
        <w:t>b</w:t>
      </w:r>
      <w:r w:rsidRPr="00EF295C">
        <w:rPr>
          <w:sz w:val="20"/>
          <w:szCs w:val="20"/>
        </w:rPr>
        <w:t>) and should be read down to include an exception for third parties spending less than $500 on election advertising.</w:t>
      </w:r>
    </w:p>
    <w:p w:rsidR="00665CAF" w:rsidRPr="00EF295C" w:rsidRDefault="00665CAF" w:rsidP="00665CAF">
      <w:pPr>
        <w:jc w:val="both"/>
        <w:rPr>
          <w:sz w:val="20"/>
          <w:szCs w:val="20"/>
        </w:rPr>
      </w:pPr>
    </w:p>
    <w:p w:rsidR="00665CAF" w:rsidRPr="00EF295C" w:rsidRDefault="00665CAF" w:rsidP="00665CAF">
      <w:pPr>
        <w:widowControl w:val="0"/>
        <w:jc w:val="both"/>
        <w:rPr>
          <w:sz w:val="20"/>
          <w:szCs w:val="20"/>
        </w:rPr>
      </w:pPr>
      <w:r w:rsidRPr="00EF295C">
        <w:rPr>
          <w:sz w:val="20"/>
          <w:szCs w:val="20"/>
        </w:rPr>
        <w:t xml:space="preserve">The trial judge found that s. 239 infringed freedom of expression, but, based on </w:t>
      </w:r>
      <w:r w:rsidRPr="00EF295C">
        <w:rPr>
          <w:i/>
          <w:sz w:val="20"/>
          <w:szCs w:val="20"/>
        </w:rPr>
        <w:t>Harper v. Canada (Attorney General)</w:t>
      </w:r>
      <w:r w:rsidRPr="00EF295C">
        <w:rPr>
          <w:sz w:val="20"/>
          <w:szCs w:val="20"/>
        </w:rPr>
        <w:t xml:space="preserve">, 2004 SCC 33, found that the infringement was justified under s. 1 of the </w:t>
      </w:r>
      <w:r w:rsidRPr="00EF295C">
        <w:rPr>
          <w:i/>
          <w:sz w:val="20"/>
          <w:szCs w:val="20"/>
        </w:rPr>
        <w:t>Charter</w:t>
      </w:r>
      <w:r w:rsidRPr="00EF295C">
        <w:rPr>
          <w:sz w:val="20"/>
          <w:szCs w:val="20"/>
        </w:rPr>
        <w:t>. The Court of Appeal, Saunders J.A. dissenting, dismissed the appeal.</w:t>
      </w:r>
    </w:p>
    <w:p w:rsidR="00665CAF" w:rsidRPr="00EF295C" w:rsidRDefault="00665CAF" w:rsidP="000304EA">
      <w:pPr>
        <w:jc w:val="both"/>
        <w:rPr>
          <w:sz w:val="20"/>
          <w:szCs w:val="20"/>
        </w:rPr>
      </w:pPr>
    </w:p>
    <w:p w:rsidR="00665CAF" w:rsidRPr="00EF295C" w:rsidRDefault="002E5FCE" w:rsidP="000304EA">
      <w:pPr>
        <w:jc w:val="both"/>
        <w:rPr>
          <w:sz w:val="20"/>
          <w:szCs w:val="20"/>
          <w:lang w:val="fr-CA"/>
        </w:rPr>
      </w:pPr>
      <w:r>
        <w:rPr>
          <w:sz w:val="20"/>
          <w:szCs w:val="20"/>
          <w:lang w:val="fr-CA"/>
        </w:rPr>
        <w:pict>
          <v:rect id="_x0000_i1083" style="width:2in;height:1pt" o:hrpct="0" o:hralign="center" o:hrstd="t" o:hrnoshade="t" o:hr="t" fillcolor="black [3213]" stroked="f"/>
        </w:pict>
      </w:r>
    </w:p>
    <w:p w:rsidR="00665CAF" w:rsidRPr="00EF295C" w:rsidRDefault="00665CAF" w:rsidP="000304EA">
      <w:pPr>
        <w:jc w:val="both"/>
        <w:rPr>
          <w:sz w:val="20"/>
          <w:szCs w:val="20"/>
          <w:lang w:val="fr-CA"/>
        </w:rPr>
      </w:pPr>
    </w:p>
    <w:p w:rsidR="00665CAF" w:rsidRPr="00EF295C" w:rsidRDefault="00665CAF" w:rsidP="00665CAF">
      <w:pPr>
        <w:widowControl w:val="0"/>
        <w:ind w:left="720" w:hanging="720"/>
        <w:jc w:val="both"/>
        <w:rPr>
          <w:sz w:val="20"/>
          <w:szCs w:val="20"/>
          <w:lang w:val="fr-CA"/>
        </w:rPr>
      </w:pPr>
      <w:r w:rsidRPr="00EF295C">
        <w:rPr>
          <w:b/>
          <w:sz w:val="20"/>
          <w:szCs w:val="20"/>
          <w:lang w:val="fr-CA"/>
        </w:rPr>
        <w:fldChar w:fldCharType="begin"/>
      </w:r>
      <w:r w:rsidRPr="00EF295C">
        <w:rPr>
          <w:b/>
          <w:sz w:val="20"/>
          <w:szCs w:val="20"/>
          <w:lang w:val="fr-CA"/>
        </w:rPr>
        <w:instrText xml:space="preserve"> SEQ CHAPTER \h \r 1</w:instrText>
      </w:r>
      <w:r w:rsidRPr="00EF295C">
        <w:rPr>
          <w:b/>
          <w:sz w:val="20"/>
          <w:szCs w:val="20"/>
          <w:lang w:val="fr-CA"/>
        </w:rPr>
        <w:fldChar w:fldCharType="end"/>
      </w:r>
      <w:r w:rsidRPr="00EF295C">
        <w:rPr>
          <w:b/>
          <w:sz w:val="20"/>
          <w:szCs w:val="20"/>
          <w:lang w:val="fr-CA"/>
        </w:rPr>
        <w:t>36495</w:t>
      </w:r>
      <w:r w:rsidRPr="00EF295C">
        <w:rPr>
          <w:sz w:val="20"/>
          <w:szCs w:val="20"/>
          <w:lang w:val="fr-CA"/>
        </w:rPr>
        <w:tab/>
      </w:r>
      <w:r w:rsidRPr="00EF295C">
        <w:rPr>
          <w:b/>
          <w:i/>
          <w:sz w:val="20"/>
          <w:szCs w:val="20"/>
          <w:lang w:val="fr-CA"/>
        </w:rPr>
        <w:t xml:space="preserve">BC </w:t>
      </w:r>
      <w:proofErr w:type="spellStart"/>
      <w:r w:rsidRPr="00EF295C">
        <w:rPr>
          <w:b/>
          <w:i/>
          <w:sz w:val="20"/>
          <w:szCs w:val="20"/>
          <w:lang w:val="fr-CA"/>
        </w:rPr>
        <w:t>Freedom</w:t>
      </w:r>
      <w:proofErr w:type="spellEnd"/>
      <w:r w:rsidRPr="00EF295C">
        <w:rPr>
          <w:b/>
          <w:i/>
          <w:sz w:val="20"/>
          <w:szCs w:val="20"/>
          <w:lang w:val="fr-CA"/>
        </w:rPr>
        <w:t xml:space="preserve"> of Information and </w:t>
      </w:r>
      <w:proofErr w:type="spellStart"/>
      <w:r w:rsidRPr="00EF295C">
        <w:rPr>
          <w:b/>
          <w:i/>
          <w:sz w:val="20"/>
          <w:szCs w:val="20"/>
          <w:lang w:val="fr-CA"/>
        </w:rPr>
        <w:t>Privacy</w:t>
      </w:r>
      <w:proofErr w:type="spellEnd"/>
      <w:r w:rsidRPr="00EF295C">
        <w:rPr>
          <w:b/>
          <w:i/>
          <w:sz w:val="20"/>
          <w:szCs w:val="20"/>
          <w:lang w:val="fr-CA"/>
        </w:rPr>
        <w:t xml:space="preserve"> Association c. Procureur général de la Colombie-Britannique</w:t>
      </w:r>
      <w:r w:rsidRPr="00EF295C">
        <w:rPr>
          <w:b/>
          <w:i/>
          <w:sz w:val="20"/>
          <w:lang w:val="fr-CA"/>
        </w:rPr>
        <w:t xml:space="preserve"> </w:t>
      </w:r>
      <w:r w:rsidRPr="00EF295C">
        <w:rPr>
          <w:sz w:val="20"/>
          <w:szCs w:val="20"/>
          <w:lang w:val="fr-CA"/>
        </w:rPr>
        <w:t>(C.-B.) (Civile) (Sur autorisation)</w:t>
      </w:r>
    </w:p>
    <w:p w:rsidR="00665CAF" w:rsidRPr="00EF295C" w:rsidRDefault="00665CAF" w:rsidP="00665CAF">
      <w:pPr>
        <w:widowControl w:val="0"/>
        <w:jc w:val="both"/>
        <w:rPr>
          <w:sz w:val="20"/>
          <w:szCs w:val="20"/>
          <w:lang w:val="fr-CA"/>
        </w:rPr>
      </w:pPr>
    </w:p>
    <w:p w:rsidR="00665CAF" w:rsidRPr="00EF295C" w:rsidRDefault="00665CAF" w:rsidP="00665CAF">
      <w:pPr>
        <w:jc w:val="both"/>
        <w:rPr>
          <w:sz w:val="20"/>
          <w:szCs w:val="20"/>
          <w:lang w:val="fr-CA"/>
        </w:rPr>
      </w:pPr>
      <w:r w:rsidRPr="00EF295C">
        <w:rPr>
          <w:i/>
          <w:sz w:val="20"/>
          <w:szCs w:val="20"/>
          <w:lang w:val="fr-CA"/>
        </w:rPr>
        <w:t>Charte des droits</w:t>
      </w:r>
      <w:r w:rsidRPr="00EF295C">
        <w:rPr>
          <w:sz w:val="20"/>
          <w:szCs w:val="20"/>
          <w:lang w:val="fr-CA"/>
        </w:rPr>
        <w:t xml:space="preserve"> - Droit constitutionnel - Liberté d’expression - Élections - Publicité électorale - Publicité par des tiers - Obligation pour tous les tiers annonceurs de s’enregistrer avant de faire de la publicité - L’art. 239 de l’</w:t>
      </w:r>
      <w:proofErr w:type="spellStart"/>
      <w:r w:rsidRPr="00EF295C">
        <w:rPr>
          <w:i/>
          <w:sz w:val="20"/>
          <w:szCs w:val="20"/>
          <w:lang w:val="fr-CA"/>
        </w:rPr>
        <w:t>Election</w:t>
      </w:r>
      <w:proofErr w:type="spellEnd"/>
      <w:r w:rsidRPr="00EF295C">
        <w:rPr>
          <w:i/>
          <w:sz w:val="20"/>
          <w:szCs w:val="20"/>
          <w:lang w:val="fr-CA"/>
        </w:rPr>
        <w:t xml:space="preserve"> </w:t>
      </w:r>
      <w:proofErr w:type="spellStart"/>
      <w:r w:rsidRPr="00EF295C">
        <w:rPr>
          <w:i/>
          <w:sz w:val="20"/>
          <w:szCs w:val="20"/>
          <w:lang w:val="fr-CA"/>
        </w:rPr>
        <w:t>Act</w:t>
      </w:r>
      <w:proofErr w:type="spellEnd"/>
      <w:r w:rsidRPr="00EF295C">
        <w:rPr>
          <w:sz w:val="20"/>
          <w:szCs w:val="20"/>
          <w:lang w:val="fr-CA"/>
        </w:rPr>
        <w:t xml:space="preserve">, R.S.B.C. 1996, ch. 106 viole-t-il l’al. 2b) de la </w:t>
      </w:r>
      <w:r w:rsidRPr="00EF295C">
        <w:rPr>
          <w:i/>
          <w:sz w:val="20"/>
          <w:szCs w:val="20"/>
          <w:lang w:val="fr-CA"/>
        </w:rPr>
        <w:t>Charte canadienne des droits et libertés</w:t>
      </w:r>
      <w:r w:rsidRPr="00EF295C">
        <w:rPr>
          <w:sz w:val="20"/>
          <w:szCs w:val="20"/>
          <w:lang w:val="fr-CA"/>
        </w:rPr>
        <w:t xml:space="preserve">? - Dans l’affirmative, s’agit-il d’une violation constituant une limite raisonnable prescrite par une règle de droit et dont la justification peut se démontrer dans le cadre d’une société libre et démocratique au sens de l’article premier de la </w:t>
      </w:r>
      <w:r w:rsidRPr="00EF295C">
        <w:rPr>
          <w:i/>
          <w:sz w:val="20"/>
          <w:szCs w:val="20"/>
          <w:lang w:val="fr-CA"/>
        </w:rPr>
        <w:t>Charte canadienne des droits et libertés</w:t>
      </w:r>
      <w:r w:rsidRPr="00EF295C">
        <w:rPr>
          <w:sz w:val="20"/>
          <w:szCs w:val="20"/>
          <w:lang w:val="fr-CA"/>
        </w:rPr>
        <w:t>? - Quelle est la réparation appropriée?</w:t>
      </w:r>
    </w:p>
    <w:p w:rsidR="00665CAF" w:rsidRPr="00EF295C" w:rsidRDefault="00665CAF" w:rsidP="00665CAF">
      <w:pPr>
        <w:widowControl w:val="0"/>
        <w:jc w:val="both"/>
        <w:rPr>
          <w:sz w:val="20"/>
          <w:szCs w:val="20"/>
          <w:lang w:val="fr-CA"/>
        </w:rPr>
      </w:pPr>
    </w:p>
    <w:p w:rsidR="00665CAF" w:rsidRPr="00EF295C" w:rsidRDefault="00665CAF" w:rsidP="00665CAF">
      <w:pPr>
        <w:jc w:val="both"/>
        <w:rPr>
          <w:sz w:val="20"/>
          <w:szCs w:val="20"/>
          <w:lang w:val="fr-CA"/>
        </w:rPr>
      </w:pPr>
      <w:r w:rsidRPr="00EF295C">
        <w:rPr>
          <w:sz w:val="20"/>
          <w:szCs w:val="20"/>
          <w:lang w:val="fr-CA"/>
        </w:rPr>
        <w:t>L’article 239 de l’</w:t>
      </w:r>
      <w:proofErr w:type="spellStart"/>
      <w:r w:rsidRPr="00EF295C">
        <w:rPr>
          <w:i/>
          <w:sz w:val="20"/>
          <w:szCs w:val="20"/>
          <w:lang w:val="fr-CA"/>
        </w:rPr>
        <w:t>Election</w:t>
      </w:r>
      <w:proofErr w:type="spellEnd"/>
      <w:r w:rsidRPr="00EF295C">
        <w:rPr>
          <w:i/>
          <w:sz w:val="20"/>
          <w:szCs w:val="20"/>
          <w:lang w:val="fr-CA"/>
        </w:rPr>
        <w:t xml:space="preserve"> </w:t>
      </w:r>
      <w:proofErr w:type="spellStart"/>
      <w:r w:rsidRPr="00EF295C">
        <w:rPr>
          <w:i/>
          <w:sz w:val="20"/>
          <w:szCs w:val="20"/>
          <w:lang w:val="fr-CA"/>
        </w:rPr>
        <w:t>Act</w:t>
      </w:r>
      <w:proofErr w:type="spellEnd"/>
      <w:r w:rsidRPr="00EF295C">
        <w:rPr>
          <w:sz w:val="20"/>
          <w:szCs w:val="20"/>
          <w:lang w:val="fr-CA"/>
        </w:rPr>
        <w:t xml:space="preserve">, R.S.B.C. 1996, ch. 106, oblige les tiers annonceurs dans une campagne électorale à s’enregistrer auprès du directeur général des élections. La British Columbia </w:t>
      </w:r>
      <w:proofErr w:type="spellStart"/>
      <w:r w:rsidRPr="00EF295C">
        <w:rPr>
          <w:sz w:val="20"/>
          <w:szCs w:val="20"/>
          <w:lang w:val="fr-CA"/>
        </w:rPr>
        <w:t>Freedom</w:t>
      </w:r>
      <w:proofErr w:type="spellEnd"/>
      <w:r w:rsidRPr="00EF295C">
        <w:rPr>
          <w:sz w:val="20"/>
          <w:szCs w:val="20"/>
          <w:lang w:val="fr-CA"/>
        </w:rPr>
        <w:t xml:space="preserve"> of Information and </w:t>
      </w:r>
      <w:proofErr w:type="spellStart"/>
      <w:r w:rsidRPr="00EF295C">
        <w:rPr>
          <w:sz w:val="20"/>
          <w:szCs w:val="20"/>
          <w:lang w:val="fr-CA"/>
        </w:rPr>
        <w:t>Privacy</w:t>
      </w:r>
      <w:proofErr w:type="spellEnd"/>
      <w:r w:rsidRPr="00EF295C">
        <w:rPr>
          <w:sz w:val="20"/>
          <w:szCs w:val="20"/>
          <w:lang w:val="fr-CA"/>
        </w:rPr>
        <w:t xml:space="preserve"> Association a contesté cette disposition en application de la </w:t>
      </w:r>
      <w:r w:rsidRPr="00EF295C">
        <w:rPr>
          <w:i/>
          <w:sz w:val="20"/>
          <w:szCs w:val="20"/>
          <w:lang w:val="fr-CA"/>
        </w:rPr>
        <w:t>Charte</w:t>
      </w:r>
      <w:r w:rsidRPr="00EF295C">
        <w:rPr>
          <w:sz w:val="20"/>
          <w:szCs w:val="20"/>
          <w:lang w:val="fr-CA"/>
        </w:rPr>
        <w:t>, alléguant qu’elle porte atteinte au droit à la liberté d’expression garanti à l’al. 2</w:t>
      </w:r>
      <w:r w:rsidRPr="00EF295C">
        <w:rPr>
          <w:i/>
          <w:sz w:val="20"/>
          <w:szCs w:val="20"/>
          <w:lang w:val="fr-CA"/>
        </w:rPr>
        <w:t>b</w:t>
      </w:r>
      <w:r w:rsidRPr="00EF295C">
        <w:rPr>
          <w:sz w:val="20"/>
          <w:szCs w:val="20"/>
          <w:lang w:val="fr-CA"/>
        </w:rPr>
        <w:t>) et qu’il y a lieu de considérer qu’elle inclut une exception pour les tiers qui dépensent moins de 500 $ en publicité électorale.</w:t>
      </w:r>
    </w:p>
    <w:p w:rsidR="00665CAF" w:rsidRPr="00EF295C" w:rsidRDefault="00665CAF" w:rsidP="00665CAF">
      <w:pPr>
        <w:jc w:val="both"/>
        <w:rPr>
          <w:sz w:val="20"/>
          <w:szCs w:val="20"/>
          <w:lang w:val="fr-CA"/>
        </w:rPr>
      </w:pPr>
    </w:p>
    <w:p w:rsidR="00665CAF" w:rsidRPr="00EF295C" w:rsidRDefault="00665CAF" w:rsidP="00665CAF">
      <w:pPr>
        <w:widowControl w:val="0"/>
        <w:jc w:val="both"/>
        <w:rPr>
          <w:sz w:val="20"/>
          <w:szCs w:val="20"/>
          <w:lang w:val="fr-CA"/>
        </w:rPr>
      </w:pPr>
      <w:r w:rsidRPr="00EF295C">
        <w:rPr>
          <w:sz w:val="20"/>
          <w:szCs w:val="20"/>
          <w:lang w:val="fr-CA"/>
        </w:rPr>
        <w:t xml:space="preserve">Le juge de première </w:t>
      </w:r>
      <w:proofErr w:type="gramStart"/>
      <w:r w:rsidRPr="00EF295C">
        <w:rPr>
          <w:sz w:val="20"/>
          <w:szCs w:val="20"/>
          <w:lang w:val="fr-CA"/>
        </w:rPr>
        <w:t>instance a</w:t>
      </w:r>
      <w:proofErr w:type="gramEnd"/>
      <w:r w:rsidRPr="00EF295C">
        <w:rPr>
          <w:sz w:val="20"/>
          <w:szCs w:val="20"/>
          <w:lang w:val="fr-CA"/>
        </w:rPr>
        <w:t xml:space="preserve"> conclu que l’art. 239 porte atteinte à la liberté d’expression, mais que, eu égard à l’arrêt </w:t>
      </w:r>
      <w:r w:rsidRPr="00EF295C">
        <w:rPr>
          <w:i/>
          <w:sz w:val="20"/>
          <w:szCs w:val="20"/>
          <w:lang w:val="fr-CA"/>
        </w:rPr>
        <w:t>Harper c. Canada (Procureur général)</w:t>
      </w:r>
      <w:r w:rsidRPr="00EF295C">
        <w:rPr>
          <w:sz w:val="20"/>
          <w:szCs w:val="20"/>
          <w:lang w:val="fr-CA"/>
        </w:rPr>
        <w:t xml:space="preserve">, 2004 CSC 33, l’atteinte est justifiée au regard de l’article premier de la </w:t>
      </w:r>
      <w:r w:rsidRPr="00EF295C">
        <w:rPr>
          <w:i/>
          <w:sz w:val="20"/>
          <w:szCs w:val="20"/>
          <w:lang w:val="fr-CA"/>
        </w:rPr>
        <w:t>Charte</w:t>
      </w:r>
      <w:r w:rsidRPr="00EF295C">
        <w:rPr>
          <w:sz w:val="20"/>
          <w:szCs w:val="20"/>
          <w:lang w:val="fr-CA"/>
        </w:rPr>
        <w:t>. La Cour d’appel a rejeté l’appel, la juge Saunders étant dissidente.</w:t>
      </w:r>
    </w:p>
    <w:p w:rsidR="00665CAF" w:rsidRPr="00EF295C" w:rsidRDefault="00665CAF" w:rsidP="000304EA">
      <w:pPr>
        <w:jc w:val="both"/>
        <w:rPr>
          <w:sz w:val="20"/>
          <w:szCs w:val="20"/>
          <w:lang w:val="fr-CA"/>
        </w:rPr>
      </w:pPr>
    </w:p>
    <w:p w:rsidR="00665CAF" w:rsidRPr="00EF295C" w:rsidRDefault="002E5FCE" w:rsidP="000304EA">
      <w:pPr>
        <w:jc w:val="both"/>
        <w:rPr>
          <w:sz w:val="20"/>
          <w:szCs w:val="20"/>
          <w:lang w:val="fr-CA"/>
        </w:rPr>
      </w:pPr>
      <w:r>
        <w:rPr>
          <w:sz w:val="20"/>
          <w:szCs w:val="20"/>
          <w:lang w:val="fr-CA"/>
        </w:rPr>
        <w:pict>
          <v:rect id="_x0000_i1084" style="width:2in;height:1pt" o:hrpct="0" o:hralign="center" o:hrstd="t" o:hrnoshade="t" o:hr="t" fillcolor="black [3213]" stroked="f"/>
        </w:pict>
      </w:r>
    </w:p>
    <w:p w:rsidR="00665CAF" w:rsidRPr="00EF295C" w:rsidRDefault="00665CAF" w:rsidP="000304EA">
      <w:pPr>
        <w:jc w:val="both"/>
        <w:rPr>
          <w:sz w:val="20"/>
          <w:szCs w:val="20"/>
          <w:lang w:val="fr-CA"/>
        </w:rPr>
      </w:pPr>
    </w:p>
    <w:p w:rsidR="00665CAF" w:rsidRPr="00EF295C" w:rsidRDefault="00665CAF" w:rsidP="000304EA">
      <w:pPr>
        <w:jc w:val="both"/>
        <w:rPr>
          <w:sz w:val="20"/>
          <w:szCs w:val="20"/>
          <w:lang w:val="fr-CA"/>
        </w:rPr>
      </w:pPr>
    </w:p>
    <w:p w:rsidR="00665CAF" w:rsidRPr="00EF295C" w:rsidRDefault="00665CAF" w:rsidP="000304EA">
      <w:pPr>
        <w:jc w:val="both"/>
        <w:rPr>
          <w:sz w:val="20"/>
          <w:szCs w:val="20"/>
          <w:lang w:val="fr-CA"/>
        </w:rPr>
      </w:pPr>
    </w:p>
    <w:p w:rsidR="00665CAF" w:rsidRPr="00EF295C" w:rsidRDefault="00665CAF">
      <w:pPr>
        <w:rPr>
          <w:sz w:val="20"/>
          <w:szCs w:val="20"/>
          <w:lang w:val="fr-CA"/>
        </w:rPr>
      </w:pPr>
      <w:r w:rsidRPr="00EF295C">
        <w:rPr>
          <w:sz w:val="20"/>
          <w:szCs w:val="20"/>
          <w:lang w:val="fr-CA"/>
        </w:rPr>
        <w:br w:type="page"/>
      </w:r>
    </w:p>
    <w:p w:rsidR="00665CAF" w:rsidRPr="00EF295C" w:rsidRDefault="00665CAF" w:rsidP="00665CAF">
      <w:pPr>
        <w:widowControl w:val="0"/>
        <w:ind w:left="720" w:hanging="720"/>
        <w:jc w:val="both"/>
        <w:rPr>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36816</w:t>
      </w:r>
      <w:r w:rsidRPr="00EF295C">
        <w:rPr>
          <w:sz w:val="20"/>
          <w:szCs w:val="20"/>
        </w:rPr>
        <w:tab/>
      </w:r>
      <w:r w:rsidRPr="00EF295C">
        <w:rPr>
          <w:b/>
          <w:i/>
          <w:sz w:val="20"/>
          <w:szCs w:val="20"/>
        </w:rPr>
        <w:t xml:space="preserve">Scott Diamond v. Her Majesty </w:t>
      </w:r>
      <w:r w:rsidR="00AD754D">
        <w:rPr>
          <w:b/>
          <w:i/>
          <w:sz w:val="20"/>
          <w:szCs w:val="20"/>
        </w:rPr>
        <w:t>t</w:t>
      </w:r>
      <w:r w:rsidRPr="00EF295C">
        <w:rPr>
          <w:b/>
          <w:i/>
          <w:sz w:val="20"/>
          <w:szCs w:val="20"/>
        </w:rPr>
        <w:t>he Queen</w:t>
      </w:r>
      <w:r w:rsidRPr="00EF295C">
        <w:rPr>
          <w:b/>
          <w:i/>
          <w:sz w:val="20"/>
        </w:rPr>
        <w:t xml:space="preserve"> </w:t>
      </w:r>
      <w:r w:rsidRPr="00EF295C">
        <w:rPr>
          <w:sz w:val="20"/>
          <w:szCs w:val="20"/>
        </w:rPr>
        <w:t>(N.L.) (Criminal) (As of Right)</w:t>
      </w:r>
    </w:p>
    <w:p w:rsidR="00665CAF" w:rsidRPr="00EF295C" w:rsidRDefault="00665CAF" w:rsidP="00665CAF">
      <w:pPr>
        <w:widowControl w:val="0"/>
        <w:jc w:val="both"/>
        <w:rPr>
          <w:sz w:val="20"/>
          <w:szCs w:val="20"/>
        </w:rPr>
      </w:pPr>
    </w:p>
    <w:p w:rsidR="00665CAF" w:rsidRPr="00EF295C" w:rsidRDefault="00665CAF" w:rsidP="00665CAF">
      <w:pPr>
        <w:widowControl w:val="0"/>
        <w:jc w:val="both"/>
        <w:rPr>
          <w:sz w:val="20"/>
          <w:szCs w:val="20"/>
        </w:rPr>
      </w:pPr>
      <w:r w:rsidRPr="00EF295C">
        <w:rPr>
          <w:sz w:val="20"/>
          <w:szCs w:val="20"/>
        </w:rPr>
        <w:t xml:space="preserve">Constitutional law - Charter of Rights - Search and seizure - Arbitrary detention - Remedy - Whether the Court of Appeal erred when it concluded that the police officer’s inspection of the accused’s vehicle was authorized by law and did not constitute a search - Whether the Court of Appeal erred when it determined that the accused’s arrest for possession of the knife pursuant to s. 88 of the </w:t>
      </w:r>
      <w:r w:rsidRPr="00EF295C">
        <w:rPr>
          <w:i/>
          <w:sz w:val="20"/>
          <w:szCs w:val="20"/>
        </w:rPr>
        <w:t>Criminal Code</w:t>
      </w:r>
      <w:r w:rsidRPr="00EF295C">
        <w:rPr>
          <w:sz w:val="20"/>
          <w:szCs w:val="20"/>
        </w:rPr>
        <w:t xml:space="preserve"> was lawful - Whether the Court of Appeal erred when it determined that the accused’s rights under the </w:t>
      </w:r>
      <w:r w:rsidRPr="00EF295C">
        <w:rPr>
          <w:i/>
          <w:sz w:val="20"/>
          <w:szCs w:val="20"/>
        </w:rPr>
        <w:t>Charter</w:t>
      </w:r>
      <w:r w:rsidRPr="00EF295C">
        <w:rPr>
          <w:sz w:val="20"/>
          <w:szCs w:val="20"/>
        </w:rPr>
        <w:t xml:space="preserve"> were not infringed.</w:t>
      </w:r>
    </w:p>
    <w:p w:rsidR="00665CAF" w:rsidRPr="00EF295C" w:rsidRDefault="00665CAF" w:rsidP="00665CAF">
      <w:pPr>
        <w:widowControl w:val="0"/>
        <w:jc w:val="both"/>
        <w:rPr>
          <w:sz w:val="20"/>
          <w:szCs w:val="20"/>
        </w:rPr>
      </w:pPr>
    </w:p>
    <w:p w:rsidR="00665CAF" w:rsidRPr="00EF295C" w:rsidRDefault="00665CAF" w:rsidP="00665CAF">
      <w:pPr>
        <w:widowControl w:val="0"/>
        <w:jc w:val="both"/>
        <w:rPr>
          <w:sz w:val="20"/>
          <w:szCs w:val="20"/>
        </w:rPr>
      </w:pPr>
      <w:r w:rsidRPr="00EF295C">
        <w:rPr>
          <w:sz w:val="20"/>
          <w:szCs w:val="20"/>
        </w:rPr>
        <w:t>Mr. Diamond was convicted of one count of unlawful possession of a weapon dangerous to the public peace and of one count of possession of cocaine for the purpose of trafficking. He was pulled over at night while driving his pick-up truck over the speed limit. While Mr. Diamond was searching for his driver’s licence and the vehicle registration, the officer spotted an unsheathed hunting-type knife with his flashlight. Mr. Diamond was arrested for possession of a weapon dangerous to the public peace. He was then subjected to a pat-down search at roadside, which revealed a small bag of cocaine. A subsequent strip-search at the police detachment led to the discovery of 28 additional small bags of cocaine.</w:t>
      </w:r>
    </w:p>
    <w:p w:rsidR="00665CAF" w:rsidRPr="00EF295C" w:rsidRDefault="00665CAF" w:rsidP="00665CAF">
      <w:pPr>
        <w:widowControl w:val="0"/>
        <w:jc w:val="both"/>
        <w:rPr>
          <w:sz w:val="20"/>
          <w:szCs w:val="20"/>
        </w:rPr>
      </w:pPr>
    </w:p>
    <w:p w:rsidR="00665CAF" w:rsidRPr="00EF295C" w:rsidRDefault="00665CAF" w:rsidP="00665CAF">
      <w:pPr>
        <w:widowControl w:val="0"/>
        <w:jc w:val="both"/>
        <w:rPr>
          <w:sz w:val="20"/>
          <w:szCs w:val="20"/>
        </w:rPr>
      </w:pPr>
      <w:r w:rsidRPr="00EF295C">
        <w:rPr>
          <w:sz w:val="20"/>
          <w:szCs w:val="20"/>
        </w:rPr>
        <w:t xml:space="preserve">At trial, Mr. Diamond argued that the search of his vehicle was a warrantless search in violation of s. 8 of the </w:t>
      </w:r>
      <w:r w:rsidRPr="00EF295C">
        <w:rPr>
          <w:i/>
          <w:sz w:val="20"/>
          <w:szCs w:val="20"/>
        </w:rPr>
        <w:t>Canadian Charter of Rights and Freedoms</w:t>
      </w:r>
      <w:r w:rsidRPr="00EF295C">
        <w:rPr>
          <w:sz w:val="20"/>
          <w:szCs w:val="20"/>
        </w:rPr>
        <w:t xml:space="preserve">, that his arrest was unlawful and in violation of s. 9 of the </w:t>
      </w:r>
      <w:r w:rsidRPr="00EF295C">
        <w:rPr>
          <w:i/>
          <w:sz w:val="20"/>
          <w:szCs w:val="20"/>
        </w:rPr>
        <w:t>Charter</w:t>
      </w:r>
      <w:r w:rsidRPr="00EF295C">
        <w:rPr>
          <w:sz w:val="20"/>
          <w:szCs w:val="20"/>
        </w:rPr>
        <w:t xml:space="preserve">, and that all of the evidence should be excluded under s. 24(2) of the </w:t>
      </w:r>
      <w:r w:rsidRPr="00EF295C">
        <w:rPr>
          <w:i/>
          <w:sz w:val="20"/>
          <w:szCs w:val="20"/>
        </w:rPr>
        <w:t>Charter</w:t>
      </w:r>
      <w:r w:rsidRPr="00EF295C">
        <w:rPr>
          <w:sz w:val="20"/>
          <w:szCs w:val="20"/>
        </w:rPr>
        <w:t xml:space="preserve">. The trial judge found that the officer’s actions at the side of the road did not constitute a search, that the seizure of the knife was justified, that the officer had reasonable and probable grounds to arrest Mr. Diamond and that the seizure of the cocaine was justifiable and incidental to the arrest. The majority of the Court of Appeal upheld the trial judge’s conclusions and dismissed the appeal. White J.A., dissenting, would have allowed the appeal, ordered that all evidence be excluded, and entered verdicts of acquittal in respect of all charges. He was of the view that there was a warrantless search but that it was justified for officer safety reasons. However, he found that the officer did not have reasonable and probable grounds to arrest Mr. Diamond and therefore that the arrest violated s. 9 of the </w:t>
      </w:r>
      <w:r w:rsidRPr="00EF295C">
        <w:rPr>
          <w:i/>
          <w:sz w:val="20"/>
          <w:szCs w:val="20"/>
        </w:rPr>
        <w:t>Charter</w:t>
      </w:r>
      <w:r w:rsidRPr="00EF295C">
        <w:rPr>
          <w:sz w:val="20"/>
          <w:szCs w:val="20"/>
        </w:rPr>
        <w:t xml:space="preserve">. Because the arrest was unlawful, in his view, it followed that the search incident to the arrest was unlawful and a violation of Mr. Diamond’s s. 8 </w:t>
      </w:r>
      <w:r w:rsidRPr="00EF295C">
        <w:rPr>
          <w:i/>
          <w:sz w:val="20"/>
          <w:szCs w:val="20"/>
        </w:rPr>
        <w:t>Charter</w:t>
      </w:r>
      <w:r w:rsidRPr="00EF295C">
        <w:rPr>
          <w:sz w:val="20"/>
          <w:szCs w:val="20"/>
        </w:rPr>
        <w:t xml:space="preserve"> rights. He concluded that the knife and the cocaine should be excluded under s. 24(2) of the </w:t>
      </w:r>
      <w:r w:rsidRPr="00EF295C">
        <w:rPr>
          <w:i/>
          <w:sz w:val="20"/>
          <w:szCs w:val="20"/>
        </w:rPr>
        <w:t>Charter</w:t>
      </w:r>
      <w:r w:rsidRPr="00EF295C">
        <w:rPr>
          <w:sz w:val="20"/>
          <w:szCs w:val="20"/>
        </w:rPr>
        <w:t xml:space="preserve"> not to bring the administration of justice into disrepute.</w:t>
      </w:r>
    </w:p>
    <w:p w:rsidR="00665CAF" w:rsidRPr="00EF295C" w:rsidRDefault="00665CAF" w:rsidP="000304EA">
      <w:pPr>
        <w:jc w:val="both"/>
        <w:rPr>
          <w:sz w:val="20"/>
          <w:szCs w:val="20"/>
        </w:rPr>
      </w:pPr>
    </w:p>
    <w:p w:rsidR="00665CAF" w:rsidRPr="00EF295C" w:rsidRDefault="002E5FCE" w:rsidP="000304EA">
      <w:pPr>
        <w:jc w:val="both"/>
        <w:rPr>
          <w:sz w:val="20"/>
          <w:szCs w:val="20"/>
          <w:lang w:val="fr-CA"/>
        </w:rPr>
      </w:pPr>
      <w:r>
        <w:rPr>
          <w:sz w:val="20"/>
          <w:szCs w:val="20"/>
          <w:lang w:val="fr-CA"/>
        </w:rPr>
        <w:pict>
          <v:rect id="_x0000_i1085" style="width:2in;height:1pt" o:hrpct="0" o:hralign="center" o:hrstd="t" o:hrnoshade="t" o:hr="t" fillcolor="black [3213]" stroked="f"/>
        </w:pict>
      </w:r>
    </w:p>
    <w:p w:rsidR="00665CAF" w:rsidRPr="00EF295C" w:rsidRDefault="00665CAF" w:rsidP="000304EA">
      <w:pPr>
        <w:jc w:val="both"/>
        <w:rPr>
          <w:sz w:val="20"/>
          <w:szCs w:val="20"/>
          <w:lang w:val="fr-CA"/>
        </w:rPr>
      </w:pPr>
    </w:p>
    <w:p w:rsidR="00665CAF" w:rsidRPr="00EF295C" w:rsidRDefault="00665CAF">
      <w:pPr>
        <w:rPr>
          <w:b/>
          <w:sz w:val="20"/>
          <w:szCs w:val="20"/>
        </w:rPr>
      </w:pPr>
      <w:r w:rsidRPr="00EF295C">
        <w:rPr>
          <w:b/>
          <w:sz w:val="20"/>
          <w:szCs w:val="20"/>
        </w:rPr>
        <w:br w:type="page"/>
      </w:r>
    </w:p>
    <w:p w:rsidR="00665CAF" w:rsidRPr="00EF295C" w:rsidRDefault="00665CAF" w:rsidP="00665CAF">
      <w:pPr>
        <w:widowControl w:val="0"/>
        <w:ind w:left="720" w:hanging="720"/>
        <w:jc w:val="both"/>
        <w:rPr>
          <w:sz w:val="20"/>
          <w:szCs w:val="20"/>
          <w:lang w:val="fr-CA"/>
        </w:rPr>
      </w:pPr>
      <w:r w:rsidRPr="00EF295C">
        <w:rPr>
          <w:b/>
          <w:sz w:val="20"/>
          <w:szCs w:val="20"/>
        </w:rPr>
        <w:lastRenderedPageBreak/>
        <w:fldChar w:fldCharType="begin"/>
      </w:r>
      <w:r w:rsidRPr="00EF295C">
        <w:rPr>
          <w:b/>
          <w:sz w:val="20"/>
          <w:szCs w:val="20"/>
          <w:lang w:val="fr-CA"/>
        </w:rPr>
        <w:instrText xml:space="preserve"> SEQ CHAPTER \h \r 1</w:instrText>
      </w:r>
      <w:r w:rsidRPr="00EF295C">
        <w:rPr>
          <w:b/>
          <w:sz w:val="20"/>
          <w:szCs w:val="20"/>
        </w:rPr>
        <w:fldChar w:fldCharType="end"/>
      </w:r>
      <w:r w:rsidRPr="00EF295C">
        <w:rPr>
          <w:b/>
          <w:sz w:val="20"/>
          <w:szCs w:val="20"/>
          <w:lang w:val="fr-CA"/>
        </w:rPr>
        <w:t>36816</w:t>
      </w:r>
      <w:r w:rsidRPr="00EF295C">
        <w:rPr>
          <w:sz w:val="20"/>
          <w:szCs w:val="20"/>
          <w:lang w:val="fr-CA"/>
        </w:rPr>
        <w:tab/>
      </w:r>
      <w:r w:rsidRPr="00EF295C">
        <w:rPr>
          <w:b/>
          <w:i/>
          <w:sz w:val="20"/>
          <w:szCs w:val="20"/>
          <w:lang w:val="fr-CA"/>
        </w:rPr>
        <w:t xml:space="preserve">Scott </w:t>
      </w:r>
      <w:proofErr w:type="spellStart"/>
      <w:r w:rsidRPr="00EF295C">
        <w:rPr>
          <w:b/>
          <w:i/>
          <w:sz w:val="20"/>
          <w:szCs w:val="20"/>
          <w:lang w:val="fr-CA"/>
        </w:rPr>
        <w:t>Diamond</w:t>
      </w:r>
      <w:proofErr w:type="spellEnd"/>
      <w:r w:rsidRPr="00EF295C">
        <w:rPr>
          <w:b/>
          <w:i/>
          <w:sz w:val="20"/>
          <w:szCs w:val="20"/>
          <w:lang w:val="fr-CA"/>
        </w:rPr>
        <w:t xml:space="preserve"> c. Sa Majesté la Reine</w:t>
      </w:r>
    </w:p>
    <w:p w:rsidR="00665CAF" w:rsidRPr="00EF295C" w:rsidRDefault="00665CAF" w:rsidP="00665CAF">
      <w:pPr>
        <w:widowControl w:val="0"/>
        <w:ind w:left="1440" w:hanging="720"/>
        <w:jc w:val="both"/>
        <w:rPr>
          <w:sz w:val="20"/>
          <w:szCs w:val="20"/>
          <w:lang w:val="fr-CA"/>
        </w:rPr>
      </w:pPr>
      <w:r w:rsidRPr="00EF295C">
        <w:rPr>
          <w:sz w:val="20"/>
          <w:szCs w:val="20"/>
          <w:lang w:val="fr-CA"/>
        </w:rPr>
        <w:t>(T.-N.-L.) (Criminelle) (De plein droit)</w:t>
      </w:r>
    </w:p>
    <w:p w:rsidR="00665CAF" w:rsidRPr="00EF295C" w:rsidRDefault="00665CAF" w:rsidP="00665CAF">
      <w:pPr>
        <w:widowControl w:val="0"/>
        <w:jc w:val="both"/>
        <w:rPr>
          <w:sz w:val="20"/>
          <w:szCs w:val="20"/>
          <w:lang w:val="fr-CA"/>
        </w:rPr>
      </w:pPr>
    </w:p>
    <w:p w:rsidR="00665CAF" w:rsidRPr="00EF295C" w:rsidRDefault="00665CAF" w:rsidP="00665CAF">
      <w:pPr>
        <w:widowControl w:val="0"/>
        <w:jc w:val="both"/>
        <w:rPr>
          <w:sz w:val="20"/>
          <w:szCs w:val="20"/>
          <w:lang w:val="fr-CA"/>
        </w:rPr>
      </w:pPr>
      <w:r w:rsidRPr="00EF295C">
        <w:rPr>
          <w:sz w:val="20"/>
          <w:szCs w:val="20"/>
          <w:lang w:val="fr-CA"/>
        </w:rPr>
        <w:t xml:space="preserve">Droit constitutionnel - Charte des droits - Fouilles, perquisitions et saisies - Détention arbitraire - Réparation - La Cour d’appel a-t-elle commis une erreur lorsqu’elle a conclu que l’inspection du véhicule de l’accusé par l’agent de police était autorisée par la loi et ne constituait pas une perquisition? - La Cour d’appel a-t-elle commis une erreur lorsqu’elle a jugé légale l’arrestation de l’accusé effectuée en vertu de l’art. 88 du </w:t>
      </w:r>
      <w:r w:rsidRPr="00EF295C">
        <w:rPr>
          <w:i/>
          <w:sz w:val="20"/>
          <w:szCs w:val="20"/>
          <w:lang w:val="fr-CA"/>
        </w:rPr>
        <w:t>Code criminel</w:t>
      </w:r>
      <w:r w:rsidRPr="00EF295C">
        <w:rPr>
          <w:sz w:val="20"/>
          <w:szCs w:val="20"/>
          <w:lang w:val="fr-CA"/>
        </w:rPr>
        <w:t xml:space="preserve"> pour possession d’un couteau? - La Cour d’appel a-t-elle fait erreur lorsqu’elle a jugé qu’il n’y avait pas eu atteinte aux droits garantis à l’accusé par la </w:t>
      </w:r>
      <w:r w:rsidRPr="00EF295C">
        <w:rPr>
          <w:i/>
          <w:sz w:val="20"/>
          <w:szCs w:val="20"/>
          <w:lang w:val="fr-CA"/>
        </w:rPr>
        <w:t>Charte</w:t>
      </w:r>
      <w:r w:rsidRPr="00EF295C">
        <w:rPr>
          <w:sz w:val="20"/>
          <w:szCs w:val="20"/>
          <w:lang w:val="fr-CA"/>
        </w:rPr>
        <w:t>?</w:t>
      </w:r>
    </w:p>
    <w:p w:rsidR="00665CAF" w:rsidRPr="00EF295C" w:rsidRDefault="00665CAF" w:rsidP="00665CAF">
      <w:pPr>
        <w:widowControl w:val="0"/>
        <w:jc w:val="both"/>
        <w:rPr>
          <w:sz w:val="20"/>
          <w:szCs w:val="20"/>
          <w:lang w:val="fr-CA"/>
        </w:rPr>
      </w:pPr>
    </w:p>
    <w:p w:rsidR="00665CAF" w:rsidRPr="00EF295C" w:rsidRDefault="00665CAF" w:rsidP="00665CAF">
      <w:pPr>
        <w:widowControl w:val="0"/>
        <w:jc w:val="both"/>
        <w:rPr>
          <w:sz w:val="20"/>
          <w:szCs w:val="20"/>
          <w:lang w:val="fr-CA"/>
        </w:rPr>
      </w:pPr>
      <w:r w:rsidRPr="00EF295C">
        <w:rPr>
          <w:sz w:val="20"/>
          <w:szCs w:val="20"/>
          <w:lang w:val="fr-CA"/>
        </w:rPr>
        <w:t xml:space="preserve">Monsieur </w:t>
      </w:r>
      <w:proofErr w:type="spellStart"/>
      <w:r w:rsidRPr="00EF295C">
        <w:rPr>
          <w:sz w:val="20"/>
          <w:szCs w:val="20"/>
          <w:lang w:val="fr-CA"/>
        </w:rPr>
        <w:t>Diamond</w:t>
      </w:r>
      <w:proofErr w:type="spellEnd"/>
      <w:r w:rsidRPr="00EF295C">
        <w:rPr>
          <w:sz w:val="20"/>
          <w:szCs w:val="20"/>
          <w:lang w:val="fr-CA"/>
        </w:rPr>
        <w:t xml:space="preserve"> a été déclaré coupable de possession illégale d’une arme dangereuse pour la paix publique et de possession de cocaïne en vue d’en faire le trafic. La police a arrêté sa camionnette pendant la nuit pour excès de vitesse. Pendant que M. </w:t>
      </w:r>
      <w:proofErr w:type="spellStart"/>
      <w:r w:rsidRPr="00EF295C">
        <w:rPr>
          <w:sz w:val="20"/>
          <w:szCs w:val="20"/>
          <w:lang w:val="fr-CA"/>
        </w:rPr>
        <w:t>Diamond</w:t>
      </w:r>
      <w:proofErr w:type="spellEnd"/>
      <w:r w:rsidRPr="00EF295C">
        <w:rPr>
          <w:sz w:val="20"/>
          <w:szCs w:val="20"/>
          <w:lang w:val="fr-CA"/>
        </w:rPr>
        <w:t xml:space="preserve"> fouillait pour trouver son permis de conduire et les enregistrements du véhicule, l’agent a remarqué dans le faisceau de sa lampe de poche un couteau de chasse sans étui. Il a arrêté M. </w:t>
      </w:r>
      <w:proofErr w:type="spellStart"/>
      <w:r w:rsidRPr="00EF295C">
        <w:rPr>
          <w:sz w:val="20"/>
          <w:szCs w:val="20"/>
          <w:lang w:val="fr-CA"/>
        </w:rPr>
        <w:t>Diamond</w:t>
      </w:r>
      <w:proofErr w:type="spellEnd"/>
      <w:r w:rsidRPr="00EF295C">
        <w:rPr>
          <w:sz w:val="20"/>
          <w:szCs w:val="20"/>
          <w:lang w:val="fr-CA"/>
        </w:rPr>
        <w:t xml:space="preserve"> pour possession d’une arme dangereuse pour la paix publique. L’agent lui a fait subir une fouille par palpation en bordure de la route et a trouvé sur lui un petit sac de cocaïne. Une fouille à nu à laquelle il a été procédé au poste a révélé 28 autres petits sacs de cocaïne.</w:t>
      </w:r>
    </w:p>
    <w:p w:rsidR="00665CAF" w:rsidRPr="00EF295C" w:rsidRDefault="00665CAF" w:rsidP="00665CAF">
      <w:pPr>
        <w:widowControl w:val="0"/>
        <w:jc w:val="both"/>
        <w:rPr>
          <w:sz w:val="20"/>
          <w:szCs w:val="20"/>
          <w:lang w:val="fr-CA"/>
        </w:rPr>
      </w:pPr>
    </w:p>
    <w:p w:rsidR="00665CAF" w:rsidRPr="00EF295C" w:rsidRDefault="00665CAF" w:rsidP="00665CAF">
      <w:pPr>
        <w:widowControl w:val="0"/>
        <w:jc w:val="both"/>
        <w:rPr>
          <w:sz w:val="20"/>
          <w:szCs w:val="20"/>
          <w:lang w:val="fr-CA"/>
        </w:rPr>
      </w:pPr>
      <w:r w:rsidRPr="00EF295C">
        <w:rPr>
          <w:sz w:val="20"/>
          <w:szCs w:val="20"/>
          <w:lang w:val="fr-CA"/>
        </w:rPr>
        <w:t>Au procès, M. </w:t>
      </w:r>
      <w:proofErr w:type="spellStart"/>
      <w:r w:rsidRPr="00EF295C">
        <w:rPr>
          <w:sz w:val="20"/>
          <w:szCs w:val="20"/>
          <w:lang w:val="fr-CA"/>
        </w:rPr>
        <w:t>Diamond</w:t>
      </w:r>
      <w:proofErr w:type="spellEnd"/>
      <w:r w:rsidRPr="00EF295C">
        <w:rPr>
          <w:sz w:val="20"/>
          <w:szCs w:val="20"/>
          <w:lang w:val="fr-CA"/>
        </w:rPr>
        <w:t xml:space="preserve"> a plaidé que la perquisition de son véhicule avait été faite sans mandat, en contravention à l’art. 8 de la </w:t>
      </w:r>
      <w:r w:rsidRPr="00EF295C">
        <w:rPr>
          <w:i/>
          <w:sz w:val="20"/>
          <w:szCs w:val="20"/>
          <w:lang w:val="fr-CA"/>
        </w:rPr>
        <w:t>Charte canadienne des droits et libertés</w:t>
      </w:r>
      <w:r w:rsidRPr="00EF295C">
        <w:rPr>
          <w:sz w:val="20"/>
          <w:szCs w:val="20"/>
          <w:lang w:val="fr-CA"/>
        </w:rPr>
        <w:t xml:space="preserve">, que son arrestation était illégale et violait l’art. 9 de la </w:t>
      </w:r>
      <w:r w:rsidRPr="00EF295C">
        <w:rPr>
          <w:i/>
          <w:sz w:val="20"/>
          <w:szCs w:val="20"/>
          <w:lang w:val="fr-CA"/>
        </w:rPr>
        <w:t>Charte</w:t>
      </w:r>
      <w:r w:rsidRPr="00EF295C">
        <w:rPr>
          <w:sz w:val="20"/>
          <w:szCs w:val="20"/>
          <w:lang w:val="fr-CA"/>
        </w:rPr>
        <w:t xml:space="preserve"> et que la preuve recueillie devait être écartée en vertu du par. 24(2) de la </w:t>
      </w:r>
      <w:r w:rsidRPr="00EF295C">
        <w:rPr>
          <w:i/>
          <w:sz w:val="20"/>
          <w:szCs w:val="20"/>
          <w:lang w:val="fr-CA"/>
        </w:rPr>
        <w:t>Charte</w:t>
      </w:r>
      <w:r w:rsidRPr="00EF295C">
        <w:rPr>
          <w:sz w:val="20"/>
          <w:szCs w:val="20"/>
          <w:lang w:val="fr-CA"/>
        </w:rPr>
        <w:t>. Selon le juge du procès, les actes effectués par l’agent en bordure de la route ne constituaient pas une perquisition, la saisie du couteau était justifiée, l’agent avait des motifs raisonnables et probables d’arrêter M. </w:t>
      </w:r>
      <w:proofErr w:type="spellStart"/>
      <w:r w:rsidRPr="00EF295C">
        <w:rPr>
          <w:sz w:val="20"/>
          <w:szCs w:val="20"/>
          <w:lang w:val="fr-CA"/>
        </w:rPr>
        <w:t>Diamond</w:t>
      </w:r>
      <w:proofErr w:type="spellEnd"/>
      <w:r w:rsidRPr="00EF295C">
        <w:rPr>
          <w:sz w:val="20"/>
          <w:szCs w:val="20"/>
          <w:lang w:val="fr-CA"/>
        </w:rPr>
        <w:t xml:space="preserve"> et la saisie de la cocaïne était légale et accessoire à l’arrestation. Les juges majoritaires de la Cour d’appel ont confirmé les conclusions du juge du procès et rejeté l’appel. Le juge White, dissident, était d’avis d’accueillir l’appel, d’ordonner que toute la preuve soit écartée et d’inscrire des acquittements à l’égard de toutes les accusations. Selon le juge White, l’agent avait procédé à la perquisition sans mandat, mais cette dernière était nécessaire pour sa sécurité. Toutefois, à son avis, l’agent n’avait pas de motifs raisonnables et probables d’arrêter M. </w:t>
      </w:r>
      <w:proofErr w:type="spellStart"/>
      <w:r w:rsidRPr="00EF295C">
        <w:rPr>
          <w:sz w:val="20"/>
          <w:szCs w:val="20"/>
          <w:lang w:val="fr-CA"/>
        </w:rPr>
        <w:t>Diamond</w:t>
      </w:r>
      <w:proofErr w:type="spellEnd"/>
      <w:r w:rsidRPr="00EF295C">
        <w:rPr>
          <w:sz w:val="20"/>
          <w:szCs w:val="20"/>
          <w:lang w:val="fr-CA"/>
        </w:rPr>
        <w:t xml:space="preserve">. L’arrestation enfreignait donc l’art. 9 de la </w:t>
      </w:r>
      <w:r w:rsidRPr="00EF295C">
        <w:rPr>
          <w:i/>
          <w:sz w:val="20"/>
          <w:szCs w:val="20"/>
          <w:lang w:val="fr-CA"/>
        </w:rPr>
        <w:t>Charte</w:t>
      </w:r>
      <w:r w:rsidRPr="00EF295C">
        <w:rPr>
          <w:sz w:val="20"/>
          <w:szCs w:val="20"/>
          <w:lang w:val="fr-CA"/>
        </w:rPr>
        <w:t xml:space="preserve">. Comme l’arrestation était illégale, la fouille accessoire à l’arrestation était donc illégale et enfreignait les droits que l’art. 8 de la </w:t>
      </w:r>
      <w:r w:rsidRPr="00EF295C">
        <w:rPr>
          <w:i/>
          <w:sz w:val="20"/>
          <w:szCs w:val="20"/>
          <w:lang w:val="fr-CA"/>
        </w:rPr>
        <w:t>Charte</w:t>
      </w:r>
      <w:r w:rsidRPr="00EF295C">
        <w:rPr>
          <w:sz w:val="20"/>
          <w:szCs w:val="20"/>
          <w:lang w:val="fr-CA"/>
        </w:rPr>
        <w:t xml:space="preserve"> garantit à M. </w:t>
      </w:r>
      <w:proofErr w:type="spellStart"/>
      <w:r w:rsidRPr="00EF295C">
        <w:rPr>
          <w:sz w:val="20"/>
          <w:szCs w:val="20"/>
          <w:lang w:val="fr-CA"/>
        </w:rPr>
        <w:t>Diamond</w:t>
      </w:r>
      <w:proofErr w:type="spellEnd"/>
      <w:r w:rsidRPr="00EF295C">
        <w:rPr>
          <w:sz w:val="20"/>
          <w:szCs w:val="20"/>
          <w:lang w:val="fr-CA"/>
        </w:rPr>
        <w:t>. Selon le juge White, il fallait écarter le couteau et la cocaïne en vertu du par. 24(2) pour éviter que l’administration de la justice soit déconsidérée.</w:t>
      </w:r>
    </w:p>
    <w:p w:rsidR="00665CAF" w:rsidRPr="00EF295C" w:rsidRDefault="00665CAF" w:rsidP="000304EA">
      <w:pPr>
        <w:jc w:val="both"/>
        <w:rPr>
          <w:sz w:val="20"/>
          <w:szCs w:val="20"/>
          <w:lang w:val="fr-CA"/>
        </w:rPr>
      </w:pPr>
    </w:p>
    <w:p w:rsidR="00665CAF" w:rsidRPr="00EF295C" w:rsidRDefault="002E5FCE" w:rsidP="000304EA">
      <w:pPr>
        <w:jc w:val="both"/>
        <w:rPr>
          <w:sz w:val="20"/>
          <w:szCs w:val="20"/>
          <w:lang w:val="fr-CA"/>
        </w:rPr>
      </w:pPr>
      <w:r>
        <w:rPr>
          <w:sz w:val="20"/>
          <w:szCs w:val="20"/>
          <w:lang w:val="fr-CA"/>
        </w:rPr>
        <w:pict>
          <v:rect id="_x0000_i1086" style="width:2in;height:1pt" o:hrpct="0" o:hralign="center" o:hrstd="t" o:hrnoshade="t" o:hr="t" fillcolor="black [3213]" stroked="f"/>
        </w:pict>
      </w:r>
    </w:p>
    <w:p w:rsidR="00665CAF" w:rsidRPr="00EF295C" w:rsidRDefault="00665CAF" w:rsidP="000304EA">
      <w:pPr>
        <w:jc w:val="both"/>
        <w:rPr>
          <w:sz w:val="20"/>
          <w:szCs w:val="20"/>
          <w:lang w:val="fr-CA"/>
        </w:rPr>
      </w:pPr>
    </w:p>
    <w:p w:rsidR="00665CAF" w:rsidRPr="00EF295C" w:rsidRDefault="00665CAF" w:rsidP="000304EA">
      <w:pPr>
        <w:jc w:val="both"/>
        <w:rPr>
          <w:sz w:val="20"/>
          <w:szCs w:val="20"/>
          <w:lang w:val="fr-CA"/>
        </w:rPr>
      </w:pPr>
    </w:p>
    <w:p w:rsidR="00665CAF" w:rsidRPr="00EF295C" w:rsidRDefault="00665CAF" w:rsidP="000304EA">
      <w:pPr>
        <w:jc w:val="both"/>
        <w:rPr>
          <w:sz w:val="20"/>
          <w:szCs w:val="20"/>
          <w:lang w:val="fr-CA"/>
        </w:rPr>
      </w:pPr>
    </w:p>
    <w:p w:rsidR="00665CAF" w:rsidRPr="00EF295C" w:rsidRDefault="00665CAF">
      <w:pPr>
        <w:rPr>
          <w:sz w:val="20"/>
          <w:szCs w:val="20"/>
          <w:lang w:val="fr-CA"/>
        </w:rPr>
      </w:pPr>
      <w:r w:rsidRPr="00EF295C">
        <w:rPr>
          <w:sz w:val="20"/>
          <w:szCs w:val="20"/>
          <w:lang w:val="fr-CA"/>
        </w:rPr>
        <w:br w:type="page"/>
      </w:r>
    </w:p>
    <w:p w:rsidR="00665CAF" w:rsidRPr="00EF295C" w:rsidRDefault="00665CAF" w:rsidP="00665CAF">
      <w:pPr>
        <w:widowControl w:val="0"/>
        <w:ind w:left="720" w:hanging="720"/>
        <w:jc w:val="both"/>
        <w:rPr>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36610</w:t>
      </w:r>
      <w:r w:rsidRPr="00EF295C">
        <w:rPr>
          <w:sz w:val="20"/>
          <w:szCs w:val="20"/>
        </w:rPr>
        <w:tab/>
      </w:r>
      <w:r w:rsidRPr="00EF295C">
        <w:rPr>
          <w:b/>
          <w:i/>
          <w:sz w:val="20"/>
          <w:szCs w:val="20"/>
        </w:rPr>
        <w:t xml:space="preserve">Carson Bingley v. Her Majesty the Queen </w:t>
      </w:r>
      <w:r w:rsidRPr="00EF295C">
        <w:rPr>
          <w:sz w:val="20"/>
          <w:szCs w:val="20"/>
        </w:rPr>
        <w:t>(Ont.) (Criminal) (By Leave)</w:t>
      </w:r>
    </w:p>
    <w:p w:rsidR="00665CAF" w:rsidRPr="00EF295C" w:rsidRDefault="00665CAF" w:rsidP="00665CAF">
      <w:pPr>
        <w:widowControl w:val="0"/>
        <w:jc w:val="both"/>
        <w:rPr>
          <w:sz w:val="20"/>
          <w:szCs w:val="20"/>
        </w:rPr>
      </w:pPr>
    </w:p>
    <w:p w:rsidR="00665CAF" w:rsidRPr="00EF295C" w:rsidRDefault="00665CAF" w:rsidP="00665CAF">
      <w:pPr>
        <w:jc w:val="both"/>
        <w:rPr>
          <w:sz w:val="20"/>
          <w:szCs w:val="20"/>
        </w:rPr>
      </w:pPr>
      <w:r w:rsidRPr="00EF295C">
        <w:rPr>
          <w:sz w:val="20"/>
          <w:szCs w:val="20"/>
        </w:rPr>
        <w:t xml:space="preserve">Criminal law - Evidence - Expert evidence - Opinion evidence - Admissibility - Are the opinions of a Drug Recognition Expert (“DRE”) conducting an evaluation of a suspected drug-impaired driver pursuant to s. 254(3.1) of the </w:t>
      </w:r>
      <w:r w:rsidRPr="00EF295C">
        <w:rPr>
          <w:i/>
          <w:sz w:val="20"/>
          <w:szCs w:val="20"/>
        </w:rPr>
        <w:t>Criminal Code</w:t>
      </w:r>
      <w:r w:rsidRPr="00EF295C">
        <w:rPr>
          <w:sz w:val="20"/>
          <w:szCs w:val="20"/>
        </w:rPr>
        <w:t xml:space="preserve"> admissible in evidence without a </w:t>
      </w:r>
      <w:proofErr w:type="spellStart"/>
      <w:r w:rsidRPr="00EF295C">
        <w:rPr>
          <w:i/>
          <w:sz w:val="20"/>
          <w:szCs w:val="20"/>
        </w:rPr>
        <w:t>voir</w:t>
      </w:r>
      <w:proofErr w:type="spellEnd"/>
      <w:r w:rsidRPr="00EF295C">
        <w:rPr>
          <w:i/>
          <w:sz w:val="20"/>
          <w:szCs w:val="20"/>
        </w:rPr>
        <w:t xml:space="preserve"> dire</w:t>
      </w:r>
      <w:r w:rsidRPr="00EF295C">
        <w:rPr>
          <w:sz w:val="20"/>
          <w:szCs w:val="20"/>
        </w:rPr>
        <w:t xml:space="preserve"> in accordance with </w:t>
      </w:r>
      <w:r w:rsidRPr="00EF295C">
        <w:rPr>
          <w:i/>
          <w:sz w:val="20"/>
          <w:szCs w:val="20"/>
        </w:rPr>
        <w:t>R. v. Mohan</w:t>
      </w:r>
      <w:r w:rsidRPr="00EF295C">
        <w:rPr>
          <w:sz w:val="20"/>
          <w:szCs w:val="20"/>
        </w:rPr>
        <w:t xml:space="preserve">, [1994] 2 S.C.R. 9? - In the alternative, are DRE opinions “lay opinions” as contemplated by this Court in </w:t>
      </w:r>
      <w:r w:rsidRPr="00EF295C">
        <w:rPr>
          <w:i/>
          <w:sz w:val="20"/>
          <w:szCs w:val="20"/>
        </w:rPr>
        <w:t xml:space="preserve">R. v. </w:t>
      </w:r>
      <w:proofErr w:type="spellStart"/>
      <w:r w:rsidRPr="00EF295C">
        <w:rPr>
          <w:i/>
          <w:sz w:val="20"/>
          <w:szCs w:val="20"/>
        </w:rPr>
        <w:t>Graat</w:t>
      </w:r>
      <w:proofErr w:type="spellEnd"/>
      <w:r w:rsidRPr="00EF295C">
        <w:rPr>
          <w:sz w:val="20"/>
          <w:szCs w:val="20"/>
        </w:rPr>
        <w:t xml:space="preserve">, [1982] 2 S.C.R. 819, and therefore admissible in evidence without a </w:t>
      </w:r>
      <w:r w:rsidRPr="00EF295C">
        <w:rPr>
          <w:i/>
          <w:sz w:val="20"/>
          <w:szCs w:val="20"/>
        </w:rPr>
        <w:t xml:space="preserve">Mohan </w:t>
      </w:r>
      <w:proofErr w:type="spellStart"/>
      <w:r w:rsidRPr="00EF295C">
        <w:rPr>
          <w:i/>
          <w:sz w:val="20"/>
          <w:szCs w:val="20"/>
        </w:rPr>
        <w:t>voir</w:t>
      </w:r>
      <w:proofErr w:type="spellEnd"/>
      <w:r w:rsidRPr="00EF295C">
        <w:rPr>
          <w:i/>
          <w:sz w:val="20"/>
          <w:szCs w:val="20"/>
        </w:rPr>
        <w:t xml:space="preserve"> dire</w:t>
      </w:r>
      <w:r w:rsidRPr="00EF295C">
        <w:rPr>
          <w:sz w:val="20"/>
          <w:szCs w:val="20"/>
        </w:rPr>
        <w:t xml:space="preserve">? - </w:t>
      </w:r>
      <w:r w:rsidRPr="00EF295C">
        <w:rPr>
          <w:i/>
          <w:sz w:val="20"/>
          <w:szCs w:val="20"/>
        </w:rPr>
        <w:t>Criminal Code</w:t>
      </w:r>
      <w:r w:rsidRPr="00EF295C">
        <w:rPr>
          <w:sz w:val="20"/>
          <w:szCs w:val="20"/>
        </w:rPr>
        <w:t>, R.S.C. 1985, c. C-46, s. 354(3.1).</w:t>
      </w:r>
    </w:p>
    <w:p w:rsidR="00665CAF" w:rsidRPr="00EF295C" w:rsidRDefault="00665CAF" w:rsidP="00665CAF">
      <w:pPr>
        <w:widowControl w:val="0"/>
        <w:jc w:val="both"/>
        <w:rPr>
          <w:sz w:val="20"/>
          <w:szCs w:val="20"/>
        </w:rPr>
      </w:pPr>
    </w:p>
    <w:p w:rsidR="00665CAF" w:rsidRPr="00EF295C" w:rsidRDefault="00665CAF" w:rsidP="00665CAF">
      <w:pPr>
        <w:jc w:val="both"/>
        <w:rPr>
          <w:sz w:val="20"/>
          <w:szCs w:val="20"/>
        </w:rPr>
      </w:pPr>
      <w:r w:rsidRPr="00EF295C">
        <w:rPr>
          <w:sz w:val="20"/>
          <w:szCs w:val="20"/>
        </w:rPr>
        <w:t xml:space="preserve">Police were called after the appellant, Mr. Bingley, struck a car. Police noted signs of impairment; however, the results of a roadside test revealed a blood alcohol concentration well below the legal limit and inconsistent with the observed indicia of impairment. Therefore, a Drug Recognition Expert (“DRE”) administered standard sobriety tests to Mr. Bingley at the scene. When he failed the sobriety tests, Mr. Bingley was charged with driving while drug impaired. He admitted that he had smoked marijuana and taken two Xanax in the previous 12 hours. A urinalysis revealed the presence of cannabis, cocaine and Alprazolam. Mr. Bingley was tried for the offence of driving while drug impaired. He was acquitted (despite the DRE’s evidence, which the first judge found could be received without a </w:t>
      </w:r>
      <w:proofErr w:type="spellStart"/>
      <w:r w:rsidRPr="00EF295C">
        <w:rPr>
          <w:i/>
          <w:sz w:val="20"/>
          <w:szCs w:val="20"/>
        </w:rPr>
        <w:t>voir</w:t>
      </w:r>
      <w:proofErr w:type="spellEnd"/>
      <w:r w:rsidRPr="00EF295C">
        <w:rPr>
          <w:i/>
          <w:sz w:val="20"/>
          <w:szCs w:val="20"/>
        </w:rPr>
        <w:t xml:space="preserve"> dire</w:t>
      </w:r>
      <w:r w:rsidRPr="00EF295C">
        <w:rPr>
          <w:sz w:val="20"/>
          <w:szCs w:val="20"/>
        </w:rPr>
        <w:t xml:space="preserve"> in accordance with </w:t>
      </w:r>
      <w:r w:rsidRPr="00EF295C">
        <w:rPr>
          <w:i/>
          <w:sz w:val="20"/>
          <w:szCs w:val="20"/>
        </w:rPr>
        <w:t>R. v. Mohan</w:t>
      </w:r>
      <w:r w:rsidRPr="00EF295C">
        <w:rPr>
          <w:sz w:val="20"/>
          <w:szCs w:val="20"/>
        </w:rPr>
        <w:t xml:space="preserve">, [1994] 2 S.C.R. 9), but a summary conviction appeal led to the acquittal being overturned and a new trial being ordered. At the new trial, a second judge found that the DRE evidence could not be received without a </w:t>
      </w:r>
      <w:proofErr w:type="spellStart"/>
      <w:r w:rsidRPr="00EF295C">
        <w:rPr>
          <w:i/>
          <w:sz w:val="20"/>
          <w:szCs w:val="20"/>
        </w:rPr>
        <w:t>voir</w:t>
      </w:r>
      <w:proofErr w:type="spellEnd"/>
      <w:r w:rsidRPr="00EF295C">
        <w:rPr>
          <w:i/>
          <w:sz w:val="20"/>
          <w:szCs w:val="20"/>
        </w:rPr>
        <w:t xml:space="preserve"> dire</w:t>
      </w:r>
      <w:r w:rsidRPr="00EF295C">
        <w:rPr>
          <w:sz w:val="20"/>
          <w:szCs w:val="20"/>
        </w:rPr>
        <w:t xml:space="preserve">. On the </w:t>
      </w:r>
      <w:proofErr w:type="spellStart"/>
      <w:r w:rsidRPr="00EF295C">
        <w:rPr>
          <w:i/>
          <w:sz w:val="20"/>
          <w:szCs w:val="20"/>
        </w:rPr>
        <w:t>voir</w:t>
      </w:r>
      <w:proofErr w:type="spellEnd"/>
      <w:r w:rsidRPr="00EF295C">
        <w:rPr>
          <w:i/>
          <w:sz w:val="20"/>
          <w:szCs w:val="20"/>
        </w:rPr>
        <w:t xml:space="preserve"> dire</w:t>
      </w:r>
      <w:r w:rsidRPr="00EF295C">
        <w:rPr>
          <w:sz w:val="20"/>
          <w:szCs w:val="20"/>
        </w:rPr>
        <w:t>, however, the judge determined that the DRE evidence was inadmissible and therefore acquitted Mr. Bingley again. The Crown brought another summary conviction appeal. The summary conviction appeal judge allowed the Crown appeal and ordered yet a third trial. Mr. Bingley appealed in turn, but unsuccessfully.</w:t>
      </w:r>
    </w:p>
    <w:p w:rsidR="00665CAF" w:rsidRPr="00EF295C" w:rsidRDefault="00665CAF" w:rsidP="000304EA">
      <w:pPr>
        <w:jc w:val="both"/>
        <w:rPr>
          <w:sz w:val="20"/>
          <w:szCs w:val="20"/>
        </w:rPr>
      </w:pPr>
    </w:p>
    <w:p w:rsidR="00665CAF" w:rsidRPr="00EF295C" w:rsidRDefault="002E5FCE" w:rsidP="000304EA">
      <w:pPr>
        <w:jc w:val="both"/>
        <w:rPr>
          <w:sz w:val="20"/>
          <w:szCs w:val="20"/>
          <w:lang w:val="fr-CA"/>
        </w:rPr>
      </w:pPr>
      <w:r>
        <w:rPr>
          <w:sz w:val="20"/>
          <w:szCs w:val="20"/>
          <w:lang w:val="fr-CA"/>
        </w:rPr>
        <w:pict>
          <v:rect id="_x0000_i1087" style="width:2in;height:1pt" o:hrpct="0" o:hralign="center" o:hrstd="t" o:hrnoshade="t" o:hr="t" fillcolor="black [3213]" stroked="f"/>
        </w:pict>
      </w:r>
    </w:p>
    <w:p w:rsidR="00665CAF" w:rsidRPr="00EF295C" w:rsidRDefault="00665CAF" w:rsidP="000304EA">
      <w:pPr>
        <w:jc w:val="both"/>
        <w:rPr>
          <w:sz w:val="20"/>
          <w:szCs w:val="20"/>
          <w:lang w:val="fr-CA"/>
        </w:rPr>
      </w:pPr>
    </w:p>
    <w:p w:rsidR="00435438" w:rsidRPr="00EF295C" w:rsidRDefault="00435438" w:rsidP="00435438">
      <w:pPr>
        <w:pStyle w:val="SCCLsocParty"/>
        <w:rPr>
          <w:b w:val="0"/>
          <w:sz w:val="20"/>
          <w:szCs w:val="20"/>
          <w:lang w:val="fr-CA"/>
        </w:rPr>
      </w:pPr>
      <w:r w:rsidRPr="00EF295C">
        <w:rPr>
          <w:rStyle w:val="SCCFileNumberChar"/>
          <w:b/>
          <w:sz w:val="20"/>
          <w:szCs w:val="20"/>
          <w:lang w:val="fr-CA"/>
        </w:rPr>
        <w:t>36610</w:t>
      </w:r>
      <w:r w:rsidRPr="00EF295C">
        <w:rPr>
          <w:rStyle w:val="SCCFileNumberChar"/>
          <w:b/>
          <w:sz w:val="20"/>
          <w:szCs w:val="20"/>
          <w:lang w:val="fr-CA"/>
        </w:rPr>
        <w:tab/>
      </w:r>
      <w:r w:rsidRPr="00EF295C">
        <w:rPr>
          <w:i/>
          <w:sz w:val="20"/>
          <w:szCs w:val="20"/>
          <w:lang w:val="fr-CA"/>
        </w:rPr>
        <w:t xml:space="preserve">Carson </w:t>
      </w:r>
      <w:proofErr w:type="spellStart"/>
      <w:r w:rsidRPr="00EF295C">
        <w:rPr>
          <w:i/>
          <w:sz w:val="20"/>
          <w:szCs w:val="20"/>
          <w:lang w:val="fr-CA"/>
        </w:rPr>
        <w:t>Bingley</w:t>
      </w:r>
      <w:proofErr w:type="spellEnd"/>
      <w:r w:rsidRPr="00EF295C">
        <w:rPr>
          <w:i/>
          <w:sz w:val="20"/>
          <w:szCs w:val="20"/>
          <w:lang w:val="fr-CA"/>
        </w:rPr>
        <w:t xml:space="preserve"> c. Sa Majesté la Reine</w:t>
      </w:r>
      <w:r w:rsidRPr="00EF295C">
        <w:rPr>
          <w:b w:val="0"/>
          <w:i/>
          <w:sz w:val="20"/>
          <w:szCs w:val="20"/>
          <w:lang w:val="fr-CA"/>
        </w:rPr>
        <w:t xml:space="preserve"> </w:t>
      </w:r>
      <w:r w:rsidRPr="00EF295C">
        <w:rPr>
          <w:b w:val="0"/>
          <w:sz w:val="20"/>
          <w:szCs w:val="20"/>
          <w:lang w:val="fr-CA"/>
        </w:rPr>
        <w:t>(Ont.) (Criminelle) (Sur autorisation)</w:t>
      </w:r>
    </w:p>
    <w:p w:rsidR="00435438" w:rsidRPr="00EF295C" w:rsidRDefault="00435438" w:rsidP="00435438">
      <w:pPr>
        <w:rPr>
          <w:sz w:val="20"/>
          <w:szCs w:val="20"/>
          <w:lang w:val="fr-CA"/>
        </w:rPr>
      </w:pPr>
    </w:p>
    <w:p w:rsidR="00435438" w:rsidRPr="00EF295C" w:rsidRDefault="00435438" w:rsidP="00435438">
      <w:pPr>
        <w:jc w:val="both"/>
        <w:rPr>
          <w:sz w:val="20"/>
          <w:szCs w:val="20"/>
          <w:lang w:val="fr-CA"/>
        </w:rPr>
      </w:pPr>
      <w:r w:rsidRPr="00EF295C">
        <w:rPr>
          <w:sz w:val="20"/>
          <w:szCs w:val="20"/>
          <w:lang w:val="fr-CA"/>
        </w:rPr>
        <w:t>Droit criminel - Preuve - Preuve d’expert - Témoignage d’opinion - Admissibilité - Les opinions d’un expert en reconnaissance de drogues (« ERD ») qui effectue l’évaluation d’un conducteur soupçonné d’avoir conduit avec les facultés affaiblies par la drogue en application du par. 254(3.1) du</w:t>
      </w:r>
      <w:r w:rsidRPr="00EF295C">
        <w:rPr>
          <w:i/>
          <w:sz w:val="20"/>
          <w:szCs w:val="20"/>
          <w:lang w:val="fr-CA"/>
        </w:rPr>
        <w:t xml:space="preserve"> Code criminel</w:t>
      </w:r>
      <w:r w:rsidRPr="00EF295C">
        <w:rPr>
          <w:sz w:val="20"/>
          <w:szCs w:val="20"/>
          <w:lang w:val="fr-CA"/>
        </w:rPr>
        <w:t xml:space="preserve"> sont-elles admissibles sans voir-dire conformément à l’arrêt </w:t>
      </w:r>
      <w:r w:rsidRPr="00EF295C">
        <w:rPr>
          <w:i/>
          <w:sz w:val="20"/>
          <w:szCs w:val="20"/>
          <w:lang w:val="fr-CA"/>
        </w:rPr>
        <w:t>R. c. Mohan</w:t>
      </w:r>
      <w:r w:rsidRPr="00EF295C">
        <w:rPr>
          <w:sz w:val="20"/>
          <w:szCs w:val="20"/>
          <w:lang w:val="fr-CA"/>
        </w:rPr>
        <w:t xml:space="preserve">, [1994] 2 R.C.S. 9? - Subsidiairement, ces opinions sont-elles des « opinions de non-expert » visées par notre Cour dans </w:t>
      </w:r>
      <w:r w:rsidRPr="00EF295C">
        <w:rPr>
          <w:i/>
          <w:sz w:val="20"/>
          <w:szCs w:val="20"/>
          <w:lang w:val="fr-CA"/>
        </w:rPr>
        <w:t xml:space="preserve">R. c. </w:t>
      </w:r>
      <w:proofErr w:type="spellStart"/>
      <w:r w:rsidRPr="00EF295C">
        <w:rPr>
          <w:i/>
          <w:sz w:val="20"/>
          <w:szCs w:val="20"/>
          <w:lang w:val="fr-CA"/>
        </w:rPr>
        <w:t>Graat</w:t>
      </w:r>
      <w:proofErr w:type="spellEnd"/>
      <w:r w:rsidRPr="00EF295C">
        <w:rPr>
          <w:sz w:val="20"/>
          <w:szCs w:val="20"/>
          <w:lang w:val="fr-CA"/>
        </w:rPr>
        <w:t xml:space="preserve">, [1982] 2 R.C.S. 819, et donc admissibles en preuve sans voir-dire en application de l’arrêt </w:t>
      </w:r>
      <w:r w:rsidRPr="00EF295C">
        <w:rPr>
          <w:i/>
          <w:sz w:val="20"/>
          <w:szCs w:val="20"/>
          <w:lang w:val="fr-CA"/>
        </w:rPr>
        <w:t>Mohan</w:t>
      </w:r>
      <w:r w:rsidRPr="00EF295C">
        <w:rPr>
          <w:sz w:val="20"/>
          <w:szCs w:val="20"/>
          <w:lang w:val="fr-CA"/>
        </w:rPr>
        <w:t xml:space="preserve">? - </w:t>
      </w:r>
      <w:r w:rsidRPr="00EF295C">
        <w:rPr>
          <w:i/>
          <w:sz w:val="20"/>
          <w:szCs w:val="20"/>
          <w:lang w:val="fr-CA"/>
        </w:rPr>
        <w:t>Code criminel</w:t>
      </w:r>
      <w:r w:rsidRPr="00EF295C">
        <w:rPr>
          <w:sz w:val="20"/>
          <w:szCs w:val="20"/>
          <w:lang w:val="fr-CA"/>
        </w:rPr>
        <w:t>, L.R.C. 1985, c. C-46, art. 354(3.1).</w:t>
      </w:r>
    </w:p>
    <w:p w:rsidR="00435438" w:rsidRPr="00EF295C" w:rsidRDefault="00435438" w:rsidP="00435438">
      <w:pPr>
        <w:jc w:val="both"/>
        <w:rPr>
          <w:sz w:val="20"/>
          <w:szCs w:val="20"/>
          <w:lang w:val="fr-CA"/>
        </w:rPr>
      </w:pPr>
    </w:p>
    <w:p w:rsidR="00665CAF" w:rsidRPr="00EF295C" w:rsidRDefault="00435438" w:rsidP="00435438">
      <w:pPr>
        <w:jc w:val="both"/>
        <w:rPr>
          <w:sz w:val="20"/>
          <w:szCs w:val="20"/>
          <w:lang w:val="fr-CA"/>
        </w:rPr>
      </w:pPr>
      <w:r w:rsidRPr="00EF295C">
        <w:rPr>
          <w:sz w:val="20"/>
          <w:szCs w:val="20"/>
          <w:lang w:val="fr-CA"/>
        </w:rPr>
        <w:t>La police a été appelée après que l’appelant, M. </w:t>
      </w:r>
      <w:proofErr w:type="spellStart"/>
      <w:r w:rsidRPr="00EF295C">
        <w:rPr>
          <w:sz w:val="20"/>
          <w:szCs w:val="20"/>
          <w:lang w:val="fr-CA"/>
        </w:rPr>
        <w:t>Bingley</w:t>
      </w:r>
      <w:proofErr w:type="spellEnd"/>
      <w:r w:rsidRPr="00EF295C">
        <w:rPr>
          <w:sz w:val="20"/>
          <w:szCs w:val="20"/>
          <w:lang w:val="fr-CA"/>
        </w:rPr>
        <w:t>, eut heurté une voiture. La police a constaté des indices d’affaiblissement des facultés. Les résultats de l’analyse sur place ont toutefois révélé une alcoolémie bien en deçà de la limite légale et incompatible avec les indices observés d’affaiblissement des facultés. Par conséquent, un expert en reconnaissance de drogues (« ERD ») a à son tour administré sur place à M. </w:t>
      </w:r>
      <w:proofErr w:type="spellStart"/>
      <w:r w:rsidRPr="00EF295C">
        <w:rPr>
          <w:sz w:val="20"/>
          <w:szCs w:val="20"/>
          <w:lang w:val="fr-CA"/>
        </w:rPr>
        <w:t>Bingley</w:t>
      </w:r>
      <w:proofErr w:type="spellEnd"/>
      <w:r w:rsidRPr="00EF295C">
        <w:rPr>
          <w:sz w:val="20"/>
          <w:szCs w:val="20"/>
          <w:lang w:val="fr-CA"/>
        </w:rPr>
        <w:t xml:space="preserve"> des tests standard de sobriété. Lorsque M. </w:t>
      </w:r>
      <w:proofErr w:type="spellStart"/>
      <w:r w:rsidRPr="00EF295C">
        <w:rPr>
          <w:sz w:val="20"/>
          <w:szCs w:val="20"/>
          <w:lang w:val="fr-CA"/>
        </w:rPr>
        <w:t>Bingley</w:t>
      </w:r>
      <w:proofErr w:type="spellEnd"/>
      <w:r w:rsidRPr="00EF295C">
        <w:rPr>
          <w:sz w:val="20"/>
          <w:szCs w:val="20"/>
          <w:lang w:val="fr-CA"/>
        </w:rPr>
        <w:t xml:space="preserve"> a échoué aux tests de sobriété, il a été accusé de conduite avec les facultés affaiblies par la drogue. Il a admis avoir fumé de la marijuana et avoir pris deux comprimés de Xanax au cours des 12 heures précédentes. Une analyse d’urine a révélé la présence de cannabis, de cocaïne et d’</w:t>
      </w:r>
      <w:proofErr w:type="spellStart"/>
      <w:r w:rsidRPr="00EF295C">
        <w:rPr>
          <w:sz w:val="20"/>
          <w:szCs w:val="20"/>
          <w:lang w:val="fr-CA"/>
        </w:rPr>
        <w:t>Alprazolam</w:t>
      </w:r>
      <w:proofErr w:type="spellEnd"/>
      <w:r w:rsidRPr="00EF295C">
        <w:rPr>
          <w:sz w:val="20"/>
          <w:szCs w:val="20"/>
          <w:lang w:val="fr-CA"/>
        </w:rPr>
        <w:t xml:space="preserve">. Monsieur </w:t>
      </w:r>
      <w:proofErr w:type="spellStart"/>
      <w:r w:rsidRPr="00EF295C">
        <w:rPr>
          <w:sz w:val="20"/>
          <w:szCs w:val="20"/>
          <w:lang w:val="fr-CA"/>
        </w:rPr>
        <w:t>Bingley</w:t>
      </w:r>
      <w:proofErr w:type="spellEnd"/>
      <w:r w:rsidRPr="00EF295C">
        <w:rPr>
          <w:sz w:val="20"/>
          <w:szCs w:val="20"/>
          <w:lang w:val="fr-CA"/>
        </w:rPr>
        <w:t xml:space="preserve"> a été jugé pour l’infraction de conduite avec les facultés affaiblies par la drogue. Il a été acquitté (malgré le témoignage de l’ERD qui, de l’avis du premier juge, pouvait être admis en preuve sans voir-dire conformément à l’arrêt </w:t>
      </w:r>
      <w:r w:rsidRPr="00EF295C">
        <w:rPr>
          <w:i/>
          <w:sz w:val="20"/>
          <w:szCs w:val="20"/>
          <w:lang w:val="fr-CA"/>
        </w:rPr>
        <w:t>R. c. Mohan</w:t>
      </w:r>
      <w:r w:rsidRPr="00EF295C">
        <w:rPr>
          <w:sz w:val="20"/>
          <w:szCs w:val="20"/>
          <w:lang w:val="fr-CA"/>
        </w:rPr>
        <w:t xml:space="preserve">, [1994] 2 R.C.S. 9), mais un appel en matière de poursuites sommaires a donné lieu à l’annulation de l’acquittement et la tenue d’un nouveau procès a été ordonnée. Le motif d’annulation de l’acquittement était que le juge du procès n’avait pas pris en compte l’effet cumulatif de la preuve. Rappelons que Monsieur </w:t>
      </w:r>
      <w:proofErr w:type="spellStart"/>
      <w:r w:rsidRPr="00EF295C">
        <w:rPr>
          <w:sz w:val="20"/>
          <w:szCs w:val="20"/>
          <w:lang w:val="fr-CA"/>
        </w:rPr>
        <w:t>Bingley</w:t>
      </w:r>
      <w:proofErr w:type="spellEnd"/>
      <w:r w:rsidRPr="00EF295C">
        <w:rPr>
          <w:sz w:val="20"/>
          <w:szCs w:val="20"/>
          <w:lang w:val="fr-CA"/>
        </w:rPr>
        <w:t xml:space="preserve"> a été acquitté au terme du premier procès, et ce, malgré la preuve de l’ERD, que le premier juge a jugée recevable sans voir-dire en application de l’arrêt </w:t>
      </w:r>
      <w:r w:rsidRPr="00EF295C">
        <w:rPr>
          <w:i/>
          <w:sz w:val="20"/>
          <w:szCs w:val="20"/>
          <w:lang w:val="fr-CA"/>
        </w:rPr>
        <w:t>Mohan</w:t>
      </w:r>
      <w:r w:rsidRPr="00EF295C">
        <w:rPr>
          <w:sz w:val="20"/>
          <w:szCs w:val="20"/>
          <w:lang w:val="fr-CA"/>
        </w:rPr>
        <w:t>. Lors du nouveau procès, le second juge a conclu que le témoignage de l’ERD n’était pas recevable sans voir-dire. Toutefois, au terme d’un voir-dire, le juge a conclu que ce témoignage était inadmissible et il a donc acquitté M. </w:t>
      </w:r>
      <w:proofErr w:type="spellStart"/>
      <w:r w:rsidRPr="00EF295C">
        <w:rPr>
          <w:sz w:val="20"/>
          <w:szCs w:val="20"/>
          <w:lang w:val="fr-CA"/>
        </w:rPr>
        <w:t>Bingley</w:t>
      </w:r>
      <w:proofErr w:type="spellEnd"/>
      <w:r w:rsidRPr="00EF295C">
        <w:rPr>
          <w:sz w:val="20"/>
          <w:szCs w:val="20"/>
          <w:lang w:val="fr-CA"/>
        </w:rPr>
        <w:t xml:space="preserve"> à nouveau. Le ministère public a interjeté un autre appel en matière de poursuites sommaires. Le juge de la cour d’appel des poursuites sommaires a accueilli l’appel du ministère public et ordonné la tenue d’un troisième procès. Monsieur </w:t>
      </w:r>
      <w:proofErr w:type="spellStart"/>
      <w:r w:rsidRPr="00EF295C">
        <w:rPr>
          <w:sz w:val="20"/>
          <w:szCs w:val="20"/>
          <w:lang w:val="fr-CA"/>
        </w:rPr>
        <w:t>Bingley</w:t>
      </w:r>
      <w:proofErr w:type="spellEnd"/>
      <w:r w:rsidRPr="00EF295C">
        <w:rPr>
          <w:sz w:val="20"/>
          <w:szCs w:val="20"/>
          <w:lang w:val="fr-CA"/>
        </w:rPr>
        <w:t xml:space="preserve"> s’est ensuite pourvu en appel à son tour, mais il a été débouté.</w:t>
      </w:r>
    </w:p>
    <w:p w:rsidR="00435438" w:rsidRPr="00EF295C" w:rsidRDefault="00435438" w:rsidP="00435438">
      <w:pPr>
        <w:jc w:val="both"/>
        <w:rPr>
          <w:sz w:val="20"/>
          <w:szCs w:val="20"/>
          <w:lang w:val="fr-CA"/>
        </w:rPr>
      </w:pPr>
    </w:p>
    <w:p w:rsidR="00435438" w:rsidRPr="00EF295C" w:rsidRDefault="002E5FCE" w:rsidP="00435438">
      <w:pPr>
        <w:jc w:val="both"/>
        <w:rPr>
          <w:sz w:val="20"/>
          <w:szCs w:val="20"/>
          <w:lang w:val="fr-CA"/>
        </w:rPr>
      </w:pPr>
      <w:r>
        <w:rPr>
          <w:sz w:val="20"/>
          <w:szCs w:val="20"/>
          <w:lang w:val="fr-CA"/>
        </w:rPr>
        <w:pict>
          <v:rect id="_x0000_i1088" style="width:2in;height:1pt" o:hrpct="0" o:hralign="center" o:hrstd="t" o:hrnoshade="t" o:hr="t" fillcolor="black [3213]" stroked="f"/>
        </w:pict>
      </w:r>
    </w:p>
    <w:p w:rsidR="00435438" w:rsidRPr="00EF295C" w:rsidRDefault="00435438">
      <w:pPr>
        <w:rPr>
          <w:sz w:val="20"/>
          <w:szCs w:val="20"/>
          <w:lang w:val="fr-CA"/>
        </w:rPr>
      </w:pPr>
      <w:r w:rsidRPr="00EF295C">
        <w:rPr>
          <w:sz w:val="20"/>
          <w:szCs w:val="20"/>
          <w:lang w:val="fr-CA"/>
        </w:rPr>
        <w:br w:type="page"/>
      </w:r>
    </w:p>
    <w:p w:rsidR="00435438" w:rsidRPr="00EF295C" w:rsidRDefault="00435438" w:rsidP="00435438">
      <w:pPr>
        <w:widowControl w:val="0"/>
        <w:ind w:left="720" w:hanging="720"/>
        <w:jc w:val="both"/>
        <w:rPr>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36777</w:t>
      </w:r>
      <w:r w:rsidRPr="00EF295C">
        <w:rPr>
          <w:sz w:val="20"/>
          <w:szCs w:val="20"/>
        </w:rPr>
        <w:tab/>
      </w:r>
      <w:r w:rsidRPr="00EF295C">
        <w:rPr>
          <w:b/>
          <w:i/>
          <w:sz w:val="20"/>
          <w:szCs w:val="20"/>
        </w:rPr>
        <w:t xml:space="preserve">Eric Andrew </w:t>
      </w:r>
      <w:proofErr w:type="spellStart"/>
      <w:r w:rsidRPr="00EF295C">
        <w:rPr>
          <w:b/>
          <w:i/>
          <w:sz w:val="20"/>
          <w:szCs w:val="20"/>
        </w:rPr>
        <w:t>Rowson</w:t>
      </w:r>
      <w:proofErr w:type="spellEnd"/>
      <w:r w:rsidRPr="00EF295C">
        <w:rPr>
          <w:b/>
          <w:i/>
          <w:sz w:val="20"/>
          <w:szCs w:val="20"/>
        </w:rPr>
        <w:t xml:space="preserve"> v. Her Majesty </w:t>
      </w:r>
      <w:r w:rsidR="00AD754D">
        <w:rPr>
          <w:b/>
          <w:i/>
          <w:sz w:val="20"/>
          <w:szCs w:val="20"/>
        </w:rPr>
        <w:t>t</w:t>
      </w:r>
      <w:r w:rsidRPr="00EF295C">
        <w:rPr>
          <w:b/>
          <w:i/>
          <w:sz w:val="20"/>
          <w:szCs w:val="20"/>
        </w:rPr>
        <w:t xml:space="preserve">he Queen </w:t>
      </w:r>
      <w:r w:rsidRPr="00EF295C">
        <w:rPr>
          <w:sz w:val="20"/>
          <w:szCs w:val="20"/>
        </w:rPr>
        <w:t>(Alta.) (Criminal) (As of Right)</w:t>
      </w:r>
    </w:p>
    <w:p w:rsidR="00435438" w:rsidRPr="00EF295C" w:rsidRDefault="00435438" w:rsidP="00435438">
      <w:pPr>
        <w:widowControl w:val="0"/>
        <w:jc w:val="both"/>
        <w:rPr>
          <w:sz w:val="20"/>
          <w:szCs w:val="20"/>
        </w:rPr>
      </w:pPr>
    </w:p>
    <w:p w:rsidR="00435438" w:rsidRPr="00EF295C" w:rsidRDefault="00435438" w:rsidP="00435438">
      <w:pPr>
        <w:widowControl w:val="0"/>
        <w:jc w:val="both"/>
        <w:rPr>
          <w:sz w:val="20"/>
          <w:szCs w:val="20"/>
        </w:rPr>
      </w:pPr>
      <w:r w:rsidRPr="00EF295C">
        <w:rPr>
          <w:sz w:val="20"/>
          <w:szCs w:val="20"/>
        </w:rPr>
        <w:t xml:space="preserve">Charter of Rights - Criminal law - Arbitrary detention - Right to counsel - Search and seizure - Remedy - Accused convicted of seven charges arising from motor vehicle collision - Whether arresting officer had reasonable and probable grounds to arrest accused - Whether breath sample evidence ought to be excluded because it was obtained in violation of the accused’s rights under the </w:t>
      </w:r>
      <w:r w:rsidRPr="00EF295C">
        <w:rPr>
          <w:i/>
          <w:sz w:val="20"/>
          <w:szCs w:val="20"/>
        </w:rPr>
        <w:t>Canadian Charter of Rights and Freedoms</w:t>
      </w:r>
      <w:r w:rsidRPr="00EF295C">
        <w:rPr>
          <w:sz w:val="20"/>
          <w:szCs w:val="20"/>
        </w:rPr>
        <w:t xml:space="preserve"> - Whether the admission of the evidence would bring the administration of justice into disrepute.</w:t>
      </w:r>
    </w:p>
    <w:p w:rsidR="00435438" w:rsidRPr="00EF295C" w:rsidRDefault="00435438" w:rsidP="00435438">
      <w:pPr>
        <w:widowControl w:val="0"/>
        <w:jc w:val="both"/>
        <w:rPr>
          <w:sz w:val="20"/>
          <w:szCs w:val="20"/>
        </w:rPr>
      </w:pPr>
    </w:p>
    <w:p w:rsidR="00435438" w:rsidRPr="00EF295C" w:rsidRDefault="00435438" w:rsidP="00435438">
      <w:pPr>
        <w:widowControl w:val="0"/>
        <w:jc w:val="both"/>
        <w:rPr>
          <w:sz w:val="20"/>
          <w:szCs w:val="20"/>
        </w:rPr>
      </w:pPr>
      <w:r w:rsidRPr="00EF295C">
        <w:rPr>
          <w:sz w:val="20"/>
          <w:szCs w:val="20"/>
        </w:rPr>
        <w:t>Mr. </w:t>
      </w:r>
      <w:proofErr w:type="spellStart"/>
      <w:r w:rsidRPr="00EF295C">
        <w:rPr>
          <w:sz w:val="20"/>
          <w:szCs w:val="20"/>
        </w:rPr>
        <w:t>Rowson</w:t>
      </w:r>
      <w:proofErr w:type="spellEnd"/>
      <w:r w:rsidRPr="00EF295C">
        <w:rPr>
          <w:sz w:val="20"/>
          <w:szCs w:val="20"/>
        </w:rPr>
        <w:t xml:space="preserve"> was convicted of three counts of impaired driving causing bodily harm, three counts of dangerous driving and one count of driving with a blood alcohol level exceeding the legal limit. At trial, he sought exclusion of the results of two breath samples and of certain statements made to police following the accident, on the grounds that he was arbitrarily detained and that during the arbitrary detention his </w:t>
      </w:r>
      <w:r w:rsidRPr="00EF295C">
        <w:rPr>
          <w:i/>
          <w:sz w:val="20"/>
          <w:szCs w:val="20"/>
        </w:rPr>
        <w:t>Charter</w:t>
      </w:r>
      <w:r w:rsidRPr="00EF295C">
        <w:rPr>
          <w:sz w:val="20"/>
          <w:szCs w:val="20"/>
        </w:rPr>
        <w:t xml:space="preserve"> rights, namely his right against self-incrimination, his right to counsel and his right to be free from unreasonable search and seizure, were repeatedly violated. The trial judge found that Mr. </w:t>
      </w:r>
      <w:proofErr w:type="spellStart"/>
      <w:r w:rsidRPr="00EF295C">
        <w:rPr>
          <w:sz w:val="20"/>
          <w:szCs w:val="20"/>
        </w:rPr>
        <w:t>Rowson</w:t>
      </w:r>
      <w:proofErr w:type="spellEnd"/>
      <w:r w:rsidRPr="00EF295C">
        <w:rPr>
          <w:sz w:val="20"/>
          <w:szCs w:val="20"/>
        </w:rPr>
        <w:t xml:space="preserve"> had been arbitrarily detained and that his right to counsel had been breached. She excluded certain statements Mr. </w:t>
      </w:r>
      <w:proofErr w:type="spellStart"/>
      <w:r w:rsidRPr="00EF295C">
        <w:rPr>
          <w:sz w:val="20"/>
          <w:szCs w:val="20"/>
        </w:rPr>
        <w:t>Rowson</w:t>
      </w:r>
      <w:proofErr w:type="spellEnd"/>
      <w:r w:rsidRPr="00EF295C">
        <w:rPr>
          <w:sz w:val="20"/>
          <w:szCs w:val="20"/>
        </w:rPr>
        <w:t xml:space="preserve"> made to police prior to speaking to a lawyer, but declined to exclude evidence of Mr. </w:t>
      </w:r>
      <w:proofErr w:type="spellStart"/>
      <w:r w:rsidRPr="00EF295C">
        <w:rPr>
          <w:sz w:val="20"/>
          <w:szCs w:val="20"/>
        </w:rPr>
        <w:t>Rowson’s</w:t>
      </w:r>
      <w:proofErr w:type="spellEnd"/>
      <w:r w:rsidRPr="00EF295C">
        <w:rPr>
          <w:sz w:val="20"/>
          <w:szCs w:val="20"/>
        </w:rPr>
        <w:t xml:space="preserve"> breath samples. Mr. </w:t>
      </w:r>
      <w:proofErr w:type="spellStart"/>
      <w:r w:rsidRPr="00EF295C">
        <w:rPr>
          <w:sz w:val="20"/>
          <w:szCs w:val="20"/>
        </w:rPr>
        <w:t>Rowson</w:t>
      </w:r>
      <w:proofErr w:type="spellEnd"/>
      <w:r w:rsidRPr="00EF295C">
        <w:rPr>
          <w:sz w:val="20"/>
          <w:szCs w:val="20"/>
        </w:rPr>
        <w:t xml:space="preserve"> appealed his convictions on the basis that the breath sample evidence ought to have been excluded. The majority of the Court of Appeal dismissed his appeal, agreeing with the trial judge that the </w:t>
      </w:r>
      <w:r w:rsidRPr="00EF295C">
        <w:rPr>
          <w:i/>
          <w:sz w:val="20"/>
          <w:szCs w:val="20"/>
        </w:rPr>
        <w:t>Charter</w:t>
      </w:r>
      <w:r w:rsidRPr="00EF295C">
        <w:rPr>
          <w:sz w:val="20"/>
          <w:szCs w:val="20"/>
        </w:rPr>
        <w:t xml:space="preserve">-infringing conduct of the police was not serious, that the impact on Mr. </w:t>
      </w:r>
      <w:proofErr w:type="spellStart"/>
      <w:r w:rsidRPr="00EF295C">
        <w:rPr>
          <w:sz w:val="20"/>
          <w:szCs w:val="20"/>
        </w:rPr>
        <w:t>Rowson’s</w:t>
      </w:r>
      <w:proofErr w:type="spellEnd"/>
      <w:r w:rsidRPr="00EF295C">
        <w:rPr>
          <w:sz w:val="20"/>
          <w:szCs w:val="20"/>
        </w:rPr>
        <w:t xml:space="preserve"> </w:t>
      </w:r>
      <w:r w:rsidRPr="00EF295C">
        <w:rPr>
          <w:i/>
          <w:sz w:val="20"/>
          <w:szCs w:val="20"/>
        </w:rPr>
        <w:t>Charter</w:t>
      </w:r>
      <w:r w:rsidRPr="00EF295C">
        <w:rPr>
          <w:sz w:val="20"/>
          <w:szCs w:val="20"/>
        </w:rPr>
        <w:t xml:space="preserve">-protected interests was minimal and that it was not established that the admission of the breath sample evidence would bring the administration of justice into disrepute. Veldhuis J.A., dissenting, would have allowed the appeal, set aside the convictions and substituted verdicts of acquittal. She was of the view that in addition to the </w:t>
      </w:r>
      <w:r w:rsidRPr="00EF295C">
        <w:rPr>
          <w:i/>
          <w:sz w:val="20"/>
          <w:szCs w:val="20"/>
        </w:rPr>
        <w:t>Charter</w:t>
      </w:r>
      <w:r w:rsidRPr="00EF295C">
        <w:rPr>
          <w:sz w:val="20"/>
          <w:szCs w:val="20"/>
        </w:rPr>
        <w:t xml:space="preserve"> breaches identified by the trial judge, there were no reasonable and probable grounds for arrest, and that the arbitrary detention of Mr. </w:t>
      </w:r>
      <w:proofErr w:type="spellStart"/>
      <w:r w:rsidRPr="00EF295C">
        <w:rPr>
          <w:sz w:val="20"/>
          <w:szCs w:val="20"/>
        </w:rPr>
        <w:t>Rowson</w:t>
      </w:r>
      <w:proofErr w:type="spellEnd"/>
      <w:r w:rsidRPr="00EF295C">
        <w:rPr>
          <w:sz w:val="20"/>
          <w:szCs w:val="20"/>
        </w:rPr>
        <w:t xml:space="preserve"> after arrest was never cured. She was also of the view that all of the evidence obtained during the arbitrary detention should be excluded.</w:t>
      </w:r>
    </w:p>
    <w:p w:rsidR="00435438" w:rsidRPr="00EF295C" w:rsidRDefault="00435438" w:rsidP="00435438">
      <w:pPr>
        <w:jc w:val="both"/>
        <w:rPr>
          <w:sz w:val="20"/>
          <w:szCs w:val="20"/>
        </w:rPr>
      </w:pPr>
    </w:p>
    <w:p w:rsidR="00435438" w:rsidRPr="00EF295C" w:rsidRDefault="002E5FCE" w:rsidP="00435438">
      <w:pPr>
        <w:jc w:val="both"/>
        <w:rPr>
          <w:sz w:val="20"/>
          <w:szCs w:val="20"/>
          <w:lang w:val="fr-CA"/>
        </w:rPr>
      </w:pPr>
      <w:r>
        <w:rPr>
          <w:sz w:val="20"/>
          <w:szCs w:val="20"/>
          <w:lang w:val="fr-CA"/>
        </w:rPr>
        <w:pict>
          <v:rect id="_x0000_i1089" style="width:2in;height:1pt" o:hrpct="0" o:hralign="center" o:hrstd="t" o:hrnoshade="t" o:hr="t" fillcolor="black [3213]" stroked="f"/>
        </w:pict>
      </w:r>
    </w:p>
    <w:p w:rsidR="00435438" w:rsidRPr="00EF295C" w:rsidRDefault="00435438" w:rsidP="00435438">
      <w:pPr>
        <w:jc w:val="both"/>
        <w:rPr>
          <w:sz w:val="20"/>
          <w:szCs w:val="20"/>
          <w:lang w:val="fr-CA"/>
        </w:rPr>
      </w:pPr>
    </w:p>
    <w:p w:rsidR="00435438" w:rsidRPr="00EF295C" w:rsidRDefault="00435438" w:rsidP="00435438">
      <w:pPr>
        <w:widowControl w:val="0"/>
        <w:ind w:left="720" w:hanging="720"/>
        <w:jc w:val="both"/>
        <w:rPr>
          <w:sz w:val="20"/>
          <w:szCs w:val="20"/>
          <w:lang w:val="fr-CA"/>
        </w:rPr>
      </w:pPr>
      <w:r w:rsidRPr="00EF295C">
        <w:rPr>
          <w:b/>
          <w:sz w:val="20"/>
          <w:szCs w:val="20"/>
        </w:rPr>
        <w:fldChar w:fldCharType="begin"/>
      </w:r>
      <w:r w:rsidRPr="00EF295C">
        <w:rPr>
          <w:b/>
          <w:sz w:val="20"/>
          <w:szCs w:val="20"/>
          <w:lang w:val="fr-CA"/>
        </w:rPr>
        <w:instrText xml:space="preserve"> SEQ CHAPTER \h \r 1</w:instrText>
      </w:r>
      <w:r w:rsidRPr="00EF295C">
        <w:rPr>
          <w:b/>
          <w:sz w:val="20"/>
          <w:szCs w:val="20"/>
        </w:rPr>
        <w:fldChar w:fldCharType="end"/>
      </w:r>
      <w:r w:rsidRPr="00EF295C">
        <w:rPr>
          <w:b/>
          <w:sz w:val="20"/>
          <w:szCs w:val="20"/>
          <w:lang w:val="fr-CA"/>
        </w:rPr>
        <w:t>36777</w:t>
      </w:r>
      <w:r w:rsidRPr="00EF295C">
        <w:rPr>
          <w:sz w:val="20"/>
          <w:szCs w:val="20"/>
          <w:lang w:val="fr-CA"/>
        </w:rPr>
        <w:tab/>
      </w:r>
      <w:proofErr w:type="spellStart"/>
      <w:r w:rsidRPr="00EF295C">
        <w:rPr>
          <w:b/>
          <w:i/>
          <w:sz w:val="20"/>
          <w:szCs w:val="20"/>
          <w:lang w:val="fr-CA"/>
        </w:rPr>
        <w:t>Eric</w:t>
      </w:r>
      <w:proofErr w:type="spellEnd"/>
      <w:r w:rsidRPr="00EF295C">
        <w:rPr>
          <w:b/>
          <w:i/>
          <w:sz w:val="20"/>
          <w:szCs w:val="20"/>
          <w:lang w:val="fr-CA"/>
        </w:rPr>
        <w:t xml:space="preserve"> Andrew </w:t>
      </w:r>
      <w:proofErr w:type="spellStart"/>
      <w:r w:rsidRPr="00EF295C">
        <w:rPr>
          <w:b/>
          <w:i/>
          <w:sz w:val="20"/>
          <w:szCs w:val="20"/>
          <w:lang w:val="fr-CA"/>
        </w:rPr>
        <w:t>Rowson</w:t>
      </w:r>
      <w:proofErr w:type="spellEnd"/>
      <w:r w:rsidRPr="00EF295C">
        <w:rPr>
          <w:b/>
          <w:i/>
          <w:sz w:val="20"/>
          <w:szCs w:val="20"/>
          <w:lang w:val="fr-CA"/>
        </w:rPr>
        <w:t xml:space="preserve"> c. Sa Majesté la Reine </w:t>
      </w:r>
      <w:r w:rsidRPr="00EF295C">
        <w:rPr>
          <w:sz w:val="20"/>
          <w:szCs w:val="20"/>
          <w:lang w:val="fr-CA"/>
        </w:rPr>
        <w:t>(</w:t>
      </w:r>
      <w:proofErr w:type="spellStart"/>
      <w:r w:rsidRPr="00EF295C">
        <w:rPr>
          <w:sz w:val="20"/>
          <w:szCs w:val="20"/>
          <w:lang w:val="fr-CA"/>
        </w:rPr>
        <w:t>Alb</w:t>
      </w:r>
      <w:proofErr w:type="spellEnd"/>
      <w:r w:rsidRPr="00EF295C">
        <w:rPr>
          <w:sz w:val="20"/>
          <w:szCs w:val="20"/>
          <w:lang w:val="fr-CA"/>
        </w:rPr>
        <w:t>.) (Criminelle) (De plein droit)</w:t>
      </w:r>
    </w:p>
    <w:p w:rsidR="00435438" w:rsidRPr="00EF295C" w:rsidRDefault="00435438" w:rsidP="00435438">
      <w:pPr>
        <w:widowControl w:val="0"/>
        <w:jc w:val="both"/>
        <w:rPr>
          <w:sz w:val="20"/>
          <w:szCs w:val="20"/>
          <w:lang w:val="fr-CA"/>
        </w:rPr>
      </w:pPr>
    </w:p>
    <w:p w:rsidR="00435438" w:rsidRPr="00EF295C" w:rsidRDefault="00435438" w:rsidP="00435438">
      <w:pPr>
        <w:widowControl w:val="0"/>
        <w:jc w:val="both"/>
        <w:rPr>
          <w:sz w:val="20"/>
          <w:szCs w:val="20"/>
          <w:lang w:val="fr-CA"/>
        </w:rPr>
      </w:pPr>
      <w:r w:rsidRPr="00EF295C">
        <w:rPr>
          <w:sz w:val="20"/>
          <w:szCs w:val="20"/>
          <w:lang w:val="fr-CA"/>
        </w:rPr>
        <w:t xml:space="preserve">Charte des droits - Droit criminel - Détention arbitraire - Droit à l’assistance d’un avocat - Fouilles, perquisitions et saisies - Réparation - Inculpé reconnu coupable de sept accusations découlant d’un accident de voiture - Le policier avait-il des motifs raisonnables et probables d’arrêter l’inculpé? - Y </w:t>
      </w:r>
      <w:proofErr w:type="spellStart"/>
      <w:r w:rsidRPr="00EF295C">
        <w:rPr>
          <w:sz w:val="20"/>
          <w:szCs w:val="20"/>
          <w:lang w:val="fr-CA"/>
        </w:rPr>
        <w:t>a-t-il</w:t>
      </w:r>
      <w:proofErr w:type="spellEnd"/>
      <w:r w:rsidRPr="00EF295C">
        <w:rPr>
          <w:sz w:val="20"/>
          <w:szCs w:val="20"/>
          <w:lang w:val="fr-CA"/>
        </w:rPr>
        <w:t xml:space="preserve"> lieu d’exclure les échantillons d’haleine produits en preuve parce qu’ils ont été obtenus en violation des droits que la </w:t>
      </w:r>
      <w:r w:rsidRPr="00EF295C">
        <w:rPr>
          <w:i/>
          <w:sz w:val="20"/>
          <w:szCs w:val="20"/>
          <w:lang w:val="fr-CA"/>
        </w:rPr>
        <w:t>Charte canadienne des droits et libertés</w:t>
      </w:r>
      <w:r w:rsidRPr="00EF295C">
        <w:rPr>
          <w:sz w:val="20"/>
          <w:szCs w:val="20"/>
          <w:lang w:val="fr-CA"/>
        </w:rPr>
        <w:t xml:space="preserve"> garantit à l’inculpé? - L’admission de la preuve est-elle susceptible de déconsidérer l’administration de la justice? </w:t>
      </w:r>
    </w:p>
    <w:p w:rsidR="00435438" w:rsidRPr="00EF295C" w:rsidRDefault="00435438" w:rsidP="00435438">
      <w:pPr>
        <w:widowControl w:val="0"/>
        <w:jc w:val="both"/>
        <w:rPr>
          <w:sz w:val="20"/>
          <w:szCs w:val="20"/>
          <w:lang w:val="fr-CA"/>
        </w:rPr>
      </w:pPr>
    </w:p>
    <w:p w:rsidR="00435438" w:rsidRPr="00EF295C" w:rsidRDefault="00435438" w:rsidP="00435438">
      <w:pPr>
        <w:widowControl w:val="0"/>
        <w:jc w:val="both"/>
        <w:rPr>
          <w:sz w:val="20"/>
          <w:szCs w:val="20"/>
          <w:lang w:val="fr-CA"/>
        </w:rPr>
      </w:pPr>
      <w:r w:rsidRPr="00EF295C">
        <w:rPr>
          <w:sz w:val="20"/>
          <w:szCs w:val="20"/>
          <w:lang w:val="fr-CA"/>
        </w:rPr>
        <w:t>Monsieur </w:t>
      </w:r>
      <w:proofErr w:type="spellStart"/>
      <w:r w:rsidRPr="00EF295C">
        <w:rPr>
          <w:sz w:val="20"/>
          <w:szCs w:val="20"/>
          <w:lang w:val="fr-CA"/>
        </w:rPr>
        <w:t>Rowson</w:t>
      </w:r>
      <w:proofErr w:type="spellEnd"/>
      <w:r w:rsidRPr="00EF295C">
        <w:rPr>
          <w:sz w:val="20"/>
          <w:szCs w:val="20"/>
          <w:lang w:val="fr-CA"/>
        </w:rPr>
        <w:t xml:space="preserve"> a été reconnu coupable de trois chefs de conduite avec facultés affaiblies causant des lésions corporelles, de trois chefs de conduite dangereuse et d’un chef de conduite avec une alcoolémie supérieure à la limite légale. Au procès, il a demandé l’exclusion des résultats de deux échantillons d’haleine et de certaines déclarations faites à la police après l’accident, au motif qu’il avait été arbitrairement détenu et que pendant cette détention, les droits que lui garantit la </w:t>
      </w:r>
      <w:r w:rsidRPr="00EF295C">
        <w:rPr>
          <w:i/>
          <w:sz w:val="20"/>
          <w:szCs w:val="20"/>
          <w:lang w:val="fr-CA"/>
        </w:rPr>
        <w:t>Charte</w:t>
      </w:r>
      <w:r w:rsidRPr="00EF295C">
        <w:rPr>
          <w:sz w:val="20"/>
          <w:szCs w:val="20"/>
          <w:lang w:val="fr-CA"/>
        </w:rPr>
        <w:t>, en l’occurrence son droit de ne pas s’incriminer, son droit à l’assistance d’un avocat et son droit à la protection contre les fouilles, perquisitions et saisies abusives, avaient été violés à maintes reprises. Selon la juge de première instance, M. </w:t>
      </w:r>
      <w:proofErr w:type="spellStart"/>
      <w:r w:rsidRPr="00EF295C">
        <w:rPr>
          <w:sz w:val="20"/>
          <w:szCs w:val="20"/>
          <w:lang w:val="fr-CA"/>
        </w:rPr>
        <w:t>Rowson</w:t>
      </w:r>
      <w:proofErr w:type="spellEnd"/>
      <w:r w:rsidRPr="00EF295C">
        <w:rPr>
          <w:sz w:val="20"/>
          <w:szCs w:val="20"/>
          <w:lang w:val="fr-CA"/>
        </w:rPr>
        <w:t xml:space="preserve"> a été arbitrairement détenu et il y a eu atteinte à son droit à l’assistance d’un avocat. Elle a exclu certaines déclarations que M. </w:t>
      </w:r>
      <w:proofErr w:type="spellStart"/>
      <w:r w:rsidRPr="00EF295C">
        <w:rPr>
          <w:sz w:val="20"/>
          <w:szCs w:val="20"/>
          <w:lang w:val="fr-CA"/>
        </w:rPr>
        <w:t>Rowson</w:t>
      </w:r>
      <w:proofErr w:type="spellEnd"/>
      <w:r w:rsidRPr="00EF295C">
        <w:rPr>
          <w:sz w:val="20"/>
          <w:szCs w:val="20"/>
          <w:lang w:val="fr-CA"/>
        </w:rPr>
        <w:t xml:space="preserve"> avait faites à la police avant de parler à un avocat, mais elle a refusé d’exclure la preuve des échantillons d’haleine fournis par M. </w:t>
      </w:r>
      <w:proofErr w:type="spellStart"/>
      <w:r w:rsidRPr="00EF295C">
        <w:rPr>
          <w:sz w:val="20"/>
          <w:szCs w:val="20"/>
          <w:lang w:val="fr-CA"/>
        </w:rPr>
        <w:t>Rowson</w:t>
      </w:r>
      <w:proofErr w:type="spellEnd"/>
      <w:r w:rsidRPr="00EF295C">
        <w:rPr>
          <w:sz w:val="20"/>
          <w:szCs w:val="20"/>
          <w:lang w:val="fr-CA"/>
        </w:rPr>
        <w:t>. Ce dernier a interjeté appel de ses déclarations de culpabilité parce que la preuve des échantillons d’haleine aurait dû être écartée. Les juges majoritaires de la Cour d’appel ont rejeté son appel, convenant avec la juge de première instance que la conduite attentatoire de la police n’était pas grave, qu’elle a eu une incidence minime sur les droits garantis à M. </w:t>
      </w:r>
      <w:proofErr w:type="spellStart"/>
      <w:r w:rsidRPr="00EF295C">
        <w:rPr>
          <w:sz w:val="20"/>
          <w:szCs w:val="20"/>
          <w:lang w:val="fr-CA"/>
        </w:rPr>
        <w:t>Rowson</w:t>
      </w:r>
      <w:proofErr w:type="spellEnd"/>
      <w:r w:rsidRPr="00EF295C">
        <w:rPr>
          <w:sz w:val="20"/>
          <w:szCs w:val="20"/>
          <w:lang w:val="fr-CA"/>
        </w:rPr>
        <w:t xml:space="preserve"> par la </w:t>
      </w:r>
      <w:r w:rsidRPr="00EF295C">
        <w:rPr>
          <w:i/>
          <w:sz w:val="20"/>
          <w:szCs w:val="20"/>
          <w:lang w:val="fr-CA"/>
        </w:rPr>
        <w:t xml:space="preserve">Charte </w:t>
      </w:r>
      <w:r w:rsidRPr="00EF295C">
        <w:rPr>
          <w:sz w:val="20"/>
          <w:szCs w:val="20"/>
          <w:lang w:val="fr-CA"/>
        </w:rPr>
        <w:t xml:space="preserve">et qu’il n’avait pas été établi que l’admission de la preuve des échantillons d’haleine est susceptible de déconsidérer l’administration de la justice. La juge Veldhuis, dissidente, était d’avis d’accueillir l’appel, d’annuler les déclarations de culpabilité et de leur substituer des verdicts d’acquittement. Elle estimait qu’outre les violations de la </w:t>
      </w:r>
      <w:r w:rsidRPr="00EF295C">
        <w:rPr>
          <w:i/>
          <w:sz w:val="20"/>
          <w:szCs w:val="20"/>
          <w:lang w:val="fr-CA"/>
        </w:rPr>
        <w:t xml:space="preserve">Charte </w:t>
      </w:r>
      <w:r w:rsidRPr="00EF295C">
        <w:rPr>
          <w:sz w:val="20"/>
          <w:szCs w:val="20"/>
          <w:lang w:val="fr-CA"/>
        </w:rPr>
        <w:t>relevées par la juge de première instance, il n’y avait aucun motif raisonnable et probable justifiant l’arrestation, et que la détention arbitraire de M. </w:t>
      </w:r>
      <w:proofErr w:type="spellStart"/>
      <w:r w:rsidRPr="00EF295C">
        <w:rPr>
          <w:sz w:val="20"/>
          <w:szCs w:val="20"/>
          <w:lang w:val="fr-CA"/>
        </w:rPr>
        <w:t>Rowson</w:t>
      </w:r>
      <w:proofErr w:type="spellEnd"/>
      <w:r w:rsidRPr="00EF295C">
        <w:rPr>
          <w:sz w:val="20"/>
          <w:szCs w:val="20"/>
          <w:lang w:val="fr-CA"/>
        </w:rPr>
        <w:t xml:space="preserve"> après son arrestation n’avait jamais fait l’objet d’une réparation. Toujours selon elle, il y a lieu d’exclure toute la preuve obtenue au cours de la détention arbitraire. </w:t>
      </w:r>
    </w:p>
    <w:p w:rsidR="00435438" w:rsidRPr="00EF295C" w:rsidRDefault="00435438" w:rsidP="00435438">
      <w:pPr>
        <w:widowControl w:val="0"/>
        <w:jc w:val="both"/>
        <w:rPr>
          <w:sz w:val="20"/>
          <w:szCs w:val="20"/>
          <w:lang w:val="fr-FR"/>
        </w:rPr>
      </w:pPr>
    </w:p>
    <w:p w:rsidR="00435438" w:rsidRPr="00EF295C" w:rsidRDefault="002E5FCE" w:rsidP="00435438">
      <w:pPr>
        <w:jc w:val="both"/>
        <w:rPr>
          <w:sz w:val="20"/>
          <w:szCs w:val="20"/>
          <w:lang w:val="fr-FR"/>
        </w:rPr>
      </w:pPr>
      <w:r>
        <w:rPr>
          <w:sz w:val="20"/>
          <w:szCs w:val="20"/>
          <w:lang w:val="fr-CA"/>
        </w:rPr>
        <w:pict>
          <v:rect id="_x0000_i1090" style="width:2in;height:1pt" o:hrpct="0" o:hralign="center" o:hrstd="t" o:hrnoshade="t" o:hr="t" fillcolor="black [3213]" stroked="f"/>
        </w:pict>
      </w:r>
    </w:p>
    <w:p w:rsidR="00435438" w:rsidRPr="00EF295C" w:rsidRDefault="00435438">
      <w:pPr>
        <w:rPr>
          <w:sz w:val="20"/>
          <w:szCs w:val="20"/>
          <w:lang w:val="fr-CA"/>
        </w:rPr>
      </w:pPr>
      <w:r w:rsidRPr="00EF295C">
        <w:rPr>
          <w:sz w:val="20"/>
          <w:szCs w:val="20"/>
          <w:lang w:val="fr-CA"/>
        </w:rPr>
        <w:br w:type="page"/>
      </w:r>
    </w:p>
    <w:p w:rsidR="00435438" w:rsidRPr="00EF295C" w:rsidRDefault="00435438" w:rsidP="00435438">
      <w:pPr>
        <w:widowControl w:val="0"/>
        <w:ind w:left="720" w:hanging="720"/>
        <w:jc w:val="both"/>
        <w:rPr>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36877</w:t>
      </w:r>
      <w:r w:rsidRPr="00EF295C">
        <w:rPr>
          <w:sz w:val="20"/>
          <w:szCs w:val="20"/>
        </w:rPr>
        <w:tab/>
      </w:r>
      <w:r w:rsidRPr="00EF295C">
        <w:rPr>
          <w:b/>
          <w:i/>
          <w:sz w:val="20"/>
          <w:szCs w:val="20"/>
        </w:rPr>
        <w:t xml:space="preserve">Her Majesty </w:t>
      </w:r>
      <w:r w:rsidR="00AD754D">
        <w:rPr>
          <w:b/>
          <w:i/>
          <w:sz w:val="20"/>
          <w:szCs w:val="20"/>
        </w:rPr>
        <w:t>t</w:t>
      </w:r>
      <w:r w:rsidRPr="00EF295C">
        <w:rPr>
          <w:b/>
          <w:i/>
          <w:sz w:val="20"/>
          <w:szCs w:val="20"/>
        </w:rPr>
        <w:t xml:space="preserve">he Queen v. C. K.-D. </w:t>
      </w:r>
      <w:r w:rsidRPr="00EF295C">
        <w:rPr>
          <w:sz w:val="20"/>
          <w:szCs w:val="20"/>
        </w:rPr>
        <w:t>(Ont.) (Criminal) (As of Right)</w:t>
      </w:r>
    </w:p>
    <w:p w:rsidR="00435438" w:rsidRPr="00EF295C" w:rsidRDefault="00435438" w:rsidP="00435438">
      <w:pPr>
        <w:widowControl w:val="0"/>
        <w:jc w:val="both"/>
        <w:rPr>
          <w:sz w:val="20"/>
          <w:szCs w:val="20"/>
        </w:rPr>
      </w:pPr>
    </w:p>
    <w:p w:rsidR="00435438" w:rsidRPr="00EF295C" w:rsidRDefault="00435438" w:rsidP="00435438">
      <w:pPr>
        <w:widowControl w:val="0"/>
        <w:jc w:val="both"/>
        <w:rPr>
          <w:sz w:val="20"/>
          <w:szCs w:val="20"/>
        </w:rPr>
      </w:pPr>
      <w:r w:rsidRPr="00EF295C">
        <w:rPr>
          <w:sz w:val="20"/>
          <w:szCs w:val="20"/>
        </w:rPr>
        <w:t xml:space="preserve">Criminal law - Charge to jury - Whether the majority of the Court of Appeal erred in law in holding that the trial judge misdirected the jury on the standard to be used in assessing the complainant’s credibility given that the offences occurred when she was 12 years old and she testified when she was 17 years old - Whether the majority of the Court of Appeal erred in law in failing to apply the curative proviso in section 686(1)(b)(iii) of the </w:t>
      </w:r>
      <w:r w:rsidRPr="00EF295C">
        <w:rPr>
          <w:i/>
          <w:sz w:val="20"/>
          <w:szCs w:val="20"/>
        </w:rPr>
        <w:t>Criminal Code</w:t>
      </w:r>
      <w:r w:rsidRPr="00EF295C">
        <w:rPr>
          <w:sz w:val="20"/>
          <w:szCs w:val="20"/>
        </w:rPr>
        <w:t>, R.S.C. 1985, c. C-46.</w:t>
      </w:r>
    </w:p>
    <w:p w:rsidR="00435438" w:rsidRPr="00EF295C" w:rsidRDefault="00435438" w:rsidP="00435438">
      <w:pPr>
        <w:widowControl w:val="0"/>
        <w:jc w:val="both"/>
        <w:rPr>
          <w:sz w:val="20"/>
          <w:szCs w:val="20"/>
        </w:rPr>
      </w:pPr>
    </w:p>
    <w:p w:rsidR="00435438" w:rsidRPr="00EF295C" w:rsidRDefault="00435438" w:rsidP="00435438">
      <w:pPr>
        <w:widowControl w:val="0"/>
        <w:jc w:val="both"/>
        <w:rPr>
          <w:sz w:val="20"/>
          <w:szCs w:val="20"/>
        </w:rPr>
      </w:pPr>
      <w:r w:rsidRPr="00EF295C">
        <w:rPr>
          <w:sz w:val="20"/>
          <w:szCs w:val="20"/>
        </w:rPr>
        <w:t xml:space="preserve">Following a jury trial, the respondent was convicted of one count of sexual interference and one count of sexual assault. The complainant was 12 years old at the time of the alleged assaults, but was 17 years old when she testified at the respondent’s trial. In her instructions to the jury, the trial judge told the jury, in respect of the complainant’s testimony, that “in terms of her evidence pertaining to the events, it is the memory of a 12 year old that you are really considering”. The respondent appealed his conviction, arguing that the trial judge erred in her instructions to the jury by suggesting that the jury should assess the complainant’s testimony as if she was a 12-year-old witness and not a 17-year-old witness. The majority of the Court of Appeal allowed the appeal, set aside the convictions and ordered a new trial. It was of the opinion that the trial judge’s statement to the jury could be interpreted to mean that the jury was obliged to assess the complainant’s credibility as if she was 12 years old, and would have been a source of confusion for the jury on the critical issue in the trial, being the assessment of the complainant’s credibility. </w:t>
      </w:r>
      <w:proofErr w:type="spellStart"/>
      <w:r w:rsidRPr="00EF295C">
        <w:rPr>
          <w:sz w:val="20"/>
          <w:szCs w:val="20"/>
        </w:rPr>
        <w:t>Benotto</w:t>
      </w:r>
      <w:proofErr w:type="spellEnd"/>
      <w:r w:rsidRPr="00EF295C">
        <w:rPr>
          <w:sz w:val="20"/>
          <w:szCs w:val="20"/>
        </w:rPr>
        <w:t xml:space="preserve"> J.A., dissenting, would have dismissed the appeal. He was of the view that the trial judge’s statement in an otherwise correct charge would not have led the jury to assess the complainant’s testimony about non-peripheral events with a lower standard of scrutiny, and would not have been a source of confusion for the jury.</w:t>
      </w:r>
    </w:p>
    <w:p w:rsidR="00435438" w:rsidRPr="00EF295C" w:rsidRDefault="00435438" w:rsidP="00435438">
      <w:pPr>
        <w:jc w:val="both"/>
        <w:rPr>
          <w:sz w:val="20"/>
          <w:szCs w:val="20"/>
        </w:rPr>
      </w:pPr>
    </w:p>
    <w:p w:rsidR="00435438" w:rsidRPr="00EF295C" w:rsidRDefault="002E5FCE" w:rsidP="00435438">
      <w:pPr>
        <w:jc w:val="both"/>
        <w:rPr>
          <w:sz w:val="20"/>
          <w:szCs w:val="20"/>
          <w:lang w:val="fr-CA"/>
        </w:rPr>
      </w:pPr>
      <w:r>
        <w:rPr>
          <w:sz w:val="20"/>
          <w:szCs w:val="20"/>
          <w:lang w:val="fr-CA"/>
        </w:rPr>
        <w:pict>
          <v:rect id="_x0000_i1091" style="width:2in;height:1pt" o:hrpct="0" o:hralign="center" o:hrstd="t" o:hrnoshade="t" o:hr="t" fillcolor="black [3213]" stroked="f"/>
        </w:pict>
      </w:r>
    </w:p>
    <w:p w:rsidR="00435438" w:rsidRPr="00EF295C" w:rsidRDefault="00435438" w:rsidP="00435438">
      <w:pPr>
        <w:jc w:val="both"/>
        <w:rPr>
          <w:sz w:val="20"/>
          <w:szCs w:val="20"/>
          <w:lang w:val="fr-CA"/>
        </w:rPr>
      </w:pPr>
    </w:p>
    <w:p w:rsidR="00435438" w:rsidRPr="00EF295C" w:rsidRDefault="00435438" w:rsidP="00435438">
      <w:pPr>
        <w:widowControl w:val="0"/>
        <w:ind w:left="720" w:hanging="720"/>
        <w:jc w:val="both"/>
        <w:rPr>
          <w:sz w:val="20"/>
          <w:szCs w:val="20"/>
          <w:lang w:val="fr-CA"/>
        </w:rPr>
      </w:pPr>
      <w:r w:rsidRPr="00EF295C">
        <w:rPr>
          <w:b/>
          <w:sz w:val="20"/>
          <w:szCs w:val="20"/>
          <w:lang w:val="fr-CA"/>
        </w:rPr>
        <w:fldChar w:fldCharType="begin"/>
      </w:r>
      <w:r w:rsidRPr="00EF295C">
        <w:rPr>
          <w:b/>
          <w:sz w:val="20"/>
          <w:szCs w:val="20"/>
          <w:lang w:val="fr-CA"/>
        </w:rPr>
        <w:instrText xml:space="preserve"> SEQ CHAPTER \h \r 1</w:instrText>
      </w:r>
      <w:r w:rsidRPr="00EF295C">
        <w:rPr>
          <w:b/>
          <w:sz w:val="20"/>
          <w:szCs w:val="20"/>
          <w:lang w:val="fr-CA"/>
        </w:rPr>
        <w:fldChar w:fldCharType="end"/>
      </w:r>
      <w:r w:rsidRPr="00EF295C">
        <w:rPr>
          <w:b/>
          <w:sz w:val="20"/>
          <w:szCs w:val="20"/>
          <w:lang w:val="fr-CA"/>
        </w:rPr>
        <w:t>36877</w:t>
      </w:r>
      <w:r w:rsidRPr="00EF295C">
        <w:rPr>
          <w:sz w:val="20"/>
          <w:szCs w:val="20"/>
          <w:lang w:val="fr-CA"/>
        </w:rPr>
        <w:tab/>
      </w:r>
      <w:r w:rsidRPr="00EF295C">
        <w:rPr>
          <w:b/>
          <w:i/>
          <w:sz w:val="20"/>
          <w:szCs w:val="20"/>
          <w:lang w:val="fr-CA"/>
        </w:rPr>
        <w:t>Sa Majesté la Reine c. C. K.-D.</w:t>
      </w:r>
      <w:r w:rsidRPr="00EF295C">
        <w:rPr>
          <w:b/>
          <w:i/>
          <w:sz w:val="20"/>
          <w:lang w:val="fr-CA"/>
        </w:rPr>
        <w:t xml:space="preserve"> </w:t>
      </w:r>
      <w:r w:rsidRPr="00EF295C">
        <w:rPr>
          <w:sz w:val="20"/>
          <w:szCs w:val="20"/>
          <w:lang w:val="fr-CA"/>
        </w:rPr>
        <w:t>(Ont.) (Criminelle) (De plein droit)</w:t>
      </w:r>
    </w:p>
    <w:p w:rsidR="00435438" w:rsidRPr="00EF295C" w:rsidRDefault="00435438" w:rsidP="00435438">
      <w:pPr>
        <w:widowControl w:val="0"/>
        <w:jc w:val="both"/>
        <w:rPr>
          <w:sz w:val="20"/>
          <w:szCs w:val="20"/>
          <w:lang w:val="fr-CA"/>
        </w:rPr>
      </w:pPr>
    </w:p>
    <w:p w:rsidR="00435438" w:rsidRPr="00EF295C" w:rsidRDefault="00435438" w:rsidP="00435438">
      <w:pPr>
        <w:widowControl w:val="0"/>
        <w:jc w:val="both"/>
        <w:rPr>
          <w:sz w:val="20"/>
          <w:szCs w:val="20"/>
          <w:lang w:val="fr-CA"/>
        </w:rPr>
      </w:pPr>
      <w:r w:rsidRPr="00EF295C">
        <w:rPr>
          <w:sz w:val="20"/>
          <w:szCs w:val="20"/>
          <w:lang w:val="fr-CA"/>
        </w:rPr>
        <w:t>Droit criminel - Exposé au jury - Les juges majoritaires de la Cour d’appel ont-ils commis une erreur de droit en statuant que la juge du procès a donné au jury des directives erronées sur la norme pour apprécier la crédibilité de la plaignante, vu que l’infraction avait été commise alors que cette dernière était âgée de 12 ans et qu’elle avait livré son témoignage à l’âge de 17 ans? - Les juges majoritaires de la Cour d’appel ont-ils commis une erreur de droit en omettant d’appliquer la disposition réparatrice prévue au sous-alinéa 686(1)b</w:t>
      </w:r>
      <w:proofErr w:type="gramStart"/>
      <w:r w:rsidRPr="00EF295C">
        <w:rPr>
          <w:sz w:val="20"/>
          <w:szCs w:val="20"/>
          <w:lang w:val="fr-CA"/>
        </w:rPr>
        <w:t>)(</w:t>
      </w:r>
      <w:proofErr w:type="gramEnd"/>
      <w:r w:rsidRPr="00EF295C">
        <w:rPr>
          <w:sz w:val="20"/>
          <w:szCs w:val="20"/>
          <w:lang w:val="fr-CA"/>
        </w:rPr>
        <w:t xml:space="preserve">iii) du </w:t>
      </w:r>
      <w:r w:rsidRPr="00EF295C">
        <w:rPr>
          <w:i/>
          <w:sz w:val="20"/>
          <w:szCs w:val="20"/>
          <w:lang w:val="fr-CA"/>
        </w:rPr>
        <w:t>Code criminel</w:t>
      </w:r>
      <w:r w:rsidRPr="00EF295C">
        <w:rPr>
          <w:sz w:val="20"/>
          <w:szCs w:val="20"/>
          <w:lang w:val="fr-CA"/>
        </w:rPr>
        <w:t>, L.R.C. 1985, ch. C-46?</w:t>
      </w:r>
    </w:p>
    <w:p w:rsidR="00435438" w:rsidRPr="00EF295C" w:rsidRDefault="00435438" w:rsidP="00435438">
      <w:pPr>
        <w:widowControl w:val="0"/>
        <w:jc w:val="both"/>
        <w:rPr>
          <w:sz w:val="20"/>
          <w:szCs w:val="20"/>
          <w:lang w:val="fr-CA"/>
        </w:rPr>
      </w:pPr>
    </w:p>
    <w:p w:rsidR="00435438" w:rsidRPr="00EF295C" w:rsidRDefault="00435438" w:rsidP="00435438">
      <w:pPr>
        <w:widowControl w:val="0"/>
        <w:jc w:val="both"/>
        <w:rPr>
          <w:sz w:val="20"/>
          <w:szCs w:val="20"/>
          <w:lang w:val="fr-CA"/>
        </w:rPr>
      </w:pPr>
      <w:r w:rsidRPr="00EF295C">
        <w:rPr>
          <w:sz w:val="20"/>
          <w:szCs w:val="20"/>
          <w:lang w:val="fr-CA"/>
        </w:rPr>
        <w:t>Au terme d’un procès devant jury, l’intimé a été déclaré coupable d’un chef de contacts sexuels et d’un chef d’agression sexuelle. La plaignante était âgée de 12 ans à l’époque des présumées agressions, mais elle avait 17 ans lorsqu’elle a témoigné au procès de l’intimé. Dans ses directives au jury, la juge du procès a dit au jury, parlant du témoignage de la plaignante, que [</w:t>
      </w:r>
      <w:r w:rsidRPr="00EF295C">
        <w:rPr>
          <w:smallCaps/>
          <w:sz w:val="20"/>
          <w:szCs w:val="20"/>
          <w:lang w:val="fr-CA"/>
        </w:rPr>
        <w:t>traduction</w:t>
      </w:r>
      <w:r w:rsidRPr="00EF295C">
        <w:rPr>
          <w:sz w:val="20"/>
          <w:szCs w:val="20"/>
          <w:lang w:val="fr-CA"/>
        </w:rPr>
        <w:t xml:space="preserve">] « pour ce qui est de son témoignage relatif aux événements, ce que vous considérez, en réalité, c’est le souvenir d’une enfant de douze ans ». L’intimé a interjeté appel de la déclaration de culpabilité, plaidant que la juge du procès s’était trompée dans ses directives au jury en laissant entendre que le jury devait apprécier le témoignage de la plaignante comme s’il s’agissait d’un témoin âgé de 12 ans et non d’un témoin de 17 ans. Les juges majoritaires de la Cour d’appel ont accueilli l’appel, annulé les déclarations de culpabilité et ordonné la tenue d’un nouveau procès. Ils étaient d’avis que la déclaration de la juge du procès au jury pouvait être interprétée comme signifiant que le jury était obligé d’apprécier la crédibilité de la plaignante comme si elle était âgée de 12 ans, ce qui aurait été une source de confusion pour le jury sur la question d’importance cruciale au procès, c’est-à-dire l’appréciation de la crédibilité de la plaignante. Le juge </w:t>
      </w:r>
      <w:proofErr w:type="spellStart"/>
      <w:r w:rsidRPr="00EF295C">
        <w:rPr>
          <w:sz w:val="20"/>
          <w:szCs w:val="20"/>
          <w:lang w:val="fr-CA"/>
        </w:rPr>
        <w:t>Benotto</w:t>
      </w:r>
      <w:proofErr w:type="spellEnd"/>
      <w:r w:rsidRPr="00EF295C">
        <w:rPr>
          <w:sz w:val="20"/>
          <w:szCs w:val="20"/>
          <w:lang w:val="fr-CA"/>
        </w:rPr>
        <w:t>, dissident, était d’avis de rejeter l’appel. À son avis, la déclaration de la juge du procès, dans un exposé adéquat par ailleurs, n’aurait pas amené le jury à apprécier le témoignage de la plaignante sur des événements non accessoires à l’aune d’une norme d’examen moins rigoureuse et n’aurait pas été une source de confusion pour le jury.</w:t>
      </w:r>
    </w:p>
    <w:p w:rsidR="00435438" w:rsidRPr="00EF295C" w:rsidRDefault="00435438" w:rsidP="00435438">
      <w:pPr>
        <w:jc w:val="both"/>
        <w:rPr>
          <w:sz w:val="20"/>
          <w:szCs w:val="20"/>
          <w:lang w:val="fr-CA"/>
        </w:rPr>
      </w:pPr>
    </w:p>
    <w:p w:rsidR="00435438" w:rsidRPr="00EF295C" w:rsidRDefault="002E5FCE" w:rsidP="00435438">
      <w:pPr>
        <w:jc w:val="both"/>
        <w:rPr>
          <w:sz w:val="20"/>
          <w:szCs w:val="20"/>
          <w:lang w:val="fr-CA"/>
        </w:rPr>
      </w:pPr>
      <w:r>
        <w:rPr>
          <w:sz w:val="20"/>
          <w:szCs w:val="20"/>
          <w:lang w:val="fr-CA"/>
        </w:rPr>
        <w:pict>
          <v:rect id="_x0000_i1092" style="width:2in;height:1pt" o:hrpct="0" o:hralign="center" o:hrstd="t" o:hrnoshade="t" o:hr="t" fillcolor="black [3213]" stroked="f"/>
        </w:pict>
      </w:r>
    </w:p>
    <w:p w:rsidR="00435438" w:rsidRPr="00EF295C" w:rsidRDefault="00435438" w:rsidP="00435438">
      <w:pPr>
        <w:jc w:val="both"/>
        <w:rPr>
          <w:sz w:val="20"/>
          <w:szCs w:val="20"/>
          <w:lang w:val="fr-CA"/>
        </w:rPr>
      </w:pPr>
    </w:p>
    <w:p w:rsidR="00435438" w:rsidRPr="00EF295C" w:rsidRDefault="00435438">
      <w:pPr>
        <w:rPr>
          <w:sz w:val="20"/>
          <w:szCs w:val="20"/>
          <w:lang w:val="fr-CA"/>
        </w:rPr>
      </w:pPr>
      <w:r w:rsidRPr="00EF295C">
        <w:rPr>
          <w:sz w:val="20"/>
          <w:szCs w:val="20"/>
          <w:lang w:val="fr-CA"/>
        </w:rPr>
        <w:br w:type="page"/>
      </w:r>
    </w:p>
    <w:p w:rsidR="00435438" w:rsidRPr="00EF295C" w:rsidRDefault="00435438" w:rsidP="00435438">
      <w:pPr>
        <w:widowControl w:val="0"/>
        <w:ind w:left="720" w:hanging="720"/>
        <w:jc w:val="both"/>
        <w:rPr>
          <w:sz w:val="20"/>
          <w:szCs w:val="20"/>
        </w:rPr>
      </w:pPr>
      <w:r w:rsidRPr="00EF295C">
        <w:rPr>
          <w:b/>
          <w:sz w:val="20"/>
          <w:szCs w:val="20"/>
        </w:rPr>
        <w:lastRenderedPageBreak/>
        <w:fldChar w:fldCharType="begin"/>
      </w:r>
      <w:r w:rsidRPr="00EF295C">
        <w:rPr>
          <w:b/>
          <w:sz w:val="20"/>
          <w:szCs w:val="20"/>
        </w:rPr>
        <w:instrText xml:space="preserve"> SEQ CHAPTER \h \r 1</w:instrText>
      </w:r>
      <w:r w:rsidRPr="00EF295C">
        <w:rPr>
          <w:b/>
          <w:sz w:val="20"/>
          <w:szCs w:val="20"/>
        </w:rPr>
        <w:fldChar w:fldCharType="end"/>
      </w:r>
      <w:r w:rsidRPr="00EF295C">
        <w:rPr>
          <w:b/>
          <w:sz w:val="20"/>
          <w:szCs w:val="20"/>
        </w:rPr>
        <w:t>36986</w:t>
      </w:r>
      <w:r w:rsidRPr="00EF295C">
        <w:rPr>
          <w:sz w:val="20"/>
          <w:szCs w:val="20"/>
        </w:rPr>
        <w:tab/>
      </w:r>
      <w:r w:rsidRPr="00EF295C">
        <w:rPr>
          <w:b/>
          <w:i/>
          <w:sz w:val="20"/>
          <w:szCs w:val="20"/>
        </w:rPr>
        <w:t xml:space="preserve">Dennis James Oland v. Her Majesty the Queen </w:t>
      </w:r>
      <w:r w:rsidRPr="00EF295C">
        <w:rPr>
          <w:sz w:val="20"/>
          <w:szCs w:val="20"/>
        </w:rPr>
        <w:t xml:space="preserve">(N.B.) (Criminal) (By Leave) </w:t>
      </w:r>
    </w:p>
    <w:p w:rsidR="00435438" w:rsidRPr="00EF295C" w:rsidRDefault="00435438" w:rsidP="00435438">
      <w:pPr>
        <w:widowControl w:val="0"/>
        <w:jc w:val="both"/>
        <w:rPr>
          <w:sz w:val="20"/>
          <w:szCs w:val="20"/>
        </w:rPr>
      </w:pPr>
    </w:p>
    <w:p w:rsidR="00435438" w:rsidRPr="00EF295C" w:rsidRDefault="00435438" w:rsidP="00435438">
      <w:pPr>
        <w:jc w:val="both"/>
        <w:rPr>
          <w:sz w:val="20"/>
          <w:szCs w:val="20"/>
        </w:rPr>
      </w:pPr>
      <w:r w:rsidRPr="00EF295C">
        <w:rPr>
          <w:sz w:val="20"/>
          <w:szCs w:val="20"/>
        </w:rPr>
        <w:t xml:space="preserve">Criminal law - Judicial interim release or bail - Release after trial, pending appeal - Grounds for denial - Judge and jury convicted appellant of second degree murder of father - Appellant sentenced to life imprisonment without parole eligibility for 10 years - Motion by appellant for release pending appeal dismissed - Review of release pending appeal decision also dismissed - What is proper test for determining release pending appeal under s. 679(3) of </w:t>
      </w:r>
      <w:r w:rsidRPr="00EF295C">
        <w:rPr>
          <w:i/>
          <w:sz w:val="20"/>
          <w:szCs w:val="20"/>
        </w:rPr>
        <w:t>Criminal Code</w:t>
      </w:r>
      <w:r w:rsidRPr="00EF295C">
        <w:rPr>
          <w:sz w:val="20"/>
          <w:szCs w:val="20"/>
        </w:rPr>
        <w:t xml:space="preserve">? - What is standard applicable to review of release pending appeal decision under s. 680(1)? - </w:t>
      </w:r>
      <w:r w:rsidRPr="00EF295C">
        <w:rPr>
          <w:i/>
          <w:sz w:val="20"/>
          <w:szCs w:val="20"/>
        </w:rPr>
        <w:t>Criminal Code</w:t>
      </w:r>
      <w:r w:rsidRPr="00EF295C">
        <w:rPr>
          <w:sz w:val="20"/>
          <w:szCs w:val="20"/>
        </w:rPr>
        <w:t>, R.S.C., 1985, c. C-46, ss. 679(3) and 680(1).</w:t>
      </w:r>
    </w:p>
    <w:p w:rsidR="00435438" w:rsidRPr="00EF295C" w:rsidRDefault="00435438" w:rsidP="00435438">
      <w:pPr>
        <w:widowControl w:val="0"/>
        <w:jc w:val="both"/>
        <w:rPr>
          <w:sz w:val="20"/>
          <w:szCs w:val="20"/>
        </w:rPr>
      </w:pPr>
    </w:p>
    <w:p w:rsidR="00435438" w:rsidRPr="00EF295C" w:rsidRDefault="00435438" w:rsidP="00435438">
      <w:pPr>
        <w:jc w:val="both"/>
        <w:rPr>
          <w:sz w:val="20"/>
          <w:szCs w:val="20"/>
        </w:rPr>
      </w:pPr>
      <w:r w:rsidRPr="00EF295C">
        <w:rPr>
          <w:sz w:val="20"/>
          <w:szCs w:val="20"/>
        </w:rPr>
        <w:t>The appellant,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in October 2016. In the meantime, Mr. Oland is appealing to this Court the release pending appeal decision only.</w:t>
      </w:r>
    </w:p>
    <w:p w:rsidR="00435438" w:rsidRPr="00EF295C" w:rsidRDefault="00435438" w:rsidP="00435438">
      <w:pPr>
        <w:jc w:val="both"/>
        <w:rPr>
          <w:sz w:val="20"/>
          <w:szCs w:val="20"/>
        </w:rPr>
      </w:pPr>
    </w:p>
    <w:p w:rsidR="00435438" w:rsidRPr="00EF295C" w:rsidRDefault="002E5FCE" w:rsidP="00435438">
      <w:pPr>
        <w:jc w:val="both"/>
        <w:rPr>
          <w:sz w:val="20"/>
          <w:szCs w:val="20"/>
          <w:lang w:val="fr-CA"/>
        </w:rPr>
      </w:pPr>
      <w:r>
        <w:rPr>
          <w:sz w:val="20"/>
          <w:szCs w:val="20"/>
          <w:lang w:val="fr-CA"/>
        </w:rPr>
        <w:pict>
          <v:rect id="_x0000_i1093" style="width:2in;height:1pt" o:hrpct="0" o:hralign="center" o:hrstd="t" o:hrnoshade="t" o:hr="t" fillcolor="black [3213]" stroked="f"/>
        </w:pict>
      </w:r>
    </w:p>
    <w:p w:rsidR="00435438" w:rsidRPr="00EF295C" w:rsidRDefault="00435438" w:rsidP="00435438">
      <w:pPr>
        <w:jc w:val="both"/>
        <w:rPr>
          <w:sz w:val="20"/>
          <w:szCs w:val="20"/>
          <w:lang w:val="fr-CA"/>
        </w:rPr>
      </w:pPr>
    </w:p>
    <w:p w:rsidR="00435438" w:rsidRPr="00EF295C" w:rsidRDefault="00435438" w:rsidP="00435438">
      <w:pPr>
        <w:pStyle w:val="SCCLsocParty"/>
        <w:rPr>
          <w:sz w:val="20"/>
          <w:szCs w:val="20"/>
          <w:lang w:val="fr-CA"/>
        </w:rPr>
      </w:pPr>
      <w:r w:rsidRPr="00EF295C">
        <w:rPr>
          <w:rStyle w:val="SCCFileNumberChar"/>
          <w:b/>
          <w:sz w:val="20"/>
          <w:szCs w:val="20"/>
          <w:lang w:val="fr-CA"/>
        </w:rPr>
        <w:t>36986</w:t>
      </w:r>
      <w:r w:rsidRPr="00EF295C">
        <w:rPr>
          <w:rStyle w:val="SCCFileNumberChar"/>
          <w:b/>
          <w:sz w:val="20"/>
          <w:szCs w:val="20"/>
          <w:lang w:val="fr-CA"/>
        </w:rPr>
        <w:tab/>
      </w:r>
      <w:r w:rsidRPr="00EF295C">
        <w:rPr>
          <w:i/>
          <w:sz w:val="20"/>
          <w:szCs w:val="20"/>
          <w:lang w:val="fr-CA"/>
        </w:rPr>
        <w:t xml:space="preserve">Dennis James </w:t>
      </w:r>
      <w:proofErr w:type="spellStart"/>
      <w:r w:rsidRPr="00EF295C">
        <w:rPr>
          <w:i/>
          <w:sz w:val="20"/>
          <w:szCs w:val="20"/>
          <w:lang w:val="fr-CA"/>
        </w:rPr>
        <w:t>Oland</w:t>
      </w:r>
      <w:proofErr w:type="spellEnd"/>
      <w:r w:rsidRPr="00EF295C">
        <w:rPr>
          <w:i/>
          <w:sz w:val="20"/>
          <w:szCs w:val="20"/>
          <w:lang w:val="fr-CA"/>
        </w:rPr>
        <w:t xml:space="preserve"> c. Sa Majesté la Reine </w:t>
      </w:r>
      <w:r w:rsidRPr="00EF295C">
        <w:rPr>
          <w:b w:val="0"/>
          <w:sz w:val="20"/>
          <w:szCs w:val="20"/>
          <w:lang w:val="fr-CA"/>
        </w:rPr>
        <w:t>(N.-B.) (Criminelle) (Sur autorisation)</w:t>
      </w:r>
    </w:p>
    <w:p w:rsidR="00435438" w:rsidRPr="00EF295C" w:rsidRDefault="00435438" w:rsidP="00435438">
      <w:pPr>
        <w:rPr>
          <w:sz w:val="20"/>
          <w:szCs w:val="20"/>
          <w:lang w:val="fr-CA"/>
        </w:rPr>
      </w:pPr>
    </w:p>
    <w:p w:rsidR="00435438" w:rsidRPr="00EF295C" w:rsidRDefault="00435438" w:rsidP="00435438">
      <w:pPr>
        <w:jc w:val="both"/>
        <w:rPr>
          <w:sz w:val="20"/>
          <w:szCs w:val="20"/>
          <w:lang w:val="fr-CA"/>
        </w:rPr>
      </w:pPr>
      <w:r w:rsidRPr="00EF295C">
        <w:rPr>
          <w:sz w:val="20"/>
          <w:szCs w:val="20"/>
          <w:lang w:val="fr-CA"/>
        </w:rPr>
        <w:t xml:space="preserve">Droit criminel - Mise en liberté provisoire ou sous caution - Mise en liberté après le procès en attendant l’appel - Motifs de refus - Un juge et un jury ont déclaré l’appelant coupable du meurtre au deuxième degré de son père - L’appelant a été condamné à une peine d’emprisonnement à perpétuité sans possibilité de libération conditionnelle avant dix ans - Rejet de la requête de l’appelant en mise en liberté en attendant l’appel - Rejet de la demande de révision de la décision de refuser la mise en liberté provisoire - Quel critère permet de statuer sur la demande de mise en liberté en attendant l’appel en application du par. 679(3) du </w:t>
      </w:r>
      <w:r w:rsidRPr="00EF295C">
        <w:rPr>
          <w:i/>
          <w:sz w:val="20"/>
          <w:szCs w:val="20"/>
          <w:lang w:val="fr-CA"/>
        </w:rPr>
        <w:t>Code criminel</w:t>
      </w:r>
      <w:r w:rsidRPr="00EF295C">
        <w:rPr>
          <w:sz w:val="20"/>
          <w:szCs w:val="20"/>
          <w:lang w:val="fr-CA"/>
        </w:rPr>
        <w:t xml:space="preserve">? - Quelle norme s’applique à la révision de la décision de refuser la mise en liberté en attendant l’appel en application du par. 680(1)? - </w:t>
      </w:r>
      <w:r w:rsidRPr="00EF295C">
        <w:rPr>
          <w:i/>
          <w:sz w:val="20"/>
          <w:szCs w:val="20"/>
          <w:lang w:val="fr-CA"/>
        </w:rPr>
        <w:t>Code criminel</w:t>
      </w:r>
      <w:r w:rsidRPr="00EF295C">
        <w:rPr>
          <w:sz w:val="20"/>
          <w:szCs w:val="20"/>
          <w:lang w:val="fr-CA"/>
        </w:rPr>
        <w:t>, L.R.C., 1985, ch. C-46, par. 679(3) et 680(1).</w:t>
      </w:r>
    </w:p>
    <w:p w:rsidR="00435438" w:rsidRPr="00EF295C" w:rsidRDefault="00435438" w:rsidP="00435438">
      <w:pPr>
        <w:rPr>
          <w:sz w:val="20"/>
          <w:szCs w:val="20"/>
          <w:lang w:val="fr-CA"/>
        </w:rPr>
      </w:pPr>
    </w:p>
    <w:p w:rsidR="00435438" w:rsidRPr="00EF295C" w:rsidRDefault="00435438" w:rsidP="00435438">
      <w:pPr>
        <w:jc w:val="both"/>
        <w:rPr>
          <w:sz w:val="20"/>
          <w:szCs w:val="20"/>
          <w:lang w:val="fr-CA"/>
        </w:rPr>
      </w:pPr>
      <w:r w:rsidRPr="00EF295C">
        <w:rPr>
          <w:sz w:val="20"/>
          <w:szCs w:val="20"/>
          <w:lang w:val="fr-CA"/>
        </w:rPr>
        <w:t>L’appelant, M. </w:t>
      </w:r>
      <w:proofErr w:type="spellStart"/>
      <w:r w:rsidRPr="00EF295C">
        <w:rPr>
          <w:sz w:val="20"/>
          <w:szCs w:val="20"/>
          <w:lang w:val="fr-CA"/>
        </w:rPr>
        <w:t>Oland</w:t>
      </w:r>
      <w:proofErr w:type="spellEnd"/>
      <w:r w:rsidRPr="00EF295C">
        <w:rPr>
          <w:sz w:val="20"/>
          <w:szCs w:val="20"/>
          <w:lang w:val="fr-CA"/>
        </w:rPr>
        <w:t>, a subi son procès pour le meurtre au deuxième degré de son père devant un juge siégeant avec un jury. Monsieur </w:t>
      </w:r>
      <w:proofErr w:type="spellStart"/>
      <w:r w:rsidRPr="00EF295C">
        <w:rPr>
          <w:sz w:val="20"/>
          <w:szCs w:val="20"/>
          <w:lang w:val="fr-CA"/>
        </w:rPr>
        <w:t>Oland</w:t>
      </w:r>
      <w:proofErr w:type="spellEnd"/>
      <w:r w:rsidRPr="00EF295C">
        <w:rPr>
          <w:sz w:val="20"/>
          <w:szCs w:val="20"/>
          <w:lang w:val="fr-CA"/>
        </w:rPr>
        <w:t xml:space="preserve"> a été déclaré coupable et condamné à une peine d’emprisonnement à perpétuité sans possibilité de libération conditionnelle avant dix ans. Le 20 janvier 2016, M. </w:t>
      </w:r>
      <w:proofErr w:type="spellStart"/>
      <w:r w:rsidRPr="00EF295C">
        <w:rPr>
          <w:sz w:val="20"/>
          <w:szCs w:val="20"/>
          <w:lang w:val="fr-CA"/>
        </w:rPr>
        <w:t>Oland</w:t>
      </w:r>
      <w:proofErr w:type="spellEnd"/>
      <w:r w:rsidRPr="00EF295C">
        <w:rPr>
          <w:sz w:val="20"/>
          <w:szCs w:val="20"/>
          <w:lang w:val="fr-CA"/>
        </w:rPr>
        <w:t xml:space="preserve"> a déposé un avis d’appel de sa déclaration de culpabilité en Cour d’appel du Nouveau-Brunswick. À la même date, M. </w:t>
      </w:r>
      <w:proofErr w:type="spellStart"/>
      <w:r w:rsidRPr="00EF295C">
        <w:rPr>
          <w:sz w:val="20"/>
          <w:szCs w:val="20"/>
          <w:lang w:val="fr-CA"/>
        </w:rPr>
        <w:t>Oland</w:t>
      </w:r>
      <w:proofErr w:type="spellEnd"/>
      <w:r w:rsidRPr="00EF295C">
        <w:rPr>
          <w:sz w:val="20"/>
          <w:szCs w:val="20"/>
          <w:lang w:val="fr-CA"/>
        </w:rPr>
        <w:t xml:space="preserve"> a déposé une requête de mise en liberté en attendant son appel. Le juge Richard a rejeté la requête et une formation de trois juges de la Cour d’appel a confirmé cette décision par la suite. L’appel formé par M. </w:t>
      </w:r>
      <w:proofErr w:type="spellStart"/>
      <w:r w:rsidRPr="00EF295C">
        <w:rPr>
          <w:sz w:val="20"/>
          <w:szCs w:val="20"/>
          <w:lang w:val="fr-CA"/>
        </w:rPr>
        <w:t>Oland</w:t>
      </w:r>
      <w:proofErr w:type="spellEnd"/>
      <w:r w:rsidRPr="00EF295C">
        <w:rPr>
          <w:sz w:val="20"/>
          <w:szCs w:val="20"/>
          <w:lang w:val="fr-CA"/>
        </w:rPr>
        <w:t xml:space="preserve"> contre sa déclaration de culpabilité doit être entendu (devant la Cour d’appel du Nouveau-Brunswick) en octobre 2016. Entre-temps, M. </w:t>
      </w:r>
      <w:proofErr w:type="spellStart"/>
      <w:r w:rsidRPr="00EF295C">
        <w:rPr>
          <w:sz w:val="20"/>
          <w:szCs w:val="20"/>
          <w:lang w:val="fr-CA"/>
        </w:rPr>
        <w:t>Oland</w:t>
      </w:r>
      <w:proofErr w:type="spellEnd"/>
      <w:r w:rsidRPr="00EF295C">
        <w:rPr>
          <w:sz w:val="20"/>
          <w:szCs w:val="20"/>
          <w:lang w:val="fr-CA"/>
        </w:rPr>
        <w:t xml:space="preserve"> se pourvoit devant notre Cour seulement à l’encontre de la décision de refuser la mise en liberté en attendant l’appel.</w:t>
      </w:r>
    </w:p>
    <w:p w:rsidR="00435438" w:rsidRPr="00EF295C" w:rsidRDefault="00435438" w:rsidP="00435438">
      <w:pPr>
        <w:jc w:val="both"/>
        <w:rPr>
          <w:sz w:val="20"/>
          <w:szCs w:val="20"/>
          <w:lang w:val="fr-CA"/>
        </w:rPr>
      </w:pPr>
    </w:p>
    <w:p w:rsidR="00435438" w:rsidRPr="00EF295C" w:rsidRDefault="002E5FCE" w:rsidP="00435438">
      <w:pPr>
        <w:jc w:val="both"/>
        <w:rPr>
          <w:sz w:val="20"/>
          <w:szCs w:val="20"/>
          <w:lang w:val="fr-CA"/>
        </w:rPr>
      </w:pPr>
      <w:r>
        <w:rPr>
          <w:sz w:val="20"/>
          <w:szCs w:val="20"/>
          <w:lang w:val="fr-CA"/>
        </w:rPr>
        <w:pict>
          <v:rect id="_x0000_i1094" style="width:2in;height:1pt" o:hrpct="0" o:hralign="center" o:hrstd="t" o:hrnoshade="t" o:hr="t" fillcolor="black [3213]" stroked="f"/>
        </w:pict>
      </w:r>
    </w:p>
    <w:p w:rsidR="001608EC" w:rsidRPr="00EF295C" w:rsidRDefault="001608EC" w:rsidP="00782AE4">
      <w:pPr>
        <w:jc w:val="both"/>
        <w:rPr>
          <w:sz w:val="20"/>
          <w:szCs w:val="20"/>
          <w:lang w:val="fr-CA"/>
        </w:rPr>
      </w:pPr>
    </w:p>
    <w:p w:rsidR="001608EC" w:rsidRPr="00EF295C" w:rsidRDefault="001608EC" w:rsidP="00782AE4">
      <w:pPr>
        <w:jc w:val="both"/>
        <w:rPr>
          <w:sz w:val="20"/>
          <w:szCs w:val="20"/>
          <w:lang w:val="fr-CA"/>
        </w:rPr>
        <w:sectPr w:rsidR="001608EC" w:rsidRPr="00EF295C" w:rsidSect="005F263E">
          <w:headerReference w:type="default"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bookmarkStart w:id="6" w:name="QuickMark"/>
    <w:bookmarkEnd w:id="6"/>
    <w:p w:rsidR="008902B1" w:rsidRPr="00EF295C" w:rsidRDefault="008902B1" w:rsidP="008902B1">
      <w:pPr>
        <w:widowControl w:val="0"/>
        <w:spacing w:line="180" w:lineRule="auto"/>
        <w:jc w:val="center"/>
        <w:rPr>
          <w:rFonts w:asciiTheme="minorHAnsi" w:hAnsiTheme="minorHAnsi" w:cstheme="minorHAnsi"/>
          <w:b/>
          <w:szCs w:val="24"/>
        </w:rPr>
      </w:pPr>
      <w:r w:rsidRPr="00EF295C">
        <w:rPr>
          <w:rFonts w:asciiTheme="minorHAnsi" w:hAnsiTheme="minorHAnsi" w:cstheme="minorHAnsi"/>
          <w:b/>
          <w:szCs w:val="24"/>
        </w:rPr>
        <w:lastRenderedPageBreak/>
        <w:fldChar w:fldCharType="begin"/>
      </w:r>
      <w:r w:rsidRPr="00EF295C">
        <w:rPr>
          <w:rFonts w:asciiTheme="minorHAnsi" w:hAnsiTheme="minorHAnsi" w:cstheme="minorHAnsi"/>
          <w:b/>
          <w:szCs w:val="24"/>
        </w:rPr>
        <w:instrText xml:space="preserve"> SEQ CHAPTER \h \r 1</w:instrText>
      </w:r>
      <w:r w:rsidRPr="00EF295C">
        <w:rPr>
          <w:rFonts w:asciiTheme="minorHAnsi" w:hAnsiTheme="minorHAnsi" w:cstheme="minorHAnsi"/>
          <w:b/>
          <w:szCs w:val="24"/>
        </w:rPr>
        <w:fldChar w:fldCharType="end"/>
      </w:r>
      <w:r w:rsidRPr="00EF295C">
        <w:rPr>
          <w:rFonts w:asciiTheme="minorHAnsi" w:hAnsiTheme="minorHAnsi" w:cstheme="minorHAnsi"/>
          <w:b/>
          <w:szCs w:val="24"/>
        </w:rPr>
        <w:t>SUPREME COURT OF CANADA SCHEDULE / CALENDRIER DE LA COUR SUPREME</w:t>
      </w:r>
    </w:p>
    <w:p w:rsidR="0013595D" w:rsidRPr="00EF295C" w:rsidRDefault="0013595D" w:rsidP="0013595D">
      <w:pPr>
        <w:widowControl w:val="0"/>
        <w:spacing w:line="180" w:lineRule="auto"/>
        <w:rPr>
          <w:rFonts w:asciiTheme="minorHAnsi" w:hAnsiTheme="minorHAnsi" w:cstheme="minorHAnsi"/>
          <w:szCs w:val="24"/>
        </w:rPr>
      </w:pPr>
    </w:p>
    <w:p w:rsidR="0013595D" w:rsidRPr="00EF295C" w:rsidRDefault="0013595D" w:rsidP="0013595D">
      <w:pPr>
        <w:widowControl w:val="0"/>
        <w:tabs>
          <w:tab w:val="center" w:pos="5400"/>
          <w:tab w:val="right" w:pos="10440"/>
        </w:tabs>
        <w:rPr>
          <w:rFonts w:ascii="Arial" w:hAnsi="Arial"/>
          <w:sz w:val="18"/>
        </w:rPr>
      </w:pPr>
      <w:r w:rsidRPr="00EF295C">
        <w:rPr>
          <w:rFonts w:ascii="Arial" w:hAnsi="Arial"/>
          <w:sz w:val="18"/>
        </w:rPr>
        <w:tab/>
      </w:r>
      <w:r w:rsidRPr="00EF295C">
        <w:rPr>
          <w:rFonts w:ascii="Arial" w:hAnsi="Arial"/>
          <w:i/>
          <w:sz w:val="36"/>
        </w:rPr>
        <w:t xml:space="preserve">- </w:t>
      </w:r>
      <w:r w:rsidRPr="00EF295C">
        <w:rPr>
          <w:rFonts w:ascii="Arial" w:hAnsi="Arial"/>
          <w:b/>
          <w:i/>
          <w:sz w:val="36"/>
        </w:rPr>
        <w:t>2016</w:t>
      </w:r>
      <w:r w:rsidRPr="00EF295C">
        <w:rPr>
          <w:rFonts w:ascii="Arial" w:hAnsi="Arial"/>
          <w:i/>
          <w:sz w:val="36"/>
        </w:rPr>
        <w:t xml:space="preserve"> -</w:t>
      </w:r>
      <w:r w:rsidRPr="00EF295C">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EF295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DECEMBER - DÉCEMBRE</w:t>
            </w:r>
          </w:p>
        </w:tc>
      </w:tr>
      <w:tr w:rsidR="0013595D" w:rsidRPr="00EF295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4"/>
                <w:szCs w:val="14"/>
                <w:lang w:val="fr-FR"/>
              </w:rPr>
            </w:pPr>
            <w:r w:rsidRPr="00EF295C">
              <w:rPr>
                <w:rFonts w:ascii="Arial" w:hAnsi="Arial" w:cs="Arial"/>
                <w:b/>
                <w:sz w:val="14"/>
                <w:szCs w:val="14"/>
                <w:lang w:val="fr-FR"/>
              </w:rPr>
              <w:t>S</w:t>
            </w:r>
          </w:p>
          <w:p w:rsidR="0013595D" w:rsidRPr="00EF295C" w:rsidRDefault="0013595D" w:rsidP="00E942C2">
            <w:pPr>
              <w:tabs>
                <w:tab w:val="center" w:pos="5220"/>
                <w:tab w:val="right" w:pos="10440"/>
              </w:tabs>
              <w:jc w:val="center"/>
              <w:rPr>
                <w:rFonts w:ascii="Arial" w:hAnsi="Arial" w:cs="Arial"/>
                <w:b/>
                <w:sz w:val="14"/>
                <w:szCs w:val="14"/>
                <w:lang w:val="fr-FR"/>
              </w:rPr>
            </w:pPr>
            <w:r w:rsidRPr="00EF295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T</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W</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T</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F</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T</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W</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T</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F</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S</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M</w:t>
            </w:r>
          </w:p>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lang w:val="fr-FR"/>
              </w:rPr>
            </w:pPr>
            <w:r w:rsidRPr="00EF295C">
              <w:rPr>
                <w:rFonts w:ascii="Arial" w:hAnsi="Arial" w:cs="Arial"/>
                <w:b/>
                <w:sz w:val="13"/>
                <w:szCs w:val="13"/>
                <w:lang w:val="fr-FR"/>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r>
      <w:tr w:rsidR="0013595D" w:rsidRPr="00EF295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r>
      <w:tr w:rsidR="0013595D" w:rsidRPr="00EF295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EF295C" w:rsidRDefault="0013595D" w:rsidP="00E942C2">
            <w:pPr>
              <w:jc w:val="center"/>
              <w:rPr>
                <w:rFonts w:ascii="Arial" w:hAnsi="Arial" w:cs="Arial"/>
                <w:b/>
                <w:sz w:val="12"/>
                <w:szCs w:val="12"/>
              </w:rPr>
            </w:pPr>
          </w:p>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 xml:space="preserve">H </w:t>
            </w:r>
          </w:p>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r>
      <w:tr w:rsidR="0013595D" w:rsidRPr="00EF295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b/>
                <w:sz w:val="13"/>
                <w:szCs w:val="13"/>
              </w:rPr>
              <w:t xml:space="preserve">H </w:t>
            </w:r>
          </w:p>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09" w:type="pct"/>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51" w:type="pct"/>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10" w:type="pct"/>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7"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18"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18"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r>
      <w:tr w:rsidR="0013595D" w:rsidRPr="00EF295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67"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09"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10" w:type="pct"/>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r>
      <w:tr w:rsidR="0013595D" w:rsidRPr="00EF295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EF295C" w:rsidRDefault="0013595D" w:rsidP="00E942C2">
            <w:pPr>
              <w:rPr>
                <w:rFonts w:ascii="Arial" w:hAnsi="Arial" w:cs="Arial"/>
                <w:sz w:val="13"/>
                <w:szCs w:val="13"/>
              </w:rPr>
            </w:pPr>
            <w:r w:rsidRPr="00EF295C">
              <w:rPr>
                <w:rFonts w:ascii="Arial" w:hAnsi="Arial" w:cs="Arial"/>
                <w:sz w:val="13"/>
                <w:szCs w:val="13"/>
              </w:rPr>
              <w:t>23</w:t>
            </w:r>
          </w:p>
          <w:p w:rsidR="0013595D" w:rsidRPr="00EF295C" w:rsidRDefault="0013595D" w:rsidP="00E942C2">
            <w:pPr>
              <w:jc w:val="center"/>
              <w:rPr>
                <w:rFonts w:ascii="Arial" w:hAnsi="Arial" w:cs="Arial"/>
                <w:sz w:val="13"/>
                <w:szCs w:val="13"/>
              </w:rPr>
            </w:pPr>
            <w:r w:rsidRPr="00EF295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EF295C" w:rsidRDefault="0013595D" w:rsidP="00E942C2">
            <w:pPr>
              <w:rPr>
                <w:rFonts w:ascii="Arial" w:hAnsi="Arial" w:cs="Arial"/>
                <w:sz w:val="13"/>
                <w:szCs w:val="13"/>
              </w:rPr>
            </w:pPr>
            <w:r w:rsidRPr="00EF295C">
              <w:rPr>
                <w:rFonts w:ascii="Arial" w:hAnsi="Arial" w:cs="Arial"/>
                <w:sz w:val="13"/>
                <w:szCs w:val="13"/>
              </w:rPr>
              <w:t>24</w:t>
            </w:r>
          </w:p>
          <w:p w:rsidR="0013595D" w:rsidRPr="00EF295C" w:rsidRDefault="0013595D" w:rsidP="00E942C2">
            <w:pPr>
              <w:rPr>
                <w:rFonts w:ascii="Arial" w:hAnsi="Arial" w:cs="Arial"/>
                <w:sz w:val="13"/>
                <w:szCs w:val="13"/>
              </w:rPr>
            </w:pPr>
            <w:r w:rsidRPr="00EF295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b/>
                <w:sz w:val="13"/>
                <w:szCs w:val="13"/>
              </w:rPr>
            </w:pPr>
          </w:p>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31</w:t>
            </w:r>
          </w:p>
        </w:tc>
      </w:tr>
    </w:tbl>
    <w:p w:rsidR="0013595D" w:rsidRPr="00EF295C" w:rsidRDefault="0013595D" w:rsidP="0013595D">
      <w:pPr>
        <w:tabs>
          <w:tab w:val="center" w:pos="5220"/>
          <w:tab w:val="right" w:pos="10440"/>
        </w:tabs>
        <w:jc w:val="center"/>
        <w:rPr>
          <w:rFonts w:ascii="Arial" w:hAnsi="Arial" w:cs="Arial"/>
          <w:sz w:val="36"/>
          <w:szCs w:val="36"/>
        </w:rPr>
      </w:pPr>
      <w:r w:rsidRPr="00EF295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EF295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MARCH - MARS</w:t>
            </w:r>
          </w:p>
        </w:tc>
      </w:tr>
      <w:tr w:rsidR="0013595D" w:rsidRPr="00EF295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17"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49"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50"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16"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17"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23"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r>
      <w:tr w:rsidR="0013595D" w:rsidRPr="00EF295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EF295C" w:rsidRDefault="0013595D" w:rsidP="00E942C2">
            <w:pPr>
              <w:jc w:val="center"/>
              <w:rPr>
                <w:rFonts w:ascii="Arial" w:hAnsi="Arial" w:cs="Arial"/>
                <w:b/>
                <w:sz w:val="13"/>
                <w:szCs w:val="13"/>
              </w:rPr>
            </w:pPr>
          </w:p>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25"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23" w:type="pct"/>
            <w:tcMar>
              <w:bottom w:w="43" w:type="dxa"/>
            </w:tcMar>
            <w:vAlign w:val="bottom"/>
          </w:tcPr>
          <w:p w:rsidR="0013595D" w:rsidRPr="00EF295C" w:rsidRDefault="0013595D" w:rsidP="00E942C2">
            <w:pPr>
              <w:jc w:val="center"/>
              <w:rPr>
                <w:rFonts w:ascii="Arial" w:hAnsi="Arial" w:cs="Arial"/>
                <w:sz w:val="13"/>
                <w:szCs w:val="13"/>
              </w:rPr>
            </w:pPr>
          </w:p>
        </w:tc>
        <w:tc>
          <w:tcPr>
            <w:tcW w:w="208" w:type="pct"/>
            <w:tcMar>
              <w:bottom w:w="43" w:type="dxa"/>
            </w:tcMar>
            <w:vAlign w:val="bottom"/>
          </w:tcPr>
          <w:p w:rsidR="0013595D" w:rsidRPr="00EF295C" w:rsidRDefault="0013595D" w:rsidP="00E942C2">
            <w:pPr>
              <w:jc w:val="center"/>
              <w:rPr>
                <w:rFonts w:ascii="Arial" w:hAnsi="Arial" w:cs="Arial"/>
                <w:sz w:val="13"/>
                <w:szCs w:val="13"/>
              </w:rPr>
            </w:pPr>
          </w:p>
        </w:tc>
        <w:tc>
          <w:tcPr>
            <w:tcW w:w="208" w:type="pct"/>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08" w:type="pct"/>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08" w:type="pct"/>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18"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r>
      <w:tr w:rsidR="0013595D" w:rsidRPr="00EF295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47"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25"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23" w:type="pct"/>
            <w:tcBorders>
              <w:bottom w:val="single" w:sz="4"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18"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r>
      <w:tr w:rsidR="0013595D" w:rsidRPr="00EF295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25"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18"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r>
      <w:tr w:rsidR="0013595D" w:rsidRPr="00EF295C" w:rsidTr="00E942C2">
        <w:trPr>
          <w:trHeight w:val="288"/>
        </w:trPr>
        <w:tc>
          <w:tcPr>
            <w:tcW w:w="217" w:type="pct"/>
            <w:tcBorders>
              <w:lef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49"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50"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16"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17"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25" w:type="pct"/>
            <w:tcBorders>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r>
      <w:tr w:rsidR="0013595D" w:rsidRPr="00EF295C" w:rsidTr="00E942C2">
        <w:trPr>
          <w:trHeight w:val="288"/>
        </w:trPr>
        <w:tc>
          <w:tcPr>
            <w:tcW w:w="217" w:type="pct"/>
            <w:tcBorders>
              <w:left w:val="double" w:sz="6" w:space="0" w:color="auto"/>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17"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217"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31</w:t>
            </w:r>
          </w:p>
        </w:tc>
        <w:tc>
          <w:tcPr>
            <w:tcW w:w="233"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0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49"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50" w:type="pct"/>
            <w:tcBorders>
              <w:bottom w:val="double" w:sz="6" w:space="0" w:color="auto"/>
            </w:tcBorders>
            <w:tcMar>
              <w:bottom w:w="43" w:type="dxa"/>
            </w:tcMar>
            <w:vAlign w:val="bottom"/>
          </w:tcPr>
          <w:p w:rsidR="0013595D" w:rsidRPr="00EF295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r>
      <w:tr w:rsidR="0013595D" w:rsidRPr="00EF295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JUNE – JUIN</w:t>
            </w:r>
          </w:p>
        </w:tc>
      </w:tr>
      <w:tr w:rsidR="0013595D" w:rsidRPr="00EF295C" w:rsidTr="00E942C2">
        <w:trPr>
          <w:trHeight w:val="270"/>
        </w:trPr>
        <w:tc>
          <w:tcPr>
            <w:tcW w:w="217" w:type="pct"/>
            <w:tcBorders>
              <w:top w:val="double" w:sz="6" w:space="0" w:color="auto"/>
              <w:lef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17"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17"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33"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21"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08"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49"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50"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16"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17" w:type="pct"/>
            <w:tcBorders>
              <w:top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W</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T</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F</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p w:rsidR="0013595D" w:rsidRPr="00EF295C" w:rsidRDefault="0013595D" w:rsidP="00E942C2">
            <w:pPr>
              <w:tabs>
                <w:tab w:val="center" w:pos="5220"/>
                <w:tab w:val="right" w:pos="10440"/>
              </w:tabs>
              <w:jc w:val="center"/>
              <w:rPr>
                <w:rFonts w:ascii="Arial" w:hAnsi="Arial" w:cs="Arial"/>
                <w:b/>
                <w:sz w:val="13"/>
                <w:szCs w:val="13"/>
              </w:rPr>
            </w:pPr>
            <w:r w:rsidRPr="00EF295C">
              <w:rPr>
                <w:rFonts w:ascii="Arial" w:hAnsi="Arial" w:cs="Arial"/>
                <w:b/>
                <w:sz w:val="13"/>
                <w:szCs w:val="13"/>
              </w:rPr>
              <w:t>S</w:t>
            </w:r>
          </w:p>
        </w:tc>
      </w:tr>
      <w:tr w:rsidR="0013595D" w:rsidRPr="00EF295C" w:rsidTr="00E942C2">
        <w:trPr>
          <w:trHeight w:val="288"/>
        </w:trPr>
        <w:tc>
          <w:tcPr>
            <w:tcW w:w="217" w:type="pct"/>
            <w:tcBorders>
              <w:lef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r>
      <w:tr w:rsidR="0013595D" w:rsidRPr="00EF295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r>
      <w:tr w:rsidR="0013595D" w:rsidRPr="00EF295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r>
      <w:tr w:rsidR="0013595D" w:rsidRPr="00EF295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b/>
                <w:sz w:val="13"/>
                <w:szCs w:val="13"/>
              </w:rPr>
            </w:pPr>
          </w:p>
          <w:p w:rsidR="0013595D" w:rsidRPr="00EF295C" w:rsidRDefault="0013595D" w:rsidP="00E942C2">
            <w:pPr>
              <w:jc w:val="center"/>
              <w:rPr>
                <w:rFonts w:ascii="Arial" w:hAnsi="Arial" w:cs="Arial"/>
                <w:sz w:val="13"/>
                <w:szCs w:val="13"/>
              </w:rPr>
            </w:pPr>
            <w:r w:rsidRPr="00EF295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F295C" w:rsidRDefault="0013595D" w:rsidP="00E942C2">
            <w:pPr>
              <w:jc w:val="center"/>
              <w:rPr>
                <w:rFonts w:ascii="Arial" w:hAnsi="Arial" w:cs="Arial"/>
                <w:b/>
                <w:sz w:val="13"/>
                <w:szCs w:val="13"/>
              </w:rPr>
            </w:pPr>
            <w:r w:rsidRPr="00EF295C">
              <w:rPr>
                <w:rFonts w:ascii="Arial" w:hAnsi="Arial" w:cs="Arial"/>
                <w:b/>
                <w:sz w:val="13"/>
                <w:szCs w:val="13"/>
              </w:rPr>
              <w:t>H</w:t>
            </w:r>
          </w:p>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50"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16"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17"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19</w:t>
            </w:r>
          </w:p>
        </w:tc>
        <w:tc>
          <w:tcPr>
            <w:tcW w:w="208"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20</w:t>
            </w:r>
          </w:p>
        </w:tc>
        <w:tc>
          <w:tcPr>
            <w:tcW w:w="208"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21</w:t>
            </w:r>
          </w:p>
        </w:tc>
        <w:tc>
          <w:tcPr>
            <w:tcW w:w="208"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22</w:t>
            </w:r>
          </w:p>
        </w:tc>
        <w:tc>
          <w:tcPr>
            <w:tcW w:w="208" w:type="pct"/>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r>
      <w:tr w:rsidR="0013595D" w:rsidRPr="00EF295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EF295C" w:rsidRDefault="0013595D" w:rsidP="00E942C2">
            <w:pPr>
              <w:rPr>
                <w:rFonts w:ascii="Arial" w:hAnsi="Arial" w:cs="Arial"/>
                <w:sz w:val="13"/>
                <w:szCs w:val="13"/>
              </w:rPr>
            </w:pPr>
            <w:r w:rsidRPr="00EF295C">
              <w:rPr>
                <w:rFonts w:ascii="Arial" w:hAnsi="Arial" w:cs="Arial"/>
                <w:sz w:val="13"/>
                <w:szCs w:val="13"/>
              </w:rPr>
              <w:t>23</w:t>
            </w:r>
          </w:p>
          <w:p w:rsidR="0013595D" w:rsidRPr="00EF295C" w:rsidRDefault="0013595D" w:rsidP="00E942C2">
            <w:pPr>
              <w:jc w:val="center"/>
              <w:rPr>
                <w:rFonts w:ascii="Arial" w:hAnsi="Arial" w:cs="Arial"/>
                <w:sz w:val="13"/>
                <w:szCs w:val="13"/>
              </w:rPr>
            </w:pPr>
            <w:r w:rsidRPr="00EF295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49"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250"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31</w:t>
            </w:r>
          </w:p>
        </w:tc>
        <w:tc>
          <w:tcPr>
            <w:tcW w:w="216"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F295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25</w:t>
            </w:r>
          </w:p>
        </w:tc>
        <w:tc>
          <w:tcPr>
            <w:tcW w:w="223"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26</w:t>
            </w:r>
          </w:p>
        </w:tc>
        <w:tc>
          <w:tcPr>
            <w:tcW w:w="20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27</w:t>
            </w:r>
          </w:p>
        </w:tc>
        <w:tc>
          <w:tcPr>
            <w:tcW w:w="20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28</w:t>
            </w:r>
          </w:p>
        </w:tc>
        <w:tc>
          <w:tcPr>
            <w:tcW w:w="20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29</w:t>
            </w:r>
          </w:p>
        </w:tc>
        <w:tc>
          <w:tcPr>
            <w:tcW w:w="208" w:type="pct"/>
            <w:tcBorders>
              <w:bottom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r w:rsidRPr="00EF295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EF295C" w:rsidRDefault="0013595D" w:rsidP="00E942C2">
            <w:pPr>
              <w:jc w:val="center"/>
              <w:rPr>
                <w:rFonts w:ascii="Arial" w:hAnsi="Arial" w:cs="Arial"/>
                <w:sz w:val="13"/>
                <w:szCs w:val="13"/>
              </w:rPr>
            </w:pPr>
          </w:p>
        </w:tc>
      </w:tr>
    </w:tbl>
    <w:p w:rsidR="0013595D" w:rsidRPr="00EF295C" w:rsidRDefault="0013595D" w:rsidP="0013595D">
      <w:pPr>
        <w:widowControl w:val="0"/>
        <w:tabs>
          <w:tab w:val="center" w:pos="5400"/>
          <w:tab w:val="right" w:pos="10440"/>
        </w:tabs>
        <w:rPr>
          <w:rFonts w:ascii="Arial" w:hAnsi="Arial"/>
          <w:sz w:val="18"/>
        </w:rPr>
      </w:pPr>
    </w:p>
    <w:p w:rsidR="0013595D" w:rsidRPr="00EF295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EF295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EF295C" w:rsidRDefault="0013595D" w:rsidP="00E942C2">
            <w:pPr>
              <w:widowControl w:val="0"/>
              <w:rPr>
                <w:rFonts w:ascii="Arial" w:hAnsi="Arial"/>
                <w:sz w:val="16"/>
              </w:rPr>
            </w:pPr>
            <w:r w:rsidRPr="00EF295C">
              <w:rPr>
                <w:rFonts w:ascii="Arial" w:hAnsi="Arial"/>
                <w:sz w:val="16"/>
              </w:rPr>
              <w:t>Sittings of the Court:</w:t>
            </w:r>
          </w:p>
          <w:p w:rsidR="0013595D" w:rsidRPr="00EF295C" w:rsidRDefault="0013595D" w:rsidP="00E942C2">
            <w:pPr>
              <w:widowControl w:val="0"/>
              <w:rPr>
                <w:rFonts w:ascii="Arial" w:hAnsi="Arial"/>
                <w:sz w:val="16"/>
              </w:rPr>
            </w:pPr>
            <w:r w:rsidRPr="00EF295C">
              <w:rPr>
                <w:rFonts w:ascii="Arial" w:hAnsi="Arial"/>
                <w:sz w:val="16"/>
              </w:rPr>
              <w:t xml:space="preserve">Séances de la </w:t>
            </w:r>
            <w:proofErr w:type="spellStart"/>
            <w:r w:rsidRPr="00EF295C">
              <w:rPr>
                <w:rFonts w:ascii="Arial" w:hAnsi="Arial"/>
                <w:sz w:val="16"/>
              </w:rPr>
              <w:t>Cour</w:t>
            </w:r>
            <w:proofErr w:type="spellEnd"/>
            <w:r w:rsidRPr="00EF295C">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EF295C" w:rsidRDefault="0013595D" w:rsidP="00E942C2">
            <w:pPr>
              <w:widowControl w:val="0"/>
              <w:rPr>
                <w:rFonts w:ascii="Arial" w:hAnsi="Arial"/>
                <w:sz w:val="16"/>
              </w:rPr>
            </w:pPr>
          </w:p>
          <w:p w:rsidR="0013595D" w:rsidRPr="00EF295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F295C">
              <w:rPr>
                <w:rFonts w:ascii="Arial" w:hAnsi="Arial"/>
                <w:b/>
                <w:sz w:val="16"/>
                <w:lang w:val="fr-CA"/>
              </w:rPr>
              <w:t xml:space="preserve">18  </w:t>
            </w:r>
            <w:proofErr w:type="spellStart"/>
            <w:r w:rsidRPr="00EF295C">
              <w:rPr>
                <w:rFonts w:ascii="Arial" w:hAnsi="Arial"/>
                <w:b/>
                <w:sz w:val="16"/>
                <w:lang w:val="fr-CA"/>
              </w:rPr>
              <w:t>sitting</w:t>
            </w:r>
            <w:proofErr w:type="spellEnd"/>
            <w:r w:rsidRPr="00EF295C">
              <w:rPr>
                <w:rFonts w:ascii="Arial" w:hAnsi="Arial"/>
                <w:b/>
                <w:sz w:val="16"/>
                <w:lang w:val="fr-CA"/>
              </w:rPr>
              <w:t xml:space="preserve"> </w:t>
            </w:r>
            <w:proofErr w:type="spellStart"/>
            <w:r w:rsidRPr="00EF295C">
              <w:rPr>
                <w:rFonts w:ascii="Arial" w:hAnsi="Arial"/>
                <w:b/>
                <w:sz w:val="16"/>
                <w:lang w:val="fr-CA"/>
              </w:rPr>
              <w:t>weeks</w:t>
            </w:r>
            <w:proofErr w:type="spellEnd"/>
            <w:r w:rsidRPr="00EF295C">
              <w:rPr>
                <w:rFonts w:ascii="Arial" w:hAnsi="Arial"/>
                <w:b/>
                <w:sz w:val="16"/>
                <w:lang w:val="fr-CA"/>
              </w:rPr>
              <w:t xml:space="preserve"> / semaines séances de la cour</w:t>
            </w:r>
          </w:p>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F295C">
              <w:rPr>
                <w:rFonts w:ascii="Arial" w:hAnsi="Arial"/>
                <w:b/>
                <w:sz w:val="16"/>
                <w:lang w:val="fr-CA"/>
              </w:rPr>
              <w:t xml:space="preserve">86  </w:t>
            </w:r>
            <w:proofErr w:type="spellStart"/>
            <w:r w:rsidRPr="00EF295C">
              <w:rPr>
                <w:rFonts w:ascii="Arial" w:hAnsi="Arial"/>
                <w:b/>
                <w:sz w:val="16"/>
                <w:lang w:val="fr-CA"/>
              </w:rPr>
              <w:t>sitting</w:t>
            </w:r>
            <w:proofErr w:type="spellEnd"/>
            <w:r w:rsidRPr="00EF295C">
              <w:rPr>
                <w:rFonts w:ascii="Arial" w:hAnsi="Arial"/>
                <w:b/>
                <w:sz w:val="16"/>
                <w:lang w:val="fr-CA"/>
              </w:rPr>
              <w:t xml:space="preserve"> </w:t>
            </w:r>
            <w:proofErr w:type="spellStart"/>
            <w:r w:rsidRPr="00EF295C">
              <w:rPr>
                <w:rFonts w:ascii="Arial" w:hAnsi="Arial"/>
                <w:b/>
                <w:sz w:val="16"/>
                <w:lang w:val="fr-CA"/>
              </w:rPr>
              <w:t>days</w:t>
            </w:r>
            <w:proofErr w:type="spellEnd"/>
            <w:r w:rsidRPr="00EF295C">
              <w:rPr>
                <w:rFonts w:ascii="Arial" w:hAnsi="Arial"/>
                <w:b/>
                <w:sz w:val="16"/>
                <w:lang w:val="fr-CA"/>
              </w:rPr>
              <w:t xml:space="preserve"> / journées séances de la cour</w:t>
            </w:r>
          </w:p>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EF295C">
              <w:rPr>
                <w:rFonts w:ascii="Arial" w:hAnsi="Arial"/>
                <w:b/>
                <w:sz w:val="16"/>
                <w:lang w:val="fr-CA"/>
              </w:rPr>
              <w:t>4</w:t>
            </w:r>
            <w:r w:rsidRPr="00EF295C">
              <w:rPr>
                <w:rFonts w:ascii="Arial" w:hAnsi="Arial"/>
                <w:b/>
                <w:sz w:val="16"/>
              </w:rPr>
              <w:t xml:space="preserve">    holidays during sitting days / </w:t>
            </w:r>
            <w:proofErr w:type="spellStart"/>
            <w:r w:rsidRPr="00EF295C">
              <w:rPr>
                <w:rFonts w:ascii="Arial" w:hAnsi="Arial"/>
                <w:b/>
                <w:sz w:val="16"/>
              </w:rPr>
              <w:t>jours</w:t>
            </w:r>
            <w:proofErr w:type="spellEnd"/>
            <w:r w:rsidRPr="00EF295C">
              <w:rPr>
                <w:rFonts w:ascii="Arial" w:hAnsi="Arial"/>
                <w:b/>
                <w:sz w:val="16"/>
              </w:rPr>
              <w:t xml:space="preserve"> </w:t>
            </w:r>
            <w:proofErr w:type="spellStart"/>
            <w:r w:rsidRPr="00EF295C">
              <w:rPr>
                <w:rFonts w:ascii="Arial" w:hAnsi="Arial"/>
                <w:b/>
                <w:sz w:val="16"/>
              </w:rPr>
              <w:t>fériés</w:t>
            </w:r>
            <w:proofErr w:type="spellEnd"/>
            <w:r w:rsidRPr="00EF295C">
              <w:rPr>
                <w:rFonts w:ascii="Arial" w:hAnsi="Arial"/>
                <w:b/>
                <w:sz w:val="16"/>
              </w:rPr>
              <w:t xml:space="preserve"> </w:t>
            </w:r>
            <w:proofErr w:type="spellStart"/>
            <w:r w:rsidRPr="00EF295C">
              <w:rPr>
                <w:rFonts w:ascii="Arial" w:hAnsi="Arial"/>
                <w:b/>
                <w:sz w:val="16"/>
              </w:rPr>
              <w:t>durant</w:t>
            </w:r>
            <w:proofErr w:type="spellEnd"/>
            <w:r w:rsidRPr="00EF295C">
              <w:rPr>
                <w:rFonts w:ascii="Arial" w:hAnsi="Arial"/>
                <w:b/>
                <w:sz w:val="16"/>
              </w:rPr>
              <w:t xml:space="preserve"> les sessions</w:t>
            </w:r>
          </w:p>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F295C">
              <w:rPr>
                <w:rFonts w:ascii="Arial" w:hAnsi="Arial"/>
                <w:sz w:val="16"/>
              </w:rPr>
              <w:t>Holidays:</w:t>
            </w:r>
          </w:p>
          <w:p w:rsidR="0013595D" w:rsidRPr="00EF295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EF295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EF295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8"/>
      <w:footerReference w:type="default" r:id="rId6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14" w:rsidRDefault="00E24014" w:rsidP="00A87207">
      <w:r>
        <w:separator/>
      </w:r>
    </w:p>
  </w:endnote>
  <w:endnote w:type="continuationSeparator" w:id="0">
    <w:p w:rsidR="00E24014" w:rsidRDefault="00E2401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pPr>
      <w:pStyle w:val="Footer"/>
      <w:rPr>
        <w:lang w:val="fr-CA"/>
      </w:rPr>
    </w:pPr>
    <w:r>
      <w:rPr>
        <w:lang w:val="fr-CA"/>
      </w:rPr>
      <w:pict>
        <v:rect id="_x0000_i1063" style="width:480.95pt;height:1pt" o:hralign="center" o:hrstd="t" o:hrnoshade="t" o:hr="t" fillcolor="black [3213]" stroked="f"/>
      </w:pict>
    </w:r>
  </w:p>
  <w:p w:rsidR="00E24014" w:rsidRDefault="00E24014" w:rsidP="00245129">
    <w:pPr>
      <w:tabs>
        <w:tab w:val="center" w:pos="4680"/>
      </w:tabs>
    </w:pPr>
    <w:r>
      <w:tab/>
    </w:r>
    <w:r w:rsidRPr="0009648D">
      <w:t xml:space="preserve">- </w:t>
    </w:r>
    <w:r>
      <w:fldChar w:fldCharType="begin"/>
    </w:r>
    <w:r>
      <w:instrText xml:space="preserve"> PAGE   \* MERGEFORMAT </w:instrText>
    </w:r>
    <w:r>
      <w:fldChar w:fldCharType="separate"/>
    </w:r>
    <w:r w:rsidR="002E5FCE">
      <w:rPr>
        <w:noProof/>
      </w:rPr>
      <w:t>1306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4014" w:rsidRDefault="00E2401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755F22">
    <w:pPr>
      <w:tabs>
        <w:tab w:val="left" w:pos="-1440"/>
        <w:tab w:val="left" w:pos="-720"/>
      </w:tabs>
    </w:pPr>
    <w:r>
      <w:pict>
        <v:rect id="_x0000_i1067" style="width:480.95pt;height:1pt" o:hralign="center" o:hrstd="t" o:hrnoshade="t" o:hr="t" fillcolor="black [3213]" stroked="f"/>
      </w:pict>
    </w:r>
  </w:p>
  <w:p w:rsidR="00E24014" w:rsidRDefault="00E24014" w:rsidP="00EB2B90">
    <w:pPr>
      <w:tabs>
        <w:tab w:val="center" w:pos="4680"/>
      </w:tabs>
    </w:pPr>
    <w:r>
      <w:tab/>
      <w:t xml:space="preserve">- </w:t>
    </w:r>
    <w:r>
      <w:fldChar w:fldCharType="begin"/>
    </w:r>
    <w:r>
      <w:instrText xml:space="preserve"> PAGE   \* MERGEFORMAT </w:instrText>
    </w:r>
    <w:r>
      <w:fldChar w:fldCharType="separate"/>
    </w:r>
    <w:r w:rsidR="002E5FCE">
      <w:rPr>
        <w:noProof/>
      </w:rPr>
      <w:t>1324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EB2B90">
    <w:pPr>
      <w:tabs>
        <w:tab w:val="center" w:pos="4680"/>
      </w:tabs>
    </w:pPr>
    <w:r>
      <w:pict>
        <v:rect id="_x0000_i1068" style="width:480.95pt;height:1pt" o:hralign="center" o:hrstd="t" o:hrnoshade="t" o:hr="t" fillcolor="black [3213]" stroked="f"/>
      </w:pict>
    </w:r>
  </w:p>
  <w:p w:rsidR="00E24014" w:rsidRPr="0031432F" w:rsidRDefault="00E24014" w:rsidP="00EB2B90">
    <w:pPr>
      <w:tabs>
        <w:tab w:val="center" w:pos="4680"/>
      </w:tabs>
    </w:pPr>
    <w:r>
      <w:tab/>
      <w:t xml:space="preserve">- </w:t>
    </w:r>
    <w:r>
      <w:fldChar w:fldCharType="begin"/>
    </w:r>
    <w:r>
      <w:instrText xml:space="preserve"> PAGE   \* MERGEFORMAT </w:instrText>
    </w:r>
    <w:r>
      <w:fldChar w:fldCharType="separate"/>
    </w:r>
    <w:r w:rsidR="002E5FCE">
      <w:rPr>
        <w:noProof/>
      </w:rPr>
      <w:t>1320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24014" w:rsidRDefault="00E2401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24014" w:rsidRDefault="00E2401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22323B">
    <w:r>
      <w:pict>
        <v:rect id="_x0000_i1071" style="width:480.95pt;height:1pt" o:hralign="center" o:hrstd="t" o:hrnoshade="t" o:hr="t" fillcolor="black [3213]" stroked="f"/>
      </w:pict>
    </w:r>
  </w:p>
  <w:p w:rsidR="00E24014" w:rsidRDefault="00E24014">
    <w:pPr>
      <w:tabs>
        <w:tab w:val="center" w:pos="4740"/>
      </w:tabs>
      <w:spacing w:line="0" w:lineRule="atLeast"/>
    </w:pPr>
    <w:r>
      <w:tab/>
      <w:t xml:space="preserve">- </w:t>
    </w:r>
    <w:r>
      <w:fldChar w:fldCharType="begin"/>
    </w:r>
    <w:r>
      <w:instrText xml:space="preserve"> PAGE   \* MERGEFORMAT </w:instrText>
    </w:r>
    <w:r>
      <w:fldChar w:fldCharType="separate"/>
    </w:r>
    <w:r>
      <w:rPr>
        <w:noProof/>
      </w:rPr>
      <w:t>1316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22323B">
    <w:r>
      <w:pict>
        <v:rect id="_x0000_i1072" style="width:480.95pt;height:1pt" o:hralign="center" o:hrstd="t" o:hrnoshade="t" o:hr="t" fillcolor="black [3213]" stroked="f"/>
      </w:pict>
    </w:r>
  </w:p>
  <w:p w:rsidR="00E24014" w:rsidRDefault="00E24014" w:rsidP="0022323B">
    <w:pPr>
      <w:tabs>
        <w:tab w:val="center" w:pos="4740"/>
      </w:tabs>
      <w:spacing w:line="0" w:lineRule="atLeast"/>
    </w:pPr>
    <w:r>
      <w:tab/>
      <w:t xml:space="preserve">- </w:t>
    </w:r>
    <w:r>
      <w:fldChar w:fldCharType="begin"/>
    </w:r>
    <w:r>
      <w:instrText xml:space="preserve"> PAGE   \* MERGEFORMAT </w:instrText>
    </w:r>
    <w:r>
      <w:fldChar w:fldCharType="separate"/>
    </w:r>
    <w:r w:rsidR="002E5FCE">
      <w:rPr>
        <w:noProof/>
      </w:rPr>
      <w:t>1325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22323B">
    <w:r>
      <w:pict>
        <v:rect id="_x0000_i1095" style="width:480.95pt;height:1pt" o:hralign="center" o:hrstd="t" o:hrnoshade="t" o:hr="t" fillcolor="black [3213]" stroked="f"/>
      </w:pict>
    </w:r>
  </w:p>
  <w:p w:rsidR="00E24014" w:rsidRDefault="00E24014">
    <w:pPr>
      <w:tabs>
        <w:tab w:val="center" w:pos="4740"/>
      </w:tabs>
      <w:spacing w:line="0" w:lineRule="atLeast"/>
    </w:pPr>
    <w:r>
      <w:tab/>
      <w:t xml:space="preserve">- </w:t>
    </w:r>
    <w:r>
      <w:fldChar w:fldCharType="begin"/>
    </w:r>
    <w:r>
      <w:instrText xml:space="preserve"> PAGE   \* MERGEFORMAT </w:instrText>
    </w:r>
    <w:r>
      <w:fldChar w:fldCharType="separate"/>
    </w:r>
    <w:r w:rsidR="002E5FCE">
      <w:rPr>
        <w:noProof/>
      </w:rPr>
      <w:t>1337</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22323B">
    <w:r>
      <w:pict>
        <v:rect id="_x0000_i1096" style="width:480.95pt;height:1pt" o:hralign="center" o:hrstd="t" o:hrnoshade="t" o:hr="t" fillcolor="black [3213]" stroked="f"/>
      </w:pict>
    </w:r>
  </w:p>
  <w:p w:rsidR="00E24014" w:rsidRDefault="00E24014" w:rsidP="0022323B">
    <w:pPr>
      <w:tabs>
        <w:tab w:val="center" w:pos="4740"/>
      </w:tabs>
      <w:spacing w:line="0" w:lineRule="atLeast"/>
    </w:pPr>
    <w:r>
      <w:tab/>
      <w:t xml:space="preserve">- </w:t>
    </w:r>
    <w:r>
      <w:fldChar w:fldCharType="begin"/>
    </w:r>
    <w:r>
      <w:instrText xml:space="preserve"> PAGE   \* MERGEFORMAT </w:instrText>
    </w:r>
    <w:r>
      <w:fldChar w:fldCharType="separate"/>
    </w:r>
    <w:r w:rsidR="002E5FCE">
      <w:rPr>
        <w:noProof/>
      </w:rPr>
      <w:t>1326</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Pr="00924065" w:rsidRDefault="00E2401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A87207">
    <w:pPr>
      <w:pStyle w:val="Footer"/>
    </w:pPr>
    <w:r>
      <w:pict>
        <v:rect id="_x0000_i1041" style="width:480.95pt;height:1pt" o:hralign="center" o:hrstd="t" o:hrnoshade="t" o:hr="t" fillcolor="black [3213]" stroked="f"/>
      </w:pict>
    </w:r>
  </w:p>
  <w:p w:rsidR="00E24014" w:rsidRPr="00B7374B" w:rsidRDefault="00E2401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E5FCE">
      <w:rPr>
        <w:noProof/>
        <w:szCs w:val="24"/>
      </w:rPr>
      <w:t>1304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755F22">
    <w:pPr>
      <w:tabs>
        <w:tab w:val="left" w:pos="-1440"/>
        <w:tab w:val="left" w:pos="-720"/>
      </w:tabs>
    </w:pPr>
    <w:r>
      <w:pict>
        <v:rect id="_x0000_i1042" style="width:480.95pt;height:1pt" o:hralign="center" o:hrstd="t" o:hrnoshade="t" o:hr="t" fillcolor="black [3213]" stroked="f"/>
      </w:pict>
    </w:r>
  </w:p>
  <w:p w:rsidR="00E24014" w:rsidRPr="00954D22" w:rsidRDefault="00E2401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E5FCE">
      <w:rPr>
        <w:noProof/>
        <w:szCs w:val="24"/>
      </w:rPr>
      <w:t>1302</w:t>
    </w:r>
    <w:r>
      <w:rPr>
        <w:szCs w:val="24"/>
      </w:rPr>
      <w:fldChar w:fldCharType="end"/>
    </w:r>
    <w:r w:rsidRPr="00954D22">
      <w:rPr>
        <w:szCs w:val="24"/>
      </w:rPr>
      <w:t xml:space="preserve"> -</w:t>
    </w:r>
  </w:p>
  <w:p w:rsidR="00E24014" w:rsidRDefault="00E240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A87207">
    <w:pPr>
      <w:pStyle w:val="Footer"/>
    </w:pPr>
    <w:r>
      <w:pict>
        <v:rect id="_x0000_i1044" style="width:480.95pt;height:1pt" o:hralign="center" o:hrstd="t" o:hrnoshade="t" o:hr="t" fillcolor="black [3213]" stroked="f"/>
      </w:pict>
    </w:r>
  </w:p>
  <w:p w:rsidR="00E24014" w:rsidRPr="00B7374B" w:rsidRDefault="00E2401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E24014" w:rsidRPr="00954D22" w:rsidRDefault="00E2401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E5FCE">
      <w:rPr>
        <w:noProof/>
        <w:szCs w:val="24"/>
      </w:rPr>
      <w:t>1305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24014" w:rsidRDefault="00E2401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2E5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E24014" w:rsidRPr="0009648D" w:rsidRDefault="00E24014" w:rsidP="00ED7E83">
    <w:pPr>
      <w:tabs>
        <w:tab w:val="center" w:pos="4680"/>
      </w:tabs>
    </w:pPr>
    <w:r>
      <w:tab/>
    </w:r>
    <w:r w:rsidRPr="0009648D">
      <w:t xml:space="preserve">- </w:t>
    </w:r>
    <w:r>
      <w:fldChar w:fldCharType="begin"/>
    </w:r>
    <w:r>
      <w:instrText xml:space="preserve"> PAGE   \* MERGEFORMAT </w:instrText>
    </w:r>
    <w:r>
      <w:fldChar w:fldCharType="separate"/>
    </w:r>
    <w:r w:rsidR="002E5FCE">
      <w:rPr>
        <w:noProof/>
      </w:rPr>
      <w:t>1319</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14" w:rsidRDefault="00E24014" w:rsidP="00A87207">
      <w:r>
        <w:separator/>
      </w:r>
    </w:p>
  </w:footnote>
  <w:footnote w:type="continuationSeparator" w:id="0">
    <w:p w:rsidR="00E24014" w:rsidRDefault="00E2401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24014">
      <w:tc>
        <w:tcPr>
          <w:tcW w:w="4230" w:type="dxa"/>
          <w:tcMar>
            <w:left w:w="0" w:type="dxa"/>
            <w:right w:w="0" w:type="dxa"/>
          </w:tcMar>
        </w:tcPr>
        <w:p w:rsidR="00E24014" w:rsidRDefault="00E240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24014" w:rsidRDefault="00E240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4014" w:rsidRDefault="00E240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24014">
      <w:trPr>
        <w:gridAfter w:val="2"/>
        <w:wAfter w:w="5250" w:type="dxa"/>
      </w:trPr>
      <w:tc>
        <w:tcPr>
          <w:tcW w:w="4230" w:type="dxa"/>
          <w:tcMar>
            <w:left w:w="0" w:type="dxa"/>
            <w:right w:w="0" w:type="dxa"/>
          </w:tcMar>
        </w:tcPr>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24014"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24014" w:rsidRPr="00755F22" w:rsidTr="00245129">
      <w:tc>
        <w:tcPr>
          <w:tcW w:w="4230" w:type="dxa"/>
          <w:tcMar>
            <w:left w:w="0" w:type="dxa"/>
            <w:right w:w="0" w:type="dxa"/>
          </w:tcMar>
        </w:tcPr>
        <w:p w:rsidR="00E24014" w:rsidRPr="00755F22" w:rsidRDefault="00E24014" w:rsidP="00831CA9">
          <w:pPr>
            <w:keepNext/>
            <w:keepLines/>
            <w:rPr>
              <w:sz w:val="20"/>
              <w:szCs w:val="20"/>
            </w:rPr>
          </w:pPr>
          <w:r w:rsidRPr="00755F22">
            <w:rPr>
              <w:sz w:val="20"/>
              <w:szCs w:val="20"/>
            </w:rPr>
            <w:t>MOTIONS</w:t>
          </w:r>
        </w:p>
      </w:tc>
      <w:tc>
        <w:tcPr>
          <w:tcW w:w="1170" w:type="dxa"/>
          <w:tcMar>
            <w:left w:w="0" w:type="dxa"/>
            <w:right w:w="0" w:type="dxa"/>
          </w:tcMar>
        </w:tcPr>
        <w:p w:rsidR="00E24014" w:rsidRPr="00755F22" w:rsidRDefault="00E24014" w:rsidP="00831CA9">
          <w:pPr>
            <w:keepLines/>
            <w:jc w:val="center"/>
            <w:rPr>
              <w:sz w:val="20"/>
              <w:szCs w:val="20"/>
            </w:rPr>
          </w:pPr>
        </w:p>
        <w:p w:rsidR="00E24014" w:rsidRPr="00755F22" w:rsidRDefault="00E24014" w:rsidP="00831CA9">
          <w:pPr>
            <w:keepLines/>
            <w:tabs>
              <w:tab w:val="left" w:pos="-1440"/>
              <w:tab w:val="left" w:pos="-720"/>
            </w:tabs>
            <w:jc w:val="center"/>
            <w:rPr>
              <w:sz w:val="20"/>
              <w:szCs w:val="20"/>
            </w:rPr>
          </w:pPr>
        </w:p>
      </w:tc>
      <w:tc>
        <w:tcPr>
          <w:tcW w:w="4080" w:type="dxa"/>
          <w:tcMar>
            <w:left w:w="0" w:type="dxa"/>
            <w:right w:w="0" w:type="dxa"/>
          </w:tcMar>
        </w:tcPr>
        <w:p w:rsidR="00E24014" w:rsidRPr="00BA6468" w:rsidRDefault="00E24014" w:rsidP="00BA6468">
          <w:pPr>
            <w:keepLines/>
            <w:rPr>
              <w:sz w:val="20"/>
              <w:szCs w:val="20"/>
              <w:lang w:val="fr-CA"/>
            </w:rPr>
          </w:pPr>
          <w:r w:rsidRPr="00BA6468">
            <w:rPr>
              <w:sz w:val="20"/>
              <w:szCs w:val="20"/>
              <w:lang w:val="fr-CA"/>
            </w:rPr>
            <w:t>REQUÊTES</w:t>
          </w:r>
        </w:p>
      </w:tc>
    </w:tr>
  </w:tbl>
  <w:p w:rsidR="00E24014" w:rsidRDefault="00E2401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4014">
      <w:tc>
        <w:tcPr>
          <w:tcW w:w="4200" w:type="dxa"/>
          <w:tcMar>
            <w:left w:w="0" w:type="dxa"/>
            <w:right w:w="0" w:type="dxa"/>
          </w:tcMar>
        </w:tcPr>
        <w:p w:rsidR="00E24014" w:rsidRDefault="00E2401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24014" w:rsidRDefault="00E2401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24014" w:rsidRDefault="00E2401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24014" w:rsidRDefault="00E2401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24014" w:rsidRDefault="00E2401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24014" w:rsidRDefault="00E2401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4014" w:rsidRPr="00C50A5C" w:rsidTr="00245129">
      <w:tc>
        <w:tcPr>
          <w:tcW w:w="4200" w:type="dxa"/>
          <w:tcMar>
            <w:left w:w="0" w:type="dxa"/>
            <w:right w:w="0" w:type="dxa"/>
          </w:tcMar>
        </w:tcPr>
        <w:p w:rsidR="00E24014" w:rsidRPr="00C50A5C" w:rsidRDefault="00E2401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24014" w:rsidRPr="00C50A5C" w:rsidRDefault="00E2401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24014" w:rsidRPr="00C50A5C" w:rsidRDefault="00E2401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24014" w:rsidRPr="00C50A5C" w:rsidRDefault="00E2401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24014" w:rsidRDefault="00E2401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4014" w:rsidRPr="005F263E" w:rsidTr="00245129">
      <w:tc>
        <w:tcPr>
          <w:tcW w:w="4200" w:type="dxa"/>
          <w:tcMar>
            <w:left w:w="0" w:type="dxa"/>
            <w:right w:w="0" w:type="dxa"/>
          </w:tcMar>
        </w:tcPr>
        <w:p w:rsidR="00E24014" w:rsidRPr="005F263E" w:rsidRDefault="00E24014"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E24014" w:rsidRPr="005F263E" w:rsidRDefault="00E24014" w:rsidP="00245129">
          <w:pPr>
            <w:keepNext/>
            <w:keepLines/>
            <w:tabs>
              <w:tab w:val="left" w:pos="-1440"/>
              <w:tab w:val="left" w:pos="-720"/>
            </w:tabs>
            <w:jc w:val="center"/>
            <w:rPr>
              <w:sz w:val="20"/>
              <w:szCs w:val="20"/>
            </w:rPr>
          </w:pPr>
        </w:p>
        <w:p w:rsidR="00E24014" w:rsidRPr="005F263E" w:rsidRDefault="00E24014" w:rsidP="00245129">
          <w:pPr>
            <w:keepNext/>
            <w:keepLines/>
            <w:tabs>
              <w:tab w:val="left" w:pos="-1440"/>
              <w:tab w:val="left" w:pos="-720"/>
            </w:tabs>
            <w:jc w:val="center"/>
            <w:rPr>
              <w:sz w:val="20"/>
              <w:szCs w:val="20"/>
            </w:rPr>
          </w:pPr>
        </w:p>
      </w:tc>
      <w:tc>
        <w:tcPr>
          <w:tcW w:w="4080" w:type="dxa"/>
          <w:tcMar>
            <w:left w:w="0" w:type="dxa"/>
            <w:right w:w="0" w:type="dxa"/>
          </w:tcMar>
        </w:tcPr>
        <w:p w:rsidR="00E24014" w:rsidRPr="005F263E" w:rsidRDefault="00E24014" w:rsidP="00245129">
          <w:pPr>
            <w:keepLines/>
            <w:tabs>
              <w:tab w:val="left" w:pos="-1440"/>
              <w:tab w:val="left" w:pos="-720"/>
            </w:tabs>
            <w:rPr>
              <w:sz w:val="20"/>
              <w:szCs w:val="20"/>
            </w:rPr>
          </w:pPr>
          <w:r w:rsidRPr="005F263E">
            <w:rPr>
              <w:sz w:val="20"/>
              <w:szCs w:val="20"/>
            </w:rPr>
            <w:t>RÉSUMÉS DES AFFAIRES</w:t>
          </w:r>
        </w:p>
      </w:tc>
    </w:tr>
  </w:tbl>
  <w:p w:rsidR="00E24014" w:rsidRDefault="00E24014"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24014" w:rsidRPr="0044776A" w:rsidTr="00245129">
      <w:tc>
        <w:tcPr>
          <w:tcW w:w="4290" w:type="dxa"/>
          <w:tcMar>
            <w:left w:w="0" w:type="dxa"/>
            <w:right w:w="0" w:type="dxa"/>
          </w:tcMar>
        </w:tcPr>
        <w:p w:rsidR="00E24014" w:rsidRPr="0044776A" w:rsidRDefault="00E2401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24014" w:rsidRPr="0044776A" w:rsidRDefault="00E24014" w:rsidP="002E2327">
          <w:pPr>
            <w:keepNext/>
            <w:keepLines/>
            <w:tabs>
              <w:tab w:val="left" w:pos="-1440"/>
              <w:tab w:val="left" w:pos="-720"/>
            </w:tabs>
            <w:jc w:val="center"/>
            <w:rPr>
              <w:sz w:val="20"/>
              <w:szCs w:val="20"/>
            </w:rPr>
          </w:pPr>
        </w:p>
        <w:p w:rsidR="00E24014" w:rsidRPr="0044776A" w:rsidRDefault="00E24014" w:rsidP="002E2327">
          <w:pPr>
            <w:keepNext/>
            <w:keepLines/>
            <w:tabs>
              <w:tab w:val="left" w:pos="-1440"/>
              <w:tab w:val="left" w:pos="-720"/>
            </w:tabs>
            <w:jc w:val="center"/>
            <w:rPr>
              <w:sz w:val="20"/>
              <w:szCs w:val="20"/>
            </w:rPr>
          </w:pPr>
        </w:p>
        <w:p w:rsidR="00E24014" w:rsidRPr="0044776A" w:rsidRDefault="00E24014" w:rsidP="002E2327">
          <w:pPr>
            <w:keepNext/>
            <w:keepLines/>
            <w:tabs>
              <w:tab w:val="left" w:pos="-1440"/>
              <w:tab w:val="left" w:pos="-720"/>
            </w:tabs>
            <w:jc w:val="center"/>
            <w:rPr>
              <w:sz w:val="20"/>
              <w:szCs w:val="20"/>
            </w:rPr>
          </w:pPr>
        </w:p>
      </w:tc>
      <w:tc>
        <w:tcPr>
          <w:tcW w:w="4320" w:type="dxa"/>
          <w:tcMar>
            <w:left w:w="0" w:type="dxa"/>
            <w:right w:w="0" w:type="dxa"/>
          </w:tcMar>
        </w:tcPr>
        <w:p w:rsidR="00E24014" w:rsidRPr="0044776A" w:rsidRDefault="00E24014" w:rsidP="002E2327">
          <w:pPr>
            <w:keepLines/>
            <w:rPr>
              <w:sz w:val="20"/>
              <w:szCs w:val="20"/>
              <w:lang w:val="fr-CA"/>
            </w:rPr>
          </w:pPr>
          <w:r w:rsidRPr="0044776A">
            <w:rPr>
              <w:sz w:val="20"/>
              <w:szCs w:val="20"/>
              <w:lang w:val="fr-CA"/>
            </w:rPr>
            <w:t>DEMANDES D'AUTORISATION D'APPEL DÉPOSÉES</w:t>
          </w:r>
        </w:p>
      </w:tc>
    </w:tr>
  </w:tbl>
  <w:p w:rsidR="00E24014" w:rsidRDefault="00E240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4014" w:rsidRPr="00B6294F" w:rsidTr="00245129">
      <w:tc>
        <w:tcPr>
          <w:tcW w:w="4200" w:type="dxa"/>
          <w:tcMar>
            <w:left w:w="0" w:type="dxa"/>
            <w:right w:w="0" w:type="dxa"/>
          </w:tcMar>
        </w:tcPr>
        <w:p w:rsidR="00E24014" w:rsidRPr="0044776A" w:rsidRDefault="00E24014" w:rsidP="0044776A">
          <w:pPr>
            <w:keepNext/>
            <w:keepLines/>
            <w:widowControl w:val="0"/>
            <w:rPr>
              <w:sz w:val="20"/>
              <w:szCs w:val="20"/>
            </w:rPr>
          </w:pPr>
          <w:r>
            <w:rPr>
              <w:sz w:val="20"/>
              <w:szCs w:val="20"/>
            </w:rPr>
            <w:t>APPLICATIONS FOR LEAVE</w:t>
          </w:r>
        </w:p>
        <w:p w:rsidR="00E24014" w:rsidRPr="0044776A" w:rsidRDefault="00E2401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24014" w:rsidRPr="0044776A" w:rsidRDefault="00E24014" w:rsidP="0044776A">
          <w:pPr>
            <w:keepNext/>
            <w:keepLines/>
            <w:widowControl w:val="0"/>
            <w:jc w:val="center"/>
            <w:rPr>
              <w:sz w:val="20"/>
              <w:szCs w:val="20"/>
            </w:rPr>
          </w:pPr>
        </w:p>
        <w:p w:rsidR="00E24014" w:rsidRPr="0044776A" w:rsidRDefault="00E24014" w:rsidP="0044776A">
          <w:pPr>
            <w:keepNext/>
            <w:keepLines/>
            <w:widowControl w:val="0"/>
            <w:jc w:val="center"/>
            <w:rPr>
              <w:sz w:val="20"/>
              <w:szCs w:val="20"/>
            </w:rPr>
          </w:pPr>
        </w:p>
        <w:p w:rsidR="00E24014" w:rsidRPr="0044776A" w:rsidRDefault="00E24014" w:rsidP="0044776A">
          <w:pPr>
            <w:keepNext/>
            <w:keepLines/>
            <w:widowControl w:val="0"/>
            <w:jc w:val="center"/>
            <w:rPr>
              <w:sz w:val="20"/>
              <w:szCs w:val="20"/>
            </w:rPr>
          </w:pPr>
        </w:p>
      </w:tc>
      <w:tc>
        <w:tcPr>
          <w:tcW w:w="4080" w:type="dxa"/>
          <w:tcMar>
            <w:left w:w="0" w:type="dxa"/>
            <w:right w:w="0" w:type="dxa"/>
          </w:tcMar>
        </w:tcPr>
        <w:p w:rsidR="00E24014" w:rsidRPr="0044776A" w:rsidRDefault="00E24014" w:rsidP="0044776A">
          <w:pPr>
            <w:keepLines/>
            <w:widowControl w:val="0"/>
            <w:rPr>
              <w:sz w:val="20"/>
              <w:szCs w:val="20"/>
              <w:lang w:val="fr-CA"/>
            </w:rPr>
          </w:pPr>
          <w:r w:rsidRPr="0044776A">
            <w:rPr>
              <w:sz w:val="20"/>
              <w:szCs w:val="20"/>
              <w:lang w:val="fr-CA"/>
            </w:rPr>
            <w:t>DEMANDES SOUMISES À LA COUR DEPUIS LA DERNIÈRE PARUTION</w:t>
          </w:r>
        </w:p>
        <w:p w:rsidR="00E24014" w:rsidRPr="0044776A" w:rsidRDefault="00E24014" w:rsidP="0044776A">
          <w:pPr>
            <w:widowControl w:val="0"/>
            <w:rPr>
              <w:sz w:val="20"/>
              <w:szCs w:val="20"/>
              <w:lang w:val="fr-CA"/>
            </w:rPr>
          </w:pPr>
        </w:p>
      </w:tc>
    </w:tr>
  </w:tbl>
  <w:p w:rsidR="00E24014" w:rsidRPr="002E2327" w:rsidRDefault="00E2401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14" w:rsidRDefault="00E240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24014" w:rsidRPr="00B6294F">
      <w:tc>
        <w:tcPr>
          <w:tcW w:w="4200" w:type="dxa"/>
          <w:tcMar>
            <w:left w:w="0" w:type="dxa"/>
            <w:right w:w="0" w:type="dxa"/>
          </w:tcMar>
        </w:tcPr>
        <w:p w:rsidR="00E24014" w:rsidRDefault="00E240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24014" w:rsidRDefault="00E240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24014" w:rsidRDefault="00E240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24014" w:rsidRPr="00FF6BA5" w:rsidRDefault="00E240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24014" w:rsidRPr="00FF6BA5"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24014" w:rsidRPr="00FF6BA5"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24014" w:rsidRPr="00FF6BA5" w:rsidRDefault="00E24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24014" w:rsidRPr="00B6294F" w:rsidTr="00245129">
      <w:tc>
        <w:tcPr>
          <w:tcW w:w="4200" w:type="dxa"/>
          <w:tcMar>
            <w:left w:w="0" w:type="dxa"/>
            <w:right w:w="0" w:type="dxa"/>
          </w:tcMar>
        </w:tcPr>
        <w:p w:rsidR="00E24014" w:rsidRPr="00755F22" w:rsidRDefault="00E240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24014" w:rsidRPr="00755F22" w:rsidRDefault="00E240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24014" w:rsidRPr="00755F22" w:rsidRDefault="00E240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4014" w:rsidRPr="00755F22" w:rsidRDefault="00E240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24014" w:rsidRPr="00755F22" w:rsidRDefault="00E240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24014" w:rsidRPr="00755F22" w:rsidRDefault="00E240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24014" w:rsidRPr="00FF6BA5" w:rsidRDefault="00E2401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3A27"/>
    <w:multiLevelType w:val="hybridMultilevel"/>
    <w:tmpl w:val="68749572"/>
    <w:lvl w:ilvl="0" w:tplc="D3D8C6A6">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980085"/>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6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62"/>
    <w:rsid w:val="00002704"/>
    <w:rsid w:val="00020DC3"/>
    <w:rsid w:val="000304EA"/>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E6658"/>
    <w:rsid w:val="000F0B60"/>
    <w:rsid w:val="00102926"/>
    <w:rsid w:val="0010587F"/>
    <w:rsid w:val="00111C6B"/>
    <w:rsid w:val="0012102B"/>
    <w:rsid w:val="001278E7"/>
    <w:rsid w:val="0013369E"/>
    <w:rsid w:val="0013595D"/>
    <w:rsid w:val="001608EC"/>
    <w:rsid w:val="00164E6D"/>
    <w:rsid w:val="001758BD"/>
    <w:rsid w:val="00183454"/>
    <w:rsid w:val="00194A08"/>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53236"/>
    <w:rsid w:val="00257021"/>
    <w:rsid w:val="00267FD5"/>
    <w:rsid w:val="00274D34"/>
    <w:rsid w:val="00283ED8"/>
    <w:rsid w:val="002868D0"/>
    <w:rsid w:val="002A008C"/>
    <w:rsid w:val="002A27D1"/>
    <w:rsid w:val="002A4AFA"/>
    <w:rsid w:val="002B516C"/>
    <w:rsid w:val="002D72EB"/>
    <w:rsid w:val="002E2327"/>
    <w:rsid w:val="002E3583"/>
    <w:rsid w:val="002E5576"/>
    <w:rsid w:val="002E5FCE"/>
    <w:rsid w:val="0030050B"/>
    <w:rsid w:val="003124C3"/>
    <w:rsid w:val="00313AE6"/>
    <w:rsid w:val="00331B52"/>
    <w:rsid w:val="003359D3"/>
    <w:rsid w:val="00355967"/>
    <w:rsid w:val="00382C47"/>
    <w:rsid w:val="00384384"/>
    <w:rsid w:val="003866AE"/>
    <w:rsid w:val="00387CDC"/>
    <w:rsid w:val="003B3977"/>
    <w:rsid w:val="003E1D4C"/>
    <w:rsid w:val="003E222E"/>
    <w:rsid w:val="004137A0"/>
    <w:rsid w:val="00422D9A"/>
    <w:rsid w:val="00432989"/>
    <w:rsid w:val="00435438"/>
    <w:rsid w:val="00440E24"/>
    <w:rsid w:val="0044776A"/>
    <w:rsid w:val="00460AFC"/>
    <w:rsid w:val="0047471F"/>
    <w:rsid w:val="004B0D2A"/>
    <w:rsid w:val="004B195E"/>
    <w:rsid w:val="004B66B4"/>
    <w:rsid w:val="004B7F60"/>
    <w:rsid w:val="004C1AAC"/>
    <w:rsid w:val="004E1E0A"/>
    <w:rsid w:val="004F090E"/>
    <w:rsid w:val="00501F3C"/>
    <w:rsid w:val="00505DBF"/>
    <w:rsid w:val="005143D5"/>
    <w:rsid w:val="0052229C"/>
    <w:rsid w:val="00527CC7"/>
    <w:rsid w:val="00571CA4"/>
    <w:rsid w:val="00582136"/>
    <w:rsid w:val="0059470C"/>
    <w:rsid w:val="005A63BD"/>
    <w:rsid w:val="005C6840"/>
    <w:rsid w:val="005D7A3E"/>
    <w:rsid w:val="005F1ED8"/>
    <w:rsid w:val="005F263E"/>
    <w:rsid w:val="005F56C4"/>
    <w:rsid w:val="00600252"/>
    <w:rsid w:val="00612A40"/>
    <w:rsid w:val="0062714A"/>
    <w:rsid w:val="00663C63"/>
    <w:rsid w:val="00665CAF"/>
    <w:rsid w:val="00675479"/>
    <w:rsid w:val="00680709"/>
    <w:rsid w:val="00681F61"/>
    <w:rsid w:val="00696BF9"/>
    <w:rsid w:val="00697C62"/>
    <w:rsid w:val="006A329B"/>
    <w:rsid w:val="006A7EB8"/>
    <w:rsid w:val="006B6926"/>
    <w:rsid w:val="006C3F47"/>
    <w:rsid w:val="006C5F7A"/>
    <w:rsid w:val="006D7841"/>
    <w:rsid w:val="006E06AF"/>
    <w:rsid w:val="006F2491"/>
    <w:rsid w:val="006F350F"/>
    <w:rsid w:val="006F5CFB"/>
    <w:rsid w:val="006F5D64"/>
    <w:rsid w:val="007202E5"/>
    <w:rsid w:val="00732DB7"/>
    <w:rsid w:val="0074238B"/>
    <w:rsid w:val="00745EF7"/>
    <w:rsid w:val="00755F22"/>
    <w:rsid w:val="007624E6"/>
    <w:rsid w:val="00766E4A"/>
    <w:rsid w:val="007820CE"/>
    <w:rsid w:val="00782AE4"/>
    <w:rsid w:val="0078591D"/>
    <w:rsid w:val="0079724F"/>
    <w:rsid w:val="007A3EAE"/>
    <w:rsid w:val="007C04FC"/>
    <w:rsid w:val="007C3DB0"/>
    <w:rsid w:val="007C47C2"/>
    <w:rsid w:val="007D3E0F"/>
    <w:rsid w:val="007E4282"/>
    <w:rsid w:val="007E69D9"/>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8F5CCF"/>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03BAB"/>
    <w:rsid w:val="00A32156"/>
    <w:rsid w:val="00A375D1"/>
    <w:rsid w:val="00A51D10"/>
    <w:rsid w:val="00A52A83"/>
    <w:rsid w:val="00A6552C"/>
    <w:rsid w:val="00A87207"/>
    <w:rsid w:val="00A935AA"/>
    <w:rsid w:val="00A956D3"/>
    <w:rsid w:val="00AB2201"/>
    <w:rsid w:val="00AD1D34"/>
    <w:rsid w:val="00AD3259"/>
    <w:rsid w:val="00AD754D"/>
    <w:rsid w:val="00AF1715"/>
    <w:rsid w:val="00AF1FE9"/>
    <w:rsid w:val="00AF3904"/>
    <w:rsid w:val="00AF4BD2"/>
    <w:rsid w:val="00B010C0"/>
    <w:rsid w:val="00B256D4"/>
    <w:rsid w:val="00B4740D"/>
    <w:rsid w:val="00B61629"/>
    <w:rsid w:val="00B6294F"/>
    <w:rsid w:val="00B7374B"/>
    <w:rsid w:val="00B90DC0"/>
    <w:rsid w:val="00BA116A"/>
    <w:rsid w:val="00BA5582"/>
    <w:rsid w:val="00BA6468"/>
    <w:rsid w:val="00BB1203"/>
    <w:rsid w:val="00BB1D44"/>
    <w:rsid w:val="00BC41EA"/>
    <w:rsid w:val="00BD06DA"/>
    <w:rsid w:val="00BD255D"/>
    <w:rsid w:val="00BD4217"/>
    <w:rsid w:val="00BF1762"/>
    <w:rsid w:val="00BF25F3"/>
    <w:rsid w:val="00C16564"/>
    <w:rsid w:val="00C1697B"/>
    <w:rsid w:val="00C21644"/>
    <w:rsid w:val="00C21CB5"/>
    <w:rsid w:val="00C46376"/>
    <w:rsid w:val="00C50A5C"/>
    <w:rsid w:val="00C50FDF"/>
    <w:rsid w:val="00C63381"/>
    <w:rsid w:val="00C73D06"/>
    <w:rsid w:val="00C73E1B"/>
    <w:rsid w:val="00C759B4"/>
    <w:rsid w:val="00C77713"/>
    <w:rsid w:val="00C85BB7"/>
    <w:rsid w:val="00CA0038"/>
    <w:rsid w:val="00CA16B0"/>
    <w:rsid w:val="00CA2DEA"/>
    <w:rsid w:val="00CB1E18"/>
    <w:rsid w:val="00CB3520"/>
    <w:rsid w:val="00CB43D5"/>
    <w:rsid w:val="00CC4D84"/>
    <w:rsid w:val="00CD11F2"/>
    <w:rsid w:val="00CE198A"/>
    <w:rsid w:val="00CE52FF"/>
    <w:rsid w:val="00CE68B8"/>
    <w:rsid w:val="00CF08C8"/>
    <w:rsid w:val="00D004FC"/>
    <w:rsid w:val="00D526C5"/>
    <w:rsid w:val="00D623C2"/>
    <w:rsid w:val="00D64901"/>
    <w:rsid w:val="00D76BDF"/>
    <w:rsid w:val="00D818B6"/>
    <w:rsid w:val="00D862C1"/>
    <w:rsid w:val="00D93B50"/>
    <w:rsid w:val="00D94028"/>
    <w:rsid w:val="00D94670"/>
    <w:rsid w:val="00DA465A"/>
    <w:rsid w:val="00DA46F6"/>
    <w:rsid w:val="00DA756F"/>
    <w:rsid w:val="00DD0B49"/>
    <w:rsid w:val="00DE0502"/>
    <w:rsid w:val="00DE349D"/>
    <w:rsid w:val="00E06DFA"/>
    <w:rsid w:val="00E13CE6"/>
    <w:rsid w:val="00E14642"/>
    <w:rsid w:val="00E15198"/>
    <w:rsid w:val="00E20A0A"/>
    <w:rsid w:val="00E24014"/>
    <w:rsid w:val="00E240C2"/>
    <w:rsid w:val="00E356C7"/>
    <w:rsid w:val="00E414CA"/>
    <w:rsid w:val="00E41A5A"/>
    <w:rsid w:val="00E45FE4"/>
    <w:rsid w:val="00E64FA7"/>
    <w:rsid w:val="00E75CFD"/>
    <w:rsid w:val="00E770CB"/>
    <w:rsid w:val="00E83D19"/>
    <w:rsid w:val="00E903A1"/>
    <w:rsid w:val="00E940EB"/>
    <w:rsid w:val="00E942C2"/>
    <w:rsid w:val="00E9703F"/>
    <w:rsid w:val="00EB2B90"/>
    <w:rsid w:val="00ED3D48"/>
    <w:rsid w:val="00ED7E83"/>
    <w:rsid w:val="00EE091F"/>
    <w:rsid w:val="00EF295C"/>
    <w:rsid w:val="00EF4B63"/>
    <w:rsid w:val="00F0068D"/>
    <w:rsid w:val="00F0576D"/>
    <w:rsid w:val="00F14E6D"/>
    <w:rsid w:val="00F15EA8"/>
    <w:rsid w:val="00F16C8D"/>
    <w:rsid w:val="00F16EE7"/>
    <w:rsid w:val="00F26C61"/>
    <w:rsid w:val="00F33CCE"/>
    <w:rsid w:val="00F40249"/>
    <w:rsid w:val="00F526C8"/>
    <w:rsid w:val="00F761A3"/>
    <w:rsid w:val="00F9272D"/>
    <w:rsid w:val="00F9518C"/>
    <w:rsid w:val="00FA316E"/>
    <w:rsid w:val="00FA3373"/>
    <w:rsid w:val="00FA59EF"/>
    <w:rsid w:val="00FB19A2"/>
    <w:rsid w:val="00FB4A2E"/>
    <w:rsid w:val="00FD2FE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Ssoc">
    <w:name w:val="SCC.Ssoc"/>
    <w:basedOn w:val="Normal"/>
    <w:next w:val="Normal"/>
    <w:link w:val="SCCSsocChar"/>
    <w:rsid w:val="001608EC"/>
    <w:rPr>
      <w:i/>
      <w:sz w:val="20"/>
      <w:szCs w:val="20"/>
    </w:rPr>
  </w:style>
  <w:style w:type="character" w:customStyle="1" w:styleId="SCCSsocChar">
    <w:name w:val="SCC.Ssoc Char"/>
    <w:basedOn w:val="DefaultParagraphFont"/>
    <w:link w:val="SCCSsoc"/>
    <w:rsid w:val="001608EC"/>
    <w:rPr>
      <w:i/>
      <w:sz w:val="20"/>
      <w:szCs w:val="20"/>
      <w:lang w:val="en-CA"/>
    </w:rPr>
  </w:style>
  <w:style w:type="paragraph" w:customStyle="1" w:styleId="SCCLsocParty">
    <w:name w:val="SCC.Lsoc.Party"/>
    <w:basedOn w:val="Normal"/>
    <w:next w:val="Normal"/>
    <w:link w:val="SCCLsocPartyChar"/>
    <w:rsid w:val="001608EC"/>
    <w:pPr>
      <w:jc w:val="both"/>
    </w:pPr>
    <w:rPr>
      <w:b/>
    </w:rPr>
  </w:style>
  <w:style w:type="character" w:customStyle="1" w:styleId="SCCLsocPartyChar">
    <w:name w:val="SCC.Lsoc.Party Char"/>
    <w:basedOn w:val="DefaultParagraphFont"/>
    <w:link w:val="SCCLsocParty"/>
    <w:rsid w:val="001608EC"/>
    <w:rPr>
      <w:b/>
      <w:lang w:val="en-CA"/>
    </w:rPr>
  </w:style>
  <w:style w:type="paragraph" w:customStyle="1" w:styleId="SCCBanSummary">
    <w:name w:val="SCC.BanSummary"/>
    <w:basedOn w:val="Normal"/>
    <w:next w:val="Normal"/>
    <w:link w:val="SCCBanSummaryChar"/>
    <w:rsid w:val="000304EA"/>
    <w:pPr>
      <w:jc w:val="both"/>
    </w:pPr>
    <w:rPr>
      <w:smallCaps/>
      <w:lang w:val="fr-CA"/>
    </w:rPr>
  </w:style>
  <w:style w:type="character" w:customStyle="1" w:styleId="SCCBanSummaryChar">
    <w:name w:val="SCC.BanSummary Char"/>
    <w:basedOn w:val="DefaultParagraphFont"/>
    <w:link w:val="SCCBanSummary"/>
    <w:rsid w:val="000304EA"/>
    <w:rPr>
      <w:smallCaps/>
      <w:lang w:val="fr-CA"/>
    </w:rPr>
  </w:style>
  <w:style w:type="character" w:customStyle="1" w:styleId="documentstaticurl">
    <w:name w:val="documentstaticurl"/>
    <w:basedOn w:val="DefaultParagraphFont"/>
    <w:rsid w:val="00DA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ca/doc/2015/2015onca695/2015onca695.html?resultIndex=1" TargetMode="External"/><Relationship Id="rId39" Type="http://schemas.openxmlformats.org/officeDocument/2006/relationships/hyperlink" Target="http://www.canlii.org/en/sk/skca/doc/2016/2016skca59/2016skca59.html" TargetMode="External"/><Relationship Id="rId21" Type="http://schemas.openxmlformats.org/officeDocument/2006/relationships/footer" Target="footer6.xml"/><Relationship Id="rId34" Type="http://schemas.openxmlformats.org/officeDocument/2006/relationships/hyperlink" Target="http://canlii.ca/t/gh4jw" TargetMode="External"/><Relationship Id="rId42" Type="http://schemas.openxmlformats.org/officeDocument/2006/relationships/hyperlink" Target="http://www.canlii.org/en/on/onsc/doc/2015/2015onsc4310/2015onsc4310.html"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5/2015onca695/2015onca695.html?resultIndex=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on/onca/doc/2015/2015onca920/2015onca920.html?autocompleteStr=2015%20ONCA%20920&amp;autocompletePos=1" TargetMode="External"/><Relationship Id="rId32" Type="http://schemas.openxmlformats.org/officeDocument/2006/relationships/hyperlink" Target="http://canlii.ca/t/gh915" TargetMode="External"/><Relationship Id="rId37" Type="http://schemas.openxmlformats.org/officeDocument/2006/relationships/hyperlink" Target="http://www.canlii.org/en/on/onscdc/doc/2015/2015canlii82292/2015canlii82292.html?resultIndex=2" TargetMode="External"/><Relationship Id="rId40" Type="http://schemas.openxmlformats.org/officeDocument/2006/relationships/hyperlink" Target="http://www.canlii.org/en/sk/skqb/doc/2015/2015skqb108/2015skqb108.html" TargetMode="External"/><Relationship Id="rId45" Type="http://schemas.openxmlformats.org/officeDocument/2006/relationships/hyperlink" Target="http://www.canlii.org/en/on/onca/doc/2016/2016onca257/2016onca257.html"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on/onca/doc/2015/2015onca695/2015onca695.html?resultIndex=1" TargetMode="External"/><Relationship Id="rId36" Type="http://schemas.openxmlformats.org/officeDocument/2006/relationships/hyperlink" Target="http://www.canlii.org/en/on/onscdc/doc/2015/2015canlii82292/2015canlii82292.html?resultIndex=2"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nqpz" TargetMode="External"/><Relationship Id="rId44" Type="http://schemas.openxmlformats.org/officeDocument/2006/relationships/hyperlink" Target="http://www.canlii.org/en/on/onsc/doc/2015/2015onsc4310/2015onsc4310.html" TargetMode="Externa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5/2015onca695/2015onca695.html?resultIndex=1" TargetMode="External"/><Relationship Id="rId30" Type="http://schemas.openxmlformats.org/officeDocument/2006/relationships/hyperlink" Target="http://canlii.ca/t/gh915" TargetMode="External"/><Relationship Id="rId35" Type="http://schemas.openxmlformats.org/officeDocument/2006/relationships/hyperlink" Target="http://canlii.ca/t/gh4jw" TargetMode="External"/><Relationship Id="rId43" Type="http://schemas.openxmlformats.org/officeDocument/2006/relationships/hyperlink" Target="http://www.canlii.org/en/on/onca/doc/2016/2016onca257/2016onca257.html" TargetMode="Externa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eader" Target="header17.xml"/><Relationship Id="rId69" Type="http://schemas.openxmlformats.org/officeDocument/2006/relationships/footer" Target="footer19.xml"/><Relationship Id="rId8" Type="http://schemas.openxmlformats.org/officeDocument/2006/relationships/hyperlink" Target="http://www.scc-csc.ca"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5/2015onca920/2015onca920.html?autocompleteStr=2015%20ONCA%20920&amp;autocompletePos=1" TargetMode="External"/><Relationship Id="rId33" Type="http://schemas.openxmlformats.org/officeDocument/2006/relationships/hyperlink" Target="http://canlii.ca/t/gnqpz" TargetMode="External"/><Relationship Id="rId38" Type="http://schemas.openxmlformats.org/officeDocument/2006/relationships/hyperlink" Target="http://www.canlii.org/en/sk/skqb/doc/2015/2015skqb108/2015skqb108.html" TargetMode="External"/><Relationship Id="rId46" Type="http://schemas.openxmlformats.org/officeDocument/2006/relationships/header" Target="header8.xml"/><Relationship Id="rId59" Type="http://schemas.openxmlformats.org/officeDocument/2006/relationships/header" Target="header15.xml"/><Relationship Id="rId67"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yperlink" Target="http://www.canlii.org/en/sk/skca/doc/2016/2016skca59/2016skca59.html" TargetMode="External"/><Relationship Id="rId54" Type="http://schemas.openxmlformats.org/officeDocument/2006/relationships/footer" Target="footer11.xml"/><Relationship Id="rId62" Type="http://schemas.openxmlformats.org/officeDocument/2006/relationships/header" Target="header16.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16600</Words>
  <Characters>94622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2016-09-19T15:39:00Z</dcterms:created>
  <dcterms:modified xsi:type="dcterms:W3CDTF">2016-10-06T13:56:00Z</dcterms:modified>
</cp:coreProperties>
</file>