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A63C5" w:rsidRDefault="00382C47">
      <w:r w:rsidRPr="00EA63C5">
        <w:rPr>
          <w:noProof/>
          <w:lang w:val="en-US"/>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EA63C5" w:rsidRDefault="00BF25F3" w:rsidP="00BF25F3"/>
    <w:p w:rsidR="00BF25F3" w:rsidRPr="00EA63C5" w:rsidRDefault="00BF25F3" w:rsidP="00BF25F3"/>
    <w:p w:rsidR="00BF25F3" w:rsidRPr="00EA63C5" w:rsidRDefault="00BF25F3" w:rsidP="00BF25F3"/>
    <w:p w:rsidR="00BF25F3" w:rsidRPr="00EA63C5" w:rsidRDefault="00BF25F3" w:rsidP="00BF25F3"/>
    <w:p w:rsidR="00BF25F3" w:rsidRPr="00EA63C5" w:rsidRDefault="00BF25F3" w:rsidP="00BF25F3"/>
    <w:p w:rsidR="00BF25F3" w:rsidRPr="00EA63C5" w:rsidRDefault="00BF25F3" w:rsidP="00BF25F3"/>
    <w:p w:rsidR="00BF25F3" w:rsidRPr="00EA63C5" w:rsidRDefault="00BF25F3" w:rsidP="00BF25F3"/>
    <w:p w:rsidR="00BF25F3" w:rsidRPr="00EA63C5" w:rsidRDefault="00BF25F3" w:rsidP="00BF25F3"/>
    <w:p w:rsidR="00BF25F3" w:rsidRPr="00EA63C5" w:rsidRDefault="00BF25F3" w:rsidP="00BF25F3"/>
    <w:p w:rsidR="00384384" w:rsidRPr="00EA63C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A63C5" w:rsidTr="002E5576">
        <w:tc>
          <w:tcPr>
            <w:tcW w:w="4518" w:type="dxa"/>
          </w:tcPr>
          <w:p w:rsidR="00BF25F3" w:rsidRPr="00EA63C5" w:rsidRDefault="00BF25F3" w:rsidP="00BF25F3">
            <w:pPr>
              <w:tabs>
                <w:tab w:val="left" w:pos="6075"/>
              </w:tabs>
              <w:jc w:val="center"/>
              <w:rPr>
                <w:b/>
                <w:sz w:val="32"/>
                <w:szCs w:val="32"/>
              </w:rPr>
            </w:pPr>
            <w:r w:rsidRPr="00EA63C5">
              <w:rPr>
                <w:b/>
                <w:sz w:val="32"/>
                <w:szCs w:val="32"/>
              </w:rPr>
              <w:t>SUPREME COURT OF CANADA</w:t>
            </w:r>
          </w:p>
        </w:tc>
        <w:tc>
          <w:tcPr>
            <w:tcW w:w="630" w:type="dxa"/>
          </w:tcPr>
          <w:p w:rsidR="00BF25F3" w:rsidRPr="00EA63C5" w:rsidRDefault="00BF25F3" w:rsidP="00BF25F3">
            <w:pPr>
              <w:tabs>
                <w:tab w:val="left" w:pos="6075"/>
              </w:tabs>
              <w:jc w:val="center"/>
              <w:rPr>
                <w:sz w:val="32"/>
                <w:szCs w:val="32"/>
              </w:rPr>
            </w:pPr>
          </w:p>
        </w:tc>
        <w:tc>
          <w:tcPr>
            <w:tcW w:w="4428" w:type="dxa"/>
          </w:tcPr>
          <w:p w:rsidR="00BF25F3" w:rsidRPr="00EA63C5" w:rsidRDefault="00BF25F3" w:rsidP="00BF25F3">
            <w:pPr>
              <w:tabs>
                <w:tab w:val="left" w:pos="6075"/>
              </w:tabs>
              <w:jc w:val="center"/>
              <w:rPr>
                <w:b/>
                <w:sz w:val="32"/>
                <w:szCs w:val="32"/>
                <w:lang w:val="fr-CA"/>
              </w:rPr>
            </w:pPr>
            <w:r w:rsidRPr="00EA63C5">
              <w:rPr>
                <w:b/>
                <w:sz w:val="32"/>
                <w:szCs w:val="32"/>
                <w:lang w:val="fr-CA"/>
              </w:rPr>
              <w:t>COUR SUPRÊME DU CANADA</w:t>
            </w:r>
          </w:p>
        </w:tc>
      </w:tr>
      <w:tr w:rsidR="00BF25F3" w:rsidRPr="00EA63C5" w:rsidTr="002E5576">
        <w:tc>
          <w:tcPr>
            <w:tcW w:w="4518" w:type="dxa"/>
          </w:tcPr>
          <w:p w:rsidR="00BF25F3" w:rsidRPr="00EA63C5" w:rsidRDefault="00BF25F3" w:rsidP="00BF25F3">
            <w:pPr>
              <w:tabs>
                <w:tab w:val="left" w:pos="6075"/>
              </w:tabs>
            </w:pPr>
          </w:p>
          <w:p w:rsidR="001B5C23" w:rsidRPr="00EA63C5" w:rsidRDefault="001B5C23" w:rsidP="00BF25F3">
            <w:pPr>
              <w:tabs>
                <w:tab w:val="left" w:pos="6075"/>
              </w:tabs>
            </w:pPr>
          </w:p>
          <w:p w:rsidR="001B5C23" w:rsidRPr="00EA63C5" w:rsidRDefault="001B5C23" w:rsidP="00BF25F3">
            <w:pPr>
              <w:tabs>
                <w:tab w:val="left" w:pos="6075"/>
              </w:tabs>
            </w:pPr>
          </w:p>
        </w:tc>
        <w:tc>
          <w:tcPr>
            <w:tcW w:w="630" w:type="dxa"/>
          </w:tcPr>
          <w:p w:rsidR="00BF25F3" w:rsidRPr="00EA63C5" w:rsidRDefault="00BF25F3" w:rsidP="00BF25F3">
            <w:pPr>
              <w:tabs>
                <w:tab w:val="left" w:pos="6075"/>
              </w:tabs>
            </w:pPr>
          </w:p>
        </w:tc>
        <w:tc>
          <w:tcPr>
            <w:tcW w:w="4428" w:type="dxa"/>
          </w:tcPr>
          <w:p w:rsidR="00BF25F3" w:rsidRPr="00EA63C5" w:rsidRDefault="00BF25F3" w:rsidP="00BF25F3">
            <w:pPr>
              <w:tabs>
                <w:tab w:val="left" w:pos="6075"/>
              </w:tabs>
              <w:rPr>
                <w:lang w:val="fr-CA"/>
              </w:rPr>
            </w:pPr>
          </w:p>
        </w:tc>
      </w:tr>
      <w:tr w:rsidR="00BF25F3" w:rsidRPr="00EA63C5" w:rsidTr="002E5576">
        <w:tc>
          <w:tcPr>
            <w:tcW w:w="4518" w:type="dxa"/>
          </w:tcPr>
          <w:p w:rsidR="001B5C23" w:rsidRPr="00EA63C5" w:rsidRDefault="00BF25F3" w:rsidP="00BF25F3">
            <w:pPr>
              <w:tabs>
                <w:tab w:val="left" w:pos="6075"/>
              </w:tabs>
              <w:jc w:val="center"/>
              <w:rPr>
                <w:sz w:val="28"/>
                <w:szCs w:val="28"/>
              </w:rPr>
            </w:pPr>
            <w:r w:rsidRPr="00EA63C5">
              <w:rPr>
                <w:sz w:val="28"/>
                <w:szCs w:val="28"/>
              </w:rPr>
              <w:t>BULLETIN OF</w:t>
            </w:r>
          </w:p>
          <w:p w:rsidR="00BF25F3" w:rsidRPr="00EA63C5" w:rsidRDefault="00BF25F3" w:rsidP="00BF25F3">
            <w:pPr>
              <w:tabs>
                <w:tab w:val="left" w:pos="6075"/>
              </w:tabs>
              <w:jc w:val="center"/>
              <w:rPr>
                <w:sz w:val="28"/>
                <w:szCs w:val="28"/>
              </w:rPr>
            </w:pPr>
            <w:r w:rsidRPr="00EA63C5">
              <w:rPr>
                <w:sz w:val="28"/>
                <w:szCs w:val="28"/>
              </w:rPr>
              <w:t xml:space="preserve"> PROCEEDINGS</w:t>
            </w:r>
          </w:p>
        </w:tc>
        <w:tc>
          <w:tcPr>
            <w:tcW w:w="630" w:type="dxa"/>
          </w:tcPr>
          <w:p w:rsidR="00BF25F3" w:rsidRPr="00EA63C5" w:rsidRDefault="00BF25F3" w:rsidP="00BF25F3">
            <w:pPr>
              <w:tabs>
                <w:tab w:val="left" w:pos="6075"/>
              </w:tabs>
            </w:pPr>
          </w:p>
        </w:tc>
        <w:tc>
          <w:tcPr>
            <w:tcW w:w="4428" w:type="dxa"/>
          </w:tcPr>
          <w:p w:rsidR="001B5C23" w:rsidRPr="00EA63C5" w:rsidRDefault="00BF25F3" w:rsidP="00BF25F3">
            <w:pPr>
              <w:tabs>
                <w:tab w:val="left" w:pos="6075"/>
              </w:tabs>
              <w:jc w:val="center"/>
              <w:rPr>
                <w:sz w:val="28"/>
                <w:szCs w:val="28"/>
                <w:lang w:val="fr-CA"/>
              </w:rPr>
            </w:pPr>
            <w:r w:rsidRPr="00EA63C5">
              <w:rPr>
                <w:sz w:val="28"/>
                <w:szCs w:val="28"/>
                <w:lang w:val="fr-CA"/>
              </w:rPr>
              <w:t>BULLETIN DES</w:t>
            </w:r>
          </w:p>
          <w:p w:rsidR="00BF25F3" w:rsidRPr="00EA63C5" w:rsidRDefault="00BF25F3" w:rsidP="00BF25F3">
            <w:pPr>
              <w:tabs>
                <w:tab w:val="left" w:pos="6075"/>
              </w:tabs>
              <w:jc w:val="center"/>
              <w:rPr>
                <w:sz w:val="28"/>
                <w:szCs w:val="28"/>
                <w:lang w:val="fr-CA"/>
              </w:rPr>
            </w:pPr>
            <w:r w:rsidRPr="00EA63C5">
              <w:rPr>
                <w:sz w:val="28"/>
                <w:szCs w:val="28"/>
                <w:lang w:val="fr-CA"/>
              </w:rPr>
              <w:t xml:space="preserve"> PROCÉDURES</w:t>
            </w:r>
          </w:p>
        </w:tc>
      </w:tr>
      <w:tr w:rsidR="00BF25F3" w:rsidRPr="00EA63C5" w:rsidTr="002E5576">
        <w:tc>
          <w:tcPr>
            <w:tcW w:w="4518" w:type="dxa"/>
          </w:tcPr>
          <w:p w:rsidR="00BF25F3" w:rsidRPr="00EA63C5" w:rsidRDefault="00BF25F3" w:rsidP="00BF25F3">
            <w:pPr>
              <w:tabs>
                <w:tab w:val="left" w:pos="6075"/>
              </w:tabs>
            </w:pPr>
          </w:p>
          <w:p w:rsidR="001B5C23" w:rsidRPr="00EA63C5" w:rsidRDefault="001B5C23" w:rsidP="00BF25F3">
            <w:pPr>
              <w:tabs>
                <w:tab w:val="left" w:pos="6075"/>
              </w:tabs>
            </w:pPr>
          </w:p>
        </w:tc>
        <w:tc>
          <w:tcPr>
            <w:tcW w:w="630" w:type="dxa"/>
          </w:tcPr>
          <w:p w:rsidR="00BF25F3" w:rsidRPr="00EA63C5" w:rsidRDefault="00BF25F3" w:rsidP="00BF25F3">
            <w:pPr>
              <w:tabs>
                <w:tab w:val="left" w:pos="6075"/>
              </w:tabs>
            </w:pPr>
          </w:p>
        </w:tc>
        <w:tc>
          <w:tcPr>
            <w:tcW w:w="4428" w:type="dxa"/>
          </w:tcPr>
          <w:p w:rsidR="00BF25F3" w:rsidRPr="00EA63C5" w:rsidRDefault="00BF25F3" w:rsidP="00BF25F3">
            <w:pPr>
              <w:tabs>
                <w:tab w:val="left" w:pos="6075"/>
              </w:tabs>
              <w:rPr>
                <w:lang w:val="fr-CA"/>
              </w:rPr>
            </w:pPr>
          </w:p>
        </w:tc>
      </w:tr>
      <w:tr w:rsidR="00BF25F3" w:rsidRPr="007F6DC5" w:rsidTr="002E5576">
        <w:tc>
          <w:tcPr>
            <w:tcW w:w="4518" w:type="dxa"/>
          </w:tcPr>
          <w:p w:rsidR="00BF25F3" w:rsidRPr="00EA63C5" w:rsidRDefault="00BF25F3" w:rsidP="00BF25F3">
            <w:pPr>
              <w:tabs>
                <w:tab w:val="left" w:pos="6075"/>
              </w:tabs>
              <w:jc w:val="both"/>
              <w:rPr>
                <w:rFonts w:ascii="Arial" w:hAnsi="Arial" w:cs="Arial"/>
                <w:i/>
                <w:sz w:val="20"/>
                <w:szCs w:val="20"/>
              </w:rPr>
            </w:pPr>
            <w:r w:rsidRPr="00EA63C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A63C5" w:rsidRDefault="00BF25F3" w:rsidP="00BF25F3">
            <w:pPr>
              <w:tabs>
                <w:tab w:val="left" w:pos="6075"/>
              </w:tabs>
              <w:jc w:val="both"/>
              <w:rPr>
                <w:rFonts w:ascii="Arial" w:hAnsi="Arial" w:cs="Arial"/>
                <w:i/>
                <w:sz w:val="20"/>
                <w:szCs w:val="20"/>
              </w:rPr>
            </w:pPr>
          </w:p>
        </w:tc>
        <w:tc>
          <w:tcPr>
            <w:tcW w:w="4428" w:type="dxa"/>
          </w:tcPr>
          <w:p w:rsidR="00BF25F3" w:rsidRPr="00EA63C5" w:rsidRDefault="00BF25F3" w:rsidP="00BF25F3">
            <w:pPr>
              <w:tabs>
                <w:tab w:val="left" w:pos="6075"/>
              </w:tabs>
              <w:jc w:val="both"/>
              <w:rPr>
                <w:rFonts w:ascii="Arial" w:hAnsi="Arial" w:cs="Arial"/>
                <w:i/>
                <w:sz w:val="20"/>
                <w:szCs w:val="20"/>
                <w:lang w:val="fr-CA"/>
              </w:rPr>
            </w:pPr>
            <w:r w:rsidRPr="00EA63C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F6DC5" w:rsidTr="002E5576">
        <w:tc>
          <w:tcPr>
            <w:tcW w:w="4518" w:type="dxa"/>
          </w:tcPr>
          <w:p w:rsidR="00BF25F3" w:rsidRPr="00EA63C5" w:rsidRDefault="00BF25F3" w:rsidP="00BF25F3">
            <w:pPr>
              <w:tabs>
                <w:tab w:val="left" w:pos="6075"/>
              </w:tabs>
              <w:rPr>
                <w:lang w:val="fr-CA"/>
              </w:rPr>
            </w:pPr>
          </w:p>
          <w:p w:rsidR="00D862C1" w:rsidRPr="00EA63C5" w:rsidRDefault="00D862C1" w:rsidP="00BF25F3">
            <w:pPr>
              <w:tabs>
                <w:tab w:val="left" w:pos="6075"/>
              </w:tabs>
              <w:rPr>
                <w:lang w:val="fr-CA"/>
              </w:rPr>
            </w:pPr>
          </w:p>
        </w:tc>
        <w:tc>
          <w:tcPr>
            <w:tcW w:w="630" w:type="dxa"/>
          </w:tcPr>
          <w:p w:rsidR="00BF25F3" w:rsidRPr="00EA63C5" w:rsidRDefault="00BF25F3" w:rsidP="00BF25F3">
            <w:pPr>
              <w:tabs>
                <w:tab w:val="left" w:pos="6075"/>
              </w:tabs>
              <w:rPr>
                <w:lang w:val="fr-CA"/>
              </w:rPr>
            </w:pPr>
          </w:p>
        </w:tc>
        <w:tc>
          <w:tcPr>
            <w:tcW w:w="4428" w:type="dxa"/>
          </w:tcPr>
          <w:p w:rsidR="00BF25F3" w:rsidRPr="00EA63C5" w:rsidRDefault="00BF25F3" w:rsidP="00BF25F3">
            <w:pPr>
              <w:tabs>
                <w:tab w:val="left" w:pos="6075"/>
              </w:tabs>
              <w:rPr>
                <w:lang w:val="fr-CA"/>
              </w:rPr>
            </w:pPr>
          </w:p>
        </w:tc>
      </w:tr>
      <w:tr w:rsidR="00BF25F3" w:rsidRPr="007F6DC5" w:rsidTr="002E5576">
        <w:tc>
          <w:tcPr>
            <w:tcW w:w="4518" w:type="dxa"/>
          </w:tcPr>
          <w:p w:rsidR="00BF25F3" w:rsidRPr="00EA63C5" w:rsidRDefault="00BF25F3" w:rsidP="009F3024">
            <w:pPr>
              <w:tabs>
                <w:tab w:val="left" w:pos="6075"/>
              </w:tabs>
              <w:jc w:val="both"/>
              <w:rPr>
                <w:rFonts w:ascii="Arial" w:hAnsi="Arial" w:cs="Arial"/>
                <w:i/>
                <w:sz w:val="20"/>
                <w:szCs w:val="20"/>
              </w:rPr>
            </w:pPr>
            <w:r w:rsidRPr="00EA63C5">
              <w:rPr>
                <w:rFonts w:ascii="Arial" w:hAnsi="Arial" w:cs="Arial"/>
                <w:i/>
                <w:sz w:val="20"/>
                <w:szCs w:val="20"/>
              </w:rPr>
              <w:t xml:space="preserve">During Court sessions </w:t>
            </w:r>
            <w:r w:rsidR="009F3024" w:rsidRPr="00EA63C5">
              <w:rPr>
                <w:rFonts w:ascii="Arial" w:hAnsi="Arial" w:cs="Arial"/>
                <w:i/>
                <w:sz w:val="20"/>
                <w:szCs w:val="20"/>
              </w:rPr>
              <w:t xml:space="preserve">the Bulletin </w:t>
            </w:r>
            <w:r w:rsidRPr="00EA63C5">
              <w:rPr>
                <w:rFonts w:ascii="Arial" w:hAnsi="Arial" w:cs="Arial"/>
                <w:i/>
                <w:sz w:val="20"/>
                <w:szCs w:val="20"/>
              </w:rPr>
              <w:t>is usually issued weekly.</w:t>
            </w:r>
          </w:p>
        </w:tc>
        <w:tc>
          <w:tcPr>
            <w:tcW w:w="630" w:type="dxa"/>
          </w:tcPr>
          <w:p w:rsidR="00BF25F3" w:rsidRPr="00EA63C5" w:rsidRDefault="00BF25F3" w:rsidP="00BF25F3">
            <w:pPr>
              <w:tabs>
                <w:tab w:val="left" w:pos="6075"/>
              </w:tabs>
              <w:jc w:val="both"/>
              <w:rPr>
                <w:rFonts w:ascii="Arial" w:hAnsi="Arial" w:cs="Arial"/>
                <w:i/>
                <w:sz w:val="20"/>
                <w:szCs w:val="20"/>
              </w:rPr>
            </w:pPr>
          </w:p>
        </w:tc>
        <w:tc>
          <w:tcPr>
            <w:tcW w:w="4428" w:type="dxa"/>
          </w:tcPr>
          <w:p w:rsidR="00BF25F3" w:rsidRPr="00EA63C5" w:rsidRDefault="00BF25F3" w:rsidP="00BF25F3">
            <w:pPr>
              <w:tabs>
                <w:tab w:val="left" w:pos="6075"/>
              </w:tabs>
              <w:jc w:val="both"/>
              <w:rPr>
                <w:rFonts w:ascii="Arial" w:hAnsi="Arial" w:cs="Arial"/>
                <w:i/>
                <w:sz w:val="20"/>
                <w:szCs w:val="20"/>
                <w:lang w:val="fr-CA"/>
              </w:rPr>
            </w:pPr>
            <w:r w:rsidRPr="00EA63C5">
              <w:rPr>
                <w:rFonts w:ascii="Arial" w:hAnsi="Arial" w:cs="Arial"/>
                <w:i/>
                <w:sz w:val="20"/>
                <w:szCs w:val="20"/>
                <w:lang w:val="fr-CA"/>
              </w:rPr>
              <w:t>Le Bulletin paraît en principe toutes les semaines pendant les sessions de la Cour.</w:t>
            </w:r>
          </w:p>
        </w:tc>
      </w:tr>
      <w:tr w:rsidR="00BF25F3" w:rsidRPr="007F6DC5" w:rsidTr="002E5576">
        <w:tc>
          <w:tcPr>
            <w:tcW w:w="4518" w:type="dxa"/>
          </w:tcPr>
          <w:p w:rsidR="00BF25F3" w:rsidRPr="00EA63C5" w:rsidRDefault="00BF25F3" w:rsidP="00BF25F3">
            <w:pPr>
              <w:tabs>
                <w:tab w:val="left" w:pos="6075"/>
              </w:tabs>
              <w:rPr>
                <w:lang w:val="fr-CA"/>
              </w:rPr>
            </w:pPr>
          </w:p>
          <w:p w:rsidR="00D862C1" w:rsidRPr="00EA63C5" w:rsidRDefault="00D862C1" w:rsidP="00BF25F3">
            <w:pPr>
              <w:tabs>
                <w:tab w:val="left" w:pos="6075"/>
              </w:tabs>
              <w:rPr>
                <w:lang w:val="fr-CA"/>
              </w:rPr>
            </w:pPr>
          </w:p>
        </w:tc>
        <w:tc>
          <w:tcPr>
            <w:tcW w:w="630" w:type="dxa"/>
          </w:tcPr>
          <w:p w:rsidR="00BF25F3" w:rsidRPr="00EA63C5" w:rsidRDefault="00BF25F3" w:rsidP="00BF25F3">
            <w:pPr>
              <w:tabs>
                <w:tab w:val="left" w:pos="6075"/>
              </w:tabs>
              <w:rPr>
                <w:lang w:val="fr-CA"/>
              </w:rPr>
            </w:pPr>
          </w:p>
        </w:tc>
        <w:tc>
          <w:tcPr>
            <w:tcW w:w="4428" w:type="dxa"/>
          </w:tcPr>
          <w:p w:rsidR="00BF25F3" w:rsidRPr="00EA63C5" w:rsidRDefault="00BF25F3" w:rsidP="00BF25F3">
            <w:pPr>
              <w:tabs>
                <w:tab w:val="left" w:pos="6075"/>
              </w:tabs>
              <w:rPr>
                <w:lang w:val="fr-CA"/>
              </w:rPr>
            </w:pPr>
          </w:p>
        </w:tc>
      </w:tr>
      <w:tr w:rsidR="00BF25F3" w:rsidRPr="007F6DC5" w:rsidTr="002E5576">
        <w:tc>
          <w:tcPr>
            <w:tcW w:w="4518" w:type="dxa"/>
          </w:tcPr>
          <w:p w:rsidR="00BF25F3" w:rsidRPr="00EA63C5" w:rsidRDefault="000E27A5" w:rsidP="00BF25F3">
            <w:pPr>
              <w:tabs>
                <w:tab w:val="left" w:pos="6075"/>
              </w:tabs>
              <w:jc w:val="both"/>
              <w:rPr>
                <w:rFonts w:ascii="Arial" w:hAnsi="Arial" w:cs="Arial"/>
                <w:i/>
                <w:sz w:val="20"/>
                <w:szCs w:val="20"/>
              </w:rPr>
            </w:pPr>
            <w:r w:rsidRPr="00EA63C5">
              <w:rPr>
                <w:rFonts w:ascii="Arial" w:hAnsi="Arial" w:cs="Arial"/>
                <w:i/>
                <w:sz w:val="20"/>
                <w:szCs w:val="20"/>
              </w:rPr>
              <w:fldChar w:fldCharType="begin"/>
            </w:r>
            <w:r w:rsidR="00BF25F3" w:rsidRPr="00EA63C5">
              <w:rPr>
                <w:rFonts w:ascii="Arial" w:hAnsi="Arial" w:cs="Arial"/>
                <w:i/>
                <w:sz w:val="20"/>
                <w:szCs w:val="20"/>
              </w:rPr>
              <w:instrText xml:space="preserve"> SEQ CHAPTER \h \r 1</w:instrText>
            </w:r>
            <w:r w:rsidRPr="00EA63C5">
              <w:rPr>
                <w:rFonts w:ascii="Arial" w:hAnsi="Arial" w:cs="Arial"/>
                <w:i/>
                <w:sz w:val="20"/>
                <w:szCs w:val="20"/>
              </w:rPr>
              <w:fldChar w:fldCharType="end"/>
            </w:r>
            <w:r w:rsidR="00BF25F3" w:rsidRPr="00EA63C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A63C5" w:rsidRDefault="00BF25F3" w:rsidP="00BF25F3">
            <w:pPr>
              <w:tabs>
                <w:tab w:val="left" w:pos="6075"/>
              </w:tabs>
              <w:jc w:val="both"/>
              <w:rPr>
                <w:rFonts w:ascii="Arial" w:hAnsi="Arial" w:cs="Arial"/>
                <w:i/>
                <w:sz w:val="20"/>
                <w:szCs w:val="20"/>
              </w:rPr>
            </w:pPr>
          </w:p>
        </w:tc>
        <w:tc>
          <w:tcPr>
            <w:tcW w:w="4428" w:type="dxa"/>
          </w:tcPr>
          <w:p w:rsidR="00BF25F3" w:rsidRPr="00EA63C5" w:rsidRDefault="000E27A5" w:rsidP="00BF25F3">
            <w:pPr>
              <w:tabs>
                <w:tab w:val="left" w:pos="6075"/>
              </w:tabs>
              <w:jc w:val="both"/>
              <w:rPr>
                <w:rFonts w:ascii="Arial" w:hAnsi="Arial" w:cs="Arial"/>
                <w:i/>
                <w:sz w:val="20"/>
                <w:szCs w:val="20"/>
                <w:lang w:val="fr-CA"/>
              </w:rPr>
            </w:pPr>
            <w:r w:rsidRPr="00EA63C5">
              <w:rPr>
                <w:rFonts w:ascii="Arial" w:hAnsi="Arial" w:cs="Arial"/>
                <w:i/>
                <w:sz w:val="20"/>
                <w:szCs w:val="20"/>
                <w:lang w:val="fr-CA"/>
              </w:rPr>
              <w:fldChar w:fldCharType="begin"/>
            </w:r>
            <w:r w:rsidR="00BF25F3" w:rsidRPr="00EA63C5">
              <w:rPr>
                <w:rFonts w:ascii="Arial" w:hAnsi="Arial" w:cs="Arial"/>
                <w:i/>
                <w:sz w:val="20"/>
                <w:szCs w:val="20"/>
                <w:lang w:val="fr-CA"/>
              </w:rPr>
              <w:instrText xml:space="preserve"> SEQ CHAPTER \h \r 1</w:instrText>
            </w:r>
            <w:r w:rsidRPr="00EA63C5">
              <w:rPr>
                <w:rFonts w:ascii="Arial" w:hAnsi="Arial" w:cs="Arial"/>
                <w:i/>
                <w:sz w:val="20"/>
                <w:szCs w:val="20"/>
                <w:lang w:val="fr-CA"/>
              </w:rPr>
              <w:fldChar w:fldCharType="end"/>
            </w:r>
            <w:r w:rsidR="00BF25F3" w:rsidRPr="00EA63C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F6DC5" w:rsidTr="002E5576">
        <w:tc>
          <w:tcPr>
            <w:tcW w:w="4518" w:type="dxa"/>
          </w:tcPr>
          <w:p w:rsidR="009F3024" w:rsidRPr="00EA63C5" w:rsidRDefault="009F3024" w:rsidP="009F3024">
            <w:pPr>
              <w:tabs>
                <w:tab w:val="left" w:pos="6075"/>
              </w:tabs>
              <w:rPr>
                <w:rFonts w:cs="Times New Roman"/>
                <w:szCs w:val="24"/>
                <w:lang w:val="fr-CA"/>
              </w:rPr>
            </w:pPr>
          </w:p>
          <w:p w:rsidR="009F3024" w:rsidRPr="00EA63C5" w:rsidRDefault="009F3024" w:rsidP="009F3024">
            <w:pPr>
              <w:tabs>
                <w:tab w:val="left" w:pos="6075"/>
              </w:tabs>
              <w:rPr>
                <w:rFonts w:cs="Times New Roman"/>
                <w:szCs w:val="24"/>
                <w:lang w:val="fr-CA"/>
              </w:rPr>
            </w:pPr>
          </w:p>
        </w:tc>
        <w:tc>
          <w:tcPr>
            <w:tcW w:w="630" w:type="dxa"/>
          </w:tcPr>
          <w:p w:rsidR="009F3024" w:rsidRPr="00EA63C5" w:rsidRDefault="009F3024" w:rsidP="009F3024">
            <w:pPr>
              <w:tabs>
                <w:tab w:val="left" w:pos="6075"/>
              </w:tabs>
              <w:rPr>
                <w:rFonts w:cs="Times New Roman"/>
                <w:szCs w:val="24"/>
                <w:lang w:val="fr-CA"/>
              </w:rPr>
            </w:pPr>
          </w:p>
        </w:tc>
        <w:tc>
          <w:tcPr>
            <w:tcW w:w="4428" w:type="dxa"/>
          </w:tcPr>
          <w:p w:rsidR="009F3024" w:rsidRPr="00EA63C5" w:rsidRDefault="009F3024" w:rsidP="009F3024">
            <w:pPr>
              <w:tabs>
                <w:tab w:val="left" w:pos="6075"/>
              </w:tabs>
              <w:rPr>
                <w:rFonts w:cs="Times New Roman"/>
                <w:szCs w:val="24"/>
                <w:lang w:val="fr-CA"/>
              </w:rPr>
            </w:pPr>
          </w:p>
        </w:tc>
      </w:tr>
      <w:tr w:rsidR="009F3024" w:rsidRPr="007F6DC5" w:rsidTr="002E5576">
        <w:tc>
          <w:tcPr>
            <w:tcW w:w="4518" w:type="dxa"/>
          </w:tcPr>
          <w:p w:rsidR="009F3024" w:rsidRPr="00EA63C5" w:rsidRDefault="009F3024" w:rsidP="00E414CA">
            <w:pPr>
              <w:tabs>
                <w:tab w:val="left" w:pos="6075"/>
              </w:tabs>
              <w:jc w:val="both"/>
              <w:rPr>
                <w:rFonts w:ascii="Arial" w:hAnsi="Arial" w:cs="Arial"/>
                <w:i/>
                <w:sz w:val="20"/>
                <w:szCs w:val="20"/>
              </w:rPr>
            </w:pPr>
            <w:r w:rsidRPr="00EA63C5">
              <w:rPr>
                <w:rFonts w:ascii="Arial" w:hAnsi="Arial" w:cs="Arial"/>
                <w:i/>
                <w:sz w:val="20"/>
                <w:szCs w:val="20"/>
              </w:rPr>
              <w:t xml:space="preserve">Consult the Supreme Court of Canada website at </w:t>
            </w:r>
            <w:hyperlink r:id="rId8" w:history="1">
              <w:r w:rsidR="00E414CA" w:rsidRPr="00EA63C5">
                <w:rPr>
                  <w:rStyle w:val="Hyperlink"/>
                  <w:rFonts w:ascii="Arial" w:hAnsi="Arial" w:cs="Arial"/>
                  <w:i/>
                  <w:sz w:val="20"/>
                  <w:szCs w:val="20"/>
                </w:rPr>
                <w:t>www.scc-csc.ca</w:t>
              </w:r>
            </w:hyperlink>
            <w:r w:rsidRPr="00EA63C5">
              <w:rPr>
                <w:rFonts w:ascii="Arial" w:hAnsi="Arial" w:cs="Arial"/>
                <w:i/>
                <w:sz w:val="20"/>
                <w:szCs w:val="20"/>
              </w:rPr>
              <w:t xml:space="preserve"> for more information.</w:t>
            </w:r>
          </w:p>
        </w:tc>
        <w:tc>
          <w:tcPr>
            <w:tcW w:w="630" w:type="dxa"/>
          </w:tcPr>
          <w:p w:rsidR="009F3024" w:rsidRPr="00EA63C5" w:rsidRDefault="009F3024" w:rsidP="00BF25F3">
            <w:pPr>
              <w:tabs>
                <w:tab w:val="left" w:pos="6075"/>
              </w:tabs>
              <w:jc w:val="both"/>
              <w:rPr>
                <w:rFonts w:ascii="Arial" w:hAnsi="Arial" w:cs="Arial"/>
                <w:i/>
                <w:sz w:val="20"/>
                <w:szCs w:val="20"/>
              </w:rPr>
            </w:pPr>
          </w:p>
        </w:tc>
        <w:tc>
          <w:tcPr>
            <w:tcW w:w="4428" w:type="dxa"/>
          </w:tcPr>
          <w:p w:rsidR="009F3024" w:rsidRPr="00EA63C5" w:rsidRDefault="009F3024" w:rsidP="00E414CA">
            <w:pPr>
              <w:tabs>
                <w:tab w:val="left" w:pos="6075"/>
              </w:tabs>
              <w:jc w:val="both"/>
              <w:rPr>
                <w:rFonts w:ascii="Arial" w:hAnsi="Arial" w:cs="Arial"/>
                <w:i/>
                <w:sz w:val="20"/>
                <w:szCs w:val="20"/>
                <w:lang w:val="fr-CA"/>
              </w:rPr>
            </w:pPr>
            <w:r w:rsidRPr="00EA63C5">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EA63C5">
                <w:rPr>
                  <w:rStyle w:val="Hyperlink"/>
                  <w:rFonts w:ascii="Arial" w:hAnsi="Arial" w:cs="Arial"/>
                  <w:i/>
                  <w:sz w:val="20"/>
                  <w:szCs w:val="20"/>
                  <w:lang w:val="fr-CA"/>
                </w:rPr>
                <w:t>www.scc-csc.ca</w:t>
              </w:r>
            </w:hyperlink>
            <w:r w:rsidRPr="00EA63C5">
              <w:rPr>
                <w:rFonts w:ascii="Arial" w:hAnsi="Arial" w:cs="Arial"/>
                <w:i/>
                <w:sz w:val="20"/>
                <w:szCs w:val="20"/>
                <w:lang w:val="fr-CA"/>
              </w:rPr>
              <w:t xml:space="preserve"> </w:t>
            </w:r>
          </w:p>
        </w:tc>
      </w:tr>
    </w:tbl>
    <w:p w:rsidR="00BF25F3" w:rsidRPr="00EA63C5" w:rsidRDefault="00BF25F3" w:rsidP="00BF25F3">
      <w:pPr>
        <w:tabs>
          <w:tab w:val="left" w:pos="6075"/>
        </w:tabs>
        <w:rPr>
          <w:lang w:val="fr-CA"/>
        </w:rPr>
      </w:pPr>
    </w:p>
    <w:p w:rsidR="00440E24" w:rsidRPr="00EA63C5" w:rsidRDefault="00440E24" w:rsidP="00440E24">
      <w:pPr>
        <w:pBdr>
          <w:bottom w:val="single" w:sz="6" w:space="1" w:color="auto"/>
        </w:pBdr>
        <w:tabs>
          <w:tab w:val="left" w:pos="6075"/>
        </w:tabs>
        <w:rPr>
          <w:lang w:val="fr-CA"/>
        </w:rPr>
      </w:pPr>
    </w:p>
    <w:p w:rsidR="00440E24" w:rsidRPr="00EA63C5" w:rsidRDefault="00440E24" w:rsidP="00440E24">
      <w:pPr>
        <w:rPr>
          <w:lang w:val="fr-CA"/>
        </w:rPr>
      </w:pPr>
    </w:p>
    <w:p w:rsidR="00600252" w:rsidRPr="00EA63C5" w:rsidRDefault="00CB2288" w:rsidP="00F0068D">
      <w:pPr>
        <w:pBdr>
          <w:bottom w:val="single" w:sz="6" w:space="1" w:color="auto"/>
        </w:pBdr>
        <w:tabs>
          <w:tab w:val="center" w:pos="4680"/>
          <w:tab w:val="right" w:pos="9360"/>
        </w:tabs>
        <w:rPr>
          <w:lang w:val="fr-CA"/>
        </w:rPr>
      </w:pPr>
      <w:proofErr w:type="spellStart"/>
      <w:r w:rsidRPr="00EA63C5">
        <w:rPr>
          <w:lang w:val="fr-CA"/>
        </w:rPr>
        <w:t>October</w:t>
      </w:r>
      <w:proofErr w:type="spellEnd"/>
      <w:r w:rsidRPr="00EA63C5">
        <w:rPr>
          <w:lang w:val="fr-CA"/>
        </w:rPr>
        <w:t xml:space="preserve"> 21</w:t>
      </w:r>
      <w:r w:rsidR="00440E24" w:rsidRPr="00EA63C5">
        <w:rPr>
          <w:lang w:val="fr-CA"/>
        </w:rPr>
        <w:t>, 201</w:t>
      </w:r>
      <w:r w:rsidR="0030050B" w:rsidRPr="00EA63C5">
        <w:rPr>
          <w:lang w:val="fr-CA"/>
        </w:rPr>
        <w:t>6</w:t>
      </w:r>
      <w:r w:rsidR="00F0068D" w:rsidRPr="00EA63C5">
        <w:rPr>
          <w:lang w:val="fr-CA"/>
        </w:rPr>
        <w:tab/>
        <w:t>1</w:t>
      </w:r>
      <w:r w:rsidR="00012727" w:rsidRPr="00EA63C5">
        <w:rPr>
          <w:lang w:val="fr-CA"/>
        </w:rPr>
        <w:t>454</w:t>
      </w:r>
      <w:r w:rsidR="00F0068D" w:rsidRPr="00EA63C5">
        <w:rPr>
          <w:lang w:val="fr-CA"/>
        </w:rPr>
        <w:t xml:space="preserve"> - </w:t>
      </w:r>
      <w:r w:rsidR="004027B0" w:rsidRPr="00EA63C5">
        <w:rPr>
          <w:lang w:val="fr-CA"/>
        </w:rPr>
        <w:t>1508</w:t>
      </w:r>
      <w:r w:rsidR="00440E24" w:rsidRPr="00EA63C5">
        <w:rPr>
          <w:lang w:val="fr-CA"/>
        </w:rPr>
        <w:tab/>
        <w:t>Le</w:t>
      </w:r>
      <w:r w:rsidR="00C73D06" w:rsidRPr="00EA63C5">
        <w:rPr>
          <w:lang w:val="fr-CA"/>
        </w:rPr>
        <w:t xml:space="preserve"> </w:t>
      </w:r>
      <w:r w:rsidRPr="00EA63C5">
        <w:rPr>
          <w:lang w:val="fr-CA"/>
        </w:rPr>
        <w:t>21 octobre</w:t>
      </w:r>
      <w:r w:rsidR="00440E24" w:rsidRPr="00EA63C5">
        <w:rPr>
          <w:lang w:val="fr-CA"/>
        </w:rPr>
        <w:t xml:space="preserve"> 201</w:t>
      </w:r>
      <w:r w:rsidR="0030050B" w:rsidRPr="00EA63C5">
        <w:rPr>
          <w:lang w:val="fr-CA"/>
        </w:rPr>
        <w:t>6</w:t>
      </w:r>
    </w:p>
    <w:p w:rsidR="00440E24" w:rsidRPr="00EA63C5" w:rsidRDefault="00440E24" w:rsidP="00440E24">
      <w:pPr>
        <w:pBdr>
          <w:bottom w:val="single" w:sz="6" w:space="1" w:color="auto"/>
        </w:pBdr>
        <w:tabs>
          <w:tab w:val="right" w:pos="9360"/>
        </w:tabs>
        <w:rPr>
          <w:lang w:val="fr-CA"/>
        </w:rPr>
      </w:pPr>
    </w:p>
    <w:p w:rsidR="00440E24" w:rsidRPr="00EA63C5" w:rsidRDefault="00440E24" w:rsidP="00440E24">
      <w:pPr>
        <w:pBdr>
          <w:bottom w:val="single" w:sz="6" w:space="1" w:color="auto"/>
        </w:pBdr>
        <w:tabs>
          <w:tab w:val="right" w:pos="9360"/>
        </w:tabs>
        <w:rPr>
          <w:sz w:val="18"/>
          <w:szCs w:val="18"/>
          <w:lang w:val="fr-CA"/>
        </w:rPr>
      </w:pPr>
      <w:r w:rsidRPr="00EA63C5">
        <w:rPr>
          <w:sz w:val="18"/>
          <w:szCs w:val="18"/>
          <w:lang w:val="fr-CA"/>
        </w:rPr>
        <w:t xml:space="preserve">© </w:t>
      </w:r>
      <w:proofErr w:type="spellStart"/>
      <w:r w:rsidRPr="00EA63C5">
        <w:rPr>
          <w:sz w:val="18"/>
          <w:szCs w:val="18"/>
          <w:lang w:val="fr-CA"/>
        </w:rPr>
        <w:t>Supreme</w:t>
      </w:r>
      <w:proofErr w:type="spellEnd"/>
      <w:r w:rsidRPr="00EA63C5">
        <w:rPr>
          <w:sz w:val="18"/>
          <w:szCs w:val="18"/>
          <w:lang w:val="fr-CA"/>
        </w:rPr>
        <w:t xml:space="preserve"> Court of Canada (</w:t>
      </w:r>
      <w:r w:rsidR="0030050B" w:rsidRPr="00EA63C5">
        <w:rPr>
          <w:sz w:val="18"/>
          <w:szCs w:val="18"/>
          <w:lang w:val="fr-CA"/>
        </w:rPr>
        <w:t>2016</w:t>
      </w:r>
      <w:r w:rsidRPr="00EA63C5">
        <w:rPr>
          <w:sz w:val="18"/>
          <w:szCs w:val="18"/>
          <w:lang w:val="fr-CA"/>
        </w:rPr>
        <w:t>)</w:t>
      </w:r>
      <w:r w:rsidRPr="00EA63C5">
        <w:rPr>
          <w:sz w:val="18"/>
          <w:szCs w:val="18"/>
          <w:lang w:val="fr-CA"/>
        </w:rPr>
        <w:tab/>
        <w:t>© Cour suprême du Canada (</w:t>
      </w:r>
      <w:r w:rsidR="0030050B" w:rsidRPr="00EA63C5">
        <w:rPr>
          <w:sz w:val="18"/>
          <w:szCs w:val="18"/>
          <w:lang w:val="fr-CA"/>
        </w:rPr>
        <w:t>2016</w:t>
      </w:r>
      <w:r w:rsidRPr="00EA63C5">
        <w:rPr>
          <w:sz w:val="18"/>
          <w:szCs w:val="18"/>
          <w:lang w:val="fr-CA"/>
        </w:rPr>
        <w:t>)</w:t>
      </w:r>
    </w:p>
    <w:p w:rsidR="00440E24" w:rsidRPr="00EA63C5" w:rsidRDefault="00440E24" w:rsidP="00440E24">
      <w:pPr>
        <w:pBdr>
          <w:bottom w:val="single" w:sz="6" w:space="1" w:color="auto"/>
        </w:pBdr>
        <w:tabs>
          <w:tab w:val="right" w:pos="9360"/>
        </w:tabs>
        <w:rPr>
          <w:sz w:val="18"/>
          <w:szCs w:val="18"/>
          <w:lang w:val="fr-CA"/>
        </w:rPr>
      </w:pPr>
      <w:r w:rsidRPr="00EA63C5">
        <w:rPr>
          <w:sz w:val="18"/>
          <w:szCs w:val="18"/>
          <w:lang w:val="fr-CA"/>
        </w:rPr>
        <w:t>ISSN 1918-8358 (Online)</w:t>
      </w:r>
      <w:r w:rsidRPr="00EA63C5">
        <w:rPr>
          <w:sz w:val="18"/>
          <w:szCs w:val="18"/>
          <w:lang w:val="fr-CA"/>
        </w:rPr>
        <w:tab/>
        <w:t>ISSN 1918-8358 (En ligne)</w:t>
      </w:r>
    </w:p>
    <w:p w:rsidR="00600252" w:rsidRPr="00EA63C5" w:rsidRDefault="00600252" w:rsidP="00BF25F3">
      <w:pPr>
        <w:pBdr>
          <w:bottom w:val="single" w:sz="6" w:space="1" w:color="auto"/>
        </w:pBdr>
        <w:tabs>
          <w:tab w:val="left" w:pos="6075"/>
        </w:tabs>
        <w:rPr>
          <w:lang w:val="fr-CA"/>
        </w:rPr>
      </w:pPr>
    </w:p>
    <w:p w:rsidR="0030050B" w:rsidRPr="00EA63C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EA63C5" w:rsidTr="00245129">
        <w:tc>
          <w:tcPr>
            <w:tcW w:w="4290" w:type="dxa"/>
            <w:shd w:val="clear" w:color="auto" w:fill="auto"/>
            <w:tcMar>
              <w:left w:w="0" w:type="dxa"/>
              <w:right w:w="0" w:type="dxa"/>
            </w:tcMar>
          </w:tcPr>
          <w:p w:rsidR="00245129" w:rsidRPr="00EA63C5" w:rsidRDefault="00245129" w:rsidP="00245129">
            <w:pPr>
              <w:jc w:val="both"/>
              <w:rPr>
                <w:rFonts w:eastAsia="Times New Roman" w:cs="Times New Roman"/>
                <w:b/>
                <w:sz w:val="20"/>
                <w:szCs w:val="20"/>
                <w:lang w:eastAsia="en-CA"/>
              </w:rPr>
            </w:pPr>
            <w:r w:rsidRPr="00EA63C5">
              <w:rPr>
                <w:b/>
              </w:rPr>
              <w:lastRenderedPageBreak/>
              <w:t>CONTENTS</w:t>
            </w:r>
          </w:p>
        </w:tc>
        <w:tc>
          <w:tcPr>
            <w:tcW w:w="1200" w:type="dxa"/>
            <w:shd w:val="clear" w:color="auto" w:fill="auto"/>
            <w:tcMar>
              <w:left w:w="0" w:type="dxa"/>
              <w:right w:w="0" w:type="dxa"/>
            </w:tcMar>
          </w:tcPr>
          <w:p w:rsidR="00245129" w:rsidRPr="00EA63C5" w:rsidRDefault="00245129" w:rsidP="00245129">
            <w:pPr>
              <w:jc w:val="center"/>
              <w:rPr>
                <w:rFonts w:eastAsia="Times New Roman" w:cs="Times New Roman"/>
                <w:b/>
                <w:sz w:val="20"/>
                <w:szCs w:val="20"/>
                <w:lang w:eastAsia="en-CA"/>
              </w:rPr>
            </w:pPr>
          </w:p>
          <w:p w:rsidR="00245129" w:rsidRPr="00EA63C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EA63C5" w:rsidRDefault="00245129" w:rsidP="00245129">
            <w:pPr>
              <w:rPr>
                <w:rFonts w:eastAsia="Times New Roman" w:cs="Times New Roman"/>
                <w:b/>
                <w:sz w:val="20"/>
                <w:szCs w:val="20"/>
                <w:lang w:val="fr-CA" w:eastAsia="en-CA"/>
              </w:rPr>
            </w:pPr>
            <w:r w:rsidRPr="00EA63C5">
              <w:rPr>
                <w:b/>
                <w:lang w:val="fr-CA"/>
              </w:rPr>
              <w:t>TABLE DES MATIÈRES</w:t>
            </w:r>
          </w:p>
        </w:tc>
      </w:tr>
    </w:tbl>
    <w:p w:rsidR="0095096B" w:rsidRPr="00EA63C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A63C5" w:rsidTr="00164E6D">
        <w:tc>
          <w:tcPr>
            <w:tcW w:w="3708" w:type="dxa"/>
          </w:tcPr>
          <w:p w:rsidR="0095096B" w:rsidRPr="00EA63C5" w:rsidRDefault="0095096B" w:rsidP="0095096B">
            <w:pPr>
              <w:tabs>
                <w:tab w:val="right" w:pos="9360"/>
              </w:tabs>
              <w:rPr>
                <w:rFonts w:cs="Times New Roman"/>
                <w:sz w:val="20"/>
                <w:szCs w:val="20"/>
              </w:rPr>
            </w:pPr>
            <w:r w:rsidRPr="00EA63C5">
              <w:rPr>
                <w:rFonts w:cs="Times New Roman"/>
                <w:sz w:val="20"/>
                <w:szCs w:val="20"/>
              </w:rPr>
              <w:t xml:space="preserve">Applications for leave to appeal </w:t>
            </w:r>
          </w:p>
          <w:p w:rsidR="0095096B" w:rsidRPr="00EA63C5" w:rsidRDefault="0095096B" w:rsidP="0095096B">
            <w:pPr>
              <w:tabs>
                <w:tab w:val="right" w:pos="9360"/>
              </w:tabs>
              <w:rPr>
                <w:rFonts w:cs="Times New Roman"/>
                <w:sz w:val="20"/>
                <w:szCs w:val="20"/>
              </w:rPr>
            </w:pPr>
            <w:r w:rsidRPr="00EA63C5">
              <w:rPr>
                <w:rFonts w:cs="Times New Roman"/>
                <w:sz w:val="20"/>
                <w:szCs w:val="20"/>
              </w:rPr>
              <w:t>filed</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 xml:space="preserve">Applications for leave submitted </w:t>
            </w:r>
          </w:p>
          <w:p w:rsidR="0095096B" w:rsidRPr="00EA63C5" w:rsidRDefault="0095096B" w:rsidP="0095096B">
            <w:pPr>
              <w:tabs>
                <w:tab w:val="right" w:pos="9360"/>
              </w:tabs>
              <w:rPr>
                <w:rFonts w:cs="Times New Roman"/>
                <w:sz w:val="20"/>
                <w:szCs w:val="20"/>
              </w:rPr>
            </w:pPr>
            <w:r w:rsidRPr="00EA63C5">
              <w:rPr>
                <w:rFonts w:cs="Times New Roman"/>
                <w:sz w:val="20"/>
                <w:szCs w:val="20"/>
              </w:rPr>
              <w:t>to Court since last issue</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 xml:space="preserve">Judgments on applications for </w:t>
            </w:r>
          </w:p>
          <w:p w:rsidR="0095096B" w:rsidRPr="00EA63C5" w:rsidRDefault="0095096B" w:rsidP="0095096B">
            <w:pPr>
              <w:tabs>
                <w:tab w:val="right" w:pos="9360"/>
              </w:tabs>
              <w:rPr>
                <w:rFonts w:cs="Times New Roman"/>
                <w:sz w:val="20"/>
                <w:szCs w:val="20"/>
              </w:rPr>
            </w:pPr>
            <w:r w:rsidRPr="00EA63C5">
              <w:rPr>
                <w:rFonts w:cs="Times New Roman"/>
                <w:sz w:val="20"/>
                <w:szCs w:val="20"/>
              </w:rPr>
              <w:t>leave</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Motions</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Appeals heard since last issue and disposition</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Pronouncements of appeals reserved</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Headnotes of recent judgments</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 xml:space="preserve">Agenda </w:t>
            </w:r>
          </w:p>
          <w:p w:rsidR="0095096B" w:rsidRPr="00EA63C5" w:rsidRDefault="0095096B" w:rsidP="0095096B">
            <w:pPr>
              <w:tabs>
                <w:tab w:val="right" w:pos="9360"/>
              </w:tabs>
              <w:rPr>
                <w:rFonts w:cs="Times New Roman"/>
                <w:sz w:val="20"/>
                <w:szCs w:val="20"/>
              </w:rPr>
            </w:pPr>
          </w:p>
          <w:p w:rsidR="0095096B" w:rsidRPr="00EA63C5" w:rsidRDefault="0095096B" w:rsidP="0095096B">
            <w:pPr>
              <w:tabs>
                <w:tab w:val="right" w:pos="9360"/>
              </w:tabs>
              <w:rPr>
                <w:rFonts w:cs="Times New Roman"/>
                <w:sz w:val="20"/>
                <w:szCs w:val="20"/>
              </w:rPr>
            </w:pPr>
            <w:r w:rsidRPr="00EA63C5">
              <w:rPr>
                <w:rFonts w:cs="Times New Roman"/>
                <w:sz w:val="20"/>
                <w:szCs w:val="20"/>
              </w:rPr>
              <w:t>Summaries of the cases</w:t>
            </w:r>
          </w:p>
          <w:p w:rsidR="00A87207" w:rsidRPr="00EA63C5" w:rsidRDefault="00A87207" w:rsidP="002C3B6B">
            <w:pPr>
              <w:tabs>
                <w:tab w:val="right" w:pos="9360"/>
              </w:tabs>
              <w:rPr>
                <w:rFonts w:cs="Times New Roman"/>
                <w:sz w:val="20"/>
                <w:szCs w:val="20"/>
              </w:rPr>
            </w:pPr>
          </w:p>
        </w:tc>
        <w:tc>
          <w:tcPr>
            <w:tcW w:w="1980" w:type="dxa"/>
          </w:tcPr>
          <w:p w:rsidR="0095096B" w:rsidRPr="00EA63C5" w:rsidRDefault="00D60C77" w:rsidP="0095096B">
            <w:pPr>
              <w:jc w:val="center"/>
              <w:rPr>
                <w:rFonts w:cs="Times New Roman"/>
                <w:sz w:val="20"/>
                <w:szCs w:val="20"/>
              </w:rPr>
            </w:pPr>
            <w:r w:rsidRPr="00EA63C5">
              <w:rPr>
                <w:rFonts w:cs="Times New Roman"/>
                <w:sz w:val="20"/>
                <w:szCs w:val="20"/>
              </w:rPr>
              <w:t xml:space="preserve">1454 </w:t>
            </w:r>
            <w:r w:rsidR="000E27A5" w:rsidRPr="00EA63C5">
              <w:rPr>
                <w:rFonts w:cs="Times New Roman"/>
                <w:sz w:val="20"/>
                <w:szCs w:val="20"/>
              </w:rPr>
              <w:fldChar w:fldCharType="begin"/>
            </w:r>
            <w:r w:rsidR="0095096B" w:rsidRPr="00EA63C5">
              <w:rPr>
                <w:rFonts w:cs="Times New Roman"/>
                <w:sz w:val="20"/>
                <w:szCs w:val="20"/>
              </w:rPr>
              <w:instrText xml:space="preserve"> SEQ CHAPTER \h \r 1</w:instrText>
            </w:r>
            <w:r w:rsidR="000E27A5" w:rsidRPr="00EA63C5">
              <w:rPr>
                <w:rFonts w:cs="Times New Roman"/>
                <w:sz w:val="20"/>
                <w:szCs w:val="20"/>
              </w:rPr>
              <w:fldChar w:fldCharType="end"/>
            </w:r>
            <w:r w:rsidR="0095096B" w:rsidRPr="00EA63C5">
              <w:rPr>
                <w:rFonts w:cs="Times New Roman"/>
                <w:sz w:val="20"/>
                <w:szCs w:val="20"/>
              </w:rPr>
              <w:t>-</w:t>
            </w:r>
            <w:r w:rsidRPr="00EA63C5">
              <w:rPr>
                <w:rFonts w:cs="Times New Roman"/>
                <w:sz w:val="20"/>
                <w:szCs w:val="20"/>
              </w:rPr>
              <w:t xml:space="preserve"> 1457</w:t>
            </w:r>
          </w:p>
          <w:p w:rsidR="0095096B" w:rsidRPr="00EA63C5" w:rsidRDefault="0095096B" w:rsidP="0095096B">
            <w:pPr>
              <w:jc w:val="center"/>
              <w:rPr>
                <w:rFonts w:cs="Times New Roman"/>
                <w:sz w:val="20"/>
                <w:szCs w:val="20"/>
              </w:rPr>
            </w:pPr>
          </w:p>
          <w:p w:rsidR="0095096B" w:rsidRPr="00EA63C5" w:rsidRDefault="0095096B" w:rsidP="0095096B">
            <w:pPr>
              <w:jc w:val="center"/>
              <w:rPr>
                <w:rFonts w:cs="Times New Roman"/>
                <w:sz w:val="20"/>
                <w:szCs w:val="20"/>
              </w:rPr>
            </w:pPr>
          </w:p>
          <w:p w:rsidR="0095096B" w:rsidRPr="00EA63C5" w:rsidRDefault="00D91156" w:rsidP="0095096B">
            <w:pPr>
              <w:jc w:val="center"/>
              <w:rPr>
                <w:rFonts w:cs="Times New Roman"/>
                <w:sz w:val="20"/>
                <w:szCs w:val="20"/>
              </w:rPr>
            </w:pPr>
            <w:r w:rsidRPr="00EA63C5">
              <w:rPr>
                <w:rFonts w:cs="Times New Roman"/>
                <w:sz w:val="20"/>
                <w:szCs w:val="20"/>
              </w:rPr>
              <w:t>1458</w:t>
            </w:r>
          </w:p>
          <w:p w:rsidR="0095096B" w:rsidRPr="00EA63C5" w:rsidRDefault="0095096B" w:rsidP="0095096B">
            <w:pPr>
              <w:jc w:val="center"/>
              <w:rPr>
                <w:rFonts w:cs="Times New Roman"/>
                <w:sz w:val="20"/>
                <w:szCs w:val="20"/>
              </w:rPr>
            </w:pPr>
          </w:p>
          <w:p w:rsidR="0095096B" w:rsidRPr="00EA63C5" w:rsidRDefault="0095096B" w:rsidP="0095096B">
            <w:pPr>
              <w:jc w:val="center"/>
              <w:rPr>
                <w:rFonts w:cs="Times New Roman"/>
                <w:sz w:val="20"/>
                <w:szCs w:val="20"/>
              </w:rPr>
            </w:pPr>
          </w:p>
          <w:p w:rsidR="0095096B" w:rsidRPr="00EA63C5" w:rsidRDefault="00D91156" w:rsidP="0095096B">
            <w:pPr>
              <w:jc w:val="center"/>
              <w:rPr>
                <w:rFonts w:cs="Times New Roman"/>
                <w:sz w:val="20"/>
                <w:szCs w:val="20"/>
              </w:rPr>
            </w:pPr>
            <w:r w:rsidRPr="00EA63C5">
              <w:rPr>
                <w:rFonts w:cs="Times New Roman"/>
                <w:sz w:val="20"/>
                <w:szCs w:val="20"/>
              </w:rPr>
              <w:t xml:space="preserve">1459 </w:t>
            </w:r>
            <w:r w:rsidR="0095096B" w:rsidRPr="00EA63C5">
              <w:rPr>
                <w:rFonts w:cs="Times New Roman"/>
                <w:sz w:val="20"/>
                <w:szCs w:val="20"/>
              </w:rPr>
              <w:t>-</w:t>
            </w:r>
            <w:r w:rsidRPr="00EA63C5">
              <w:rPr>
                <w:rFonts w:cs="Times New Roman"/>
                <w:sz w:val="20"/>
                <w:szCs w:val="20"/>
              </w:rPr>
              <w:t xml:space="preserve"> 1478</w:t>
            </w:r>
          </w:p>
          <w:p w:rsidR="0095096B" w:rsidRPr="00EA63C5" w:rsidRDefault="0095096B" w:rsidP="0095096B">
            <w:pPr>
              <w:jc w:val="center"/>
              <w:rPr>
                <w:rFonts w:cs="Times New Roman"/>
                <w:sz w:val="20"/>
                <w:szCs w:val="20"/>
              </w:rPr>
            </w:pPr>
          </w:p>
          <w:p w:rsidR="00D91156" w:rsidRPr="00EA63C5" w:rsidRDefault="00D91156" w:rsidP="0095096B">
            <w:pPr>
              <w:jc w:val="center"/>
              <w:rPr>
                <w:rFonts w:cs="Times New Roman"/>
                <w:sz w:val="20"/>
                <w:szCs w:val="20"/>
              </w:rPr>
            </w:pPr>
          </w:p>
          <w:p w:rsidR="0095096B" w:rsidRPr="00EA63C5" w:rsidRDefault="00D91156" w:rsidP="0095096B">
            <w:pPr>
              <w:jc w:val="center"/>
              <w:rPr>
                <w:rFonts w:cs="Times New Roman"/>
                <w:sz w:val="20"/>
                <w:szCs w:val="20"/>
              </w:rPr>
            </w:pPr>
            <w:r w:rsidRPr="00EA63C5">
              <w:rPr>
                <w:rFonts w:cs="Times New Roman"/>
                <w:sz w:val="20"/>
                <w:szCs w:val="20"/>
              </w:rPr>
              <w:t>1479</w:t>
            </w:r>
          </w:p>
          <w:p w:rsidR="0095096B" w:rsidRPr="00EA63C5" w:rsidRDefault="0095096B" w:rsidP="0095096B">
            <w:pPr>
              <w:jc w:val="center"/>
              <w:rPr>
                <w:rFonts w:cs="Times New Roman"/>
                <w:sz w:val="20"/>
                <w:szCs w:val="20"/>
              </w:rPr>
            </w:pPr>
          </w:p>
          <w:p w:rsidR="0095096B" w:rsidRPr="00EA63C5" w:rsidRDefault="00D95DF7" w:rsidP="0095096B">
            <w:pPr>
              <w:jc w:val="center"/>
              <w:rPr>
                <w:rFonts w:cs="Times New Roman"/>
                <w:sz w:val="20"/>
                <w:szCs w:val="20"/>
              </w:rPr>
            </w:pPr>
            <w:r w:rsidRPr="00EA63C5">
              <w:rPr>
                <w:rFonts w:cs="Times New Roman"/>
                <w:sz w:val="20"/>
                <w:szCs w:val="20"/>
              </w:rPr>
              <w:t xml:space="preserve">1480 </w:t>
            </w:r>
            <w:r w:rsidR="0095096B" w:rsidRPr="00EA63C5">
              <w:rPr>
                <w:rFonts w:cs="Times New Roman"/>
                <w:sz w:val="20"/>
                <w:szCs w:val="20"/>
              </w:rPr>
              <w:t>-</w:t>
            </w:r>
            <w:r w:rsidRPr="00EA63C5">
              <w:rPr>
                <w:rFonts w:cs="Times New Roman"/>
                <w:sz w:val="20"/>
                <w:szCs w:val="20"/>
              </w:rPr>
              <w:t xml:space="preserve"> 1481</w:t>
            </w:r>
          </w:p>
          <w:p w:rsidR="0095096B" w:rsidRPr="00EA63C5" w:rsidRDefault="0095096B" w:rsidP="0095096B">
            <w:pPr>
              <w:jc w:val="center"/>
              <w:rPr>
                <w:rFonts w:cs="Times New Roman"/>
                <w:sz w:val="20"/>
                <w:szCs w:val="20"/>
              </w:rPr>
            </w:pPr>
          </w:p>
          <w:p w:rsidR="0095096B" w:rsidRPr="00EA63C5" w:rsidRDefault="0095096B" w:rsidP="0095096B">
            <w:pPr>
              <w:jc w:val="center"/>
              <w:rPr>
                <w:rFonts w:cs="Times New Roman"/>
                <w:sz w:val="20"/>
                <w:szCs w:val="20"/>
              </w:rPr>
            </w:pPr>
          </w:p>
          <w:p w:rsidR="0095096B" w:rsidRPr="00EA63C5" w:rsidRDefault="00D95DF7" w:rsidP="0095096B">
            <w:pPr>
              <w:jc w:val="center"/>
              <w:rPr>
                <w:rFonts w:cs="Times New Roman"/>
                <w:sz w:val="20"/>
                <w:szCs w:val="20"/>
              </w:rPr>
            </w:pPr>
            <w:r w:rsidRPr="00EA63C5">
              <w:rPr>
                <w:rFonts w:cs="Times New Roman"/>
                <w:sz w:val="20"/>
                <w:szCs w:val="20"/>
              </w:rPr>
              <w:t xml:space="preserve">1482 </w:t>
            </w:r>
            <w:r w:rsidR="0095096B" w:rsidRPr="00EA63C5">
              <w:rPr>
                <w:rFonts w:cs="Times New Roman"/>
                <w:sz w:val="20"/>
                <w:szCs w:val="20"/>
              </w:rPr>
              <w:t>-</w:t>
            </w:r>
            <w:r w:rsidR="00D802C7" w:rsidRPr="00EA63C5">
              <w:rPr>
                <w:rFonts w:cs="Times New Roman"/>
                <w:sz w:val="20"/>
                <w:szCs w:val="20"/>
              </w:rPr>
              <w:t xml:space="preserve"> 1483</w:t>
            </w:r>
          </w:p>
          <w:p w:rsidR="0095096B" w:rsidRPr="00EA63C5" w:rsidRDefault="0095096B" w:rsidP="0095096B">
            <w:pPr>
              <w:jc w:val="center"/>
              <w:rPr>
                <w:rFonts w:cs="Times New Roman"/>
                <w:sz w:val="20"/>
                <w:szCs w:val="20"/>
              </w:rPr>
            </w:pPr>
          </w:p>
          <w:p w:rsidR="00D91156" w:rsidRPr="00EA63C5" w:rsidRDefault="00D91156" w:rsidP="0095096B">
            <w:pPr>
              <w:jc w:val="center"/>
              <w:rPr>
                <w:rFonts w:cs="Times New Roman"/>
                <w:sz w:val="20"/>
                <w:szCs w:val="20"/>
              </w:rPr>
            </w:pPr>
          </w:p>
          <w:p w:rsidR="0095096B" w:rsidRPr="00EA63C5" w:rsidRDefault="00D802C7" w:rsidP="0095096B">
            <w:pPr>
              <w:jc w:val="center"/>
              <w:rPr>
                <w:rFonts w:cs="Times New Roman"/>
                <w:sz w:val="20"/>
                <w:szCs w:val="20"/>
              </w:rPr>
            </w:pPr>
            <w:r w:rsidRPr="00EA63C5">
              <w:rPr>
                <w:rFonts w:cs="Times New Roman"/>
                <w:sz w:val="20"/>
                <w:szCs w:val="20"/>
              </w:rPr>
              <w:t xml:space="preserve">1484 </w:t>
            </w:r>
            <w:r w:rsidR="0095096B" w:rsidRPr="00EA63C5">
              <w:rPr>
                <w:rFonts w:cs="Times New Roman"/>
                <w:sz w:val="20"/>
                <w:szCs w:val="20"/>
              </w:rPr>
              <w:t>-</w:t>
            </w:r>
            <w:r w:rsidRPr="00EA63C5">
              <w:rPr>
                <w:rFonts w:cs="Times New Roman"/>
                <w:sz w:val="20"/>
                <w:szCs w:val="20"/>
              </w:rPr>
              <w:t xml:space="preserve"> </w:t>
            </w:r>
            <w:r w:rsidR="004027B0" w:rsidRPr="00EA63C5">
              <w:rPr>
                <w:rFonts w:cs="Times New Roman"/>
                <w:sz w:val="20"/>
                <w:szCs w:val="20"/>
              </w:rPr>
              <w:t>1495</w:t>
            </w:r>
          </w:p>
          <w:p w:rsidR="00D91156" w:rsidRPr="00EA63C5" w:rsidRDefault="00D91156" w:rsidP="0095096B">
            <w:pPr>
              <w:jc w:val="center"/>
              <w:rPr>
                <w:rFonts w:cs="Times New Roman"/>
                <w:sz w:val="20"/>
                <w:szCs w:val="20"/>
              </w:rPr>
            </w:pPr>
          </w:p>
          <w:p w:rsidR="0095096B" w:rsidRPr="00EA63C5" w:rsidRDefault="004027B0" w:rsidP="0095096B">
            <w:pPr>
              <w:jc w:val="center"/>
              <w:rPr>
                <w:rFonts w:cs="Times New Roman"/>
                <w:sz w:val="20"/>
                <w:szCs w:val="20"/>
              </w:rPr>
            </w:pPr>
            <w:r w:rsidRPr="00EA63C5">
              <w:rPr>
                <w:rFonts w:cs="Times New Roman"/>
                <w:sz w:val="20"/>
                <w:szCs w:val="20"/>
              </w:rPr>
              <w:t>1496</w:t>
            </w:r>
          </w:p>
          <w:p w:rsidR="0095096B" w:rsidRPr="00EA63C5" w:rsidRDefault="0095096B" w:rsidP="0095096B">
            <w:pPr>
              <w:jc w:val="center"/>
              <w:rPr>
                <w:rFonts w:cs="Times New Roman"/>
                <w:sz w:val="20"/>
                <w:szCs w:val="20"/>
              </w:rPr>
            </w:pPr>
          </w:p>
          <w:p w:rsidR="00D91156" w:rsidRPr="00EA63C5" w:rsidRDefault="004027B0" w:rsidP="0095096B">
            <w:pPr>
              <w:jc w:val="center"/>
              <w:rPr>
                <w:rFonts w:cs="Times New Roman"/>
                <w:sz w:val="20"/>
                <w:szCs w:val="20"/>
              </w:rPr>
            </w:pPr>
            <w:r w:rsidRPr="00EA63C5">
              <w:rPr>
                <w:rFonts w:cs="Times New Roman"/>
                <w:sz w:val="20"/>
                <w:szCs w:val="20"/>
              </w:rPr>
              <w:t xml:space="preserve">1497 </w:t>
            </w:r>
            <w:r w:rsidR="00F1186C" w:rsidRPr="00EA63C5">
              <w:rPr>
                <w:rFonts w:cs="Times New Roman"/>
                <w:sz w:val="20"/>
                <w:szCs w:val="20"/>
              </w:rPr>
              <w:t>-</w:t>
            </w:r>
            <w:r w:rsidRPr="00EA63C5">
              <w:rPr>
                <w:rFonts w:cs="Times New Roman"/>
                <w:sz w:val="20"/>
                <w:szCs w:val="20"/>
              </w:rPr>
              <w:t xml:space="preserve"> </w:t>
            </w:r>
            <w:r w:rsidR="0069179D" w:rsidRPr="00EA63C5">
              <w:rPr>
                <w:rFonts w:cs="Times New Roman"/>
                <w:sz w:val="20"/>
                <w:szCs w:val="20"/>
              </w:rPr>
              <w:t>1508</w:t>
            </w:r>
          </w:p>
          <w:p w:rsidR="00A87207" w:rsidRPr="00EA63C5" w:rsidRDefault="00A87207" w:rsidP="002C3B6B">
            <w:pPr>
              <w:jc w:val="center"/>
              <w:rPr>
                <w:rFonts w:cs="Times New Roman"/>
                <w:sz w:val="20"/>
                <w:szCs w:val="20"/>
              </w:rPr>
            </w:pPr>
          </w:p>
        </w:tc>
        <w:tc>
          <w:tcPr>
            <w:tcW w:w="3888" w:type="dxa"/>
          </w:tcPr>
          <w:p w:rsidR="0095096B" w:rsidRPr="00EA63C5" w:rsidRDefault="000E27A5" w:rsidP="0095096B">
            <w:pPr>
              <w:rPr>
                <w:rFonts w:cs="Times New Roman"/>
                <w:sz w:val="20"/>
                <w:szCs w:val="20"/>
                <w:lang w:val="fr-CA"/>
              </w:rPr>
            </w:pPr>
            <w:r w:rsidRPr="00EA63C5">
              <w:rPr>
                <w:rFonts w:cs="Times New Roman"/>
                <w:sz w:val="20"/>
                <w:szCs w:val="20"/>
                <w:lang w:val="fr-CA"/>
              </w:rPr>
              <w:fldChar w:fldCharType="begin"/>
            </w:r>
            <w:r w:rsidR="0095096B" w:rsidRPr="00EA63C5">
              <w:rPr>
                <w:rFonts w:cs="Times New Roman"/>
                <w:sz w:val="20"/>
                <w:szCs w:val="20"/>
                <w:lang w:val="fr-CA"/>
              </w:rPr>
              <w:instrText xml:space="preserve"> SEQ CHAPTER \h \r 1</w:instrText>
            </w:r>
            <w:r w:rsidRPr="00EA63C5">
              <w:rPr>
                <w:rFonts w:cs="Times New Roman"/>
                <w:sz w:val="20"/>
                <w:szCs w:val="20"/>
                <w:lang w:val="fr-CA"/>
              </w:rPr>
              <w:fldChar w:fldCharType="end"/>
            </w:r>
            <w:r w:rsidR="0095096B" w:rsidRPr="00EA63C5">
              <w:rPr>
                <w:rFonts w:cs="Times New Roman"/>
                <w:sz w:val="20"/>
                <w:szCs w:val="20"/>
                <w:lang w:val="fr-CA"/>
              </w:rPr>
              <w:t>Demandes d</w:t>
            </w:r>
            <w:r w:rsidR="004137A0" w:rsidRPr="00EA63C5">
              <w:rPr>
                <w:rFonts w:cs="Times New Roman"/>
                <w:sz w:val="20"/>
                <w:szCs w:val="20"/>
                <w:lang w:val="fr-CA"/>
              </w:rPr>
              <w:t>’</w:t>
            </w:r>
            <w:r w:rsidR="0095096B" w:rsidRPr="00EA63C5">
              <w:rPr>
                <w:rFonts w:cs="Times New Roman"/>
                <w:sz w:val="20"/>
                <w:szCs w:val="20"/>
                <w:lang w:val="fr-CA"/>
              </w:rPr>
              <w:t>autorisation d</w:t>
            </w:r>
            <w:r w:rsidR="004137A0" w:rsidRPr="00EA63C5">
              <w:rPr>
                <w:rFonts w:cs="Times New Roman"/>
                <w:sz w:val="20"/>
                <w:szCs w:val="20"/>
                <w:lang w:val="fr-CA"/>
              </w:rPr>
              <w:t>’</w:t>
            </w:r>
            <w:r w:rsidR="0095096B" w:rsidRPr="00EA63C5">
              <w:rPr>
                <w:rFonts w:cs="Times New Roman"/>
                <w:sz w:val="20"/>
                <w:szCs w:val="20"/>
                <w:lang w:val="fr-CA"/>
              </w:rPr>
              <w:t xml:space="preserve">appel </w:t>
            </w:r>
          </w:p>
          <w:p w:rsidR="0095096B" w:rsidRPr="00EA63C5" w:rsidRDefault="0095096B" w:rsidP="0095096B">
            <w:pPr>
              <w:rPr>
                <w:rFonts w:cs="Times New Roman"/>
                <w:sz w:val="20"/>
                <w:szCs w:val="20"/>
                <w:lang w:val="fr-CA"/>
              </w:rPr>
            </w:pPr>
            <w:r w:rsidRPr="00EA63C5">
              <w:rPr>
                <w:rFonts w:cs="Times New Roman"/>
                <w:sz w:val="20"/>
                <w:szCs w:val="20"/>
                <w:lang w:val="fr-CA"/>
              </w:rPr>
              <w:t>déposées</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 xml:space="preserve">Demandes soumises à la Cour depuis la </w:t>
            </w:r>
          </w:p>
          <w:p w:rsidR="0095096B" w:rsidRPr="00EA63C5" w:rsidRDefault="0095096B" w:rsidP="0095096B">
            <w:pPr>
              <w:rPr>
                <w:rFonts w:cs="Times New Roman"/>
                <w:sz w:val="20"/>
                <w:szCs w:val="20"/>
                <w:lang w:val="fr-CA"/>
              </w:rPr>
            </w:pPr>
            <w:r w:rsidRPr="00EA63C5">
              <w:rPr>
                <w:rFonts w:cs="Times New Roman"/>
                <w:sz w:val="20"/>
                <w:szCs w:val="20"/>
                <w:lang w:val="fr-CA"/>
              </w:rPr>
              <w:t>dernière parution</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 xml:space="preserve">Jugements rendus sur les demandes </w:t>
            </w:r>
          </w:p>
          <w:p w:rsidR="0095096B" w:rsidRPr="00EA63C5" w:rsidRDefault="004137A0" w:rsidP="0095096B">
            <w:pPr>
              <w:rPr>
                <w:rFonts w:cs="Times New Roman"/>
                <w:sz w:val="20"/>
                <w:szCs w:val="20"/>
                <w:lang w:val="fr-CA"/>
              </w:rPr>
            </w:pPr>
            <w:r w:rsidRPr="00EA63C5">
              <w:rPr>
                <w:rFonts w:cs="Times New Roman"/>
                <w:sz w:val="20"/>
                <w:szCs w:val="20"/>
                <w:lang w:val="fr-CA"/>
              </w:rPr>
              <w:t>d’</w:t>
            </w:r>
            <w:r w:rsidR="0095096B" w:rsidRPr="00EA63C5">
              <w:rPr>
                <w:rFonts w:cs="Times New Roman"/>
                <w:sz w:val="20"/>
                <w:szCs w:val="20"/>
                <w:lang w:val="fr-CA"/>
              </w:rPr>
              <w:t>autorisation</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Requêtes</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 xml:space="preserve">Appels entendus depuis la dernière </w:t>
            </w:r>
          </w:p>
          <w:p w:rsidR="0095096B" w:rsidRPr="00EA63C5" w:rsidRDefault="0095096B" w:rsidP="0095096B">
            <w:pPr>
              <w:rPr>
                <w:rFonts w:cs="Times New Roman"/>
                <w:sz w:val="20"/>
                <w:szCs w:val="20"/>
                <w:lang w:val="fr-CA"/>
              </w:rPr>
            </w:pPr>
            <w:r w:rsidRPr="00EA63C5">
              <w:rPr>
                <w:rFonts w:cs="Times New Roman"/>
                <w:sz w:val="20"/>
                <w:szCs w:val="20"/>
                <w:lang w:val="fr-CA"/>
              </w:rPr>
              <w:t>parution et résultat</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 xml:space="preserve">Jugements rendus sur les appels en </w:t>
            </w:r>
          </w:p>
          <w:p w:rsidR="0095096B" w:rsidRPr="00EA63C5" w:rsidRDefault="0095096B" w:rsidP="0095096B">
            <w:pPr>
              <w:rPr>
                <w:rFonts w:cs="Times New Roman"/>
                <w:sz w:val="20"/>
                <w:szCs w:val="20"/>
                <w:lang w:val="fr-CA"/>
              </w:rPr>
            </w:pPr>
            <w:r w:rsidRPr="00EA63C5">
              <w:rPr>
                <w:rFonts w:cs="Times New Roman"/>
                <w:sz w:val="20"/>
                <w:szCs w:val="20"/>
                <w:lang w:val="fr-CA"/>
              </w:rPr>
              <w:t>délibéré</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 xml:space="preserve">Sommaires de </w:t>
            </w:r>
            <w:r w:rsidR="00C50A5C" w:rsidRPr="00EA63C5">
              <w:rPr>
                <w:rFonts w:cs="Times New Roman"/>
                <w:sz w:val="20"/>
                <w:szCs w:val="20"/>
                <w:lang w:val="fr-CA"/>
              </w:rPr>
              <w:t>jugements récents</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 xml:space="preserve">Calendrier </w:t>
            </w:r>
          </w:p>
          <w:p w:rsidR="0095096B" w:rsidRPr="00EA63C5" w:rsidRDefault="0095096B" w:rsidP="0095096B">
            <w:pPr>
              <w:rPr>
                <w:rFonts w:cs="Times New Roman"/>
                <w:sz w:val="20"/>
                <w:szCs w:val="20"/>
                <w:lang w:val="fr-CA"/>
              </w:rPr>
            </w:pPr>
          </w:p>
          <w:p w:rsidR="0095096B" w:rsidRPr="00EA63C5" w:rsidRDefault="0095096B" w:rsidP="0095096B">
            <w:pPr>
              <w:rPr>
                <w:rFonts w:cs="Times New Roman"/>
                <w:sz w:val="20"/>
                <w:szCs w:val="20"/>
                <w:lang w:val="fr-CA"/>
              </w:rPr>
            </w:pPr>
            <w:r w:rsidRPr="00EA63C5">
              <w:rPr>
                <w:rFonts w:cs="Times New Roman"/>
                <w:sz w:val="20"/>
                <w:szCs w:val="20"/>
                <w:lang w:val="fr-CA"/>
              </w:rPr>
              <w:t>Résumés des affaires</w:t>
            </w:r>
          </w:p>
          <w:p w:rsidR="00A87207" w:rsidRPr="00EA63C5" w:rsidRDefault="00A87207" w:rsidP="002C3B6B">
            <w:pPr>
              <w:tabs>
                <w:tab w:val="right" w:pos="9360"/>
              </w:tabs>
              <w:rPr>
                <w:rFonts w:cs="Times New Roman"/>
                <w:sz w:val="20"/>
                <w:szCs w:val="20"/>
                <w:lang w:val="fr-CA"/>
              </w:rPr>
            </w:pPr>
          </w:p>
        </w:tc>
      </w:tr>
    </w:tbl>
    <w:p w:rsidR="0095096B" w:rsidRPr="00EA63C5"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F6DC5" w:rsidTr="0079724F">
        <w:tc>
          <w:tcPr>
            <w:tcW w:w="9576" w:type="dxa"/>
          </w:tcPr>
          <w:p w:rsidR="0079724F" w:rsidRPr="00EA63C5" w:rsidRDefault="0079724F" w:rsidP="00215F7C">
            <w:pPr>
              <w:keepNext/>
              <w:tabs>
                <w:tab w:val="right" w:pos="9360"/>
              </w:tabs>
              <w:jc w:val="center"/>
              <w:rPr>
                <w:szCs w:val="24"/>
              </w:rPr>
            </w:pPr>
            <w:r w:rsidRPr="00EA63C5">
              <w:rPr>
                <w:szCs w:val="24"/>
              </w:rPr>
              <w:t>NOTICE</w:t>
            </w:r>
          </w:p>
          <w:p w:rsidR="0079724F" w:rsidRPr="00EA63C5" w:rsidRDefault="0079724F" w:rsidP="00215F7C">
            <w:pPr>
              <w:keepNext/>
              <w:tabs>
                <w:tab w:val="right" w:pos="9360"/>
              </w:tabs>
              <w:rPr>
                <w:szCs w:val="24"/>
              </w:rPr>
            </w:pPr>
          </w:p>
          <w:p w:rsidR="0079724F" w:rsidRPr="00EA63C5" w:rsidRDefault="0079724F" w:rsidP="00215F7C">
            <w:pPr>
              <w:keepNext/>
              <w:tabs>
                <w:tab w:val="right" w:pos="9360"/>
              </w:tabs>
              <w:jc w:val="both"/>
              <w:rPr>
                <w:szCs w:val="24"/>
              </w:rPr>
            </w:pPr>
            <w:r w:rsidRPr="00EA63C5">
              <w:rPr>
                <w:szCs w:val="24"/>
              </w:rPr>
              <w:t>Case summaries included in the Bulletin are prepared by the Office of the Registrar of the Supreme Court of Canada (Law Branch) for information purposes only.</w:t>
            </w:r>
          </w:p>
          <w:p w:rsidR="0079724F" w:rsidRPr="00EA63C5" w:rsidRDefault="0079724F" w:rsidP="00215F7C">
            <w:pPr>
              <w:keepNext/>
              <w:tabs>
                <w:tab w:val="right" w:pos="9360"/>
              </w:tabs>
              <w:rPr>
                <w:szCs w:val="24"/>
              </w:rPr>
            </w:pPr>
          </w:p>
          <w:p w:rsidR="0079724F" w:rsidRPr="00EA63C5" w:rsidRDefault="0079724F" w:rsidP="00215F7C">
            <w:pPr>
              <w:keepNext/>
              <w:tabs>
                <w:tab w:val="right" w:pos="9360"/>
              </w:tabs>
              <w:rPr>
                <w:szCs w:val="24"/>
              </w:rPr>
            </w:pPr>
          </w:p>
          <w:p w:rsidR="0079724F" w:rsidRPr="00EA63C5" w:rsidRDefault="0079724F" w:rsidP="00215F7C">
            <w:pPr>
              <w:keepNext/>
              <w:tabs>
                <w:tab w:val="right" w:pos="9360"/>
              </w:tabs>
              <w:jc w:val="center"/>
              <w:rPr>
                <w:szCs w:val="24"/>
                <w:lang w:val="fr-CA"/>
              </w:rPr>
            </w:pPr>
            <w:r w:rsidRPr="00EA63C5">
              <w:rPr>
                <w:szCs w:val="24"/>
                <w:lang w:val="fr-CA"/>
              </w:rPr>
              <w:t>AVIS</w:t>
            </w:r>
          </w:p>
          <w:p w:rsidR="0079724F" w:rsidRPr="00EA63C5" w:rsidRDefault="0079724F" w:rsidP="00215F7C">
            <w:pPr>
              <w:keepNext/>
              <w:tabs>
                <w:tab w:val="right" w:pos="9360"/>
              </w:tabs>
              <w:rPr>
                <w:szCs w:val="24"/>
                <w:lang w:val="fr-CA"/>
              </w:rPr>
            </w:pPr>
          </w:p>
          <w:p w:rsidR="0079724F" w:rsidRPr="00EA63C5" w:rsidRDefault="0079724F" w:rsidP="00215F7C">
            <w:pPr>
              <w:keepNext/>
              <w:tabs>
                <w:tab w:val="right" w:pos="9360"/>
              </w:tabs>
              <w:jc w:val="both"/>
              <w:rPr>
                <w:sz w:val="20"/>
                <w:szCs w:val="20"/>
                <w:lang w:val="fr-CA"/>
              </w:rPr>
            </w:pPr>
            <w:r w:rsidRPr="00EA63C5">
              <w:rPr>
                <w:szCs w:val="24"/>
                <w:lang w:val="fr-CA"/>
              </w:rPr>
              <w:t>Les résumés de dossiers publiés dans le bulletin sont préparés par le Bureau du registraire (Direction générale du droit) uniquement à titre d’information.</w:t>
            </w:r>
          </w:p>
        </w:tc>
      </w:tr>
    </w:tbl>
    <w:p w:rsidR="0095096B" w:rsidRPr="00EA63C5" w:rsidRDefault="0095096B" w:rsidP="0095096B">
      <w:pPr>
        <w:tabs>
          <w:tab w:val="right" w:pos="9360"/>
        </w:tabs>
        <w:rPr>
          <w:lang w:val="fr-CA"/>
        </w:rPr>
      </w:pPr>
    </w:p>
    <w:p w:rsidR="00A87207" w:rsidRPr="00EA63C5" w:rsidRDefault="00A87207" w:rsidP="0095096B">
      <w:pPr>
        <w:tabs>
          <w:tab w:val="right" w:pos="9360"/>
        </w:tabs>
        <w:rPr>
          <w:lang w:val="fr-CA"/>
        </w:rPr>
        <w:sectPr w:rsidR="00A87207" w:rsidRPr="00EA63C5"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EA63C5" w:rsidTr="00245129">
        <w:tc>
          <w:tcPr>
            <w:tcW w:w="4200" w:type="dxa"/>
            <w:shd w:val="clear" w:color="auto" w:fill="auto"/>
            <w:tcMar>
              <w:left w:w="0" w:type="dxa"/>
              <w:right w:w="0" w:type="dxa"/>
            </w:tcMar>
          </w:tcPr>
          <w:p w:rsidR="00A87207" w:rsidRPr="00EA63C5" w:rsidRDefault="00A87207" w:rsidP="00BA6468">
            <w:pPr>
              <w:rPr>
                <w:rFonts w:eastAsia="Times New Roman" w:cs="Times New Roman"/>
                <w:b/>
                <w:sz w:val="20"/>
                <w:szCs w:val="20"/>
                <w:lang w:eastAsia="en-CA"/>
              </w:rPr>
            </w:pPr>
            <w:r w:rsidRPr="00EA63C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EA63C5" w:rsidRDefault="00A87207" w:rsidP="002E2327">
            <w:pPr>
              <w:jc w:val="center"/>
              <w:rPr>
                <w:rFonts w:eastAsia="Times New Roman" w:cs="Times New Roman"/>
                <w:b/>
                <w:sz w:val="20"/>
                <w:szCs w:val="20"/>
                <w:lang w:eastAsia="en-CA"/>
              </w:rPr>
            </w:pPr>
          </w:p>
          <w:p w:rsidR="00A87207" w:rsidRPr="00EA63C5" w:rsidRDefault="00A87207" w:rsidP="002E2327">
            <w:pPr>
              <w:jc w:val="center"/>
              <w:rPr>
                <w:rFonts w:eastAsia="Times New Roman" w:cs="Times New Roman"/>
                <w:b/>
                <w:sz w:val="20"/>
                <w:szCs w:val="20"/>
                <w:lang w:eastAsia="en-CA"/>
              </w:rPr>
            </w:pPr>
          </w:p>
          <w:p w:rsidR="00A87207" w:rsidRPr="00EA63C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EA63C5" w:rsidRDefault="00A87207" w:rsidP="00A87207">
            <w:pPr>
              <w:rPr>
                <w:rFonts w:eastAsia="Times New Roman" w:cs="Times New Roman"/>
                <w:b/>
                <w:sz w:val="20"/>
                <w:szCs w:val="20"/>
                <w:lang w:val="fr-CA" w:eastAsia="en-CA"/>
              </w:rPr>
            </w:pPr>
            <w:r w:rsidRPr="00EA63C5">
              <w:rPr>
                <w:rFonts w:eastAsia="Times New Roman" w:cs="Times New Roman"/>
                <w:b/>
                <w:szCs w:val="20"/>
                <w:lang w:val="fr-CA" w:eastAsia="en-CA"/>
              </w:rPr>
              <w:t>DEMANDES D’AUTORISATION D’APPEL DÉPOSÉES</w:t>
            </w:r>
          </w:p>
        </w:tc>
      </w:tr>
    </w:tbl>
    <w:p w:rsidR="00A87207" w:rsidRPr="00EA63C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A63C5" w:rsidTr="003B3977">
        <w:tc>
          <w:tcPr>
            <w:tcW w:w="4320" w:type="dxa"/>
            <w:shd w:val="clear" w:color="auto" w:fill="auto"/>
          </w:tcPr>
          <w:p w:rsidR="001D6B35" w:rsidRPr="00EA63C5" w:rsidRDefault="001D6B35" w:rsidP="005F1ED8">
            <w:pPr>
              <w:rPr>
                <w:b/>
                <w:sz w:val="20"/>
                <w:szCs w:val="20"/>
                <w:lang w:val="en-US"/>
              </w:rPr>
            </w:pPr>
            <w:r w:rsidRPr="00EA63C5">
              <w:rPr>
                <w:b/>
                <w:sz w:val="20"/>
                <w:szCs w:val="20"/>
                <w:lang w:val="en-US"/>
              </w:rPr>
              <w:t>David Adrian McCallum</w:t>
            </w:r>
          </w:p>
          <w:p w:rsidR="001D6B35" w:rsidRPr="00EA63C5" w:rsidRDefault="001D6B35" w:rsidP="005F1ED8">
            <w:pPr>
              <w:rPr>
                <w:sz w:val="20"/>
                <w:szCs w:val="20"/>
                <w:lang w:val="en-US"/>
              </w:rPr>
            </w:pPr>
            <w:r w:rsidRPr="00EA63C5">
              <w:rPr>
                <w:b/>
                <w:sz w:val="20"/>
                <w:szCs w:val="20"/>
                <w:lang w:val="en-US"/>
              </w:rPr>
              <w:tab/>
            </w:r>
            <w:r w:rsidRPr="00EA63C5">
              <w:rPr>
                <w:sz w:val="20"/>
                <w:szCs w:val="20"/>
                <w:lang w:val="en-US"/>
              </w:rPr>
              <w:t xml:space="preserve">Christopher </w:t>
            </w:r>
            <w:proofErr w:type="spellStart"/>
            <w:r w:rsidRPr="00EA63C5">
              <w:rPr>
                <w:sz w:val="20"/>
                <w:szCs w:val="20"/>
                <w:lang w:val="en-US"/>
              </w:rPr>
              <w:t>Funt</w:t>
            </w:r>
            <w:proofErr w:type="spellEnd"/>
          </w:p>
          <w:p w:rsidR="001D6B35" w:rsidRPr="00EA63C5" w:rsidRDefault="001D6B35" w:rsidP="005F1ED8">
            <w:pPr>
              <w:rPr>
                <w:sz w:val="20"/>
                <w:szCs w:val="20"/>
                <w:lang w:val="en-US"/>
              </w:rPr>
            </w:pPr>
            <w:r w:rsidRPr="00EA63C5">
              <w:rPr>
                <w:sz w:val="20"/>
                <w:szCs w:val="20"/>
                <w:lang w:val="en-US"/>
              </w:rPr>
              <w:tab/>
            </w:r>
            <w:proofErr w:type="spellStart"/>
            <w:r w:rsidRPr="00EA63C5">
              <w:rPr>
                <w:sz w:val="20"/>
                <w:szCs w:val="20"/>
                <w:lang w:val="en-US"/>
              </w:rPr>
              <w:t>Funt</w:t>
            </w:r>
            <w:proofErr w:type="spellEnd"/>
            <w:r w:rsidRPr="00EA63C5">
              <w:rPr>
                <w:sz w:val="20"/>
                <w:szCs w:val="20"/>
                <w:lang w:val="en-US"/>
              </w:rPr>
              <w:t xml:space="preserve"> &amp; Company</w:t>
            </w:r>
          </w:p>
          <w:p w:rsidR="001D6B35" w:rsidRPr="00EA63C5" w:rsidRDefault="001D6B35" w:rsidP="005F1ED8">
            <w:pPr>
              <w:rPr>
                <w:sz w:val="20"/>
                <w:szCs w:val="20"/>
                <w:lang w:val="en-US"/>
              </w:rPr>
            </w:pPr>
          </w:p>
          <w:p w:rsidR="001D6B35" w:rsidRPr="00EA63C5" w:rsidRDefault="001D6B35" w:rsidP="005F1ED8">
            <w:pPr>
              <w:rPr>
                <w:sz w:val="20"/>
                <w:szCs w:val="20"/>
                <w:lang w:val="en-US"/>
              </w:rPr>
            </w:pPr>
            <w:r w:rsidRPr="00EA63C5">
              <w:rPr>
                <w:sz w:val="20"/>
                <w:szCs w:val="20"/>
                <w:lang w:val="en-US"/>
              </w:rPr>
              <w:tab/>
              <w:t>v. (37236)</w:t>
            </w:r>
          </w:p>
          <w:p w:rsidR="001D6B35" w:rsidRPr="00EA63C5" w:rsidRDefault="001D6B35" w:rsidP="005F1ED8">
            <w:pPr>
              <w:rPr>
                <w:sz w:val="20"/>
                <w:szCs w:val="20"/>
                <w:lang w:val="en-US"/>
              </w:rPr>
            </w:pPr>
          </w:p>
          <w:p w:rsidR="001D6B35" w:rsidRPr="00EA63C5" w:rsidRDefault="001D6B35" w:rsidP="005F1ED8">
            <w:pPr>
              <w:rPr>
                <w:b/>
                <w:sz w:val="20"/>
                <w:szCs w:val="20"/>
                <w:lang w:val="en-US"/>
              </w:rPr>
            </w:pPr>
            <w:r w:rsidRPr="00EA63C5">
              <w:rPr>
                <w:b/>
                <w:sz w:val="20"/>
                <w:szCs w:val="20"/>
                <w:lang w:val="en-US"/>
              </w:rPr>
              <w:t>Her Majesty the Queen (Sask.)</w:t>
            </w:r>
          </w:p>
          <w:p w:rsidR="001D6B35" w:rsidRPr="00EA63C5" w:rsidRDefault="001D6B35" w:rsidP="005F1ED8">
            <w:pPr>
              <w:rPr>
                <w:sz w:val="20"/>
                <w:szCs w:val="20"/>
                <w:lang w:val="en-US"/>
              </w:rPr>
            </w:pPr>
            <w:r w:rsidRPr="00EA63C5">
              <w:rPr>
                <w:sz w:val="20"/>
                <w:szCs w:val="20"/>
                <w:lang w:val="en-US"/>
              </w:rPr>
              <w:tab/>
              <w:t>Andrew S. Davis</w:t>
            </w:r>
          </w:p>
          <w:p w:rsidR="001D6B35" w:rsidRPr="00EA63C5" w:rsidRDefault="001D6B35" w:rsidP="005F1ED8">
            <w:pPr>
              <w:rPr>
                <w:sz w:val="20"/>
                <w:szCs w:val="20"/>
                <w:lang w:val="en-US"/>
              </w:rPr>
            </w:pPr>
            <w:r w:rsidRPr="00EA63C5">
              <w:rPr>
                <w:sz w:val="20"/>
                <w:szCs w:val="20"/>
                <w:lang w:val="en-US"/>
              </w:rPr>
              <w:tab/>
              <w:t>A.G. of Saskatchewan</w:t>
            </w:r>
          </w:p>
          <w:p w:rsidR="001D6B35" w:rsidRPr="00EA63C5" w:rsidRDefault="001D6B35" w:rsidP="005F1ED8">
            <w:pPr>
              <w:rPr>
                <w:sz w:val="20"/>
                <w:szCs w:val="20"/>
                <w:lang w:val="en-US"/>
              </w:rPr>
            </w:pPr>
          </w:p>
          <w:p w:rsidR="001D6B35" w:rsidRPr="00EA63C5" w:rsidRDefault="001D6B35" w:rsidP="005F1ED8">
            <w:pPr>
              <w:rPr>
                <w:sz w:val="20"/>
                <w:szCs w:val="20"/>
                <w:lang w:val="en-US"/>
              </w:rPr>
            </w:pPr>
            <w:r w:rsidRPr="00EA63C5">
              <w:rPr>
                <w:sz w:val="20"/>
                <w:szCs w:val="20"/>
                <w:lang w:val="en-US"/>
              </w:rPr>
              <w:t>FILING DATE: 03.10.2016</w:t>
            </w:r>
          </w:p>
          <w:p w:rsidR="00C21644" w:rsidRPr="00EA63C5" w:rsidRDefault="007F6DC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p w:rsidR="00C21644" w:rsidRPr="00EA63C5" w:rsidRDefault="00C21644" w:rsidP="00242AEE">
            <w:pPr>
              <w:jc w:val="center"/>
              <w:rPr>
                <w:sz w:val="20"/>
                <w:szCs w:val="20"/>
              </w:rPr>
            </w:pPr>
          </w:p>
        </w:tc>
        <w:tc>
          <w:tcPr>
            <w:tcW w:w="4320" w:type="dxa"/>
            <w:shd w:val="clear" w:color="auto" w:fill="auto"/>
          </w:tcPr>
          <w:p w:rsidR="00C21644" w:rsidRPr="00EA63C5" w:rsidRDefault="001D6B35" w:rsidP="00CB2288">
            <w:pPr>
              <w:rPr>
                <w:b/>
                <w:sz w:val="20"/>
                <w:szCs w:val="20"/>
                <w:lang w:val="en-US"/>
              </w:rPr>
            </w:pPr>
            <w:proofErr w:type="spellStart"/>
            <w:r w:rsidRPr="00EA63C5">
              <w:rPr>
                <w:b/>
                <w:sz w:val="20"/>
                <w:szCs w:val="20"/>
                <w:lang w:val="en-US"/>
              </w:rPr>
              <w:t>Dioguardi</w:t>
            </w:r>
            <w:proofErr w:type="spellEnd"/>
            <w:r w:rsidRPr="00EA63C5">
              <w:rPr>
                <w:b/>
                <w:sz w:val="20"/>
                <w:szCs w:val="20"/>
                <w:lang w:val="en-US"/>
              </w:rPr>
              <w:t xml:space="preserve"> Tax Law et al.</w:t>
            </w:r>
          </w:p>
          <w:p w:rsidR="001D6B35" w:rsidRPr="00EA63C5" w:rsidRDefault="001D6B35" w:rsidP="00CB2288">
            <w:pPr>
              <w:rPr>
                <w:sz w:val="20"/>
                <w:szCs w:val="20"/>
                <w:lang w:val="en-US"/>
              </w:rPr>
            </w:pPr>
            <w:r w:rsidRPr="00EA63C5">
              <w:rPr>
                <w:b/>
                <w:sz w:val="20"/>
                <w:szCs w:val="20"/>
                <w:lang w:val="en-US"/>
              </w:rPr>
              <w:tab/>
            </w:r>
            <w:r w:rsidRPr="00EA63C5">
              <w:rPr>
                <w:sz w:val="20"/>
                <w:szCs w:val="20"/>
                <w:lang w:val="en-US"/>
              </w:rPr>
              <w:t xml:space="preserve">Melvyn L. </w:t>
            </w:r>
            <w:proofErr w:type="spellStart"/>
            <w:r w:rsidRPr="00EA63C5">
              <w:rPr>
                <w:sz w:val="20"/>
                <w:szCs w:val="20"/>
                <w:lang w:val="en-US"/>
              </w:rPr>
              <w:t>Solmon</w:t>
            </w:r>
            <w:proofErr w:type="spellEnd"/>
          </w:p>
          <w:p w:rsidR="001D6B35" w:rsidRPr="00EA63C5" w:rsidRDefault="001D6B35" w:rsidP="00CB2288">
            <w:pPr>
              <w:rPr>
                <w:sz w:val="20"/>
                <w:szCs w:val="20"/>
                <w:lang w:val="en-US"/>
              </w:rPr>
            </w:pPr>
            <w:r w:rsidRPr="00EA63C5">
              <w:rPr>
                <w:sz w:val="20"/>
                <w:szCs w:val="20"/>
                <w:lang w:val="en-US"/>
              </w:rPr>
              <w:tab/>
            </w:r>
            <w:proofErr w:type="spellStart"/>
            <w:r w:rsidRPr="00EA63C5">
              <w:rPr>
                <w:sz w:val="20"/>
                <w:szCs w:val="20"/>
                <w:lang w:val="en-US"/>
              </w:rPr>
              <w:t>Solmon</w:t>
            </w:r>
            <w:proofErr w:type="spellEnd"/>
            <w:r w:rsidRPr="00EA63C5">
              <w:rPr>
                <w:sz w:val="20"/>
                <w:szCs w:val="20"/>
                <w:lang w:val="en-US"/>
              </w:rPr>
              <w:t xml:space="preserve"> </w:t>
            </w:r>
            <w:proofErr w:type="spellStart"/>
            <w:r w:rsidRPr="00EA63C5">
              <w:rPr>
                <w:sz w:val="20"/>
                <w:szCs w:val="20"/>
                <w:lang w:val="en-US"/>
              </w:rPr>
              <w:t>Rothbart</w:t>
            </w:r>
            <w:proofErr w:type="spellEnd"/>
            <w:r w:rsidRPr="00EA63C5">
              <w:rPr>
                <w:sz w:val="20"/>
                <w:szCs w:val="20"/>
                <w:lang w:val="en-US"/>
              </w:rPr>
              <w:t xml:space="preserve"> Goodman LLP</w:t>
            </w:r>
          </w:p>
          <w:p w:rsidR="001D6B35" w:rsidRPr="00EA63C5" w:rsidRDefault="001D6B35" w:rsidP="00CB2288">
            <w:pPr>
              <w:rPr>
                <w:sz w:val="20"/>
                <w:szCs w:val="20"/>
                <w:lang w:val="en-US"/>
              </w:rPr>
            </w:pPr>
          </w:p>
          <w:p w:rsidR="001D6B35" w:rsidRPr="00EA63C5" w:rsidRDefault="001D6B35" w:rsidP="00CB2288">
            <w:pPr>
              <w:rPr>
                <w:sz w:val="20"/>
                <w:szCs w:val="20"/>
                <w:lang w:val="en-US"/>
              </w:rPr>
            </w:pPr>
            <w:r w:rsidRPr="00EA63C5">
              <w:rPr>
                <w:sz w:val="20"/>
                <w:szCs w:val="20"/>
                <w:lang w:val="en-US"/>
              </w:rPr>
              <w:tab/>
              <w:t>v. (37222)</w:t>
            </w:r>
          </w:p>
          <w:p w:rsidR="001D6B35" w:rsidRPr="00EA63C5" w:rsidRDefault="001D6B35" w:rsidP="00CB2288">
            <w:pPr>
              <w:rPr>
                <w:sz w:val="20"/>
                <w:szCs w:val="20"/>
                <w:lang w:val="en-US"/>
              </w:rPr>
            </w:pPr>
          </w:p>
          <w:p w:rsidR="001D6B35" w:rsidRPr="00EA63C5" w:rsidRDefault="001D6B35" w:rsidP="00CB2288">
            <w:pPr>
              <w:rPr>
                <w:b/>
                <w:sz w:val="20"/>
                <w:szCs w:val="20"/>
                <w:lang w:val="en-US"/>
              </w:rPr>
            </w:pPr>
            <w:r w:rsidRPr="00EA63C5">
              <w:rPr>
                <w:b/>
                <w:sz w:val="20"/>
                <w:szCs w:val="20"/>
                <w:lang w:val="en-US"/>
              </w:rPr>
              <w:t>The Law Society of Upper Canada et al. (Ont.)</w:t>
            </w:r>
          </w:p>
          <w:p w:rsidR="001D6B35" w:rsidRPr="00EA63C5" w:rsidRDefault="001D6B35" w:rsidP="00CB2288">
            <w:pPr>
              <w:rPr>
                <w:sz w:val="20"/>
                <w:szCs w:val="20"/>
                <w:lang w:val="en-US"/>
              </w:rPr>
            </w:pPr>
            <w:r w:rsidRPr="00EA63C5">
              <w:rPr>
                <w:b/>
                <w:sz w:val="20"/>
                <w:szCs w:val="20"/>
                <w:lang w:val="en-US"/>
              </w:rPr>
              <w:tab/>
            </w:r>
            <w:r w:rsidRPr="00EA63C5">
              <w:rPr>
                <w:sz w:val="20"/>
                <w:szCs w:val="20"/>
                <w:lang w:val="en-US"/>
              </w:rPr>
              <w:t>Glenn M. Stuart</w:t>
            </w:r>
          </w:p>
          <w:p w:rsidR="001D6B35" w:rsidRPr="00EA63C5" w:rsidRDefault="001D6B35" w:rsidP="00CB2288">
            <w:pPr>
              <w:rPr>
                <w:sz w:val="20"/>
                <w:szCs w:val="20"/>
                <w:lang w:val="en-US"/>
              </w:rPr>
            </w:pPr>
            <w:r w:rsidRPr="00EA63C5">
              <w:rPr>
                <w:sz w:val="20"/>
                <w:szCs w:val="20"/>
                <w:lang w:val="en-US"/>
              </w:rPr>
              <w:tab/>
              <w:t>Stuart Law</w:t>
            </w:r>
          </w:p>
          <w:p w:rsidR="001D6B35" w:rsidRPr="00EA63C5" w:rsidRDefault="001D6B35" w:rsidP="00CB2288">
            <w:pPr>
              <w:rPr>
                <w:sz w:val="20"/>
                <w:szCs w:val="20"/>
                <w:lang w:val="en-US"/>
              </w:rPr>
            </w:pPr>
          </w:p>
          <w:p w:rsidR="001D6B35" w:rsidRPr="00EA63C5" w:rsidRDefault="001D6B35" w:rsidP="00CB2288">
            <w:pPr>
              <w:rPr>
                <w:sz w:val="20"/>
                <w:szCs w:val="20"/>
                <w:lang w:val="en-US"/>
              </w:rPr>
            </w:pPr>
            <w:r w:rsidRPr="00EA63C5">
              <w:rPr>
                <w:sz w:val="20"/>
                <w:szCs w:val="20"/>
                <w:lang w:val="en-US"/>
              </w:rPr>
              <w:t>FILING DATE: 29.09.2016</w:t>
            </w:r>
          </w:p>
          <w:p w:rsidR="001D6B35" w:rsidRPr="00EA63C5" w:rsidRDefault="007F6DC5" w:rsidP="00CB2288">
            <w:pPr>
              <w:rPr>
                <w:sz w:val="20"/>
                <w:szCs w:val="20"/>
                <w:lang w:val="en-US"/>
              </w:rPr>
            </w:pPr>
            <w:r>
              <w:rPr>
                <w:sz w:val="20"/>
                <w:szCs w:val="20"/>
                <w:lang w:val="fr-CA"/>
              </w:rPr>
              <w:pict>
                <v:rect id="_x0000_i1026" style="width:108pt;height:1pt" o:hrpct="0" o:hralign="center" o:hrstd="t" o:hrnoshade="t" o:hr="t" fillcolor="black [3213]" stroked="f"/>
              </w:pict>
            </w:r>
          </w:p>
          <w:p w:rsidR="001D6B35" w:rsidRPr="00EA63C5" w:rsidRDefault="001D6B35" w:rsidP="00CB2288">
            <w:pPr>
              <w:rPr>
                <w:sz w:val="20"/>
                <w:szCs w:val="20"/>
                <w:lang w:val="en-US"/>
              </w:rPr>
            </w:pPr>
          </w:p>
        </w:tc>
      </w:tr>
      <w:tr w:rsidR="00C21644" w:rsidRPr="00EA63C5" w:rsidTr="003B3977">
        <w:tc>
          <w:tcPr>
            <w:tcW w:w="4320" w:type="dxa"/>
            <w:shd w:val="clear" w:color="auto" w:fill="auto"/>
          </w:tcPr>
          <w:p w:rsidR="00C21644" w:rsidRPr="00EA63C5" w:rsidRDefault="001D6B35" w:rsidP="003B3977">
            <w:pPr>
              <w:rPr>
                <w:b/>
                <w:sz w:val="20"/>
                <w:szCs w:val="20"/>
              </w:rPr>
            </w:pPr>
            <w:r w:rsidRPr="00EA63C5">
              <w:rPr>
                <w:b/>
                <w:sz w:val="20"/>
                <w:szCs w:val="20"/>
              </w:rPr>
              <w:t>Smith &amp; Nephew Inc.</w:t>
            </w:r>
          </w:p>
          <w:p w:rsidR="001D6B35" w:rsidRPr="00EA63C5" w:rsidRDefault="001D6B35" w:rsidP="003B3977">
            <w:pPr>
              <w:rPr>
                <w:sz w:val="20"/>
                <w:szCs w:val="20"/>
              </w:rPr>
            </w:pPr>
            <w:r w:rsidRPr="00EA63C5">
              <w:rPr>
                <w:b/>
                <w:sz w:val="20"/>
                <w:szCs w:val="20"/>
              </w:rPr>
              <w:tab/>
            </w:r>
            <w:r w:rsidRPr="00EA63C5">
              <w:rPr>
                <w:sz w:val="20"/>
                <w:szCs w:val="20"/>
              </w:rPr>
              <w:t>Mary M. Thomson</w:t>
            </w:r>
          </w:p>
          <w:p w:rsidR="001D6B35" w:rsidRPr="00EA63C5" w:rsidRDefault="001D6B35" w:rsidP="003B3977">
            <w:pPr>
              <w:rPr>
                <w:sz w:val="20"/>
                <w:szCs w:val="20"/>
              </w:rPr>
            </w:pPr>
            <w:r w:rsidRPr="00EA63C5">
              <w:rPr>
                <w:sz w:val="20"/>
                <w:szCs w:val="20"/>
              </w:rPr>
              <w:tab/>
            </w:r>
            <w:proofErr w:type="spellStart"/>
            <w:r w:rsidRPr="00EA63C5">
              <w:rPr>
                <w:sz w:val="20"/>
                <w:szCs w:val="20"/>
              </w:rPr>
              <w:t>Gowling</w:t>
            </w:r>
            <w:proofErr w:type="spellEnd"/>
            <w:r w:rsidRPr="00EA63C5">
              <w:rPr>
                <w:sz w:val="20"/>
                <w:szCs w:val="20"/>
              </w:rPr>
              <w:t xml:space="preserve"> WLG (Canada) </w:t>
            </w:r>
            <w:r w:rsidR="004B3AE0">
              <w:rPr>
                <w:sz w:val="20"/>
                <w:szCs w:val="20"/>
              </w:rPr>
              <w:t>LLP.</w:t>
            </w:r>
          </w:p>
          <w:p w:rsidR="001D6B35" w:rsidRPr="00EA63C5" w:rsidRDefault="001D6B35" w:rsidP="003B3977">
            <w:pPr>
              <w:rPr>
                <w:sz w:val="20"/>
                <w:szCs w:val="20"/>
              </w:rPr>
            </w:pPr>
          </w:p>
          <w:p w:rsidR="001D6B35" w:rsidRPr="00EA63C5" w:rsidRDefault="001D6B35" w:rsidP="003B3977">
            <w:pPr>
              <w:rPr>
                <w:sz w:val="20"/>
                <w:szCs w:val="20"/>
              </w:rPr>
            </w:pPr>
            <w:r w:rsidRPr="00EA63C5">
              <w:rPr>
                <w:sz w:val="20"/>
                <w:szCs w:val="20"/>
              </w:rPr>
              <w:tab/>
              <w:t>v. (37229)</w:t>
            </w:r>
          </w:p>
          <w:p w:rsidR="001D6B35" w:rsidRPr="00EA63C5" w:rsidRDefault="001D6B35" w:rsidP="003B3977">
            <w:pPr>
              <w:rPr>
                <w:sz w:val="20"/>
                <w:szCs w:val="20"/>
              </w:rPr>
            </w:pPr>
          </w:p>
          <w:p w:rsidR="001D6B35" w:rsidRPr="00EA63C5" w:rsidRDefault="001D6B35" w:rsidP="003B3977">
            <w:pPr>
              <w:rPr>
                <w:b/>
                <w:sz w:val="20"/>
                <w:szCs w:val="20"/>
              </w:rPr>
            </w:pPr>
            <w:proofErr w:type="spellStart"/>
            <w:r w:rsidRPr="00EA63C5">
              <w:rPr>
                <w:b/>
                <w:sz w:val="20"/>
                <w:szCs w:val="20"/>
              </w:rPr>
              <w:t>Milana</w:t>
            </w:r>
            <w:proofErr w:type="spellEnd"/>
            <w:r w:rsidRPr="00EA63C5">
              <w:rPr>
                <w:b/>
                <w:sz w:val="20"/>
                <w:szCs w:val="20"/>
              </w:rPr>
              <w:t xml:space="preserve"> Warner as Representative Plaintiff (Alta.)</w:t>
            </w:r>
          </w:p>
          <w:p w:rsidR="001D6B35" w:rsidRPr="00EA63C5" w:rsidRDefault="001D6B35" w:rsidP="003B3977">
            <w:pPr>
              <w:rPr>
                <w:sz w:val="20"/>
                <w:szCs w:val="20"/>
              </w:rPr>
            </w:pPr>
            <w:r w:rsidRPr="00EA63C5">
              <w:rPr>
                <w:sz w:val="20"/>
                <w:szCs w:val="20"/>
              </w:rPr>
              <w:tab/>
              <w:t xml:space="preserve">Clint G. </w:t>
            </w:r>
            <w:proofErr w:type="spellStart"/>
            <w:r w:rsidRPr="00EA63C5">
              <w:rPr>
                <w:sz w:val="20"/>
                <w:szCs w:val="20"/>
              </w:rPr>
              <w:t>Docken</w:t>
            </w:r>
            <w:proofErr w:type="spellEnd"/>
            <w:r w:rsidRPr="00EA63C5">
              <w:rPr>
                <w:sz w:val="20"/>
                <w:szCs w:val="20"/>
              </w:rPr>
              <w:t xml:space="preserve"> Q.C.</w:t>
            </w:r>
          </w:p>
          <w:p w:rsidR="001D6B35" w:rsidRPr="00EA63C5" w:rsidRDefault="001D6B35" w:rsidP="003B3977">
            <w:pPr>
              <w:rPr>
                <w:sz w:val="20"/>
                <w:szCs w:val="20"/>
              </w:rPr>
            </w:pPr>
            <w:r w:rsidRPr="00EA63C5">
              <w:rPr>
                <w:sz w:val="20"/>
                <w:szCs w:val="20"/>
              </w:rPr>
              <w:tab/>
              <w:t>D’Arcy &amp; Deacon</w:t>
            </w:r>
          </w:p>
          <w:p w:rsidR="001D6B35" w:rsidRPr="00EA63C5" w:rsidRDefault="001D6B35" w:rsidP="003B3977">
            <w:pPr>
              <w:rPr>
                <w:sz w:val="20"/>
                <w:szCs w:val="20"/>
              </w:rPr>
            </w:pPr>
          </w:p>
          <w:p w:rsidR="001D6B35" w:rsidRPr="00EA63C5" w:rsidRDefault="001D6B35" w:rsidP="003B3977">
            <w:pPr>
              <w:rPr>
                <w:sz w:val="20"/>
                <w:szCs w:val="20"/>
              </w:rPr>
            </w:pPr>
            <w:r w:rsidRPr="00EA63C5">
              <w:rPr>
                <w:sz w:val="20"/>
                <w:szCs w:val="20"/>
              </w:rPr>
              <w:t>FILING DATE: 29.09.2016</w:t>
            </w:r>
          </w:p>
          <w:p w:rsidR="001D6B35" w:rsidRPr="00EA63C5" w:rsidRDefault="007F6DC5" w:rsidP="003B3977">
            <w:pPr>
              <w:rPr>
                <w:sz w:val="20"/>
                <w:szCs w:val="20"/>
                <w:lang w:val="fr-CA"/>
              </w:rPr>
            </w:pPr>
            <w:r>
              <w:rPr>
                <w:sz w:val="20"/>
                <w:szCs w:val="20"/>
                <w:lang w:val="fr-CA"/>
              </w:rPr>
              <w:pict>
                <v:rect id="_x0000_i1027" style="width:108pt;height:1pt" o:hrpct="0" o:hralign="center" o:hrstd="t" o:hrnoshade="t" o:hr="t" fillcolor="black [3213]" stroked="f"/>
              </w:pict>
            </w:r>
          </w:p>
          <w:p w:rsidR="001D6B35" w:rsidRPr="00EA63C5" w:rsidRDefault="001D6B35" w:rsidP="003B3977">
            <w:pPr>
              <w:rPr>
                <w:sz w:val="20"/>
                <w:szCs w:val="20"/>
              </w:rPr>
            </w:pPr>
          </w:p>
        </w:tc>
        <w:tc>
          <w:tcPr>
            <w:tcW w:w="1181" w:type="dxa"/>
            <w:shd w:val="clear" w:color="auto" w:fill="auto"/>
          </w:tcPr>
          <w:p w:rsidR="00C21644" w:rsidRPr="00EA63C5" w:rsidRDefault="00C21644" w:rsidP="00242AEE">
            <w:pPr>
              <w:jc w:val="center"/>
              <w:rPr>
                <w:sz w:val="20"/>
                <w:szCs w:val="20"/>
              </w:rPr>
            </w:pPr>
          </w:p>
        </w:tc>
        <w:tc>
          <w:tcPr>
            <w:tcW w:w="4320" w:type="dxa"/>
            <w:shd w:val="clear" w:color="auto" w:fill="auto"/>
          </w:tcPr>
          <w:p w:rsidR="00C21644" w:rsidRPr="00EA63C5" w:rsidRDefault="001D6B35" w:rsidP="00E942C2">
            <w:pPr>
              <w:rPr>
                <w:b/>
                <w:sz w:val="20"/>
                <w:szCs w:val="20"/>
                <w:lang w:val="fr-CA"/>
              </w:rPr>
            </w:pPr>
            <w:r w:rsidRPr="00EA63C5">
              <w:rPr>
                <w:b/>
                <w:sz w:val="20"/>
                <w:szCs w:val="20"/>
                <w:lang w:val="fr-CA"/>
              </w:rPr>
              <w:t>Angèle Grenier</w:t>
            </w:r>
          </w:p>
          <w:p w:rsidR="001D6B35" w:rsidRPr="00EA63C5" w:rsidRDefault="001D6B35" w:rsidP="00E942C2">
            <w:pPr>
              <w:rPr>
                <w:sz w:val="20"/>
                <w:szCs w:val="20"/>
                <w:lang w:val="fr-CA"/>
              </w:rPr>
            </w:pPr>
            <w:r w:rsidRPr="00EA63C5">
              <w:rPr>
                <w:b/>
                <w:sz w:val="20"/>
                <w:szCs w:val="20"/>
                <w:lang w:val="fr-CA"/>
              </w:rPr>
              <w:tab/>
            </w:r>
            <w:r w:rsidRPr="00EA63C5">
              <w:rPr>
                <w:sz w:val="20"/>
                <w:szCs w:val="20"/>
                <w:lang w:val="fr-CA"/>
              </w:rPr>
              <w:t>Hans Mercier</w:t>
            </w:r>
          </w:p>
          <w:p w:rsidR="001D6B35" w:rsidRPr="00EA63C5" w:rsidRDefault="001D6B35" w:rsidP="00E942C2">
            <w:pPr>
              <w:rPr>
                <w:sz w:val="20"/>
                <w:szCs w:val="20"/>
                <w:lang w:val="fr-CA"/>
              </w:rPr>
            </w:pPr>
            <w:r w:rsidRPr="00EA63C5">
              <w:rPr>
                <w:sz w:val="20"/>
                <w:szCs w:val="20"/>
                <w:lang w:val="fr-CA"/>
              </w:rPr>
              <w:tab/>
              <w:t xml:space="preserve">Mercier, Morin avocats </w:t>
            </w:r>
            <w:proofErr w:type="spellStart"/>
            <w:r w:rsidRPr="00EA63C5">
              <w:rPr>
                <w:sz w:val="20"/>
                <w:szCs w:val="20"/>
                <w:lang w:val="fr-CA"/>
              </w:rPr>
              <w:t>inc.</w:t>
            </w:r>
            <w:proofErr w:type="spellEnd"/>
          </w:p>
          <w:p w:rsidR="001D6B35" w:rsidRPr="00EA63C5" w:rsidRDefault="001D6B35" w:rsidP="00E942C2">
            <w:pPr>
              <w:rPr>
                <w:sz w:val="20"/>
                <w:szCs w:val="20"/>
                <w:lang w:val="fr-CA"/>
              </w:rPr>
            </w:pPr>
          </w:p>
          <w:p w:rsidR="001D6B35" w:rsidRPr="00EA63C5" w:rsidRDefault="001D6B35" w:rsidP="00E942C2">
            <w:pPr>
              <w:rPr>
                <w:sz w:val="20"/>
                <w:szCs w:val="20"/>
                <w:lang w:val="fr-CA"/>
              </w:rPr>
            </w:pPr>
            <w:r w:rsidRPr="00EA63C5">
              <w:rPr>
                <w:sz w:val="20"/>
                <w:szCs w:val="20"/>
                <w:lang w:val="fr-CA"/>
              </w:rPr>
              <w:tab/>
              <w:t>c. (37211)</w:t>
            </w:r>
          </w:p>
          <w:p w:rsidR="001D6B35" w:rsidRPr="00EA63C5" w:rsidRDefault="001D6B35" w:rsidP="00E942C2">
            <w:pPr>
              <w:rPr>
                <w:sz w:val="20"/>
                <w:szCs w:val="20"/>
                <w:lang w:val="fr-CA"/>
              </w:rPr>
            </w:pPr>
          </w:p>
          <w:p w:rsidR="001D6B35" w:rsidRPr="00EA63C5" w:rsidRDefault="001D6B35" w:rsidP="00E942C2">
            <w:pPr>
              <w:rPr>
                <w:b/>
                <w:sz w:val="20"/>
                <w:szCs w:val="20"/>
                <w:lang w:val="fr-CA"/>
              </w:rPr>
            </w:pPr>
            <w:r w:rsidRPr="00EA63C5">
              <w:rPr>
                <w:b/>
                <w:sz w:val="20"/>
                <w:szCs w:val="20"/>
                <w:lang w:val="fr-CA"/>
              </w:rPr>
              <w:t>Fédération des producteurs acéricoles du Québec et autres (</w:t>
            </w:r>
            <w:proofErr w:type="spellStart"/>
            <w:r w:rsidRPr="00EA63C5">
              <w:rPr>
                <w:b/>
                <w:sz w:val="20"/>
                <w:szCs w:val="20"/>
                <w:lang w:val="fr-CA"/>
              </w:rPr>
              <w:t>Qc</w:t>
            </w:r>
            <w:proofErr w:type="spellEnd"/>
            <w:r w:rsidRPr="00EA63C5">
              <w:rPr>
                <w:b/>
                <w:sz w:val="20"/>
                <w:szCs w:val="20"/>
                <w:lang w:val="fr-CA"/>
              </w:rPr>
              <w:t>)</w:t>
            </w:r>
          </w:p>
          <w:p w:rsidR="001D6B35" w:rsidRPr="00EA63C5" w:rsidRDefault="001D6B35" w:rsidP="00E942C2">
            <w:pPr>
              <w:rPr>
                <w:sz w:val="20"/>
                <w:szCs w:val="20"/>
                <w:lang w:val="fr-CA"/>
              </w:rPr>
            </w:pPr>
            <w:r w:rsidRPr="00EA63C5">
              <w:rPr>
                <w:sz w:val="20"/>
                <w:szCs w:val="20"/>
                <w:lang w:val="fr-CA"/>
              </w:rPr>
              <w:tab/>
              <w:t>Mathieu Turcotte</w:t>
            </w:r>
          </w:p>
          <w:p w:rsidR="001D6B35" w:rsidRPr="00EA63C5" w:rsidRDefault="001D6B35" w:rsidP="00E942C2">
            <w:pPr>
              <w:rPr>
                <w:sz w:val="20"/>
                <w:szCs w:val="20"/>
                <w:lang w:val="fr-CA"/>
              </w:rPr>
            </w:pPr>
            <w:r w:rsidRPr="00EA63C5">
              <w:rPr>
                <w:sz w:val="20"/>
                <w:szCs w:val="20"/>
                <w:lang w:val="fr-CA"/>
              </w:rPr>
              <w:tab/>
              <w:t>Dufresne Hébert Comeau</w:t>
            </w:r>
          </w:p>
          <w:p w:rsidR="001D6B35" w:rsidRPr="00EA63C5" w:rsidRDefault="001D6B35" w:rsidP="00E942C2">
            <w:pPr>
              <w:rPr>
                <w:sz w:val="20"/>
                <w:szCs w:val="20"/>
                <w:lang w:val="fr-CA"/>
              </w:rPr>
            </w:pPr>
          </w:p>
          <w:p w:rsidR="001D6B35" w:rsidRPr="00EA63C5" w:rsidRDefault="001D6B35" w:rsidP="00E942C2">
            <w:pPr>
              <w:rPr>
                <w:sz w:val="20"/>
                <w:szCs w:val="20"/>
                <w:lang w:val="fr-CA"/>
              </w:rPr>
            </w:pPr>
            <w:r w:rsidRPr="00EA63C5">
              <w:rPr>
                <w:sz w:val="20"/>
                <w:szCs w:val="20"/>
                <w:lang w:val="fr-CA"/>
              </w:rPr>
              <w:t>DATE DE PRODUCTION : 29.09.2016</w:t>
            </w:r>
          </w:p>
          <w:p w:rsidR="001D6B35" w:rsidRPr="00EA63C5" w:rsidRDefault="007F6DC5" w:rsidP="00E942C2">
            <w:pPr>
              <w:rPr>
                <w:sz w:val="20"/>
                <w:szCs w:val="20"/>
                <w:lang w:val="fr-CA"/>
              </w:rPr>
            </w:pPr>
            <w:r>
              <w:rPr>
                <w:sz w:val="20"/>
                <w:szCs w:val="20"/>
                <w:lang w:val="fr-CA"/>
              </w:rPr>
              <w:pict>
                <v:rect id="_x0000_i1028" style="width:108pt;height:1pt" o:hrpct="0" o:hralign="center" o:hrstd="t" o:hrnoshade="t" o:hr="t" fillcolor="black [3213]" stroked="f"/>
              </w:pict>
            </w:r>
          </w:p>
          <w:p w:rsidR="001D6B35" w:rsidRPr="00EA63C5" w:rsidRDefault="001D6B35" w:rsidP="00E942C2">
            <w:pPr>
              <w:rPr>
                <w:sz w:val="20"/>
                <w:szCs w:val="20"/>
                <w:lang w:val="fr-CA"/>
              </w:rPr>
            </w:pPr>
          </w:p>
        </w:tc>
      </w:tr>
      <w:tr w:rsidR="00C21644" w:rsidRPr="00EA63C5" w:rsidTr="003B3977">
        <w:tc>
          <w:tcPr>
            <w:tcW w:w="4320" w:type="dxa"/>
            <w:shd w:val="clear" w:color="auto" w:fill="auto"/>
          </w:tcPr>
          <w:p w:rsidR="00C21644" w:rsidRPr="00EA63C5" w:rsidRDefault="001D6B35" w:rsidP="005F1ED8">
            <w:pPr>
              <w:rPr>
                <w:b/>
                <w:sz w:val="20"/>
                <w:szCs w:val="20"/>
                <w:lang w:val="fr-CA"/>
              </w:rPr>
            </w:pPr>
            <w:r w:rsidRPr="00EA63C5">
              <w:rPr>
                <w:b/>
                <w:sz w:val="20"/>
                <w:szCs w:val="20"/>
                <w:lang w:val="fr-CA"/>
              </w:rPr>
              <w:t xml:space="preserve">Érablière la Grande Coulée 1998 </w:t>
            </w:r>
            <w:proofErr w:type="spellStart"/>
            <w:r w:rsidRPr="00EA63C5">
              <w:rPr>
                <w:b/>
                <w:sz w:val="20"/>
                <w:szCs w:val="20"/>
                <w:lang w:val="fr-CA"/>
              </w:rPr>
              <w:t>inc.</w:t>
            </w:r>
            <w:proofErr w:type="spellEnd"/>
            <w:r w:rsidR="004B3AE0">
              <w:rPr>
                <w:b/>
                <w:sz w:val="20"/>
                <w:szCs w:val="20"/>
                <w:lang w:val="fr-CA"/>
              </w:rPr>
              <w:t xml:space="preserve"> et autres</w:t>
            </w:r>
          </w:p>
          <w:p w:rsidR="001D6B35" w:rsidRPr="00EA63C5" w:rsidRDefault="001D6B35" w:rsidP="005F1ED8">
            <w:pPr>
              <w:rPr>
                <w:sz w:val="20"/>
                <w:szCs w:val="20"/>
                <w:lang w:val="fr-CA"/>
              </w:rPr>
            </w:pPr>
            <w:r w:rsidRPr="00EA63C5">
              <w:rPr>
                <w:b/>
                <w:sz w:val="20"/>
                <w:szCs w:val="20"/>
                <w:lang w:val="fr-CA"/>
              </w:rPr>
              <w:tab/>
            </w:r>
            <w:r w:rsidRPr="00EA63C5">
              <w:rPr>
                <w:sz w:val="20"/>
                <w:szCs w:val="20"/>
                <w:lang w:val="fr-CA"/>
              </w:rPr>
              <w:t>Michel Pouliot</w:t>
            </w:r>
          </w:p>
          <w:p w:rsidR="001D6B35" w:rsidRPr="00EA63C5" w:rsidRDefault="001D6B35" w:rsidP="005F1ED8">
            <w:pPr>
              <w:rPr>
                <w:b/>
                <w:sz w:val="20"/>
                <w:szCs w:val="20"/>
                <w:lang w:val="fr-CA"/>
              </w:rPr>
            </w:pPr>
          </w:p>
          <w:p w:rsidR="001D6B35" w:rsidRPr="00EA63C5" w:rsidRDefault="001D6B35" w:rsidP="005F1ED8">
            <w:pPr>
              <w:rPr>
                <w:sz w:val="20"/>
                <w:szCs w:val="20"/>
                <w:lang w:val="fr-CA"/>
              </w:rPr>
            </w:pPr>
            <w:r w:rsidRPr="00EA63C5">
              <w:rPr>
                <w:b/>
                <w:sz w:val="20"/>
                <w:szCs w:val="20"/>
                <w:lang w:val="fr-CA"/>
              </w:rPr>
              <w:tab/>
            </w:r>
            <w:r w:rsidRPr="00EA63C5">
              <w:rPr>
                <w:sz w:val="20"/>
                <w:szCs w:val="20"/>
                <w:lang w:val="fr-CA"/>
              </w:rPr>
              <w:t>c. (37213)</w:t>
            </w:r>
          </w:p>
          <w:p w:rsidR="001D6B35" w:rsidRPr="00EA63C5" w:rsidRDefault="001D6B35" w:rsidP="005F1ED8">
            <w:pPr>
              <w:rPr>
                <w:sz w:val="20"/>
                <w:szCs w:val="20"/>
                <w:lang w:val="fr-CA"/>
              </w:rPr>
            </w:pPr>
          </w:p>
          <w:p w:rsidR="001D6B35" w:rsidRPr="00EA63C5" w:rsidRDefault="001D6B35" w:rsidP="005F1ED8">
            <w:pPr>
              <w:rPr>
                <w:b/>
                <w:sz w:val="20"/>
                <w:szCs w:val="20"/>
                <w:lang w:val="fr-CA"/>
              </w:rPr>
            </w:pPr>
            <w:r w:rsidRPr="00EA63C5">
              <w:rPr>
                <w:b/>
                <w:sz w:val="20"/>
                <w:szCs w:val="20"/>
                <w:lang w:val="fr-CA"/>
              </w:rPr>
              <w:t>Fédération des producteurs acéricoles du Québec et autres (</w:t>
            </w:r>
            <w:proofErr w:type="spellStart"/>
            <w:r w:rsidRPr="00EA63C5">
              <w:rPr>
                <w:b/>
                <w:sz w:val="20"/>
                <w:szCs w:val="20"/>
                <w:lang w:val="fr-CA"/>
              </w:rPr>
              <w:t>Qc</w:t>
            </w:r>
            <w:proofErr w:type="spellEnd"/>
            <w:r w:rsidRPr="00EA63C5">
              <w:rPr>
                <w:b/>
                <w:sz w:val="20"/>
                <w:szCs w:val="20"/>
                <w:lang w:val="fr-CA"/>
              </w:rPr>
              <w:t>)</w:t>
            </w:r>
          </w:p>
          <w:p w:rsidR="001D6B35" w:rsidRPr="00EA63C5" w:rsidRDefault="001D6B35" w:rsidP="005F1ED8">
            <w:pPr>
              <w:rPr>
                <w:sz w:val="20"/>
                <w:szCs w:val="20"/>
                <w:lang w:val="fr-CA"/>
              </w:rPr>
            </w:pPr>
            <w:r w:rsidRPr="00EA63C5">
              <w:rPr>
                <w:sz w:val="20"/>
                <w:szCs w:val="20"/>
                <w:lang w:val="fr-CA"/>
              </w:rPr>
              <w:tab/>
              <w:t>Mathieu Turcotte</w:t>
            </w:r>
          </w:p>
          <w:p w:rsidR="001D6B35" w:rsidRPr="00EA63C5" w:rsidRDefault="001D6B35" w:rsidP="005F1ED8">
            <w:pPr>
              <w:rPr>
                <w:sz w:val="20"/>
                <w:szCs w:val="20"/>
                <w:lang w:val="fr-CA"/>
              </w:rPr>
            </w:pPr>
            <w:r w:rsidRPr="00EA63C5">
              <w:rPr>
                <w:sz w:val="20"/>
                <w:szCs w:val="20"/>
                <w:lang w:val="fr-CA"/>
              </w:rPr>
              <w:tab/>
              <w:t>Dufresne, Hébert, Comeau</w:t>
            </w:r>
          </w:p>
          <w:p w:rsidR="001D6B35" w:rsidRPr="00EA63C5" w:rsidRDefault="001D6B35" w:rsidP="005F1ED8">
            <w:pPr>
              <w:rPr>
                <w:sz w:val="20"/>
                <w:szCs w:val="20"/>
                <w:lang w:val="fr-CA"/>
              </w:rPr>
            </w:pPr>
          </w:p>
          <w:p w:rsidR="001D6B35" w:rsidRPr="00EA63C5" w:rsidRDefault="001D6B35" w:rsidP="005F1ED8">
            <w:pPr>
              <w:rPr>
                <w:sz w:val="20"/>
                <w:szCs w:val="20"/>
                <w:lang w:val="fr-CA"/>
              </w:rPr>
            </w:pPr>
            <w:r w:rsidRPr="00EA63C5">
              <w:rPr>
                <w:sz w:val="20"/>
                <w:szCs w:val="20"/>
                <w:lang w:val="fr-CA"/>
              </w:rPr>
              <w:t>DATE DE PRODUCTION : 29.09.2016</w:t>
            </w:r>
          </w:p>
          <w:p w:rsidR="001D6B35" w:rsidRPr="00EA63C5" w:rsidRDefault="007F6DC5" w:rsidP="005F1ED8">
            <w:pPr>
              <w:rPr>
                <w:sz w:val="20"/>
                <w:szCs w:val="20"/>
                <w:lang w:val="fr-CA"/>
              </w:rPr>
            </w:pPr>
            <w:r>
              <w:rPr>
                <w:sz w:val="20"/>
                <w:szCs w:val="20"/>
                <w:lang w:val="fr-CA"/>
              </w:rPr>
              <w:pict>
                <v:rect id="_x0000_i1029" style="width:108pt;height:1pt" o:hrpct="0" o:hralign="center" o:hrstd="t" o:hrnoshade="t" o:hr="t" fillcolor="black [3213]" stroked="f"/>
              </w:pict>
            </w:r>
          </w:p>
          <w:p w:rsidR="001D6B35" w:rsidRPr="00EA63C5" w:rsidRDefault="001D6B35" w:rsidP="005F1ED8">
            <w:pPr>
              <w:rPr>
                <w:sz w:val="20"/>
                <w:szCs w:val="20"/>
                <w:lang w:val="fr-CA"/>
              </w:rPr>
            </w:pPr>
          </w:p>
          <w:p w:rsidR="001D6B35" w:rsidRPr="00EA63C5" w:rsidRDefault="001D6B35" w:rsidP="005F1ED8">
            <w:pPr>
              <w:rPr>
                <w:sz w:val="20"/>
                <w:szCs w:val="20"/>
                <w:lang w:val="fr-CA"/>
              </w:rPr>
            </w:pPr>
          </w:p>
        </w:tc>
        <w:tc>
          <w:tcPr>
            <w:tcW w:w="1181" w:type="dxa"/>
            <w:shd w:val="clear" w:color="auto" w:fill="auto"/>
          </w:tcPr>
          <w:p w:rsidR="00C21644" w:rsidRPr="00EA63C5" w:rsidRDefault="00C21644" w:rsidP="00242AEE">
            <w:pPr>
              <w:jc w:val="center"/>
              <w:rPr>
                <w:sz w:val="20"/>
                <w:szCs w:val="20"/>
                <w:lang w:val="fr-CA"/>
              </w:rPr>
            </w:pPr>
          </w:p>
        </w:tc>
        <w:tc>
          <w:tcPr>
            <w:tcW w:w="4320" w:type="dxa"/>
            <w:shd w:val="clear" w:color="auto" w:fill="auto"/>
          </w:tcPr>
          <w:p w:rsidR="00C21644" w:rsidRPr="00EA63C5" w:rsidRDefault="001D6B35" w:rsidP="005F1ED8">
            <w:pPr>
              <w:rPr>
                <w:b/>
                <w:sz w:val="20"/>
                <w:szCs w:val="20"/>
                <w:lang w:val="en-US"/>
              </w:rPr>
            </w:pPr>
            <w:proofErr w:type="spellStart"/>
            <w:r w:rsidRPr="00EA63C5">
              <w:rPr>
                <w:b/>
                <w:sz w:val="20"/>
                <w:szCs w:val="20"/>
                <w:lang w:val="en-US"/>
              </w:rPr>
              <w:t>Jasvir</w:t>
            </w:r>
            <w:proofErr w:type="spellEnd"/>
            <w:r w:rsidRPr="00EA63C5">
              <w:rPr>
                <w:b/>
                <w:sz w:val="20"/>
                <w:szCs w:val="20"/>
                <w:lang w:val="en-US"/>
              </w:rPr>
              <w:t xml:space="preserve"> Singh </w:t>
            </w:r>
            <w:proofErr w:type="spellStart"/>
            <w:r w:rsidRPr="00EA63C5">
              <w:rPr>
                <w:b/>
                <w:sz w:val="20"/>
                <w:szCs w:val="20"/>
                <w:lang w:val="en-US"/>
              </w:rPr>
              <w:t>Virdi</w:t>
            </w:r>
            <w:proofErr w:type="spellEnd"/>
          </w:p>
          <w:p w:rsidR="001D6B35" w:rsidRPr="00EA63C5" w:rsidRDefault="001D6B35" w:rsidP="005F1ED8">
            <w:pPr>
              <w:rPr>
                <w:sz w:val="20"/>
                <w:szCs w:val="20"/>
                <w:lang w:val="en-US"/>
              </w:rPr>
            </w:pPr>
            <w:r w:rsidRPr="00EA63C5">
              <w:rPr>
                <w:b/>
                <w:sz w:val="20"/>
                <w:szCs w:val="20"/>
                <w:lang w:val="en-US"/>
              </w:rPr>
              <w:tab/>
            </w:r>
            <w:r w:rsidRPr="00EA63C5">
              <w:rPr>
                <w:sz w:val="20"/>
                <w:szCs w:val="20"/>
                <w:lang w:val="en-US"/>
              </w:rPr>
              <w:t xml:space="preserve">Daniel </w:t>
            </w:r>
            <w:proofErr w:type="spellStart"/>
            <w:r w:rsidRPr="00EA63C5">
              <w:rPr>
                <w:sz w:val="20"/>
                <w:szCs w:val="20"/>
                <w:lang w:val="en-US"/>
              </w:rPr>
              <w:t>Markovitz</w:t>
            </w:r>
            <w:proofErr w:type="spellEnd"/>
          </w:p>
          <w:p w:rsidR="001D6B35" w:rsidRPr="00EA63C5" w:rsidRDefault="001D6B35" w:rsidP="005F1ED8">
            <w:pPr>
              <w:rPr>
                <w:sz w:val="20"/>
                <w:szCs w:val="20"/>
                <w:lang w:val="en-US"/>
              </w:rPr>
            </w:pPr>
            <w:r w:rsidRPr="00EA63C5">
              <w:rPr>
                <w:sz w:val="20"/>
                <w:szCs w:val="20"/>
                <w:lang w:val="en-US"/>
              </w:rPr>
              <w:tab/>
            </w:r>
            <w:proofErr w:type="spellStart"/>
            <w:r w:rsidRPr="00EA63C5">
              <w:rPr>
                <w:sz w:val="20"/>
                <w:szCs w:val="20"/>
                <w:lang w:val="en-US"/>
              </w:rPr>
              <w:t>Markovitz</w:t>
            </w:r>
            <w:proofErr w:type="spellEnd"/>
            <w:r w:rsidRPr="00EA63C5">
              <w:rPr>
                <w:sz w:val="20"/>
                <w:szCs w:val="20"/>
                <w:lang w:val="en-US"/>
              </w:rPr>
              <w:t xml:space="preserve"> Law Office</w:t>
            </w:r>
          </w:p>
          <w:p w:rsidR="001D6B35" w:rsidRPr="00EA63C5" w:rsidRDefault="001D6B35" w:rsidP="005F1ED8">
            <w:pPr>
              <w:rPr>
                <w:sz w:val="20"/>
                <w:szCs w:val="20"/>
                <w:lang w:val="en-US"/>
              </w:rPr>
            </w:pPr>
          </w:p>
          <w:p w:rsidR="001D6B35" w:rsidRPr="00EA63C5" w:rsidRDefault="001D6B35" w:rsidP="005F1ED8">
            <w:pPr>
              <w:rPr>
                <w:sz w:val="20"/>
                <w:szCs w:val="20"/>
                <w:lang w:val="en-US"/>
              </w:rPr>
            </w:pPr>
            <w:r w:rsidRPr="00EA63C5">
              <w:rPr>
                <w:sz w:val="20"/>
                <w:szCs w:val="20"/>
                <w:lang w:val="en-US"/>
              </w:rPr>
              <w:tab/>
              <w:t>v. (37237)</w:t>
            </w:r>
          </w:p>
          <w:p w:rsidR="001D6B35" w:rsidRPr="00EA63C5" w:rsidRDefault="001D6B35" w:rsidP="005F1ED8">
            <w:pPr>
              <w:rPr>
                <w:sz w:val="20"/>
                <w:szCs w:val="20"/>
                <w:lang w:val="en-US"/>
              </w:rPr>
            </w:pPr>
          </w:p>
          <w:p w:rsidR="001D6B35" w:rsidRPr="00EA63C5" w:rsidRDefault="001D6B35" w:rsidP="005F1ED8">
            <w:pPr>
              <w:rPr>
                <w:b/>
                <w:sz w:val="20"/>
                <w:szCs w:val="20"/>
                <w:lang w:val="en-US"/>
              </w:rPr>
            </w:pPr>
            <w:r w:rsidRPr="00EA63C5">
              <w:rPr>
                <w:b/>
                <w:sz w:val="20"/>
                <w:szCs w:val="20"/>
                <w:lang w:val="en-US"/>
              </w:rPr>
              <w:t>Attorney General of Canada on behalf of the United States of America et al. (B.C.)</w:t>
            </w:r>
          </w:p>
          <w:p w:rsidR="001D6B35" w:rsidRPr="00EA63C5" w:rsidRDefault="001D6B35" w:rsidP="005F1ED8">
            <w:pPr>
              <w:rPr>
                <w:sz w:val="20"/>
                <w:szCs w:val="20"/>
                <w:lang w:val="en-US"/>
              </w:rPr>
            </w:pPr>
            <w:r w:rsidRPr="00EA63C5">
              <w:rPr>
                <w:sz w:val="20"/>
                <w:szCs w:val="20"/>
                <w:lang w:val="en-US"/>
              </w:rPr>
              <w:tab/>
              <w:t>John Gibb-</w:t>
            </w:r>
            <w:proofErr w:type="spellStart"/>
            <w:r w:rsidRPr="00EA63C5">
              <w:rPr>
                <w:sz w:val="20"/>
                <w:szCs w:val="20"/>
                <w:lang w:val="en-US"/>
              </w:rPr>
              <w:t>Carsley</w:t>
            </w:r>
            <w:proofErr w:type="spellEnd"/>
          </w:p>
          <w:p w:rsidR="001D6B35" w:rsidRPr="00EA63C5" w:rsidRDefault="001D6B35" w:rsidP="005F1ED8">
            <w:pPr>
              <w:rPr>
                <w:sz w:val="20"/>
                <w:szCs w:val="20"/>
                <w:lang w:val="en-US"/>
              </w:rPr>
            </w:pPr>
            <w:r w:rsidRPr="00EA63C5">
              <w:rPr>
                <w:sz w:val="20"/>
                <w:szCs w:val="20"/>
                <w:lang w:val="en-US"/>
              </w:rPr>
              <w:tab/>
              <w:t>A.G. of Canada</w:t>
            </w:r>
          </w:p>
          <w:p w:rsidR="001D6B35" w:rsidRPr="00EA63C5" w:rsidRDefault="001D6B35" w:rsidP="005F1ED8">
            <w:pPr>
              <w:rPr>
                <w:sz w:val="20"/>
                <w:szCs w:val="20"/>
                <w:lang w:val="en-US"/>
              </w:rPr>
            </w:pPr>
          </w:p>
          <w:p w:rsidR="001D6B35" w:rsidRPr="00EA63C5" w:rsidRDefault="001D6B35" w:rsidP="005F1ED8">
            <w:pPr>
              <w:rPr>
                <w:sz w:val="20"/>
                <w:szCs w:val="20"/>
                <w:lang w:val="en-US"/>
              </w:rPr>
            </w:pPr>
            <w:r w:rsidRPr="00EA63C5">
              <w:rPr>
                <w:sz w:val="20"/>
                <w:szCs w:val="20"/>
                <w:lang w:val="en-US"/>
              </w:rPr>
              <w:t>FILING DATE: 03.10.2016</w:t>
            </w:r>
          </w:p>
          <w:p w:rsidR="001D6B35" w:rsidRPr="00EA63C5" w:rsidRDefault="007F6DC5" w:rsidP="005F1ED8">
            <w:pPr>
              <w:rPr>
                <w:sz w:val="20"/>
                <w:szCs w:val="20"/>
                <w:lang w:val="fr-CA"/>
              </w:rPr>
            </w:pPr>
            <w:r>
              <w:rPr>
                <w:sz w:val="20"/>
                <w:szCs w:val="20"/>
                <w:lang w:val="fr-CA"/>
              </w:rPr>
              <w:pict>
                <v:rect id="_x0000_i1030" style="width:108pt;height:1pt" o:hrpct="0" o:hralign="center" o:hrstd="t" o:hrnoshade="t" o:hr="t" fillcolor="black [3213]" stroked="f"/>
              </w:pict>
            </w:r>
          </w:p>
          <w:p w:rsidR="001D6B35" w:rsidRPr="00EA63C5" w:rsidRDefault="001D6B35" w:rsidP="005F1ED8">
            <w:pPr>
              <w:rPr>
                <w:sz w:val="20"/>
                <w:szCs w:val="20"/>
                <w:lang w:val="en-US"/>
              </w:rPr>
            </w:pPr>
          </w:p>
        </w:tc>
      </w:tr>
      <w:tr w:rsidR="00C21644" w:rsidRPr="00EA63C5" w:rsidTr="003B3977">
        <w:trPr>
          <w:cantSplit/>
        </w:trPr>
        <w:tc>
          <w:tcPr>
            <w:tcW w:w="4320" w:type="dxa"/>
            <w:shd w:val="clear" w:color="auto" w:fill="auto"/>
          </w:tcPr>
          <w:p w:rsidR="00C21644" w:rsidRPr="00EA63C5" w:rsidRDefault="00C83A0F" w:rsidP="005F1ED8">
            <w:pPr>
              <w:rPr>
                <w:b/>
                <w:sz w:val="20"/>
                <w:szCs w:val="20"/>
                <w:lang w:val="en-US"/>
              </w:rPr>
            </w:pPr>
            <w:proofErr w:type="spellStart"/>
            <w:r w:rsidRPr="00EA63C5">
              <w:rPr>
                <w:b/>
                <w:sz w:val="20"/>
                <w:szCs w:val="20"/>
                <w:lang w:val="en-US"/>
              </w:rPr>
              <w:lastRenderedPageBreak/>
              <w:t>Bahador</w:t>
            </w:r>
            <w:proofErr w:type="spellEnd"/>
            <w:r w:rsidRPr="00EA63C5">
              <w:rPr>
                <w:b/>
                <w:sz w:val="20"/>
                <w:szCs w:val="20"/>
                <w:lang w:val="en-US"/>
              </w:rPr>
              <w:t xml:space="preserve"> </w:t>
            </w:r>
            <w:proofErr w:type="spellStart"/>
            <w:r w:rsidRPr="00EA63C5">
              <w:rPr>
                <w:b/>
                <w:sz w:val="20"/>
                <w:szCs w:val="20"/>
                <w:lang w:val="en-US"/>
              </w:rPr>
              <w:t>Rafie</w:t>
            </w:r>
            <w:proofErr w:type="spellEnd"/>
            <w:r w:rsidRPr="00EA63C5">
              <w:rPr>
                <w:b/>
                <w:sz w:val="20"/>
                <w:szCs w:val="20"/>
                <w:lang w:val="en-US"/>
              </w:rPr>
              <w:t xml:space="preserve"> </w:t>
            </w:r>
            <w:proofErr w:type="spellStart"/>
            <w:r w:rsidRPr="00EA63C5">
              <w:rPr>
                <w:b/>
                <w:sz w:val="20"/>
                <w:szCs w:val="20"/>
                <w:lang w:val="en-US"/>
              </w:rPr>
              <w:t>Baharloo</w:t>
            </w:r>
            <w:proofErr w:type="spellEnd"/>
          </w:p>
          <w:p w:rsidR="00C83A0F" w:rsidRPr="00EA63C5" w:rsidRDefault="00C83A0F" w:rsidP="005F1ED8">
            <w:pPr>
              <w:rPr>
                <w:sz w:val="20"/>
                <w:szCs w:val="20"/>
                <w:lang w:val="en-US"/>
              </w:rPr>
            </w:pPr>
            <w:r w:rsidRPr="00EA63C5">
              <w:rPr>
                <w:b/>
                <w:sz w:val="20"/>
                <w:szCs w:val="20"/>
                <w:lang w:val="en-US"/>
              </w:rPr>
              <w:tab/>
            </w:r>
            <w:r w:rsidRPr="00EA63C5">
              <w:rPr>
                <w:sz w:val="20"/>
                <w:szCs w:val="20"/>
                <w:lang w:val="en-US"/>
              </w:rPr>
              <w:t>Thomas Beasley</w:t>
            </w:r>
          </w:p>
          <w:p w:rsidR="00C83A0F" w:rsidRPr="00EA63C5" w:rsidRDefault="00C83A0F" w:rsidP="005F1ED8">
            <w:pPr>
              <w:rPr>
                <w:sz w:val="20"/>
                <w:szCs w:val="20"/>
                <w:lang w:val="en-US"/>
              </w:rPr>
            </w:pPr>
            <w:r w:rsidRPr="00EA63C5">
              <w:rPr>
                <w:sz w:val="20"/>
                <w:szCs w:val="20"/>
                <w:lang w:val="en-US"/>
              </w:rPr>
              <w:tab/>
              <w:t>Bernard LLP</w:t>
            </w:r>
          </w:p>
          <w:p w:rsidR="00C83A0F" w:rsidRPr="00EA63C5" w:rsidRDefault="00C83A0F" w:rsidP="005F1ED8">
            <w:pPr>
              <w:rPr>
                <w:sz w:val="20"/>
                <w:szCs w:val="20"/>
                <w:lang w:val="en-US"/>
              </w:rPr>
            </w:pPr>
          </w:p>
          <w:p w:rsidR="00C83A0F" w:rsidRPr="00EA63C5" w:rsidRDefault="00C83A0F" w:rsidP="005F1ED8">
            <w:pPr>
              <w:rPr>
                <w:sz w:val="20"/>
                <w:szCs w:val="20"/>
                <w:lang w:val="en-US"/>
              </w:rPr>
            </w:pPr>
            <w:r w:rsidRPr="00EA63C5">
              <w:rPr>
                <w:sz w:val="20"/>
                <w:szCs w:val="20"/>
                <w:lang w:val="en-US"/>
              </w:rPr>
              <w:tab/>
              <w:t>v. (37200)</w:t>
            </w:r>
          </w:p>
          <w:p w:rsidR="00C83A0F" w:rsidRPr="00EA63C5" w:rsidRDefault="00C83A0F" w:rsidP="005F1ED8">
            <w:pPr>
              <w:rPr>
                <w:sz w:val="20"/>
                <w:szCs w:val="20"/>
                <w:lang w:val="en-US"/>
              </w:rPr>
            </w:pPr>
          </w:p>
          <w:p w:rsidR="00C83A0F" w:rsidRPr="00EA63C5" w:rsidRDefault="00C83A0F" w:rsidP="005F1ED8">
            <w:pPr>
              <w:rPr>
                <w:b/>
                <w:sz w:val="20"/>
                <w:szCs w:val="20"/>
                <w:lang w:val="en-US"/>
              </w:rPr>
            </w:pPr>
            <w:r w:rsidRPr="00EA63C5">
              <w:rPr>
                <w:b/>
                <w:sz w:val="20"/>
                <w:szCs w:val="20"/>
                <w:lang w:val="en-US"/>
              </w:rPr>
              <w:t>University of British Columbia et al. (B.C.)</w:t>
            </w:r>
          </w:p>
          <w:p w:rsidR="00C83A0F" w:rsidRPr="00EA63C5" w:rsidRDefault="00C83A0F" w:rsidP="005F1ED8">
            <w:pPr>
              <w:rPr>
                <w:sz w:val="20"/>
                <w:szCs w:val="20"/>
                <w:lang w:val="en-US"/>
              </w:rPr>
            </w:pPr>
            <w:r w:rsidRPr="00EA63C5">
              <w:rPr>
                <w:sz w:val="20"/>
                <w:szCs w:val="20"/>
                <w:lang w:val="en-US"/>
              </w:rPr>
              <w:tab/>
              <w:t xml:space="preserve">Jennifer R. </w:t>
            </w:r>
            <w:proofErr w:type="spellStart"/>
            <w:r w:rsidRPr="00EA63C5">
              <w:rPr>
                <w:sz w:val="20"/>
                <w:szCs w:val="20"/>
                <w:lang w:val="en-US"/>
              </w:rPr>
              <w:t>Devins</w:t>
            </w:r>
            <w:proofErr w:type="spellEnd"/>
          </w:p>
          <w:p w:rsidR="00C83A0F" w:rsidRPr="00EA63C5" w:rsidRDefault="00C83A0F" w:rsidP="005F1ED8">
            <w:pPr>
              <w:rPr>
                <w:sz w:val="20"/>
                <w:szCs w:val="20"/>
                <w:lang w:val="en-US"/>
              </w:rPr>
            </w:pPr>
            <w:r w:rsidRPr="00EA63C5">
              <w:rPr>
                <w:sz w:val="20"/>
                <w:szCs w:val="20"/>
                <w:lang w:val="en-US"/>
              </w:rPr>
              <w:tab/>
              <w:t xml:space="preserve">Roper </w:t>
            </w:r>
            <w:proofErr w:type="spellStart"/>
            <w:r w:rsidRPr="00EA63C5">
              <w:rPr>
                <w:sz w:val="20"/>
                <w:szCs w:val="20"/>
                <w:lang w:val="en-US"/>
              </w:rPr>
              <w:t>Greyell</w:t>
            </w:r>
            <w:proofErr w:type="spellEnd"/>
            <w:r w:rsidRPr="00EA63C5">
              <w:rPr>
                <w:sz w:val="20"/>
                <w:szCs w:val="20"/>
                <w:lang w:val="en-US"/>
              </w:rPr>
              <w:t xml:space="preserve"> LLP</w:t>
            </w:r>
          </w:p>
          <w:p w:rsidR="00C83A0F" w:rsidRPr="00EA63C5" w:rsidRDefault="00C83A0F" w:rsidP="005F1ED8">
            <w:pPr>
              <w:rPr>
                <w:sz w:val="20"/>
                <w:szCs w:val="20"/>
                <w:lang w:val="en-US"/>
              </w:rPr>
            </w:pPr>
          </w:p>
          <w:p w:rsidR="00C83A0F" w:rsidRPr="00EA63C5" w:rsidRDefault="00C83A0F" w:rsidP="005F1ED8">
            <w:pPr>
              <w:rPr>
                <w:sz w:val="20"/>
                <w:szCs w:val="20"/>
                <w:lang w:val="en-US"/>
              </w:rPr>
            </w:pPr>
            <w:r w:rsidRPr="00EA63C5">
              <w:rPr>
                <w:sz w:val="20"/>
                <w:szCs w:val="20"/>
                <w:lang w:val="en-US"/>
              </w:rPr>
              <w:t>FILING DATE: 22.09.2016</w:t>
            </w:r>
          </w:p>
          <w:p w:rsidR="00C83A0F" w:rsidRPr="00EA63C5" w:rsidRDefault="007F6DC5" w:rsidP="005F1ED8">
            <w:pPr>
              <w:rPr>
                <w:sz w:val="20"/>
                <w:szCs w:val="20"/>
                <w:lang w:val="fr-CA"/>
              </w:rPr>
            </w:pPr>
            <w:r>
              <w:rPr>
                <w:sz w:val="20"/>
                <w:szCs w:val="20"/>
                <w:lang w:val="fr-CA"/>
              </w:rPr>
              <w:pict>
                <v:rect id="_x0000_i1031" style="width:108pt;height:1pt" o:hrpct="0" o:hralign="center" o:hrstd="t" o:hrnoshade="t" o:hr="t" fillcolor="black [3213]" stroked="f"/>
              </w:pict>
            </w:r>
          </w:p>
          <w:p w:rsidR="00C83A0F" w:rsidRPr="00EA63C5" w:rsidRDefault="00C83A0F" w:rsidP="005F1ED8">
            <w:pPr>
              <w:rPr>
                <w:sz w:val="20"/>
                <w:szCs w:val="20"/>
                <w:lang w:val="en-US"/>
              </w:rPr>
            </w:pPr>
          </w:p>
        </w:tc>
        <w:tc>
          <w:tcPr>
            <w:tcW w:w="1181" w:type="dxa"/>
            <w:shd w:val="clear" w:color="auto" w:fill="auto"/>
          </w:tcPr>
          <w:p w:rsidR="00C21644" w:rsidRPr="00EA63C5" w:rsidRDefault="00C21644" w:rsidP="00242AEE">
            <w:pPr>
              <w:jc w:val="center"/>
              <w:rPr>
                <w:sz w:val="20"/>
                <w:szCs w:val="20"/>
                <w:lang w:val="en-US"/>
              </w:rPr>
            </w:pPr>
          </w:p>
        </w:tc>
        <w:tc>
          <w:tcPr>
            <w:tcW w:w="4320" w:type="dxa"/>
            <w:shd w:val="clear" w:color="auto" w:fill="auto"/>
          </w:tcPr>
          <w:p w:rsidR="00C21644" w:rsidRPr="00EA63C5" w:rsidRDefault="00012727" w:rsidP="005F1ED8">
            <w:pPr>
              <w:rPr>
                <w:b/>
                <w:sz w:val="20"/>
                <w:szCs w:val="20"/>
                <w:lang w:val="fr-CA"/>
              </w:rPr>
            </w:pPr>
            <w:r w:rsidRPr="00EA63C5">
              <w:rPr>
                <w:b/>
                <w:sz w:val="20"/>
                <w:szCs w:val="20"/>
                <w:lang w:val="fr-CA"/>
              </w:rPr>
              <w:t>Sa Majesté la Reine</w:t>
            </w:r>
          </w:p>
          <w:p w:rsidR="00012727" w:rsidRPr="00EA63C5" w:rsidRDefault="00012727" w:rsidP="005F1ED8">
            <w:pPr>
              <w:rPr>
                <w:sz w:val="20"/>
                <w:szCs w:val="20"/>
                <w:lang w:val="fr-CA"/>
              </w:rPr>
            </w:pPr>
            <w:r w:rsidRPr="00EA63C5">
              <w:rPr>
                <w:b/>
                <w:sz w:val="20"/>
                <w:szCs w:val="20"/>
                <w:lang w:val="fr-CA"/>
              </w:rPr>
              <w:tab/>
            </w:r>
            <w:r w:rsidRPr="00EA63C5">
              <w:rPr>
                <w:sz w:val="20"/>
                <w:szCs w:val="20"/>
                <w:lang w:val="fr-CA"/>
              </w:rPr>
              <w:t>Justin Tremblay</w:t>
            </w:r>
          </w:p>
          <w:p w:rsidR="00012727" w:rsidRPr="00EA63C5" w:rsidRDefault="00012727" w:rsidP="005F1ED8">
            <w:pPr>
              <w:rPr>
                <w:sz w:val="20"/>
                <w:szCs w:val="20"/>
                <w:lang w:val="fr-CA"/>
              </w:rPr>
            </w:pPr>
            <w:r w:rsidRPr="00EA63C5">
              <w:rPr>
                <w:sz w:val="20"/>
                <w:szCs w:val="20"/>
                <w:lang w:val="fr-CA"/>
              </w:rPr>
              <w:tab/>
              <w:t xml:space="preserve">Procureurs aux poursuites criminelles et </w:t>
            </w:r>
            <w:r w:rsidRPr="00EA63C5">
              <w:rPr>
                <w:sz w:val="20"/>
                <w:szCs w:val="20"/>
                <w:lang w:val="fr-CA"/>
              </w:rPr>
              <w:tab/>
              <w:t>pénales</w:t>
            </w:r>
          </w:p>
          <w:p w:rsidR="00012727" w:rsidRPr="00EA63C5" w:rsidRDefault="00012727" w:rsidP="005F1ED8">
            <w:pPr>
              <w:rPr>
                <w:sz w:val="20"/>
                <w:szCs w:val="20"/>
                <w:lang w:val="fr-CA"/>
              </w:rPr>
            </w:pPr>
          </w:p>
          <w:p w:rsidR="00012727" w:rsidRPr="00EA63C5" w:rsidRDefault="00012727" w:rsidP="005F1ED8">
            <w:pPr>
              <w:rPr>
                <w:sz w:val="20"/>
                <w:szCs w:val="20"/>
                <w:lang w:val="fr-CA"/>
              </w:rPr>
            </w:pPr>
            <w:r w:rsidRPr="00EA63C5">
              <w:rPr>
                <w:sz w:val="20"/>
                <w:szCs w:val="20"/>
                <w:lang w:val="fr-CA"/>
              </w:rPr>
              <w:tab/>
              <w:t>c. (37207)</w:t>
            </w:r>
          </w:p>
          <w:p w:rsidR="00012727" w:rsidRPr="00EA63C5" w:rsidRDefault="00012727" w:rsidP="005F1ED8">
            <w:pPr>
              <w:rPr>
                <w:sz w:val="20"/>
                <w:szCs w:val="20"/>
                <w:lang w:val="fr-CA"/>
              </w:rPr>
            </w:pPr>
          </w:p>
          <w:p w:rsidR="00012727" w:rsidRPr="00EA63C5" w:rsidRDefault="00012727" w:rsidP="005F1ED8">
            <w:pPr>
              <w:rPr>
                <w:b/>
                <w:sz w:val="20"/>
                <w:szCs w:val="20"/>
                <w:lang w:val="fr-CA"/>
              </w:rPr>
            </w:pPr>
            <w:r w:rsidRPr="00EA63C5">
              <w:rPr>
                <w:b/>
                <w:sz w:val="20"/>
                <w:szCs w:val="20"/>
                <w:lang w:val="fr-CA"/>
              </w:rPr>
              <w:t xml:space="preserve">Justine </w:t>
            </w:r>
            <w:proofErr w:type="spellStart"/>
            <w:r w:rsidRPr="00EA63C5">
              <w:rPr>
                <w:b/>
                <w:sz w:val="20"/>
                <w:szCs w:val="20"/>
                <w:lang w:val="fr-CA"/>
              </w:rPr>
              <w:t>Awashish</w:t>
            </w:r>
            <w:proofErr w:type="spellEnd"/>
            <w:r w:rsidRPr="00EA63C5">
              <w:rPr>
                <w:b/>
                <w:sz w:val="20"/>
                <w:szCs w:val="20"/>
                <w:lang w:val="fr-CA"/>
              </w:rPr>
              <w:t xml:space="preserve"> (</w:t>
            </w:r>
            <w:proofErr w:type="spellStart"/>
            <w:r w:rsidRPr="00EA63C5">
              <w:rPr>
                <w:b/>
                <w:sz w:val="20"/>
                <w:szCs w:val="20"/>
                <w:lang w:val="fr-CA"/>
              </w:rPr>
              <w:t>Qc</w:t>
            </w:r>
            <w:proofErr w:type="spellEnd"/>
            <w:r w:rsidRPr="00EA63C5">
              <w:rPr>
                <w:b/>
                <w:sz w:val="20"/>
                <w:szCs w:val="20"/>
                <w:lang w:val="fr-CA"/>
              </w:rPr>
              <w:t>)</w:t>
            </w:r>
          </w:p>
          <w:p w:rsidR="00012727" w:rsidRPr="00EA63C5" w:rsidRDefault="00012727" w:rsidP="005F1ED8">
            <w:pPr>
              <w:rPr>
                <w:sz w:val="20"/>
                <w:szCs w:val="20"/>
                <w:lang w:val="fr-CA"/>
              </w:rPr>
            </w:pPr>
            <w:r w:rsidRPr="00EA63C5">
              <w:rPr>
                <w:sz w:val="20"/>
                <w:szCs w:val="20"/>
                <w:lang w:val="fr-CA"/>
              </w:rPr>
              <w:tab/>
              <w:t xml:space="preserve">Jean-Marc </w:t>
            </w:r>
            <w:proofErr w:type="spellStart"/>
            <w:r w:rsidRPr="00EA63C5">
              <w:rPr>
                <w:sz w:val="20"/>
                <w:szCs w:val="20"/>
                <w:lang w:val="fr-CA"/>
              </w:rPr>
              <w:t>Fradette</w:t>
            </w:r>
            <w:proofErr w:type="spellEnd"/>
          </w:p>
          <w:p w:rsidR="00012727" w:rsidRPr="00EA63C5" w:rsidRDefault="00012727" w:rsidP="005F1ED8">
            <w:pPr>
              <w:rPr>
                <w:sz w:val="20"/>
                <w:szCs w:val="20"/>
                <w:lang w:val="fr-CA"/>
              </w:rPr>
            </w:pPr>
            <w:r w:rsidRPr="00EA63C5">
              <w:rPr>
                <w:sz w:val="20"/>
                <w:szCs w:val="20"/>
                <w:lang w:val="fr-CA"/>
              </w:rPr>
              <w:tab/>
            </w:r>
            <w:proofErr w:type="spellStart"/>
            <w:r w:rsidRPr="00EA63C5">
              <w:rPr>
                <w:sz w:val="20"/>
                <w:szCs w:val="20"/>
                <w:lang w:val="fr-CA"/>
              </w:rPr>
              <w:t>Fradette</w:t>
            </w:r>
            <w:proofErr w:type="spellEnd"/>
            <w:r w:rsidRPr="00EA63C5">
              <w:rPr>
                <w:sz w:val="20"/>
                <w:szCs w:val="20"/>
                <w:lang w:val="fr-CA"/>
              </w:rPr>
              <w:t xml:space="preserve"> &amp; Le Bel</w:t>
            </w:r>
          </w:p>
          <w:p w:rsidR="00012727" w:rsidRPr="00EA63C5" w:rsidRDefault="00012727" w:rsidP="005F1ED8">
            <w:pPr>
              <w:rPr>
                <w:sz w:val="20"/>
                <w:szCs w:val="20"/>
                <w:lang w:val="fr-CA"/>
              </w:rPr>
            </w:pPr>
          </w:p>
          <w:p w:rsidR="00012727" w:rsidRPr="00EA63C5" w:rsidRDefault="00012727" w:rsidP="005F1ED8">
            <w:pPr>
              <w:rPr>
                <w:sz w:val="20"/>
                <w:szCs w:val="20"/>
                <w:lang w:val="fr-CA"/>
              </w:rPr>
            </w:pPr>
            <w:r w:rsidRPr="00EA63C5">
              <w:rPr>
                <w:sz w:val="20"/>
                <w:szCs w:val="20"/>
                <w:lang w:val="fr-CA"/>
              </w:rPr>
              <w:t>DATE DE PRODUCTION : 28.09.2016</w:t>
            </w:r>
          </w:p>
          <w:p w:rsidR="00012727" w:rsidRPr="00EA63C5" w:rsidRDefault="007F6DC5" w:rsidP="005F1ED8">
            <w:pPr>
              <w:rPr>
                <w:sz w:val="20"/>
                <w:szCs w:val="20"/>
                <w:lang w:val="fr-CA"/>
              </w:rPr>
            </w:pPr>
            <w:r>
              <w:rPr>
                <w:sz w:val="20"/>
                <w:szCs w:val="20"/>
                <w:lang w:val="fr-CA"/>
              </w:rPr>
              <w:pict>
                <v:rect id="_x0000_i1032" style="width:108pt;height:1pt" o:hrpct="0" o:hralign="center" o:hrstd="t" o:hrnoshade="t" o:hr="t" fillcolor="black [3213]" stroked="f"/>
              </w:pict>
            </w:r>
          </w:p>
          <w:p w:rsidR="00012727" w:rsidRPr="00EA63C5" w:rsidRDefault="00012727" w:rsidP="005F1ED8">
            <w:pPr>
              <w:rPr>
                <w:sz w:val="20"/>
                <w:szCs w:val="20"/>
                <w:lang w:val="fr-CA"/>
              </w:rPr>
            </w:pPr>
          </w:p>
        </w:tc>
      </w:tr>
      <w:tr w:rsidR="001D6B35" w:rsidRPr="00EA63C5" w:rsidTr="003B3977">
        <w:trPr>
          <w:cantSplit/>
        </w:trPr>
        <w:tc>
          <w:tcPr>
            <w:tcW w:w="4320" w:type="dxa"/>
            <w:shd w:val="clear" w:color="auto" w:fill="auto"/>
          </w:tcPr>
          <w:p w:rsidR="001D6B35" w:rsidRPr="00EA63C5" w:rsidRDefault="00F466F1" w:rsidP="005F1ED8">
            <w:pPr>
              <w:rPr>
                <w:b/>
                <w:sz w:val="20"/>
                <w:szCs w:val="20"/>
                <w:lang w:val="en-US"/>
              </w:rPr>
            </w:pPr>
            <w:r w:rsidRPr="00EA63C5">
              <w:rPr>
                <w:b/>
                <w:sz w:val="20"/>
                <w:szCs w:val="20"/>
                <w:lang w:val="en-US"/>
              </w:rPr>
              <w:t>Ocean Choice International LP, by its General Partner 55104 Newfoundland and Labrador Inc.</w:t>
            </w:r>
          </w:p>
          <w:p w:rsidR="00F466F1" w:rsidRPr="00EA63C5" w:rsidRDefault="00F466F1" w:rsidP="005F1ED8">
            <w:pPr>
              <w:rPr>
                <w:sz w:val="20"/>
                <w:szCs w:val="20"/>
                <w:lang w:val="en-US"/>
              </w:rPr>
            </w:pPr>
            <w:r w:rsidRPr="00EA63C5">
              <w:rPr>
                <w:b/>
                <w:sz w:val="20"/>
                <w:szCs w:val="20"/>
                <w:lang w:val="en-US"/>
              </w:rPr>
              <w:tab/>
            </w:r>
            <w:r w:rsidRPr="00EA63C5">
              <w:rPr>
                <w:sz w:val="20"/>
                <w:szCs w:val="20"/>
                <w:lang w:val="en-US"/>
              </w:rPr>
              <w:t xml:space="preserve">Barry H. </w:t>
            </w:r>
            <w:proofErr w:type="spellStart"/>
            <w:r w:rsidRPr="00EA63C5">
              <w:rPr>
                <w:sz w:val="20"/>
                <w:szCs w:val="20"/>
                <w:lang w:val="en-US"/>
              </w:rPr>
              <w:t>Bresner</w:t>
            </w:r>
            <w:proofErr w:type="spellEnd"/>
          </w:p>
          <w:p w:rsidR="00F466F1" w:rsidRPr="00EA63C5" w:rsidRDefault="00F466F1" w:rsidP="005F1ED8">
            <w:pPr>
              <w:rPr>
                <w:sz w:val="20"/>
                <w:szCs w:val="20"/>
                <w:lang w:val="en-US"/>
              </w:rPr>
            </w:pPr>
            <w:r w:rsidRPr="00EA63C5">
              <w:rPr>
                <w:sz w:val="20"/>
                <w:szCs w:val="20"/>
                <w:lang w:val="en-US"/>
              </w:rPr>
              <w:tab/>
              <w:t>Borden Ladner Gervais LLP</w:t>
            </w:r>
          </w:p>
          <w:p w:rsidR="00F466F1" w:rsidRPr="00EA63C5" w:rsidRDefault="00F466F1" w:rsidP="005F1ED8">
            <w:pPr>
              <w:rPr>
                <w:sz w:val="20"/>
                <w:szCs w:val="20"/>
                <w:lang w:val="en-US"/>
              </w:rPr>
            </w:pPr>
          </w:p>
          <w:p w:rsidR="00F466F1" w:rsidRPr="00EA63C5" w:rsidRDefault="00F466F1" w:rsidP="005F1ED8">
            <w:pPr>
              <w:rPr>
                <w:sz w:val="20"/>
                <w:szCs w:val="20"/>
                <w:lang w:val="fr-CA"/>
              </w:rPr>
            </w:pPr>
            <w:r w:rsidRPr="00EA63C5">
              <w:rPr>
                <w:sz w:val="20"/>
                <w:szCs w:val="20"/>
                <w:lang w:val="en-US"/>
              </w:rPr>
              <w:tab/>
            </w:r>
            <w:r w:rsidRPr="00EA63C5">
              <w:rPr>
                <w:sz w:val="20"/>
                <w:szCs w:val="20"/>
                <w:lang w:val="fr-CA"/>
              </w:rPr>
              <w:t>v. (37219)</w:t>
            </w:r>
          </w:p>
          <w:p w:rsidR="00F466F1" w:rsidRPr="00EA63C5" w:rsidRDefault="00F466F1" w:rsidP="005F1ED8">
            <w:pPr>
              <w:rPr>
                <w:sz w:val="20"/>
                <w:szCs w:val="20"/>
                <w:lang w:val="fr-CA"/>
              </w:rPr>
            </w:pPr>
          </w:p>
          <w:p w:rsidR="00F466F1" w:rsidRPr="00EA63C5" w:rsidRDefault="00F466F1" w:rsidP="005F1ED8">
            <w:pPr>
              <w:rPr>
                <w:b/>
                <w:sz w:val="20"/>
                <w:szCs w:val="20"/>
                <w:lang w:val="en-US"/>
              </w:rPr>
            </w:pPr>
            <w:proofErr w:type="spellStart"/>
            <w:r w:rsidRPr="00EA63C5">
              <w:rPr>
                <w:b/>
                <w:sz w:val="20"/>
                <w:szCs w:val="20"/>
                <w:lang w:val="fr-CA"/>
              </w:rPr>
              <w:t>Landvis</w:t>
            </w:r>
            <w:proofErr w:type="spellEnd"/>
            <w:r w:rsidRPr="00EA63C5">
              <w:rPr>
                <w:b/>
                <w:sz w:val="20"/>
                <w:szCs w:val="20"/>
                <w:lang w:val="fr-CA"/>
              </w:rPr>
              <w:t xml:space="preserve"> Canada Inc. et al. </w:t>
            </w:r>
            <w:r w:rsidRPr="00EA63C5">
              <w:rPr>
                <w:b/>
                <w:sz w:val="20"/>
                <w:szCs w:val="20"/>
                <w:lang w:val="en-US"/>
              </w:rPr>
              <w:t>(N.L.)</w:t>
            </w:r>
          </w:p>
          <w:p w:rsidR="00F466F1" w:rsidRPr="00EA63C5" w:rsidRDefault="00F466F1" w:rsidP="005F1ED8">
            <w:pPr>
              <w:rPr>
                <w:sz w:val="20"/>
                <w:szCs w:val="20"/>
                <w:lang w:val="en-US"/>
              </w:rPr>
            </w:pPr>
            <w:r w:rsidRPr="00EA63C5">
              <w:rPr>
                <w:sz w:val="20"/>
                <w:szCs w:val="20"/>
                <w:lang w:val="en-US"/>
              </w:rPr>
              <w:tab/>
              <w:t xml:space="preserve">Barry </w:t>
            </w:r>
            <w:proofErr w:type="spellStart"/>
            <w:r w:rsidRPr="00EA63C5">
              <w:rPr>
                <w:sz w:val="20"/>
                <w:szCs w:val="20"/>
                <w:lang w:val="en-US"/>
              </w:rPr>
              <w:t>Landy</w:t>
            </w:r>
            <w:proofErr w:type="spellEnd"/>
          </w:p>
          <w:p w:rsidR="00F466F1" w:rsidRPr="00EA63C5" w:rsidRDefault="00F466F1" w:rsidP="005F1ED8">
            <w:pPr>
              <w:rPr>
                <w:sz w:val="20"/>
                <w:szCs w:val="20"/>
                <w:lang w:val="en-US"/>
              </w:rPr>
            </w:pPr>
            <w:r w:rsidRPr="00EA63C5">
              <w:rPr>
                <w:sz w:val="20"/>
                <w:szCs w:val="20"/>
                <w:lang w:val="en-US"/>
              </w:rPr>
              <w:tab/>
              <w:t xml:space="preserve">Spiegel </w:t>
            </w:r>
            <w:proofErr w:type="spellStart"/>
            <w:r w:rsidRPr="00EA63C5">
              <w:rPr>
                <w:sz w:val="20"/>
                <w:szCs w:val="20"/>
                <w:lang w:val="en-US"/>
              </w:rPr>
              <w:t>Sohmer</w:t>
            </w:r>
            <w:proofErr w:type="spellEnd"/>
          </w:p>
          <w:p w:rsidR="00F466F1" w:rsidRPr="00EA63C5" w:rsidRDefault="00F466F1" w:rsidP="005F1ED8">
            <w:pPr>
              <w:rPr>
                <w:sz w:val="20"/>
                <w:szCs w:val="20"/>
                <w:lang w:val="en-US"/>
              </w:rPr>
            </w:pPr>
          </w:p>
          <w:p w:rsidR="00F466F1" w:rsidRPr="00EA63C5" w:rsidRDefault="00F466F1" w:rsidP="005F1ED8">
            <w:pPr>
              <w:rPr>
                <w:sz w:val="20"/>
                <w:szCs w:val="20"/>
                <w:lang w:val="en-US"/>
              </w:rPr>
            </w:pPr>
            <w:r w:rsidRPr="00EA63C5">
              <w:rPr>
                <w:sz w:val="20"/>
                <w:szCs w:val="20"/>
                <w:lang w:val="en-US"/>
              </w:rPr>
              <w:t>FILING DATE: 28.09.2016</w:t>
            </w:r>
          </w:p>
          <w:p w:rsidR="00F466F1" w:rsidRPr="00EA63C5" w:rsidRDefault="007F6DC5" w:rsidP="005F1ED8">
            <w:pPr>
              <w:rPr>
                <w:sz w:val="20"/>
                <w:szCs w:val="20"/>
                <w:lang w:val="fr-CA"/>
              </w:rPr>
            </w:pPr>
            <w:r>
              <w:rPr>
                <w:sz w:val="20"/>
                <w:szCs w:val="20"/>
                <w:lang w:val="fr-CA"/>
              </w:rPr>
              <w:pict>
                <v:rect id="_x0000_i1033" style="width:108pt;height:1pt" o:hrpct="0" o:hralign="center" o:hrstd="t" o:hrnoshade="t" o:hr="t" fillcolor="black [3213]" stroked="f"/>
              </w:pict>
            </w:r>
          </w:p>
          <w:p w:rsidR="00F466F1" w:rsidRPr="00EA63C5" w:rsidRDefault="00F466F1" w:rsidP="005F1ED8">
            <w:pPr>
              <w:rPr>
                <w:sz w:val="20"/>
                <w:szCs w:val="20"/>
                <w:lang w:val="en-US"/>
              </w:rPr>
            </w:pPr>
          </w:p>
        </w:tc>
        <w:tc>
          <w:tcPr>
            <w:tcW w:w="1181" w:type="dxa"/>
            <w:shd w:val="clear" w:color="auto" w:fill="auto"/>
          </w:tcPr>
          <w:p w:rsidR="001D6B35" w:rsidRPr="00EA63C5" w:rsidRDefault="001D6B35" w:rsidP="00242AEE">
            <w:pPr>
              <w:jc w:val="center"/>
              <w:rPr>
                <w:sz w:val="20"/>
                <w:szCs w:val="20"/>
                <w:lang w:val="en-US"/>
              </w:rPr>
            </w:pPr>
          </w:p>
        </w:tc>
        <w:tc>
          <w:tcPr>
            <w:tcW w:w="4320" w:type="dxa"/>
            <w:shd w:val="clear" w:color="auto" w:fill="auto"/>
          </w:tcPr>
          <w:p w:rsidR="001D6B35" w:rsidRPr="00EA63C5" w:rsidRDefault="00824616" w:rsidP="005F1ED8">
            <w:pPr>
              <w:rPr>
                <w:b/>
                <w:sz w:val="20"/>
                <w:szCs w:val="20"/>
                <w:lang w:val="en-US"/>
              </w:rPr>
            </w:pPr>
            <w:r w:rsidRPr="00EA63C5">
              <w:rPr>
                <w:b/>
                <w:sz w:val="20"/>
                <w:szCs w:val="20"/>
                <w:lang w:val="en-US"/>
              </w:rPr>
              <w:t>Agnes Jane Whitfield</w:t>
            </w:r>
          </w:p>
          <w:p w:rsidR="00824616" w:rsidRPr="00EA63C5" w:rsidRDefault="00824616" w:rsidP="005F1ED8">
            <w:pPr>
              <w:rPr>
                <w:sz w:val="20"/>
                <w:szCs w:val="20"/>
                <w:lang w:val="en-US"/>
              </w:rPr>
            </w:pPr>
            <w:r w:rsidRPr="00EA63C5">
              <w:rPr>
                <w:b/>
                <w:sz w:val="20"/>
                <w:szCs w:val="20"/>
                <w:lang w:val="en-US"/>
              </w:rPr>
              <w:tab/>
            </w:r>
            <w:r w:rsidRPr="00EA63C5">
              <w:rPr>
                <w:sz w:val="20"/>
                <w:szCs w:val="20"/>
                <w:lang w:val="en-US"/>
              </w:rPr>
              <w:t xml:space="preserve">Ronald F. </w:t>
            </w:r>
            <w:proofErr w:type="spellStart"/>
            <w:r w:rsidRPr="00EA63C5">
              <w:rPr>
                <w:sz w:val="20"/>
                <w:szCs w:val="20"/>
                <w:lang w:val="en-US"/>
              </w:rPr>
              <w:t>Caza</w:t>
            </w:r>
            <w:proofErr w:type="spellEnd"/>
          </w:p>
          <w:p w:rsidR="00824616" w:rsidRPr="00EA63C5" w:rsidRDefault="00824616" w:rsidP="005F1ED8">
            <w:pPr>
              <w:rPr>
                <w:sz w:val="20"/>
                <w:szCs w:val="20"/>
                <w:lang w:val="en-US"/>
              </w:rPr>
            </w:pPr>
            <w:r w:rsidRPr="00EA63C5">
              <w:rPr>
                <w:sz w:val="20"/>
                <w:szCs w:val="20"/>
                <w:lang w:val="en-US"/>
              </w:rPr>
              <w:tab/>
            </w:r>
            <w:proofErr w:type="spellStart"/>
            <w:r w:rsidRPr="00EA63C5">
              <w:rPr>
                <w:sz w:val="20"/>
                <w:szCs w:val="20"/>
                <w:lang w:val="en-US"/>
              </w:rPr>
              <w:t>Caza</w:t>
            </w:r>
            <w:proofErr w:type="spellEnd"/>
            <w:r w:rsidRPr="00EA63C5">
              <w:rPr>
                <w:sz w:val="20"/>
                <w:szCs w:val="20"/>
                <w:lang w:val="en-US"/>
              </w:rPr>
              <w:t xml:space="preserve"> </w:t>
            </w:r>
            <w:proofErr w:type="spellStart"/>
            <w:r w:rsidRPr="00EA63C5">
              <w:rPr>
                <w:sz w:val="20"/>
                <w:szCs w:val="20"/>
                <w:lang w:val="en-US"/>
              </w:rPr>
              <w:t>Saikaley</w:t>
            </w:r>
            <w:proofErr w:type="spellEnd"/>
            <w:r w:rsidRPr="00EA63C5">
              <w:rPr>
                <w:sz w:val="20"/>
                <w:szCs w:val="20"/>
                <w:lang w:val="en-US"/>
              </w:rPr>
              <w:t xml:space="preserve"> S.R.L.</w:t>
            </w:r>
          </w:p>
          <w:p w:rsidR="00824616" w:rsidRPr="00EA63C5" w:rsidRDefault="00824616" w:rsidP="005F1ED8">
            <w:pPr>
              <w:rPr>
                <w:sz w:val="20"/>
                <w:szCs w:val="20"/>
                <w:lang w:val="en-US"/>
              </w:rPr>
            </w:pPr>
          </w:p>
          <w:p w:rsidR="00824616" w:rsidRPr="00EA63C5" w:rsidRDefault="00824616" w:rsidP="005F1ED8">
            <w:pPr>
              <w:rPr>
                <w:sz w:val="20"/>
                <w:szCs w:val="20"/>
                <w:lang w:val="en-US"/>
              </w:rPr>
            </w:pPr>
            <w:r w:rsidRPr="00EA63C5">
              <w:rPr>
                <w:sz w:val="20"/>
                <w:szCs w:val="20"/>
                <w:lang w:val="en-US"/>
              </w:rPr>
              <w:tab/>
              <w:t>v. (37218)</w:t>
            </w:r>
          </w:p>
          <w:p w:rsidR="00824616" w:rsidRPr="00EA63C5" w:rsidRDefault="00824616" w:rsidP="005F1ED8">
            <w:pPr>
              <w:rPr>
                <w:sz w:val="20"/>
                <w:szCs w:val="20"/>
                <w:lang w:val="en-US"/>
              </w:rPr>
            </w:pPr>
          </w:p>
          <w:p w:rsidR="00824616" w:rsidRPr="00EA63C5" w:rsidRDefault="00824616" w:rsidP="005F1ED8">
            <w:pPr>
              <w:rPr>
                <w:b/>
                <w:sz w:val="20"/>
                <w:szCs w:val="20"/>
                <w:lang w:val="en-US"/>
              </w:rPr>
            </w:pPr>
            <w:r w:rsidRPr="00EA63C5">
              <w:rPr>
                <w:b/>
                <w:sz w:val="20"/>
                <w:szCs w:val="20"/>
                <w:lang w:val="en-US"/>
              </w:rPr>
              <w:t>Bryan Whitfield (Ont.)</w:t>
            </w:r>
          </w:p>
          <w:p w:rsidR="00824616" w:rsidRPr="00EA63C5" w:rsidRDefault="00824616" w:rsidP="005F1ED8">
            <w:pPr>
              <w:rPr>
                <w:sz w:val="20"/>
                <w:szCs w:val="20"/>
                <w:lang w:val="en-US"/>
              </w:rPr>
            </w:pPr>
            <w:r w:rsidRPr="00EA63C5">
              <w:rPr>
                <w:sz w:val="20"/>
                <w:szCs w:val="20"/>
                <w:lang w:val="en-US"/>
              </w:rPr>
              <w:tab/>
              <w:t xml:space="preserve">Matthew </w:t>
            </w:r>
            <w:proofErr w:type="spellStart"/>
            <w:r w:rsidRPr="00EA63C5">
              <w:rPr>
                <w:sz w:val="20"/>
                <w:szCs w:val="20"/>
                <w:lang w:val="en-US"/>
              </w:rPr>
              <w:t>Gourlay</w:t>
            </w:r>
            <w:proofErr w:type="spellEnd"/>
          </w:p>
          <w:p w:rsidR="00824616" w:rsidRPr="00EA63C5" w:rsidRDefault="00824616" w:rsidP="005F1ED8">
            <w:pPr>
              <w:rPr>
                <w:sz w:val="20"/>
                <w:szCs w:val="20"/>
                <w:lang w:val="en-US"/>
              </w:rPr>
            </w:pPr>
            <w:r w:rsidRPr="00EA63C5">
              <w:rPr>
                <w:sz w:val="20"/>
                <w:szCs w:val="20"/>
                <w:lang w:val="en-US"/>
              </w:rPr>
              <w:tab/>
              <w:t>Henein Hutchison LLP</w:t>
            </w:r>
          </w:p>
          <w:p w:rsidR="00824616" w:rsidRPr="00EA63C5" w:rsidRDefault="00824616" w:rsidP="005F1ED8">
            <w:pPr>
              <w:rPr>
                <w:sz w:val="20"/>
                <w:szCs w:val="20"/>
                <w:lang w:val="en-US"/>
              </w:rPr>
            </w:pPr>
          </w:p>
          <w:p w:rsidR="00824616" w:rsidRPr="00EA63C5" w:rsidRDefault="00824616" w:rsidP="005F1ED8">
            <w:pPr>
              <w:rPr>
                <w:sz w:val="20"/>
                <w:szCs w:val="20"/>
                <w:lang w:val="en-US"/>
              </w:rPr>
            </w:pPr>
            <w:r w:rsidRPr="00EA63C5">
              <w:rPr>
                <w:sz w:val="20"/>
                <w:szCs w:val="20"/>
                <w:lang w:val="en-US"/>
              </w:rPr>
              <w:t>FILING DATE: 29.09.2016</w:t>
            </w:r>
          </w:p>
          <w:p w:rsidR="00824616" w:rsidRPr="00EA63C5" w:rsidRDefault="007F6DC5"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1D6B35" w:rsidRPr="00EA63C5" w:rsidTr="003B3977">
        <w:trPr>
          <w:cantSplit/>
        </w:trPr>
        <w:tc>
          <w:tcPr>
            <w:tcW w:w="4320" w:type="dxa"/>
            <w:shd w:val="clear" w:color="auto" w:fill="auto"/>
          </w:tcPr>
          <w:p w:rsidR="001D6B35" w:rsidRPr="00EA63C5" w:rsidRDefault="00824616" w:rsidP="005F1ED8">
            <w:pPr>
              <w:rPr>
                <w:b/>
                <w:sz w:val="20"/>
                <w:szCs w:val="20"/>
                <w:lang w:val="en-US"/>
              </w:rPr>
            </w:pPr>
            <w:r w:rsidRPr="00EA63C5">
              <w:rPr>
                <w:b/>
                <w:sz w:val="20"/>
                <w:szCs w:val="20"/>
                <w:lang w:val="en-US"/>
              </w:rPr>
              <w:t xml:space="preserve">David Michael </w:t>
            </w:r>
            <w:proofErr w:type="spellStart"/>
            <w:r w:rsidRPr="00EA63C5">
              <w:rPr>
                <w:b/>
                <w:sz w:val="20"/>
                <w:szCs w:val="20"/>
                <w:lang w:val="en-US"/>
              </w:rPr>
              <w:t>Gendreau</w:t>
            </w:r>
            <w:proofErr w:type="spellEnd"/>
          </w:p>
          <w:p w:rsidR="00824616" w:rsidRPr="00EA63C5" w:rsidRDefault="00824616" w:rsidP="005F1ED8">
            <w:pPr>
              <w:rPr>
                <w:sz w:val="20"/>
                <w:szCs w:val="20"/>
                <w:lang w:val="en-US"/>
              </w:rPr>
            </w:pPr>
            <w:r w:rsidRPr="00EA63C5">
              <w:rPr>
                <w:b/>
                <w:sz w:val="20"/>
                <w:szCs w:val="20"/>
                <w:lang w:val="en-US"/>
              </w:rPr>
              <w:tab/>
            </w:r>
            <w:r w:rsidRPr="00EA63C5">
              <w:rPr>
                <w:sz w:val="20"/>
                <w:szCs w:val="20"/>
                <w:lang w:val="en-US"/>
              </w:rPr>
              <w:t xml:space="preserve">David Michael </w:t>
            </w:r>
            <w:proofErr w:type="spellStart"/>
            <w:r w:rsidRPr="00EA63C5">
              <w:rPr>
                <w:sz w:val="20"/>
                <w:szCs w:val="20"/>
                <w:lang w:val="en-US"/>
              </w:rPr>
              <w:t>Gendreau</w:t>
            </w:r>
            <w:proofErr w:type="spellEnd"/>
          </w:p>
          <w:p w:rsidR="00824616" w:rsidRPr="00EA63C5" w:rsidRDefault="00824616" w:rsidP="005F1ED8">
            <w:pPr>
              <w:rPr>
                <w:sz w:val="20"/>
                <w:szCs w:val="20"/>
                <w:lang w:val="en-US"/>
              </w:rPr>
            </w:pPr>
          </w:p>
          <w:p w:rsidR="00824616" w:rsidRPr="00EA63C5" w:rsidRDefault="00824616" w:rsidP="005F1ED8">
            <w:pPr>
              <w:rPr>
                <w:sz w:val="20"/>
                <w:szCs w:val="20"/>
                <w:lang w:val="en-US"/>
              </w:rPr>
            </w:pPr>
            <w:r w:rsidRPr="00EA63C5">
              <w:rPr>
                <w:sz w:val="20"/>
                <w:szCs w:val="20"/>
                <w:lang w:val="en-US"/>
              </w:rPr>
              <w:tab/>
              <w:t>v. (37234)</w:t>
            </w:r>
          </w:p>
          <w:p w:rsidR="00824616" w:rsidRPr="00EA63C5" w:rsidRDefault="00824616" w:rsidP="005F1ED8">
            <w:pPr>
              <w:rPr>
                <w:sz w:val="20"/>
                <w:szCs w:val="20"/>
                <w:lang w:val="en-US"/>
              </w:rPr>
            </w:pPr>
          </w:p>
          <w:p w:rsidR="00824616" w:rsidRPr="00EA63C5" w:rsidRDefault="00824616" w:rsidP="005F1ED8">
            <w:pPr>
              <w:rPr>
                <w:b/>
                <w:sz w:val="20"/>
                <w:szCs w:val="20"/>
                <w:lang w:val="en-US"/>
              </w:rPr>
            </w:pPr>
            <w:r w:rsidRPr="00EA63C5">
              <w:rPr>
                <w:b/>
                <w:sz w:val="20"/>
                <w:szCs w:val="20"/>
                <w:lang w:val="en-US"/>
              </w:rPr>
              <w:t>Her Majesty the Queen (B.C.)</w:t>
            </w:r>
          </w:p>
          <w:p w:rsidR="00824616" w:rsidRPr="00EA63C5" w:rsidRDefault="00824616" w:rsidP="005F1ED8">
            <w:pPr>
              <w:rPr>
                <w:sz w:val="20"/>
                <w:szCs w:val="20"/>
                <w:lang w:val="en-US"/>
              </w:rPr>
            </w:pPr>
            <w:r w:rsidRPr="00EA63C5">
              <w:rPr>
                <w:sz w:val="20"/>
                <w:szCs w:val="20"/>
                <w:lang w:val="en-US"/>
              </w:rPr>
              <w:tab/>
              <w:t xml:space="preserve">Ursula </w:t>
            </w:r>
            <w:proofErr w:type="spellStart"/>
            <w:r w:rsidRPr="00EA63C5">
              <w:rPr>
                <w:sz w:val="20"/>
                <w:szCs w:val="20"/>
                <w:lang w:val="en-US"/>
              </w:rPr>
              <w:t>Botz</w:t>
            </w:r>
            <w:proofErr w:type="spellEnd"/>
          </w:p>
          <w:p w:rsidR="00824616" w:rsidRPr="00EA63C5" w:rsidRDefault="00824616" w:rsidP="005F1ED8">
            <w:pPr>
              <w:rPr>
                <w:sz w:val="20"/>
                <w:szCs w:val="20"/>
                <w:lang w:val="en-US"/>
              </w:rPr>
            </w:pPr>
            <w:r w:rsidRPr="00EA63C5">
              <w:rPr>
                <w:sz w:val="20"/>
                <w:szCs w:val="20"/>
                <w:lang w:val="en-US"/>
              </w:rPr>
              <w:tab/>
              <w:t>A.G. of British Columbia</w:t>
            </w:r>
          </w:p>
          <w:p w:rsidR="00824616" w:rsidRPr="00EA63C5" w:rsidRDefault="00824616" w:rsidP="005F1ED8">
            <w:pPr>
              <w:rPr>
                <w:sz w:val="20"/>
                <w:szCs w:val="20"/>
                <w:lang w:val="en-US"/>
              </w:rPr>
            </w:pPr>
          </w:p>
          <w:p w:rsidR="00824616" w:rsidRPr="00EA63C5" w:rsidRDefault="00824616" w:rsidP="005F1ED8">
            <w:pPr>
              <w:rPr>
                <w:sz w:val="20"/>
                <w:szCs w:val="20"/>
                <w:lang w:val="en-US"/>
              </w:rPr>
            </w:pPr>
            <w:r w:rsidRPr="00EA63C5">
              <w:rPr>
                <w:sz w:val="20"/>
                <w:szCs w:val="20"/>
                <w:lang w:val="en-US"/>
              </w:rPr>
              <w:t>FILING DATE: 25.05.2016</w:t>
            </w:r>
          </w:p>
          <w:p w:rsidR="00824616" w:rsidRPr="00EA63C5" w:rsidRDefault="007F6DC5" w:rsidP="005F1ED8">
            <w:pPr>
              <w:rPr>
                <w:sz w:val="20"/>
                <w:szCs w:val="20"/>
                <w:lang w:val="fr-CA"/>
              </w:rPr>
            </w:pPr>
            <w:r>
              <w:rPr>
                <w:sz w:val="20"/>
                <w:szCs w:val="20"/>
                <w:lang w:val="fr-CA"/>
              </w:rPr>
              <w:pict>
                <v:rect id="_x0000_i1035" style="width:108pt;height:1pt" o:hrpct="0" o:hralign="center" o:hrstd="t" o:hrnoshade="t" o:hr="t" fillcolor="black [3213]" stroked="f"/>
              </w:pict>
            </w:r>
          </w:p>
          <w:p w:rsidR="00824616" w:rsidRPr="00EA63C5" w:rsidRDefault="00824616" w:rsidP="005F1ED8">
            <w:pPr>
              <w:rPr>
                <w:sz w:val="20"/>
                <w:szCs w:val="20"/>
                <w:lang w:val="en-US"/>
              </w:rPr>
            </w:pPr>
          </w:p>
        </w:tc>
        <w:tc>
          <w:tcPr>
            <w:tcW w:w="1181" w:type="dxa"/>
            <w:shd w:val="clear" w:color="auto" w:fill="auto"/>
          </w:tcPr>
          <w:p w:rsidR="001D6B35" w:rsidRPr="00EA63C5" w:rsidRDefault="001D6B35" w:rsidP="00242AEE">
            <w:pPr>
              <w:jc w:val="center"/>
              <w:rPr>
                <w:sz w:val="20"/>
                <w:szCs w:val="20"/>
                <w:lang w:val="en-US"/>
              </w:rPr>
            </w:pPr>
          </w:p>
        </w:tc>
        <w:tc>
          <w:tcPr>
            <w:tcW w:w="4320" w:type="dxa"/>
            <w:shd w:val="clear" w:color="auto" w:fill="auto"/>
          </w:tcPr>
          <w:p w:rsidR="001D6B35" w:rsidRPr="00EA63C5" w:rsidRDefault="005E1164" w:rsidP="005F1ED8">
            <w:pPr>
              <w:rPr>
                <w:b/>
                <w:sz w:val="20"/>
                <w:szCs w:val="20"/>
                <w:lang w:val="en-US"/>
              </w:rPr>
            </w:pPr>
            <w:r w:rsidRPr="00EA63C5">
              <w:rPr>
                <w:b/>
                <w:sz w:val="20"/>
                <w:szCs w:val="20"/>
                <w:lang w:val="en-US"/>
              </w:rPr>
              <w:t>Canadian Human Rights Commission</w:t>
            </w:r>
          </w:p>
          <w:p w:rsidR="005E1164" w:rsidRPr="00EA63C5" w:rsidRDefault="005E1164" w:rsidP="005F1ED8">
            <w:pPr>
              <w:rPr>
                <w:sz w:val="20"/>
                <w:szCs w:val="20"/>
                <w:lang w:val="en-US"/>
              </w:rPr>
            </w:pPr>
            <w:r w:rsidRPr="00EA63C5">
              <w:rPr>
                <w:b/>
                <w:sz w:val="20"/>
                <w:szCs w:val="20"/>
                <w:lang w:val="en-US"/>
              </w:rPr>
              <w:tab/>
            </w:r>
            <w:r w:rsidRPr="00EA63C5">
              <w:rPr>
                <w:sz w:val="20"/>
                <w:szCs w:val="20"/>
                <w:lang w:val="en-US"/>
              </w:rPr>
              <w:t>Brian Smith</w:t>
            </w:r>
          </w:p>
          <w:p w:rsidR="005E1164" w:rsidRPr="00EA63C5" w:rsidRDefault="005E1164" w:rsidP="005F1ED8">
            <w:pPr>
              <w:rPr>
                <w:sz w:val="20"/>
                <w:szCs w:val="20"/>
                <w:lang w:val="en-US"/>
              </w:rPr>
            </w:pPr>
            <w:r w:rsidRPr="00EA63C5">
              <w:rPr>
                <w:sz w:val="20"/>
                <w:szCs w:val="20"/>
                <w:lang w:val="en-US"/>
              </w:rPr>
              <w:tab/>
              <w:t>Canadian Human Rights Commission</w:t>
            </w:r>
          </w:p>
          <w:p w:rsidR="005E1164" w:rsidRPr="00EA63C5" w:rsidRDefault="005E1164" w:rsidP="005F1ED8">
            <w:pPr>
              <w:rPr>
                <w:sz w:val="20"/>
                <w:szCs w:val="20"/>
                <w:lang w:val="en-US"/>
              </w:rPr>
            </w:pPr>
          </w:p>
          <w:p w:rsidR="005E1164" w:rsidRPr="00EA63C5" w:rsidRDefault="005E1164" w:rsidP="005F1ED8">
            <w:pPr>
              <w:rPr>
                <w:sz w:val="20"/>
                <w:szCs w:val="20"/>
                <w:lang w:val="en-US"/>
              </w:rPr>
            </w:pPr>
            <w:r w:rsidRPr="00EA63C5">
              <w:rPr>
                <w:sz w:val="20"/>
                <w:szCs w:val="20"/>
                <w:lang w:val="en-US"/>
              </w:rPr>
              <w:tab/>
              <w:t>v. (37208)</w:t>
            </w:r>
          </w:p>
          <w:p w:rsidR="005E1164" w:rsidRPr="00EA63C5" w:rsidRDefault="005E1164" w:rsidP="005F1ED8">
            <w:pPr>
              <w:rPr>
                <w:sz w:val="20"/>
                <w:szCs w:val="20"/>
                <w:lang w:val="en-US"/>
              </w:rPr>
            </w:pPr>
          </w:p>
          <w:p w:rsidR="005E1164" w:rsidRPr="00EA63C5" w:rsidRDefault="005E1164" w:rsidP="005F1ED8">
            <w:pPr>
              <w:rPr>
                <w:b/>
                <w:sz w:val="20"/>
                <w:szCs w:val="20"/>
                <w:lang w:val="en-US"/>
              </w:rPr>
            </w:pPr>
            <w:r w:rsidRPr="00EA63C5">
              <w:rPr>
                <w:b/>
                <w:sz w:val="20"/>
                <w:szCs w:val="20"/>
                <w:lang w:val="en-US"/>
              </w:rPr>
              <w:t>Attorney General of Canada (F.C.)</w:t>
            </w:r>
          </w:p>
          <w:p w:rsidR="005E1164" w:rsidRPr="00EA63C5" w:rsidRDefault="005E1164" w:rsidP="005F1ED8">
            <w:pPr>
              <w:rPr>
                <w:sz w:val="20"/>
                <w:szCs w:val="20"/>
                <w:lang w:val="en-US"/>
              </w:rPr>
            </w:pPr>
            <w:r w:rsidRPr="00EA63C5">
              <w:rPr>
                <w:sz w:val="20"/>
                <w:szCs w:val="20"/>
                <w:lang w:val="en-US"/>
              </w:rPr>
              <w:tab/>
              <w:t xml:space="preserve">Liliane </w:t>
            </w:r>
            <w:proofErr w:type="spellStart"/>
            <w:r w:rsidRPr="00EA63C5">
              <w:rPr>
                <w:sz w:val="20"/>
                <w:szCs w:val="20"/>
                <w:lang w:val="en-US"/>
              </w:rPr>
              <w:t>Bantourakis</w:t>
            </w:r>
            <w:proofErr w:type="spellEnd"/>
          </w:p>
          <w:p w:rsidR="005E1164" w:rsidRPr="00EA63C5" w:rsidRDefault="005E1164" w:rsidP="005F1ED8">
            <w:pPr>
              <w:rPr>
                <w:sz w:val="20"/>
                <w:szCs w:val="20"/>
                <w:lang w:val="en-US"/>
              </w:rPr>
            </w:pPr>
            <w:r w:rsidRPr="00EA63C5">
              <w:rPr>
                <w:sz w:val="20"/>
                <w:szCs w:val="20"/>
                <w:lang w:val="en-US"/>
              </w:rPr>
              <w:tab/>
              <w:t>Department of Justice</w:t>
            </w:r>
          </w:p>
          <w:p w:rsidR="005E1164" w:rsidRPr="00EA63C5" w:rsidRDefault="005E1164" w:rsidP="005F1ED8">
            <w:pPr>
              <w:rPr>
                <w:sz w:val="20"/>
                <w:szCs w:val="20"/>
                <w:lang w:val="en-US"/>
              </w:rPr>
            </w:pPr>
          </w:p>
          <w:p w:rsidR="005E1164" w:rsidRPr="00EA63C5" w:rsidRDefault="005E1164" w:rsidP="005F1ED8">
            <w:pPr>
              <w:rPr>
                <w:sz w:val="20"/>
                <w:szCs w:val="20"/>
                <w:lang w:val="en-US"/>
              </w:rPr>
            </w:pPr>
            <w:r w:rsidRPr="00EA63C5">
              <w:rPr>
                <w:sz w:val="20"/>
                <w:szCs w:val="20"/>
                <w:lang w:val="en-US"/>
              </w:rPr>
              <w:t>FLING DATE: 28.09.2016</w:t>
            </w:r>
          </w:p>
          <w:p w:rsidR="005E1164" w:rsidRPr="00EA63C5" w:rsidRDefault="007F6DC5" w:rsidP="005F1ED8">
            <w:pPr>
              <w:rPr>
                <w:sz w:val="20"/>
                <w:szCs w:val="20"/>
                <w:lang w:val="fr-CA"/>
              </w:rPr>
            </w:pPr>
            <w:r>
              <w:rPr>
                <w:sz w:val="20"/>
                <w:szCs w:val="20"/>
                <w:lang w:val="fr-CA"/>
              </w:rPr>
              <w:pict>
                <v:rect id="_x0000_i1036" style="width:108pt;height:1pt" o:hrpct="0" o:hralign="center" o:hrstd="t" o:hrnoshade="t" o:hr="t" fillcolor="black [3213]" stroked="f"/>
              </w:pict>
            </w:r>
          </w:p>
          <w:p w:rsidR="005E1164" w:rsidRPr="00EA63C5" w:rsidRDefault="005E1164" w:rsidP="005F1ED8">
            <w:pPr>
              <w:rPr>
                <w:sz w:val="20"/>
                <w:szCs w:val="20"/>
                <w:lang w:val="en-US"/>
              </w:rPr>
            </w:pPr>
          </w:p>
        </w:tc>
      </w:tr>
      <w:tr w:rsidR="001D6B35" w:rsidRPr="00EA63C5" w:rsidTr="003B3977">
        <w:trPr>
          <w:cantSplit/>
        </w:trPr>
        <w:tc>
          <w:tcPr>
            <w:tcW w:w="4320" w:type="dxa"/>
            <w:shd w:val="clear" w:color="auto" w:fill="auto"/>
          </w:tcPr>
          <w:p w:rsidR="001D6B35" w:rsidRPr="00EA63C5" w:rsidRDefault="00B165DB" w:rsidP="005F1ED8">
            <w:pPr>
              <w:rPr>
                <w:b/>
                <w:sz w:val="20"/>
                <w:szCs w:val="20"/>
                <w:lang w:val="en-US"/>
              </w:rPr>
            </w:pPr>
            <w:r w:rsidRPr="00EA63C5">
              <w:rPr>
                <w:b/>
                <w:sz w:val="20"/>
                <w:szCs w:val="20"/>
                <w:lang w:val="en-US"/>
              </w:rPr>
              <w:lastRenderedPageBreak/>
              <w:t>Trinity Western University et al.</w:t>
            </w:r>
          </w:p>
          <w:p w:rsidR="00B165DB" w:rsidRPr="00EA63C5" w:rsidRDefault="00B165DB" w:rsidP="005F1ED8">
            <w:pPr>
              <w:rPr>
                <w:sz w:val="20"/>
                <w:szCs w:val="20"/>
                <w:lang w:val="en-US"/>
              </w:rPr>
            </w:pPr>
            <w:r w:rsidRPr="00EA63C5">
              <w:rPr>
                <w:b/>
                <w:sz w:val="20"/>
                <w:szCs w:val="20"/>
                <w:lang w:val="en-US"/>
              </w:rPr>
              <w:tab/>
            </w:r>
            <w:r w:rsidRPr="00EA63C5">
              <w:rPr>
                <w:sz w:val="20"/>
                <w:szCs w:val="20"/>
                <w:lang w:val="en-US"/>
              </w:rPr>
              <w:t>Robert W. Staley</w:t>
            </w:r>
          </w:p>
          <w:p w:rsidR="00B165DB" w:rsidRPr="00EA63C5" w:rsidRDefault="00B165DB" w:rsidP="005F1ED8">
            <w:pPr>
              <w:rPr>
                <w:sz w:val="20"/>
                <w:szCs w:val="20"/>
                <w:lang w:val="en-US"/>
              </w:rPr>
            </w:pPr>
            <w:r w:rsidRPr="00EA63C5">
              <w:rPr>
                <w:sz w:val="20"/>
                <w:szCs w:val="20"/>
                <w:lang w:val="en-US"/>
              </w:rPr>
              <w:tab/>
              <w:t>Bennett Jones LLP</w:t>
            </w:r>
          </w:p>
          <w:p w:rsidR="00B165DB" w:rsidRPr="00EA63C5" w:rsidRDefault="00B165DB" w:rsidP="005F1ED8">
            <w:pPr>
              <w:rPr>
                <w:sz w:val="20"/>
                <w:szCs w:val="20"/>
                <w:lang w:val="en-US"/>
              </w:rPr>
            </w:pPr>
          </w:p>
          <w:p w:rsidR="00B165DB" w:rsidRPr="00EA63C5" w:rsidRDefault="00B165DB" w:rsidP="005F1ED8">
            <w:pPr>
              <w:rPr>
                <w:sz w:val="20"/>
                <w:szCs w:val="20"/>
                <w:lang w:val="en-US"/>
              </w:rPr>
            </w:pPr>
            <w:r w:rsidRPr="00EA63C5">
              <w:rPr>
                <w:sz w:val="20"/>
                <w:szCs w:val="20"/>
                <w:lang w:val="en-US"/>
              </w:rPr>
              <w:tab/>
              <w:t>v. (37209)</w:t>
            </w:r>
          </w:p>
          <w:p w:rsidR="00B165DB" w:rsidRPr="00EA63C5" w:rsidRDefault="00B165DB" w:rsidP="005F1ED8">
            <w:pPr>
              <w:rPr>
                <w:sz w:val="20"/>
                <w:szCs w:val="20"/>
                <w:lang w:val="en-US"/>
              </w:rPr>
            </w:pPr>
          </w:p>
          <w:p w:rsidR="00B165DB" w:rsidRPr="00EA63C5" w:rsidRDefault="00B165DB" w:rsidP="005F1ED8">
            <w:pPr>
              <w:rPr>
                <w:b/>
                <w:sz w:val="20"/>
                <w:szCs w:val="20"/>
                <w:lang w:val="en-US"/>
              </w:rPr>
            </w:pPr>
            <w:r w:rsidRPr="00EA63C5">
              <w:rPr>
                <w:b/>
                <w:sz w:val="20"/>
                <w:szCs w:val="20"/>
                <w:lang w:val="en-US"/>
              </w:rPr>
              <w:t>Law Society of Upper Canada (Ont.)</w:t>
            </w:r>
          </w:p>
          <w:p w:rsidR="00B165DB" w:rsidRPr="00EA63C5" w:rsidRDefault="00B165DB" w:rsidP="005F1ED8">
            <w:pPr>
              <w:rPr>
                <w:sz w:val="20"/>
                <w:szCs w:val="20"/>
                <w:lang w:val="en-US"/>
              </w:rPr>
            </w:pPr>
            <w:r w:rsidRPr="00EA63C5">
              <w:rPr>
                <w:sz w:val="20"/>
                <w:szCs w:val="20"/>
                <w:lang w:val="en-US"/>
              </w:rPr>
              <w:tab/>
              <w:t>Guy Pratte</w:t>
            </w:r>
          </w:p>
          <w:p w:rsidR="00B165DB" w:rsidRPr="00EA63C5" w:rsidRDefault="00B165DB" w:rsidP="005F1ED8">
            <w:pPr>
              <w:rPr>
                <w:sz w:val="20"/>
                <w:szCs w:val="20"/>
                <w:lang w:val="en-US"/>
              </w:rPr>
            </w:pPr>
            <w:r w:rsidRPr="00EA63C5">
              <w:rPr>
                <w:sz w:val="20"/>
                <w:szCs w:val="20"/>
                <w:lang w:val="en-US"/>
              </w:rPr>
              <w:tab/>
              <w:t>Borden Ladner Gervais LLP</w:t>
            </w:r>
          </w:p>
          <w:p w:rsidR="00B165DB" w:rsidRPr="00EA63C5" w:rsidRDefault="00B165DB" w:rsidP="005F1ED8">
            <w:pPr>
              <w:rPr>
                <w:sz w:val="20"/>
                <w:szCs w:val="20"/>
                <w:lang w:val="en-US"/>
              </w:rPr>
            </w:pPr>
          </w:p>
          <w:p w:rsidR="00B165DB" w:rsidRPr="00EA63C5" w:rsidRDefault="00B165DB" w:rsidP="005F1ED8">
            <w:pPr>
              <w:rPr>
                <w:sz w:val="20"/>
                <w:szCs w:val="20"/>
                <w:lang w:val="en-US"/>
              </w:rPr>
            </w:pPr>
            <w:r w:rsidRPr="00EA63C5">
              <w:rPr>
                <w:sz w:val="20"/>
                <w:szCs w:val="20"/>
                <w:lang w:val="en-US"/>
              </w:rPr>
              <w:t>FILING DATE: 28.09.2016</w:t>
            </w:r>
          </w:p>
          <w:p w:rsidR="00B165DB" w:rsidRPr="00EA63C5" w:rsidRDefault="007F6DC5" w:rsidP="005F1ED8">
            <w:pPr>
              <w:rPr>
                <w:sz w:val="20"/>
                <w:szCs w:val="20"/>
                <w:lang w:val="fr-CA"/>
              </w:rPr>
            </w:pPr>
            <w:r>
              <w:rPr>
                <w:sz w:val="20"/>
                <w:szCs w:val="20"/>
                <w:lang w:val="fr-CA"/>
              </w:rPr>
              <w:pict>
                <v:rect id="_x0000_i1037" style="width:108pt;height:1pt" o:hrpct="0" o:hralign="center" o:hrstd="t" o:hrnoshade="t" o:hr="t" fillcolor="black [3213]" stroked="f"/>
              </w:pict>
            </w:r>
          </w:p>
          <w:p w:rsidR="00B165DB" w:rsidRPr="00EA63C5" w:rsidRDefault="00B165DB" w:rsidP="005F1ED8">
            <w:pPr>
              <w:rPr>
                <w:sz w:val="20"/>
                <w:szCs w:val="20"/>
                <w:lang w:val="en-US"/>
              </w:rPr>
            </w:pPr>
          </w:p>
        </w:tc>
        <w:tc>
          <w:tcPr>
            <w:tcW w:w="1181" w:type="dxa"/>
            <w:shd w:val="clear" w:color="auto" w:fill="auto"/>
          </w:tcPr>
          <w:p w:rsidR="001D6B35" w:rsidRPr="00EA63C5" w:rsidRDefault="001D6B35" w:rsidP="00242AEE">
            <w:pPr>
              <w:jc w:val="center"/>
              <w:rPr>
                <w:sz w:val="20"/>
                <w:szCs w:val="20"/>
                <w:lang w:val="en-US"/>
              </w:rPr>
            </w:pPr>
          </w:p>
        </w:tc>
        <w:tc>
          <w:tcPr>
            <w:tcW w:w="4320" w:type="dxa"/>
            <w:shd w:val="clear" w:color="auto" w:fill="auto"/>
          </w:tcPr>
          <w:p w:rsidR="001D6B35" w:rsidRPr="00EA63C5" w:rsidRDefault="002A26C0" w:rsidP="005F1ED8">
            <w:pPr>
              <w:rPr>
                <w:b/>
                <w:sz w:val="20"/>
                <w:szCs w:val="20"/>
                <w:lang w:val="en-US"/>
              </w:rPr>
            </w:pPr>
            <w:r w:rsidRPr="00EA63C5">
              <w:rPr>
                <w:b/>
                <w:sz w:val="20"/>
                <w:szCs w:val="20"/>
                <w:lang w:val="en-US"/>
              </w:rPr>
              <w:t xml:space="preserve">Krista Lena </w:t>
            </w:r>
            <w:proofErr w:type="spellStart"/>
            <w:r w:rsidRPr="00EA63C5">
              <w:rPr>
                <w:b/>
                <w:sz w:val="20"/>
                <w:szCs w:val="20"/>
                <w:lang w:val="en-US"/>
              </w:rPr>
              <w:t>Borgfjord</w:t>
            </w:r>
            <w:proofErr w:type="spellEnd"/>
            <w:r w:rsidRPr="00EA63C5">
              <w:rPr>
                <w:b/>
                <w:sz w:val="20"/>
                <w:szCs w:val="20"/>
                <w:lang w:val="en-US"/>
              </w:rPr>
              <w:t xml:space="preserve">, an infant by her litigation guardian, John </w:t>
            </w:r>
            <w:proofErr w:type="spellStart"/>
            <w:r w:rsidRPr="00EA63C5">
              <w:rPr>
                <w:b/>
                <w:sz w:val="20"/>
                <w:szCs w:val="20"/>
                <w:lang w:val="en-US"/>
              </w:rPr>
              <w:t>Borgfjord</w:t>
            </w:r>
            <w:proofErr w:type="spellEnd"/>
          </w:p>
          <w:p w:rsidR="002A26C0" w:rsidRPr="00EA63C5" w:rsidRDefault="002A26C0" w:rsidP="005F1ED8">
            <w:pPr>
              <w:rPr>
                <w:sz w:val="20"/>
                <w:szCs w:val="20"/>
                <w:lang w:val="en-US"/>
              </w:rPr>
            </w:pPr>
            <w:r w:rsidRPr="00EA63C5">
              <w:rPr>
                <w:b/>
                <w:sz w:val="20"/>
                <w:szCs w:val="20"/>
                <w:lang w:val="en-US"/>
              </w:rPr>
              <w:tab/>
            </w:r>
            <w:r w:rsidRPr="00EA63C5">
              <w:rPr>
                <w:sz w:val="20"/>
                <w:szCs w:val="20"/>
                <w:lang w:val="en-US"/>
              </w:rPr>
              <w:t>Donald J. Renaud</w:t>
            </w:r>
          </w:p>
          <w:p w:rsidR="002A26C0" w:rsidRPr="00EA63C5" w:rsidRDefault="002A26C0" w:rsidP="002A26C0">
            <w:pPr>
              <w:rPr>
                <w:sz w:val="20"/>
                <w:szCs w:val="20"/>
                <w:lang w:val="en-US"/>
              </w:rPr>
            </w:pPr>
            <w:r w:rsidRPr="00EA63C5">
              <w:rPr>
                <w:sz w:val="20"/>
                <w:szCs w:val="20"/>
                <w:lang w:val="en-US"/>
              </w:rPr>
              <w:tab/>
              <w:t>Campbell Renaud Trial Lawyers</w:t>
            </w:r>
          </w:p>
          <w:p w:rsidR="002A26C0" w:rsidRPr="00EA63C5" w:rsidRDefault="002A26C0" w:rsidP="002A26C0">
            <w:pPr>
              <w:rPr>
                <w:sz w:val="20"/>
                <w:szCs w:val="20"/>
                <w:lang w:val="en-US"/>
              </w:rPr>
            </w:pPr>
          </w:p>
          <w:p w:rsidR="002A26C0" w:rsidRPr="00EA63C5" w:rsidRDefault="002A26C0" w:rsidP="002A26C0">
            <w:pPr>
              <w:rPr>
                <w:sz w:val="20"/>
                <w:szCs w:val="20"/>
                <w:lang w:val="en-US"/>
              </w:rPr>
            </w:pPr>
            <w:r w:rsidRPr="00EA63C5">
              <w:rPr>
                <w:sz w:val="20"/>
                <w:szCs w:val="20"/>
                <w:lang w:val="en-US"/>
              </w:rPr>
              <w:tab/>
              <w:t>v. (37210)</w:t>
            </w:r>
          </w:p>
          <w:p w:rsidR="002A26C0" w:rsidRPr="00EA63C5" w:rsidRDefault="002A26C0" w:rsidP="002A26C0">
            <w:pPr>
              <w:rPr>
                <w:sz w:val="20"/>
                <w:szCs w:val="20"/>
                <w:lang w:val="en-US"/>
              </w:rPr>
            </w:pPr>
          </w:p>
          <w:p w:rsidR="002A26C0" w:rsidRPr="00EA63C5" w:rsidRDefault="002A26C0" w:rsidP="002A26C0">
            <w:pPr>
              <w:rPr>
                <w:b/>
                <w:sz w:val="20"/>
                <w:szCs w:val="20"/>
                <w:lang w:val="en-US"/>
              </w:rPr>
            </w:pPr>
            <w:r w:rsidRPr="00EA63C5">
              <w:rPr>
                <w:b/>
                <w:sz w:val="20"/>
                <w:szCs w:val="20"/>
                <w:lang w:val="en-US"/>
              </w:rPr>
              <w:t xml:space="preserve">Mildred Eileen </w:t>
            </w:r>
            <w:proofErr w:type="spellStart"/>
            <w:r w:rsidRPr="00EA63C5">
              <w:rPr>
                <w:b/>
                <w:sz w:val="20"/>
                <w:szCs w:val="20"/>
                <w:lang w:val="en-US"/>
              </w:rPr>
              <w:t>Boizard</w:t>
            </w:r>
            <w:proofErr w:type="spellEnd"/>
            <w:r w:rsidRPr="00EA63C5">
              <w:rPr>
                <w:b/>
                <w:sz w:val="20"/>
                <w:szCs w:val="20"/>
                <w:lang w:val="en-US"/>
              </w:rPr>
              <w:t xml:space="preserve"> and Earl F. </w:t>
            </w:r>
            <w:proofErr w:type="spellStart"/>
            <w:r w:rsidRPr="00EA63C5">
              <w:rPr>
                <w:b/>
                <w:sz w:val="20"/>
                <w:szCs w:val="20"/>
                <w:lang w:val="en-US"/>
              </w:rPr>
              <w:t>Boizard</w:t>
            </w:r>
            <w:proofErr w:type="spellEnd"/>
            <w:r w:rsidRPr="00EA63C5">
              <w:rPr>
                <w:b/>
                <w:sz w:val="20"/>
                <w:szCs w:val="20"/>
                <w:lang w:val="en-US"/>
              </w:rPr>
              <w:t xml:space="preserve"> et al. (B.C.)</w:t>
            </w:r>
          </w:p>
          <w:p w:rsidR="002A26C0" w:rsidRPr="00EA63C5" w:rsidRDefault="002A26C0" w:rsidP="002A26C0">
            <w:pPr>
              <w:rPr>
                <w:sz w:val="20"/>
                <w:szCs w:val="20"/>
                <w:lang w:val="en-US"/>
              </w:rPr>
            </w:pPr>
            <w:r w:rsidRPr="00EA63C5">
              <w:rPr>
                <w:sz w:val="20"/>
                <w:szCs w:val="20"/>
                <w:lang w:val="en-US"/>
              </w:rPr>
              <w:tab/>
              <w:t>Ryan W. Parsons</w:t>
            </w:r>
          </w:p>
          <w:p w:rsidR="002A26C0" w:rsidRPr="00EA63C5" w:rsidRDefault="002A26C0" w:rsidP="002A26C0">
            <w:pPr>
              <w:rPr>
                <w:sz w:val="20"/>
                <w:szCs w:val="20"/>
                <w:lang w:val="en-US"/>
              </w:rPr>
            </w:pPr>
            <w:r w:rsidRPr="00EA63C5">
              <w:rPr>
                <w:sz w:val="20"/>
                <w:szCs w:val="20"/>
                <w:lang w:val="en-US"/>
              </w:rPr>
              <w:tab/>
            </w:r>
            <w:proofErr w:type="spellStart"/>
            <w:r w:rsidRPr="00EA63C5">
              <w:rPr>
                <w:sz w:val="20"/>
                <w:szCs w:val="20"/>
                <w:lang w:val="en-US"/>
              </w:rPr>
              <w:t>Eyford</w:t>
            </w:r>
            <w:proofErr w:type="spellEnd"/>
            <w:r w:rsidRPr="00EA63C5">
              <w:rPr>
                <w:sz w:val="20"/>
                <w:szCs w:val="20"/>
                <w:lang w:val="en-US"/>
              </w:rPr>
              <w:t xml:space="preserve"> Macaulay Shaw &amp; </w:t>
            </w:r>
            <w:proofErr w:type="spellStart"/>
            <w:r w:rsidRPr="00EA63C5">
              <w:rPr>
                <w:sz w:val="20"/>
                <w:szCs w:val="20"/>
                <w:lang w:val="en-US"/>
              </w:rPr>
              <w:t>Padmanabhan</w:t>
            </w:r>
            <w:proofErr w:type="spellEnd"/>
            <w:r w:rsidRPr="00EA63C5">
              <w:rPr>
                <w:sz w:val="20"/>
                <w:szCs w:val="20"/>
                <w:lang w:val="en-US"/>
              </w:rPr>
              <w:t xml:space="preserve"> </w:t>
            </w:r>
            <w:r w:rsidRPr="00EA63C5">
              <w:rPr>
                <w:sz w:val="20"/>
                <w:szCs w:val="20"/>
                <w:lang w:val="en-US"/>
              </w:rPr>
              <w:tab/>
              <w:t>LLP</w:t>
            </w:r>
          </w:p>
          <w:p w:rsidR="002A26C0" w:rsidRPr="00EA63C5" w:rsidRDefault="002A26C0" w:rsidP="002A26C0">
            <w:pPr>
              <w:rPr>
                <w:sz w:val="20"/>
                <w:szCs w:val="20"/>
                <w:lang w:val="en-US"/>
              </w:rPr>
            </w:pPr>
          </w:p>
          <w:p w:rsidR="002A26C0" w:rsidRPr="00EA63C5" w:rsidRDefault="002A26C0" w:rsidP="002A26C0">
            <w:pPr>
              <w:rPr>
                <w:sz w:val="20"/>
                <w:szCs w:val="20"/>
                <w:lang w:val="en-US"/>
              </w:rPr>
            </w:pPr>
            <w:r w:rsidRPr="00EA63C5">
              <w:rPr>
                <w:sz w:val="20"/>
                <w:szCs w:val="20"/>
                <w:lang w:val="en-US"/>
              </w:rPr>
              <w:t>FILING DATE: 28.09.2016</w:t>
            </w:r>
          </w:p>
          <w:p w:rsidR="002A26C0" w:rsidRPr="00EA63C5" w:rsidRDefault="007F6DC5" w:rsidP="002A26C0">
            <w:pPr>
              <w:rPr>
                <w:sz w:val="20"/>
                <w:szCs w:val="20"/>
                <w:lang w:val="fr-CA"/>
              </w:rPr>
            </w:pPr>
            <w:r>
              <w:rPr>
                <w:sz w:val="20"/>
                <w:szCs w:val="20"/>
                <w:lang w:val="fr-CA"/>
              </w:rPr>
              <w:pict>
                <v:rect id="_x0000_i1038" style="width:108pt;height:1pt" o:hrpct="0" o:hralign="center" o:hrstd="t" o:hrnoshade="t" o:hr="t" fillcolor="black [3213]" stroked="f"/>
              </w:pict>
            </w:r>
          </w:p>
          <w:p w:rsidR="002A26C0" w:rsidRPr="00EA63C5" w:rsidRDefault="002A26C0" w:rsidP="002A26C0">
            <w:pPr>
              <w:rPr>
                <w:sz w:val="20"/>
                <w:szCs w:val="20"/>
                <w:lang w:val="en-US"/>
              </w:rPr>
            </w:pPr>
          </w:p>
        </w:tc>
      </w:tr>
      <w:tr w:rsidR="001D6B35" w:rsidRPr="00EA63C5" w:rsidTr="003B3977">
        <w:trPr>
          <w:cantSplit/>
        </w:trPr>
        <w:tc>
          <w:tcPr>
            <w:tcW w:w="4320" w:type="dxa"/>
            <w:shd w:val="clear" w:color="auto" w:fill="auto"/>
          </w:tcPr>
          <w:p w:rsidR="001D6B35" w:rsidRPr="00EA63C5" w:rsidRDefault="008D6E1C" w:rsidP="005F1ED8">
            <w:pPr>
              <w:rPr>
                <w:b/>
                <w:sz w:val="20"/>
                <w:szCs w:val="20"/>
                <w:lang w:val="en-US"/>
              </w:rPr>
            </w:pPr>
            <w:r w:rsidRPr="00EA63C5">
              <w:rPr>
                <w:b/>
                <w:sz w:val="20"/>
                <w:szCs w:val="20"/>
                <w:lang w:val="en-US"/>
              </w:rPr>
              <w:t>Timothy Keizer</w:t>
            </w:r>
          </w:p>
          <w:p w:rsidR="008D6E1C" w:rsidRPr="00EA63C5" w:rsidRDefault="008D6E1C" w:rsidP="005F1ED8">
            <w:pPr>
              <w:rPr>
                <w:sz w:val="20"/>
                <w:szCs w:val="20"/>
                <w:lang w:val="en-US"/>
              </w:rPr>
            </w:pPr>
            <w:r w:rsidRPr="00EA63C5">
              <w:rPr>
                <w:b/>
                <w:sz w:val="20"/>
                <w:szCs w:val="20"/>
                <w:lang w:val="en-US"/>
              </w:rPr>
              <w:tab/>
            </w:r>
            <w:r w:rsidRPr="00EA63C5">
              <w:rPr>
                <w:sz w:val="20"/>
                <w:szCs w:val="20"/>
                <w:lang w:val="en-US"/>
              </w:rPr>
              <w:t>Suzan E. Fraser</w:t>
            </w:r>
          </w:p>
          <w:p w:rsidR="008D6E1C" w:rsidRPr="00EA63C5" w:rsidRDefault="008D6E1C" w:rsidP="005F1ED8">
            <w:pPr>
              <w:rPr>
                <w:sz w:val="20"/>
                <w:szCs w:val="20"/>
                <w:lang w:val="en-US"/>
              </w:rPr>
            </w:pPr>
            <w:r w:rsidRPr="00EA63C5">
              <w:rPr>
                <w:sz w:val="20"/>
                <w:szCs w:val="20"/>
                <w:lang w:val="en-US"/>
              </w:rPr>
              <w:tab/>
              <w:t>Fraser Advocacy</w:t>
            </w:r>
          </w:p>
          <w:p w:rsidR="008D6E1C" w:rsidRPr="00EA63C5" w:rsidRDefault="008D6E1C" w:rsidP="005F1ED8">
            <w:pPr>
              <w:rPr>
                <w:sz w:val="20"/>
                <w:szCs w:val="20"/>
                <w:lang w:val="en-US"/>
              </w:rPr>
            </w:pPr>
          </w:p>
          <w:p w:rsidR="008D6E1C" w:rsidRPr="00EA63C5" w:rsidRDefault="008D6E1C" w:rsidP="005F1ED8">
            <w:pPr>
              <w:rPr>
                <w:sz w:val="20"/>
                <w:szCs w:val="20"/>
                <w:lang w:val="en-US"/>
              </w:rPr>
            </w:pPr>
            <w:r w:rsidRPr="00EA63C5">
              <w:rPr>
                <w:sz w:val="20"/>
                <w:szCs w:val="20"/>
                <w:lang w:val="en-US"/>
              </w:rPr>
              <w:tab/>
              <w:t>v. (37212)</w:t>
            </w:r>
          </w:p>
          <w:p w:rsidR="008D6E1C" w:rsidRPr="00EA63C5" w:rsidRDefault="008D6E1C" w:rsidP="005F1ED8">
            <w:pPr>
              <w:rPr>
                <w:sz w:val="20"/>
                <w:szCs w:val="20"/>
                <w:lang w:val="en-US"/>
              </w:rPr>
            </w:pPr>
          </w:p>
          <w:p w:rsidR="008D6E1C" w:rsidRPr="00EA63C5" w:rsidRDefault="008D6E1C" w:rsidP="005F1ED8">
            <w:pPr>
              <w:rPr>
                <w:b/>
                <w:sz w:val="20"/>
                <w:szCs w:val="20"/>
                <w:lang w:val="en-US"/>
              </w:rPr>
            </w:pPr>
            <w:r w:rsidRPr="00EA63C5">
              <w:rPr>
                <w:b/>
                <w:sz w:val="20"/>
                <w:szCs w:val="20"/>
                <w:lang w:val="en-US"/>
              </w:rPr>
              <w:t>Attorney General of Ontario et al. (Ont.)</w:t>
            </w:r>
          </w:p>
          <w:p w:rsidR="008D6E1C" w:rsidRPr="00EA63C5" w:rsidRDefault="008D6E1C" w:rsidP="005F1ED8">
            <w:pPr>
              <w:rPr>
                <w:sz w:val="20"/>
                <w:szCs w:val="20"/>
                <w:lang w:val="en-US"/>
              </w:rPr>
            </w:pPr>
            <w:r w:rsidRPr="00EA63C5">
              <w:rPr>
                <w:sz w:val="20"/>
                <w:szCs w:val="20"/>
                <w:lang w:val="en-US"/>
              </w:rPr>
              <w:tab/>
              <w:t>Amy Rose</w:t>
            </w:r>
          </w:p>
          <w:p w:rsidR="008D6E1C" w:rsidRPr="00EA63C5" w:rsidRDefault="008D6E1C" w:rsidP="005F1ED8">
            <w:pPr>
              <w:rPr>
                <w:sz w:val="20"/>
                <w:szCs w:val="20"/>
                <w:lang w:val="en-US"/>
              </w:rPr>
            </w:pPr>
            <w:r w:rsidRPr="00EA63C5">
              <w:rPr>
                <w:sz w:val="20"/>
                <w:szCs w:val="20"/>
                <w:lang w:val="en-US"/>
              </w:rPr>
              <w:tab/>
              <w:t>Ministry of Attorney General</w:t>
            </w:r>
          </w:p>
          <w:p w:rsidR="008D6E1C" w:rsidRPr="00EA63C5" w:rsidRDefault="008D6E1C" w:rsidP="005F1ED8">
            <w:pPr>
              <w:rPr>
                <w:sz w:val="20"/>
                <w:szCs w:val="20"/>
                <w:lang w:val="en-US"/>
              </w:rPr>
            </w:pPr>
          </w:p>
          <w:p w:rsidR="008D6E1C" w:rsidRPr="00EA63C5" w:rsidRDefault="008D6E1C" w:rsidP="005F1ED8">
            <w:pPr>
              <w:rPr>
                <w:sz w:val="20"/>
                <w:szCs w:val="20"/>
                <w:lang w:val="en-US"/>
              </w:rPr>
            </w:pPr>
            <w:r w:rsidRPr="00EA63C5">
              <w:rPr>
                <w:sz w:val="20"/>
                <w:szCs w:val="20"/>
                <w:lang w:val="en-US"/>
              </w:rPr>
              <w:t>FILING DATE: 28.09.2016</w:t>
            </w:r>
          </w:p>
          <w:p w:rsidR="008D6E1C" w:rsidRPr="00EA63C5" w:rsidRDefault="007F6DC5" w:rsidP="005F1ED8">
            <w:pPr>
              <w:rPr>
                <w:sz w:val="20"/>
                <w:szCs w:val="20"/>
                <w:lang w:val="fr-CA"/>
              </w:rPr>
            </w:pPr>
            <w:r>
              <w:rPr>
                <w:sz w:val="20"/>
                <w:szCs w:val="20"/>
                <w:lang w:val="fr-CA"/>
              </w:rPr>
              <w:pict>
                <v:rect id="_x0000_i1039" style="width:108pt;height:1pt" o:hrpct="0" o:hralign="center" o:hrstd="t" o:hrnoshade="t" o:hr="t" fillcolor="black [3213]" stroked="f"/>
              </w:pict>
            </w:r>
          </w:p>
          <w:p w:rsidR="008D6E1C" w:rsidRPr="00EA63C5" w:rsidRDefault="008D6E1C" w:rsidP="005F1ED8">
            <w:pPr>
              <w:rPr>
                <w:sz w:val="20"/>
                <w:szCs w:val="20"/>
                <w:lang w:val="en-US"/>
              </w:rPr>
            </w:pPr>
          </w:p>
        </w:tc>
        <w:tc>
          <w:tcPr>
            <w:tcW w:w="1181" w:type="dxa"/>
            <w:shd w:val="clear" w:color="auto" w:fill="auto"/>
          </w:tcPr>
          <w:p w:rsidR="001D6B35" w:rsidRPr="00EA63C5" w:rsidRDefault="001D6B35" w:rsidP="00242AEE">
            <w:pPr>
              <w:jc w:val="center"/>
              <w:rPr>
                <w:sz w:val="20"/>
                <w:szCs w:val="20"/>
                <w:lang w:val="en-US"/>
              </w:rPr>
            </w:pPr>
          </w:p>
        </w:tc>
        <w:tc>
          <w:tcPr>
            <w:tcW w:w="4320" w:type="dxa"/>
            <w:shd w:val="clear" w:color="auto" w:fill="auto"/>
          </w:tcPr>
          <w:p w:rsidR="001D6B35" w:rsidRPr="00EA63C5" w:rsidRDefault="00972A00" w:rsidP="005F1ED8">
            <w:pPr>
              <w:rPr>
                <w:b/>
                <w:sz w:val="20"/>
                <w:szCs w:val="20"/>
                <w:lang w:val="en-US"/>
              </w:rPr>
            </w:pPr>
            <w:r w:rsidRPr="00EA63C5">
              <w:rPr>
                <w:b/>
                <w:sz w:val="20"/>
                <w:szCs w:val="20"/>
                <w:lang w:val="en-US"/>
              </w:rPr>
              <w:t>Stephen Henry Cotter</w:t>
            </w:r>
          </w:p>
          <w:p w:rsidR="00972A00" w:rsidRPr="00EA63C5" w:rsidRDefault="00972A00" w:rsidP="005F1ED8">
            <w:pPr>
              <w:rPr>
                <w:sz w:val="20"/>
                <w:szCs w:val="20"/>
                <w:lang w:val="en-US"/>
              </w:rPr>
            </w:pPr>
            <w:r w:rsidRPr="00EA63C5">
              <w:rPr>
                <w:b/>
                <w:sz w:val="20"/>
                <w:szCs w:val="20"/>
                <w:lang w:val="en-US"/>
              </w:rPr>
              <w:tab/>
            </w:r>
            <w:r w:rsidRPr="00EA63C5">
              <w:rPr>
                <w:sz w:val="20"/>
                <w:szCs w:val="20"/>
                <w:lang w:val="en-US"/>
              </w:rPr>
              <w:t>Thomas Slade</w:t>
            </w:r>
          </w:p>
          <w:p w:rsidR="00972A00" w:rsidRPr="00EA63C5" w:rsidRDefault="00972A00" w:rsidP="005F1ED8">
            <w:pPr>
              <w:rPr>
                <w:sz w:val="20"/>
                <w:szCs w:val="20"/>
                <w:lang w:val="en-US"/>
              </w:rPr>
            </w:pPr>
            <w:r w:rsidRPr="00EA63C5">
              <w:rPr>
                <w:sz w:val="20"/>
                <w:szCs w:val="20"/>
                <w:lang w:val="en-US"/>
              </w:rPr>
              <w:tab/>
              <w:t>Supreme Advocacy LLP</w:t>
            </w:r>
          </w:p>
          <w:p w:rsidR="00972A00" w:rsidRPr="00EA63C5" w:rsidRDefault="00972A00" w:rsidP="005F1ED8">
            <w:pPr>
              <w:rPr>
                <w:sz w:val="20"/>
                <w:szCs w:val="20"/>
                <w:lang w:val="en-US"/>
              </w:rPr>
            </w:pPr>
          </w:p>
          <w:p w:rsidR="00972A00" w:rsidRPr="00EA63C5" w:rsidRDefault="00972A00" w:rsidP="005F1ED8">
            <w:pPr>
              <w:rPr>
                <w:sz w:val="20"/>
                <w:szCs w:val="20"/>
                <w:lang w:val="en-US"/>
              </w:rPr>
            </w:pPr>
            <w:r w:rsidRPr="00EA63C5">
              <w:rPr>
                <w:sz w:val="20"/>
                <w:szCs w:val="20"/>
                <w:lang w:val="en-US"/>
              </w:rPr>
              <w:tab/>
              <w:t>v. (37215)</w:t>
            </w:r>
          </w:p>
          <w:p w:rsidR="00972A00" w:rsidRPr="00EA63C5" w:rsidRDefault="00972A00" w:rsidP="005F1ED8">
            <w:pPr>
              <w:rPr>
                <w:sz w:val="20"/>
                <w:szCs w:val="20"/>
                <w:lang w:val="en-US"/>
              </w:rPr>
            </w:pPr>
          </w:p>
          <w:p w:rsidR="00972A00" w:rsidRPr="00EA63C5" w:rsidRDefault="00972A00" w:rsidP="005F1ED8">
            <w:pPr>
              <w:rPr>
                <w:b/>
                <w:sz w:val="20"/>
                <w:szCs w:val="20"/>
                <w:lang w:val="en-US"/>
              </w:rPr>
            </w:pPr>
            <w:r w:rsidRPr="00EA63C5">
              <w:rPr>
                <w:b/>
                <w:sz w:val="20"/>
                <w:szCs w:val="20"/>
                <w:lang w:val="en-US"/>
              </w:rPr>
              <w:t>Point Grey Golf and Country Club (B.C.)</w:t>
            </w:r>
          </w:p>
          <w:p w:rsidR="00972A00" w:rsidRPr="00EA63C5" w:rsidRDefault="00972A00" w:rsidP="005F1ED8">
            <w:pPr>
              <w:rPr>
                <w:sz w:val="20"/>
                <w:szCs w:val="20"/>
                <w:lang w:val="en-US"/>
              </w:rPr>
            </w:pPr>
            <w:r w:rsidRPr="00EA63C5">
              <w:rPr>
                <w:b/>
                <w:sz w:val="20"/>
                <w:szCs w:val="20"/>
                <w:lang w:val="en-US"/>
              </w:rPr>
              <w:tab/>
            </w:r>
            <w:r w:rsidRPr="00EA63C5">
              <w:rPr>
                <w:sz w:val="20"/>
                <w:szCs w:val="20"/>
                <w:lang w:val="en-US"/>
              </w:rPr>
              <w:t>Robert A. Sider</w:t>
            </w:r>
          </w:p>
          <w:p w:rsidR="00972A00" w:rsidRPr="00EA63C5" w:rsidRDefault="00972A00" w:rsidP="005F1ED8">
            <w:pPr>
              <w:rPr>
                <w:sz w:val="20"/>
                <w:szCs w:val="20"/>
                <w:lang w:val="en-US"/>
              </w:rPr>
            </w:pPr>
            <w:r w:rsidRPr="00EA63C5">
              <w:rPr>
                <w:sz w:val="20"/>
                <w:szCs w:val="20"/>
                <w:lang w:val="en-US"/>
              </w:rPr>
              <w:tab/>
              <w:t xml:space="preserve">Lawson </w:t>
            </w:r>
            <w:proofErr w:type="spellStart"/>
            <w:r w:rsidRPr="00EA63C5">
              <w:rPr>
                <w:sz w:val="20"/>
                <w:szCs w:val="20"/>
                <w:lang w:val="en-US"/>
              </w:rPr>
              <w:t>Lundell</w:t>
            </w:r>
            <w:proofErr w:type="spellEnd"/>
            <w:r w:rsidRPr="00EA63C5">
              <w:rPr>
                <w:sz w:val="20"/>
                <w:szCs w:val="20"/>
                <w:lang w:val="en-US"/>
              </w:rPr>
              <w:t xml:space="preserve"> LLP</w:t>
            </w:r>
          </w:p>
          <w:p w:rsidR="00972A00" w:rsidRPr="00EA63C5" w:rsidRDefault="00972A00" w:rsidP="005F1ED8">
            <w:pPr>
              <w:rPr>
                <w:sz w:val="20"/>
                <w:szCs w:val="20"/>
                <w:lang w:val="en-US"/>
              </w:rPr>
            </w:pPr>
          </w:p>
          <w:p w:rsidR="00972A00" w:rsidRPr="00EA63C5" w:rsidRDefault="00972A00" w:rsidP="005F1ED8">
            <w:pPr>
              <w:rPr>
                <w:sz w:val="20"/>
                <w:szCs w:val="20"/>
                <w:lang w:val="en-US"/>
              </w:rPr>
            </w:pPr>
            <w:r w:rsidRPr="00EA63C5">
              <w:rPr>
                <w:sz w:val="20"/>
                <w:szCs w:val="20"/>
                <w:lang w:val="en-US"/>
              </w:rPr>
              <w:t>FILING DATE : 29.09.2016</w:t>
            </w:r>
          </w:p>
          <w:p w:rsidR="00972A00" w:rsidRPr="00EA63C5" w:rsidRDefault="007F6DC5" w:rsidP="005F1ED8">
            <w:pPr>
              <w:rPr>
                <w:sz w:val="20"/>
                <w:szCs w:val="20"/>
                <w:lang w:val="en-US"/>
              </w:rPr>
            </w:pPr>
            <w:r>
              <w:rPr>
                <w:sz w:val="20"/>
                <w:szCs w:val="20"/>
                <w:lang w:val="fr-CA"/>
              </w:rPr>
              <w:pict>
                <v:rect id="_x0000_i1040" style="width:108pt;height:1pt" o:hrpct="0" o:hralign="center" o:hrstd="t" o:hrnoshade="t" o:hr="t" fillcolor="black [3213]" stroked="f"/>
              </w:pict>
            </w:r>
          </w:p>
        </w:tc>
      </w:tr>
      <w:tr w:rsidR="001D6B35" w:rsidRPr="00EA63C5" w:rsidTr="003B3977">
        <w:trPr>
          <w:cantSplit/>
        </w:trPr>
        <w:tc>
          <w:tcPr>
            <w:tcW w:w="4320" w:type="dxa"/>
            <w:shd w:val="clear" w:color="auto" w:fill="auto"/>
          </w:tcPr>
          <w:p w:rsidR="001D6B35" w:rsidRPr="00EA63C5" w:rsidRDefault="00972A00" w:rsidP="005F1ED8">
            <w:pPr>
              <w:rPr>
                <w:b/>
                <w:sz w:val="20"/>
                <w:szCs w:val="20"/>
                <w:lang w:val="en-US"/>
              </w:rPr>
            </w:pPr>
            <w:r w:rsidRPr="00EA63C5">
              <w:rPr>
                <w:b/>
                <w:sz w:val="20"/>
                <w:szCs w:val="20"/>
                <w:lang w:val="en-US"/>
              </w:rPr>
              <w:t>Rothmans, Benson &amp; Hedges Inc., Philip Morris International Inc., Philip Morris U.S.A. Inc. and Altria Group Inc.</w:t>
            </w:r>
          </w:p>
          <w:p w:rsidR="00972A00" w:rsidRPr="00EA63C5" w:rsidRDefault="00972A00" w:rsidP="005F1ED8">
            <w:pPr>
              <w:rPr>
                <w:sz w:val="20"/>
                <w:szCs w:val="20"/>
                <w:lang w:val="en-US"/>
              </w:rPr>
            </w:pPr>
            <w:r w:rsidRPr="00EA63C5">
              <w:rPr>
                <w:b/>
                <w:sz w:val="20"/>
                <w:szCs w:val="20"/>
                <w:lang w:val="en-US"/>
              </w:rPr>
              <w:tab/>
            </w:r>
            <w:r w:rsidRPr="00EA63C5">
              <w:rPr>
                <w:sz w:val="20"/>
                <w:szCs w:val="20"/>
                <w:lang w:val="en-US"/>
              </w:rPr>
              <w:t xml:space="preserve">Michael A. </w:t>
            </w:r>
            <w:proofErr w:type="spellStart"/>
            <w:r w:rsidRPr="00EA63C5">
              <w:rPr>
                <w:sz w:val="20"/>
                <w:szCs w:val="20"/>
                <w:lang w:val="en-US"/>
              </w:rPr>
              <w:t>Feder</w:t>
            </w:r>
            <w:proofErr w:type="spellEnd"/>
          </w:p>
          <w:p w:rsidR="00972A00" w:rsidRPr="00EA63C5" w:rsidRDefault="00972A00" w:rsidP="005F1ED8">
            <w:pPr>
              <w:rPr>
                <w:sz w:val="20"/>
                <w:szCs w:val="20"/>
                <w:lang w:val="en-US"/>
              </w:rPr>
            </w:pPr>
            <w:r w:rsidRPr="00EA63C5">
              <w:rPr>
                <w:sz w:val="20"/>
                <w:szCs w:val="20"/>
                <w:lang w:val="en-US"/>
              </w:rPr>
              <w:tab/>
              <w:t xml:space="preserve">McCarthy </w:t>
            </w:r>
            <w:proofErr w:type="spellStart"/>
            <w:r w:rsidRPr="00EA63C5">
              <w:rPr>
                <w:sz w:val="20"/>
                <w:szCs w:val="20"/>
                <w:lang w:val="en-US"/>
              </w:rPr>
              <w:t>Tétrault</w:t>
            </w:r>
            <w:proofErr w:type="spellEnd"/>
            <w:r w:rsidRPr="00EA63C5">
              <w:rPr>
                <w:sz w:val="20"/>
                <w:szCs w:val="20"/>
                <w:lang w:val="en-US"/>
              </w:rPr>
              <w:t xml:space="preserve"> LLP</w:t>
            </w:r>
          </w:p>
          <w:p w:rsidR="00972A00" w:rsidRPr="00EA63C5" w:rsidRDefault="00972A00" w:rsidP="005F1ED8">
            <w:pPr>
              <w:rPr>
                <w:sz w:val="20"/>
                <w:szCs w:val="20"/>
                <w:lang w:val="en-US"/>
              </w:rPr>
            </w:pPr>
          </w:p>
          <w:p w:rsidR="00972A00" w:rsidRPr="00EA63C5" w:rsidRDefault="00972A00" w:rsidP="005F1ED8">
            <w:pPr>
              <w:rPr>
                <w:sz w:val="20"/>
                <w:szCs w:val="20"/>
                <w:lang w:val="en-US"/>
              </w:rPr>
            </w:pPr>
            <w:r w:rsidRPr="00EA63C5">
              <w:rPr>
                <w:sz w:val="20"/>
                <w:szCs w:val="20"/>
                <w:lang w:val="en-US"/>
              </w:rPr>
              <w:tab/>
              <w:t>v. (37216)</w:t>
            </w:r>
          </w:p>
          <w:p w:rsidR="00972A00" w:rsidRPr="00EA63C5" w:rsidRDefault="00972A00" w:rsidP="005F1ED8">
            <w:pPr>
              <w:rPr>
                <w:sz w:val="20"/>
                <w:szCs w:val="20"/>
                <w:lang w:val="en-US"/>
              </w:rPr>
            </w:pPr>
          </w:p>
          <w:p w:rsidR="00972A00" w:rsidRPr="00EA63C5" w:rsidRDefault="00972A00" w:rsidP="005F1ED8">
            <w:pPr>
              <w:rPr>
                <w:b/>
                <w:sz w:val="20"/>
                <w:szCs w:val="20"/>
                <w:lang w:val="en-US"/>
              </w:rPr>
            </w:pPr>
            <w:r w:rsidRPr="00EA63C5">
              <w:rPr>
                <w:b/>
                <w:sz w:val="20"/>
                <w:szCs w:val="20"/>
                <w:lang w:val="en-US"/>
              </w:rPr>
              <w:t>Her Majesty the Queen in Right of the Province of New Brunswick (N.B.)</w:t>
            </w:r>
          </w:p>
          <w:p w:rsidR="00972A00" w:rsidRPr="00EA63C5" w:rsidRDefault="00972A00" w:rsidP="005F1ED8">
            <w:pPr>
              <w:rPr>
                <w:sz w:val="20"/>
                <w:szCs w:val="20"/>
                <w:lang w:val="en-US"/>
              </w:rPr>
            </w:pPr>
            <w:r w:rsidRPr="00EA63C5">
              <w:rPr>
                <w:b/>
                <w:sz w:val="20"/>
                <w:szCs w:val="20"/>
                <w:lang w:val="en-US"/>
              </w:rPr>
              <w:tab/>
            </w:r>
            <w:r w:rsidRPr="00EA63C5">
              <w:rPr>
                <w:sz w:val="20"/>
                <w:szCs w:val="20"/>
                <w:lang w:val="en-US"/>
              </w:rPr>
              <w:t>Robyn Ryan Bell</w:t>
            </w:r>
          </w:p>
          <w:p w:rsidR="00972A00" w:rsidRPr="00EA63C5" w:rsidRDefault="00972A00" w:rsidP="005F1ED8">
            <w:pPr>
              <w:rPr>
                <w:sz w:val="20"/>
                <w:szCs w:val="20"/>
                <w:lang w:val="en-US"/>
              </w:rPr>
            </w:pPr>
            <w:r w:rsidRPr="00EA63C5">
              <w:rPr>
                <w:sz w:val="20"/>
                <w:szCs w:val="20"/>
                <w:lang w:val="en-US"/>
              </w:rPr>
              <w:tab/>
              <w:t>Bennett Jones LLP</w:t>
            </w:r>
          </w:p>
          <w:p w:rsidR="00972A00" w:rsidRPr="00EA63C5" w:rsidRDefault="00972A00" w:rsidP="005F1ED8">
            <w:pPr>
              <w:rPr>
                <w:sz w:val="20"/>
                <w:szCs w:val="20"/>
                <w:lang w:val="en-US"/>
              </w:rPr>
            </w:pPr>
          </w:p>
          <w:p w:rsidR="00972A00" w:rsidRPr="00EA63C5" w:rsidRDefault="00972A00" w:rsidP="005F1ED8">
            <w:pPr>
              <w:rPr>
                <w:sz w:val="20"/>
                <w:szCs w:val="20"/>
                <w:lang w:val="en-US"/>
              </w:rPr>
            </w:pPr>
            <w:r w:rsidRPr="00EA63C5">
              <w:rPr>
                <w:sz w:val="20"/>
                <w:szCs w:val="20"/>
                <w:lang w:val="en-US"/>
              </w:rPr>
              <w:t>FILING DATE: 29.09.2016</w:t>
            </w:r>
          </w:p>
          <w:p w:rsidR="00972A00" w:rsidRPr="00EA63C5" w:rsidRDefault="007F6DC5" w:rsidP="005F1ED8">
            <w:pPr>
              <w:rPr>
                <w:sz w:val="20"/>
                <w:szCs w:val="20"/>
                <w:lang w:val="fr-CA"/>
              </w:rPr>
            </w:pPr>
            <w:r>
              <w:rPr>
                <w:sz w:val="20"/>
                <w:szCs w:val="20"/>
                <w:lang w:val="fr-CA"/>
              </w:rPr>
              <w:pict>
                <v:rect id="_x0000_i1041" style="width:108pt;height:1pt" o:hrpct="0" o:hralign="center" o:hrstd="t" o:hrnoshade="t" o:hr="t" fillcolor="black [3213]" stroked="f"/>
              </w:pict>
            </w:r>
          </w:p>
          <w:p w:rsidR="00972A00" w:rsidRPr="00EA63C5" w:rsidRDefault="00972A00" w:rsidP="005F1ED8">
            <w:pPr>
              <w:rPr>
                <w:sz w:val="20"/>
                <w:szCs w:val="20"/>
                <w:lang w:val="en-US"/>
              </w:rPr>
            </w:pPr>
          </w:p>
        </w:tc>
        <w:tc>
          <w:tcPr>
            <w:tcW w:w="1181" w:type="dxa"/>
            <w:shd w:val="clear" w:color="auto" w:fill="auto"/>
          </w:tcPr>
          <w:p w:rsidR="001D6B35" w:rsidRPr="00EA63C5" w:rsidRDefault="001D6B35" w:rsidP="00242AEE">
            <w:pPr>
              <w:jc w:val="center"/>
              <w:rPr>
                <w:sz w:val="20"/>
                <w:szCs w:val="20"/>
                <w:lang w:val="en-US"/>
              </w:rPr>
            </w:pPr>
          </w:p>
        </w:tc>
        <w:tc>
          <w:tcPr>
            <w:tcW w:w="4320" w:type="dxa"/>
            <w:shd w:val="clear" w:color="auto" w:fill="auto"/>
          </w:tcPr>
          <w:p w:rsidR="00972A00" w:rsidRPr="00EA63C5" w:rsidRDefault="00673B74" w:rsidP="005F1ED8">
            <w:pPr>
              <w:rPr>
                <w:b/>
                <w:sz w:val="20"/>
                <w:szCs w:val="20"/>
                <w:lang w:val="en-US"/>
              </w:rPr>
            </w:pPr>
            <w:r w:rsidRPr="00EA63C5">
              <w:rPr>
                <w:b/>
                <w:sz w:val="20"/>
                <w:szCs w:val="20"/>
                <w:lang w:val="en-US"/>
              </w:rPr>
              <w:t xml:space="preserve">Kevin Donald </w:t>
            </w:r>
            <w:proofErr w:type="spellStart"/>
            <w:r w:rsidRPr="00EA63C5">
              <w:rPr>
                <w:b/>
                <w:sz w:val="20"/>
                <w:szCs w:val="20"/>
                <w:lang w:val="en-US"/>
              </w:rPr>
              <w:t>Kerfoot</w:t>
            </w:r>
            <w:proofErr w:type="spellEnd"/>
          </w:p>
          <w:p w:rsidR="00673B74" w:rsidRPr="00EA63C5" w:rsidRDefault="00673B74" w:rsidP="005F1ED8">
            <w:pPr>
              <w:rPr>
                <w:sz w:val="20"/>
                <w:szCs w:val="20"/>
                <w:lang w:val="en-US"/>
              </w:rPr>
            </w:pPr>
            <w:r w:rsidRPr="00EA63C5">
              <w:rPr>
                <w:b/>
                <w:sz w:val="20"/>
                <w:szCs w:val="20"/>
                <w:lang w:val="en-US"/>
              </w:rPr>
              <w:tab/>
            </w:r>
            <w:r w:rsidRPr="00EA63C5">
              <w:rPr>
                <w:sz w:val="20"/>
                <w:szCs w:val="20"/>
                <w:lang w:val="en-US"/>
              </w:rPr>
              <w:t xml:space="preserve">Kirk </w:t>
            </w:r>
            <w:proofErr w:type="spellStart"/>
            <w:r w:rsidRPr="00EA63C5">
              <w:rPr>
                <w:sz w:val="20"/>
                <w:szCs w:val="20"/>
                <w:lang w:val="en-US"/>
              </w:rPr>
              <w:t>Tousaw</w:t>
            </w:r>
            <w:proofErr w:type="spellEnd"/>
          </w:p>
          <w:p w:rsidR="00673B74" w:rsidRPr="00EA63C5" w:rsidRDefault="00673B74" w:rsidP="005F1ED8">
            <w:pPr>
              <w:rPr>
                <w:sz w:val="20"/>
                <w:szCs w:val="20"/>
                <w:lang w:val="en-US"/>
              </w:rPr>
            </w:pPr>
            <w:r w:rsidRPr="00EA63C5">
              <w:rPr>
                <w:sz w:val="20"/>
                <w:szCs w:val="20"/>
                <w:lang w:val="en-US"/>
              </w:rPr>
              <w:tab/>
            </w:r>
            <w:proofErr w:type="spellStart"/>
            <w:r w:rsidRPr="00EA63C5">
              <w:rPr>
                <w:sz w:val="20"/>
                <w:szCs w:val="20"/>
                <w:lang w:val="en-US"/>
              </w:rPr>
              <w:t>Tousaw</w:t>
            </w:r>
            <w:proofErr w:type="spellEnd"/>
            <w:r w:rsidRPr="00EA63C5">
              <w:rPr>
                <w:sz w:val="20"/>
                <w:szCs w:val="20"/>
                <w:lang w:val="en-US"/>
              </w:rPr>
              <w:t xml:space="preserve"> Law Corporation</w:t>
            </w:r>
          </w:p>
          <w:p w:rsidR="00673B74" w:rsidRPr="00EA63C5" w:rsidRDefault="00673B74" w:rsidP="005F1ED8">
            <w:pPr>
              <w:rPr>
                <w:sz w:val="20"/>
                <w:szCs w:val="20"/>
                <w:lang w:val="en-US"/>
              </w:rPr>
            </w:pPr>
          </w:p>
          <w:p w:rsidR="00673B74" w:rsidRPr="00EA63C5" w:rsidRDefault="00673B74" w:rsidP="005F1ED8">
            <w:pPr>
              <w:rPr>
                <w:sz w:val="20"/>
                <w:szCs w:val="20"/>
                <w:lang w:val="en-US"/>
              </w:rPr>
            </w:pPr>
            <w:r w:rsidRPr="00EA63C5">
              <w:rPr>
                <w:sz w:val="20"/>
                <w:szCs w:val="20"/>
                <w:lang w:val="en-US"/>
              </w:rPr>
              <w:tab/>
              <w:t>v. (37102)</w:t>
            </w:r>
          </w:p>
          <w:p w:rsidR="00673B74" w:rsidRPr="00EA63C5" w:rsidRDefault="00673B74" w:rsidP="005F1ED8">
            <w:pPr>
              <w:rPr>
                <w:sz w:val="20"/>
                <w:szCs w:val="20"/>
                <w:lang w:val="en-US"/>
              </w:rPr>
            </w:pPr>
          </w:p>
          <w:p w:rsidR="00673B74" w:rsidRPr="00EA63C5" w:rsidRDefault="00673B74" w:rsidP="005F1ED8">
            <w:pPr>
              <w:rPr>
                <w:b/>
                <w:sz w:val="20"/>
                <w:szCs w:val="20"/>
                <w:lang w:val="en-US"/>
              </w:rPr>
            </w:pPr>
            <w:r w:rsidRPr="00EA63C5">
              <w:rPr>
                <w:b/>
                <w:sz w:val="20"/>
                <w:szCs w:val="20"/>
                <w:lang w:val="en-US"/>
              </w:rPr>
              <w:t>Attorney General of Canada on behalf of the United States of America et al. (B.C.)</w:t>
            </w:r>
          </w:p>
          <w:p w:rsidR="00673B74" w:rsidRPr="00EA63C5" w:rsidRDefault="00673B74" w:rsidP="005F1ED8">
            <w:pPr>
              <w:rPr>
                <w:sz w:val="20"/>
                <w:szCs w:val="20"/>
                <w:lang w:val="en-US"/>
              </w:rPr>
            </w:pPr>
            <w:r w:rsidRPr="00EA63C5">
              <w:rPr>
                <w:sz w:val="20"/>
                <w:szCs w:val="20"/>
                <w:lang w:val="en-US"/>
              </w:rPr>
              <w:tab/>
              <w:t>Kerry L. Swift</w:t>
            </w:r>
          </w:p>
          <w:p w:rsidR="00673B74" w:rsidRPr="00EA63C5" w:rsidRDefault="00673B74" w:rsidP="005F1ED8">
            <w:pPr>
              <w:rPr>
                <w:sz w:val="20"/>
                <w:szCs w:val="20"/>
                <w:lang w:val="en-US"/>
              </w:rPr>
            </w:pPr>
            <w:r w:rsidRPr="00EA63C5">
              <w:rPr>
                <w:sz w:val="20"/>
                <w:szCs w:val="20"/>
                <w:lang w:val="en-US"/>
              </w:rPr>
              <w:tab/>
              <w:t>A.G. of Canada</w:t>
            </w:r>
          </w:p>
          <w:p w:rsidR="00673B74" w:rsidRPr="00EA63C5" w:rsidRDefault="00673B74" w:rsidP="005F1ED8">
            <w:pPr>
              <w:rPr>
                <w:sz w:val="20"/>
                <w:szCs w:val="20"/>
                <w:lang w:val="en-US"/>
              </w:rPr>
            </w:pPr>
          </w:p>
          <w:p w:rsidR="00673B74" w:rsidRPr="00EA63C5" w:rsidRDefault="00673B74" w:rsidP="005F1ED8">
            <w:pPr>
              <w:rPr>
                <w:sz w:val="20"/>
                <w:szCs w:val="20"/>
                <w:lang w:val="en-US"/>
              </w:rPr>
            </w:pPr>
            <w:r w:rsidRPr="00EA63C5">
              <w:rPr>
                <w:sz w:val="20"/>
                <w:szCs w:val="20"/>
                <w:lang w:val="en-US"/>
              </w:rPr>
              <w:t>FILING DATE: 29.09.2016</w:t>
            </w:r>
          </w:p>
          <w:p w:rsidR="00673B74" w:rsidRPr="00EA63C5" w:rsidRDefault="007F6DC5" w:rsidP="005F1ED8">
            <w:pPr>
              <w:rPr>
                <w:sz w:val="20"/>
                <w:szCs w:val="20"/>
                <w:lang w:val="en-US"/>
              </w:rPr>
            </w:pPr>
            <w:r>
              <w:rPr>
                <w:sz w:val="20"/>
                <w:szCs w:val="20"/>
                <w:lang w:val="fr-CA"/>
              </w:rPr>
              <w:pict>
                <v:rect id="_x0000_i1042" style="width:108pt;height:1pt" o:hrpct="0" o:hralign="center" o:hrstd="t" o:hrnoshade="t" o:hr="t" fillcolor="black [3213]" stroked="f"/>
              </w:pict>
            </w:r>
          </w:p>
        </w:tc>
      </w:tr>
      <w:tr w:rsidR="001D6B35" w:rsidRPr="00EA63C5" w:rsidTr="003B3977">
        <w:trPr>
          <w:cantSplit/>
        </w:trPr>
        <w:tc>
          <w:tcPr>
            <w:tcW w:w="4320" w:type="dxa"/>
            <w:shd w:val="clear" w:color="auto" w:fill="auto"/>
          </w:tcPr>
          <w:p w:rsidR="001D6B35" w:rsidRPr="00EA63C5" w:rsidRDefault="00673B74" w:rsidP="005F1ED8">
            <w:pPr>
              <w:rPr>
                <w:b/>
                <w:sz w:val="20"/>
                <w:szCs w:val="20"/>
                <w:lang w:val="en-US"/>
              </w:rPr>
            </w:pPr>
            <w:r w:rsidRPr="00EA63C5">
              <w:rPr>
                <w:b/>
                <w:sz w:val="20"/>
                <w:szCs w:val="20"/>
                <w:lang w:val="en-US"/>
              </w:rPr>
              <w:t>Leo Kai Yen Wong</w:t>
            </w:r>
          </w:p>
          <w:p w:rsidR="00673B74" w:rsidRPr="00EA63C5" w:rsidRDefault="00673B74" w:rsidP="005F1ED8">
            <w:pPr>
              <w:rPr>
                <w:sz w:val="20"/>
                <w:szCs w:val="20"/>
                <w:lang w:val="en-US"/>
              </w:rPr>
            </w:pPr>
            <w:r w:rsidRPr="00EA63C5">
              <w:rPr>
                <w:b/>
                <w:sz w:val="20"/>
                <w:szCs w:val="20"/>
                <w:lang w:val="en-US"/>
              </w:rPr>
              <w:tab/>
            </w:r>
            <w:r w:rsidRPr="00EA63C5">
              <w:rPr>
                <w:sz w:val="20"/>
                <w:szCs w:val="20"/>
                <w:lang w:val="en-US"/>
              </w:rPr>
              <w:t>Leo Kai Yen Wong</w:t>
            </w:r>
          </w:p>
          <w:p w:rsidR="00673B74" w:rsidRPr="00EA63C5" w:rsidRDefault="00673B74" w:rsidP="005F1ED8">
            <w:pPr>
              <w:rPr>
                <w:sz w:val="20"/>
                <w:szCs w:val="20"/>
                <w:lang w:val="en-US"/>
              </w:rPr>
            </w:pPr>
          </w:p>
          <w:p w:rsidR="00673B74" w:rsidRPr="00EA63C5" w:rsidRDefault="00673B74" w:rsidP="005F1ED8">
            <w:pPr>
              <w:rPr>
                <w:sz w:val="20"/>
                <w:szCs w:val="20"/>
                <w:lang w:val="en-US"/>
              </w:rPr>
            </w:pPr>
            <w:r w:rsidRPr="00EA63C5">
              <w:rPr>
                <w:sz w:val="20"/>
                <w:szCs w:val="20"/>
                <w:lang w:val="en-US"/>
              </w:rPr>
              <w:tab/>
              <w:t>v. (37227)</w:t>
            </w:r>
          </w:p>
          <w:p w:rsidR="00673B74" w:rsidRPr="00EA63C5" w:rsidRDefault="00673B74" w:rsidP="005F1ED8">
            <w:pPr>
              <w:rPr>
                <w:sz w:val="20"/>
                <w:szCs w:val="20"/>
                <w:lang w:val="en-US"/>
              </w:rPr>
            </w:pPr>
          </w:p>
          <w:p w:rsidR="00673B74" w:rsidRPr="00EA63C5" w:rsidRDefault="00673B74" w:rsidP="005F1ED8">
            <w:pPr>
              <w:rPr>
                <w:b/>
                <w:sz w:val="20"/>
                <w:szCs w:val="20"/>
                <w:lang w:val="en-US"/>
              </w:rPr>
            </w:pPr>
            <w:r w:rsidRPr="00EA63C5">
              <w:rPr>
                <w:b/>
                <w:sz w:val="20"/>
                <w:szCs w:val="20"/>
                <w:lang w:val="en-US"/>
              </w:rPr>
              <w:t>Grant Mitchell Law Corporation et al. (Man.)</w:t>
            </w:r>
          </w:p>
          <w:p w:rsidR="00673B74" w:rsidRPr="00EA63C5" w:rsidRDefault="00673B74" w:rsidP="005F1ED8">
            <w:pPr>
              <w:rPr>
                <w:sz w:val="20"/>
                <w:szCs w:val="20"/>
                <w:lang w:val="en-US"/>
              </w:rPr>
            </w:pPr>
            <w:r w:rsidRPr="00EA63C5">
              <w:rPr>
                <w:sz w:val="20"/>
                <w:szCs w:val="20"/>
                <w:lang w:val="en-US"/>
              </w:rPr>
              <w:tab/>
              <w:t xml:space="preserve">William </w:t>
            </w:r>
            <w:proofErr w:type="spellStart"/>
            <w:r w:rsidRPr="00EA63C5">
              <w:rPr>
                <w:sz w:val="20"/>
                <w:szCs w:val="20"/>
                <w:lang w:val="en-US"/>
              </w:rPr>
              <w:t>Gange</w:t>
            </w:r>
            <w:proofErr w:type="spellEnd"/>
          </w:p>
          <w:p w:rsidR="00673B74" w:rsidRPr="00EA63C5" w:rsidRDefault="00673B74" w:rsidP="005F1ED8">
            <w:pPr>
              <w:rPr>
                <w:sz w:val="20"/>
                <w:szCs w:val="20"/>
                <w:lang w:val="en-US"/>
              </w:rPr>
            </w:pPr>
            <w:r w:rsidRPr="00EA63C5">
              <w:rPr>
                <w:sz w:val="20"/>
                <w:szCs w:val="20"/>
                <w:lang w:val="en-US"/>
              </w:rPr>
              <w:tab/>
            </w:r>
            <w:proofErr w:type="spellStart"/>
            <w:r w:rsidRPr="00EA63C5">
              <w:rPr>
                <w:sz w:val="20"/>
                <w:szCs w:val="20"/>
                <w:lang w:val="en-US"/>
              </w:rPr>
              <w:t>Gange</w:t>
            </w:r>
            <w:proofErr w:type="spellEnd"/>
            <w:r w:rsidRPr="00EA63C5">
              <w:rPr>
                <w:sz w:val="20"/>
                <w:szCs w:val="20"/>
                <w:lang w:val="en-US"/>
              </w:rPr>
              <w:t xml:space="preserve"> Collins Holloway</w:t>
            </w:r>
          </w:p>
          <w:p w:rsidR="00673B74" w:rsidRPr="00EA63C5" w:rsidRDefault="00673B74" w:rsidP="005F1ED8">
            <w:pPr>
              <w:rPr>
                <w:sz w:val="20"/>
                <w:szCs w:val="20"/>
                <w:lang w:val="en-US"/>
              </w:rPr>
            </w:pPr>
          </w:p>
          <w:p w:rsidR="00673B74" w:rsidRPr="00EA63C5" w:rsidRDefault="00673B74" w:rsidP="005F1ED8">
            <w:pPr>
              <w:rPr>
                <w:sz w:val="20"/>
                <w:szCs w:val="20"/>
                <w:lang w:val="en-US"/>
              </w:rPr>
            </w:pPr>
            <w:r w:rsidRPr="00EA63C5">
              <w:rPr>
                <w:sz w:val="20"/>
                <w:szCs w:val="20"/>
                <w:lang w:val="en-US"/>
              </w:rPr>
              <w:t>FILING DATE: 08.09.2016</w:t>
            </w:r>
          </w:p>
          <w:p w:rsidR="00673B74" w:rsidRPr="00EA63C5" w:rsidRDefault="007F6DC5" w:rsidP="005F1ED8">
            <w:pPr>
              <w:rPr>
                <w:sz w:val="20"/>
                <w:szCs w:val="20"/>
                <w:lang w:val="en-US"/>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1D6B35" w:rsidRPr="00EA63C5" w:rsidRDefault="001D6B35" w:rsidP="00242AEE">
            <w:pPr>
              <w:jc w:val="center"/>
              <w:rPr>
                <w:sz w:val="20"/>
                <w:szCs w:val="20"/>
                <w:lang w:val="en-US"/>
              </w:rPr>
            </w:pPr>
          </w:p>
        </w:tc>
        <w:tc>
          <w:tcPr>
            <w:tcW w:w="4320" w:type="dxa"/>
            <w:shd w:val="clear" w:color="auto" w:fill="auto"/>
          </w:tcPr>
          <w:p w:rsidR="00673B74" w:rsidRPr="00EA63C5" w:rsidRDefault="00673B74" w:rsidP="00673B74">
            <w:pPr>
              <w:rPr>
                <w:b/>
                <w:sz w:val="20"/>
                <w:szCs w:val="20"/>
                <w:lang w:val="en-US"/>
              </w:rPr>
            </w:pPr>
            <w:r w:rsidRPr="00EA63C5">
              <w:rPr>
                <w:b/>
                <w:sz w:val="20"/>
                <w:szCs w:val="20"/>
                <w:lang w:val="en-US"/>
              </w:rPr>
              <w:t xml:space="preserve">Ade </w:t>
            </w:r>
            <w:proofErr w:type="spellStart"/>
            <w:r w:rsidRPr="00EA63C5">
              <w:rPr>
                <w:b/>
                <w:sz w:val="20"/>
                <w:szCs w:val="20"/>
                <w:lang w:val="en-US"/>
              </w:rPr>
              <w:t>Olumide</w:t>
            </w:r>
            <w:proofErr w:type="spellEnd"/>
          </w:p>
          <w:p w:rsidR="00673B74" w:rsidRPr="00EA63C5" w:rsidRDefault="00673B74" w:rsidP="00673B74">
            <w:pPr>
              <w:rPr>
                <w:sz w:val="20"/>
                <w:szCs w:val="20"/>
                <w:lang w:val="en-US"/>
              </w:rPr>
            </w:pPr>
            <w:r w:rsidRPr="00EA63C5">
              <w:rPr>
                <w:b/>
                <w:sz w:val="20"/>
                <w:szCs w:val="20"/>
                <w:lang w:val="en-US"/>
              </w:rPr>
              <w:tab/>
            </w:r>
            <w:r w:rsidRPr="00EA63C5">
              <w:rPr>
                <w:sz w:val="20"/>
                <w:szCs w:val="20"/>
                <w:lang w:val="en-US"/>
              </w:rPr>
              <w:t xml:space="preserve">Ade </w:t>
            </w:r>
            <w:proofErr w:type="spellStart"/>
            <w:r w:rsidRPr="00EA63C5">
              <w:rPr>
                <w:sz w:val="20"/>
                <w:szCs w:val="20"/>
                <w:lang w:val="en-US"/>
              </w:rPr>
              <w:t>Olumide</w:t>
            </w:r>
            <w:proofErr w:type="spellEnd"/>
          </w:p>
          <w:p w:rsidR="00673B74" w:rsidRPr="00EA63C5" w:rsidRDefault="00673B74" w:rsidP="00673B74">
            <w:pPr>
              <w:rPr>
                <w:sz w:val="20"/>
                <w:szCs w:val="20"/>
                <w:lang w:val="en-US"/>
              </w:rPr>
            </w:pPr>
          </w:p>
          <w:p w:rsidR="00673B74" w:rsidRPr="00EA63C5" w:rsidRDefault="00673B74" w:rsidP="00673B74">
            <w:pPr>
              <w:rPr>
                <w:sz w:val="20"/>
                <w:szCs w:val="20"/>
                <w:lang w:val="en-US"/>
              </w:rPr>
            </w:pPr>
            <w:r w:rsidRPr="00EA63C5">
              <w:rPr>
                <w:sz w:val="20"/>
                <w:szCs w:val="20"/>
                <w:lang w:val="en-US"/>
              </w:rPr>
              <w:tab/>
              <w:t>v. (37246)</w:t>
            </w:r>
          </w:p>
          <w:p w:rsidR="00673B74" w:rsidRPr="00EA63C5" w:rsidRDefault="00673B74" w:rsidP="00673B74">
            <w:pPr>
              <w:rPr>
                <w:sz w:val="20"/>
                <w:szCs w:val="20"/>
                <w:lang w:val="en-US"/>
              </w:rPr>
            </w:pPr>
          </w:p>
          <w:p w:rsidR="00673B74" w:rsidRPr="00EA63C5" w:rsidRDefault="00673B74" w:rsidP="00673B74">
            <w:pPr>
              <w:rPr>
                <w:b/>
                <w:sz w:val="20"/>
                <w:szCs w:val="20"/>
                <w:lang w:val="en-US"/>
              </w:rPr>
            </w:pPr>
            <w:r w:rsidRPr="00EA63C5">
              <w:rPr>
                <w:b/>
                <w:sz w:val="20"/>
                <w:szCs w:val="20"/>
                <w:lang w:val="en-US"/>
              </w:rPr>
              <w:t>Conservative Party of Canada (Ont.)</w:t>
            </w:r>
          </w:p>
          <w:p w:rsidR="00673B74" w:rsidRPr="00EA63C5" w:rsidRDefault="00673B74" w:rsidP="00673B74">
            <w:pPr>
              <w:rPr>
                <w:sz w:val="20"/>
                <w:szCs w:val="20"/>
                <w:lang w:val="en-US"/>
              </w:rPr>
            </w:pPr>
            <w:r w:rsidRPr="00EA63C5">
              <w:rPr>
                <w:sz w:val="20"/>
                <w:szCs w:val="20"/>
                <w:lang w:val="en-US"/>
              </w:rPr>
              <w:tab/>
              <w:t>Paul D’Angelo</w:t>
            </w:r>
          </w:p>
          <w:p w:rsidR="00673B74" w:rsidRPr="00EA63C5" w:rsidRDefault="00673B74" w:rsidP="00673B74">
            <w:pPr>
              <w:rPr>
                <w:sz w:val="20"/>
                <w:szCs w:val="20"/>
                <w:lang w:val="en-US"/>
              </w:rPr>
            </w:pPr>
            <w:r w:rsidRPr="00EA63C5">
              <w:rPr>
                <w:sz w:val="20"/>
                <w:szCs w:val="20"/>
                <w:lang w:val="en-US"/>
              </w:rPr>
              <w:tab/>
            </w:r>
            <w:proofErr w:type="spellStart"/>
            <w:r w:rsidRPr="00EA63C5">
              <w:rPr>
                <w:sz w:val="20"/>
                <w:szCs w:val="20"/>
                <w:lang w:val="en-US"/>
              </w:rPr>
              <w:t>Perley</w:t>
            </w:r>
            <w:proofErr w:type="spellEnd"/>
            <w:r w:rsidRPr="00EA63C5">
              <w:rPr>
                <w:sz w:val="20"/>
                <w:szCs w:val="20"/>
                <w:lang w:val="en-US"/>
              </w:rPr>
              <w:t>-Robertson Hill &amp; McDougall</w:t>
            </w:r>
          </w:p>
          <w:p w:rsidR="00673B74" w:rsidRPr="00EA63C5" w:rsidRDefault="00673B74" w:rsidP="00673B74">
            <w:pPr>
              <w:rPr>
                <w:sz w:val="20"/>
                <w:szCs w:val="20"/>
                <w:lang w:val="en-US"/>
              </w:rPr>
            </w:pPr>
          </w:p>
          <w:p w:rsidR="00673B74" w:rsidRPr="00EA63C5" w:rsidRDefault="00673B74" w:rsidP="00673B74">
            <w:pPr>
              <w:rPr>
                <w:sz w:val="20"/>
                <w:szCs w:val="20"/>
                <w:lang w:val="en-US"/>
              </w:rPr>
            </w:pPr>
            <w:r w:rsidRPr="00EA63C5">
              <w:rPr>
                <w:sz w:val="20"/>
                <w:szCs w:val="20"/>
                <w:lang w:val="en-US"/>
              </w:rPr>
              <w:t>FILING DATE: 16.05.2016</w:t>
            </w:r>
          </w:p>
          <w:p w:rsidR="001D6B35" w:rsidRPr="00EA63C5" w:rsidRDefault="007F6DC5" w:rsidP="00673B74">
            <w:pPr>
              <w:rPr>
                <w:sz w:val="20"/>
                <w:szCs w:val="20"/>
                <w:lang w:val="en-US"/>
              </w:rPr>
            </w:pPr>
            <w:r>
              <w:rPr>
                <w:sz w:val="20"/>
                <w:szCs w:val="20"/>
                <w:lang w:val="fr-CA"/>
              </w:rPr>
              <w:pict>
                <v:rect id="_x0000_i1044" style="width:108pt;height:1pt" o:hrpct="0" o:hralign="center" o:hrstd="t" o:hrnoshade="t" o:hr="t" fillcolor="black [3213]" stroked="f"/>
              </w:pict>
            </w:r>
          </w:p>
        </w:tc>
      </w:tr>
      <w:tr w:rsidR="00673B74" w:rsidRPr="00EA63C5" w:rsidTr="003B3977">
        <w:trPr>
          <w:cantSplit/>
        </w:trPr>
        <w:tc>
          <w:tcPr>
            <w:tcW w:w="4320" w:type="dxa"/>
            <w:shd w:val="clear" w:color="auto" w:fill="auto"/>
          </w:tcPr>
          <w:p w:rsidR="00673B74" w:rsidRPr="00EA63C5" w:rsidRDefault="00673B74" w:rsidP="00673B74">
            <w:pPr>
              <w:rPr>
                <w:b/>
                <w:sz w:val="20"/>
                <w:szCs w:val="20"/>
                <w:lang w:val="en-US"/>
              </w:rPr>
            </w:pPr>
            <w:r w:rsidRPr="00EA63C5">
              <w:rPr>
                <w:b/>
                <w:sz w:val="20"/>
                <w:szCs w:val="20"/>
                <w:lang w:val="en-US"/>
              </w:rPr>
              <w:lastRenderedPageBreak/>
              <w:t xml:space="preserve">Royal Insurance Company of Canada, Continental Casualty Company and Certain Underwriters at </w:t>
            </w:r>
            <w:proofErr w:type="spellStart"/>
            <w:r w:rsidRPr="00EA63C5">
              <w:rPr>
                <w:b/>
                <w:sz w:val="20"/>
                <w:szCs w:val="20"/>
                <w:lang w:val="en-US"/>
              </w:rPr>
              <w:t>Loyd’s</w:t>
            </w:r>
            <w:proofErr w:type="spellEnd"/>
            <w:r w:rsidRPr="00EA63C5">
              <w:rPr>
                <w:b/>
                <w:sz w:val="20"/>
                <w:szCs w:val="20"/>
                <w:lang w:val="en-US"/>
              </w:rPr>
              <w:t xml:space="preserve"> Under Contract No. ENC5-98</w:t>
            </w:r>
          </w:p>
          <w:p w:rsidR="00673B74" w:rsidRPr="00EA63C5" w:rsidRDefault="00673B74" w:rsidP="00673B74">
            <w:pPr>
              <w:rPr>
                <w:sz w:val="20"/>
                <w:szCs w:val="20"/>
                <w:lang w:val="en-US"/>
              </w:rPr>
            </w:pPr>
            <w:r w:rsidRPr="00EA63C5">
              <w:rPr>
                <w:b/>
                <w:sz w:val="20"/>
                <w:szCs w:val="20"/>
                <w:lang w:val="en-US"/>
              </w:rPr>
              <w:tab/>
            </w:r>
            <w:r w:rsidRPr="00EA63C5">
              <w:rPr>
                <w:sz w:val="20"/>
                <w:szCs w:val="20"/>
                <w:lang w:val="en-US"/>
              </w:rPr>
              <w:t xml:space="preserve">Morris A. </w:t>
            </w:r>
            <w:proofErr w:type="spellStart"/>
            <w:r w:rsidRPr="00EA63C5">
              <w:rPr>
                <w:sz w:val="20"/>
                <w:szCs w:val="20"/>
                <w:lang w:val="en-US"/>
              </w:rPr>
              <w:t>Chochla</w:t>
            </w:r>
            <w:proofErr w:type="spellEnd"/>
          </w:p>
          <w:p w:rsidR="00673B74" w:rsidRPr="00EA63C5" w:rsidRDefault="00673B74" w:rsidP="00673B74">
            <w:pPr>
              <w:rPr>
                <w:sz w:val="20"/>
                <w:szCs w:val="20"/>
                <w:lang w:val="en-US"/>
              </w:rPr>
            </w:pPr>
            <w:r w:rsidRPr="00EA63C5">
              <w:rPr>
                <w:sz w:val="20"/>
                <w:szCs w:val="20"/>
                <w:lang w:val="en-US"/>
              </w:rPr>
              <w:tab/>
              <w:t xml:space="preserve">Forbes </w:t>
            </w:r>
            <w:proofErr w:type="spellStart"/>
            <w:r w:rsidRPr="00EA63C5">
              <w:rPr>
                <w:sz w:val="20"/>
                <w:szCs w:val="20"/>
                <w:lang w:val="en-US"/>
              </w:rPr>
              <w:t>Chochlat</w:t>
            </w:r>
            <w:proofErr w:type="spellEnd"/>
            <w:r w:rsidRPr="00EA63C5">
              <w:rPr>
                <w:sz w:val="20"/>
                <w:szCs w:val="20"/>
                <w:lang w:val="en-US"/>
              </w:rPr>
              <w:t xml:space="preserve"> LLP</w:t>
            </w:r>
          </w:p>
          <w:p w:rsidR="00673B74" w:rsidRPr="00EA63C5" w:rsidRDefault="00673B74" w:rsidP="00673B74">
            <w:pPr>
              <w:rPr>
                <w:sz w:val="20"/>
                <w:szCs w:val="20"/>
                <w:lang w:val="en-US"/>
              </w:rPr>
            </w:pPr>
          </w:p>
          <w:p w:rsidR="00673B74" w:rsidRPr="00EA63C5" w:rsidRDefault="00673B74" w:rsidP="00673B74">
            <w:pPr>
              <w:rPr>
                <w:sz w:val="20"/>
                <w:szCs w:val="20"/>
                <w:lang w:val="en-US"/>
              </w:rPr>
            </w:pPr>
            <w:r w:rsidRPr="00EA63C5">
              <w:rPr>
                <w:sz w:val="20"/>
                <w:szCs w:val="20"/>
                <w:lang w:val="en-US"/>
              </w:rPr>
              <w:tab/>
              <w:t>v. (37217)</w:t>
            </w:r>
          </w:p>
          <w:p w:rsidR="00673B74" w:rsidRPr="00EA63C5" w:rsidRDefault="00673B74" w:rsidP="00673B74">
            <w:pPr>
              <w:rPr>
                <w:sz w:val="20"/>
                <w:szCs w:val="20"/>
                <w:lang w:val="en-US"/>
              </w:rPr>
            </w:pPr>
          </w:p>
          <w:p w:rsidR="00673B74" w:rsidRPr="00EA63C5" w:rsidRDefault="00673B74" w:rsidP="00673B74">
            <w:pPr>
              <w:rPr>
                <w:b/>
                <w:sz w:val="20"/>
                <w:szCs w:val="20"/>
                <w:lang w:val="en-US"/>
              </w:rPr>
            </w:pPr>
            <w:r w:rsidRPr="00EA63C5">
              <w:rPr>
                <w:b/>
                <w:sz w:val="20"/>
                <w:szCs w:val="20"/>
                <w:lang w:val="en-US"/>
              </w:rPr>
              <w:t xml:space="preserve">Michael </w:t>
            </w:r>
            <w:proofErr w:type="spellStart"/>
            <w:r w:rsidRPr="00EA63C5">
              <w:rPr>
                <w:b/>
                <w:sz w:val="20"/>
                <w:szCs w:val="20"/>
                <w:lang w:val="en-US"/>
              </w:rPr>
              <w:t>Visocchi</w:t>
            </w:r>
            <w:proofErr w:type="spellEnd"/>
            <w:r w:rsidRPr="00EA63C5">
              <w:rPr>
                <w:b/>
                <w:sz w:val="20"/>
                <w:szCs w:val="20"/>
                <w:lang w:val="en-US"/>
              </w:rPr>
              <w:t xml:space="preserve"> and </w:t>
            </w:r>
            <w:proofErr w:type="spellStart"/>
            <w:r w:rsidRPr="00EA63C5">
              <w:rPr>
                <w:b/>
                <w:sz w:val="20"/>
                <w:szCs w:val="20"/>
                <w:lang w:val="en-US"/>
              </w:rPr>
              <w:t>Visco</w:t>
            </w:r>
            <w:proofErr w:type="spellEnd"/>
            <w:r w:rsidRPr="00EA63C5">
              <w:rPr>
                <w:b/>
                <w:sz w:val="20"/>
                <w:szCs w:val="20"/>
                <w:lang w:val="en-US"/>
              </w:rPr>
              <w:t xml:space="preserve"> Engineering Inc. et al. (Ont.)</w:t>
            </w:r>
          </w:p>
          <w:p w:rsidR="00673B74" w:rsidRPr="00EA63C5" w:rsidRDefault="00673B74" w:rsidP="00673B74">
            <w:pPr>
              <w:rPr>
                <w:sz w:val="20"/>
                <w:szCs w:val="20"/>
                <w:lang w:val="en-US"/>
              </w:rPr>
            </w:pPr>
            <w:r w:rsidRPr="00EA63C5">
              <w:rPr>
                <w:b/>
                <w:sz w:val="20"/>
                <w:szCs w:val="20"/>
                <w:lang w:val="en-US"/>
              </w:rPr>
              <w:tab/>
            </w:r>
            <w:r w:rsidRPr="00EA63C5">
              <w:rPr>
                <w:sz w:val="20"/>
                <w:szCs w:val="20"/>
                <w:lang w:val="en-US"/>
              </w:rPr>
              <w:t xml:space="preserve">Alan J. </w:t>
            </w:r>
            <w:proofErr w:type="spellStart"/>
            <w:r w:rsidRPr="00EA63C5">
              <w:rPr>
                <w:sz w:val="20"/>
                <w:szCs w:val="20"/>
                <w:lang w:val="en-US"/>
              </w:rPr>
              <w:t>Lenczner</w:t>
            </w:r>
            <w:proofErr w:type="spellEnd"/>
          </w:p>
          <w:p w:rsidR="00D904AC" w:rsidRPr="00EA63C5" w:rsidRDefault="00D904AC" w:rsidP="00673B74">
            <w:pPr>
              <w:rPr>
                <w:sz w:val="20"/>
                <w:szCs w:val="20"/>
                <w:lang w:val="en-US"/>
              </w:rPr>
            </w:pPr>
            <w:r w:rsidRPr="00EA63C5">
              <w:rPr>
                <w:sz w:val="20"/>
                <w:szCs w:val="20"/>
                <w:lang w:val="en-US"/>
              </w:rPr>
              <w:tab/>
            </w:r>
            <w:proofErr w:type="spellStart"/>
            <w:r w:rsidRPr="00EA63C5">
              <w:rPr>
                <w:sz w:val="20"/>
                <w:szCs w:val="20"/>
                <w:lang w:val="en-US"/>
              </w:rPr>
              <w:t>Lenczner</w:t>
            </w:r>
            <w:proofErr w:type="spellEnd"/>
            <w:r w:rsidRPr="00EA63C5">
              <w:rPr>
                <w:sz w:val="20"/>
                <w:szCs w:val="20"/>
                <w:lang w:val="en-US"/>
              </w:rPr>
              <w:t xml:space="preserve"> </w:t>
            </w:r>
            <w:proofErr w:type="spellStart"/>
            <w:r w:rsidRPr="00EA63C5">
              <w:rPr>
                <w:sz w:val="20"/>
                <w:szCs w:val="20"/>
                <w:lang w:val="en-US"/>
              </w:rPr>
              <w:t>Slaght</w:t>
            </w:r>
            <w:proofErr w:type="spellEnd"/>
            <w:r w:rsidRPr="00EA63C5">
              <w:rPr>
                <w:sz w:val="20"/>
                <w:szCs w:val="20"/>
                <w:lang w:val="en-US"/>
              </w:rPr>
              <w:t xml:space="preserve"> Royce Smith Griffin </w:t>
            </w:r>
            <w:r w:rsidRPr="00EA63C5">
              <w:rPr>
                <w:sz w:val="20"/>
                <w:szCs w:val="20"/>
                <w:lang w:val="en-US"/>
              </w:rPr>
              <w:tab/>
              <w:t>LLP</w:t>
            </w:r>
          </w:p>
          <w:p w:rsidR="00D904AC" w:rsidRPr="00EA63C5" w:rsidRDefault="00D904AC" w:rsidP="00673B74">
            <w:pPr>
              <w:rPr>
                <w:sz w:val="20"/>
                <w:szCs w:val="20"/>
                <w:lang w:val="en-US"/>
              </w:rPr>
            </w:pPr>
          </w:p>
          <w:p w:rsidR="00D904AC" w:rsidRPr="00EA63C5" w:rsidRDefault="00D904AC" w:rsidP="00673B74">
            <w:pPr>
              <w:rPr>
                <w:sz w:val="20"/>
                <w:szCs w:val="20"/>
                <w:lang w:val="en-US"/>
              </w:rPr>
            </w:pPr>
            <w:r w:rsidRPr="00EA63C5">
              <w:rPr>
                <w:sz w:val="20"/>
                <w:szCs w:val="20"/>
                <w:lang w:val="en-US"/>
              </w:rPr>
              <w:t>FILING DATE: 29.09.2016</w:t>
            </w:r>
          </w:p>
          <w:p w:rsidR="00D904AC" w:rsidRPr="00EA63C5" w:rsidRDefault="007F6DC5" w:rsidP="00673B74">
            <w:pPr>
              <w:rPr>
                <w:sz w:val="20"/>
                <w:szCs w:val="20"/>
                <w:lang w:val="fr-CA"/>
              </w:rPr>
            </w:pPr>
            <w:r>
              <w:rPr>
                <w:sz w:val="20"/>
                <w:szCs w:val="20"/>
                <w:lang w:val="fr-CA"/>
              </w:rPr>
              <w:pict>
                <v:rect id="_x0000_i1045" style="width:108pt;height:1pt" o:hrpct="0" o:hralign="center" o:hrstd="t" o:hrnoshade="t" o:hr="t" fillcolor="black [3213]" stroked="f"/>
              </w:pict>
            </w:r>
          </w:p>
          <w:p w:rsidR="00D904AC" w:rsidRPr="00EA63C5" w:rsidRDefault="00D904AC" w:rsidP="00673B74">
            <w:pPr>
              <w:rPr>
                <w:sz w:val="20"/>
                <w:szCs w:val="20"/>
                <w:lang w:val="en-US"/>
              </w:rPr>
            </w:pPr>
          </w:p>
        </w:tc>
        <w:tc>
          <w:tcPr>
            <w:tcW w:w="1181" w:type="dxa"/>
            <w:shd w:val="clear" w:color="auto" w:fill="auto"/>
          </w:tcPr>
          <w:p w:rsidR="00673B74" w:rsidRPr="00EA63C5" w:rsidRDefault="00673B74" w:rsidP="00242AEE">
            <w:pPr>
              <w:jc w:val="center"/>
              <w:rPr>
                <w:sz w:val="20"/>
                <w:szCs w:val="20"/>
                <w:lang w:val="en-US"/>
              </w:rPr>
            </w:pPr>
          </w:p>
        </w:tc>
        <w:tc>
          <w:tcPr>
            <w:tcW w:w="4320" w:type="dxa"/>
            <w:shd w:val="clear" w:color="auto" w:fill="auto"/>
          </w:tcPr>
          <w:p w:rsidR="008F7FB3" w:rsidRPr="00EA63C5" w:rsidRDefault="008F7FB3" w:rsidP="008F7FB3">
            <w:pPr>
              <w:rPr>
                <w:b/>
                <w:sz w:val="20"/>
                <w:szCs w:val="20"/>
                <w:lang w:val="fr-CA"/>
              </w:rPr>
            </w:pPr>
            <w:r w:rsidRPr="00EA63C5">
              <w:rPr>
                <w:b/>
                <w:sz w:val="20"/>
                <w:szCs w:val="20"/>
                <w:lang w:val="fr-CA"/>
              </w:rPr>
              <w:t>André Dupuy</w:t>
            </w:r>
          </w:p>
          <w:p w:rsidR="008F7FB3" w:rsidRPr="00EA63C5" w:rsidRDefault="008F7FB3" w:rsidP="008F7FB3">
            <w:pPr>
              <w:rPr>
                <w:sz w:val="20"/>
                <w:szCs w:val="20"/>
                <w:lang w:val="fr-CA"/>
              </w:rPr>
            </w:pPr>
            <w:r w:rsidRPr="00EA63C5">
              <w:rPr>
                <w:b/>
                <w:sz w:val="20"/>
                <w:szCs w:val="20"/>
                <w:lang w:val="fr-CA"/>
              </w:rPr>
              <w:tab/>
            </w:r>
            <w:r w:rsidRPr="00EA63C5">
              <w:rPr>
                <w:sz w:val="20"/>
                <w:szCs w:val="20"/>
                <w:lang w:val="fr-CA"/>
              </w:rPr>
              <w:t xml:space="preserve">Pierre </w:t>
            </w:r>
            <w:proofErr w:type="spellStart"/>
            <w:r w:rsidRPr="00EA63C5">
              <w:rPr>
                <w:sz w:val="20"/>
                <w:szCs w:val="20"/>
                <w:lang w:val="fr-CA"/>
              </w:rPr>
              <w:t>Perigny</w:t>
            </w:r>
            <w:proofErr w:type="spellEnd"/>
          </w:p>
          <w:p w:rsidR="008F7FB3" w:rsidRPr="00EA63C5" w:rsidRDefault="008F7FB3" w:rsidP="008F7FB3">
            <w:pPr>
              <w:rPr>
                <w:sz w:val="20"/>
                <w:szCs w:val="20"/>
                <w:lang w:val="fr-CA"/>
              </w:rPr>
            </w:pPr>
            <w:r w:rsidRPr="00EA63C5">
              <w:rPr>
                <w:sz w:val="20"/>
                <w:szCs w:val="20"/>
                <w:lang w:val="fr-CA"/>
              </w:rPr>
              <w:tab/>
              <w:t xml:space="preserve">Dupuis </w:t>
            </w:r>
            <w:proofErr w:type="spellStart"/>
            <w:r w:rsidRPr="00EA63C5">
              <w:rPr>
                <w:sz w:val="20"/>
                <w:szCs w:val="20"/>
                <w:lang w:val="fr-CA"/>
              </w:rPr>
              <w:t>Perigny</w:t>
            </w:r>
            <w:proofErr w:type="spellEnd"/>
            <w:r w:rsidRPr="00EA63C5">
              <w:rPr>
                <w:sz w:val="20"/>
                <w:szCs w:val="20"/>
                <w:lang w:val="fr-CA"/>
              </w:rPr>
              <w:t xml:space="preserve"> Avocats</w:t>
            </w:r>
          </w:p>
          <w:p w:rsidR="008F7FB3" w:rsidRPr="00EA63C5" w:rsidRDefault="008F7FB3" w:rsidP="008F7FB3">
            <w:pPr>
              <w:rPr>
                <w:sz w:val="20"/>
                <w:szCs w:val="20"/>
                <w:lang w:val="fr-CA"/>
              </w:rPr>
            </w:pPr>
          </w:p>
          <w:p w:rsidR="008F7FB3" w:rsidRPr="00EA63C5" w:rsidRDefault="008F7FB3" w:rsidP="008F7FB3">
            <w:pPr>
              <w:rPr>
                <w:sz w:val="20"/>
                <w:szCs w:val="20"/>
                <w:lang w:val="fr-CA"/>
              </w:rPr>
            </w:pPr>
            <w:r w:rsidRPr="00EA63C5">
              <w:rPr>
                <w:sz w:val="20"/>
                <w:szCs w:val="20"/>
                <w:lang w:val="fr-CA"/>
              </w:rPr>
              <w:tab/>
              <w:t>c. (37225)</w:t>
            </w:r>
          </w:p>
          <w:p w:rsidR="008F7FB3" w:rsidRPr="00EA63C5" w:rsidRDefault="008F7FB3" w:rsidP="008F7FB3">
            <w:pPr>
              <w:rPr>
                <w:sz w:val="20"/>
                <w:szCs w:val="20"/>
                <w:lang w:val="fr-CA"/>
              </w:rPr>
            </w:pPr>
          </w:p>
          <w:p w:rsidR="008F7FB3" w:rsidRPr="00EA63C5" w:rsidRDefault="008F7FB3" w:rsidP="008F7FB3">
            <w:pPr>
              <w:rPr>
                <w:b/>
                <w:sz w:val="20"/>
                <w:szCs w:val="20"/>
                <w:lang w:val="fr-CA"/>
              </w:rPr>
            </w:pPr>
            <w:r w:rsidRPr="00EA63C5">
              <w:rPr>
                <w:b/>
                <w:sz w:val="20"/>
                <w:szCs w:val="20"/>
                <w:lang w:val="fr-CA"/>
              </w:rPr>
              <w:t>Conrad Leblanc (</w:t>
            </w:r>
            <w:proofErr w:type="spellStart"/>
            <w:r w:rsidRPr="00EA63C5">
              <w:rPr>
                <w:b/>
                <w:sz w:val="20"/>
                <w:szCs w:val="20"/>
                <w:lang w:val="fr-CA"/>
              </w:rPr>
              <w:t>Qc</w:t>
            </w:r>
            <w:proofErr w:type="spellEnd"/>
            <w:r w:rsidRPr="00EA63C5">
              <w:rPr>
                <w:b/>
                <w:sz w:val="20"/>
                <w:szCs w:val="20"/>
                <w:lang w:val="fr-CA"/>
              </w:rPr>
              <w:t>)</w:t>
            </w:r>
          </w:p>
          <w:p w:rsidR="008F7FB3" w:rsidRPr="00EA63C5" w:rsidRDefault="008F7FB3" w:rsidP="008F7FB3">
            <w:pPr>
              <w:rPr>
                <w:sz w:val="20"/>
                <w:szCs w:val="20"/>
                <w:lang w:val="fr-CA"/>
              </w:rPr>
            </w:pPr>
            <w:r w:rsidRPr="00EA63C5">
              <w:rPr>
                <w:b/>
                <w:sz w:val="20"/>
                <w:szCs w:val="20"/>
                <w:lang w:val="fr-CA"/>
              </w:rPr>
              <w:tab/>
            </w:r>
            <w:r w:rsidRPr="00EA63C5">
              <w:rPr>
                <w:sz w:val="20"/>
                <w:szCs w:val="20"/>
                <w:lang w:val="fr-CA"/>
              </w:rPr>
              <w:t>Jean-Philippe Asselin</w:t>
            </w:r>
          </w:p>
          <w:p w:rsidR="008F7FB3" w:rsidRPr="00EA63C5" w:rsidRDefault="008F7FB3" w:rsidP="008F7FB3">
            <w:pPr>
              <w:rPr>
                <w:sz w:val="20"/>
                <w:szCs w:val="20"/>
                <w:lang w:val="fr-CA"/>
              </w:rPr>
            </w:pPr>
            <w:r w:rsidRPr="00EA63C5">
              <w:rPr>
                <w:sz w:val="20"/>
                <w:szCs w:val="20"/>
                <w:lang w:val="fr-CA"/>
              </w:rPr>
              <w:tab/>
              <w:t>Deveau Avocats</w:t>
            </w:r>
          </w:p>
          <w:p w:rsidR="008F7FB3" w:rsidRPr="00EA63C5" w:rsidRDefault="008F7FB3" w:rsidP="008F7FB3">
            <w:pPr>
              <w:rPr>
                <w:sz w:val="20"/>
                <w:szCs w:val="20"/>
                <w:lang w:val="fr-CA"/>
              </w:rPr>
            </w:pPr>
          </w:p>
          <w:p w:rsidR="008F7FB3" w:rsidRPr="00EA63C5" w:rsidRDefault="008F7FB3" w:rsidP="008F7FB3">
            <w:pPr>
              <w:rPr>
                <w:sz w:val="20"/>
                <w:szCs w:val="20"/>
                <w:lang w:val="fr-CA"/>
              </w:rPr>
            </w:pPr>
            <w:r w:rsidRPr="00EA63C5">
              <w:rPr>
                <w:sz w:val="20"/>
                <w:szCs w:val="20"/>
                <w:lang w:val="fr-CA"/>
              </w:rPr>
              <w:t>DATE DE PRODUCTION: 29.09.2016</w:t>
            </w:r>
          </w:p>
          <w:p w:rsidR="008F7FB3" w:rsidRPr="00EA63C5" w:rsidRDefault="007F6DC5" w:rsidP="008F7FB3">
            <w:pPr>
              <w:rPr>
                <w:sz w:val="20"/>
                <w:szCs w:val="20"/>
                <w:lang w:val="en-US"/>
              </w:rPr>
            </w:pPr>
            <w:r>
              <w:rPr>
                <w:sz w:val="20"/>
                <w:szCs w:val="20"/>
                <w:lang w:val="fr-CA"/>
              </w:rPr>
              <w:pict>
                <v:rect id="_x0000_i1046" style="width:108pt;height:1pt" o:hrpct="0" o:hralign="center" o:hrstd="t" o:hrnoshade="t" o:hr="t" fillcolor="black [3213]" stroked="f"/>
              </w:pict>
            </w:r>
          </w:p>
        </w:tc>
      </w:tr>
      <w:tr w:rsidR="00673B74" w:rsidRPr="00EA63C5" w:rsidTr="003B3977">
        <w:trPr>
          <w:cantSplit/>
        </w:trPr>
        <w:tc>
          <w:tcPr>
            <w:tcW w:w="4320" w:type="dxa"/>
            <w:shd w:val="clear" w:color="auto" w:fill="auto"/>
          </w:tcPr>
          <w:p w:rsidR="00673B74" w:rsidRPr="00EA63C5" w:rsidRDefault="008F7FB3" w:rsidP="005F1ED8">
            <w:pPr>
              <w:rPr>
                <w:b/>
                <w:sz w:val="20"/>
                <w:szCs w:val="20"/>
                <w:lang w:val="en-US"/>
              </w:rPr>
            </w:pPr>
            <w:r w:rsidRPr="00EA63C5">
              <w:rPr>
                <w:b/>
                <w:sz w:val="20"/>
                <w:szCs w:val="20"/>
                <w:lang w:val="en-US"/>
              </w:rPr>
              <w:t xml:space="preserve">Ajay </w:t>
            </w:r>
            <w:proofErr w:type="spellStart"/>
            <w:r w:rsidRPr="00EA63C5">
              <w:rPr>
                <w:b/>
                <w:sz w:val="20"/>
                <w:szCs w:val="20"/>
                <w:lang w:val="en-US"/>
              </w:rPr>
              <w:t>Misra</w:t>
            </w:r>
            <w:proofErr w:type="spellEnd"/>
          </w:p>
          <w:p w:rsidR="008F7FB3" w:rsidRPr="00EA63C5" w:rsidRDefault="008F7FB3" w:rsidP="005F1ED8">
            <w:pPr>
              <w:rPr>
                <w:sz w:val="20"/>
                <w:szCs w:val="20"/>
                <w:lang w:val="en-US"/>
              </w:rPr>
            </w:pPr>
            <w:r w:rsidRPr="00EA63C5">
              <w:rPr>
                <w:b/>
                <w:sz w:val="20"/>
                <w:szCs w:val="20"/>
                <w:lang w:val="en-US"/>
              </w:rPr>
              <w:tab/>
            </w:r>
            <w:r w:rsidRPr="00EA63C5">
              <w:rPr>
                <w:sz w:val="20"/>
                <w:szCs w:val="20"/>
                <w:lang w:val="en-US"/>
              </w:rPr>
              <w:t xml:space="preserve">Ajay </w:t>
            </w:r>
            <w:proofErr w:type="spellStart"/>
            <w:r w:rsidRPr="00EA63C5">
              <w:rPr>
                <w:sz w:val="20"/>
                <w:szCs w:val="20"/>
                <w:lang w:val="en-US"/>
              </w:rPr>
              <w:t>Misra</w:t>
            </w:r>
            <w:proofErr w:type="spellEnd"/>
          </w:p>
          <w:p w:rsidR="008F7FB3" w:rsidRPr="00EA63C5" w:rsidRDefault="008F7FB3" w:rsidP="005F1ED8">
            <w:pPr>
              <w:rPr>
                <w:sz w:val="20"/>
                <w:szCs w:val="20"/>
                <w:lang w:val="en-US"/>
              </w:rPr>
            </w:pPr>
          </w:p>
          <w:p w:rsidR="008F7FB3" w:rsidRPr="00EA63C5" w:rsidRDefault="008F7FB3" w:rsidP="005F1ED8">
            <w:pPr>
              <w:rPr>
                <w:sz w:val="20"/>
                <w:szCs w:val="20"/>
                <w:lang w:val="en-US"/>
              </w:rPr>
            </w:pPr>
            <w:r w:rsidRPr="00EA63C5">
              <w:rPr>
                <w:sz w:val="20"/>
                <w:szCs w:val="20"/>
                <w:lang w:val="en-US"/>
              </w:rPr>
              <w:tab/>
              <w:t>v. (37240)</w:t>
            </w:r>
          </w:p>
          <w:p w:rsidR="008F7FB3" w:rsidRPr="00EA63C5" w:rsidRDefault="008F7FB3" w:rsidP="005F1ED8">
            <w:pPr>
              <w:rPr>
                <w:sz w:val="20"/>
                <w:szCs w:val="20"/>
                <w:lang w:val="en-US"/>
              </w:rPr>
            </w:pPr>
          </w:p>
          <w:p w:rsidR="008F7FB3" w:rsidRPr="00EA63C5" w:rsidRDefault="008F7FB3" w:rsidP="005F1ED8">
            <w:pPr>
              <w:rPr>
                <w:b/>
                <w:sz w:val="20"/>
                <w:szCs w:val="20"/>
                <w:lang w:val="en-US"/>
              </w:rPr>
            </w:pPr>
            <w:r w:rsidRPr="00EA63C5">
              <w:rPr>
                <w:b/>
                <w:sz w:val="20"/>
                <w:szCs w:val="20"/>
                <w:lang w:val="en-US"/>
              </w:rPr>
              <w:t>City of Toronto et al. (Ont.)</w:t>
            </w:r>
          </w:p>
          <w:p w:rsidR="008F7FB3" w:rsidRPr="00EA63C5" w:rsidRDefault="008F7FB3" w:rsidP="005F1ED8">
            <w:pPr>
              <w:rPr>
                <w:sz w:val="20"/>
                <w:szCs w:val="20"/>
                <w:lang w:val="en-US"/>
              </w:rPr>
            </w:pPr>
            <w:r w:rsidRPr="00EA63C5">
              <w:rPr>
                <w:sz w:val="20"/>
                <w:szCs w:val="20"/>
                <w:lang w:val="en-US"/>
              </w:rPr>
              <w:tab/>
            </w:r>
            <w:proofErr w:type="spellStart"/>
            <w:r w:rsidRPr="00EA63C5">
              <w:rPr>
                <w:sz w:val="20"/>
                <w:szCs w:val="20"/>
                <w:lang w:val="en-US"/>
              </w:rPr>
              <w:t>Darragh</w:t>
            </w:r>
            <w:proofErr w:type="spellEnd"/>
            <w:r w:rsidRPr="00EA63C5">
              <w:rPr>
                <w:sz w:val="20"/>
                <w:szCs w:val="20"/>
                <w:lang w:val="en-US"/>
              </w:rPr>
              <w:t xml:space="preserve"> H. Meagher</w:t>
            </w:r>
          </w:p>
          <w:p w:rsidR="008F7FB3" w:rsidRPr="00EA63C5" w:rsidRDefault="008F7FB3" w:rsidP="005F1ED8">
            <w:pPr>
              <w:rPr>
                <w:sz w:val="20"/>
                <w:szCs w:val="20"/>
                <w:lang w:val="en-US"/>
              </w:rPr>
            </w:pPr>
            <w:r w:rsidRPr="00EA63C5">
              <w:rPr>
                <w:sz w:val="20"/>
                <w:szCs w:val="20"/>
                <w:lang w:val="en-US"/>
              </w:rPr>
              <w:tab/>
              <w:t>City of Toronto</w:t>
            </w:r>
          </w:p>
          <w:p w:rsidR="008F7FB3" w:rsidRPr="00EA63C5" w:rsidRDefault="008F7FB3" w:rsidP="005F1ED8">
            <w:pPr>
              <w:rPr>
                <w:sz w:val="20"/>
                <w:szCs w:val="20"/>
                <w:lang w:val="en-US"/>
              </w:rPr>
            </w:pPr>
          </w:p>
          <w:p w:rsidR="008F7FB3" w:rsidRPr="00EA63C5" w:rsidRDefault="008F7FB3" w:rsidP="005F1ED8">
            <w:pPr>
              <w:rPr>
                <w:sz w:val="20"/>
                <w:szCs w:val="20"/>
                <w:lang w:val="en-US"/>
              </w:rPr>
            </w:pPr>
            <w:r w:rsidRPr="00EA63C5">
              <w:rPr>
                <w:sz w:val="20"/>
                <w:szCs w:val="20"/>
                <w:lang w:val="en-US"/>
              </w:rPr>
              <w:t>FILING DATE: 03.10.2016</w:t>
            </w:r>
          </w:p>
          <w:p w:rsidR="008F7FB3" w:rsidRPr="00EA63C5" w:rsidRDefault="007F6DC5" w:rsidP="005F1ED8">
            <w:pPr>
              <w:rPr>
                <w:sz w:val="20"/>
                <w:szCs w:val="20"/>
                <w:lang w:val="fr-CA"/>
              </w:rPr>
            </w:pPr>
            <w:r>
              <w:rPr>
                <w:sz w:val="20"/>
                <w:szCs w:val="20"/>
                <w:lang w:val="fr-CA"/>
              </w:rPr>
              <w:pict>
                <v:rect id="_x0000_i1047" style="width:108pt;height:1pt" o:hrpct="0" o:hralign="center" o:hrstd="t" o:hrnoshade="t" o:hr="t" fillcolor="black [3213]" stroked="f"/>
              </w:pict>
            </w:r>
          </w:p>
          <w:p w:rsidR="008F7FB3" w:rsidRPr="00EA63C5" w:rsidRDefault="008F7FB3" w:rsidP="005F1ED8">
            <w:pPr>
              <w:rPr>
                <w:sz w:val="20"/>
                <w:szCs w:val="20"/>
                <w:lang w:val="en-US"/>
              </w:rPr>
            </w:pPr>
          </w:p>
        </w:tc>
        <w:tc>
          <w:tcPr>
            <w:tcW w:w="1181" w:type="dxa"/>
            <w:shd w:val="clear" w:color="auto" w:fill="auto"/>
          </w:tcPr>
          <w:p w:rsidR="00673B74" w:rsidRPr="00EA63C5" w:rsidRDefault="00673B74" w:rsidP="00242AEE">
            <w:pPr>
              <w:jc w:val="center"/>
              <w:rPr>
                <w:sz w:val="20"/>
                <w:szCs w:val="20"/>
                <w:lang w:val="en-US"/>
              </w:rPr>
            </w:pPr>
          </w:p>
        </w:tc>
        <w:tc>
          <w:tcPr>
            <w:tcW w:w="4320" w:type="dxa"/>
            <w:shd w:val="clear" w:color="auto" w:fill="auto"/>
          </w:tcPr>
          <w:p w:rsidR="008F7FB3" w:rsidRPr="00EA63C5" w:rsidRDefault="008F7FB3" w:rsidP="008F7FB3">
            <w:pPr>
              <w:rPr>
                <w:b/>
                <w:sz w:val="20"/>
                <w:szCs w:val="20"/>
                <w:lang w:val="fr-CA"/>
              </w:rPr>
            </w:pPr>
            <w:r w:rsidRPr="00EA63C5">
              <w:rPr>
                <w:b/>
                <w:sz w:val="20"/>
                <w:szCs w:val="20"/>
                <w:lang w:val="fr-CA"/>
              </w:rPr>
              <w:t>Commission des normes de l’équité, de la santé et de la sécurité du travail</w:t>
            </w:r>
          </w:p>
          <w:p w:rsidR="008F7FB3" w:rsidRPr="00EA63C5" w:rsidRDefault="008F7FB3" w:rsidP="008F7FB3">
            <w:pPr>
              <w:rPr>
                <w:sz w:val="20"/>
                <w:szCs w:val="20"/>
                <w:lang w:val="fr-CA"/>
              </w:rPr>
            </w:pPr>
            <w:r w:rsidRPr="00EA63C5">
              <w:rPr>
                <w:b/>
                <w:sz w:val="20"/>
                <w:szCs w:val="20"/>
                <w:lang w:val="fr-CA"/>
              </w:rPr>
              <w:tab/>
            </w:r>
            <w:r w:rsidRPr="00EA63C5">
              <w:rPr>
                <w:sz w:val="20"/>
                <w:szCs w:val="20"/>
                <w:lang w:val="fr-CA"/>
              </w:rPr>
              <w:t xml:space="preserve">Pierre-M </w:t>
            </w:r>
            <w:proofErr w:type="spellStart"/>
            <w:r w:rsidRPr="00EA63C5">
              <w:rPr>
                <w:sz w:val="20"/>
                <w:szCs w:val="20"/>
                <w:lang w:val="fr-CA"/>
              </w:rPr>
              <w:t>Lajeunesse</w:t>
            </w:r>
            <w:proofErr w:type="spellEnd"/>
          </w:p>
          <w:p w:rsidR="008F7FB3" w:rsidRPr="00EA63C5" w:rsidRDefault="008F7FB3" w:rsidP="008F7FB3">
            <w:pPr>
              <w:rPr>
                <w:sz w:val="20"/>
                <w:szCs w:val="20"/>
                <w:lang w:val="fr-CA"/>
              </w:rPr>
            </w:pPr>
            <w:r w:rsidRPr="00EA63C5">
              <w:rPr>
                <w:sz w:val="20"/>
                <w:szCs w:val="20"/>
                <w:lang w:val="fr-CA"/>
              </w:rPr>
              <w:tab/>
              <w:t>Paquet Tellier (CNESST)</w:t>
            </w:r>
          </w:p>
          <w:p w:rsidR="008F7FB3" w:rsidRPr="00EA63C5" w:rsidRDefault="008F7FB3" w:rsidP="008F7FB3">
            <w:pPr>
              <w:rPr>
                <w:sz w:val="20"/>
                <w:szCs w:val="20"/>
                <w:lang w:val="fr-CA"/>
              </w:rPr>
            </w:pPr>
          </w:p>
          <w:p w:rsidR="008F7FB3" w:rsidRPr="00EA63C5" w:rsidRDefault="008F7FB3" w:rsidP="008F7FB3">
            <w:pPr>
              <w:rPr>
                <w:sz w:val="20"/>
                <w:szCs w:val="20"/>
                <w:lang w:val="fr-CA"/>
              </w:rPr>
            </w:pPr>
            <w:r w:rsidRPr="00EA63C5">
              <w:rPr>
                <w:sz w:val="20"/>
                <w:szCs w:val="20"/>
                <w:lang w:val="fr-CA"/>
              </w:rPr>
              <w:tab/>
              <w:t>c. (37239)</w:t>
            </w:r>
          </w:p>
          <w:p w:rsidR="008F7FB3" w:rsidRPr="00EA63C5" w:rsidRDefault="008F7FB3" w:rsidP="008F7FB3">
            <w:pPr>
              <w:rPr>
                <w:sz w:val="20"/>
                <w:szCs w:val="20"/>
                <w:lang w:val="fr-CA"/>
              </w:rPr>
            </w:pPr>
          </w:p>
          <w:p w:rsidR="008F7FB3" w:rsidRPr="00EA63C5" w:rsidRDefault="008F7FB3" w:rsidP="008F7FB3">
            <w:pPr>
              <w:rPr>
                <w:b/>
                <w:sz w:val="20"/>
                <w:szCs w:val="20"/>
                <w:lang w:val="fr-CA"/>
              </w:rPr>
            </w:pPr>
            <w:r w:rsidRPr="00EA63C5">
              <w:rPr>
                <w:b/>
                <w:sz w:val="20"/>
                <w:szCs w:val="20"/>
                <w:lang w:val="fr-CA"/>
              </w:rPr>
              <w:t>Corporation de gestion de la voie maritime du Saint-Laurent (</w:t>
            </w:r>
            <w:proofErr w:type="spellStart"/>
            <w:r w:rsidRPr="00EA63C5">
              <w:rPr>
                <w:b/>
                <w:sz w:val="20"/>
                <w:szCs w:val="20"/>
                <w:lang w:val="fr-CA"/>
              </w:rPr>
              <w:t>Qc</w:t>
            </w:r>
            <w:proofErr w:type="spellEnd"/>
            <w:r w:rsidRPr="00EA63C5">
              <w:rPr>
                <w:b/>
                <w:sz w:val="20"/>
                <w:szCs w:val="20"/>
                <w:lang w:val="fr-CA"/>
              </w:rPr>
              <w:t>)</w:t>
            </w:r>
          </w:p>
          <w:p w:rsidR="008F7FB3" w:rsidRPr="00EA63C5" w:rsidRDefault="008F7FB3" w:rsidP="008F7FB3">
            <w:pPr>
              <w:rPr>
                <w:sz w:val="20"/>
                <w:szCs w:val="20"/>
                <w:lang w:val="en-US"/>
              </w:rPr>
            </w:pPr>
            <w:r w:rsidRPr="00EA63C5">
              <w:rPr>
                <w:sz w:val="20"/>
                <w:szCs w:val="20"/>
                <w:lang w:val="fr-CA"/>
              </w:rPr>
              <w:tab/>
            </w:r>
            <w:r w:rsidRPr="00EA63C5">
              <w:rPr>
                <w:sz w:val="20"/>
                <w:szCs w:val="20"/>
                <w:lang w:val="en-US"/>
              </w:rPr>
              <w:t xml:space="preserve">Eric </w:t>
            </w:r>
            <w:proofErr w:type="spellStart"/>
            <w:r w:rsidRPr="00EA63C5">
              <w:rPr>
                <w:sz w:val="20"/>
                <w:szCs w:val="20"/>
                <w:lang w:val="en-US"/>
              </w:rPr>
              <w:t>Azran</w:t>
            </w:r>
            <w:proofErr w:type="spellEnd"/>
          </w:p>
          <w:p w:rsidR="008F7FB3" w:rsidRPr="00EA63C5" w:rsidRDefault="008F7FB3" w:rsidP="008F7FB3">
            <w:pPr>
              <w:rPr>
                <w:sz w:val="20"/>
                <w:szCs w:val="20"/>
                <w:lang w:val="en-US"/>
              </w:rPr>
            </w:pPr>
            <w:r w:rsidRPr="00EA63C5">
              <w:rPr>
                <w:sz w:val="20"/>
                <w:szCs w:val="20"/>
                <w:lang w:val="en-US"/>
              </w:rPr>
              <w:tab/>
            </w:r>
            <w:proofErr w:type="spellStart"/>
            <w:r w:rsidRPr="00EA63C5">
              <w:rPr>
                <w:sz w:val="20"/>
                <w:szCs w:val="20"/>
                <w:lang w:val="en-US"/>
              </w:rPr>
              <w:t>Stikeman</w:t>
            </w:r>
            <w:proofErr w:type="spellEnd"/>
            <w:r w:rsidRPr="00EA63C5">
              <w:rPr>
                <w:sz w:val="20"/>
                <w:szCs w:val="20"/>
                <w:lang w:val="en-US"/>
              </w:rPr>
              <w:t xml:space="preserve"> Elliott S.E.N.C.R.L., </w:t>
            </w:r>
            <w:proofErr w:type="spellStart"/>
            <w:r w:rsidRPr="00EA63C5">
              <w:rPr>
                <w:sz w:val="20"/>
                <w:szCs w:val="20"/>
                <w:lang w:val="en-US"/>
              </w:rPr>
              <w:t>s.r.l</w:t>
            </w:r>
            <w:proofErr w:type="spellEnd"/>
            <w:r w:rsidRPr="00EA63C5">
              <w:rPr>
                <w:sz w:val="20"/>
                <w:szCs w:val="20"/>
                <w:lang w:val="en-US"/>
              </w:rPr>
              <w:t>.</w:t>
            </w:r>
          </w:p>
          <w:p w:rsidR="008F7FB3" w:rsidRPr="00EA63C5" w:rsidRDefault="008F7FB3" w:rsidP="008F7FB3">
            <w:pPr>
              <w:rPr>
                <w:sz w:val="20"/>
                <w:szCs w:val="20"/>
                <w:lang w:val="en-US"/>
              </w:rPr>
            </w:pPr>
          </w:p>
          <w:p w:rsidR="008F7FB3" w:rsidRPr="00EA63C5" w:rsidRDefault="008F7FB3" w:rsidP="008F7FB3">
            <w:pPr>
              <w:rPr>
                <w:sz w:val="20"/>
                <w:szCs w:val="20"/>
                <w:lang w:val="fr-CA"/>
              </w:rPr>
            </w:pPr>
            <w:r w:rsidRPr="00EA63C5">
              <w:rPr>
                <w:sz w:val="20"/>
                <w:szCs w:val="20"/>
                <w:lang w:val="fr-CA"/>
              </w:rPr>
              <w:t xml:space="preserve">- et entre - </w:t>
            </w:r>
          </w:p>
          <w:p w:rsidR="008F7FB3" w:rsidRPr="00EA63C5" w:rsidRDefault="008F7FB3" w:rsidP="008F7FB3">
            <w:pPr>
              <w:rPr>
                <w:sz w:val="20"/>
                <w:szCs w:val="20"/>
                <w:lang w:val="fr-CA"/>
              </w:rPr>
            </w:pPr>
          </w:p>
          <w:p w:rsidR="008F7FB3" w:rsidRPr="00EA63C5" w:rsidRDefault="008F7FB3" w:rsidP="008F7FB3">
            <w:pPr>
              <w:rPr>
                <w:b/>
                <w:sz w:val="20"/>
                <w:szCs w:val="20"/>
                <w:lang w:val="fr-CA"/>
              </w:rPr>
            </w:pPr>
            <w:r w:rsidRPr="00EA63C5">
              <w:rPr>
                <w:b/>
                <w:sz w:val="20"/>
                <w:szCs w:val="20"/>
                <w:lang w:val="fr-CA"/>
              </w:rPr>
              <w:t xml:space="preserve">Procureure générale du Québec </w:t>
            </w:r>
          </w:p>
          <w:p w:rsidR="008F7FB3" w:rsidRPr="00EA63C5" w:rsidRDefault="008F7FB3" w:rsidP="008F7FB3">
            <w:pPr>
              <w:rPr>
                <w:sz w:val="20"/>
                <w:szCs w:val="20"/>
                <w:lang w:val="fr-CA"/>
              </w:rPr>
            </w:pPr>
            <w:r w:rsidRPr="00EA63C5">
              <w:rPr>
                <w:b/>
                <w:sz w:val="20"/>
                <w:szCs w:val="20"/>
                <w:lang w:val="fr-CA"/>
              </w:rPr>
              <w:tab/>
            </w:r>
            <w:r w:rsidRPr="00EA63C5">
              <w:rPr>
                <w:sz w:val="20"/>
                <w:szCs w:val="20"/>
                <w:lang w:val="fr-CA"/>
              </w:rPr>
              <w:t>Samuel Chayer</w:t>
            </w:r>
          </w:p>
          <w:p w:rsidR="008F7FB3" w:rsidRPr="00EA63C5" w:rsidRDefault="008F7FB3" w:rsidP="008F7FB3">
            <w:pPr>
              <w:rPr>
                <w:sz w:val="20"/>
                <w:szCs w:val="20"/>
                <w:lang w:val="fr-CA"/>
              </w:rPr>
            </w:pPr>
            <w:r w:rsidRPr="00EA63C5">
              <w:rPr>
                <w:sz w:val="20"/>
                <w:szCs w:val="20"/>
                <w:lang w:val="fr-CA"/>
              </w:rPr>
              <w:tab/>
              <w:t>Bernard, Roy &amp; Associés</w:t>
            </w:r>
          </w:p>
          <w:p w:rsidR="008F7FB3" w:rsidRPr="00EA63C5" w:rsidRDefault="008F7FB3" w:rsidP="008F7FB3">
            <w:pPr>
              <w:rPr>
                <w:sz w:val="20"/>
                <w:szCs w:val="20"/>
                <w:lang w:val="fr-CA"/>
              </w:rPr>
            </w:pPr>
          </w:p>
          <w:p w:rsidR="008F7FB3" w:rsidRPr="00EA63C5" w:rsidRDefault="008F7FB3" w:rsidP="008F7FB3">
            <w:pPr>
              <w:rPr>
                <w:sz w:val="20"/>
                <w:szCs w:val="20"/>
                <w:lang w:val="fr-CA"/>
              </w:rPr>
            </w:pPr>
            <w:r w:rsidRPr="00EA63C5">
              <w:rPr>
                <w:sz w:val="20"/>
                <w:szCs w:val="20"/>
                <w:lang w:val="fr-CA"/>
              </w:rPr>
              <w:tab/>
              <w:t>c. (37239)</w:t>
            </w:r>
          </w:p>
          <w:p w:rsidR="008F7FB3" w:rsidRPr="00EA63C5" w:rsidRDefault="008F7FB3" w:rsidP="008F7FB3">
            <w:pPr>
              <w:rPr>
                <w:sz w:val="20"/>
                <w:szCs w:val="20"/>
                <w:lang w:val="fr-CA"/>
              </w:rPr>
            </w:pPr>
          </w:p>
          <w:p w:rsidR="008F7FB3" w:rsidRPr="00EA63C5" w:rsidRDefault="008F7FB3" w:rsidP="008F7FB3">
            <w:pPr>
              <w:rPr>
                <w:b/>
                <w:sz w:val="20"/>
                <w:szCs w:val="20"/>
                <w:lang w:val="fr-CA"/>
              </w:rPr>
            </w:pPr>
            <w:r w:rsidRPr="00EA63C5">
              <w:rPr>
                <w:b/>
                <w:sz w:val="20"/>
                <w:szCs w:val="20"/>
                <w:lang w:val="fr-CA"/>
              </w:rPr>
              <w:t xml:space="preserve">Les Ponts Jacques-Cartier et Champlain </w:t>
            </w:r>
            <w:proofErr w:type="spellStart"/>
            <w:r w:rsidRPr="00EA63C5">
              <w:rPr>
                <w:b/>
                <w:sz w:val="20"/>
                <w:szCs w:val="20"/>
                <w:lang w:val="fr-CA"/>
              </w:rPr>
              <w:t>inc.</w:t>
            </w:r>
            <w:proofErr w:type="spellEnd"/>
            <w:r w:rsidRPr="00EA63C5">
              <w:rPr>
                <w:b/>
                <w:sz w:val="20"/>
                <w:szCs w:val="20"/>
                <w:lang w:val="fr-CA"/>
              </w:rPr>
              <w:t xml:space="preserve"> (</w:t>
            </w:r>
            <w:proofErr w:type="spellStart"/>
            <w:r w:rsidRPr="00EA63C5">
              <w:rPr>
                <w:b/>
                <w:sz w:val="20"/>
                <w:szCs w:val="20"/>
                <w:lang w:val="fr-CA"/>
              </w:rPr>
              <w:t>Qc</w:t>
            </w:r>
            <w:proofErr w:type="spellEnd"/>
            <w:r w:rsidRPr="00EA63C5">
              <w:rPr>
                <w:b/>
                <w:sz w:val="20"/>
                <w:szCs w:val="20"/>
                <w:lang w:val="fr-CA"/>
              </w:rPr>
              <w:t>)</w:t>
            </w:r>
          </w:p>
          <w:p w:rsidR="008F7FB3" w:rsidRPr="00EA63C5" w:rsidRDefault="008F7FB3" w:rsidP="008F7FB3">
            <w:pPr>
              <w:rPr>
                <w:sz w:val="20"/>
                <w:szCs w:val="20"/>
                <w:lang w:val="fr-CA"/>
              </w:rPr>
            </w:pPr>
            <w:r w:rsidRPr="00EA63C5">
              <w:rPr>
                <w:sz w:val="20"/>
                <w:szCs w:val="20"/>
                <w:lang w:val="fr-CA"/>
              </w:rPr>
              <w:tab/>
              <w:t>Sara Gauthier Campbell</w:t>
            </w:r>
          </w:p>
          <w:p w:rsidR="008F7FB3" w:rsidRPr="00EA63C5" w:rsidRDefault="008F7FB3" w:rsidP="008F7FB3">
            <w:pPr>
              <w:rPr>
                <w:sz w:val="20"/>
                <w:szCs w:val="20"/>
                <w:lang w:val="fr-CA"/>
              </w:rPr>
            </w:pPr>
            <w:r w:rsidRPr="00EA63C5">
              <w:rPr>
                <w:sz w:val="20"/>
                <w:szCs w:val="20"/>
                <w:lang w:val="fr-CA"/>
              </w:rPr>
              <w:tab/>
              <w:t>Ministère de la Justice - Canada</w:t>
            </w:r>
          </w:p>
          <w:p w:rsidR="008F7FB3" w:rsidRPr="00EA63C5" w:rsidRDefault="008F7FB3" w:rsidP="008F7FB3">
            <w:pPr>
              <w:rPr>
                <w:sz w:val="20"/>
                <w:szCs w:val="20"/>
                <w:lang w:val="fr-CA"/>
              </w:rPr>
            </w:pPr>
          </w:p>
          <w:p w:rsidR="008F7FB3" w:rsidRPr="00EA63C5" w:rsidRDefault="008F7FB3" w:rsidP="008F7FB3">
            <w:pPr>
              <w:rPr>
                <w:sz w:val="20"/>
                <w:szCs w:val="20"/>
                <w:lang w:val="fr-CA"/>
              </w:rPr>
            </w:pPr>
            <w:r w:rsidRPr="00EA63C5">
              <w:rPr>
                <w:sz w:val="20"/>
                <w:szCs w:val="20"/>
                <w:lang w:val="fr-CA"/>
              </w:rPr>
              <w:t>DATE DE PRODUCTION : 28.09.2016</w:t>
            </w:r>
          </w:p>
          <w:p w:rsidR="008F7FB3" w:rsidRPr="00EA63C5" w:rsidRDefault="007F6DC5" w:rsidP="008F7FB3">
            <w:pPr>
              <w:rPr>
                <w:b/>
                <w:sz w:val="20"/>
                <w:szCs w:val="20"/>
                <w:lang w:val="en-US"/>
              </w:rPr>
            </w:pPr>
            <w:r>
              <w:rPr>
                <w:sz w:val="20"/>
                <w:szCs w:val="20"/>
                <w:lang w:val="fr-CA"/>
              </w:rPr>
              <w:pict>
                <v:rect id="_x0000_i1048" style="width:108pt;height:1pt" o:hrpct="0" o:hralign="center" o:hrstd="t" o:hrnoshade="t" o:hr="t" fillcolor="black [3213]" stroked="f"/>
              </w:pict>
            </w:r>
          </w:p>
          <w:p w:rsidR="008F7FB3" w:rsidRPr="00EA63C5" w:rsidRDefault="008F7FB3" w:rsidP="005F1ED8">
            <w:pPr>
              <w:rPr>
                <w:sz w:val="20"/>
                <w:szCs w:val="20"/>
                <w:lang w:val="fr-CA"/>
              </w:rPr>
            </w:pPr>
          </w:p>
        </w:tc>
      </w:tr>
      <w:tr w:rsidR="00673B74" w:rsidRPr="00EA63C5" w:rsidTr="003B3977">
        <w:trPr>
          <w:cantSplit/>
        </w:trPr>
        <w:tc>
          <w:tcPr>
            <w:tcW w:w="4320" w:type="dxa"/>
            <w:shd w:val="clear" w:color="auto" w:fill="auto"/>
          </w:tcPr>
          <w:p w:rsidR="00673B74" w:rsidRPr="00EA63C5" w:rsidRDefault="00673B74" w:rsidP="005F1ED8">
            <w:pPr>
              <w:rPr>
                <w:sz w:val="20"/>
                <w:szCs w:val="20"/>
                <w:lang w:val="fr-CA"/>
              </w:rPr>
            </w:pPr>
          </w:p>
        </w:tc>
        <w:tc>
          <w:tcPr>
            <w:tcW w:w="1181" w:type="dxa"/>
            <w:shd w:val="clear" w:color="auto" w:fill="auto"/>
          </w:tcPr>
          <w:p w:rsidR="00673B74" w:rsidRPr="00EA63C5" w:rsidRDefault="00673B74" w:rsidP="00242AEE">
            <w:pPr>
              <w:jc w:val="center"/>
              <w:rPr>
                <w:sz w:val="20"/>
                <w:szCs w:val="20"/>
                <w:lang w:val="fr-CA"/>
              </w:rPr>
            </w:pPr>
          </w:p>
        </w:tc>
        <w:tc>
          <w:tcPr>
            <w:tcW w:w="4320" w:type="dxa"/>
            <w:shd w:val="clear" w:color="auto" w:fill="auto"/>
          </w:tcPr>
          <w:p w:rsidR="00673B74" w:rsidRPr="00EA63C5" w:rsidRDefault="00673B74" w:rsidP="005F1ED8">
            <w:pPr>
              <w:rPr>
                <w:sz w:val="20"/>
                <w:szCs w:val="20"/>
                <w:lang w:val="fr-CA"/>
              </w:rPr>
            </w:pPr>
          </w:p>
        </w:tc>
      </w:tr>
    </w:tbl>
    <w:p w:rsidR="00242AEE" w:rsidRPr="00EA63C5" w:rsidRDefault="00242AEE" w:rsidP="0095096B">
      <w:pPr>
        <w:tabs>
          <w:tab w:val="right" w:pos="9360"/>
        </w:tabs>
        <w:rPr>
          <w:sz w:val="20"/>
          <w:szCs w:val="20"/>
          <w:lang w:val="fr-CA"/>
        </w:rPr>
      </w:pPr>
    </w:p>
    <w:p w:rsidR="00242AEE" w:rsidRPr="00EA63C5" w:rsidRDefault="00242AEE" w:rsidP="0095096B">
      <w:pPr>
        <w:tabs>
          <w:tab w:val="right" w:pos="9360"/>
        </w:tabs>
        <w:rPr>
          <w:sz w:val="20"/>
          <w:szCs w:val="20"/>
          <w:lang w:val="fr-CA"/>
        </w:rPr>
        <w:sectPr w:rsidR="00242AEE" w:rsidRPr="00EA63C5" w:rsidSect="00913864">
          <w:headerReference w:type="default" r:id="rId10"/>
          <w:footerReference w:type="default" r:id="rId11"/>
          <w:headerReference w:type="first" r:id="rId12"/>
          <w:footerReference w:type="first" r:id="rId13"/>
          <w:pgSz w:w="12240" w:h="15840"/>
          <w:pgMar w:top="720" w:right="965" w:bottom="1080" w:left="1656" w:header="706" w:footer="706" w:gutter="0"/>
          <w:pgNumType w:start="145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F6DC5" w:rsidTr="00BA6468">
        <w:trPr>
          <w:trHeight w:val="900"/>
        </w:trPr>
        <w:tc>
          <w:tcPr>
            <w:tcW w:w="4200" w:type="dxa"/>
            <w:tcMar>
              <w:left w:w="0" w:type="dxa"/>
              <w:right w:w="0" w:type="dxa"/>
            </w:tcMar>
          </w:tcPr>
          <w:p w:rsidR="002E2327" w:rsidRPr="00EA63C5" w:rsidRDefault="002E2327" w:rsidP="002E2327">
            <w:pPr>
              <w:keepNext/>
              <w:keepLines/>
              <w:widowControl w:val="0"/>
              <w:rPr>
                <w:b/>
                <w:szCs w:val="24"/>
                <w:lang w:val="en-US"/>
              </w:rPr>
            </w:pPr>
            <w:r w:rsidRPr="00EA63C5">
              <w:rPr>
                <w:b/>
                <w:szCs w:val="24"/>
                <w:lang w:val="en-US"/>
              </w:rPr>
              <w:lastRenderedPageBreak/>
              <w:t>APPLICATIONS FOR LEAVE SUBMITTED TO COURT SINCE LAST ISSUE</w:t>
            </w:r>
          </w:p>
        </w:tc>
        <w:tc>
          <w:tcPr>
            <w:tcW w:w="1200" w:type="dxa"/>
            <w:tcMar>
              <w:left w:w="0" w:type="dxa"/>
              <w:right w:w="0" w:type="dxa"/>
            </w:tcMar>
          </w:tcPr>
          <w:p w:rsidR="002E2327" w:rsidRPr="00EA63C5" w:rsidRDefault="002E2327" w:rsidP="002E2327">
            <w:pPr>
              <w:keepNext/>
              <w:keepLines/>
              <w:widowControl w:val="0"/>
              <w:jc w:val="center"/>
              <w:rPr>
                <w:b/>
                <w:szCs w:val="24"/>
                <w:lang w:val="en-US"/>
              </w:rPr>
            </w:pPr>
          </w:p>
          <w:p w:rsidR="001D0D5F" w:rsidRPr="00EA63C5" w:rsidRDefault="001D0D5F" w:rsidP="002E2327">
            <w:pPr>
              <w:keepNext/>
              <w:keepLines/>
              <w:widowControl w:val="0"/>
              <w:jc w:val="center"/>
              <w:rPr>
                <w:b/>
                <w:szCs w:val="24"/>
                <w:lang w:val="en-US"/>
              </w:rPr>
            </w:pPr>
          </w:p>
          <w:p w:rsidR="001D0D5F" w:rsidRPr="00EA63C5" w:rsidRDefault="001D0D5F" w:rsidP="002E2327">
            <w:pPr>
              <w:keepNext/>
              <w:keepLines/>
              <w:widowControl w:val="0"/>
              <w:jc w:val="center"/>
              <w:rPr>
                <w:b/>
                <w:szCs w:val="24"/>
                <w:lang w:val="en-US"/>
              </w:rPr>
            </w:pPr>
          </w:p>
          <w:p w:rsidR="001D0D5F" w:rsidRPr="00EA63C5" w:rsidRDefault="001D0D5F" w:rsidP="002E2327">
            <w:pPr>
              <w:keepNext/>
              <w:keepLines/>
              <w:widowControl w:val="0"/>
              <w:jc w:val="center"/>
              <w:rPr>
                <w:b/>
                <w:szCs w:val="24"/>
                <w:lang w:val="en-US"/>
              </w:rPr>
            </w:pPr>
          </w:p>
        </w:tc>
        <w:tc>
          <w:tcPr>
            <w:tcW w:w="4080" w:type="dxa"/>
            <w:tcMar>
              <w:left w:w="0" w:type="dxa"/>
              <w:right w:w="0" w:type="dxa"/>
            </w:tcMar>
          </w:tcPr>
          <w:p w:rsidR="002E2327" w:rsidRPr="00EA63C5" w:rsidRDefault="002E2327" w:rsidP="002E2327">
            <w:pPr>
              <w:keepLines/>
              <w:widowControl w:val="0"/>
              <w:rPr>
                <w:szCs w:val="24"/>
                <w:lang w:val="fr-CA"/>
              </w:rPr>
            </w:pPr>
            <w:r w:rsidRPr="00EA63C5">
              <w:rPr>
                <w:b/>
                <w:szCs w:val="24"/>
                <w:lang w:val="fr-CA"/>
              </w:rPr>
              <w:t>DEMANDES SOUMISES À LA COUR DEPUIS LA DERNIÈRE PARUTION</w:t>
            </w:r>
          </w:p>
          <w:p w:rsidR="002E2327" w:rsidRPr="00EA63C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EA63C5" w:rsidRDefault="002E2327" w:rsidP="002E2327">
      <w:pPr>
        <w:widowControl w:val="0"/>
        <w:rPr>
          <w:b/>
          <w:sz w:val="20"/>
          <w:szCs w:val="20"/>
          <w:lang w:val="fr-CA"/>
        </w:rPr>
      </w:pPr>
    </w:p>
    <w:p w:rsidR="00CB3520" w:rsidRPr="00EA63C5" w:rsidRDefault="00CB2288" w:rsidP="00CB3520">
      <w:pPr>
        <w:widowControl w:val="0"/>
        <w:rPr>
          <w:b/>
          <w:sz w:val="20"/>
          <w:szCs w:val="20"/>
        </w:rPr>
      </w:pPr>
      <w:r w:rsidRPr="00EA63C5">
        <w:rPr>
          <w:b/>
          <w:sz w:val="20"/>
          <w:szCs w:val="20"/>
        </w:rPr>
        <w:t xml:space="preserve">OCTOBER </w:t>
      </w:r>
      <w:r w:rsidR="004C18EE" w:rsidRPr="00EA63C5">
        <w:rPr>
          <w:b/>
          <w:sz w:val="20"/>
          <w:szCs w:val="20"/>
        </w:rPr>
        <w:t>17</w:t>
      </w:r>
      <w:r w:rsidR="00CB3520" w:rsidRPr="00EA63C5">
        <w:rPr>
          <w:b/>
          <w:sz w:val="20"/>
          <w:szCs w:val="20"/>
        </w:rPr>
        <w:t>, 201</w:t>
      </w:r>
      <w:r w:rsidR="0030050B" w:rsidRPr="00EA63C5">
        <w:rPr>
          <w:b/>
          <w:sz w:val="20"/>
          <w:szCs w:val="20"/>
        </w:rPr>
        <w:t>6</w:t>
      </w:r>
      <w:r w:rsidR="00CB3520" w:rsidRPr="00EA63C5">
        <w:rPr>
          <w:b/>
          <w:sz w:val="20"/>
          <w:szCs w:val="20"/>
        </w:rPr>
        <w:t xml:space="preserve"> / LE </w:t>
      </w:r>
      <w:r w:rsidR="004C18EE" w:rsidRPr="00EA63C5">
        <w:rPr>
          <w:b/>
          <w:sz w:val="20"/>
          <w:szCs w:val="20"/>
        </w:rPr>
        <w:t>17</w:t>
      </w:r>
      <w:r w:rsidRPr="00EA63C5">
        <w:rPr>
          <w:b/>
          <w:sz w:val="20"/>
          <w:szCs w:val="20"/>
        </w:rPr>
        <w:t xml:space="preserve"> OCTOBRE</w:t>
      </w:r>
      <w:r w:rsidR="00CB3520" w:rsidRPr="00EA63C5">
        <w:rPr>
          <w:b/>
          <w:sz w:val="20"/>
          <w:szCs w:val="20"/>
        </w:rPr>
        <w:t xml:space="preserve"> 201</w:t>
      </w:r>
      <w:r w:rsidR="0030050B" w:rsidRPr="00EA63C5">
        <w:rPr>
          <w:b/>
          <w:sz w:val="20"/>
          <w:szCs w:val="20"/>
        </w:rPr>
        <w:t>6</w:t>
      </w:r>
    </w:p>
    <w:p w:rsidR="00CB3520" w:rsidRPr="00EA63C5" w:rsidRDefault="00CB3520" w:rsidP="00CB3520">
      <w:pPr>
        <w:widowControl w:val="0"/>
        <w:rPr>
          <w:b/>
          <w:sz w:val="20"/>
          <w:szCs w:val="20"/>
        </w:rPr>
      </w:pPr>
    </w:p>
    <w:p w:rsidR="00CB3520" w:rsidRPr="00EA63C5" w:rsidRDefault="00CB3520" w:rsidP="00CB3520">
      <w:pPr>
        <w:widowControl w:val="0"/>
        <w:jc w:val="center"/>
        <w:rPr>
          <w:b/>
          <w:sz w:val="20"/>
          <w:szCs w:val="20"/>
        </w:rPr>
      </w:pPr>
      <w:r w:rsidRPr="00EA63C5">
        <w:rPr>
          <w:b/>
          <w:sz w:val="20"/>
          <w:szCs w:val="20"/>
        </w:rPr>
        <w:t xml:space="preserve">CORAM:  Chief Justice McLachlin and </w:t>
      </w:r>
      <w:r w:rsidR="00253236" w:rsidRPr="00EA63C5">
        <w:rPr>
          <w:b/>
          <w:sz w:val="20"/>
          <w:szCs w:val="20"/>
        </w:rPr>
        <w:t xml:space="preserve">Wagner </w:t>
      </w:r>
      <w:r w:rsidRPr="00EA63C5">
        <w:rPr>
          <w:b/>
          <w:sz w:val="20"/>
          <w:szCs w:val="20"/>
        </w:rPr>
        <w:t xml:space="preserve">and </w:t>
      </w:r>
      <w:r w:rsidR="00FA3373" w:rsidRPr="00EA63C5">
        <w:rPr>
          <w:b/>
          <w:sz w:val="20"/>
          <w:szCs w:val="20"/>
        </w:rPr>
        <w:t xml:space="preserve">Gascon </w:t>
      </w:r>
      <w:r w:rsidRPr="00EA63C5">
        <w:rPr>
          <w:b/>
          <w:sz w:val="20"/>
          <w:szCs w:val="20"/>
        </w:rPr>
        <w:t>JJ.</w:t>
      </w:r>
    </w:p>
    <w:p w:rsidR="00CB3520" w:rsidRPr="00EA63C5" w:rsidRDefault="00CB3520" w:rsidP="00CB3520">
      <w:pPr>
        <w:widowControl w:val="0"/>
        <w:jc w:val="center"/>
        <w:rPr>
          <w:sz w:val="20"/>
          <w:szCs w:val="20"/>
          <w:lang w:val="fr-CA"/>
        </w:rPr>
      </w:pPr>
      <w:r w:rsidRPr="00EA63C5">
        <w:rPr>
          <w:b/>
          <w:sz w:val="20"/>
          <w:szCs w:val="20"/>
          <w:lang w:val="fr-CA"/>
        </w:rPr>
        <w:t xml:space="preserve">La juge en chef McLachlin et les juges </w:t>
      </w:r>
      <w:r w:rsidR="00253236" w:rsidRPr="00EA63C5">
        <w:rPr>
          <w:b/>
          <w:sz w:val="20"/>
          <w:szCs w:val="20"/>
          <w:lang w:val="fr-CA"/>
        </w:rPr>
        <w:t xml:space="preserve">Wagner </w:t>
      </w:r>
      <w:r w:rsidRPr="00EA63C5">
        <w:rPr>
          <w:b/>
          <w:sz w:val="20"/>
          <w:szCs w:val="20"/>
          <w:lang w:val="fr-CA"/>
        </w:rPr>
        <w:t xml:space="preserve">et </w:t>
      </w:r>
      <w:r w:rsidR="00FA3373" w:rsidRPr="00EA63C5">
        <w:rPr>
          <w:b/>
          <w:sz w:val="20"/>
          <w:szCs w:val="20"/>
          <w:lang w:val="fr-CA"/>
        </w:rPr>
        <w:t>Gascon</w:t>
      </w:r>
    </w:p>
    <w:p w:rsidR="00CB3520" w:rsidRPr="00EA63C5" w:rsidRDefault="00CB3520" w:rsidP="00CB3520">
      <w:pPr>
        <w:widowControl w:val="0"/>
        <w:rPr>
          <w:sz w:val="20"/>
          <w:szCs w:val="20"/>
          <w:lang w:val="fr-CA"/>
        </w:rPr>
      </w:pPr>
    </w:p>
    <w:p w:rsidR="00CB3520" w:rsidRPr="00EA63C5" w:rsidRDefault="002B089C" w:rsidP="00CB2288">
      <w:pPr>
        <w:pStyle w:val="ListParagraph"/>
        <w:widowControl w:val="0"/>
        <w:numPr>
          <w:ilvl w:val="0"/>
          <w:numId w:val="1"/>
        </w:numPr>
        <w:ind w:hanging="720"/>
        <w:jc w:val="both"/>
        <w:rPr>
          <w:sz w:val="20"/>
          <w:szCs w:val="20"/>
          <w:lang w:val="fr-CA"/>
        </w:rPr>
      </w:pPr>
      <w:r w:rsidRPr="00EA63C5">
        <w:rPr>
          <w:i/>
          <w:sz w:val="20"/>
          <w:szCs w:val="20"/>
          <w:lang w:val="fr-CA"/>
        </w:rPr>
        <w:t xml:space="preserve">Jacques Cyr c. Sa Majesté la Reine </w:t>
      </w:r>
      <w:r w:rsidRPr="00EA63C5">
        <w:rPr>
          <w:sz w:val="20"/>
          <w:szCs w:val="20"/>
          <w:lang w:val="fr-CA"/>
        </w:rPr>
        <w:t>(</w:t>
      </w:r>
      <w:proofErr w:type="spellStart"/>
      <w:r w:rsidRPr="00EA63C5">
        <w:rPr>
          <w:sz w:val="20"/>
          <w:szCs w:val="20"/>
          <w:lang w:val="fr-CA"/>
        </w:rPr>
        <w:t>Qc</w:t>
      </w:r>
      <w:proofErr w:type="spellEnd"/>
      <w:r w:rsidRPr="00EA63C5">
        <w:rPr>
          <w:sz w:val="20"/>
          <w:szCs w:val="20"/>
          <w:lang w:val="fr-CA"/>
        </w:rPr>
        <w:t>) (</w:t>
      </w:r>
      <w:proofErr w:type="spellStart"/>
      <w:r w:rsidRPr="00EA63C5">
        <w:rPr>
          <w:sz w:val="20"/>
          <w:szCs w:val="20"/>
          <w:lang w:val="fr-CA"/>
        </w:rPr>
        <w:t>Crim</w:t>
      </w:r>
      <w:proofErr w:type="spellEnd"/>
      <w:r w:rsidRPr="00EA63C5">
        <w:rPr>
          <w:sz w:val="20"/>
          <w:szCs w:val="20"/>
          <w:lang w:val="fr-CA"/>
        </w:rPr>
        <w:t>.) (Autorisation) (37144)</w:t>
      </w:r>
    </w:p>
    <w:p w:rsidR="004C18EE" w:rsidRPr="00EA63C5" w:rsidRDefault="004C18EE" w:rsidP="004C18EE">
      <w:pPr>
        <w:pStyle w:val="ListParagraph"/>
        <w:widowControl w:val="0"/>
        <w:jc w:val="both"/>
        <w:rPr>
          <w:sz w:val="20"/>
          <w:szCs w:val="20"/>
          <w:lang w:val="fr-CA"/>
        </w:rPr>
      </w:pPr>
    </w:p>
    <w:p w:rsidR="004C18EE" w:rsidRPr="00EA63C5" w:rsidRDefault="004C18EE" w:rsidP="00CB2288">
      <w:pPr>
        <w:pStyle w:val="ListParagraph"/>
        <w:widowControl w:val="0"/>
        <w:numPr>
          <w:ilvl w:val="0"/>
          <w:numId w:val="1"/>
        </w:numPr>
        <w:ind w:hanging="720"/>
        <w:jc w:val="both"/>
        <w:rPr>
          <w:sz w:val="20"/>
          <w:szCs w:val="20"/>
          <w:lang w:val="en-US"/>
        </w:rPr>
      </w:pPr>
      <w:r w:rsidRPr="00EA63C5">
        <w:rPr>
          <w:i/>
          <w:sz w:val="20"/>
          <w:szCs w:val="20"/>
          <w:lang w:val="en-US"/>
        </w:rPr>
        <w:t xml:space="preserve">Calvin Prosser v. Her Majesty the Queen </w:t>
      </w:r>
      <w:r w:rsidRPr="00EA63C5">
        <w:rPr>
          <w:sz w:val="20"/>
          <w:szCs w:val="20"/>
          <w:lang w:val="en-US"/>
        </w:rPr>
        <w:t>(Ont.) (Crim.) (By Leave) (37119)</w:t>
      </w:r>
    </w:p>
    <w:p w:rsidR="004C18EE" w:rsidRPr="00EA63C5" w:rsidRDefault="004C18EE" w:rsidP="004C18EE">
      <w:pPr>
        <w:pStyle w:val="ListParagraph"/>
        <w:rPr>
          <w:sz w:val="20"/>
          <w:szCs w:val="20"/>
          <w:lang w:val="en-US"/>
        </w:rPr>
      </w:pPr>
    </w:p>
    <w:p w:rsidR="004C18EE" w:rsidRPr="00EA63C5" w:rsidRDefault="004C18EE" w:rsidP="00CB2288">
      <w:pPr>
        <w:pStyle w:val="ListParagraph"/>
        <w:widowControl w:val="0"/>
        <w:numPr>
          <w:ilvl w:val="0"/>
          <w:numId w:val="1"/>
        </w:numPr>
        <w:ind w:hanging="720"/>
        <w:jc w:val="both"/>
        <w:rPr>
          <w:sz w:val="20"/>
          <w:szCs w:val="20"/>
          <w:lang w:val="fr-CA"/>
        </w:rPr>
      </w:pPr>
      <w:r w:rsidRPr="00EA63C5">
        <w:rPr>
          <w:i/>
          <w:sz w:val="20"/>
          <w:szCs w:val="20"/>
          <w:lang w:val="fr-CA"/>
        </w:rPr>
        <w:t>Marc-André Larocque v. Agence du revenu du Québec</w:t>
      </w:r>
      <w:r w:rsidRPr="00EA63C5">
        <w:rPr>
          <w:sz w:val="20"/>
          <w:szCs w:val="20"/>
          <w:lang w:val="fr-CA"/>
        </w:rPr>
        <w:t xml:space="preserve"> (Que.) (Civil) (By </w:t>
      </w:r>
      <w:proofErr w:type="spellStart"/>
      <w:r w:rsidRPr="00EA63C5">
        <w:rPr>
          <w:sz w:val="20"/>
          <w:szCs w:val="20"/>
          <w:lang w:val="fr-CA"/>
        </w:rPr>
        <w:t>Leave</w:t>
      </w:r>
      <w:proofErr w:type="spellEnd"/>
      <w:r w:rsidRPr="00EA63C5">
        <w:rPr>
          <w:sz w:val="20"/>
          <w:szCs w:val="20"/>
          <w:lang w:val="fr-CA"/>
        </w:rPr>
        <w:t>) (37043)</w:t>
      </w:r>
    </w:p>
    <w:p w:rsidR="00CB3520" w:rsidRPr="00EA63C5" w:rsidRDefault="00CB3520" w:rsidP="00CB3520">
      <w:pPr>
        <w:widowControl w:val="0"/>
        <w:rPr>
          <w:sz w:val="20"/>
          <w:szCs w:val="20"/>
          <w:lang w:val="fr-CA"/>
        </w:rPr>
      </w:pPr>
    </w:p>
    <w:p w:rsidR="00CB3520" w:rsidRPr="00EA63C5" w:rsidRDefault="00CB3520" w:rsidP="00CB3520">
      <w:pPr>
        <w:widowControl w:val="0"/>
        <w:jc w:val="center"/>
        <w:rPr>
          <w:b/>
          <w:sz w:val="20"/>
          <w:szCs w:val="20"/>
          <w:lang w:val="en-US"/>
        </w:rPr>
      </w:pPr>
      <w:r w:rsidRPr="00EA63C5">
        <w:rPr>
          <w:b/>
          <w:sz w:val="20"/>
          <w:szCs w:val="20"/>
          <w:lang w:val="en-US"/>
        </w:rPr>
        <w:t xml:space="preserve">CORAM: </w:t>
      </w:r>
      <w:r w:rsidR="00FA3373" w:rsidRPr="00EA63C5">
        <w:rPr>
          <w:b/>
          <w:sz w:val="20"/>
          <w:szCs w:val="20"/>
          <w:lang w:val="en-US"/>
        </w:rPr>
        <w:t>Abella</w:t>
      </w:r>
      <w:r w:rsidRPr="00EA63C5">
        <w:rPr>
          <w:b/>
          <w:sz w:val="20"/>
          <w:szCs w:val="20"/>
          <w:lang w:val="en-US"/>
        </w:rPr>
        <w:t xml:space="preserve">, Karakatsanis and </w:t>
      </w:r>
      <w:r w:rsidR="00E942C2" w:rsidRPr="00EA63C5">
        <w:rPr>
          <w:b/>
          <w:sz w:val="20"/>
          <w:szCs w:val="20"/>
          <w:lang w:val="en-US"/>
        </w:rPr>
        <w:t>Brown</w:t>
      </w:r>
      <w:r w:rsidRPr="00EA63C5">
        <w:rPr>
          <w:b/>
          <w:sz w:val="20"/>
          <w:szCs w:val="20"/>
          <w:lang w:val="en-US"/>
        </w:rPr>
        <w:t xml:space="preserve"> JJ.</w:t>
      </w:r>
    </w:p>
    <w:p w:rsidR="00CB3520" w:rsidRPr="00EA63C5" w:rsidRDefault="00CB3520" w:rsidP="00CB3520">
      <w:pPr>
        <w:widowControl w:val="0"/>
        <w:jc w:val="center"/>
        <w:rPr>
          <w:b/>
          <w:sz w:val="20"/>
          <w:szCs w:val="20"/>
          <w:lang w:val="fr-CA"/>
        </w:rPr>
      </w:pPr>
      <w:r w:rsidRPr="00EA63C5">
        <w:rPr>
          <w:b/>
          <w:sz w:val="20"/>
          <w:szCs w:val="20"/>
          <w:lang w:val="fr-CA"/>
        </w:rPr>
        <w:t xml:space="preserve">Les juges </w:t>
      </w:r>
      <w:r w:rsidR="00FA3373" w:rsidRPr="00EA63C5">
        <w:rPr>
          <w:b/>
          <w:sz w:val="20"/>
          <w:szCs w:val="20"/>
          <w:lang w:val="fr-CA"/>
        </w:rPr>
        <w:t>Abella</w:t>
      </w:r>
      <w:r w:rsidRPr="00EA63C5">
        <w:rPr>
          <w:b/>
          <w:sz w:val="20"/>
          <w:szCs w:val="20"/>
          <w:lang w:val="fr-CA"/>
        </w:rPr>
        <w:t xml:space="preserve">, Karakatsanis et </w:t>
      </w:r>
      <w:r w:rsidR="00E942C2" w:rsidRPr="00EA63C5">
        <w:rPr>
          <w:b/>
          <w:sz w:val="20"/>
          <w:szCs w:val="20"/>
          <w:lang w:val="fr-CA"/>
        </w:rPr>
        <w:t>Brown</w:t>
      </w:r>
    </w:p>
    <w:p w:rsidR="00CB3520" w:rsidRPr="00EA63C5" w:rsidRDefault="00CB3520" w:rsidP="00CB3520">
      <w:pPr>
        <w:widowControl w:val="0"/>
        <w:jc w:val="both"/>
        <w:rPr>
          <w:sz w:val="20"/>
          <w:szCs w:val="20"/>
          <w:lang w:val="fr-CA"/>
        </w:rPr>
      </w:pPr>
    </w:p>
    <w:p w:rsidR="00CB3520" w:rsidRPr="00EA63C5" w:rsidRDefault="004C18EE" w:rsidP="00CB2288">
      <w:pPr>
        <w:pStyle w:val="ListParagraph"/>
        <w:widowControl w:val="0"/>
        <w:numPr>
          <w:ilvl w:val="0"/>
          <w:numId w:val="1"/>
        </w:numPr>
        <w:ind w:hanging="720"/>
        <w:jc w:val="both"/>
        <w:rPr>
          <w:sz w:val="20"/>
          <w:szCs w:val="20"/>
          <w:lang w:val="en-US"/>
        </w:rPr>
      </w:pPr>
      <w:r w:rsidRPr="00EA63C5">
        <w:rPr>
          <w:i/>
          <w:sz w:val="20"/>
          <w:szCs w:val="20"/>
          <w:lang w:val="en-US"/>
        </w:rPr>
        <w:t>Toronto Police Services Board v. Sherry Good</w:t>
      </w:r>
      <w:r w:rsidRPr="00EA63C5">
        <w:rPr>
          <w:sz w:val="20"/>
          <w:szCs w:val="20"/>
          <w:lang w:val="en-US"/>
        </w:rPr>
        <w:t xml:space="preserve"> (Ont.) (Civil) (By Leave) (37050)</w:t>
      </w:r>
    </w:p>
    <w:p w:rsidR="004C18EE" w:rsidRPr="00EA63C5" w:rsidRDefault="004C18EE" w:rsidP="004C18EE">
      <w:pPr>
        <w:pStyle w:val="ListParagraph"/>
        <w:widowControl w:val="0"/>
        <w:jc w:val="both"/>
        <w:rPr>
          <w:sz w:val="20"/>
          <w:szCs w:val="20"/>
          <w:lang w:val="en-US"/>
        </w:rPr>
      </w:pPr>
    </w:p>
    <w:p w:rsidR="004C18EE" w:rsidRPr="00EA63C5" w:rsidRDefault="004C18EE" w:rsidP="00CB2288">
      <w:pPr>
        <w:pStyle w:val="ListParagraph"/>
        <w:widowControl w:val="0"/>
        <w:numPr>
          <w:ilvl w:val="0"/>
          <w:numId w:val="1"/>
        </w:numPr>
        <w:ind w:hanging="720"/>
        <w:jc w:val="both"/>
        <w:rPr>
          <w:sz w:val="20"/>
          <w:szCs w:val="20"/>
          <w:lang w:val="fr-CA"/>
        </w:rPr>
      </w:pPr>
      <w:r w:rsidRPr="00EA63C5">
        <w:rPr>
          <w:i/>
          <w:sz w:val="20"/>
          <w:szCs w:val="20"/>
          <w:lang w:val="fr-CA"/>
        </w:rPr>
        <w:t xml:space="preserve">Mohamed </w:t>
      </w:r>
      <w:proofErr w:type="spellStart"/>
      <w:r w:rsidRPr="00EA63C5">
        <w:rPr>
          <w:i/>
          <w:sz w:val="20"/>
          <w:szCs w:val="20"/>
          <w:lang w:val="fr-CA"/>
        </w:rPr>
        <w:t>Benkhaldoun</w:t>
      </w:r>
      <w:proofErr w:type="spellEnd"/>
      <w:r w:rsidRPr="00EA63C5">
        <w:rPr>
          <w:i/>
          <w:sz w:val="20"/>
          <w:szCs w:val="20"/>
          <w:lang w:val="fr-CA"/>
        </w:rPr>
        <w:t xml:space="preserve"> c. Financière </w:t>
      </w:r>
      <w:proofErr w:type="spellStart"/>
      <w:r w:rsidRPr="00EA63C5">
        <w:rPr>
          <w:i/>
          <w:sz w:val="20"/>
          <w:szCs w:val="20"/>
          <w:lang w:val="fr-CA"/>
        </w:rPr>
        <w:t>Manuvie</w:t>
      </w:r>
      <w:proofErr w:type="spellEnd"/>
      <w:r w:rsidRPr="00EA63C5">
        <w:rPr>
          <w:sz w:val="20"/>
          <w:szCs w:val="20"/>
          <w:lang w:val="fr-CA"/>
        </w:rPr>
        <w:t xml:space="preserve"> (</w:t>
      </w:r>
      <w:proofErr w:type="spellStart"/>
      <w:r w:rsidRPr="00EA63C5">
        <w:rPr>
          <w:sz w:val="20"/>
          <w:szCs w:val="20"/>
          <w:lang w:val="fr-CA"/>
        </w:rPr>
        <w:t>Qc</w:t>
      </w:r>
      <w:proofErr w:type="spellEnd"/>
      <w:r w:rsidRPr="00EA63C5">
        <w:rPr>
          <w:sz w:val="20"/>
          <w:szCs w:val="20"/>
          <w:lang w:val="fr-CA"/>
        </w:rPr>
        <w:t>) (Civile) (Autorisation) (37017)</w:t>
      </w:r>
    </w:p>
    <w:p w:rsidR="004C18EE" w:rsidRPr="00EA63C5" w:rsidRDefault="004C18EE" w:rsidP="004C18EE">
      <w:pPr>
        <w:widowControl w:val="0"/>
        <w:jc w:val="both"/>
        <w:rPr>
          <w:sz w:val="20"/>
          <w:szCs w:val="20"/>
          <w:lang w:val="fr-CA"/>
        </w:rPr>
      </w:pPr>
    </w:p>
    <w:p w:rsidR="00CB3520" w:rsidRPr="00EA63C5" w:rsidRDefault="00CB3520" w:rsidP="00CB3520">
      <w:pPr>
        <w:widowControl w:val="0"/>
        <w:jc w:val="both"/>
        <w:rPr>
          <w:sz w:val="20"/>
          <w:szCs w:val="20"/>
          <w:lang w:val="fr-CA"/>
        </w:rPr>
      </w:pPr>
    </w:p>
    <w:p w:rsidR="00CB3520" w:rsidRPr="00EA63C5" w:rsidRDefault="00CB3520" w:rsidP="00CB3520">
      <w:pPr>
        <w:widowControl w:val="0"/>
        <w:jc w:val="center"/>
        <w:rPr>
          <w:b/>
          <w:sz w:val="20"/>
          <w:szCs w:val="20"/>
        </w:rPr>
      </w:pPr>
      <w:r w:rsidRPr="00EA63C5">
        <w:rPr>
          <w:b/>
          <w:sz w:val="20"/>
          <w:szCs w:val="20"/>
        </w:rPr>
        <w:t xml:space="preserve">CORAM: </w:t>
      </w:r>
      <w:r w:rsidR="00253236" w:rsidRPr="00EA63C5">
        <w:rPr>
          <w:b/>
          <w:sz w:val="20"/>
          <w:szCs w:val="20"/>
        </w:rPr>
        <w:t>Moldaver</w:t>
      </w:r>
      <w:r w:rsidR="00E942C2" w:rsidRPr="00EA63C5">
        <w:rPr>
          <w:b/>
          <w:sz w:val="20"/>
          <w:szCs w:val="20"/>
        </w:rPr>
        <w:t xml:space="preserve">, </w:t>
      </w:r>
      <w:r w:rsidR="00253236" w:rsidRPr="00EA63C5">
        <w:rPr>
          <w:b/>
          <w:sz w:val="20"/>
          <w:szCs w:val="20"/>
        </w:rPr>
        <w:t xml:space="preserve">Côté </w:t>
      </w:r>
      <w:r w:rsidRPr="00EA63C5">
        <w:rPr>
          <w:b/>
          <w:sz w:val="20"/>
          <w:szCs w:val="20"/>
        </w:rPr>
        <w:t xml:space="preserve">and </w:t>
      </w:r>
      <w:r w:rsidR="00253236" w:rsidRPr="00EA63C5">
        <w:rPr>
          <w:b/>
          <w:sz w:val="20"/>
          <w:szCs w:val="20"/>
        </w:rPr>
        <w:t xml:space="preserve">Brown </w:t>
      </w:r>
      <w:r w:rsidRPr="00EA63C5">
        <w:rPr>
          <w:b/>
          <w:sz w:val="20"/>
          <w:szCs w:val="20"/>
        </w:rPr>
        <w:t>JJ.</w:t>
      </w:r>
    </w:p>
    <w:p w:rsidR="00CB3520" w:rsidRPr="00EA63C5" w:rsidRDefault="00CB3520" w:rsidP="00CB3520">
      <w:pPr>
        <w:widowControl w:val="0"/>
        <w:jc w:val="center"/>
        <w:rPr>
          <w:b/>
          <w:sz w:val="20"/>
          <w:szCs w:val="20"/>
          <w:lang w:val="fr-CA"/>
        </w:rPr>
      </w:pPr>
      <w:r w:rsidRPr="00EA63C5">
        <w:rPr>
          <w:b/>
          <w:sz w:val="20"/>
          <w:szCs w:val="20"/>
          <w:lang w:val="fr-CA"/>
        </w:rPr>
        <w:t xml:space="preserve">Les juges </w:t>
      </w:r>
      <w:r w:rsidR="00253236" w:rsidRPr="00EA63C5">
        <w:rPr>
          <w:b/>
          <w:sz w:val="20"/>
          <w:szCs w:val="20"/>
          <w:lang w:val="fr-CA"/>
        </w:rPr>
        <w:t>Moldaver</w:t>
      </w:r>
      <w:r w:rsidR="00E942C2" w:rsidRPr="00EA63C5">
        <w:rPr>
          <w:b/>
          <w:sz w:val="20"/>
          <w:szCs w:val="20"/>
          <w:lang w:val="fr-CA"/>
        </w:rPr>
        <w:t xml:space="preserve">, </w:t>
      </w:r>
      <w:r w:rsidR="00253236" w:rsidRPr="00EA63C5">
        <w:rPr>
          <w:b/>
          <w:sz w:val="20"/>
          <w:szCs w:val="20"/>
          <w:lang w:val="fr-CA"/>
        </w:rPr>
        <w:t xml:space="preserve">Côté </w:t>
      </w:r>
      <w:r w:rsidR="00E942C2" w:rsidRPr="00EA63C5">
        <w:rPr>
          <w:b/>
          <w:sz w:val="20"/>
          <w:szCs w:val="20"/>
          <w:lang w:val="fr-CA"/>
        </w:rPr>
        <w:t xml:space="preserve">et </w:t>
      </w:r>
      <w:r w:rsidR="00253236" w:rsidRPr="00EA63C5">
        <w:rPr>
          <w:b/>
          <w:sz w:val="20"/>
          <w:szCs w:val="20"/>
          <w:lang w:val="fr-CA"/>
        </w:rPr>
        <w:t>Brown</w:t>
      </w:r>
    </w:p>
    <w:p w:rsidR="00CB3520" w:rsidRPr="00EA63C5" w:rsidRDefault="00CB3520" w:rsidP="00CB3520">
      <w:pPr>
        <w:widowControl w:val="0"/>
        <w:jc w:val="both"/>
        <w:rPr>
          <w:sz w:val="20"/>
          <w:szCs w:val="20"/>
          <w:lang w:val="fr-CA"/>
        </w:rPr>
      </w:pPr>
    </w:p>
    <w:p w:rsidR="002E2327" w:rsidRPr="00EA63C5" w:rsidRDefault="004C18EE" w:rsidP="00CB2288">
      <w:pPr>
        <w:pStyle w:val="ListParagraph"/>
        <w:widowControl w:val="0"/>
        <w:numPr>
          <w:ilvl w:val="0"/>
          <w:numId w:val="1"/>
        </w:numPr>
        <w:ind w:hanging="720"/>
        <w:jc w:val="both"/>
        <w:rPr>
          <w:sz w:val="20"/>
          <w:szCs w:val="20"/>
          <w:lang w:val="fr-CA"/>
        </w:rPr>
      </w:pPr>
      <w:r w:rsidRPr="00EA63C5">
        <w:rPr>
          <w:i/>
          <w:sz w:val="20"/>
          <w:szCs w:val="20"/>
          <w:lang w:val="en-US"/>
        </w:rPr>
        <w:t xml:space="preserve">Joseph </w:t>
      </w:r>
      <w:proofErr w:type="spellStart"/>
      <w:r w:rsidRPr="00EA63C5">
        <w:rPr>
          <w:i/>
          <w:sz w:val="20"/>
          <w:szCs w:val="20"/>
          <w:lang w:val="en-US"/>
        </w:rPr>
        <w:t>Sciascia</w:t>
      </w:r>
      <w:proofErr w:type="spellEnd"/>
      <w:r w:rsidRPr="00EA63C5">
        <w:rPr>
          <w:i/>
          <w:sz w:val="20"/>
          <w:szCs w:val="20"/>
          <w:lang w:val="en-US"/>
        </w:rPr>
        <w:t xml:space="preserve"> v. Her Majesty the Queen</w:t>
      </w:r>
      <w:r w:rsidRPr="00EA63C5">
        <w:rPr>
          <w:sz w:val="20"/>
          <w:szCs w:val="20"/>
          <w:lang w:val="en-US"/>
        </w:rPr>
        <w:t xml:space="preserve"> (Ont.) </w:t>
      </w:r>
      <w:r w:rsidRPr="00EA63C5">
        <w:rPr>
          <w:sz w:val="20"/>
          <w:szCs w:val="20"/>
          <w:lang w:val="fr-CA"/>
        </w:rPr>
        <w:t>(</w:t>
      </w:r>
      <w:proofErr w:type="spellStart"/>
      <w:r w:rsidRPr="00EA63C5">
        <w:rPr>
          <w:sz w:val="20"/>
          <w:szCs w:val="20"/>
          <w:lang w:val="fr-CA"/>
        </w:rPr>
        <w:t>Crim</w:t>
      </w:r>
      <w:proofErr w:type="spellEnd"/>
      <w:r w:rsidRPr="00EA63C5">
        <w:rPr>
          <w:sz w:val="20"/>
          <w:szCs w:val="20"/>
          <w:lang w:val="fr-CA"/>
        </w:rPr>
        <w:t xml:space="preserve">.) (By </w:t>
      </w:r>
      <w:proofErr w:type="spellStart"/>
      <w:r w:rsidRPr="00EA63C5">
        <w:rPr>
          <w:sz w:val="20"/>
          <w:szCs w:val="20"/>
          <w:lang w:val="fr-CA"/>
        </w:rPr>
        <w:t>Leave</w:t>
      </w:r>
      <w:proofErr w:type="spellEnd"/>
      <w:r w:rsidRPr="00EA63C5">
        <w:rPr>
          <w:sz w:val="20"/>
          <w:szCs w:val="20"/>
          <w:lang w:val="fr-CA"/>
        </w:rPr>
        <w:t>) (37155)</w:t>
      </w:r>
    </w:p>
    <w:p w:rsidR="004C18EE" w:rsidRPr="00EA63C5" w:rsidRDefault="004C18EE" w:rsidP="004C18EE">
      <w:pPr>
        <w:pStyle w:val="ListParagraph"/>
        <w:widowControl w:val="0"/>
        <w:jc w:val="both"/>
        <w:rPr>
          <w:sz w:val="20"/>
          <w:szCs w:val="20"/>
          <w:lang w:val="fr-CA"/>
        </w:rPr>
      </w:pPr>
    </w:p>
    <w:p w:rsidR="004C18EE" w:rsidRPr="00EA63C5" w:rsidRDefault="004C18EE" w:rsidP="00CB2288">
      <w:pPr>
        <w:pStyle w:val="ListParagraph"/>
        <w:widowControl w:val="0"/>
        <w:numPr>
          <w:ilvl w:val="0"/>
          <w:numId w:val="1"/>
        </w:numPr>
        <w:ind w:hanging="720"/>
        <w:jc w:val="both"/>
        <w:rPr>
          <w:sz w:val="20"/>
          <w:szCs w:val="20"/>
          <w:lang w:val="en-US"/>
        </w:rPr>
      </w:pPr>
      <w:proofErr w:type="spellStart"/>
      <w:r w:rsidRPr="00EA63C5">
        <w:rPr>
          <w:i/>
          <w:sz w:val="20"/>
          <w:szCs w:val="20"/>
          <w:lang w:val="en-US"/>
        </w:rPr>
        <w:t>Hwlitsum</w:t>
      </w:r>
      <w:proofErr w:type="spellEnd"/>
      <w:r w:rsidRPr="00EA63C5">
        <w:rPr>
          <w:i/>
          <w:sz w:val="20"/>
          <w:szCs w:val="20"/>
          <w:lang w:val="en-US"/>
        </w:rPr>
        <w:t xml:space="preserve"> First Nation, as represented by its Chief and Council Chief Raymond Clayton Wilson et al. v. Attorney General of Canada et al. </w:t>
      </w:r>
      <w:r w:rsidRPr="00EA63C5">
        <w:rPr>
          <w:sz w:val="20"/>
          <w:szCs w:val="20"/>
          <w:lang w:val="en-US"/>
        </w:rPr>
        <w:t>(F.C.) (Civil) (By Leave) (37079)</w:t>
      </w:r>
    </w:p>
    <w:p w:rsidR="004C18EE" w:rsidRPr="00EA63C5" w:rsidRDefault="004C18EE" w:rsidP="004C18EE">
      <w:pPr>
        <w:pStyle w:val="ListParagraph"/>
        <w:rPr>
          <w:sz w:val="20"/>
          <w:szCs w:val="20"/>
          <w:lang w:val="en-US"/>
        </w:rPr>
      </w:pPr>
    </w:p>
    <w:p w:rsidR="004C18EE" w:rsidRPr="00EA63C5" w:rsidRDefault="004C18EE" w:rsidP="004C18EE">
      <w:pPr>
        <w:pStyle w:val="ListParagraph"/>
        <w:widowControl w:val="0"/>
        <w:jc w:val="both"/>
        <w:rPr>
          <w:sz w:val="20"/>
          <w:szCs w:val="20"/>
          <w:lang w:val="en-US"/>
        </w:rPr>
      </w:pPr>
    </w:p>
    <w:p w:rsidR="002E2327" w:rsidRPr="00EA63C5" w:rsidRDefault="007F6DC5" w:rsidP="002E2327">
      <w:pPr>
        <w:widowControl w:val="0"/>
        <w:rPr>
          <w:sz w:val="20"/>
          <w:szCs w:val="20"/>
          <w:lang w:val="fr-CA"/>
        </w:rPr>
      </w:pPr>
      <w:r>
        <w:rPr>
          <w:sz w:val="20"/>
          <w:szCs w:val="20"/>
        </w:rPr>
        <w:pict>
          <v:rect id="_x0000_i1051" style="width:2in;height:1pt" o:hrpct="0" o:hralign="center" o:hrstd="t" o:hrnoshade="t" o:hr="t" fillcolor="black [3213]" stroked="f"/>
        </w:pict>
      </w:r>
    </w:p>
    <w:p w:rsidR="00D94028" w:rsidRPr="00EA63C5" w:rsidRDefault="00D94028" w:rsidP="002E2327">
      <w:pPr>
        <w:widowControl w:val="0"/>
        <w:rPr>
          <w:sz w:val="20"/>
          <w:szCs w:val="20"/>
          <w:lang w:val="fr-CA"/>
        </w:rPr>
      </w:pPr>
    </w:p>
    <w:p w:rsidR="00D94028" w:rsidRPr="00EA63C5" w:rsidRDefault="00D94028" w:rsidP="002E2327">
      <w:pPr>
        <w:widowControl w:val="0"/>
        <w:rPr>
          <w:sz w:val="20"/>
          <w:szCs w:val="20"/>
          <w:lang w:val="fr-CA"/>
        </w:rPr>
      </w:pPr>
    </w:p>
    <w:p w:rsidR="00D94028" w:rsidRPr="00EA63C5" w:rsidRDefault="00D94028" w:rsidP="002E2327">
      <w:pPr>
        <w:widowControl w:val="0"/>
        <w:rPr>
          <w:sz w:val="20"/>
          <w:szCs w:val="20"/>
          <w:lang w:val="fr-CA"/>
        </w:rPr>
      </w:pPr>
    </w:p>
    <w:p w:rsidR="0044776A" w:rsidRPr="00EA63C5" w:rsidRDefault="0044776A" w:rsidP="002E2327">
      <w:pPr>
        <w:widowControl w:val="0"/>
        <w:spacing w:line="0" w:lineRule="atLeast"/>
        <w:rPr>
          <w:sz w:val="20"/>
          <w:szCs w:val="20"/>
          <w:lang w:val="fr-CA"/>
        </w:rPr>
        <w:sectPr w:rsidR="0044776A" w:rsidRPr="00EA63C5"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F6DC5" w:rsidTr="00ED7E83">
        <w:tc>
          <w:tcPr>
            <w:tcW w:w="4200" w:type="dxa"/>
            <w:tcMar>
              <w:left w:w="0" w:type="dxa"/>
              <w:right w:w="0" w:type="dxa"/>
            </w:tcMar>
          </w:tcPr>
          <w:p w:rsidR="008D292F" w:rsidRPr="00EA63C5" w:rsidRDefault="008D292F" w:rsidP="00ED7E83">
            <w:pPr>
              <w:keepNext/>
              <w:keepLines/>
              <w:jc w:val="both"/>
              <w:rPr>
                <w:b/>
                <w:szCs w:val="24"/>
                <w:lang w:val="en-US"/>
              </w:rPr>
            </w:pPr>
            <w:bookmarkStart w:id="0" w:name="QuickMark_1"/>
            <w:bookmarkEnd w:id="0"/>
            <w:r w:rsidRPr="00EA63C5">
              <w:rPr>
                <w:b/>
                <w:szCs w:val="24"/>
                <w:lang w:val="en-US"/>
              </w:rPr>
              <w:lastRenderedPageBreak/>
              <w:t>JUDGMENTS ON APPLICATIONS</w:t>
            </w:r>
          </w:p>
          <w:p w:rsidR="008D292F" w:rsidRPr="00EA63C5" w:rsidRDefault="008D292F" w:rsidP="00ED7E83">
            <w:pPr>
              <w:keepNext/>
              <w:keepLines/>
              <w:jc w:val="both"/>
              <w:rPr>
                <w:b/>
                <w:szCs w:val="24"/>
                <w:lang w:val="en-US"/>
              </w:rPr>
            </w:pPr>
            <w:r w:rsidRPr="00EA63C5">
              <w:rPr>
                <w:b/>
                <w:szCs w:val="24"/>
                <w:lang w:val="en-US"/>
              </w:rPr>
              <w:t>FOR LEAVE</w:t>
            </w:r>
          </w:p>
        </w:tc>
        <w:tc>
          <w:tcPr>
            <w:tcW w:w="1200" w:type="dxa"/>
            <w:tcMar>
              <w:left w:w="0" w:type="dxa"/>
              <w:right w:w="0" w:type="dxa"/>
            </w:tcMar>
          </w:tcPr>
          <w:p w:rsidR="008D292F" w:rsidRPr="00EA63C5" w:rsidRDefault="008D292F" w:rsidP="008D292F">
            <w:pPr>
              <w:keepNext/>
              <w:keepLines/>
              <w:jc w:val="center"/>
              <w:rPr>
                <w:b/>
                <w:szCs w:val="24"/>
                <w:lang w:val="en-US"/>
              </w:rPr>
            </w:pPr>
          </w:p>
          <w:p w:rsidR="008D292F" w:rsidRPr="00EA63C5" w:rsidRDefault="008D292F" w:rsidP="008D292F">
            <w:pPr>
              <w:keepNext/>
              <w:keepLines/>
              <w:jc w:val="center"/>
              <w:rPr>
                <w:b/>
                <w:szCs w:val="24"/>
                <w:lang w:val="en-US"/>
              </w:rPr>
            </w:pPr>
          </w:p>
          <w:p w:rsidR="008D292F" w:rsidRPr="00EA63C5" w:rsidRDefault="008D292F" w:rsidP="008D292F">
            <w:pPr>
              <w:keepNext/>
              <w:keepLines/>
              <w:jc w:val="center"/>
              <w:rPr>
                <w:b/>
                <w:szCs w:val="24"/>
                <w:lang w:val="en-US"/>
              </w:rPr>
            </w:pPr>
          </w:p>
        </w:tc>
        <w:tc>
          <w:tcPr>
            <w:tcW w:w="4080" w:type="dxa"/>
            <w:tcMar>
              <w:left w:w="0" w:type="dxa"/>
              <w:right w:w="0" w:type="dxa"/>
            </w:tcMar>
          </w:tcPr>
          <w:p w:rsidR="008D292F" w:rsidRPr="00EA63C5" w:rsidRDefault="008D292F" w:rsidP="00ED7E83">
            <w:pPr>
              <w:keepNext/>
              <w:keepLines/>
              <w:jc w:val="both"/>
              <w:rPr>
                <w:b/>
                <w:szCs w:val="24"/>
                <w:lang w:val="fr-CA"/>
              </w:rPr>
            </w:pPr>
            <w:r w:rsidRPr="00EA63C5">
              <w:rPr>
                <w:b/>
                <w:szCs w:val="24"/>
                <w:lang w:val="fr-CA"/>
              </w:rPr>
              <w:t>JUGEMENTS RENDUS SUR LES DEMANDES D’AUTORISATION</w:t>
            </w:r>
          </w:p>
        </w:tc>
      </w:tr>
    </w:tbl>
    <w:p w:rsidR="008D292F" w:rsidRPr="00EA63C5" w:rsidRDefault="008D292F" w:rsidP="008D292F">
      <w:pPr>
        <w:rPr>
          <w:sz w:val="20"/>
          <w:szCs w:val="20"/>
          <w:lang w:val="fr-CA"/>
        </w:rPr>
      </w:pPr>
    </w:p>
    <w:p w:rsidR="000E2959" w:rsidRPr="00EA63C5" w:rsidRDefault="00CB2288" w:rsidP="000E2959">
      <w:pPr>
        <w:rPr>
          <w:b/>
          <w:sz w:val="20"/>
          <w:szCs w:val="20"/>
        </w:rPr>
      </w:pPr>
      <w:r w:rsidRPr="00EA63C5">
        <w:rPr>
          <w:b/>
          <w:sz w:val="20"/>
          <w:szCs w:val="20"/>
          <w:lang w:val="fr-CA"/>
        </w:rPr>
        <w:t>OCTOBER 20</w:t>
      </w:r>
      <w:r w:rsidR="000E2959" w:rsidRPr="00EA63C5">
        <w:rPr>
          <w:b/>
          <w:sz w:val="20"/>
          <w:szCs w:val="20"/>
          <w:lang w:val="fr-CA"/>
        </w:rPr>
        <w:t xml:space="preserve">, </w:t>
      </w:r>
      <w:r w:rsidR="0030050B" w:rsidRPr="00EA63C5">
        <w:rPr>
          <w:b/>
          <w:sz w:val="20"/>
          <w:szCs w:val="20"/>
          <w:lang w:val="fr-CA"/>
        </w:rPr>
        <w:t>2016</w:t>
      </w:r>
      <w:r w:rsidR="000E2959" w:rsidRPr="00EA63C5">
        <w:rPr>
          <w:b/>
          <w:sz w:val="20"/>
          <w:szCs w:val="20"/>
          <w:lang w:val="fr-CA"/>
        </w:rPr>
        <w:t xml:space="preserve"> / LE 2</w:t>
      </w:r>
      <w:r w:rsidRPr="00EA63C5">
        <w:rPr>
          <w:b/>
          <w:sz w:val="20"/>
          <w:szCs w:val="20"/>
          <w:lang w:val="fr-CA"/>
        </w:rPr>
        <w:t>0</w:t>
      </w:r>
      <w:r w:rsidR="000E2959" w:rsidRPr="00EA63C5">
        <w:rPr>
          <w:b/>
          <w:sz w:val="20"/>
          <w:szCs w:val="20"/>
          <w:lang w:val="fr-CA"/>
        </w:rPr>
        <w:t xml:space="preserve"> </w:t>
      </w:r>
      <w:r w:rsidRPr="00EA63C5">
        <w:rPr>
          <w:b/>
          <w:sz w:val="20"/>
          <w:szCs w:val="20"/>
        </w:rPr>
        <w:t>OCTOBRE</w:t>
      </w:r>
      <w:r w:rsidR="000E2959" w:rsidRPr="00EA63C5">
        <w:rPr>
          <w:b/>
          <w:sz w:val="20"/>
          <w:szCs w:val="20"/>
        </w:rPr>
        <w:t xml:space="preserve"> </w:t>
      </w:r>
      <w:r w:rsidR="0030050B" w:rsidRPr="00EA63C5">
        <w:rPr>
          <w:b/>
          <w:sz w:val="20"/>
          <w:szCs w:val="20"/>
        </w:rPr>
        <w:t>2016</w:t>
      </w:r>
    </w:p>
    <w:p w:rsidR="000E2959" w:rsidRPr="00EA63C5"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w:t>
            </w:r>
            <w:r w:rsidR="00BF2CCE" w:rsidRPr="00EA63C5">
              <w:rPr>
                <w:rStyle w:val="SCCFileNumberChar"/>
                <w:sz w:val="20"/>
                <w:szCs w:val="20"/>
              </w:rPr>
              <w:t>6660</w:t>
            </w:r>
          </w:p>
          <w:p w:rsidR="00B22687" w:rsidRPr="00EA63C5" w:rsidRDefault="00B22687" w:rsidP="00B22687">
            <w:pPr>
              <w:jc w:val="both"/>
              <w:rPr>
                <w:rFonts w:cs="Times New Roman"/>
                <w:b/>
                <w:sz w:val="20"/>
                <w:szCs w:val="20"/>
              </w:rPr>
            </w:pPr>
          </w:p>
        </w:tc>
        <w:tc>
          <w:tcPr>
            <w:tcW w:w="8118" w:type="dxa"/>
            <w:gridSpan w:val="3"/>
          </w:tcPr>
          <w:p w:rsidR="00B22687" w:rsidRPr="00EA63C5" w:rsidRDefault="00AC775A" w:rsidP="00B22687">
            <w:pPr>
              <w:jc w:val="both"/>
              <w:rPr>
                <w:rFonts w:cs="Times New Roman"/>
                <w:sz w:val="20"/>
                <w:szCs w:val="20"/>
              </w:rPr>
            </w:pPr>
            <w:r w:rsidRPr="00EA63C5">
              <w:rPr>
                <w:rStyle w:val="SCCLsocChar"/>
                <w:rFonts w:cs="Times New Roman"/>
                <w:sz w:val="20"/>
                <w:szCs w:val="20"/>
                <w:lang w:val="en-US"/>
              </w:rPr>
              <w:t>Allianz Global Risks US Insurance Company/</w:t>
            </w:r>
            <w:proofErr w:type="spellStart"/>
            <w:r w:rsidRPr="00EA63C5">
              <w:rPr>
                <w:rStyle w:val="SCCLsocChar"/>
                <w:rFonts w:cs="Times New Roman"/>
                <w:sz w:val="20"/>
                <w:szCs w:val="20"/>
                <w:lang w:val="en-US"/>
              </w:rPr>
              <w:t>Compagnie</w:t>
            </w:r>
            <w:proofErr w:type="spellEnd"/>
            <w:r w:rsidRPr="00EA63C5">
              <w:rPr>
                <w:rStyle w:val="SCCLsocChar"/>
                <w:rFonts w:cs="Times New Roman"/>
                <w:sz w:val="20"/>
                <w:szCs w:val="20"/>
                <w:lang w:val="en-US"/>
              </w:rPr>
              <w:t xml:space="preserve"> </w:t>
            </w:r>
            <w:proofErr w:type="spellStart"/>
            <w:r w:rsidRPr="00EA63C5">
              <w:rPr>
                <w:rStyle w:val="SCCLsocChar"/>
                <w:rFonts w:cs="Times New Roman"/>
                <w:sz w:val="20"/>
                <w:szCs w:val="20"/>
                <w:lang w:val="en-US"/>
              </w:rPr>
              <w:t>d'assurance</w:t>
            </w:r>
            <w:proofErr w:type="spellEnd"/>
            <w:r w:rsidRPr="00EA63C5">
              <w:rPr>
                <w:rStyle w:val="SCCLsocChar"/>
                <w:rFonts w:cs="Times New Roman"/>
                <w:sz w:val="20"/>
                <w:szCs w:val="20"/>
                <w:lang w:val="en-US"/>
              </w:rPr>
              <w:t xml:space="preserve"> Allianz </w:t>
            </w:r>
            <w:proofErr w:type="spellStart"/>
            <w:r w:rsidRPr="00EA63C5">
              <w:rPr>
                <w:rStyle w:val="SCCLsocChar"/>
                <w:rFonts w:cs="Times New Roman"/>
                <w:sz w:val="20"/>
                <w:szCs w:val="20"/>
                <w:lang w:val="en-US"/>
              </w:rPr>
              <w:t>risques</w:t>
            </w:r>
            <w:proofErr w:type="spellEnd"/>
            <w:r w:rsidRPr="00EA63C5">
              <w:rPr>
                <w:rStyle w:val="SCCLsocChar"/>
                <w:rFonts w:cs="Times New Roman"/>
                <w:sz w:val="20"/>
                <w:szCs w:val="20"/>
                <w:lang w:val="en-US"/>
              </w:rPr>
              <w:t xml:space="preserve"> </w:t>
            </w:r>
            <w:proofErr w:type="spellStart"/>
            <w:r w:rsidRPr="00EA63C5">
              <w:rPr>
                <w:rStyle w:val="SCCLsocChar"/>
                <w:rFonts w:cs="Times New Roman"/>
                <w:sz w:val="20"/>
                <w:szCs w:val="20"/>
                <w:lang w:val="en-US"/>
              </w:rPr>
              <w:t>mondiaux</w:t>
            </w:r>
            <w:proofErr w:type="spellEnd"/>
            <w:r w:rsidRPr="00EA63C5">
              <w:rPr>
                <w:rStyle w:val="SCCLsocChar"/>
                <w:rFonts w:cs="Times New Roman"/>
                <w:sz w:val="20"/>
                <w:szCs w:val="20"/>
                <w:lang w:val="en-US"/>
              </w:rPr>
              <w:t xml:space="preserve"> E.-U., Zurich Insurance Company Ltd./Zurich </w:t>
            </w:r>
            <w:proofErr w:type="spellStart"/>
            <w:r w:rsidRPr="00EA63C5">
              <w:rPr>
                <w:rStyle w:val="SCCLsocChar"/>
                <w:rFonts w:cs="Times New Roman"/>
                <w:sz w:val="20"/>
                <w:szCs w:val="20"/>
                <w:lang w:val="en-US"/>
              </w:rPr>
              <w:t>compagnie</w:t>
            </w:r>
            <w:proofErr w:type="spellEnd"/>
            <w:r w:rsidRPr="00EA63C5">
              <w:rPr>
                <w:rStyle w:val="SCCLsocChar"/>
                <w:rFonts w:cs="Times New Roman"/>
                <w:sz w:val="20"/>
                <w:szCs w:val="20"/>
                <w:lang w:val="en-US"/>
              </w:rPr>
              <w:t xml:space="preserve"> </w:t>
            </w:r>
            <w:proofErr w:type="spellStart"/>
            <w:r w:rsidRPr="00EA63C5">
              <w:rPr>
                <w:rStyle w:val="SCCLsocChar"/>
                <w:rFonts w:cs="Times New Roman"/>
                <w:sz w:val="20"/>
                <w:szCs w:val="20"/>
                <w:lang w:val="en-US"/>
              </w:rPr>
              <w:t>d'assurances</w:t>
            </w:r>
            <w:proofErr w:type="spellEnd"/>
            <w:r w:rsidRPr="00EA63C5">
              <w:rPr>
                <w:rStyle w:val="SCCLsocChar"/>
                <w:rFonts w:cs="Times New Roman"/>
                <w:sz w:val="20"/>
                <w:szCs w:val="20"/>
                <w:lang w:val="en-US"/>
              </w:rPr>
              <w:t xml:space="preserve"> SA, Temple Insurance Company/La </w:t>
            </w:r>
            <w:proofErr w:type="spellStart"/>
            <w:r w:rsidRPr="00EA63C5">
              <w:rPr>
                <w:rStyle w:val="SCCLsocChar"/>
                <w:rFonts w:cs="Times New Roman"/>
                <w:sz w:val="20"/>
                <w:szCs w:val="20"/>
                <w:lang w:val="en-US"/>
              </w:rPr>
              <w:t>compagnie</w:t>
            </w:r>
            <w:proofErr w:type="spellEnd"/>
            <w:r w:rsidRPr="00EA63C5">
              <w:rPr>
                <w:rStyle w:val="SCCLsocChar"/>
                <w:rFonts w:cs="Times New Roman"/>
                <w:sz w:val="20"/>
                <w:szCs w:val="20"/>
                <w:lang w:val="en-US"/>
              </w:rPr>
              <w:t xml:space="preserve"> </w:t>
            </w:r>
            <w:proofErr w:type="spellStart"/>
            <w:r w:rsidRPr="00EA63C5">
              <w:rPr>
                <w:rStyle w:val="SCCLsocChar"/>
                <w:rFonts w:cs="Times New Roman"/>
                <w:sz w:val="20"/>
                <w:szCs w:val="20"/>
                <w:lang w:val="en-US"/>
              </w:rPr>
              <w:t>d'assurance</w:t>
            </w:r>
            <w:proofErr w:type="spellEnd"/>
            <w:r w:rsidRPr="00EA63C5">
              <w:rPr>
                <w:rStyle w:val="SCCLsocChar"/>
                <w:rFonts w:cs="Times New Roman"/>
                <w:sz w:val="20"/>
                <w:szCs w:val="20"/>
                <w:lang w:val="en-US"/>
              </w:rPr>
              <w:t xml:space="preserve"> Temple and GCAN Insurance Company v. </w:t>
            </w:r>
            <w:proofErr w:type="spellStart"/>
            <w:r w:rsidRPr="00EA63C5">
              <w:rPr>
                <w:rStyle w:val="SCCLsocChar"/>
                <w:rFonts w:cs="Times New Roman"/>
                <w:sz w:val="20"/>
                <w:szCs w:val="20"/>
                <w:lang w:val="en-US"/>
              </w:rPr>
              <w:t>Acciona</w:t>
            </w:r>
            <w:proofErr w:type="spellEnd"/>
            <w:r w:rsidRPr="00EA63C5">
              <w:rPr>
                <w:rStyle w:val="SCCLsocChar"/>
                <w:rFonts w:cs="Times New Roman"/>
                <w:sz w:val="20"/>
                <w:szCs w:val="20"/>
                <w:lang w:val="en-US"/>
              </w:rPr>
              <w:t xml:space="preserve"> Infrastructure Canada Inc. and Lark Projects (2004) Ltd., collectively doing business as </w:t>
            </w:r>
            <w:proofErr w:type="spellStart"/>
            <w:r w:rsidRPr="00EA63C5">
              <w:rPr>
                <w:rStyle w:val="SCCLsocChar"/>
                <w:rFonts w:cs="Times New Roman"/>
                <w:sz w:val="20"/>
                <w:szCs w:val="20"/>
                <w:lang w:val="en-US"/>
              </w:rPr>
              <w:t>Acciona</w:t>
            </w:r>
            <w:proofErr w:type="spellEnd"/>
            <w:r w:rsidRPr="00EA63C5">
              <w:rPr>
                <w:rStyle w:val="SCCLsocChar"/>
                <w:rFonts w:cs="Times New Roman"/>
                <w:sz w:val="20"/>
                <w:szCs w:val="20"/>
                <w:lang w:val="en-US"/>
              </w:rPr>
              <w:t xml:space="preserve"> Lark Joint Venture</w:t>
            </w:r>
            <w:r w:rsidRPr="00EA63C5">
              <w:t xml:space="preserve"> </w:t>
            </w:r>
            <w:r w:rsidR="00B22687" w:rsidRPr="00EA63C5">
              <w:rPr>
                <w:rFonts w:cs="Times New Roman"/>
                <w:sz w:val="20"/>
                <w:szCs w:val="20"/>
              </w:rPr>
              <w:t>(</w:t>
            </w:r>
            <w:r w:rsidRPr="00EA63C5">
              <w:rPr>
                <w:rFonts w:cs="Times New Roman"/>
                <w:sz w:val="20"/>
                <w:szCs w:val="20"/>
              </w:rPr>
              <w:t>B.C.</w:t>
            </w:r>
            <w:r w:rsidR="00B22687" w:rsidRPr="00EA63C5">
              <w:rPr>
                <w:rFonts w:cs="Times New Roman"/>
                <w:sz w:val="20"/>
                <w:szCs w:val="20"/>
              </w:rPr>
              <w: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B22687" w:rsidP="00B22687">
            <w:pPr>
              <w:jc w:val="both"/>
              <w:rPr>
                <w:rStyle w:val="SCCCoramChar"/>
                <w:rFonts w:cs="Times New Roman"/>
                <w:sz w:val="20"/>
                <w:szCs w:val="20"/>
                <w:lang w:val="en-US"/>
              </w:rPr>
            </w:pPr>
            <w:r w:rsidRPr="00EA63C5">
              <w:rPr>
                <w:rStyle w:val="SCCCoramChar"/>
                <w:rFonts w:cs="Times New Roman"/>
                <w:sz w:val="20"/>
                <w:szCs w:val="20"/>
                <w:lang w:val="en-US"/>
              </w:rPr>
              <w:t xml:space="preserve">McLachlin C.J. and </w:t>
            </w:r>
            <w:r w:rsidR="00AC775A" w:rsidRPr="00EA63C5">
              <w:rPr>
                <w:rStyle w:val="SCCCoramChar"/>
                <w:rFonts w:cs="Times New Roman"/>
                <w:sz w:val="20"/>
                <w:szCs w:val="20"/>
                <w:lang w:val="en-US"/>
              </w:rPr>
              <w:t>Wagner</w:t>
            </w:r>
            <w:r w:rsidRPr="00EA63C5">
              <w:rPr>
                <w:rStyle w:val="SCCCoramChar"/>
                <w:rFonts w:cs="Times New Roman"/>
                <w:sz w:val="20"/>
                <w:szCs w:val="20"/>
                <w:lang w:val="en-US"/>
              </w:rPr>
              <w:t xml:space="preserve"> and Gascon JJ.</w:t>
            </w:r>
          </w:p>
          <w:p w:rsidR="00B22687" w:rsidRPr="00EA63C5" w:rsidRDefault="00B22687" w:rsidP="00B22687">
            <w:pPr>
              <w:jc w:val="both"/>
              <w:rPr>
                <w:rFonts w:cs="Times New Roman"/>
                <w:sz w:val="20"/>
                <w:szCs w:val="20"/>
                <w:u w:val="single"/>
              </w:rPr>
            </w:pPr>
          </w:p>
        </w:tc>
      </w:tr>
      <w:tr w:rsidR="00B22687" w:rsidRPr="007F6DC5" w:rsidTr="00B22687">
        <w:trPr>
          <w:cantSplit/>
        </w:trPr>
        <w:tc>
          <w:tcPr>
            <w:tcW w:w="9576" w:type="dxa"/>
            <w:gridSpan w:val="4"/>
          </w:tcPr>
          <w:p w:rsidR="00B22687" w:rsidRPr="00EA63C5" w:rsidRDefault="00B22687" w:rsidP="00B22687">
            <w:pPr>
              <w:pStyle w:val="SCCShortJudgment"/>
              <w:ind w:firstLine="0"/>
              <w:rPr>
                <w:rFonts w:cs="Times New Roman"/>
                <w:szCs w:val="20"/>
              </w:rPr>
            </w:pPr>
            <w:r w:rsidRPr="00EA63C5">
              <w:rPr>
                <w:rFonts w:cs="Times New Roman"/>
                <w:szCs w:val="20"/>
              </w:rPr>
              <w:tab/>
            </w:r>
            <w:r w:rsidR="00AC775A" w:rsidRPr="00EA63C5">
              <w:rPr>
                <w:szCs w:val="20"/>
              </w:rPr>
              <w:t xml:space="preserve">Pursuant to subsection 43(1.1) of the </w:t>
            </w:r>
            <w:r w:rsidR="00AC775A" w:rsidRPr="00EA63C5">
              <w:rPr>
                <w:i/>
                <w:szCs w:val="20"/>
              </w:rPr>
              <w:t>Supreme Court Act</w:t>
            </w:r>
            <w:r w:rsidR="00AC775A" w:rsidRPr="00EA63C5">
              <w:rPr>
                <w:szCs w:val="20"/>
              </w:rPr>
              <w:t xml:space="preserve">, the case forming the basis of the application for leave to appeal from the judgment of the Court of Appeal for British Columbia (Vancouver), Number CA42166, 2015 BCCA 347, dated August 5, 2015, is remanded to the Court of Appeal for British Columbia for a disposition in accordance with </w:t>
            </w:r>
            <w:proofErr w:type="spellStart"/>
            <w:r w:rsidR="00AC775A" w:rsidRPr="00EA63C5">
              <w:rPr>
                <w:i/>
                <w:szCs w:val="20"/>
              </w:rPr>
              <w:t>Ledcor</w:t>
            </w:r>
            <w:proofErr w:type="spellEnd"/>
            <w:r w:rsidR="00AC775A" w:rsidRPr="00EA63C5">
              <w:rPr>
                <w:i/>
                <w:szCs w:val="20"/>
              </w:rPr>
              <w:t xml:space="preserve"> Construction Ltd. v. Northbridge Indemnity Insurance Co.</w:t>
            </w:r>
            <w:r w:rsidR="00AC775A" w:rsidRPr="00EA63C5">
              <w:rPr>
                <w:szCs w:val="20"/>
              </w:rPr>
              <w:t>, 2016 SCC 37.</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szCs w:val="20"/>
                <w:lang w:val="fr-FR"/>
              </w:rPr>
            </w:pPr>
            <w:r w:rsidRPr="00EA63C5">
              <w:rPr>
                <w:rFonts w:cs="Times New Roman"/>
                <w:szCs w:val="20"/>
              </w:rPr>
              <w:tab/>
            </w:r>
            <w:r w:rsidR="00AC775A" w:rsidRPr="00EA63C5">
              <w:rPr>
                <w:szCs w:val="20"/>
                <w:lang w:val="fr-CA"/>
              </w:rPr>
              <w:t xml:space="preserve">Conformément au paragraphe 43(1.1) de la </w:t>
            </w:r>
            <w:r w:rsidR="00AC775A" w:rsidRPr="00EA63C5">
              <w:rPr>
                <w:i/>
                <w:szCs w:val="20"/>
                <w:lang w:val="fr-CA"/>
              </w:rPr>
              <w:t>Loi sur la Cour suprême</w:t>
            </w:r>
            <w:r w:rsidR="00AC775A" w:rsidRPr="00EA63C5">
              <w:rPr>
                <w:szCs w:val="20"/>
                <w:lang w:val="fr-CA"/>
              </w:rPr>
              <w:t xml:space="preserve">, l’affaire à l’origine de la demande d’autorisation d’appel de l’arrêt de la </w:t>
            </w:r>
            <w:r w:rsidR="00AC775A" w:rsidRPr="00EA63C5">
              <w:rPr>
                <w:szCs w:val="20"/>
                <w:lang w:val="fr-FR"/>
              </w:rPr>
              <w:t>Cour d’appel de la Colombie-Britannique (Vancouver)</w:t>
            </w:r>
            <w:r w:rsidR="00AC775A" w:rsidRPr="00EA63C5">
              <w:rPr>
                <w:szCs w:val="20"/>
                <w:lang w:val="fr-CA"/>
              </w:rPr>
              <w:t xml:space="preserve">, numéro </w:t>
            </w:r>
            <w:r w:rsidR="00AC775A" w:rsidRPr="00EA63C5">
              <w:rPr>
                <w:szCs w:val="20"/>
                <w:lang w:val="fr-FR"/>
              </w:rPr>
              <w:t>CA42166, 2015 BCCA 347</w:t>
            </w:r>
            <w:r w:rsidR="00AC775A" w:rsidRPr="00EA63C5">
              <w:rPr>
                <w:szCs w:val="20"/>
                <w:lang w:val="fr-CA"/>
              </w:rPr>
              <w:t xml:space="preserve">, daté du </w:t>
            </w:r>
            <w:r w:rsidR="00AC775A" w:rsidRPr="00EA63C5">
              <w:rPr>
                <w:szCs w:val="20"/>
                <w:lang w:val="fr-FR"/>
              </w:rPr>
              <w:t>5 août 2015</w:t>
            </w:r>
            <w:r w:rsidR="00AC775A" w:rsidRPr="00EA63C5">
              <w:rPr>
                <w:szCs w:val="20"/>
                <w:lang w:val="fr-CA"/>
              </w:rPr>
              <w:t xml:space="preserve">, est </w:t>
            </w:r>
            <w:r w:rsidR="00AC775A" w:rsidRPr="00EA63C5">
              <w:rPr>
                <w:rFonts w:cs="Times New Roman"/>
                <w:color w:val="222222"/>
                <w:szCs w:val="20"/>
                <w:lang w:val="fr-FR"/>
              </w:rPr>
              <w:t>renvoyée à la Cour d’appel de la Colombie-Britannique pour qu’elle statue en conformité avec</w:t>
            </w:r>
            <w:r w:rsidR="00AC775A" w:rsidRPr="00EA63C5">
              <w:rPr>
                <w:i/>
                <w:szCs w:val="20"/>
                <w:lang w:val="fr-FR"/>
              </w:rPr>
              <w:t xml:space="preserve"> </w:t>
            </w:r>
            <w:proofErr w:type="spellStart"/>
            <w:r w:rsidR="00AC775A" w:rsidRPr="00EA63C5">
              <w:rPr>
                <w:i/>
                <w:szCs w:val="20"/>
                <w:lang w:val="fr-FR"/>
              </w:rPr>
              <w:t>Ledcor</w:t>
            </w:r>
            <w:proofErr w:type="spellEnd"/>
            <w:r w:rsidR="00AC775A" w:rsidRPr="00EA63C5">
              <w:rPr>
                <w:i/>
                <w:szCs w:val="20"/>
                <w:lang w:val="fr-FR"/>
              </w:rPr>
              <w:t xml:space="preserve"> Construction Ltd. c. </w:t>
            </w:r>
            <w:r w:rsidR="00AC775A" w:rsidRPr="00EA63C5">
              <w:rPr>
                <w:i/>
                <w:szCs w:val="20"/>
                <w:lang w:val="fr-CA"/>
              </w:rPr>
              <w:t xml:space="preserve">Société d’assurance d’indemnisation </w:t>
            </w:r>
            <w:proofErr w:type="spellStart"/>
            <w:r w:rsidR="00AC775A" w:rsidRPr="00EA63C5">
              <w:rPr>
                <w:i/>
                <w:szCs w:val="20"/>
                <w:lang w:val="fr-CA"/>
              </w:rPr>
              <w:t>Northbridge</w:t>
            </w:r>
            <w:proofErr w:type="spellEnd"/>
            <w:r w:rsidR="00AC775A" w:rsidRPr="00EA63C5">
              <w:rPr>
                <w:szCs w:val="20"/>
                <w:lang w:val="fr-FR"/>
              </w:rPr>
              <w:t>, 2016 CSC 37.</w:t>
            </w:r>
          </w:p>
          <w:p w:rsidR="00AC775A" w:rsidRPr="00EA63C5" w:rsidRDefault="00AC775A"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BF2CCE" w:rsidRPr="00EA63C5" w:rsidRDefault="00BF2CCE" w:rsidP="00BF2CCE">
            <w:pPr>
              <w:jc w:val="both"/>
              <w:rPr>
                <w:sz w:val="20"/>
                <w:szCs w:val="20"/>
              </w:rPr>
            </w:pPr>
            <w:r w:rsidRPr="00EA63C5">
              <w:rPr>
                <w:sz w:val="20"/>
                <w:szCs w:val="20"/>
              </w:rPr>
              <w:t xml:space="preserve">Insurance – Property insurance – Liability insurance – Contracts – Commercial contracts – Interpretation – Exclusion clauses – Appeal – Standard of review – Which appellate court – the ABCA in </w:t>
            </w:r>
            <w:proofErr w:type="spellStart"/>
            <w:r w:rsidRPr="00EA63C5">
              <w:rPr>
                <w:i/>
                <w:sz w:val="20"/>
                <w:szCs w:val="20"/>
              </w:rPr>
              <w:t>Ledcor</w:t>
            </w:r>
            <w:proofErr w:type="spellEnd"/>
            <w:r w:rsidRPr="00EA63C5">
              <w:rPr>
                <w:i/>
                <w:sz w:val="20"/>
                <w:szCs w:val="20"/>
              </w:rPr>
              <w:t xml:space="preserve"> Construction Limited v. Northbridge Indemnity Insurance Company et al.</w:t>
            </w:r>
            <w:r w:rsidRPr="00EA63C5">
              <w:rPr>
                <w:sz w:val="20"/>
                <w:szCs w:val="20"/>
              </w:rPr>
              <w:t>, 2015 ABCA 121 (</w:t>
            </w:r>
            <w:proofErr w:type="spellStart"/>
            <w:r w:rsidRPr="00EA63C5">
              <w:rPr>
                <w:sz w:val="20"/>
                <w:szCs w:val="20"/>
              </w:rPr>
              <w:t>CanLII</w:t>
            </w:r>
            <w:proofErr w:type="spellEnd"/>
            <w:r w:rsidRPr="00EA63C5">
              <w:rPr>
                <w:sz w:val="20"/>
                <w:szCs w:val="20"/>
              </w:rPr>
              <w:t>) (“</w:t>
            </w:r>
            <w:proofErr w:type="spellStart"/>
            <w:r w:rsidRPr="00EA63C5">
              <w:rPr>
                <w:i/>
                <w:sz w:val="20"/>
                <w:szCs w:val="20"/>
              </w:rPr>
              <w:t>Ledcor</w:t>
            </w:r>
            <w:proofErr w:type="spellEnd"/>
            <w:r w:rsidRPr="00EA63C5">
              <w:rPr>
                <w:sz w:val="20"/>
                <w:szCs w:val="20"/>
              </w:rPr>
              <w:t xml:space="preserve">”), the BCCA in </w:t>
            </w:r>
            <w:r w:rsidRPr="00EA63C5">
              <w:rPr>
                <w:rFonts w:ascii="Arial (W1)" w:hAnsi="Arial (W1)"/>
                <w:i/>
                <w:iCs/>
                <w:sz w:val="20"/>
                <w:szCs w:val="20"/>
              </w:rPr>
              <w:t xml:space="preserve">Precision Plating Ltd. v. </w:t>
            </w:r>
            <w:proofErr w:type="spellStart"/>
            <w:r w:rsidRPr="00EA63C5">
              <w:rPr>
                <w:rFonts w:ascii="Arial (W1)" w:hAnsi="Arial (W1)"/>
                <w:i/>
                <w:iCs/>
                <w:sz w:val="20"/>
                <w:szCs w:val="20"/>
              </w:rPr>
              <w:t>Axa</w:t>
            </w:r>
            <w:proofErr w:type="spellEnd"/>
            <w:r w:rsidRPr="00EA63C5">
              <w:rPr>
                <w:rFonts w:ascii="Arial (W1)" w:hAnsi="Arial (W1)"/>
                <w:i/>
                <w:iCs/>
                <w:sz w:val="20"/>
                <w:szCs w:val="20"/>
              </w:rPr>
              <w:t xml:space="preserve"> Pacific Insurance Company, </w:t>
            </w:r>
            <w:r w:rsidRPr="00EA63C5">
              <w:rPr>
                <w:rFonts w:ascii="Arial (W1)" w:hAnsi="Arial (W1)"/>
                <w:sz w:val="20"/>
                <w:szCs w:val="20"/>
              </w:rPr>
              <w:t>2015 BCCA 277 (</w:t>
            </w:r>
            <w:proofErr w:type="spellStart"/>
            <w:r w:rsidRPr="00EA63C5">
              <w:rPr>
                <w:rFonts w:ascii="Arial (W1)" w:hAnsi="Arial (W1)"/>
                <w:sz w:val="20"/>
                <w:szCs w:val="20"/>
              </w:rPr>
              <w:t>CanLII</w:t>
            </w:r>
            <w:proofErr w:type="spellEnd"/>
            <w:r w:rsidRPr="00EA63C5">
              <w:rPr>
                <w:rFonts w:ascii="Arial (W1)" w:hAnsi="Arial (W1)"/>
                <w:sz w:val="20"/>
                <w:szCs w:val="20"/>
              </w:rPr>
              <w:t>) (“</w:t>
            </w:r>
            <w:r w:rsidRPr="00EA63C5">
              <w:rPr>
                <w:rFonts w:ascii="Arial (W1)" w:hAnsi="Arial (W1)"/>
                <w:i/>
                <w:sz w:val="20"/>
                <w:szCs w:val="20"/>
              </w:rPr>
              <w:t>Precision Plating</w:t>
            </w:r>
            <w:r w:rsidRPr="00EA63C5">
              <w:rPr>
                <w:rFonts w:ascii="Arial (W1)" w:hAnsi="Arial (W1)"/>
                <w:sz w:val="20"/>
                <w:szCs w:val="20"/>
              </w:rPr>
              <w:t>”)</w:t>
            </w:r>
            <w:r w:rsidRPr="00EA63C5">
              <w:rPr>
                <w:sz w:val="20"/>
                <w:szCs w:val="20"/>
              </w:rPr>
              <w:t xml:space="preserve">, or the BCCA in this case – interpreted the defects clause appropriately – Whether the intent of the exclusion provision is to exclude from coverage the cost of rectifying the defective area – Whether, properly interpreted, the contractor is only indemnified for damage to other parts of the building as a result of the defect – Whether the exclusion provision is not actually an exclusion, but rather a deeming provision – Whether the ABCA in </w:t>
            </w:r>
            <w:proofErr w:type="spellStart"/>
            <w:r w:rsidRPr="00EA63C5">
              <w:rPr>
                <w:i/>
                <w:sz w:val="20"/>
                <w:szCs w:val="20"/>
              </w:rPr>
              <w:t>Ledcor</w:t>
            </w:r>
            <w:proofErr w:type="spellEnd"/>
            <w:r w:rsidRPr="00EA63C5">
              <w:rPr>
                <w:i/>
                <w:sz w:val="20"/>
                <w:szCs w:val="20"/>
              </w:rPr>
              <w:t xml:space="preserve"> </w:t>
            </w:r>
            <w:r w:rsidRPr="00EA63C5">
              <w:rPr>
                <w:sz w:val="20"/>
                <w:szCs w:val="20"/>
              </w:rPr>
              <w:t xml:space="preserve">struck the proper balance in holding that the degree of physical or systemic connectedness is the key to determining the boundary between “costs rendered necessary by defects of material workmanship” and remote damage – Whether language in exclusion clauses, adapted from LEG2, and utilized ubiquitously in Canada and elsewhere, the U.K., Australia, etc. should be considered as an extricable question of law to be reviewed on a standard of correctness rather than reasonableness standard – Whether the decisions of the BCCA in this case, in </w:t>
            </w:r>
            <w:r w:rsidRPr="00EA63C5">
              <w:rPr>
                <w:i/>
                <w:sz w:val="20"/>
                <w:szCs w:val="20"/>
              </w:rPr>
              <w:t>Precision Plating</w:t>
            </w:r>
            <w:r w:rsidRPr="00EA63C5">
              <w:rPr>
                <w:sz w:val="20"/>
                <w:szCs w:val="20"/>
              </w:rPr>
              <w:t xml:space="preserve"> and of the ABCA in </w:t>
            </w:r>
            <w:proofErr w:type="spellStart"/>
            <w:r w:rsidRPr="00EA63C5">
              <w:rPr>
                <w:i/>
                <w:sz w:val="20"/>
                <w:szCs w:val="20"/>
              </w:rPr>
              <w:t>Ledcor</w:t>
            </w:r>
            <w:proofErr w:type="spellEnd"/>
            <w:r w:rsidRPr="00EA63C5">
              <w:rPr>
                <w:sz w:val="20"/>
                <w:szCs w:val="20"/>
              </w:rPr>
              <w:t xml:space="preserve"> can be reconciled or do they cause uncertainty and confusion for insureds and insurers – The meaning of the scope of the indemnity for “direct loss so caused” in a Course of Construction. All Risk Policy of Insurance – The assistance of American authorities in insurance cases in the absence of Canadian decisions on point. </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9576" w:type="dxa"/>
            <w:gridSpan w:val="4"/>
          </w:tcPr>
          <w:p w:rsidR="00B22687" w:rsidRPr="00EA63C5" w:rsidRDefault="00BF2CCE" w:rsidP="00B22687">
            <w:pPr>
              <w:pStyle w:val="SCCShortJudgment"/>
              <w:ind w:firstLine="0"/>
              <w:rPr>
                <w:szCs w:val="20"/>
              </w:rPr>
            </w:pPr>
            <w:r w:rsidRPr="00EA63C5">
              <w:rPr>
                <w:rFonts w:eastAsia="Times New Roman" w:cs="Times New Roman"/>
                <w:iCs/>
                <w:szCs w:val="20"/>
              </w:rPr>
              <w:t xml:space="preserve">The </w:t>
            </w:r>
            <w:r w:rsidRPr="00EA63C5">
              <w:rPr>
                <w:szCs w:val="20"/>
              </w:rPr>
              <w:t>respondents</w:t>
            </w:r>
            <w:r w:rsidRPr="00EA63C5">
              <w:rPr>
                <w:rFonts w:eastAsia="Times New Roman" w:cs="Times New Roman"/>
                <w:iCs/>
                <w:szCs w:val="20"/>
              </w:rPr>
              <w:t xml:space="preserve"> contracted to design and build the new Patient Care Centre of the Royal Jubilee Hospital in Victoria B.C. During the construction process, some of the concrete slab floors began over-deflecting, resulting in concave recessions in the centre of the slabs. The respondents corrected the problem and made a claim of approximately $15 million under their </w:t>
            </w:r>
            <w:r w:rsidRPr="00EA63C5">
              <w:rPr>
                <w:szCs w:val="20"/>
              </w:rPr>
              <w:t>Course of Construction Insurance Policy</w:t>
            </w:r>
            <w:r w:rsidRPr="00EA63C5">
              <w:rPr>
                <w:rFonts w:eastAsia="Times New Roman" w:cs="Times New Roman"/>
                <w:iCs/>
                <w:szCs w:val="20"/>
              </w:rPr>
              <w:t xml:space="preserve"> with the applicant insurers. The policy provided coverage for “</w:t>
            </w:r>
            <w:r w:rsidRPr="00EA63C5">
              <w:rPr>
                <w:szCs w:val="20"/>
              </w:rPr>
              <w:t>ALL RISKS of direct physical loss of or damage to the property insured…. except …all costs rendered necessary by defects of material workmanship, design, plan, or specification….” The policy specified that if damage occurred to a portion of the property containing the defect, “the cost of replacement or rectification which is hereby excluded is that cost which would have been incurred if replacement or rectification of the Insured Property had been put in hand immediately prior to the said damage”.</w:t>
            </w:r>
          </w:p>
          <w:p w:rsidR="00BF2CCE" w:rsidRPr="00EA63C5" w:rsidRDefault="00BF2CCE" w:rsidP="00B22687">
            <w:pPr>
              <w:pStyle w:val="SCCShortJudgment"/>
              <w:ind w:firstLine="0"/>
              <w:rPr>
                <w:rFonts w:cs="Times New Roman"/>
                <w:szCs w:val="20"/>
              </w:rPr>
            </w:pPr>
          </w:p>
        </w:tc>
      </w:tr>
      <w:tr w:rsidR="00B22687" w:rsidRPr="00EA63C5" w:rsidTr="00B22687">
        <w:trPr>
          <w:cantSplit/>
        </w:trPr>
        <w:tc>
          <w:tcPr>
            <w:tcW w:w="9576" w:type="dxa"/>
            <w:gridSpan w:val="4"/>
          </w:tcPr>
          <w:p w:rsidR="00BF2CCE" w:rsidRPr="00EA63C5" w:rsidRDefault="00BF2CCE" w:rsidP="00BF2CCE">
            <w:pPr>
              <w:jc w:val="both"/>
              <w:rPr>
                <w:sz w:val="20"/>
                <w:szCs w:val="20"/>
              </w:rPr>
            </w:pPr>
            <w:r w:rsidRPr="00EA63C5">
              <w:rPr>
                <w:sz w:val="20"/>
                <w:szCs w:val="20"/>
              </w:rPr>
              <w:lastRenderedPageBreak/>
              <w:t xml:space="preserve">The Supreme Court of British Columbia determined that the concrete slabs were damaged by a subcontractor’s defective workmanship in building the concrete formworks and placing and finishing the slabs. The Court allowed the respondents’ action in part, ordering the applicants to indemnify them in the amount of </w:t>
            </w:r>
            <w:r w:rsidRPr="00EA63C5">
              <w:rPr>
                <w:rFonts w:eastAsia="Times New Roman" w:cs="Times New Roman"/>
                <w:iCs/>
                <w:sz w:val="20"/>
                <w:szCs w:val="20"/>
              </w:rPr>
              <w:t>approximately $8.5 million</w:t>
            </w:r>
            <w:r w:rsidRPr="00EA63C5">
              <w:rPr>
                <w:sz w:val="20"/>
                <w:szCs w:val="20"/>
              </w:rPr>
              <w:t xml:space="preserve">. </w:t>
            </w:r>
            <w:r w:rsidRPr="00EA63C5">
              <w:rPr>
                <w:rFonts w:eastAsia="Times New Roman" w:cs="Times New Roman"/>
                <w:iCs/>
                <w:sz w:val="20"/>
                <w:szCs w:val="20"/>
              </w:rPr>
              <w:t xml:space="preserve">The applicants appealed on the basis that none of the claim was covered and the respondents cross-appealed for recovery of the entire claim. </w:t>
            </w:r>
            <w:r w:rsidRPr="00EA63C5">
              <w:rPr>
                <w:sz w:val="20"/>
                <w:szCs w:val="20"/>
              </w:rPr>
              <w:t>The appellate court dismissed both the appeal and cross-appeal. The applicants apply for leave to appeal that decision and the respondents conditionally apply for leave to cross-appeal.</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4410" w:type="dxa"/>
            <w:gridSpan w:val="2"/>
          </w:tcPr>
          <w:p w:rsidR="00BF2CCE" w:rsidRPr="00EA63C5" w:rsidRDefault="00BF2CCE" w:rsidP="00BF2CCE">
            <w:pPr>
              <w:rPr>
                <w:sz w:val="20"/>
                <w:szCs w:val="20"/>
              </w:rPr>
            </w:pPr>
            <w:r w:rsidRPr="00EA63C5">
              <w:rPr>
                <w:sz w:val="20"/>
                <w:szCs w:val="20"/>
              </w:rPr>
              <w:t>August 19, 2014</w:t>
            </w:r>
          </w:p>
          <w:p w:rsidR="00BF2CCE" w:rsidRPr="00EA63C5" w:rsidRDefault="00BF2CCE" w:rsidP="00BF2CCE">
            <w:pPr>
              <w:rPr>
                <w:sz w:val="20"/>
                <w:szCs w:val="20"/>
              </w:rPr>
            </w:pPr>
            <w:r w:rsidRPr="00EA63C5">
              <w:rPr>
                <w:sz w:val="20"/>
                <w:szCs w:val="20"/>
              </w:rPr>
              <w:t>Supreme Court of British Columbia</w:t>
            </w:r>
          </w:p>
          <w:p w:rsidR="00BF2CCE" w:rsidRPr="00EA63C5" w:rsidRDefault="00BF2CCE" w:rsidP="00BF2CCE">
            <w:pPr>
              <w:rPr>
                <w:sz w:val="20"/>
                <w:szCs w:val="20"/>
              </w:rPr>
            </w:pPr>
            <w:r w:rsidRPr="00EA63C5">
              <w:rPr>
                <w:sz w:val="20"/>
                <w:szCs w:val="20"/>
              </w:rPr>
              <w:t>(</w:t>
            </w:r>
            <w:proofErr w:type="spellStart"/>
            <w:r w:rsidRPr="00EA63C5">
              <w:rPr>
                <w:sz w:val="20"/>
                <w:szCs w:val="20"/>
              </w:rPr>
              <w:t>Skolrood</w:t>
            </w:r>
            <w:proofErr w:type="spellEnd"/>
            <w:r w:rsidRPr="00EA63C5">
              <w:rPr>
                <w:sz w:val="20"/>
                <w:szCs w:val="20"/>
              </w:rPr>
              <w:t xml:space="preserve"> J.)</w:t>
            </w:r>
          </w:p>
          <w:p w:rsidR="00BF2CCE" w:rsidRPr="00EA63C5" w:rsidRDefault="007F6DC5" w:rsidP="00BF2CCE">
            <w:pPr>
              <w:rPr>
                <w:rStyle w:val="Hyperlink"/>
                <w:sz w:val="20"/>
                <w:szCs w:val="20"/>
              </w:rPr>
            </w:pPr>
            <w:hyperlink r:id="rId18" w:history="1">
              <w:r w:rsidR="00BF2CCE" w:rsidRPr="00EA63C5">
                <w:rPr>
                  <w:rStyle w:val="Hyperlink"/>
                  <w:sz w:val="20"/>
                  <w:szCs w:val="20"/>
                </w:rPr>
                <w:t>2014 BCSC 1568</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22687" w:rsidRPr="00EA63C5" w:rsidRDefault="00BF2CCE" w:rsidP="00BF2CCE">
            <w:pPr>
              <w:jc w:val="both"/>
              <w:rPr>
                <w:rFonts w:cs="Times New Roman"/>
                <w:sz w:val="20"/>
                <w:szCs w:val="20"/>
              </w:rPr>
            </w:pPr>
            <w:r w:rsidRPr="00EA63C5">
              <w:rPr>
                <w:sz w:val="20"/>
                <w:szCs w:val="20"/>
              </w:rPr>
              <w:t xml:space="preserve">Respondents’ action allowed in part, applicants ordered to indemnify them in the amount of approximately </w:t>
            </w:r>
            <w:r w:rsidRPr="00EA63C5">
              <w:rPr>
                <w:rFonts w:eastAsia="Times New Roman" w:cs="Times New Roman"/>
                <w:iCs/>
                <w:sz w:val="20"/>
                <w:szCs w:val="20"/>
              </w:rPr>
              <w:t>$8.5 million</w:t>
            </w:r>
            <w:r w:rsidRPr="00EA63C5">
              <w:rPr>
                <w:rFonts w:cs="Times New Roman"/>
                <w:sz w:val="20"/>
                <w:szCs w:val="20"/>
              </w:rPr>
              <w:t xml:space="preserve"> </w:t>
            </w:r>
          </w:p>
        </w:tc>
      </w:tr>
      <w:tr w:rsidR="00B22687" w:rsidRPr="00EA63C5" w:rsidTr="00B22687">
        <w:trPr>
          <w:cantSplit/>
        </w:trPr>
        <w:tc>
          <w:tcPr>
            <w:tcW w:w="4410" w:type="dxa"/>
            <w:gridSpan w:val="2"/>
          </w:tcPr>
          <w:p w:rsidR="00BF2CCE" w:rsidRPr="00EA63C5" w:rsidRDefault="00BF2CCE" w:rsidP="00BF2CCE">
            <w:pPr>
              <w:rPr>
                <w:sz w:val="20"/>
                <w:szCs w:val="20"/>
              </w:rPr>
            </w:pPr>
            <w:r w:rsidRPr="00EA63C5">
              <w:rPr>
                <w:sz w:val="20"/>
                <w:szCs w:val="20"/>
              </w:rPr>
              <w:t>August 5, 2015</w:t>
            </w:r>
          </w:p>
          <w:p w:rsidR="00BF2CCE" w:rsidRPr="00EA63C5" w:rsidRDefault="00BF2CCE" w:rsidP="00BF2CCE">
            <w:pPr>
              <w:rPr>
                <w:sz w:val="20"/>
                <w:szCs w:val="20"/>
              </w:rPr>
            </w:pPr>
            <w:r w:rsidRPr="00EA63C5">
              <w:rPr>
                <w:sz w:val="20"/>
                <w:szCs w:val="20"/>
              </w:rPr>
              <w:t>Court of Appeal for British Columbia (Vancouver)</w:t>
            </w:r>
          </w:p>
          <w:p w:rsidR="00BF2CCE" w:rsidRPr="00EA63C5" w:rsidRDefault="00BF2CCE" w:rsidP="00BF2CCE">
            <w:pPr>
              <w:rPr>
                <w:sz w:val="20"/>
                <w:szCs w:val="20"/>
              </w:rPr>
            </w:pPr>
            <w:r w:rsidRPr="00EA63C5">
              <w:rPr>
                <w:sz w:val="20"/>
                <w:szCs w:val="20"/>
              </w:rPr>
              <w:t xml:space="preserve">(Neilson, Garson and </w:t>
            </w:r>
            <w:proofErr w:type="spellStart"/>
            <w:r w:rsidRPr="00EA63C5">
              <w:rPr>
                <w:sz w:val="20"/>
                <w:szCs w:val="20"/>
              </w:rPr>
              <w:t>Willcock</w:t>
            </w:r>
            <w:proofErr w:type="spellEnd"/>
            <w:r w:rsidRPr="00EA63C5">
              <w:rPr>
                <w:sz w:val="20"/>
                <w:szCs w:val="20"/>
              </w:rPr>
              <w:t xml:space="preserve"> JJ.A.)</w:t>
            </w:r>
          </w:p>
          <w:p w:rsidR="00BF2CCE" w:rsidRPr="00EA63C5" w:rsidRDefault="007F6DC5" w:rsidP="00BF2CCE">
            <w:pPr>
              <w:rPr>
                <w:rFonts w:eastAsia="Times New Roman" w:cs="Times New Roman"/>
                <w:sz w:val="20"/>
                <w:szCs w:val="20"/>
              </w:rPr>
            </w:pPr>
            <w:hyperlink r:id="rId19" w:history="1">
              <w:r w:rsidR="00BF2CCE" w:rsidRPr="00EA63C5">
                <w:rPr>
                  <w:rStyle w:val="Hyperlink"/>
                  <w:rFonts w:eastAsia="Times New Roman" w:cs="Times New Roman"/>
                  <w:sz w:val="20"/>
                  <w:szCs w:val="20"/>
                </w:rPr>
                <w:t>2015 BCCA 347</w:t>
              </w:r>
            </w:hyperlink>
            <w:r w:rsidR="00BF2CCE" w:rsidRPr="00EA63C5">
              <w:rPr>
                <w:rFonts w:eastAsia="Times New Roman" w:cs="Times New Roman"/>
                <w:sz w:val="20"/>
                <w:szCs w:val="20"/>
              </w:rPr>
              <w:t>; CA42166</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F2CCE" w:rsidRPr="00EA63C5" w:rsidRDefault="00BF2CCE" w:rsidP="00BF2CCE">
            <w:pPr>
              <w:rPr>
                <w:sz w:val="20"/>
                <w:szCs w:val="20"/>
              </w:rPr>
            </w:pPr>
            <w:r w:rsidRPr="00EA63C5">
              <w:rPr>
                <w:sz w:val="20"/>
                <w:szCs w:val="20"/>
              </w:rPr>
              <w:t>Appeal and cross-appeal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BF2CCE" w:rsidRPr="00EA63C5" w:rsidRDefault="00BF2CCE" w:rsidP="00BF2CCE">
            <w:pPr>
              <w:rPr>
                <w:sz w:val="20"/>
                <w:szCs w:val="20"/>
              </w:rPr>
            </w:pPr>
            <w:r w:rsidRPr="00EA63C5">
              <w:rPr>
                <w:sz w:val="20"/>
                <w:szCs w:val="20"/>
              </w:rPr>
              <w:t>October 1, 2015</w:t>
            </w:r>
          </w:p>
          <w:p w:rsidR="00B22687" w:rsidRPr="00EA63C5" w:rsidRDefault="00BF2CCE" w:rsidP="00BF2CCE">
            <w:pPr>
              <w:jc w:val="both"/>
              <w:rPr>
                <w:rFonts w:cs="Times New Roman"/>
                <w:sz w:val="20"/>
                <w:szCs w:val="20"/>
              </w:rPr>
            </w:pPr>
            <w:r w:rsidRPr="00EA63C5">
              <w:rPr>
                <w:sz w:val="20"/>
                <w:szCs w:val="20"/>
              </w:rPr>
              <w:t>Supreme Court of Canada</w:t>
            </w:r>
          </w:p>
        </w:tc>
        <w:tc>
          <w:tcPr>
            <w:tcW w:w="630" w:type="dxa"/>
          </w:tcPr>
          <w:p w:rsidR="00B22687" w:rsidRPr="00EA63C5" w:rsidRDefault="00B22687" w:rsidP="00B22687">
            <w:pPr>
              <w:pStyle w:val="SCCShortJudgment"/>
              <w:ind w:firstLine="0"/>
              <w:rPr>
                <w:rFonts w:cs="Times New Roman"/>
                <w:szCs w:val="20"/>
              </w:rPr>
            </w:pPr>
          </w:p>
        </w:tc>
        <w:tc>
          <w:tcPr>
            <w:tcW w:w="4536" w:type="dxa"/>
          </w:tcPr>
          <w:p w:rsidR="00BF2CCE" w:rsidRPr="00EA63C5" w:rsidRDefault="00BF2CCE" w:rsidP="00BF2CCE">
            <w:pPr>
              <w:rPr>
                <w:sz w:val="20"/>
                <w:szCs w:val="20"/>
              </w:rPr>
            </w:pPr>
            <w:r w:rsidRPr="00EA63C5">
              <w:rPr>
                <w:sz w:val="20"/>
                <w:szCs w:val="20"/>
              </w:rPr>
              <w:t>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BF2CCE" w:rsidRPr="00EA63C5" w:rsidRDefault="00BF2CCE" w:rsidP="00BF2CCE">
            <w:pPr>
              <w:jc w:val="both"/>
              <w:rPr>
                <w:sz w:val="20"/>
                <w:szCs w:val="20"/>
                <w:lang w:val="fr-CA"/>
              </w:rPr>
            </w:pPr>
            <w:r w:rsidRPr="00EA63C5">
              <w:rPr>
                <w:sz w:val="20"/>
                <w:szCs w:val="20"/>
                <w:lang w:val="fr-CA"/>
              </w:rPr>
              <w:t xml:space="preserve">Assurances – Assurances de biens – Assurance de responsabilité – Contrats – Contrats commerciaux – Interprétation – Clauses d’exclusion – Appel – Norme de contrôle – Quel tribunal d’appel, la CA de </w:t>
            </w:r>
            <w:proofErr w:type="spellStart"/>
            <w:r w:rsidRPr="00EA63C5">
              <w:rPr>
                <w:sz w:val="20"/>
                <w:szCs w:val="20"/>
                <w:lang w:val="fr-CA"/>
              </w:rPr>
              <w:t>l’Alb</w:t>
            </w:r>
            <w:proofErr w:type="spellEnd"/>
            <w:r w:rsidRPr="00EA63C5">
              <w:rPr>
                <w:sz w:val="20"/>
                <w:szCs w:val="20"/>
                <w:lang w:val="fr-CA"/>
              </w:rPr>
              <w:t xml:space="preserve">. dans </w:t>
            </w:r>
            <w:proofErr w:type="spellStart"/>
            <w:r w:rsidRPr="00EA63C5">
              <w:rPr>
                <w:i/>
                <w:sz w:val="20"/>
                <w:szCs w:val="20"/>
                <w:lang w:val="fr-CA"/>
              </w:rPr>
              <w:t>Ledcor</w:t>
            </w:r>
            <w:proofErr w:type="spellEnd"/>
            <w:r w:rsidRPr="00EA63C5">
              <w:rPr>
                <w:i/>
                <w:sz w:val="20"/>
                <w:szCs w:val="20"/>
                <w:lang w:val="fr-CA"/>
              </w:rPr>
              <w:t xml:space="preserve"> Construction Limited c. </w:t>
            </w:r>
            <w:proofErr w:type="spellStart"/>
            <w:r w:rsidRPr="00EA63C5">
              <w:rPr>
                <w:i/>
                <w:sz w:val="20"/>
                <w:szCs w:val="20"/>
                <w:lang w:val="fr-CA"/>
              </w:rPr>
              <w:t>Northbridge</w:t>
            </w:r>
            <w:proofErr w:type="spellEnd"/>
            <w:r w:rsidRPr="00EA63C5">
              <w:rPr>
                <w:i/>
                <w:sz w:val="20"/>
                <w:szCs w:val="20"/>
                <w:lang w:val="fr-CA"/>
              </w:rPr>
              <w:t xml:space="preserve"> </w:t>
            </w:r>
            <w:proofErr w:type="spellStart"/>
            <w:r w:rsidRPr="00EA63C5">
              <w:rPr>
                <w:i/>
                <w:sz w:val="20"/>
                <w:szCs w:val="20"/>
                <w:lang w:val="fr-CA"/>
              </w:rPr>
              <w:t>Indemnity</w:t>
            </w:r>
            <w:proofErr w:type="spellEnd"/>
            <w:r w:rsidRPr="00EA63C5">
              <w:rPr>
                <w:i/>
                <w:sz w:val="20"/>
                <w:szCs w:val="20"/>
                <w:lang w:val="fr-CA"/>
              </w:rPr>
              <w:t xml:space="preserve"> </w:t>
            </w:r>
            <w:proofErr w:type="spellStart"/>
            <w:r w:rsidRPr="00EA63C5">
              <w:rPr>
                <w:i/>
                <w:sz w:val="20"/>
                <w:szCs w:val="20"/>
                <w:lang w:val="fr-CA"/>
              </w:rPr>
              <w:t>Insurance</w:t>
            </w:r>
            <w:proofErr w:type="spellEnd"/>
            <w:r w:rsidRPr="00EA63C5">
              <w:rPr>
                <w:i/>
                <w:sz w:val="20"/>
                <w:szCs w:val="20"/>
                <w:lang w:val="fr-CA"/>
              </w:rPr>
              <w:t xml:space="preserve"> </w:t>
            </w:r>
            <w:proofErr w:type="spellStart"/>
            <w:r w:rsidRPr="00EA63C5">
              <w:rPr>
                <w:i/>
                <w:sz w:val="20"/>
                <w:szCs w:val="20"/>
                <w:lang w:val="fr-CA"/>
              </w:rPr>
              <w:t>Company</w:t>
            </w:r>
            <w:proofErr w:type="spellEnd"/>
            <w:r w:rsidRPr="00EA63C5">
              <w:rPr>
                <w:i/>
                <w:sz w:val="20"/>
                <w:szCs w:val="20"/>
                <w:lang w:val="fr-CA"/>
              </w:rPr>
              <w:t xml:space="preserve"> et </w:t>
            </w:r>
            <w:proofErr w:type="gramStart"/>
            <w:r w:rsidRPr="00EA63C5">
              <w:rPr>
                <w:i/>
                <w:sz w:val="20"/>
                <w:szCs w:val="20"/>
                <w:lang w:val="fr-CA"/>
              </w:rPr>
              <w:t>al.</w:t>
            </w:r>
            <w:r w:rsidRPr="00EA63C5">
              <w:rPr>
                <w:sz w:val="20"/>
                <w:szCs w:val="20"/>
                <w:lang w:val="fr-CA"/>
              </w:rPr>
              <w:t>,</w:t>
            </w:r>
            <w:proofErr w:type="gramEnd"/>
            <w:r w:rsidRPr="00EA63C5">
              <w:rPr>
                <w:sz w:val="20"/>
                <w:szCs w:val="20"/>
                <w:lang w:val="fr-CA"/>
              </w:rPr>
              <w:t xml:space="preserve"> 2015 ABCA 121 (</w:t>
            </w:r>
            <w:proofErr w:type="spellStart"/>
            <w:r w:rsidRPr="00EA63C5">
              <w:rPr>
                <w:sz w:val="20"/>
                <w:szCs w:val="20"/>
                <w:lang w:val="fr-CA"/>
              </w:rPr>
              <w:t>CanLII</w:t>
            </w:r>
            <w:proofErr w:type="spellEnd"/>
            <w:r w:rsidRPr="00EA63C5">
              <w:rPr>
                <w:sz w:val="20"/>
                <w:szCs w:val="20"/>
                <w:lang w:val="fr-CA"/>
              </w:rPr>
              <w:t xml:space="preserve">) (« </w:t>
            </w:r>
            <w:proofErr w:type="spellStart"/>
            <w:r w:rsidRPr="00EA63C5">
              <w:rPr>
                <w:i/>
                <w:sz w:val="20"/>
                <w:szCs w:val="20"/>
                <w:lang w:val="fr-CA"/>
              </w:rPr>
              <w:t>Ledcor</w:t>
            </w:r>
            <w:proofErr w:type="spellEnd"/>
            <w:r w:rsidRPr="00EA63C5">
              <w:rPr>
                <w:i/>
                <w:sz w:val="20"/>
                <w:szCs w:val="20"/>
                <w:lang w:val="fr-CA"/>
              </w:rPr>
              <w:t xml:space="preserve"> </w:t>
            </w:r>
            <w:r w:rsidRPr="00EA63C5">
              <w:rPr>
                <w:sz w:val="20"/>
                <w:szCs w:val="20"/>
                <w:lang w:val="fr-CA"/>
              </w:rPr>
              <w:t xml:space="preserve">»), la CA de la C.-B. dans </w:t>
            </w:r>
            <w:proofErr w:type="spellStart"/>
            <w:r w:rsidRPr="00EA63C5">
              <w:rPr>
                <w:rFonts w:ascii="Arial (W1)" w:hAnsi="Arial (W1)"/>
                <w:i/>
                <w:iCs/>
                <w:sz w:val="20"/>
                <w:szCs w:val="20"/>
                <w:lang w:val="fr-CA"/>
              </w:rPr>
              <w:t>Precision</w:t>
            </w:r>
            <w:proofErr w:type="spellEnd"/>
            <w:r w:rsidRPr="00EA63C5">
              <w:rPr>
                <w:rFonts w:ascii="Arial (W1)" w:hAnsi="Arial (W1)"/>
                <w:i/>
                <w:iCs/>
                <w:sz w:val="20"/>
                <w:szCs w:val="20"/>
                <w:lang w:val="fr-CA"/>
              </w:rPr>
              <w:t xml:space="preserve"> </w:t>
            </w:r>
            <w:proofErr w:type="spellStart"/>
            <w:r w:rsidRPr="00EA63C5">
              <w:rPr>
                <w:rFonts w:ascii="Arial (W1)" w:hAnsi="Arial (W1)"/>
                <w:i/>
                <w:iCs/>
                <w:sz w:val="20"/>
                <w:szCs w:val="20"/>
                <w:lang w:val="fr-CA"/>
              </w:rPr>
              <w:t>Plating</w:t>
            </w:r>
            <w:proofErr w:type="spellEnd"/>
            <w:r w:rsidRPr="00EA63C5">
              <w:rPr>
                <w:rFonts w:ascii="Arial (W1)" w:hAnsi="Arial (W1)"/>
                <w:i/>
                <w:iCs/>
                <w:sz w:val="20"/>
                <w:szCs w:val="20"/>
                <w:lang w:val="fr-CA"/>
              </w:rPr>
              <w:t xml:space="preserve"> Ltd. c. Axa Pacific </w:t>
            </w:r>
            <w:proofErr w:type="spellStart"/>
            <w:r w:rsidRPr="00EA63C5">
              <w:rPr>
                <w:rFonts w:ascii="Arial (W1)" w:hAnsi="Arial (W1)"/>
                <w:i/>
                <w:iCs/>
                <w:sz w:val="20"/>
                <w:szCs w:val="20"/>
                <w:lang w:val="fr-CA"/>
              </w:rPr>
              <w:t>Insurance</w:t>
            </w:r>
            <w:proofErr w:type="spellEnd"/>
            <w:r w:rsidRPr="00EA63C5">
              <w:rPr>
                <w:rFonts w:ascii="Arial (W1)" w:hAnsi="Arial (W1)"/>
                <w:i/>
                <w:iCs/>
                <w:sz w:val="20"/>
                <w:szCs w:val="20"/>
                <w:lang w:val="fr-CA"/>
              </w:rPr>
              <w:t xml:space="preserve"> </w:t>
            </w:r>
            <w:proofErr w:type="spellStart"/>
            <w:r w:rsidRPr="00EA63C5">
              <w:rPr>
                <w:rFonts w:ascii="Arial (W1)" w:hAnsi="Arial (W1)"/>
                <w:i/>
                <w:iCs/>
                <w:sz w:val="20"/>
                <w:szCs w:val="20"/>
                <w:lang w:val="fr-CA"/>
              </w:rPr>
              <w:t>Company</w:t>
            </w:r>
            <w:proofErr w:type="spellEnd"/>
            <w:r w:rsidRPr="00EA63C5">
              <w:rPr>
                <w:rFonts w:ascii="Arial (W1)" w:hAnsi="Arial (W1)"/>
                <w:i/>
                <w:iCs/>
                <w:sz w:val="20"/>
                <w:szCs w:val="20"/>
                <w:lang w:val="fr-CA"/>
              </w:rPr>
              <w:t xml:space="preserve">, </w:t>
            </w:r>
            <w:r w:rsidRPr="00EA63C5">
              <w:rPr>
                <w:rFonts w:ascii="Arial (W1)" w:hAnsi="Arial (W1)"/>
                <w:sz w:val="20"/>
                <w:szCs w:val="20"/>
                <w:lang w:val="fr-CA"/>
              </w:rPr>
              <w:t>2015 BCCA 277 (</w:t>
            </w:r>
            <w:proofErr w:type="spellStart"/>
            <w:r w:rsidRPr="00EA63C5">
              <w:rPr>
                <w:rFonts w:ascii="Arial (W1)" w:hAnsi="Arial (W1)"/>
                <w:sz w:val="20"/>
                <w:szCs w:val="20"/>
                <w:lang w:val="fr-CA"/>
              </w:rPr>
              <w:t>CanLII</w:t>
            </w:r>
            <w:proofErr w:type="spellEnd"/>
            <w:r w:rsidRPr="00EA63C5">
              <w:rPr>
                <w:rFonts w:ascii="Arial (W1)" w:hAnsi="Arial (W1)"/>
                <w:sz w:val="20"/>
                <w:szCs w:val="20"/>
                <w:lang w:val="fr-CA"/>
              </w:rPr>
              <w:t>) («</w:t>
            </w:r>
            <w:r w:rsidRPr="00EA63C5">
              <w:rPr>
                <w:rFonts w:ascii="Arial (W1)" w:hAnsi="Arial (W1)" w:hint="eastAsia"/>
                <w:sz w:val="20"/>
                <w:szCs w:val="20"/>
                <w:lang w:val="fr-CA"/>
              </w:rPr>
              <w:t> </w:t>
            </w:r>
            <w:proofErr w:type="spellStart"/>
            <w:r w:rsidRPr="00EA63C5">
              <w:rPr>
                <w:rFonts w:ascii="Arial (W1)" w:hAnsi="Arial (W1)"/>
                <w:i/>
                <w:sz w:val="20"/>
                <w:szCs w:val="20"/>
                <w:lang w:val="fr-CA"/>
              </w:rPr>
              <w:t>Precision</w:t>
            </w:r>
            <w:proofErr w:type="spellEnd"/>
            <w:r w:rsidRPr="00EA63C5">
              <w:rPr>
                <w:rFonts w:ascii="Arial (W1)" w:hAnsi="Arial (W1)"/>
                <w:i/>
                <w:sz w:val="20"/>
                <w:szCs w:val="20"/>
                <w:lang w:val="fr-CA"/>
              </w:rPr>
              <w:t xml:space="preserve"> </w:t>
            </w:r>
            <w:proofErr w:type="spellStart"/>
            <w:r w:rsidRPr="00EA63C5">
              <w:rPr>
                <w:rFonts w:ascii="Arial (W1)" w:hAnsi="Arial (W1)"/>
                <w:i/>
                <w:sz w:val="20"/>
                <w:szCs w:val="20"/>
                <w:lang w:val="fr-CA"/>
              </w:rPr>
              <w:t>Plating</w:t>
            </w:r>
            <w:proofErr w:type="spellEnd"/>
            <w:r w:rsidRPr="00EA63C5">
              <w:rPr>
                <w:rFonts w:ascii="Arial (W1)" w:hAnsi="Arial (W1)"/>
                <w:i/>
                <w:sz w:val="20"/>
                <w:szCs w:val="20"/>
                <w:lang w:val="fr-CA"/>
              </w:rPr>
              <w:t> </w:t>
            </w:r>
            <w:r w:rsidRPr="00EA63C5">
              <w:rPr>
                <w:rFonts w:ascii="Arial (W1)" w:hAnsi="Arial (W1)"/>
                <w:sz w:val="20"/>
                <w:szCs w:val="20"/>
                <w:lang w:val="fr-CA"/>
              </w:rPr>
              <w:t>»)</w:t>
            </w:r>
            <w:r w:rsidRPr="00EA63C5">
              <w:rPr>
                <w:sz w:val="20"/>
                <w:szCs w:val="20"/>
                <w:lang w:val="fr-CA"/>
              </w:rPr>
              <w:t xml:space="preserve"> ou la CA de la C.-B. en l’espèce, a bien interprété la clause en matière de vices? – La clause d’exclusion a-t-elle pour objet d’exclure de la couverture le coût de réparation de la zone défectueuse? – Si l’on interprète convenablement la police d’assurance, l’entrepreneur n’est-il indemnisé que des dommages causés par les dommages aux autres sections de l’immeuble? – La clause d’exclusion n’établit-elle pas une présomption plutôt que d’exclure certains dommages? – La CA de </w:t>
            </w:r>
            <w:proofErr w:type="spellStart"/>
            <w:r w:rsidRPr="00EA63C5">
              <w:rPr>
                <w:sz w:val="20"/>
                <w:szCs w:val="20"/>
                <w:lang w:val="fr-CA"/>
              </w:rPr>
              <w:t>l’Alb</w:t>
            </w:r>
            <w:proofErr w:type="spellEnd"/>
            <w:r w:rsidRPr="00EA63C5">
              <w:rPr>
                <w:sz w:val="20"/>
                <w:szCs w:val="20"/>
                <w:lang w:val="fr-CA"/>
              </w:rPr>
              <w:t xml:space="preserve">. a-t-elle atteint dans </w:t>
            </w:r>
            <w:proofErr w:type="spellStart"/>
            <w:r w:rsidRPr="00EA63C5">
              <w:rPr>
                <w:i/>
                <w:sz w:val="20"/>
                <w:szCs w:val="20"/>
                <w:lang w:val="fr-CA"/>
              </w:rPr>
              <w:t>Ledcor</w:t>
            </w:r>
            <w:proofErr w:type="spellEnd"/>
            <w:r w:rsidRPr="00EA63C5">
              <w:rPr>
                <w:i/>
                <w:sz w:val="20"/>
                <w:szCs w:val="20"/>
                <w:lang w:val="fr-CA"/>
              </w:rPr>
              <w:t xml:space="preserve"> </w:t>
            </w:r>
            <w:r w:rsidRPr="00EA63C5">
              <w:rPr>
                <w:sz w:val="20"/>
                <w:szCs w:val="20"/>
                <w:lang w:val="fr-CA"/>
              </w:rPr>
              <w:t xml:space="preserve">un juste équilibre en concluant que le degré de connexité matérielle ou systémique est déterminant pour établir la limite entre les « frais à engager à cause de vices importants de main-d’œuvre » et les dommages indirects? – Le texte des clauses d’exclusion en l’espèce, tiré des clauses d’exclusion LEG2 et omniprésent au Canada et ailleurs, au R.-U., en Australie, etc., doit-il être considéré comme une question de droit qui peut être isolée et doit être révisée selon la norme de la décision correcte plutôt que suivant la norme de la décision raisonnable? – Les décisions de la CA de la C.-B. en l’espèce et dans </w:t>
            </w:r>
            <w:proofErr w:type="spellStart"/>
            <w:r w:rsidRPr="00EA63C5">
              <w:rPr>
                <w:i/>
                <w:sz w:val="20"/>
                <w:szCs w:val="20"/>
                <w:lang w:val="fr-CA"/>
              </w:rPr>
              <w:t>Precision</w:t>
            </w:r>
            <w:proofErr w:type="spellEnd"/>
            <w:r w:rsidRPr="00EA63C5">
              <w:rPr>
                <w:i/>
                <w:sz w:val="20"/>
                <w:szCs w:val="20"/>
                <w:lang w:val="fr-CA"/>
              </w:rPr>
              <w:t xml:space="preserve"> </w:t>
            </w:r>
            <w:proofErr w:type="spellStart"/>
            <w:r w:rsidRPr="00EA63C5">
              <w:rPr>
                <w:i/>
                <w:sz w:val="20"/>
                <w:szCs w:val="20"/>
                <w:lang w:val="fr-CA"/>
              </w:rPr>
              <w:t>Plating</w:t>
            </w:r>
            <w:proofErr w:type="spellEnd"/>
            <w:r w:rsidRPr="00EA63C5">
              <w:rPr>
                <w:sz w:val="20"/>
                <w:szCs w:val="20"/>
                <w:lang w:val="fr-CA"/>
              </w:rPr>
              <w:t xml:space="preserve"> et celle de la CA de </w:t>
            </w:r>
            <w:proofErr w:type="spellStart"/>
            <w:r w:rsidRPr="00EA63C5">
              <w:rPr>
                <w:sz w:val="20"/>
                <w:szCs w:val="20"/>
                <w:lang w:val="fr-CA"/>
              </w:rPr>
              <w:t>l’Alb</w:t>
            </w:r>
            <w:proofErr w:type="spellEnd"/>
            <w:r w:rsidRPr="00EA63C5">
              <w:rPr>
                <w:sz w:val="20"/>
                <w:szCs w:val="20"/>
                <w:lang w:val="fr-CA"/>
              </w:rPr>
              <w:t xml:space="preserve">. dans </w:t>
            </w:r>
            <w:proofErr w:type="spellStart"/>
            <w:r w:rsidRPr="00EA63C5">
              <w:rPr>
                <w:i/>
                <w:sz w:val="20"/>
                <w:szCs w:val="20"/>
                <w:lang w:val="fr-CA"/>
              </w:rPr>
              <w:t>Ledcor</w:t>
            </w:r>
            <w:proofErr w:type="spellEnd"/>
            <w:r w:rsidRPr="00EA63C5">
              <w:rPr>
                <w:sz w:val="20"/>
                <w:szCs w:val="20"/>
                <w:lang w:val="fr-CA"/>
              </w:rPr>
              <w:t xml:space="preserve"> sont-elles conciliables ou sèment-elles l’incertitude et la confusion chez les assurés et les assureurs? – Le sens de la portée de l’indemnité pour « perte causée directement en cours de construction » – Police d’assurance tous risques – Utilité de la jurisprudence américaine dans le domaine des assurances en l’absence de précédents canadiens sur ce point.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B22687" w:rsidRPr="00EA63C5" w:rsidRDefault="00BF2CCE" w:rsidP="00B22687">
            <w:pPr>
              <w:jc w:val="both"/>
              <w:rPr>
                <w:sz w:val="20"/>
                <w:szCs w:val="20"/>
                <w:lang w:val="fr-CA"/>
              </w:rPr>
            </w:pPr>
            <w:r w:rsidRPr="00EA63C5">
              <w:rPr>
                <w:rFonts w:eastAsia="Times New Roman" w:cs="Times New Roman"/>
                <w:iCs/>
                <w:sz w:val="20"/>
                <w:szCs w:val="20"/>
                <w:lang w:val="fr-CA"/>
              </w:rPr>
              <w:t xml:space="preserve">Les intimées se sont engagées à concevoir et à construire le nouveau Centre de soins aux patients du Royal </w:t>
            </w:r>
            <w:proofErr w:type="spellStart"/>
            <w:r w:rsidRPr="00EA63C5">
              <w:rPr>
                <w:rFonts w:eastAsia="Times New Roman" w:cs="Times New Roman"/>
                <w:iCs/>
                <w:sz w:val="20"/>
                <w:szCs w:val="20"/>
                <w:lang w:val="fr-CA"/>
              </w:rPr>
              <w:t>Jubilee</w:t>
            </w:r>
            <w:proofErr w:type="spellEnd"/>
            <w:r w:rsidRPr="00EA63C5">
              <w:rPr>
                <w:rFonts w:eastAsia="Times New Roman" w:cs="Times New Roman"/>
                <w:iCs/>
                <w:sz w:val="20"/>
                <w:szCs w:val="20"/>
                <w:lang w:val="fr-CA"/>
              </w:rPr>
              <w:t xml:space="preserve"> </w:t>
            </w:r>
            <w:proofErr w:type="spellStart"/>
            <w:r w:rsidRPr="00EA63C5">
              <w:rPr>
                <w:rFonts w:eastAsia="Times New Roman" w:cs="Times New Roman"/>
                <w:iCs/>
                <w:sz w:val="20"/>
                <w:szCs w:val="20"/>
                <w:lang w:val="fr-CA"/>
              </w:rPr>
              <w:t>Hospital</w:t>
            </w:r>
            <w:proofErr w:type="spellEnd"/>
            <w:r w:rsidRPr="00EA63C5">
              <w:rPr>
                <w:rFonts w:eastAsia="Times New Roman" w:cs="Times New Roman"/>
                <w:iCs/>
                <w:sz w:val="20"/>
                <w:szCs w:val="20"/>
                <w:lang w:val="fr-CA"/>
              </w:rPr>
              <w:t xml:space="preserve"> de Victoria (C.-B.). Durant la construction, certains des planchers faits de dalles de béton se mirent à gondolier, causant l’apparition de creux au centre des dalles. Les intimées ont remédié au problème et fait une réclamation d’environ 15 millions de dollars au titre de la police d’assurance en cours de construction qu’elles avaient contractée avec les assureurs demandeurs. La police couvrait « TOUS LES RISQUES de pertes ou de dommages matériels directs à l’égard des biens assurés [</w:t>
            </w:r>
            <w:r w:rsidRPr="00EA63C5">
              <w:rPr>
                <w:sz w:val="20"/>
                <w:szCs w:val="20"/>
                <w:lang w:val="fr-CA"/>
              </w:rPr>
              <w:t xml:space="preserve">…] sauf </w:t>
            </w:r>
            <w:r w:rsidRPr="00EA63C5">
              <w:rPr>
                <w:rFonts w:eastAsia="Times New Roman" w:cs="Times New Roman"/>
                <w:iCs/>
                <w:sz w:val="20"/>
                <w:szCs w:val="20"/>
                <w:lang w:val="fr-CA"/>
              </w:rPr>
              <w:t>[</w:t>
            </w:r>
            <w:r w:rsidRPr="00EA63C5">
              <w:rPr>
                <w:sz w:val="20"/>
                <w:szCs w:val="20"/>
                <w:lang w:val="fr-CA"/>
              </w:rPr>
              <w:t>…] tous les frais à engager à causes de vices de main-d’œuvre, de conception, de planification ou de devis ». La politique précisait qu’en cas d’endommagement d’une partie du bien entaché du vice, « les frais de remplacement ou de réparation exclus par la présente sont les frais qui auraient été engagés si le bien assuré avait été remplacé ou réparé juste avant les dommages en question ».</w:t>
            </w:r>
          </w:p>
          <w:p w:rsidR="00BF2CCE" w:rsidRPr="00EA63C5" w:rsidRDefault="00BF2CCE" w:rsidP="00B22687">
            <w:pPr>
              <w:jc w:val="both"/>
              <w:rPr>
                <w:rFonts w:cs="Times New Roman"/>
                <w:sz w:val="20"/>
                <w:szCs w:val="20"/>
                <w:u w:val="single"/>
                <w:lang w:val="fr-CA"/>
              </w:rPr>
            </w:pPr>
          </w:p>
        </w:tc>
      </w:tr>
      <w:tr w:rsidR="00B22687" w:rsidRPr="007F6DC5" w:rsidTr="00B22687">
        <w:trPr>
          <w:cantSplit/>
        </w:trPr>
        <w:tc>
          <w:tcPr>
            <w:tcW w:w="9576" w:type="dxa"/>
            <w:gridSpan w:val="4"/>
          </w:tcPr>
          <w:p w:rsidR="00BF2CCE" w:rsidRPr="00EA63C5" w:rsidRDefault="00BF2CCE" w:rsidP="00BF2CCE">
            <w:pPr>
              <w:jc w:val="both"/>
              <w:rPr>
                <w:sz w:val="20"/>
                <w:szCs w:val="20"/>
                <w:lang w:val="fr-CA"/>
              </w:rPr>
            </w:pPr>
            <w:r w:rsidRPr="00EA63C5">
              <w:rPr>
                <w:sz w:val="20"/>
                <w:szCs w:val="20"/>
                <w:lang w:val="fr-CA"/>
              </w:rPr>
              <w:lastRenderedPageBreak/>
              <w:t>La Cour suprême de la Colombie-Britannique a décidé que le sous-traitant avait endommagé les dalles de béton par son travail inadéquat exécuté lors de la construction des coffrages de béton ainsi que de la pose et de la finition des dalles. Le tribunal de première instance a accueilli en partie l’action des intimées et ordonné aux demanderesses de leur verser une indemnité d’environ 8,5 millions de dollars. Les demanderesses ont interjeté appel au motif que la réclamation n’était aucunement couverte et les intimées ont formé un appel incident pour recouvrer tout le montant de la réclamation. La cour d’appel a rejeté à la fois l’appel et l’appel incident. Les demanderesses sollicitent l’autorisation de porter en appel cette décision tandis que les intimées demandent conditionnellement l’autorisation d’interjeter un pourvoi incident.</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BF2CCE" w:rsidRPr="00EA63C5" w:rsidRDefault="00BF2CCE" w:rsidP="00BF2CCE">
            <w:pPr>
              <w:rPr>
                <w:sz w:val="20"/>
                <w:szCs w:val="20"/>
                <w:lang w:val="fr-CA"/>
              </w:rPr>
            </w:pPr>
            <w:r w:rsidRPr="00EA63C5">
              <w:rPr>
                <w:sz w:val="20"/>
                <w:szCs w:val="20"/>
                <w:lang w:val="fr-CA"/>
              </w:rPr>
              <w:t>19 août 2014</w:t>
            </w:r>
          </w:p>
          <w:p w:rsidR="00BF2CCE" w:rsidRPr="00EA63C5" w:rsidRDefault="00BF2CCE" w:rsidP="00BF2CCE">
            <w:pPr>
              <w:rPr>
                <w:sz w:val="20"/>
                <w:szCs w:val="20"/>
                <w:lang w:val="fr-CA"/>
              </w:rPr>
            </w:pPr>
            <w:r w:rsidRPr="00EA63C5">
              <w:rPr>
                <w:sz w:val="20"/>
                <w:szCs w:val="20"/>
                <w:lang w:val="fr-CA"/>
              </w:rPr>
              <w:t>Cour suprême de la Colombie-Britannique</w:t>
            </w:r>
          </w:p>
          <w:p w:rsidR="00BF2CCE" w:rsidRPr="00EA63C5" w:rsidRDefault="00BF2CCE" w:rsidP="00BF2CCE">
            <w:pPr>
              <w:rPr>
                <w:sz w:val="20"/>
                <w:szCs w:val="20"/>
              </w:rPr>
            </w:pPr>
            <w:r w:rsidRPr="00EA63C5">
              <w:rPr>
                <w:sz w:val="20"/>
                <w:szCs w:val="20"/>
              </w:rPr>
              <w:t>(</w:t>
            </w:r>
            <w:proofErr w:type="spellStart"/>
            <w:r w:rsidRPr="00EA63C5">
              <w:rPr>
                <w:sz w:val="20"/>
                <w:szCs w:val="20"/>
              </w:rPr>
              <w:t>Juge</w:t>
            </w:r>
            <w:proofErr w:type="spellEnd"/>
            <w:r w:rsidRPr="00EA63C5">
              <w:rPr>
                <w:sz w:val="20"/>
                <w:szCs w:val="20"/>
              </w:rPr>
              <w:t xml:space="preserve"> </w:t>
            </w:r>
            <w:proofErr w:type="spellStart"/>
            <w:r w:rsidRPr="00EA63C5">
              <w:rPr>
                <w:sz w:val="20"/>
                <w:szCs w:val="20"/>
              </w:rPr>
              <w:t>Skolrood</w:t>
            </w:r>
            <w:proofErr w:type="spellEnd"/>
            <w:r w:rsidRPr="00EA63C5">
              <w:rPr>
                <w:sz w:val="20"/>
                <w:szCs w:val="20"/>
              </w:rPr>
              <w:t>)</w:t>
            </w:r>
          </w:p>
          <w:p w:rsidR="00BF2CCE" w:rsidRPr="00EA63C5" w:rsidRDefault="007F6DC5" w:rsidP="00BF2CCE">
            <w:pPr>
              <w:rPr>
                <w:rStyle w:val="Hyperlink"/>
                <w:sz w:val="20"/>
                <w:szCs w:val="20"/>
              </w:rPr>
            </w:pPr>
            <w:hyperlink r:id="rId20" w:history="1">
              <w:r w:rsidR="00BF2CCE" w:rsidRPr="00EA63C5">
                <w:rPr>
                  <w:rStyle w:val="Hyperlink"/>
                  <w:sz w:val="20"/>
                  <w:szCs w:val="20"/>
                </w:rPr>
                <w:t>2014 BCSC 1568</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BF2CCE" w:rsidP="00B22687">
            <w:pPr>
              <w:pStyle w:val="SCCShortJudgment"/>
              <w:ind w:firstLine="0"/>
              <w:rPr>
                <w:rFonts w:cs="Times New Roman"/>
                <w:szCs w:val="20"/>
                <w:u w:val="single"/>
                <w:lang w:val="fr-CA"/>
              </w:rPr>
            </w:pPr>
            <w:r w:rsidRPr="00EA63C5">
              <w:rPr>
                <w:szCs w:val="20"/>
                <w:lang w:val="fr-CA"/>
              </w:rPr>
              <w:t xml:space="preserve">Action des intimées accueillie en partie, demanderesses condamnées à leur verser une indemnité d’environ </w:t>
            </w:r>
            <w:r w:rsidRPr="00EA63C5">
              <w:rPr>
                <w:rFonts w:eastAsia="Times New Roman" w:cs="Times New Roman"/>
                <w:iCs/>
                <w:szCs w:val="20"/>
                <w:lang w:val="fr-CA"/>
              </w:rPr>
              <w:t>8,5 millions de dollars</w:t>
            </w:r>
          </w:p>
        </w:tc>
      </w:tr>
      <w:tr w:rsidR="00B22687" w:rsidRPr="007F6DC5" w:rsidTr="00B22687">
        <w:trPr>
          <w:cantSplit/>
        </w:trPr>
        <w:tc>
          <w:tcPr>
            <w:tcW w:w="4410" w:type="dxa"/>
            <w:gridSpan w:val="2"/>
          </w:tcPr>
          <w:p w:rsidR="00BF2CCE" w:rsidRPr="00EA63C5" w:rsidRDefault="00BF2CCE" w:rsidP="00BF2CCE">
            <w:pPr>
              <w:rPr>
                <w:sz w:val="20"/>
                <w:szCs w:val="20"/>
                <w:lang w:val="fr-CA"/>
              </w:rPr>
            </w:pPr>
            <w:r w:rsidRPr="00EA63C5">
              <w:rPr>
                <w:sz w:val="20"/>
                <w:szCs w:val="20"/>
                <w:lang w:val="fr-CA"/>
              </w:rPr>
              <w:t>5 août 2015</w:t>
            </w:r>
          </w:p>
          <w:p w:rsidR="00BF2CCE" w:rsidRPr="00EA63C5" w:rsidRDefault="00BF2CCE" w:rsidP="00BF2CCE">
            <w:pPr>
              <w:rPr>
                <w:sz w:val="20"/>
                <w:szCs w:val="20"/>
                <w:lang w:val="fr-CA"/>
              </w:rPr>
            </w:pPr>
            <w:r w:rsidRPr="00EA63C5">
              <w:rPr>
                <w:sz w:val="20"/>
                <w:szCs w:val="20"/>
                <w:lang w:val="fr-CA"/>
              </w:rPr>
              <w:t>Cour d’appel de la Colombie-Britannique (Vancouver)</w:t>
            </w:r>
          </w:p>
          <w:p w:rsidR="00BF2CCE" w:rsidRPr="00EA63C5" w:rsidRDefault="00BF2CCE" w:rsidP="00BF2CCE">
            <w:pPr>
              <w:rPr>
                <w:sz w:val="20"/>
                <w:szCs w:val="20"/>
                <w:lang w:val="fr-CA"/>
              </w:rPr>
            </w:pPr>
            <w:r w:rsidRPr="00EA63C5">
              <w:rPr>
                <w:sz w:val="20"/>
                <w:szCs w:val="20"/>
                <w:lang w:val="fr-CA"/>
              </w:rPr>
              <w:t xml:space="preserve">(Juges </w:t>
            </w:r>
            <w:proofErr w:type="spellStart"/>
            <w:r w:rsidRPr="00EA63C5">
              <w:rPr>
                <w:sz w:val="20"/>
                <w:szCs w:val="20"/>
                <w:lang w:val="fr-CA"/>
              </w:rPr>
              <w:t>Neilson</w:t>
            </w:r>
            <w:proofErr w:type="spellEnd"/>
            <w:r w:rsidRPr="00EA63C5">
              <w:rPr>
                <w:sz w:val="20"/>
                <w:szCs w:val="20"/>
                <w:lang w:val="fr-CA"/>
              </w:rPr>
              <w:t xml:space="preserve">, </w:t>
            </w:r>
            <w:proofErr w:type="spellStart"/>
            <w:r w:rsidRPr="00EA63C5">
              <w:rPr>
                <w:sz w:val="20"/>
                <w:szCs w:val="20"/>
                <w:lang w:val="fr-CA"/>
              </w:rPr>
              <w:t>Garson</w:t>
            </w:r>
            <w:proofErr w:type="spellEnd"/>
            <w:r w:rsidRPr="00EA63C5">
              <w:rPr>
                <w:sz w:val="20"/>
                <w:szCs w:val="20"/>
                <w:lang w:val="fr-CA"/>
              </w:rPr>
              <w:t xml:space="preserve"> et </w:t>
            </w:r>
            <w:proofErr w:type="spellStart"/>
            <w:r w:rsidRPr="00EA63C5">
              <w:rPr>
                <w:sz w:val="20"/>
                <w:szCs w:val="20"/>
                <w:lang w:val="fr-CA"/>
              </w:rPr>
              <w:t>Willcock</w:t>
            </w:r>
            <w:proofErr w:type="spellEnd"/>
            <w:r w:rsidRPr="00EA63C5">
              <w:rPr>
                <w:sz w:val="20"/>
                <w:szCs w:val="20"/>
                <w:lang w:val="fr-CA"/>
              </w:rPr>
              <w:t>)</w:t>
            </w:r>
          </w:p>
          <w:p w:rsidR="00BF2CCE" w:rsidRPr="00EA63C5" w:rsidRDefault="007F6DC5" w:rsidP="00BF2CCE">
            <w:pPr>
              <w:rPr>
                <w:rFonts w:eastAsia="Times New Roman" w:cs="Times New Roman"/>
                <w:sz w:val="20"/>
                <w:szCs w:val="20"/>
              </w:rPr>
            </w:pPr>
            <w:hyperlink r:id="rId21" w:history="1">
              <w:r w:rsidR="00BF2CCE" w:rsidRPr="00EA63C5">
                <w:rPr>
                  <w:rStyle w:val="Hyperlink"/>
                  <w:rFonts w:eastAsia="Times New Roman" w:cs="Times New Roman"/>
                  <w:sz w:val="20"/>
                  <w:szCs w:val="20"/>
                </w:rPr>
                <w:t>2015 BCCA 347</w:t>
              </w:r>
            </w:hyperlink>
            <w:r w:rsidR="00BF2CCE" w:rsidRPr="00EA63C5">
              <w:rPr>
                <w:rFonts w:eastAsia="Times New Roman" w:cs="Times New Roman"/>
                <w:sz w:val="20"/>
                <w:szCs w:val="20"/>
              </w:rPr>
              <w:t>; CA42166</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F2CCE" w:rsidRPr="00EA63C5" w:rsidRDefault="00BF2CCE" w:rsidP="00BF2CCE">
            <w:pPr>
              <w:rPr>
                <w:sz w:val="20"/>
                <w:szCs w:val="20"/>
                <w:lang w:val="fr-CA"/>
              </w:rPr>
            </w:pPr>
            <w:r w:rsidRPr="00EA63C5">
              <w:rPr>
                <w:sz w:val="20"/>
                <w:szCs w:val="20"/>
                <w:lang w:val="fr-CA"/>
              </w:rPr>
              <w:t>Rejet de l’appel et de l’appel incident</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BF2CCE" w:rsidRPr="00EA63C5" w:rsidRDefault="00BF2CCE" w:rsidP="00BF2CCE">
            <w:pPr>
              <w:rPr>
                <w:sz w:val="20"/>
                <w:szCs w:val="20"/>
                <w:lang w:val="fr-CA"/>
              </w:rPr>
            </w:pPr>
            <w:r w:rsidRPr="00EA63C5">
              <w:rPr>
                <w:sz w:val="20"/>
                <w:szCs w:val="20"/>
                <w:lang w:val="fr-CA"/>
              </w:rPr>
              <w:t>1</w:t>
            </w:r>
            <w:r w:rsidRPr="00EA63C5">
              <w:rPr>
                <w:sz w:val="20"/>
                <w:szCs w:val="20"/>
                <w:vertAlign w:val="superscript"/>
                <w:lang w:val="fr-CA"/>
              </w:rPr>
              <w:t>er</w:t>
            </w:r>
            <w:r w:rsidRPr="00EA63C5">
              <w:rPr>
                <w:sz w:val="20"/>
                <w:szCs w:val="20"/>
                <w:lang w:val="fr-CA"/>
              </w:rPr>
              <w:t xml:space="preserve"> octobre 2015</w:t>
            </w:r>
          </w:p>
          <w:p w:rsidR="00B22687" w:rsidRPr="00EA63C5" w:rsidRDefault="00BF2CCE" w:rsidP="00BF2CCE">
            <w:pPr>
              <w:pStyle w:val="SCCShortJudgment"/>
              <w:ind w:firstLine="0"/>
              <w:rPr>
                <w:rFonts w:cs="Times New Roman"/>
                <w:szCs w:val="20"/>
                <w:u w:val="single"/>
                <w:lang w:val="fr-CA"/>
              </w:rPr>
            </w:pPr>
            <w:r w:rsidRPr="00EA63C5">
              <w:rPr>
                <w:szCs w:val="20"/>
                <w:lang w:val="fr-CA"/>
              </w:rPr>
              <w:t>Cour suprême du Canada</w:t>
            </w: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F2CCE" w:rsidRPr="00EA63C5" w:rsidRDefault="00BF2CCE" w:rsidP="00BF2CCE">
            <w:pPr>
              <w:rPr>
                <w:sz w:val="20"/>
                <w:szCs w:val="20"/>
                <w:lang w:val="fr-CA"/>
              </w:rPr>
            </w:pPr>
            <w:r w:rsidRPr="00EA63C5">
              <w:rPr>
                <w:sz w:val="20"/>
                <w:szCs w:val="20"/>
                <w:lang w:val="fr-CA"/>
              </w:rPr>
              <w:t xml:space="preserve">Dépôt de la demande d’autorisation d’appel </w:t>
            </w:r>
          </w:p>
          <w:p w:rsidR="00B22687" w:rsidRPr="00EA63C5" w:rsidRDefault="00B22687" w:rsidP="00B22687">
            <w:pPr>
              <w:pStyle w:val="SCCShortJudgment"/>
              <w:ind w:firstLine="0"/>
              <w:rPr>
                <w:rFonts w:cs="Times New Roman"/>
                <w:szCs w:val="20"/>
                <w:u w:val="single"/>
                <w:lang w:val="fr-CA"/>
              </w:rPr>
            </w:pPr>
          </w:p>
        </w:tc>
      </w:tr>
    </w:tbl>
    <w:p w:rsidR="000E2959" w:rsidRPr="00EA63C5" w:rsidRDefault="007F6DC5" w:rsidP="000E2959">
      <w:pPr>
        <w:rPr>
          <w:sz w:val="20"/>
          <w:szCs w:val="20"/>
        </w:rPr>
      </w:pPr>
      <w:r>
        <w:rPr>
          <w:sz w:val="20"/>
          <w:szCs w:val="20"/>
          <w:lang w:val="fr-CA"/>
        </w:rPr>
        <w:pict>
          <v:rect id="_x0000_i1055" style="width:2in;height:1pt" o:hrpct="0" o:hralign="center" o:hrstd="t" o:hrnoshade="t" o:hr="t" fillcolor="black [3213]" stroked="f"/>
        </w:pict>
      </w:r>
    </w:p>
    <w:p w:rsidR="00CB2288" w:rsidRPr="00EA63C5" w:rsidRDefault="00CB2288"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w:t>
            </w:r>
            <w:r w:rsidR="00BF2CCE" w:rsidRPr="00EA63C5">
              <w:rPr>
                <w:rStyle w:val="SCCFileNumberChar"/>
                <w:sz w:val="20"/>
                <w:szCs w:val="20"/>
              </w:rPr>
              <w:t>6830</w:t>
            </w:r>
          </w:p>
          <w:p w:rsidR="00B22687" w:rsidRPr="00EA63C5" w:rsidRDefault="00B22687" w:rsidP="00B22687">
            <w:pPr>
              <w:jc w:val="both"/>
              <w:rPr>
                <w:rFonts w:cs="Times New Roman"/>
                <w:b/>
                <w:sz w:val="20"/>
                <w:szCs w:val="20"/>
              </w:rPr>
            </w:pPr>
          </w:p>
        </w:tc>
        <w:tc>
          <w:tcPr>
            <w:tcW w:w="8118" w:type="dxa"/>
            <w:gridSpan w:val="3"/>
          </w:tcPr>
          <w:p w:rsidR="00B22687" w:rsidRPr="00EA63C5" w:rsidRDefault="00280F42" w:rsidP="00B22687">
            <w:pPr>
              <w:jc w:val="both"/>
              <w:rPr>
                <w:rFonts w:cs="Times New Roman"/>
                <w:sz w:val="20"/>
                <w:szCs w:val="20"/>
              </w:rPr>
            </w:pPr>
            <w:r w:rsidRPr="00EA63C5">
              <w:rPr>
                <w:b/>
                <w:sz w:val="20"/>
                <w:szCs w:val="20"/>
                <w:u w:val="single"/>
              </w:rPr>
              <w:t>Chicago Title Insurance Company of Canada v. Paul MacDonald and Stefanie MacDonald</w:t>
            </w:r>
            <w:r w:rsidRPr="00EA63C5">
              <w:rPr>
                <w:rFonts w:cs="Times New Roman"/>
                <w:sz w:val="20"/>
                <w:szCs w:val="20"/>
              </w:rPr>
              <w:t xml:space="preserve"> </w:t>
            </w:r>
            <w:r w:rsidR="00B22687" w:rsidRPr="00EA63C5">
              <w:rPr>
                <w:rFonts w:cs="Times New Roman"/>
                <w:sz w:val="20"/>
                <w:szCs w:val="20"/>
              </w:rPr>
              <w:t>(Ont.)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280F42" w:rsidP="00B22687">
            <w:pPr>
              <w:jc w:val="both"/>
              <w:rPr>
                <w:sz w:val="20"/>
                <w:szCs w:val="20"/>
                <w:u w:val="single"/>
              </w:rPr>
            </w:pPr>
            <w:r w:rsidRPr="00EA63C5">
              <w:rPr>
                <w:sz w:val="20"/>
                <w:szCs w:val="20"/>
                <w:u w:val="single"/>
              </w:rPr>
              <w:t>Cromwell, Wagner and Côté JJ.</w:t>
            </w:r>
          </w:p>
          <w:p w:rsidR="00280F42" w:rsidRPr="00EA63C5" w:rsidRDefault="00280F42" w:rsidP="00B22687">
            <w:pPr>
              <w:jc w:val="both"/>
              <w:rPr>
                <w:rFonts w:cs="Times New Roman"/>
                <w:sz w:val="20"/>
                <w:szCs w:val="20"/>
                <w:u w:val="single"/>
              </w:rPr>
            </w:pPr>
          </w:p>
        </w:tc>
      </w:tr>
      <w:tr w:rsidR="00B22687" w:rsidRPr="007F6DC5" w:rsidTr="00B22687">
        <w:trPr>
          <w:cantSplit/>
        </w:trPr>
        <w:tc>
          <w:tcPr>
            <w:tcW w:w="9576" w:type="dxa"/>
            <w:gridSpan w:val="4"/>
          </w:tcPr>
          <w:p w:rsidR="00B22687" w:rsidRPr="00EA63C5" w:rsidRDefault="00B22687" w:rsidP="00B22687">
            <w:pPr>
              <w:pStyle w:val="SCCShortJudgment"/>
              <w:ind w:firstLine="0"/>
              <w:rPr>
                <w:rFonts w:cs="Times New Roman"/>
                <w:szCs w:val="20"/>
              </w:rPr>
            </w:pPr>
            <w:r w:rsidRPr="00EA63C5">
              <w:rPr>
                <w:rFonts w:cs="Times New Roman"/>
                <w:szCs w:val="20"/>
              </w:rPr>
              <w:tab/>
            </w:r>
            <w:r w:rsidR="00280F42" w:rsidRPr="00EA63C5">
              <w:rPr>
                <w:szCs w:val="20"/>
              </w:rPr>
              <w:t>The application for leave to appeal from the judgment of the Court of Appeal for Ontario, Number C59947, 2015 ONCA 842, dated December 3, 2015, is dismissed with costs.</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rFonts w:cs="Times New Roman"/>
                <w:szCs w:val="20"/>
                <w:lang w:val="fr-CA"/>
              </w:rPr>
            </w:pPr>
            <w:r w:rsidRPr="00EA63C5">
              <w:rPr>
                <w:rFonts w:cs="Times New Roman"/>
                <w:szCs w:val="20"/>
              </w:rPr>
              <w:tab/>
            </w:r>
            <w:r w:rsidR="00280F42" w:rsidRPr="00EA63C5">
              <w:rPr>
                <w:szCs w:val="20"/>
                <w:lang w:val="fr-CA"/>
              </w:rPr>
              <w:t>La demande d’autorisation d’appel de l’arrêt de la Cour d’appel de l’Ontario, numéro C59947, 2015 ONCA 842, daté du 3 décembre 2015, est rejetée avec dépens.</w: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B22687" w:rsidRPr="00EA63C5" w:rsidRDefault="00BF2CCE" w:rsidP="00B22687">
            <w:pPr>
              <w:pStyle w:val="SCCShortJudgment"/>
              <w:ind w:firstLine="0"/>
              <w:rPr>
                <w:szCs w:val="20"/>
              </w:rPr>
            </w:pPr>
            <w:r w:rsidRPr="00EA63C5">
              <w:rPr>
                <w:szCs w:val="20"/>
              </w:rPr>
              <w:t>Contracts – Commercial contracts – Interpretation – Insurance – Title insurance – Insurer denying coverage for costs of repairs to rectify latent defect in home caused by previous owner – Should title insurance policies be interpreted to cover construction defects that do not affect title but may affect the value of land? – What is the appropriate standard of review when interpreting a title insurance contract? – How should interpretive principles which this Court has developed be applied? – Is it a three stage, two stage or one stage inquiry? – Can courts pick and choose which interpretive principles to apply or must they consider all of the interpretive principles when interpreting an insurance contract?</w:t>
            </w:r>
          </w:p>
          <w:p w:rsidR="00BF2CCE" w:rsidRPr="00EA63C5" w:rsidRDefault="00BF2CCE" w:rsidP="00B22687">
            <w:pPr>
              <w:pStyle w:val="SCCShortJudgment"/>
              <w:ind w:firstLine="0"/>
              <w:rPr>
                <w:rFonts w:cs="Times New Roman"/>
                <w:szCs w:val="20"/>
              </w:rPr>
            </w:pPr>
          </w:p>
        </w:tc>
      </w:tr>
      <w:tr w:rsidR="00B22687" w:rsidRPr="00EA63C5" w:rsidTr="00647E9D">
        <w:tc>
          <w:tcPr>
            <w:tcW w:w="9576" w:type="dxa"/>
            <w:gridSpan w:val="4"/>
          </w:tcPr>
          <w:p w:rsidR="00BF2CCE" w:rsidRPr="00EA63C5" w:rsidRDefault="00BF2CCE" w:rsidP="00BF2CCE">
            <w:pPr>
              <w:jc w:val="both"/>
              <w:rPr>
                <w:sz w:val="20"/>
                <w:szCs w:val="20"/>
              </w:rPr>
            </w:pPr>
            <w:r w:rsidRPr="00EA63C5">
              <w:rPr>
                <w:sz w:val="20"/>
                <w:szCs w:val="20"/>
              </w:rPr>
              <w:t xml:space="preserve">In 2006, the </w:t>
            </w:r>
            <w:proofErr w:type="spellStart"/>
            <w:r w:rsidRPr="00EA63C5">
              <w:rPr>
                <w:sz w:val="20"/>
                <w:szCs w:val="20"/>
              </w:rPr>
              <w:t>MacDonalds</w:t>
            </w:r>
            <w:proofErr w:type="spellEnd"/>
            <w:r w:rsidRPr="00EA63C5">
              <w:rPr>
                <w:sz w:val="20"/>
                <w:szCs w:val="20"/>
              </w:rPr>
              <w:t xml:space="preserve"> purchased a multi-story home in Toronto and as part of the purchase, also acquired a title insurance policy from Chicago Title Insurance Company of Canada (“Chicago”). In 2013, the </w:t>
            </w:r>
            <w:proofErr w:type="spellStart"/>
            <w:r w:rsidRPr="00EA63C5">
              <w:rPr>
                <w:sz w:val="20"/>
                <w:szCs w:val="20"/>
              </w:rPr>
              <w:t>MacDonalds</w:t>
            </w:r>
            <w:proofErr w:type="spellEnd"/>
            <w:r w:rsidRPr="00EA63C5">
              <w:rPr>
                <w:sz w:val="20"/>
                <w:szCs w:val="20"/>
              </w:rPr>
              <w:t xml:space="preserve"> discovered that load-bearing walls in the house had been removed during a renovation carried out by the previous owner without a building permit. As a result, the second floor was unsafe and the City of Toronto issued a work order to remedy the problem. The </w:t>
            </w:r>
            <w:proofErr w:type="spellStart"/>
            <w:r w:rsidRPr="00EA63C5">
              <w:rPr>
                <w:sz w:val="20"/>
                <w:szCs w:val="20"/>
              </w:rPr>
              <w:t>MacDonalds</w:t>
            </w:r>
            <w:proofErr w:type="spellEnd"/>
            <w:r w:rsidRPr="00EA63C5">
              <w:rPr>
                <w:sz w:val="20"/>
                <w:szCs w:val="20"/>
              </w:rPr>
              <w:t xml:space="preserve"> undertook the required temporary work to support the floor then made a claim under the title policy for the costs of the repairs and for the permanent repairs required to make their home structurally sound. Chicago denied the claim based lack of coverage and because the claim was excluded under the terms of that policy. The </w:t>
            </w:r>
            <w:proofErr w:type="spellStart"/>
            <w:r w:rsidRPr="00EA63C5">
              <w:rPr>
                <w:sz w:val="20"/>
                <w:szCs w:val="20"/>
              </w:rPr>
              <w:lastRenderedPageBreak/>
              <w:t>MacDonalds</w:t>
            </w:r>
            <w:proofErr w:type="spellEnd"/>
            <w:r w:rsidRPr="00EA63C5">
              <w:rPr>
                <w:sz w:val="20"/>
                <w:szCs w:val="20"/>
              </w:rPr>
              <w:t xml:space="preserve"> brought an action seeking, </w:t>
            </w:r>
            <w:r w:rsidRPr="00EA63C5">
              <w:rPr>
                <w:i/>
                <w:sz w:val="20"/>
                <w:szCs w:val="20"/>
              </w:rPr>
              <w:t>inter alia</w:t>
            </w:r>
            <w:r w:rsidRPr="00EA63C5">
              <w:rPr>
                <w:sz w:val="20"/>
                <w:szCs w:val="20"/>
              </w:rPr>
              <w:t>, declarations of coverage and indemnification and brought a motion for summary judgment.</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4410" w:type="dxa"/>
            <w:gridSpan w:val="2"/>
          </w:tcPr>
          <w:p w:rsidR="00BF2CCE" w:rsidRPr="00EA63C5" w:rsidRDefault="00BF2CCE" w:rsidP="00BF2CCE">
            <w:pPr>
              <w:rPr>
                <w:sz w:val="20"/>
                <w:szCs w:val="20"/>
              </w:rPr>
            </w:pPr>
            <w:r w:rsidRPr="00EA63C5">
              <w:rPr>
                <w:sz w:val="20"/>
                <w:szCs w:val="20"/>
              </w:rPr>
              <w:lastRenderedPageBreak/>
              <w:t>December 29, 2014</w:t>
            </w:r>
          </w:p>
          <w:p w:rsidR="00BF2CCE" w:rsidRPr="00EA63C5" w:rsidRDefault="00BF2CCE" w:rsidP="00BF2CCE">
            <w:pPr>
              <w:rPr>
                <w:sz w:val="20"/>
                <w:szCs w:val="20"/>
              </w:rPr>
            </w:pPr>
            <w:r w:rsidRPr="00EA63C5">
              <w:rPr>
                <w:sz w:val="20"/>
                <w:szCs w:val="20"/>
              </w:rPr>
              <w:t>Ontario Superior Court of Justice</w:t>
            </w:r>
          </w:p>
          <w:p w:rsidR="00BF2CCE" w:rsidRPr="00EA63C5" w:rsidRDefault="00BF2CCE" w:rsidP="00BF2CCE">
            <w:pPr>
              <w:rPr>
                <w:sz w:val="20"/>
                <w:szCs w:val="20"/>
              </w:rPr>
            </w:pPr>
            <w:r w:rsidRPr="00EA63C5">
              <w:rPr>
                <w:sz w:val="20"/>
                <w:szCs w:val="20"/>
              </w:rPr>
              <w:t>(Macdonald J.)</w:t>
            </w:r>
          </w:p>
          <w:p w:rsidR="00BF2CCE" w:rsidRPr="00EA63C5" w:rsidRDefault="007F6DC5" w:rsidP="00BF2CCE">
            <w:pPr>
              <w:rPr>
                <w:sz w:val="20"/>
                <w:szCs w:val="20"/>
              </w:rPr>
            </w:pPr>
            <w:hyperlink r:id="rId22" w:history="1">
              <w:r w:rsidR="00BF2CCE" w:rsidRPr="00EA63C5">
                <w:rPr>
                  <w:rStyle w:val="Hyperlink"/>
                  <w:sz w:val="20"/>
                  <w:szCs w:val="20"/>
                </w:rPr>
                <w:t>2014 ONSC 7457</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F2CCE" w:rsidRPr="00EA63C5" w:rsidRDefault="00BF2CCE" w:rsidP="00BF2CCE">
            <w:pPr>
              <w:jc w:val="both"/>
              <w:rPr>
                <w:sz w:val="20"/>
                <w:szCs w:val="20"/>
              </w:rPr>
            </w:pPr>
            <w:r w:rsidRPr="00EA63C5">
              <w:rPr>
                <w:sz w:val="20"/>
                <w:szCs w:val="20"/>
              </w:rPr>
              <w:t>Summary judgment dismissing respondents’ action against title insurer</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BF2CCE" w:rsidRPr="00EA63C5" w:rsidRDefault="00BF2CCE" w:rsidP="00BF2CCE">
            <w:pPr>
              <w:rPr>
                <w:sz w:val="20"/>
                <w:szCs w:val="20"/>
              </w:rPr>
            </w:pPr>
            <w:r w:rsidRPr="00EA63C5">
              <w:rPr>
                <w:sz w:val="20"/>
                <w:szCs w:val="20"/>
              </w:rPr>
              <w:t>December 3, 2015</w:t>
            </w:r>
          </w:p>
          <w:p w:rsidR="00BF2CCE" w:rsidRPr="00EA63C5" w:rsidRDefault="00BF2CCE" w:rsidP="00BF2CCE">
            <w:pPr>
              <w:rPr>
                <w:sz w:val="20"/>
                <w:szCs w:val="20"/>
              </w:rPr>
            </w:pPr>
            <w:r w:rsidRPr="00EA63C5">
              <w:rPr>
                <w:sz w:val="20"/>
                <w:szCs w:val="20"/>
              </w:rPr>
              <w:t>Court of Appeal for Ontario</w:t>
            </w:r>
          </w:p>
          <w:p w:rsidR="00BF2CCE" w:rsidRPr="00EA63C5" w:rsidRDefault="00BF2CCE" w:rsidP="00BF2CCE">
            <w:pPr>
              <w:rPr>
                <w:sz w:val="20"/>
                <w:szCs w:val="20"/>
              </w:rPr>
            </w:pPr>
            <w:r w:rsidRPr="00EA63C5">
              <w:rPr>
                <w:sz w:val="20"/>
                <w:szCs w:val="20"/>
              </w:rPr>
              <w:t xml:space="preserve">(Cronk, Hourigan and </w:t>
            </w:r>
            <w:proofErr w:type="spellStart"/>
            <w:r w:rsidRPr="00EA63C5">
              <w:rPr>
                <w:sz w:val="20"/>
                <w:szCs w:val="20"/>
              </w:rPr>
              <w:t>Benotto</w:t>
            </w:r>
            <w:proofErr w:type="spellEnd"/>
            <w:r w:rsidRPr="00EA63C5">
              <w:rPr>
                <w:sz w:val="20"/>
                <w:szCs w:val="20"/>
              </w:rPr>
              <w:t xml:space="preserve"> JJ.A.)</w:t>
            </w:r>
          </w:p>
          <w:p w:rsidR="00BF2CCE" w:rsidRPr="00EA63C5" w:rsidRDefault="007F6DC5" w:rsidP="00BF2CCE">
            <w:pPr>
              <w:rPr>
                <w:sz w:val="20"/>
                <w:szCs w:val="20"/>
              </w:rPr>
            </w:pPr>
            <w:hyperlink r:id="rId23" w:history="1">
              <w:r w:rsidR="00BF2CCE" w:rsidRPr="00EA63C5">
                <w:rPr>
                  <w:rStyle w:val="Hyperlink"/>
                  <w:sz w:val="20"/>
                  <w:szCs w:val="20"/>
                </w:rPr>
                <w:t>2015 ONCA 842</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F2CCE" w:rsidRPr="00EA63C5" w:rsidRDefault="00BF2CCE" w:rsidP="00BF2CCE">
            <w:pPr>
              <w:rPr>
                <w:sz w:val="20"/>
                <w:szCs w:val="20"/>
              </w:rPr>
            </w:pPr>
            <w:r w:rsidRPr="00EA63C5">
              <w:rPr>
                <w:sz w:val="20"/>
                <w:szCs w:val="20"/>
              </w:rPr>
              <w:t>Respondents’ appeal allowed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BF2CCE" w:rsidRPr="00EA63C5" w:rsidRDefault="00BF2CCE" w:rsidP="00BF2CCE">
            <w:pPr>
              <w:rPr>
                <w:sz w:val="20"/>
                <w:szCs w:val="20"/>
              </w:rPr>
            </w:pPr>
            <w:r w:rsidRPr="00EA63C5">
              <w:rPr>
                <w:sz w:val="20"/>
                <w:szCs w:val="20"/>
              </w:rPr>
              <w:t>February 1, 2016</w:t>
            </w:r>
          </w:p>
          <w:p w:rsidR="00BF2CCE" w:rsidRPr="00EA63C5" w:rsidRDefault="00BF2CCE" w:rsidP="00BF2CCE">
            <w:pPr>
              <w:rPr>
                <w:sz w:val="20"/>
                <w:szCs w:val="20"/>
              </w:rPr>
            </w:pPr>
            <w:r w:rsidRPr="00EA63C5">
              <w:rPr>
                <w:sz w:val="20"/>
                <w:szCs w:val="20"/>
              </w:rPr>
              <w:t>Supreme Court of Canada</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F2CCE" w:rsidRPr="00EA63C5" w:rsidRDefault="00BF2CCE" w:rsidP="00BF2CCE">
            <w:pPr>
              <w:rPr>
                <w:sz w:val="20"/>
                <w:szCs w:val="20"/>
              </w:rPr>
            </w:pPr>
            <w:r w:rsidRPr="00EA63C5">
              <w:rPr>
                <w:sz w:val="20"/>
                <w:szCs w:val="20"/>
              </w:rPr>
              <w:t>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FB57D6" w:rsidRPr="00EA63C5" w:rsidRDefault="00FB57D6" w:rsidP="00FB57D6">
            <w:pPr>
              <w:jc w:val="both"/>
              <w:rPr>
                <w:sz w:val="20"/>
                <w:szCs w:val="20"/>
                <w:lang w:val="fr-CA"/>
              </w:rPr>
            </w:pPr>
            <w:r w:rsidRPr="00EA63C5">
              <w:rPr>
                <w:sz w:val="20"/>
                <w:szCs w:val="20"/>
                <w:lang w:val="fr-CA"/>
              </w:rPr>
              <w:t>Contrats – Contrats commerciaux – Interprétation – Assurance – Assurance de titre – Refus de l’assureur d’indemniser les assurés des frais de réparation d’un vice caché imputable au propriétaire précédent – Faut-il interpréter une police d’assurance de titre de manière à conclure qu’elle garantit contre le défaut de construction qui ne touche pas le titre, mais qui peut toucher la valeur de la propriété? – Quelle est la bonne norme de contrôle lorsqu’il s’agit d’interpréter un contrat d’assurance de titre? – Comment convient-il d’appliquer les principes d’interprétation établis par la Cour? – La démarche qui s’impose comporte-elle trois étapes, deux ou une seule? – Le tribunal peut-il retenir les principes d’interprétation de son choix ou doit-il les appliquer tous au moment d’interpréter un contrat d’assurance?</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B22687" w:rsidRPr="00EA63C5" w:rsidRDefault="00FB57D6" w:rsidP="00B22687">
            <w:pPr>
              <w:jc w:val="both"/>
              <w:rPr>
                <w:sz w:val="20"/>
                <w:szCs w:val="20"/>
                <w:lang w:val="fr-CA"/>
              </w:rPr>
            </w:pPr>
            <w:r w:rsidRPr="00EA63C5">
              <w:rPr>
                <w:sz w:val="20"/>
                <w:szCs w:val="20"/>
                <w:lang w:val="fr-CA"/>
              </w:rPr>
              <w:t xml:space="preserve">En 2006, les </w:t>
            </w:r>
            <w:proofErr w:type="spellStart"/>
            <w:r w:rsidRPr="00EA63C5">
              <w:rPr>
                <w:sz w:val="20"/>
                <w:szCs w:val="20"/>
                <w:lang w:val="fr-CA"/>
              </w:rPr>
              <w:t>MacDonald</w:t>
            </w:r>
            <w:proofErr w:type="spellEnd"/>
            <w:r w:rsidRPr="00EA63C5">
              <w:rPr>
                <w:sz w:val="20"/>
                <w:szCs w:val="20"/>
                <w:lang w:val="fr-CA"/>
              </w:rPr>
              <w:t xml:space="preserve"> ont fait l’acquisition d’une maison à étages à Toronto. Par la même occasion, ils ont contracté une assurance de titre auprès de la Compagnie d’assurance titres Chicago Canada (« Chicago »). En 2013, ils ont découvert que des murs porteurs de la maison avaient été supprimés lors de travaux de rénovation effectués sans permis de construction par le propriétaire précédent. Le plancher du deuxième étage n’était pas sécuritaire, et la ville de Toronto a donc ordonné des travaux pour corriger la situation. Les </w:t>
            </w:r>
            <w:proofErr w:type="spellStart"/>
            <w:r w:rsidRPr="00EA63C5">
              <w:rPr>
                <w:sz w:val="20"/>
                <w:szCs w:val="20"/>
                <w:lang w:val="fr-CA"/>
              </w:rPr>
              <w:t>MacDonald</w:t>
            </w:r>
            <w:proofErr w:type="spellEnd"/>
            <w:r w:rsidRPr="00EA63C5">
              <w:rPr>
                <w:sz w:val="20"/>
                <w:szCs w:val="20"/>
                <w:lang w:val="fr-CA"/>
              </w:rPr>
              <w:t xml:space="preserve"> ont effectué les travaux requis à titre temporaire pour consolider le plancher. Ils ont ensuite demandé, en invoquant leur assurance de titre, une indemnité pour ces réparations et celles, permanentes, qui s’imposaient pour rendre la charpente de leur maison solide. Chicago a refusé de verser une indemnité au motif qu’il n’y avait pas de garantie à ce chapitre et parce que le contrat d’assurance excluait la réclamation. Les </w:t>
            </w:r>
            <w:proofErr w:type="spellStart"/>
            <w:r w:rsidRPr="00EA63C5">
              <w:rPr>
                <w:sz w:val="20"/>
                <w:szCs w:val="20"/>
                <w:lang w:val="fr-CA"/>
              </w:rPr>
              <w:t>MacDonald</w:t>
            </w:r>
            <w:proofErr w:type="spellEnd"/>
            <w:r w:rsidRPr="00EA63C5">
              <w:rPr>
                <w:sz w:val="20"/>
                <w:szCs w:val="20"/>
                <w:lang w:val="fr-CA"/>
              </w:rPr>
              <w:t xml:space="preserve"> ont intenté une action dans laquelle ils ont demandé entre autres au tribunal de déclarer qu’une garantie existait et qu’ils avaient droit à l’indemnisation, et ils ont présenté une motion pour jugement sommaire.</w:t>
            </w:r>
          </w:p>
          <w:p w:rsidR="00FB57D6" w:rsidRPr="00EA63C5" w:rsidRDefault="00FB57D6" w:rsidP="00B22687">
            <w:pPr>
              <w:jc w:val="both"/>
              <w:rPr>
                <w:rFonts w:cs="Times New Roman"/>
                <w:sz w:val="20"/>
                <w:szCs w:val="20"/>
                <w:u w:val="single"/>
                <w:lang w:val="fr-CA"/>
              </w:rPr>
            </w:pP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29 décembre 2014</w:t>
            </w:r>
          </w:p>
          <w:p w:rsidR="00FB57D6" w:rsidRPr="00EA63C5" w:rsidRDefault="00FB57D6" w:rsidP="00FB57D6">
            <w:pPr>
              <w:rPr>
                <w:sz w:val="20"/>
                <w:szCs w:val="20"/>
                <w:lang w:val="fr-CA"/>
              </w:rPr>
            </w:pPr>
            <w:r w:rsidRPr="00EA63C5">
              <w:rPr>
                <w:sz w:val="20"/>
                <w:szCs w:val="20"/>
                <w:lang w:val="fr-CA"/>
              </w:rPr>
              <w:t>Cour supérieure de justice de l’Ontario</w:t>
            </w:r>
          </w:p>
          <w:p w:rsidR="00FB57D6" w:rsidRPr="00EA63C5" w:rsidRDefault="00FB57D6" w:rsidP="00FB57D6">
            <w:pPr>
              <w:rPr>
                <w:sz w:val="20"/>
                <w:szCs w:val="20"/>
                <w:lang w:val="fr-CA"/>
              </w:rPr>
            </w:pPr>
            <w:r w:rsidRPr="00EA63C5">
              <w:rPr>
                <w:sz w:val="20"/>
                <w:szCs w:val="20"/>
                <w:lang w:val="fr-CA"/>
              </w:rPr>
              <w:t>(Juge Macdonald)</w:t>
            </w:r>
          </w:p>
          <w:p w:rsidR="00FB57D6" w:rsidRPr="00EA63C5" w:rsidRDefault="007F6DC5" w:rsidP="00FB57D6">
            <w:pPr>
              <w:rPr>
                <w:sz w:val="20"/>
                <w:szCs w:val="20"/>
              </w:rPr>
            </w:pPr>
            <w:hyperlink r:id="rId24" w:history="1">
              <w:r w:rsidR="00FB57D6" w:rsidRPr="00EA63C5">
                <w:rPr>
                  <w:rStyle w:val="Hyperlink"/>
                  <w:sz w:val="20"/>
                  <w:szCs w:val="20"/>
                </w:rPr>
                <w:t>2014 ONSC 7457</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FB57D6" w:rsidP="00B22687">
            <w:pPr>
              <w:pStyle w:val="SCCShortJudgment"/>
              <w:ind w:firstLine="0"/>
              <w:rPr>
                <w:rFonts w:cs="Times New Roman"/>
                <w:szCs w:val="20"/>
                <w:u w:val="single"/>
                <w:lang w:val="fr-CA"/>
              </w:rPr>
            </w:pPr>
            <w:r w:rsidRPr="00EA63C5">
              <w:rPr>
                <w:szCs w:val="20"/>
                <w:lang w:val="fr-CA"/>
              </w:rPr>
              <w:t>Rejet sur jugement sommaire de l’action des intimés contre l’assureur de titre</w:t>
            </w: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3 décembre 2015</w:t>
            </w:r>
          </w:p>
          <w:p w:rsidR="00FB57D6" w:rsidRPr="00EA63C5" w:rsidRDefault="00FB57D6" w:rsidP="00FB57D6">
            <w:pPr>
              <w:rPr>
                <w:sz w:val="20"/>
                <w:szCs w:val="20"/>
                <w:lang w:val="fr-CA"/>
              </w:rPr>
            </w:pPr>
            <w:r w:rsidRPr="00EA63C5">
              <w:rPr>
                <w:sz w:val="20"/>
                <w:szCs w:val="20"/>
                <w:lang w:val="fr-CA"/>
              </w:rPr>
              <w:t xml:space="preserve">Cour d’appel de l’Ontario </w:t>
            </w:r>
          </w:p>
          <w:p w:rsidR="00FB57D6" w:rsidRPr="00EA63C5" w:rsidRDefault="00FB57D6" w:rsidP="00FB57D6">
            <w:pPr>
              <w:rPr>
                <w:sz w:val="20"/>
                <w:szCs w:val="20"/>
                <w:lang w:val="fr-CA"/>
              </w:rPr>
            </w:pPr>
            <w:r w:rsidRPr="00EA63C5">
              <w:rPr>
                <w:sz w:val="20"/>
                <w:szCs w:val="20"/>
                <w:lang w:val="fr-CA"/>
              </w:rPr>
              <w:t xml:space="preserve">(Juges </w:t>
            </w:r>
            <w:proofErr w:type="spellStart"/>
            <w:r w:rsidRPr="00EA63C5">
              <w:rPr>
                <w:sz w:val="20"/>
                <w:szCs w:val="20"/>
                <w:lang w:val="fr-CA"/>
              </w:rPr>
              <w:t>Cronk</w:t>
            </w:r>
            <w:proofErr w:type="spellEnd"/>
            <w:r w:rsidRPr="00EA63C5">
              <w:rPr>
                <w:sz w:val="20"/>
                <w:szCs w:val="20"/>
                <w:lang w:val="fr-CA"/>
              </w:rPr>
              <w:t xml:space="preserve">, </w:t>
            </w:r>
            <w:proofErr w:type="spellStart"/>
            <w:r w:rsidRPr="00EA63C5">
              <w:rPr>
                <w:sz w:val="20"/>
                <w:szCs w:val="20"/>
                <w:lang w:val="fr-CA"/>
              </w:rPr>
              <w:t>Hourigan</w:t>
            </w:r>
            <w:proofErr w:type="spellEnd"/>
            <w:r w:rsidRPr="00EA63C5">
              <w:rPr>
                <w:sz w:val="20"/>
                <w:szCs w:val="20"/>
                <w:lang w:val="fr-CA"/>
              </w:rPr>
              <w:t xml:space="preserve"> et </w:t>
            </w:r>
            <w:proofErr w:type="spellStart"/>
            <w:r w:rsidRPr="00EA63C5">
              <w:rPr>
                <w:sz w:val="20"/>
                <w:szCs w:val="20"/>
                <w:lang w:val="fr-CA"/>
              </w:rPr>
              <w:t>Benotto</w:t>
            </w:r>
            <w:proofErr w:type="spellEnd"/>
            <w:r w:rsidRPr="00EA63C5">
              <w:rPr>
                <w:sz w:val="20"/>
                <w:szCs w:val="20"/>
                <w:lang w:val="fr-CA"/>
              </w:rPr>
              <w:t>)</w:t>
            </w:r>
          </w:p>
          <w:p w:rsidR="00FB57D6" w:rsidRPr="00EA63C5" w:rsidRDefault="007F6DC5" w:rsidP="00FB57D6">
            <w:pPr>
              <w:rPr>
                <w:sz w:val="20"/>
                <w:szCs w:val="20"/>
              </w:rPr>
            </w:pPr>
            <w:hyperlink r:id="rId25" w:history="1">
              <w:r w:rsidR="00FB57D6" w:rsidRPr="00EA63C5">
                <w:rPr>
                  <w:rStyle w:val="Hyperlink"/>
                  <w:sz w:val="20"/>
                  <w:szCs w:val="20"/>
                </w:rPr>
                <w:t>2015 ONCA 842</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FB57D6" w:rsidP="00B22687">
            <w:pPr>
              <w:pStyle w:val="SCCShortJudgment"/>
              <w:ind w:firstLine="0"/>
              <w:rPr>
                <w:rFonts w:cs="Times New Roman"/>
                <w:szCs w:val="20"/>
                <w:u w:val="single"/>
                <w:lang w:val="fr-CA"/>
              </w:rPr>
            </w:pPr>
            <w:r w:rsidRPr="00EA63C5">
              <w:rPr>
                <w:szCs w:val="20"/>
                <w:lang w:val="fr-CA"/>
              </w:rPr>
              <w:t>Gain de cause des intimés en appel</w:t>
            </w:r>
          </w:p>
        </w:tc>
      </w:tr>
    </w:tbl>
    <w:p w:rsidR="001D68AE" w:rsidRPr="009849E0" w:rsidRDefault="001D68AE">
      <w:pPr>
        <w:rPr>
          <w:lang w:val="fr-CA"/>
        </w:rPr>
      </w:pPr>
      <w:r w:rsidRPr="009849E0">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22687" w:rsidRPr="007F6DC5" w:rsidTr="00B22687">
        <w:trPr>
          <w:cantSplit/>
        </w:trPr>
        <w:tc>
          <w:tcPr>
            <w:tcW w:w="4410" w:type="dxa"/>
          </w:tcPr>
          <w:p w:rsidR="00FB57D6" w:rsidRPr="00EA63C5" w:rsidRDefault="00FB57D6" w:rsidP="00FB57D6">
            <w:pPr>
              <w:rPr>
                <w:sz w:val="20"/>
                <w:szCs w:val="20"/>
                <w:lang w:val="fr-CA"/>
              </w:rPr>
            </w:pPr>
            <w:r w:rsidRPr="00EA63C5">
              <w:rPr>
                <w:sz w:val="20"/>
                <w:szCs w:val="20"/>
                <w:lang w:val="fr-CA"/>
              </w:rPr>
              <w:lastRenderedPageBreak/>
              <w:t>1</w:t>
            </w:r>
            <w:r w:rsidRPr="00EA63C5">
              <w:rPr>
                <w:sz w:val="20"/>
                <w:szCs w:val="20"/>
                <w:vertAlign w:val="superscript"/>
                <w:lang w:val="fr-CA"/>
              </w:rPr>
              <w:t>er</w:t>
            </w:r>
            <w:r w:rsidRPr="00EA63C5">
              <w:rPr>
                <w:sz w:val="20"/>
                <w:szCs w:val="20"/>
                <w:lang w:val="fr-CA"/>
              </w:rPr>
              <w:t xml:space="preserve"> février 2016</w:t>
            </w:r>
          </w:p>
          <w:p w:rsidR="00FB57D6" w:rsidRPr="00EA63C5" w:rsidRDefault="00FB57D6" w:rsidP="00FB57D6">
            <w:pPr>
              <w:rPr>
                <w:sz w:val="20"/>
                <w:szCs w:val="20"/>
                <w:lang w:val="fr-CA"/>
              </w:rPr>
            </w:pPr>
            <w:r w:rsidRPr="00EA63C5">
              <w:rPr>
                <w:sz w:val="20"/>
                <w:szCs w:val="20"/>
                <w:lang w:val="fr-CA"/>
              </w:rPr>
              <w:t xml:space="preserve">Cour suprême du Canada </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FB57D6" w:rsidP="00B22687">
            <w:pPr>
              <w:pStyle w:val="SCCShortJudgment"/>
              <w:ind w:firstLine="0"/>
              <w:rPr>
                <w:rFonts w:cs="Times New Roman"/>
                <w:szCs w:val="20"/>
                <w:u w:val="single"/>
                <w:lang w:val="fr-CA"/>
              </w:rPr>
            </w:pPr>
            <w:r w:rsidRPr="00EA63C5">
              <w:rPr>
                <w:szCs w:val="20"/>
                <w:lang w:val="fr-CA"/>
              </w:rPr>
              <w:t>Dépôt de la demande d’autorisation d’appel</w:t>
            </w:r>
          </w:p>
        </w:tc>
      </w:tr>
    </w:tbl>
    <w:p w:rsidR="00CB2288" w:rsidRPr="00EA63C5" w:rsidRDefault="007F6DC5" w:rsidP="000E2959">
      <w:pPr>
        <w:rPr>
          <w:sz w:val="20"/>
          <w:szCs w:val="20"/>
        </w:rPr>
      </w:pPr>
      <w:r>
        <w:rPr>
          <w:sz w:val="20"/>
          <w:szCs w:val="20"/>
          <w:lang w:val="fr-CA"/>
        </w:rPr>
        <w:pict>
          <v:rect id="_x0000_i1057" style="width:2in;height:1pt" o:hrpct="0" o:hralign="center" o:hrstd="t" o:hrnoshade="t" o:hr="t" fillcolor="black [3213]" stroked="f"/>
        </w:pict>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w:t>
            </w:r>
            <w:r w:rsidR="00BF2CCE" w:rsidRPr="00EA63C5">
              <w:rPr>
                <w:rStyle w:val="SCCFileNumberChar"/>
                <w:sz w:val="20"/>
                <w:szCs w:val="20"/>
              </w:rPr>
              <w:t>6959</w:t>
            </w:r>
          </w:p>
          <w:p w:rsidR="00B22687" w:rsidRPr="00EA63C5" w:rsidRDefault="00B22687" w:rsidP="00B22687">
            <w:pPr>
              <w:jc w:val="both"/>
              <w:rPr>
                <w:rFonts w:cs="Times New Roman"/>
                <w:b/>
                <w:sz w:val="20"/>
                <w:szCs w:val="20"/>
              </w:rPr>
            </w:pPr>
          </w:p>
        </w:tc>
        <w:tc>
          <w:tcPr>
            <w:tcW w:w="8118" w:type="dxa"/>
            <w:gridSpan w:val="3"/>
          </w:tcPr>
          <w:p w:rsidR="00B22687" w:rsidRPr="00EA63C5" w:rsidRDefault="00280F42" w:rsidP="00B22687">
            <w:pPr>
              <w:jc w:val="both"/>
              <w:rPr>
                <w:rFonts w:cs="Times New Roman"/>
                <w:sz w:val="20"/>
                <w:szCs w:val="20"/>
              </w:rPr>
            </w:pPr>
            <w:r w:rsidRPr="00EA63C5">
              <w:rPr>
                <w:rStyle w:val="SCCLsocChar"/>
                <w:rFonts w:cs="Times New Roman"/>
                <w:sz w:val="20"/>
                <w:szCs w:val="20"/>
              </w:rPr>
              <w:t xml:space="preserve">9256-0929 Québec </w:t>
            </w:r>
            <w:proofErr w:type="spellStart"/>
            <w:r w:rsidRPr="00EA63C5">
              <w:rPr>
                <w:rStyle w:val="SCCLsocChar"/>
                <w:rFonts w:cs="Times New Roman"/>
                <w:sz w:val="20"/>
                <w:szCs w:val="20"/>
              </w:rPr>
              <w:t>inc.</w:t>
            </w:r>
            <w:proofErr w:type="spellEnd"/>
            <w:r w:rsidRPr="00EA63C5">
              <w:rPr>
                <w:rStyle w:val="SCCLsocChar"/>
                <w:rFonts w:cs="Times New Roman"/>
                <w:sz w:val="20"/>
                <w:szCs w:val="20"/>
              </w:rPr>
              <w:t xml:space="preserve"> c. Brigitte </w:t>
            </w:r>
            <w:proofErr w:type="spellStart"/>
            <w:r w:rsidRPr="00EA63C5">
              <w:rPr>
                <w:rStyle w:val="SCCLsocChar"/>
                <w:rFonts w:cs="Times New Roman"/>
                <w:sz w:val="20"/>
                <w:szCs w:val="20"/>
              </w:rPr>
              <w:t>Turcot</w:t>
            </w:r>
            <w:proofErr w:type="spellEnd"/>
            <w:r w:rsidRPr="00EA63C5">
              <w:rPr>
                <w:rStyle w:val="SCCLsocChar"/>
                <w:rFonts w:cs="Times New Roman"/>
                <w:sz w:val="20"/>
                <w:szCs w:val="20"/>
              </w:rPr>
              <w:t xml:space="preserve"> et Martin Roy - et - Tribunal administratif du travail (anciennement connu sous le nom Commission des relations du travail) et MNP </w:t>
            </w:r>
            <w:proofErr w:type="spellStart"/>
            <w:r w:rsidRPr="00EA63C5">
              <w:rPr>
                <w:rStyle w:val="SCCLsocChar"/>
                <w:rFonts w:cs="Times New Roman"/>
                <w:sz w:val="20"/>
                <w:szCs w:val="20"/>
              </w:rPr>
              <w:t>ltée</w:t>
            </w:r>
            <w:proofErr w:type="spellEnd"/>
            <w:r w:rsidRPr="00EA63C5">
              <w:rPr>
                <w:rStyle w:val="SCCLsocChar"/>
                <w:rFonts w:cs="Times New Roman"/>
                <w:sz w:val="20"/>
                <w:szCs w:val="20"/>
              </w:rPr>
              <w:t>.</w:t>
            </w:r>
            <w:r w:rsidR="00B22687" w:rsidRPr="00EA63C5">
              <w:rPr>
                <w:lang w:val="fr-CA"/>
              </w:rPr>
              <w:t xml:space="preserve"> </w:t>
            </w:r>
            <w:r w:rsidR="00B22687" w:rsidRPr="00EA63C5">
              <w:rPr>
                <w:rFonts w:cs="Times New Roman"/>
                <w:sz w:val="20"/>
                <w:szCs w:val="20"/>
              </w:rPr>
              <w:t>(Ont.) (Civil) (By Leave)</w:t>
            </w:r>
          </w:p>
          <w:p w:rsidR="00B22687" w:rsidRPr="00EA63C5" w:rsidRDefault="00B22687" w:rsidP="00B22687">
            <w:pPr>
              <w:jc w:val="both"/>
              <w:rPr>
                <w:rFonts w:cs="Times New Roman"/>
                <w:sz w:val="20"/>
                <w:szCs w:val="20"/>
              </w:rPr>
            </w:pPr>
          </w:p>
        </w:tc>
      </w:tr>
      <w:tr w:rsidR="00B22687" w:rsidRPr="007F6D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280F42" w:rsidP="00B22687">
            <w:pPr>
              <w:jc w:val="both"/>
              <w:rPr>
                <w:rStyle w:val="SCCCoramChar"/>
                <w:rFonts w:cs="Times New Roman"/>
                <w:sz w:val="20"/>
                <w:szCs w:val="20"/>
              </w:rPr>
            </w:pPr>
            <w:r w:rsidRPr="00EA63C5">
              <w:rPr>
                <w:rStyle w:val="SCCCoramChar"/>
                <w:rFonts w:cs="Times New Roman"/>
                <w:sz w:val="20"/>
                <w:szCs w:val="20"/>
              </w:rPr>
              <w:t xml:space="preserve">Les juges Cromwell, Wagner et Côté </w:t>
            </w:r>
          </w:p>
          <w:p w:rsidR="00280F42" w:rsidRPr="00EA63C5" w:rsidRDefault="00280F42" w:rsidP="00B22687">
            <w:pPr>
              <w:jc w:val="both"/>
              <w:rPr>
                <w:rFonts w:cs="Times New Roman"/>
                <w:sz w:val="20"/>
                <w:szCs w:val="20"/>
                <w:u w:val="single"/>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lang w:val="fr-CA"/>
              </w:rPr>
            </w:pPr>
            <w:r w:rsidRPr="00EA63C5">
              <w:rPr>
                <w:rFonts w:cs="Times New Roman"/>
                <w:szCs w:val="20"/>
                <w:lang w:val="fr-CA"/>
              </w:rPr>
              <w:tab/>
            </w:r>
            <w:r w:rsidR="00280F42" w:rsidRPr="00EA63C5">
              <w:rPr>
                <w:rFonts w:cs="Times New Roman"/>
                <w:szCs w:val="20"/>
                <w:lang w:val="fr-CA"/>
              </w:rPr>
              <w:t>La demande d’autorisation d’appel de l’arrêt de la Cour d’appel du Québec (Montréal), numéro 500-09-024932-147, 2016 QCCA 308, daté du 18 février 2016, est rejetée avec dépens.</w:t>
            </w:r>
          </w:p>
          <w:p w:rsidR="00B22687" w:rsidRPr="00EA63C5" w:rsidRDefault="00B22687" w:rsidP="00B22687">
            <w:pPr>
              <w:pStyle w:val="SCCShortJudgment"/>
              <w:ind w:firstLine="0"/>
              <w:rPr>
                <w:rFonts w:cs="Times New Roman"/>
                <w:szCs w:val="20"/>
                <w:lang w:val="fr-CA"/>
              </w:rPr>
            </w:pPr>
          </w:p>
          <w:p w:rsidR="00B22687" w:rsidRPr="00EA63C5" w:rsidRDefault="00B22687" w:rsidP="00B22687">
            <w:pPr>
              <w:pStyle w:val="SCCShortJudgment"/>
              <w:ind w:firstLine="0"/>
              <w:rPr>
                <w:rFonts w:cs="Times New Roman"/>
                <w:szCs w:val="20"/>
                <w:lang w:val="en-US"/>
              </w:rPr>
            </w:pPr>
            <w:r w:rsidRPr="00EA63C5">
              <w:rPr>
                <w:rFonts w:cs="Times New Roman"/>
                <w:szCs w:val="20"/>
                <w:lang w:val="fr-CA"/>
              </w:rPr>
              <w:tab/>
            </w:r>
            <w:r w:rsidR="00280F42" w:rsidRPr="00EA63C5">
              <w:rPr>
                <w:rFonts w:cs="Times New Roman"/>
                <w:szCs w:val="20"/>
              </w:rPr>
              <w:t>The application for leave to appeal from the judgment of the Court of Appeal of Quebec (Montréal), Number 500-09-024932-147, 2016 QCCA 308, dated February 18, 2016, is dismissed with costs.</w:t>
            </w:r>
          </w:p>
          <w:p w:rsidR="00B22687" w:rsidRPr="00EA63C5" w:rsidRDefault="00B22687" w:rsidP="00B22687">
            <w:pPr>
              <w:pStyle w:val="SCCShortJudgment"/>
              <w:ind w:firstLine="0"/>
              <w:rPr>
                <w:rFonts w:cs="Times New Roman"/>
                <w:szCs w:val="20"/>
                <w:lang w:val="en-US"/>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B22687" w:rsidRPr="00EA63C5" w:rsidRDefault="00FB57D6" w:rsidP="00B22687">
            <w:pPr>
              <w:pStyle w:val="SCCShortJudgment"/>
              <w:ind w:firstLine="0"/>
              <w:rPr>
                <w:szCs w:val="20"/>
              </w:rPr>
            </w:pPr>
            <w:r w:rsidRPr="00EA63C5">
              <w:rPr>
                <w:szCs w:val="20"/>
              </w:rPr>
              <w:t>Administrative law – Boards and tribunals</w:t>
            </w:r>
            <w:r w:rsidRPr="00EA63C5">
              <w:rPr>
                <w:color w:val="000000"/>
                <w:szCs w:val="20"/>
              </w:rPr>
              <w:t xml:space="preserve"> </w:t>
            </w:r>
            <w:r w:rsidRPr="00EA63C5">
              <w:rPr>
                <w:szCs w:val="20"/>
              </w:rPr>
              <w:t xml:space="preserve">– Jurisdiction – Labour relations commission – Complaint for dismissal without good and sufficient cause allowed by Commission and followed by transfer of undertaking – Motion for continuity of undertaking based on ss. 96 and 97 of </w:t>
            </w:r>
            <w:r w:rsidRPr="00EA63C5">
              <w:rPr>
                <w:i/>
                <w:szCs w:val="20"/>
              </w:rPr>
              <w:t>Act respecting labour standards</w:t>
            </w:r>
            <w:r w:rsidRPr="00EA63C5">
              <w:rPr>
                <w:szCs w:val="20"/>
              </w:rPr>
              <w:t xml:space="preserve"> – Whether Commission had jurisdiction to hear application related or incidental to complaint once it rendered decision on merits – </w:t>
            </w:r>
            <w:r w:rsidRPr="00EA63C5">
              <w:rPr>
                <w:i/>
                <w:szCs w:val="20"/>
              </w:rPr>
              <w:t>Act respecting labour standards</w:t>
            </w:r>
            <w:r w:rsidRPr="00EA63C5">
              <w:rPr>
                <w:szCs w:val="20"/>
              </w:rPr>
              <w:t>, CQLR, c. N</w:t>
            </w:r>
            <w:r w:rsidRPr="00EA63C5">
              <w:rPr>
                <w:szCs w:val="20"/>
              </w:rPr>
              <w:noBreakHyphen/>
              <w:t xml:space="preserve">1.1, ss. 96, 97 – </w:t>
            </w:r>
            <w:r w:rsidRPr="00EA63C5">
              <w:rPr>
                <w:i/>
                <w:szCs w:val="20"/>
              </w:rPr>
              <w:t>Labour Code</w:t>
            </w:r>
            <w:r w:rsidRPr="00EA63C5">
              <w:rPr>
                <w:szCs w:val="20"/>
              </w:rPr>
              <w:t>, CQLR, c. C</w:t>
            </w:r>
            <w:r w:rsidRPr="00EA63C5">
              <w:rPr>
                <w:szCs w:val="20"/>
              </w:rPr>
              <w:noBreakHyphen/>
              <w:t>27, s. 114.</w:t>
            </w:r>
          </w:p>
          <w:p w:rsidR="00FB57D6" w:rsidRPr="00EA63C5" w:rsidRDefault="00FB57D6" w:rsidP="00B22687">
            <w:pPr>
              <w:pStyle w:val="SCCShortJudgment"/>
              <w:ind w:firstLine="0"/>
              <w:rPr>
                <w:rFonts w:cs="Times New Roman"/>
                <w:szCs w:val="20"/>
              </w:rPr>
            </w:pPr>
          </w:p>
        </w:tc>
      </w:tr>
      <w:tr w:rsidR="00B22687" w:rsidRPr="00EA63C5" w:rsidTr="00B22687">
        <w:trPr>
          <w:cantSplit/>
        </w:trPr>
        <w:tc>
          <w:tcPr>
            <w:tcW w:w="9576" w:type="dxa"/>
            <w:gridSpan w:val="4"/>
          </w:tcPr>
          <w:p w:rsidR="00FB57D6" w:rsidRPr="00EA63C5" w:rsidRDefault="00FB57D6" w:rsidP="00FB57D6">
            <w:pPr>
              <w:jc w:val="both"/>
              <w:rPr>
                <w:sz w:val="20"/>
                <w:szCs w:val="20"/>
              </w:rPr>
            </w:pPr>
            <w:r w:rsidRPr="00EA63C5">
              <w:rPr>
                <w:sz w:val="20"/>
                <w:szCs w:val="20"/>
              </w:rPr>
              <w:t xml:space="preserve">The Commission des relations du travail found that the respondents had been dismissed without good and sufficient cause and ordered the payment of an indemnity by their employer. However, the employer’s property was sequestrated as a result of financial problems and was eventually sold to the applicant. The respondents filed a motion with the Commission des relations du travail for continuity of the undertaking so the applicant would be required to pay the indemnities owed to them. </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4410" w:type="dxa"/>
            <w:gridSpan w:val="2"/>
          </w:tcPr>
          <w:p w:rsidR="00FB57D6" w:rsidRPr="00EA63C5" w:rsidRDefault="00FB57D6" w:rsidP="00FB57D6">
            <w:pPr>
              <w:rPr>
                <w:sz w:val="20"/>
                <w:szCs w:val="20"/>
                <w:lang w:val="fr-CA"/>
              </w:rPr>
            </w:pPr>
            <w:proofErr w:type="spellStart"/>
            <w:r w:rsidRPr="00EA63C5">
              <w:rPr>
                <w:sz w:val="20"/>
                <w:szCs w:val="20"/>
                <w:lang w:val="fr-CA"/>
              </w:rPr>
              <w:t>November</w:t>
            </w:r>
            <w:proofErr w:type="spellEnd"/>
            <w:r w:rsidRPr="00EA63C5">
              <w:rPr>
                <w:sz w:val="20"/>
                <w:szCs w:val="20"/>
                <w:lang w:val="fr-CA"/>
              </w:rPr>
              <w:t xml:space="preserve"> 25, 2013</w:t>
            </w:r>
          </w:p>
          <w:p w:rsidR="00FB57D6" w:rsidRPr="00EA63C5" w:rsidRDefault="00FB57D6" w:rsidP="00FB57D6">
            <w:pPr>
              <w:rPr>
                <w:sz w:val="20"/>
                <w:szCs w:val="20"/>
                <w:lang w:val="fr-CA"/>
              </w:rPr>
            </w:pPr>
            <w:r w:rsidRPr="00EA63C5">
              <w:rPr>
                <w:sz w:val="20"/>
                <w:szCs w:val="20"/>
                <w:lang w:val="fr-CA"/>
              </w:rPr>
              <w:t>Commission des relations du travail</w:t>
            </w:r>
          </w:p>
          <w:p w:rsidR="00FB57D6" w:rsidRPr="00EA63C5" w:rsidRDefault="00FB57D6" w:rsidP="00FB57D6">
            <w:pPr>
              <w:rPr>
                <w:sz w:val="20"/>
                <w:szCs w:val="20"/>
              </w:rPr>
            </w:pPr>
            <w:r w:rsidRPr="00EA63C5">
              <w:rPr>
                <w:sz w:val="20"/>
                <w:szCs w:val="20"/>
              </w:rPr>
              <w:t>(</w:t>
            </w:r>
            <w:proofErr w:type="spellStart"/>
            <w:r w:rsidRPr="00EA63C5">
              <w:rPr>
                <w:sz w:val="20"/>
                <w:szCs w:val="20"/>
              </w:rPr>
              <w:t>Gaëtan</w:t>
            </w:r>
            <w:proofErr w:type="spellEnd"/>
            <w:r w:rsidRPr="00EA63C5">
              <w:rPr>
                <w:sz w:val="20"/>
                <w:szCs w:val="20"/>
              </w:rPr>
              <w:t xml:space="preserve"> Breton, administrative judge)</w:t>
            </w:r>
          </w:p>
          <w:p w:rsidR="00FB57D6" w:rsidRPr="00EA63C5" w:rsidRDefault="00FB57D6" w:rsidP="00FB57D6">
            <w:pPr>
              <w:rPr>
                <w:sz w:val="20"/>
                <w:szCs w:val="20"/>
              </w:rPr>
            </w:pPr>
            <w:r w:rsidRPr="00EA63C5">
              <w:rPr>
                <w:sz w:val="20"/>
                <w:szCs w:val="20"/>
              </w:rPr>
              <w:t>2013 QCCRT 0554</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rPr>
                <w:sz w:val="20"/>
                <w:szCs w:val="20"/>
              </w:rPr>
            </w:pPr>
            <w:r w:rsidRPr="00EA63C5">
              <w:rPr>
                <w:sz w:val="20"/>
                <w:szCs w:val="20"/>
              </w:rPr>
              <w:t>Motion dismissed for lack of jurisdiction</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November 21, 2014</w:t>
            </w:r>
          </w:p>
          <w:p w:rsidR="00FB57D6" w:rsidRPr="00EA63C5" w:rsidRDefault="00FB57D6" w:rsidP="00FB57D6">
            <w:pPr>
              <w:rPr>
                <w:sz w:val="20"/>
                <w:szCs w:val="20"/>
              </w:rPr>
            </w:pPr>
            <w:r w:rsidRPr="00EA63C5">
              <w:rPr>
                <w:sz w:val="20"/>
                <w:szCs w:val="20"/>
              </w:rPr>
              <w:t>Quebec Superior Court</w:t>
            </w:r>
          </w:p>
          <w:p w:rsidR="00FB57D6" w:rsidRPr="00EA63C5" w:rsidRDefault="00FB57D6" w:rsidP="00FB57D6">
            <w:pPr>
              <w:rPr>
                <w:sz w:val="20"/>
                <w:szCs w:val="20"/>
              </w:rPr>
            </w:pPr>
            <w:r w:rsidRPr="00EA63C5">
              <w:rPr>
                <w:sz w:val="20"/>
                <w:szCs w:val="20"/>
              </w:rPr>
              <w:t>(</w:t>
            </w:r>
            <w:proofErr w:type="spellStart"/>
            <w:r w:rsidRPr="00EA63C5">
              <w:rPr>
                <w:sz w:val="20"/>
                <w:szCs w:val="20"/>
              </w:rPr>
              <w:t>Grenier</w:t>
            </w:r>
            <w:proofErr w:type="spellEnd"/>
            <w:r w:rsidRPr="00EA63C5">
              <w:rPr>
                <w:sz w:val="20"/>
                <w:szCs w:val="20"/>
              </w:rPr>
              <w:t xml:space="preserve"> J.)</w:t>
            </w:r>
          </w:p>
          <w:p w:rsidR="00FB57D6" w:rsidRPr="00EA63C5" w:rsidRDefault="007F6DC5" w:rsidP="00FB57D6">
            <w:pPr>
              <w:rPr>
                <w:sz w:val="20"/>
                <w:szCs w:val="20"/>
              </w:rPr>
            </w:pPr>
            <w:hyperlink r:id="rId26" w:history="1">
              <w:r w:rsidR="00FB57D6" w:rsidRPr="00EA63C5">
                <w:rPr>
                  <w:rStyle w:val="Hyperlink"/>
                  <w:sz w:val="20"/>
                  <w:szCs w:val="20"/>
                </w:rPr>
                <w:t>2014 QCCS 5580</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22687" w:rsidRPr="00EA63C5" w:rsidRDefault="00FB57D6" w:rsidP="00B22687">
            <w:pPr>
              <w:jc w:val="both"/>
              <w:rPr>
                <w:rFonts w:cs="Times New Roman"/>
                <w:sz w:val="20"/>
                <w:szCs w:val="20"/>
              </w:rPr>
            </w:pPr>
            <w:r w:rsidRPr="00EA63C5">
              <w:rPr>
                <w:sz w:val="20"/>
                <w:szCs w:val="20"/>
              </w:rPr>
              <w:t>Motion for judicial review allowed; matter remitted to Commission des relations du travail</w:t>
            </w: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February 18, 2016</w:t>
            </w:r>
          </w:p>
          <w:p w:rsidR="00FB57D6" w:rsidRPr="00EA63C5" w:rsidRDefault="00FB57D6" w:rsidP="00FB57D6">
            <w:pPr>
              <w:rPr>
                <w:sz w:val="20"/>
                <w:szCs w:val="20"/>
              </w:rPr>
            </w:pPr>
            <w:r w:rsidRPr="00EA63C5">
              <w:rPr>
                <w:sz w:val="20"/>
                <w:szCs w:val="20"/>
              </w:rPr>
              <w:t>Quebec Court of Appeal (Montréal)</w:t>
            </w:r>
          </w:p>
          <w:p w:rsidR="00FB57D6" w:rsidRPr="00EA63C5" w:rsidRDefault="00FB57D6" w:rsidP="00FB57D6">
            <w:pPr>
              <w:rPr>
                <w:sz w:val="20"/>
                <w:szCs w:val="20"/>
              </w:rPr>
            </w:pPr>
            <w:r w:rsidRPr="00EA63C5">
              <w:rPr>
                <w:sz w:val="20"/>
                <w:szCs w:val="20"/>
              </w:rPr>
              <w:t>(</w:t>
            </w:r>
            <w:proofErr w:type="spellStart"/>
            <w:r w:rsidRPr="00EA63C5">
              <w:rPr>
                <w:sz w:val="20"/>
                <w:szCs w:val="20"/>
              </w:rPr>
              <w:t>Dutil</w:t>
            </w:r>
            <w:proofErr w:type="spellEnd"/>
            <w:r w:rsidRPr="00EA63C5">
              <w:rPr>
                <w:sz w:val="20"/>
                <w:szCs w:val="20"/>
              </w:rPr>
              <w:t xml:space="preserve">, Lévesque and </w:t>
            </w:r>
            <w:proofErr w:type="spellStart"/>
            <w:r w:rsidRPr="00EA63C5">
              <w:rPr>
                <w:sz w:val="20"/>
                <w:szCs w:val="20"/>
              </w:rPr>
              <w:t>Emond</w:t>
            </w:r>
            <w:proofErr w:type="spellEnd"/>
            <w:r w:rsidRPr="00EA63C5">
              <w:rPr>
                <w:sz w:val="20"/>
                <w:szCs w:val="20"/>
              </w:rPr>
              <w:t xml:space="preserve"> JJ.A.)</w:t>
            </w:r>
          </w:p>
          <w:p w:rsidR="00FB57D6" w:rsidRPr="00EA63C5" w:rsidRDefault="007F6DC5" w:rsidP="00FB57D6">
            <w:pPr>
              <w:rPr>
                <w:sz w:val="20"/>
                <w:szCs w:val="20"/>
              </w:rPr>
            </w:pPr>
            <w:hyperlink r:id="rId27" w:history="1">
              <w:r w:rsidR="00FB57D6" w:rsidRPr="00EA63C5">
                <w:rPr>
                  <w:rStyle w:val="Hyperlink"/>
                  <w:sz w:val="20"/>
                  <w:szCs w:val="20"/>
                </w:rPr>
                <w:t>2016 QCCA 308</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rPr>
                <w:sz w:val="20"/>
                <w:szCs w:val="20"/>
              </w:rPr>
            </w:pPr>
            <w:r w:rsidRPr="00EA63C5">
              <w:rPr>
                <w:sz w:val="20"/>
                <w:szCs w:val="20"/>
              </w:rPr>
              <w:t>Appeal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April 18, 2016</w:t>
            </w:r>
          </w:p>
          <w:p w:rsidR="00FB57D6" w:rsidRPr="00EA63C5" w:rsidRDefault="00FB57D6" w:rsidP="00FB57D6">
            <w:pPr>
              <w:rPr>
                <w:sz w:val="20"/>
                <w:szCs w:val="20"/>
              </w:rPr>
            </w:pPr>
            <w:r w:rsidRPr="00EA63C5">
              <w:rPr>
                <w:sz w:val="20"/>
                <w:szCs w:val="20"/>
              </w:rPr>
              <w:t>Supreme Court of Canada</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jc w:val="both"/>
              <w:rPr>
                <w:rFonts w:cs="Times New Roman"/>
                <w:sz w:val="20"/>
                <w:szCs w:val="20"/>
              </w:rPr>
            </w:pPr>
          </w:p>
        </w:tc>
        <w:tc>
          <w:tcPr>
            <w:tcW w:w="4536" w:type="dxa"/>
          </w:tcPr>
          <w:p w:rsidR="00FB57D6" w:rsidRPr="00EA63C5" w:rsidRDefault="00FB57D6" w:rsidP="00FB57D6">
            <w:pPr>
              <w:rPr>
                <w:sz w:val="20"/>
                <w:szCs w:val="20"/>
              </w:rPr>
            </w:pPr>
            <w:r w:rsidRPr="00EA63C5">
              <w:rPr>
                <w:sz w:val="20"/>
                <w:szCs w:val="20"/>
              </w:rPr>
              <w:t>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lastRenderedPageBreak/>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B22687" w:rsidRPr="00EA63C5" w:rsidRDefault="00FB57D6" w:rsidP="00B22687">
            <w:pPr>
              <w:pStyle w:val="SCCShortJudgment"/>
              <w:ind w:firstLine="0"/>
              <w:rPr>
                <w:szCs w:val="20"/>
                <w:lang w:val="fr-CA"/>
              </w:rPr>
            </w:pPr>
            <w:r w:rsidRPr="00EA63C5">
              <w:rPr>
                <w:szCs w:val="20"/>
                <w:lang w:val="fr-CA"/>
              </w:rPr>
              <w:t xml:space="preserve">Droit administratif – </w:t>
            </w:r>
            <w:r w:rsidRPr="00EA63C5">
              <w:rPr>
                <w:color w:val="000000"/>
                <w:szCs w:val="20"/>
                <w:lang w:val="fr-CA"/>
              </w:rPr>
              <w:t xml:space="preserve">Organismes et tribunaux administratifs </w:t>
            </w:r>
            <w:r w:rsidRPr="00EA63C5">
              <w:rPr>
                <w:szCs w:val="20"/>
                <w:lang w:val="fr-CA"/>
              </w:rPr>
              <w:t xml:space="preserve">– Compétence – Commission des relations du travail – Plainte pour congédiement sans cause juste et suffisante accueillie par la Commission et suivie d’une cession d’entreprise – Requête en continuité d’entreprise fondée sur les articles 96 et 97 de la </w:t>
            </w:r>
            <w:r w:rsidRPr="00EA63C5">
              <w:rPr>
                <w:i/>
                <w:szCs w:val="20"/>
                <w:lang w:val="fr-CA"/>
              </w:rPr>
              <w:t>Loi sur les normes du travail</w:t>
            </w:r>
            <w:r w:rsidRPr="00EA63C5">
              <w:rPr>
                <w:szCs w:val="20"/>
                <w:lang w:val="fr-CA"/>
              </w:rPr>
              <w:t xml:space="preserve"> – La Commission a-t-elle compétence pour entendre une demande connexe ou accessoire à la plainte une fois sa décision sur le fond rendue? </w:t>
            </w:r>
            <w:r w:rsidRPr="00EA63C5">
              <w:rPr>
                <w:i/>
                <w:szCs w:val="20"/>
                <w:lang w:val="fr-CA"/>
              </w:rPr>
              <w:t>Loi sur les normes du travail</w:t>
            </w:r>
            <w:r w:rsidRPr="00EA63C5">
              <w:rPr>
                <w:szCs w:val="20"/>
                <w:lang w:val="fr-CA"/>
              </w:rPr>
              <w:t xml:space="preserve">, RLRQ, c. N-1.1., art. 96, 97 – </w:t>
            </w:r>
            <w:r w:rsidRPr="00EA63C5">
              <w:rPr>
                <w:i/>
                <w:szCs w:val="20"/>
                <w:lang w:val="fr-CA"/>
              </w:rPr>
              <w:t>Code du travail</w:t>
            </w:r>
            <w:r w:rsidRPr="00EA63C5">
              <w:rPr>
                <w:szCs w:val="20"/>
                <w:lang w:val="fr-CA"/>
              </w:rPr>
              <w:t>,  RLRQ, c. C-27, art. 114</w:t>
            </w:r>
          </w:p>
          <w:p w:rsidR="00FB57D6" w:rsidRPr="00EA63C5" w:rsidRDefault="00FB57D6"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FB57D6" w:rsidRPr="00EA63C5" w:rsidRDefault="00FB57D6" w:rsidP="00FB57D6">
            <w:pPr>
              <w:jc w:val="both"/>
              <w:rPr>
                <w:sz w:val="20"/>
                <w:szCs w:val="20"/>
                <w:lang w:val="fr-CA"/>
              </w:rPr>
            </w:pPr>
            <w:r w:rsidRPr="00EA63C5">
              <w:rPr>
                <w:sz w:val="20"/>
                <w:szCs w:val="20"/>
                <w:lang w:val="fr-CA"/>
              </w:rPr>
              <w:t xml:space="preserve">Les intimés bénéficient d’une décision de la Commission des relations du travail en leur faveur pour congédiement sans cause juste et suffisante qui ordonne le paiement, par leur employeur, d’une indemnité. Or, les biens de l’employeur sont mis sous séquestre aux suites de difficultés financières et seront éventuellement vendus à la demanderesse. Les intimés déposent une requête en continuité d’entreprise devant la Commission des relations du travail, afin que la demanderesse soit tenue de débourser les indemnités qui leur sont dues. </w:t>
            </w:r>
          </w:p>
          <w:p w:rsidR="00B22687" w:rsidRPr="00EA63C5" w:rsidRDefault="00B22687" w:rsidP="00FB57D6">
            <w:pPr>
              <w:tabs>
                <w:tab w:val="left" w:pos="1644"/>
              </w:tabs>
              <w:jc w:val="both"/>
              <w:rPr>
                <w:rFonts w:cs="Times New Roman"/>
                <w:sz w:val="20"/>
                <w:szCs w:val="20"/>
                <w:u w:val="single"/>
                <w:lang w:val="fr-CA"/>
              </w:rPr>
            </w:pPr>
          </w:p>
        </w:tc>
      </w:tr>
      <w:tr w:rsidR="00B22687" w:rsidRPr="00EA63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Le 25 novembre 2013</w:t>
            </w:r>
          </w:p>
          <w:p w:rsidR="00FB57D6" w:rsidRPr="00EA63C5" w:rsidRDefault="00FB57D6" w:rsidP="00FB57D6">
            <w:pPr>
              <w:rPr>
                <w:sz w:val="20"/>
                <w:szCs w:val="20"/>
                <w:lang w:val="fr-CA"/>
              </w:rPr>
            </w:pPr>
            <w:r w:rsidRPr="00EA63C5">
              <w:rPr>
                <w:sz w:val="20"/>
                <w:szCs w:val="20"/>
                <w:lang w:val="fr-CA"/>
              </w:rPr>
              <w:t>Commission des relations du travail</w:t>
            </w:r>
          </w:p>
          <w:p w:rsidR="00FB57D6" w:rsidRPr="00EA63C5" w:rsidRDefault="00FB57D6" w:rsidP="00FB57D6">
            <w:pPr>
              <w:rPr>
                <w:sz w:val="20"/>
                <w:szCs w:val="20"/>
                <w:lang w:val="fr-CA"/>
              </w:rPr>
            </w:pPr>
            <w:r w:rsidRPr="00EA63C5">
              <w:rPr>
                <w:sz w:val="20"/>
                <w:szCs w:val="20"/>
                <w:lang w:val="fr-CA"/>
              </w:rPr>
              <w:t>(M. Gaëtan Breton, juge administratif)</w:t>
            </w:r>
          </w:p>
          <w:p w:rsidR="00FB57D6" w:rsidRPr="00EA63C5" w:rsidRDefault="00FB57D6" w:rsidP="00FB57D6">
            <w:pPr>
              <w:rPr>
                <w:sz w:val="20"/>
                <w:szCs w:val="20"/>
              </w:rPr>
            </w:pPr>
            <w:r w:rsidRPr="00EA63C5">
              <w:rPr>
                <w:sz w:val="20"/>
                <w:szCs w:val="20"/>
              </w:rPr>
              <w:t>2013 QCCRT 0554</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rPr>
            </w:pPr>
            <w:proofErr w:type="spellStart"/>
            <w:r w:rsidRPr="00EA63C5">
              <w:rPr>
                <w:sz w:val="20"/>
                <w:szCs w:val="20"/>
              </w:rPr>
              <w:t>Requête</w:t>
            </w:r>
            <w:proofErr w:type="spellEnd"/>
            <w:r w:rsidRPr="00EA63C5">
              <w:rPr>
                <w:sz w:val="20"/>
                <w:szCs w:val="20"/>
              </w:rPr>
              <w:t xml:space="preserve"> </w:t>
            </w:r>
            <w:proofErr w:type="spellStart"/>
            <w:r w:rsidRPr="00EA63C5">
              <w:rPr>
                <w:sz w:val="20"/>
                <w:szCs w:val="20"/>
              </w:rPr>
              <w:t>rejetée</w:t>
            </w:r>
            <w:proofErr w:type="spellEnd"/>
            <w:r w:rsidRPr="00EA63C5">
              <w:rPr>
                <w:sz w:val="20"/>
                <w:szCs w:val="20"/>
              </w:rPr>
              <w:t xml:space="preserve">, </w:t>
            </w:r>
            <w:proofErr w:type="spellStart"/>
            <w:r w:rsidRPr="00EA63C5">
              <w:rPr>
                <w:sz w:val="20"/>
                <w:szCs w:val="20"/>
              </w:rPr>
              <w:t>faute</w:t>
            </w:r>
            <w:proofErr w:type="spellEnd"/>
            <w:r w:rsidRPr="00EA63C5">
              <w:rPr>
                <w:sz w:val="20"/>
                <w:szCs w:val="20"/>
              </w:rPr>
              <w:t xml:space="preserve"> de </w:t>
            </w:r>
            <w:proofErr w:type="spellStart"/>
            <w:r w:rsidRPr="00EA63C5">
              <w:rPr>
                <w:sz w:val="20"/>
                <w:szCs w:val="20"/>
              </w:rPr>
              <w:t>compétence</w:t>
            </w:r>
            <w:proofErr w:type="spellEnd"/>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Le 21 novembre 2014</w:t>
            </w:r>
          </w:p>
          <w:p w:rsidR="00FB57D6" w:rsidRPr="00EA63C5" w:rsidRDefault="00FB57D6" w:rsidP="00FB57D6">
            <w:pPr>
              <w:rPr>
                <w:sz w:val="20"/>
                <w:szCs w:val="20"/>
                <w:lang w:val="fr-CA"/>
              </w:rPr>
            </w:pPr>
            <w:r w:rsidRPr="00EA63C5">
              <w:rPr>
                <w:sz w:val="20"/>
                <w:szCs w:val="20"/>
                <w:lang w:val="fr-CA"/>
              </w:rPr>
              <w:t>Cour supérieure du Québec</w:t>
            </w:r>
          </w:p>
          <w:p w:rsidR="00FB57D6" w:rsidRPr="00EA63C5" w:rsidRDefault="00FB57D6" w:rsidP="00FB57D6">
            <w:pPr>
              <w:rPr>
                <w:sz w:val="20"/>
                <w:szCs w:val="20"/>
              </w:rPr>
            </w:pPr>
            <w:r w:rsidRPr="00EA63C5">
              <w:rPr>
                <w:sz w:val="20"/>
                <w:szCs w:val="20"/>
              </w:rPr>
              <w:t xml:space="preserve">(La </w:t>
            </w:r>
            <w:proofErr w:type="spellStart"/>
            <w:r w:rsidRPr="00EA63C5">
              <w:rPr>
                <w:sz w:val="20"/>
                <w:szCs w:val="20"/>
              </w:rPr>
              <w:t>juge</w:t>
            </w:r>
            <w:proofErr w:type="spellEnd"/>
            <w:r w:rsidRPr="00EA63C5">
              <w:rPr>
                <w:sz w:val="20"/>
                <w:szCs w:val="20"/>
              </w:rPr>
              <w:t xml:space="preserve"> </w:t>
            </w:r>
            <w:proofErr w:type="spellStart"/>
            <w:r w:rsidRPr="00EA63C5">
              <w:rPr>
                <w:sz w:val="20"/>
                <w:szCs w:val="20"/>
              </w:rPr>
              <w:t>Grenier</w:t>
            </w:r>
            <w:proofErr w:type="spellEnd"/>
            <w:r w:rsidRPr="00EA63C5">
              <w:rPr>
                <w:sz w:val="20"/>
                <w:szCs w:val="20"/>
              </w:rPr>
              <w:t>)</w:t>
            </w:r>
          </w:p>
          <w:p w:rsidR="00FB57D6" w:rsidRPr="00EA63C5" w:rsidRDefault="007F6DC5" w:rsidP="00FB57D6">
            <w:pPr>
              <w:rPr>
                <w:sz w:val="20"/>
                <w:szCs w:val="20"/>
              </w:rPr>
            </w:pPr>
            <w:hyperlink r:id="rId28" w:history="1">
              <w:r w:rsidR="00FB57D6" w:rsidRPr="00EA63C5">
                <w:rPr>
                  <w:rStyle w:val="Hyperlink"/>
                  <w:sz w:val="20"/>
                  <w:szCs w:val="20"/>
                </w:rPr>
                <w:t>2014 QCCS 5580</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FB57D6" w:rsidP="00B22687">
            <w:pPr>
              <w:pStyle w:val="SCCShortJudgment"/>
              <w:ind w:firstLine="0"/>
              <w:rPr>
                <w:rFonts w:cs="Times New Roman"/>
                <w:szCs w:val="20"/>
                <w:u w:val="single"/>
                <w:lang w:val="fr-CA"/>
              </w:rPr>
            </w:pPr>
            <w:r w:rsidRPr="00EA63C5">
              <w:rPr>
                <w:szCs w:val="20"/>
                <w:lang w:val="fr-CA"/>
              </w:rPr>
              <w:t>Requête en révision judiciaire accueillie; dossier retourné à la Commission des relations du travail</w:t>
            </w:r>
          </w:p>
        </w:tc>
      </w:tr>
      <w:tr w:rsidR="00B22687" w:rsidRPr="00EA63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Le 18 février 2016</w:t>
            </w:r>
          </w:p>
          <w:p w:rsidR="00FB57D6" w:rsidRPr="00EA63C5" w:rsidRDefault="00FB57D6" w:rsidP="00FB57D6">
            <w:pPr>
              <w:rPr>
                <w:sz w:val="20"/>
                <w:szCs w:val="20"/>
                <w:lang w:val="fr-CA"/>
              </w:rPr>
            </w:pPr>
            <w:r w:rsidRPr="00EA63C5">
              <w:rPr>
                <w:sz w:val="20"/>
                <w:szCs w:val="20"/>
                <w:lang w:val="fr-CA"/>
              </w:rPr>
              <w:t>Cour d’appel du Québec (Montréal)</w:t>
            </w:r>
          </w:p>
          <w:p w:rsidR="00FB57D6" w:rsidRPr="00EA63C5" w:rsidRDefault="00FB57D6" w:rsidP="00FB57D6">
            <w:pPr>
              <w:rPr>
                <w:sz w:val="20"/>
                <w:szCs w:val="20"/>
                <w:lang w:val="fr-CA"/>
              </w:rPr>
            </w:pPr>
            <w:r w:rsidRPr="00EA63C5">
              <w:rPr>
                <w:sz w:val="20"/>
                <w:szCs w:val="20"/>
                <w:lang w:val="fr-CA"/>
              </w:rPr>
              <w:t xml:space="preserve">(Les juges </w:t>
            </w:r>
            <w:proofErr w:type="spellStart"/>
            <w:r w:rsidRPr="00EA63C5">
              <w:rPr>
                <w:sz w:val="20"/>
                <w:szCs w:val="20"/>
                <w:lang w:val="fr-CA"/>
              </w:rPr>
              <w:t>Dutil</w:t>
            </w:r>
            <w:proofErr w:type="spellEnd"/>
            <w:r w:rsidRPr="00EA63C5">
              <w:rPr>
                <w:sz w:val="20"/>
                <w:szCs w:val="20"/>
                <w:lang w:val="fr-CA"/>
              </w:rPr>
              <w:t xml:space="preserve">, Lévesque et </w:t>
            </w:r>
            <w:proofErr w:type="spellStart"/>
            <w:r w:rsidRPr="00EA63C5">
              <w:rPr>
                <w:sz w:val="20"/>
                <w:szCs w:val="20"/>
                <w:lang w:val="fr-CA"/>
              </w:rPr>
              <w:t>Emond</w:t>
            </w:r>
            <w:proofErr w:type="spellEnd"/>
            <w:r w:rsidRPr="00EA63C5">
              <w:rPr>
                <w:sz w:val="20"/>
                <w:szCs w:val="20"/>
                <w:lang w:val="fr-CA"/>
              </w:rPr>
              <w:t>)</w:t>
            </w:r>
          </w:p>
          <w:p w:rsidR="00FB57D6" w:rsidRPr="00EA63C5" w:rsidRDefault="007F6DC5" w:rsidP="00FB57D6">
            <w:pPr>
              <w:rPr>
                <w:sz w:val="20"/>
                <w:szCs w:val="20"/>
              </w:rPr>
            </w:pPr>
            <w:hyperlink r:id="rId29" w:history="1">
              <w:r w:rsidR="00FB57D6" w:rsidRPr="00EA63C5">
                <w:rPr>
                  <w:rStyle w:val="Hyperlink"/>
                  <w:sz w:val="20"/>
                  <w:szCs w:val="20"/>
                </w:rPr>
                <w:t>2016 QCCA 308</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rPr>
            </w:pPr>
            <w:r w:rsidRPr="00EA63C5">
              <w:rPr>
                <w:sz w:val="20"/>
                <w:szCs w:val="20"/>
              </w:rPr>
              <w:t xml:space="preserve">Appel </w:t>
            </w:r>
            <w:proofErr w:type="spellStart"/>
            <w:r w:rsidRPr="00EA63C5">
              <w:rPr>
                <w:sz w:val="20"/>
                <w:szCs w:val="20"/>
              </w:rPr>
              <w:t>rejeté</w:t>
            </w:r>
            <w:proofErr w:type="spellEnd"/>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Le 18 avril 2016</w:t>
            </w:r>
          </w:p>
          <w:p w:rsidR="00FB57D6" w:rsidRPr="00EA63C5" w:rsidRDefault="00FB57D6" w:rsidP="00FB57D6">
            <w:pPr>
              <w:rPr>
                <w:sz w:val="20"/>
                <w:szCs w:val="20"/>
                <w:lang w:val="fr-CA"/>
              </w:rPr>
            </w:pPr>
            <w:r w:rsidRPr="00EA63C5">
              <w:rPr>
                <w:sz w:val="20"/>
                <w:szCs w:val="20"/>
                <w:lang w:val="fr-CA"/>
              </w:rPr>
              <w:t>Cour suprême du Canada</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rPr>
            </w:pPr>
            <w:proofErr w:type="spellStart"/>
            <w:r w:rsidRPr="00EA63C5">
              <w:rPr>
                <w:sz w:val="20"/>
                <w:szCs w:val="20"/>
              </w:rPr>
              <w:t>Demande</w:t>
            </w:r>
            <w:proofErr w:type="spellEnd"/>
            <w:r w:rsidRPr="00EA63C5">
              <w:rPr>
                <w:sz w:val="20"/>
                <w:szCs w:val="20"/>
              </w:rPr>
              <w:t xml:space="preserve"> </w:t>
            </w:r>
            <w:proofErr w:type="spellStart"/>
            <w:r w:rsidRPr="00EA63C5">
              <w:rPr>
                <w:sz w:val="20"/>
                <w:szCs w:val="20"/>
              </w:rPr>
              <w:t>d’autorisation</w:t>
            </w:r>
            <w:proofErr w:type="spellEnd"/>
            <w:r w:rsidRPr="00EA63C5">
              <w:rPr>
                <w:sz w:val="20"/>
                <w:szCs w:val="20"/>
              </w:rPr>
              <w:t xml:space="preserve"> </w:t>
            </w:r>
            <w:proofErr w:type="spellStart"/>
            <w:r w:rsidRPr="00EA63C5">
              <w:rPr>
                <w:sz w:val="20"/>
                <w:szCs w:val="20"/>
              </w:rPr>
              <w:t>d’appel</w:t>
            </w:r>
            <w:proofErr w:type="spellEnd"/>
            <w:r w:rsidRPr="00EA63C5">
              <w:rPr>
                <w:sz w:val="20"/>
                <w:szCs w:val="20"/>
              </w:rPr>
              <w:t xml:space="preserve"> </w:t>
            </w:r>
            <w:proofErr w:type="spellStart"/>
            <w:r w:rsidRPr="00EA63C5">
              <w:rPr>
                <w:sz w:val="20"/>
                <w:szCs w:val="20"/>
              </w:rPr>
              <w:t>déposée</w:t>
            </w:r>
            <w:proofErr w:type="spellEnd"/>
          </w:p>
          <w:p w:rsidR="00B22687" w:rsidRPr="00EA63C5" w:rsidRDefault="00B22687" w:rsidP="00B22687">
            <w:pPr>
              <w:pStyle w:val="SCCShortJudgment"/>
              <w:ind w:firstLine="0"/>
              <w:rPr>
                <w:rFonts w:cs="Times New Roman"/>
                <w:szCs w:val="20"/>
                <w:u w:val="single"/>
                <w:lang w:val="fr-CA"/>
              </w:rPr>
            </w:pPr>
          </w:p>
        </w:tc>
      </w:tr>
    </w:tbl>
    <w:p w:rsidR="00B22687" w:rsidRPr="00EA63C5" w:rsidRDefault="007F6DC5" w:rsidP="000E2959">
      <w:pPr>
        <w:rPr>
          <w:sz w:val="20"/>
          <w:szCs w:val="20"/>
        </w:rPr>
      </w:pPr>
      <w:r>
        <w:rPr>
          <w:sz w:val="20"/>
          <w:szCs w:val="20"/>
          <w:lang w:val="fr-CA"/>
        </w:rPr>
        <w:pict>
          <v:rect id="_x0000_i1059" style="width:2in;height:1pt" o:hrpct="0" o:hralign="center" o:hrstd="t" o:hrnoshade="t" o:hr="t" fillcolor="black [3213]" stroked="f"/>
        </w:pict>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370</w:t>
            </w:r>
            <w:r w:rsidR="00BF2CCE" w:rsidRPr="00EA63C5">
              <w:rPr>
                <w:rStyle w:val="SCCFileNumberChar"/>
                <w:sz w:val="20"/>
                <w:szCs w:val="20"/>
              </w:rPr>
              <w:t>19</w:t>
            </w:r>
          </w:p>
          <w:p w:rsidR="00B22687" w:rsidRPr="00EA63C5" w:rsidRDefault="00B22687" w:rsidP="00B22687">
            <w:pPr>
              <w:jc w:val="both"/>
              <w:rPr>
                <w:rFonts w:cs="Times New Roman"/>
                <w:b/>
                <w:sz w:val="20"/>
                <w:szCs w:val="20"/>
              </w:rPr>
            </w:pPr>
          </w:p>
        </w:tc>
        <w:tc>
          <w:tcPr>
            <w:tcW w:w="8118" w:type="dxa"/>
            <w:gridSpan w:val="3"/>
          </w:tcPr>
          <w:p w:rsidR="00B22687" w:rsidRPr="00EA63C5" w:rsidRDefault="002B089C" w:rsidP="00B22687">
            <w:pPr>
              <w:jc w:val="both"/>
              <w:rPr>
                <w:rFonts w:cs="Times New Roman"/>
                <w:sz w:val="20"/>
                <w:szCs w:val="20"/>
              </w:rPr>
            </w:pPr>
            <w:r w:rsidRPr="00EA63C5">
              <w:rPr>
                <w:rStyle w:val="SCCLsocChar"/>
                <w:rFonts w:cs="Times New Roman"/>
                <w:sz w:val="20"/>
                <w:szCs w:val="20"/>
                <w:lang w:val="en-US"/>
              </w:rPr>
              <w:t xml:space="preserve">National Hockey League v. Dean Warren and Ontario </w:t>
            </w:r>
            <w:proofErr w:type="spellStart"/>
            <w:r w:rsidRPr="00EA63C5">
              <w:rPr>
                <w:rStyle w:val="SCCLsocChar"/>
                <w:rFonts w:cs="Times New Roman"/>
                <w:sz w:val="20"/>
                <w:szCs w:val="20"/>
                <w:lang w:val="en-US"/>
              </w:rPr>
              <w:t>Labour</w:t>
            </w:r>
            <w:proofErr w:type="spellEnd"/>
            <w:r w:rsidRPr="00EA63C5">
              <w:rPr>
                <w:rStyle w:val="SCCLsocChar"/>
                <w:rFonts w:cs="Times New Roman"/>
                <w:sz w:val="20"/>
                <w:szCs w:val="20"/>
                <w:lang w:val="en-US"/>
              </w:rPr>
              <w:t xml:space="preserve"> Relations Board</w:t>
            </w:r>
            <w:r w:rsidRPr="00EA63C5">
              <w:rPr>
                <w:rStyle w:val="SCCLsocChar"/>
                <w:rFonts w:cs="Times New Roman"/>
                <w:sz w:val="20"/>
                <w:szCs w:val="20"/>
                <w:u w:val="none"/>
                <w:lang w:val="en-US"/>
              </w:rPr>
              <w:t xml:space="preserve"> </w:t>
            </w:r>
            <w:r w:rsidR="00B22687" w:rsidRPr="00EA63C5">
              <w:rPr>
                <w:rFonts w:cs="Times New Roman"/>
                <w:sz w:val="20"/>
                <w:szCs w:val="20"/>
              </w:rPr>
              <w:t>(Ont.)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2B089C" w:rsidP="00B22687">
            <w:pPr>
              <w:jc w:val="both"/>
              <w:rPr>
                <w:rStyle w:val="SCCCoramChar"/>
                <w:rFonts w:cs="Times New Roman"/>
                <w:sz w:val="20"/>
                <w:szCs w:val="20"/>
                <w:lang w:val="en-US"/>
              </w:rPr>
            </w:pPr>
            <w:r w:rsidRPr="00EA63C5">
              <w:rPr>
                <w:rStyle w:val="SCCCoramChar"/>
                <w:rFonts w:cs="Times New Roman"/>
                <w:sz w:val="20"/>
                <w:szCs w:val="20"/>
                <w:lang w:val="en-US"/>
              </w:rPr>
              <w:t>Abella, Karakatsanis and Brown JJ.</w:t>
            </w:r>
          </w:p>
          <w:p w:rsidR="002B089C" w:rsidRPr="00EA63C5" w:rsidRDefault="002B089C" w:rsidP="00B22687">
            <w:pPr>
              <w:jc w:val="both"/>
              <w:rPr>
                <w:rFonts w:cs="Times New Roman"/>
                <w:sz w:val="20"/>
                <w:szCs w:val="20"/>
                <w:u w:val="single"/>
              </w:rPr>
            </w:pPr>
          </w:p>
        </w:tc>
      </w:tr>
      <w:tr w:rsidR="00B22687" w:rsidRPr="007F6DC5" w:rsidTr="002B089C">
        <w:tc>
          <w:tcPr>
            <w:tcW w:w="9576" w:type="dxa"/>
            <w:gridSpan w:val="4"/>
          </w:tcPr>
          <w:p w:rsidR="00B22687" w:rsidRPr="00EA63C5" w:rsidRDefault="00B22687" w:rsidP="00B22687">
            <w:pPr>
              <w:pStyle w:val="SCCShortJudgment"/>
              <w:ind w:firstLine="0"/>
              <w:rPr>
                <w:rFonts w:cs="Times New Roman"/>
                <w:szCs w:val="20"/>
              </w:rPr>
            </w:pPr>
            <w:r w:rsidRPr="00EA63C5">
              <w:rPr>
                <w:rFonts w:cs="Times New Roman"/>
                <w:szCs w:val="20"/>
              </w:rPr>
              <w:tab/>
            </w:r>
            <w:r w:rsidR="002B089C" w:rsidRPr="00EA63C5">
              <w:rPr>
                <w:szCs w:val="20"/>
              </w:rPr>
              <w:t>The application for leave to appeal from the judgment of the Court of Appeal for Ontario, Number M45870, dated March 30, 2016, is dismissed with costs to the respondent, Dean Warren.</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szCs w:val="20"/>
                <w:lang w:val="fr-CA"/>
              </w:rPr>
            </w:pPr>
            <w:r w:rsidRPr="00EA63C5">
              <w:rPr>
                <w:rFonts w:cs="Times New Roman"/>
                <w:szCs w:val="20"/>
              </w:rPr>
              <w:tab/>
            </w:r>
            <w:r w:rsidR="002B089C" w:rsidRPr="00EA63C5">
              <w:rPr>
                <w:szCs w:val="20"/>
                <w:lang w:val="fr-CA"/>
              </w:rPr>
              <w:t xml:space="preserve">La demande d’autorisation d’appel de l’arrêt de la </w:t>
            </w:r>
            <w:r w:rsidR="002B089C" w:rsidRPr="00EA63C5">
              <w:rPr>
                <w:szCs w:val="20"/>
                <w:lang w:val="fr-FR"/>
              </w:rPr>
              <w:t>Cour d’appel de l’Ontario</w:t>
            </w:r>
            <w:r w:rsidR="002B089C" w:rsidRPr="00EA63C5">
              <w:rPr>
                <w:szCs w:val="20"/>
                <w:lang w:val="fr-CA"/>
              </w:rPr>
              <w:t xml:space="preserve">, numéro </w:t>
            </w:r>
            <w:r w:rsidR="002B089C" w:rsidRPr="00EA63C5">
              <w:rPr>
                <w:szCs w:val="20"/>
                <w:lang w:val="fr-FR"/>
              </w:rPr>
              <w:t>M45870</w:t>
            </w:r>
            <w:r w:rsidR="002B089C" w:rsidRPr="00EA63C5">
              <w:rPr>
                <w:szCs w:val="20"/>
                <w:lang w:val="fr-CA"/>
              </w:rPr>
              <w:t xml:space="preserve">, daté du </w:t>
            </w:r>
            <w:r w:rsidR="002B089C" w:rsidRPr="00EA63C5">
              <w:rPr>
                <w:szCs w:val="20"/>
                <w:lang w:val="fr-FR"/>
              </w:rPr>
              <w:t>30 mars 2016</w:t>
            </w:r>
            <w:r w:rsidR="002B089C" w:rsidRPr="00EA63C5">
              <w:rPr>
                <w:szCs w:val="20"/>
                <w:lang w:val="fr-CA"/>
              </w:rPr>
              <w:t xml:space="preserve">, est rejetée avec dépens en faveur de l’intimé, Dean Warren. </w:t>
            </w:r>
          </w:p>
          <w:p w:rsidR="002B089C" w:rsidRPr="00EA63C5" w:rsidRDefault="002B089C"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1D68AE">
        <w:tc>
          <w:tcPr>
            <w:tcW w:w="9576" w:type="dxa"/>
            <w:gridSpan w:val="4"/>
          </w:tcPr>
          <w:p w:rsidR="00FB57D6" w:rsidRPr="00EA63C5" w:rsidRDefault="00FB57D6" w:rsidP="00FB57D6">
            <w:pPr>
              <w:jc w:val="both"/>
              <w:rPr>
                <w:sz w:val="20"/>
                <w:szCs w:val="20"/>
              </w:rPr>
            </w:pPr>
            <w:r w:rsidRPr="00EA63C5">
              <w:rPr>
                <w:sz w:val="20"/>
                <w:szCs w:val="20"/>
              </w:rPr>
              <w:t xml:space="preserve">Administrative law – Appeals – Standard of review – Boards and tribunals – Appellate court denying leave to appeal a lower court decision quashing Board’s decision – How are courts reviewing the decision of an expert administrative tribunal to apply the reasonableness standard of review and exercise deference, and when is it appropriate for a reviewing </w:t>
            </w:r>
            <w:r w:rsidRPr="00EA63C5">
              <w:rPr>
                <w:sz w:val="20"/>
                <w:szCs w:val="20"/>
              </w:rPr>
              <w:lastRenderedPageBreak/>
              <w:t>court to intervene and overturn the decision of the tribunal exercising discretion under its home statute not to hear a complaint.</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9576" w:type="dxa"/>
            <w:gridSpan w:val="4"/>
          </w:tcPr>
          <w:p w:rsidR="00FB57D6" w:rsidRPr="00EA63C5" w:rsidRDefault="00FB57D6" w:rsidP="00FB57D6">
            <w:pPr>
              <w:jc w:val="both"/>
              <w:rPr>
                <w:sz w:val="20"/>
                <w:szCs w:val="20"/>
              </w:rPr>
            </w:pPr>
            <w:r w:rsidRPr="00EA63C5">
              <w:rPr>
                <w:sz w:val="20"/>
                <w:szCs w:val="20"/>
              </w:rPr>
              <w:lastRenderedPageBreak/>
              <w:t xml:space="preserve">The respondent Warren was a referee employed by the National Hockey League (the “League”) from 1998 to 2008. He was terminated in April 2008 for “substandard performance”, and the League offered to pay him severance if he signed a release waiving all claims. The respondent did not sign the release and unsuccessfully brought an application before the Ontario Labour Relations Board (the “Board”) alleging an unfair labour practice and seeking reinstatement. After exhausting his avenues of appeal, the respondent signed the release but the League refused to pay severance on the basis that he had waived his right to it pursuant to the collective agreement. </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9576" w:type="dxa"/>
            <w:gridSpan w:val="4"/>
          </w:tcPr>
          <w:p w:rsidR="00B22687" w:rsidRPr="00EA63C5" w:rsidRDefault="00FB57D6" w:rsidP="00B22687">
            <w:pPr>
              <w:pStyle w:val="SCCShortJudgment"/>
              <w:ind w:firstLine="0"/>
              <w:rPr>
                <w:szCs w:val="20"/>
              </w:rPr>
            </w:pPr>
            <w:r w:rsidRPr="00EA63C5">
              <w:rPr>
                <w:szCs w:val="20"/>
              </w:rPr>
              <w:t xml:space="preserve">The respondent brought an application before the Board under s. 96 of the </w:t>
            </w:r>
            <w:r w:rsidRPr="00EA63C5">
              <w:rPr>
                <w:i/>
                <w:szCs w:val="20"/>
              </w:rPr>
              <w:t>Labour Relations Act</w:t>
            </w:r>
            <w:r w:rsidRPr="00EA63C5">
              <w:rPr>
                <w:szCs w:val="20"/>
              </w:rPr>
              <w:t>, 1995, S.O. 1995, c. 1 Sch. A (the “</w:t>
            </w:r>
            <w:r w:rsidRPr="00EA63C5">
              <w:rPr>
                <w:i/>
                <w:szCs w:val="20"/>
              </w:rPr>
              <w:t>Act</w:t>
            </w:r>
            <w:r w:rsidRPr="00EA63C5">
              <w:rPr>
                <w:szCs w:val="20"/>
              </w:rPr>
              <w:t xml:space="preserve">”) challenging the League’s decision and alleging discrimination against him for having brought the previous application. He argued that the refusal to pay severance was in breach of ss. 70, 72 and 76 of the </w:t>
            </w:r>
            <w:r w:rsidRPr="00EA63C5">
              <w:rPr>
                <w:i/>
                <w:szCs w:val="20"/>
              </w:rPr>
              <w:t>Act</w:t>
            </w:r>
            <w:r w:rsidRPr="00EA63C5">
              <w:rPr>
                <w:szCs w:val="20"/>
              </w:rPr>
              <w:t xml:space="preserve"> and that reliance on s. 13(</w:t>
            </w:r>
            <w:proofErr w:type="spellStart"/>
            <w:r w:rsidRPr="00EA63C5">
              <w:rPr>
                <w:szCs w:val="20"/>
              </w:rPr>
              <w:t>i</w:t>
            </w:r>
            <w:proofErr w:type="spellEnd"/>
            <w:r w:rsidRPr="00EA63C5">
              <w:rPr>
                <w:szCs w:val="20"/>
              </w:rPr>
              <w:t xml:space="preserve">) of the collective agreement to deny severance was inconsistent with s. 87(1) of the </w:t>
            </w:r>
            <w:r w:rsidRPr="00EA63C5">
              <w:rPr>
                <w:i/>
                <w:szCs w:val="20"/>
              </w:rPr>
              <w:t>Act</w:t>
            </w:r>
            <w:r w:rsidRPr="00EA63C5">
              <w:rPr>
                <w:szCs w:val="20"/>
              </w:rPr>
              <w:t xml:space="preserve">. The League brought a preliminary motion to dismiss the application as unduly delayed and barred by </w:t>
            </w:r>
            <w:r w:rsidRPr="00EA63C5">
              <w:rPr>
                <w:i/>
                <w:szCs w:val="20"/>
              </w:rPr>
              <w:t>res judicata</w:t>
            </w:r>
            <w:r w:rsidRPr="00EA63C5">
              <w:rPr>
                <w:szCs w:val="20"/>
              </w:rPr>
              <w:t>, issue estoppel and abuse of process. Finding that Mr. Warren’s claim had crystallized in 2008, the Board granted the League’s motion and dismissed the respondent’s application for undue delay. The Ontario Superior Court of Justice, Divisional Court granted Mr. Warren’s application for judicial review, quashed the Board’s decision and remitted the matter to the Board for determination. A motion for leave to appeal that decision to the Court of Appeal for Ontario was denied.</w:t>
            </w:r>
          </w:p>
          <w:p w:rsidR="00FB57D6" w:rsidRPr="00EA63C5" w:rsidRDefault="00FB57D6" w:rsidP="00B22687">
            <w:pPr>
              <w:pStyle w:val="SCCShortJudgment"/>
              <w:ind w:firstLine="0"/>
              <w:rPr>
                <w:rFonts w:cs="Times New Roman"/>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June 16, 2014</w:t>
            </w:r>
          </w:p>
          <w:p w:rsidR="00FB57D6" w:rsidRPr="00EA63C5" w:rsidRDefault="00FB57D6" w:rsidP="00FB57D6">
            <w:pPr>
              <w:rPr>
                <w:sz w:val="20"/>
                <w:szCs w:val="20"/>
              </w:rPr>
            </w:pPr>
            <w:r w:rsidRPr="00EA63C5">
              <w:rPr>
                <w:sz w:val="20"/>
                <w:szCs w:val="20"/>
              </w:rPr>
              <w:t>Ontario Labour Relations Board</w:t>
            </w:r>
          </w:p>
          <w:p w:rsidR="00FB57D6" w:rsidRPr="00EA63C5" w:rsidRDefault="00FB57D6" w:rsidP="00FB57D6">
            <w:pPr>
              <w:rPr>
                <w:sz w:val="20"/>
                <w:szCs w:val="20"/>
              </w:rPr>
            </w:pPr>
            <w:r w:rsidRPr="00EA63C5">
              <w:rPr>
                <w:sz w:val="20"/>
                <w:szCs w:val="20"/>
              </w:rPr>
              <w:t xml:space="preserve">(Vice-Chair </w:t>
            </w:r>
            <w:proofErr w:type="spellStart"/>
            <w:r w:rsidRPr="00EA63C5">
              <w:rPr>
                <w:sz w:val="20"/>
                <w:szCs w:val="20"/>
              </w:rPr>
              <w:t>Gedalof</w:t>
            </w:r>
            <w:proofErr w:type="spellEnd"/>
            <w:r w:rsidRPr="00EA63C5">
              <w:rPr>
                <w:sz w:val="20"/>
                <w:szCs w:val="20"/>
              </w:rPr>
              <w:t>)</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jc w:val="both"/>
              <w:rPr>
                <w:sz w:val="20"/>
                <w:szCs w:val="20"/>
              </w:rPr>
            </w:pPr>
            <w:r w:rsidRPr="00EA63C5">
              <w:rPr>
                <w:sz w:val="20"/>
                <w:szCs w:val="20"/>
              </w:rPr>
              <w:t xml:space="preserve">Applicant’s preliminary motion granted; respondent’s application dismissed </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November 26, 2015</w:t>
            </w:r>
          </w:p>
          <w:p w:rsidR="00FB57D6" w:rsidRPr="00EA63C5" w:rsidRDefault="00FB57D6" w:rsidP="00FB57D6">
            <w:pPr>
              <w:rPr>
                <w:sz w:val="20"/>
                <w:szCs w:val="20"/>
              </w:rPr>
            </w:pPr>
            <w:r w:rsidRPr="00EA63C5">
              <w:rPr>
                <w:sz w:val="20"/>
                <w:szCs w:val="20"/>
              </w:rPr>
              <w:t>Ontario Superior Court of Justice</w:t>
            </w:r>
          </w:p>
          <w:p w:rsidR="00FB57D6" w:rsidRPr="00EA63C5" w:rsidRDefault="00FB57D6" w:rsidP="00FB57D6">
            <w:pPr>
              <w:rPr>
                <w:sz w:val="20"/>
                <w:szCs w:val="20"/>
              </w:rPr>
            </w:pPr>
            <w:r w:rsidRPr="00EA63C5">
              <w:rPr>
                <w:sz w:val="20"/>
                <w:szCs w:val="20"/>
              </w:rPr>
              <w:t>Divisional Court</w:t>
            </w:r>
          </w:p>
          <w:p w:rsidR="00FB57D6" w:rsidRPr="00EA63C5" w:rsidRDefault="00FB57D6" w:rsidP="00FB57D6">
            <w:pPr>
              <w:rPr>
                <w:sz w:val="20"/>
                <w:szCs w:val="20"/>
              </w:rPr>
            </w:pPr>
            <w:r w:rsidRPr="00EA63C5">
              <w:rPr>
                <w:sz w:val="20"/>
                <w:szCs w:val="20"/>
              </w:rPr>
              <w:t>(</w:t>
            </w:r>
            <w:proofErr w:type="spellStart"/>
            <w:r w:rsidRPr="00EA63C5">
              <w:rPr>
                <w:sz w:val="20"/>
                <w:szCs w:val="20"/>
              </w:rPr>
              <w:t>Kruzick</w:t>
            </w:r>
            <w:proofErr w:type="spellEnd"/>
            <w:r w:rsidRPr="00EA63C5">
              <w:rPr>
                <w:sz w:val="20"/>
                <w:szCs w:val="20"/>
              </w:rPr>
              <w:t>, Sachs and Wilton-Siegel J.)</w:t>
            </w:r>
          </w:p>
          <w:p w:rsidR="00FB57D6" w:rsidRPr="00EA63C5" w:rsidRDefault="007F6DC5" w:rsidP="00FB57D6">
            <w:pPr>
              <w:rPr>
                <w:sz w:val="20"/>
                <w:szCs w:val="20"/>
              </w:rPr>
            </w:pPr>
            <w:hyperlink r:id="rId30" w:history="1">
              <w:r w:rsidR="00FB57D6" w:rsidRPr="00EA63C5">
                <w:rPr>
                  <w:rStyle w:val="Hyperlink"/>
                  <w:sz w:val="20"/>
                  <w:szCs w:val="20"/>
                </w:rPr>
                <w:t>2015 ONSC 7273</w:t>
              </w:r>
            </w:hyperlink>
            <w:r w:rsidR="00FB57D6" w:rsidRPr="00EA63C5">
              <w:rPr>
                <w:sz w:val="20"/>
                <w:szCs w:val="20"/>
              </w:rPr>
              <w:t>; 345/14</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jc w:val="both"/>
              <w:rPr>
                <w:sz w:val="20"/>
                <w:szCs w:val="20"/>
              </w:rPr>
            </w:pPr>
            <w:r w:rsidRPr="00EA63C5">
              <w:rPr>
                <w:sz w:val="20"/>
                <w:szCs w:val="20"/>
              </w:rPr>
              <w:t xml:space="preserve">Application for judicial review of the Board decision granted; Decision quashed and respondent’s application remitted to Board for determination </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March 30, 2016</w:t>
            </w:r>
          </w:p>
          <w:p w:rsidR="00FB57D6" w:rsidRPr="00EA63C5" w:rsidRDefault="00FB57D6" w:rsidP="00FB57D6">
            <w:pPr>
              <w:rPr>
                <w:sz w:val="20"/>
                <w:szCs w:val="20"/>
              </w:rPr>
            </w:pPr>
            <w:r w:rsidRPr="00EA63C5">
              <w:rPr>
                <w:sz w:val="20"/>
                <w:szCs w:val="20"/>
              </w:rPr>
              <w:t>Court of Appeal for Ontario</w:t>
            </w:r>
          </w:p>
          <w:p w:rsidR="00FB57D6" w:rsidRPr="00EA63C5" w:rsidRDefault="00FB57D6" w:rsidP="00FB57D6">
            <w:pPr>
              <w:rPr>
                <w:sz w:val="20"/>
                <w:szCs w:val="20"/>
              </w:rPr>
            </w:pPr>
            <w:r w:rsidRPr="00EA63C5">
              <w:rPr>
                <w:sz w:val="20"/>
                <w:szCs w:val="20"/>
              </w:rPr>
              <w:t xml:space="preserve">(Feldman, </w:t>
            </w:r>
            <w:proofErr w:type="spellStart"/>
            <w:r w:rsidRPr="00EA63C5">
              <w:rPr>
                <w:sz w:val="20"/>
                <w:szCs w:val="20"/>
              </w:rPr>
              <w:t>Gillese</w:t>
            </w:r>
            <w:proofErr w:type="spellEnd"/>
            <w:r w:rsidRPr="00EA63C5">
              <w:rPr>
                <w:sz w:val="20"/>
                <w:szCs w:val="20"/>
              </w:rPr>
              <w:t xml:space="preserve"> and Brown JJ.A.)</w:t>
            </w:r>
          </w:p>
          <w:p w:rsidR="00FB57D6" w:rsidRPr="00EA63C5" w:rsidRDefault="00FB57D6" w:rsidP="00FB57D6">
            <w:pPr>
              <w:rPr>
                <w:sz w:val="20"/>
                <w:szCs w:val="20"/>
              </w:rPr>
            </w:pPr>
            <w:r w:rsidRPr="00EA63C5">
              <w:rPr>
                <w:sz w:val="20"/>
                <w:szCs w:val="20"/>
              </w:rPr>
              <w:t>M-45870</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rPr>
                <w:sz w:val="20"/>
                <w:szCs w:val="20"/>
              </w:rPr>
            </w:pPr>
            <w:r w:rsidRPr="00EA63C5">
              <w:rPr>
                <w:sz w:val="20"/>
                <w:szCs w:val="20"/>
              </w:rPr>
              <w:t>Motion for leave to appeal denied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May 25, 2016</w:t>
            </w:r>
          </w:p>
          <w:p w:rsidR="00B22687" w:rsidRPr="00EA63C5" w:rsidRDefault="00FB57D6" w:rsidP="00FB57D6">
            <w:pPr>
              <w:jc w:val="both"/>
              <w:rPr>
                <w:rFonts w:cs="Times New Roman"/>
                <w:sz w:val="20"/>
                <w:szCs w:val="20"/>
              </w:rPr>
            </w:pPr>
            <w:r w:rsidRPr="00EA63C5">
              <w:rPr>
                <w:sz w:val="20"/>
                <w:szCs w:val="20"/>
              </w:rPr>
              <w:t>Supreme Court of Canada</w:t>
            </w:r>
          </w:p>
        </w:tc>
        <w:tc>
          <w:tcPr>
            <w:tcW w:w="630" w:type="dxa"/>
          </w:tcPr>
          <w:p w:rsidR="00B22687" w:rsidRPr="00EA63C5" w:rsidRDefault="00B22687" w:rsidP="00B22687">
            <w:pPr>
              <w:jc w:val="both"/>
              <w:rPr>
                <w:rFonts w:cs="Times New Roman"/>
                <w:sz w:val="20"/>
                <w:szCs w:val="20"/>
              </w:rPr>
            </w:pPr>
          </w:p>
        </w:tc>
        <w:tc>
          <w:tcPr>
            <w:tcW w:w="4536" w:type="dxa"/>
          </w:tcPr>
          <w:p w:rsidR="00B22687" w:rsidRPr="00EA63C5" w:rsidRDefault="00FB57D6" w:rsidP="00B22687">
            <w:pPr>
              <w:jc w:val="both"/>
              <w:rPr>
                <w:rFonts w:cs="Times New Roman"/>
                <w:sz w:val="20"/>
                <w:szCs w:val="20"/>
              </w:rPr>
            </w:pPr>
            <w:r w:rsidRPr="00EA63C5">
              <w:rPr>
                <w:sz w:val="20"/>
                <w:szCs w:val="20"/>
              </w:rPr>
              <w:t>Application for leave to appeal filed</w:t>
            </w: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FB57D6">
        <w:tc>
          <w:tcPr>
            <w:tcW w:w="9576" w:type="dxa"/>
            <w:gridSpan w:val="4"/>
          </w:tcPr>
          <w:p w:rsidR="00FB57D6" w:rsidRPr="00EA63C5" w:rsidRDefault="00FB57D6" w:rsidP="00FB57D6">
            <w:pPr>
              <w:jc w:val="both"/>
              <w:rPr>
                <w:sz w:val="20"/>
                <w:szCs w:val="20"/>
                <w:lang w:val="fr-CA"/>
              </w:rPr>
            </w:pPr>
            <w:r w:rsidRPr="00EA63C5">
              <w:rPr>
                <w:sz w:val="20"/>
                <w:szCs w:val="20"/>
                <w:lang w:val="fr-CA"/>
              </w:rPr>
              <w:t>Droit administratif – Appels – Norme de contrôle – Organismes et tribunaux administratifs – La cour d’appel a refusé l’autorisation d’en appeler de la décision de la juridiction inférieure annulant la décision de la Commission – Comment les tribunaux judiciaires qui contrôlent la décision d’un tribunal administratif spécialisé doivent-ils appliquer la norme de la décision raisonnable et faire preuve de déférence et dans quelles situations est-il approprié que le tribunal de révision intervienne et infirme la décision du tribunal administratif exerçant son pouvoir discrétionnaire, en application de sa loi constitutive, de ne pas entendre une plainte?</w:t>
            </w:r>
          </w:p>
          <w:p w:rsidR="00B22687" w:rsidRPr="00EA63C5" w:rsidRDefault="00B22687" w:rsidP="00FB57D6">
            <w:pPr>
              <w:jc w:val="both"/>
              <w:rPr>
                <w:rFonts w:cs="Times New Roman"/>
                <w:szCs w:val="20"/>
                <w:u w:val="single"/>
                <w:lang w:val="fr-CA"/>
              </w:rPr>
            </w:pPr>
          </w:p>
        </w:tc>
      </w:tr>
      <w:tr w:rsidR="00B22687" w:rsidRPr="007F6DC5" w:rsidTr="00647E9D">
        <w:tc>
          <w:tcPr>
            <w:tcW w:w="9576" w:type="dxa"/>
            <w:gridSpan w:val="4"/>
          </w:tcPr>
          <w:p w:rsidR="00FB57D6" w:rsidRPr="00EA63C5" w:rsidRDefault="00FB57D6" w:rsidP="00FB57D6">
            <w:pPr>
              <w:jc w:val="both"/>
              <w:rPr>
                <w:sz w:val="20"/>
                <w:szCs w:val="20"/>
                <w:lang w:val="fr-CA"/>
              </w:rPr>
            </w:pPr>
            <w:r w:rsidRPr="00EA63C5">
              <w:rPr>
                <w:sz w:val="20"/>
                <w:szCs w:val="20"/>
                <w:lang w:val="fr-CA"/>
              </w:rPr>
              <w:t>L’intimé, M. Warren, était un arbitre au service de la Ligue nationale de hockey (la « Ligue ») de 1998 à 2008. Il a été congédié en avril 2008 pour cause de [</w:t>
            </w:r>
            <w:r w:rsidRPr="00EA63C5">
              <w:rPr>
                <w:smallCaps/>
                <w:sz w:val="20"/>
                <w:szCs w:val="20"/>
                <w:lang w:val="fr-CA"/>
              </w:rPr>
              <w:t>traduction</w:t>
            </w:r>
            <w:r w:rsidRPr="00EA63C5">
              <w:rPr>
                <w:sz w:val="20"/>
                <w:szCs w:val="20"/>
                <w:lang w:val="fr-CA"/>
              </w:rPr>
              <w:t xml:space="preserve">] « rendement inférieur à la norme » et la Ligue lui a offert une indemnité de départ s’il signait une renonciation à exercer tout recours. L’intimé n’a pas signé la renonciation et a il a </w:t>
            </w:r>
            <w:r w:rsidRPr="00EA63C5">
              <w:rPr>
                <w:sz w:val="20"/>
                <w:szCs w:val="20"/>
                <w:lang w:val="fr-CA"/>
              </w:rPr>
              <w:lastRenderedPageBreak/>
              <w:t xml:space="preserve">présenté sans succès une demande à la Commission des relations de travail de l’Ontario (la « Commission ») alléguant une pratique déloyale de travail et demandant la réintégration. Après avoir épuisé toutes ses voies de recours, l’intimé a signé la renonciation, mais la Ligue a refusé de lui verser une indemnité de départ, puisqu’il avait renoncé à son droit de l’obtenir en exécution de la convention collective. </w:t>
            </w:r>
          </w:p>
          <w:p w:rsidR="00B22687" w:rsidRPr="00EA63C5" w:rsidRDefault="00B22687" w:rsidP="00B22687">
            <w:pPr>
              <w:jc w:val="both"/>
              <w:rPr>
                <w:rFonts w:cs="Times New Roman"/>
                <w:sz w:val="20"/>
                <w:szCs w:val="20"/>
                <w:u w:val="single"/>
                <w:lang w:val="fr-CA"/>
              </w:rPr>
            </w:pPr>
          </w:p>
        </w:tc>
      </w:tr>
      <w:tr w:rsidR="00B22687" w:rsidRPr="007F6DC5" w:rsidTr="00B22687">
        <w:trPr>
          <w:cantSplit/>
        </w:trPr>
        <w:tc>
          <w:tcPr>
            <w:tcW w:w="9576" w:type="dxa"/>
            <w:gridSpan w:val="4"/>
          </w:tcPr>
          <w:p w:rsidR="00B22687" w:rsidRPr="00EA63C5" w:rsidRDefault="00FB57D6" w:rsidP="00B22687">
            <w:pPr>
              <w:pStyle w:val="SCCShortJudgment"/>
              <w:ind w:firstLine="0"/>
              <w:rPr>
                <w:szCs w:val="20"/>
                <w:lang w:val="fr-CA"/>
              </w:rPr>
            </w:pPr>
            <w:r w:rsidRPr="00EA63C5">
              <w:rPr>
                <w:szCs w:val="20"/>
                <w:lang w:val="fr-CA"/>
              </w:rPr>
              <w:lastRenderedPageBreak/>
              <w:t xml:space="preserve">L’intimé a présenté une demande à la Commission en application de l’art. 96 de la </w:t>
            </w:r>
            <w:r w:rsidRPr="00EA63C5">
              <w:rPr>
                <w:i/>
                <w:szCs w:val="20"/>
                <w:lang w:val="fr-CA"/>
              </w:rPr>
              <w:t>Loi de 1995 sur les relations de travail</w:t>
            </w:r>
            <w:r w:rsidRPr="00EA63C5">
              <w:rPr>
                <w:szCs w:val="20"/>
                <w:lang w:val="fr-CA"/>
              </w:rPr>
              <w:t xml:space="preserve">, ch. 1 </w:t>
            </w:r>
            <w:proofErr w:type="spellStart"/>
            <w:r w:rsidRPr="00EA63C5">
              <w:rPr>
                <w:szCs w:val="20"/>
                <w:lang w:val="fr-CA"/>
              </w:rPr>
              <w:t>ann</w:t>
            </w:r>
            <w:proofErr w:type="spellEnd"/>
            <w:r w:rsidRPr="00EA63C5">
              <w:rPr>
                <w:szCs w:val="20"/>
                <w:lang w:val="fr-CA"/>
              </w:rPr>
              <w:t> A (la « </w:t>
            </w:r>
            <w:r w:rsidRPr="00EA63C5">
              <w:rPr>
                <w:i/>
                <w:szCs w:val="20"/>
                <w:lang w:val="fr-CA"/>
              </w:rPr>
              <w:t>Loi</w:t>
            </w:r>
            <w:r w:rsidRPr="00EA63C5">
              <w:rPr>
                <w:szCs w:val="20"/>
                <w:lang w:val="fr-CA"/>
              </w:rPr>
              <w:t xml:space="preserve"> ») contestant la décision de la Ligue et alléguant avoir été l’objet de discrimination pour avoir présenté la demande précédente. Il a plaidé que le refus de lui verser une indemnité de départ violait </w:t>
            </w:r>
            <w:proofErr w:type="gramStart"/>
            <w:r w:rsidRPr="00EA63C5">
              <w:rPr>
                <w:szCs w:val="20"/>
                <w:lang w:val="fr-CA"/>
              </w:rPr>
              <w:t>les art</w:t>
            </w:r>
            <w:proofErr w:type="gramEnd"/>
            <w:r w:rsidRPr="00EA63C5">
              <w:rPr>
                <w:szCs w:val="20"/>
                <w:lang w:val="fr-CA"/>
              </w:rPr>
              <w:t xml:space="preserve">. 70, 72 et 76 de la </w:t>
            </w:r>
            <w:r w:rsidRPr="00EA63C5">
              <w:rPr>
                <w:i/>
                <w:szCs w:val="20"/>
                <w:lang w:val="fr-CA"/>
              </w:rPr>
              <w:t>Loi</w:t>
            </w:r>
            <w:r w:rsidRPr="00EA63C5">
              <w:rPr>
                <w:szCs w:val="20"/>
                <w:lang w:val="fr-CA"/>
              </w:rPr>
              <w:t xml:space="preserve"> et que le fait d’invoquer l’al. 13(i) de la convention collective pour lui refuser une indemnité de départ était incompatible avec le par. 87(1) de la </w:t>
            </w:r>
            <w:r w:rsidRPr="00EA63C5">
              <w:rPr>
                <w:i/>
                <w:szCs w:val="20"/>
                <w:lang w:val="fr-CA"/>
              </w:rPr>
              <w:t>Loi</w:t>
            </w:r>
            <w:r w:rsidRPr="00EA63C5">
              <w:rPr>
                <w:szCs w:val="20"/>
                <w:lang w:val="fr-CA"/>
              </w:rPr>
              <w:t xml:space="preserve">. La Ligue a présenté une motion préliminaire en rejet de la demande pour retard injustifié et en irrecevabilité pour chose jugée, </w:t>
            </w:r>
            <w:proofErr w:type="spellStart"/>
            <w:r w:rsidRPr="00EA63C5">
              <w:rPr>
                <w:szCs w:val="20"/>
                <w:lang w:val="fr-CA"/>
              </w:rPr>
              <w:t>préclusion</w:t>
            </w:r>
            <w:proofErr w:type="spellEnd"/>
            <w:r w:rsidRPr="00EA63C5">
              <w:rPr>
                <w:szCs w:val="20"/>
                <w:lang w:val="fr-CA"/>
              </w:rPr>
              <w:t xml:space="preserve"> découlant d’une question déjà tranchée et abus de procédure. Concluant que le droit d’action de M. Warren s’était cristallisé en 2008, la Commission a accueilli la motion de la Ligue et a rejeté la demande de l’intimé pour retard injustifié. La Cour supérieure de justice de l’Ontario, Cour divisionnaire, a accueilli la demande de contrôle judiciaire de M. Warren, annulé la décision de la Commission et renvoyé l’affaire à la Commission pour qu’elle rende une décision. La motion en autorisation d’interjeter appel à la Cour d’appel de l’Ontario a été rejetée.</w:t>
            </w:r>
          </w:p>
          <w:p w:rsidR="00FB57D6" w:rsidRPr="00EA63C5" w:rsidRDefault="00FB57D6"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16 juin 2014</w:t>
            </w:r>
          </w:p>
          <w:p w:rsidR="00FB57D6" w:rsidRPr="00EA63C5" w:rsidRDefault="00FB57D6" w:rsidP="00FB57D6">
            <w:pPr>
              <w:rPr>
                <w:sz w:val="20"/>
                <w:szCs w:val="20"/>
                <w:lang w:val="fr-CA"/>
              </w:rPr>
            </w:pPr>
            <w:r w:rsidRPr="00EA63C5">
              <w:rPr>
                <w:sz w:val="20"/>
                <w:szCs w:val="20"/>
                <w:lang w:val="fr-CA"/>
              </w:rPr>
              <w:t>Commission des relations de travail de l’Ontario</w:t>
            </w:r>
          </w:p>
          <w:p w:rsidR="00FB57D6" w:rsidRPr="00EA63C5" w:rsidRDefault="00FB57D6" w:rsidP="00FB57D6">
            <w:pPr>
              <w:rPr>
                <w:sz w:val="20"/>
                <w:szCs w:val="20"/>
                <w:lang w:val="fr-CA"/>
              </w:rPr>
            </w:pPr>
            <w:r w:rsidRPr="00EA63C5">
              <w:rPr>
                <w:sz w:val="20"/>
                <w:szCs w:val="20"/>
                <w:lang w:val="fr-CA"/>
              </w:rPr>
              <w:t xml:space="preserve">(Vice-président </w:t>
            </w:r>
            <w:proofErr w:type="spellStart"/>
            <w:r w:rsidRPr="00EA63C5">
              <w:rPr>
                <w:sz w:val="20"/>
                <w:szCs w:val="20"/>
                <w:lang w:val="fr-CA"/>
              </w:rPr>
              <w:t>Gedalof</w:t>
            </w:r>
            <w:proofErr w:type="spellEnd"/>
            <w:r w:rsidRPr="00EA63C5">
              <w:rPr>
                <w:sz w:val="20"/>
                <w:szCs w:val="20"/>
                <w:lang w:val="fr-CA"/>
              </w:rPr>
              <w:t>)</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jc w:val="both"/>
              <w:rPr>
                <w:sz w:val="20"/>
                <w:szCs w:val="20"/>
                <w:lang w:val="fr-CA"/>
              </w:rPr>
            </w:pPr>
            <w:r w:rsidRPr="00EA63C5">
              <w:rPr>
                <w:sz w:val="20"/>
                <w:szCs w:val="20"/>
                <w:lang w:val="fr-CA"/>
              </w:rPr>
              <w:t>Jugement accueillant la motion préliminaire de la demanderesse et rejetant la demande de l’intimée</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26 novembre 2015</w:t>
            </w:r>
          </w:p>
          <w:p w:rsidR="00FB57D6" w:rsidRPr="00EA63C5" w:rsidRDefault="00FB57D6" w:rsidP="00FB57D6">
            <w:pPr>
              <w:rPr>
                <w:sz w:val="20"/>
                <w:szCs w:val="20"/>
                <w:lang w:val="fr-CA"/>
              </w:rPr>
            </w:pPr>
            <w:r w:rsidRPr="00EA63C5">
              <w:rPr>
                <w:sz w:val="20"/>
                <w:szCs w:val="20"/>
                <w:lang w:val="fr-CA"/>
              </w:rPr>
              <w:t>Cour supérieure de justice de l’Ontario</w:t>
            </w:r>
          </w:p>
          <w:p w:rsidR="00FB57D6" w:rsidRPr="00EA63C5" w:rsidRDefault="00FB57D6" w:rsidP="00FB57D6">
            <w:pPr>
              <w:rPr>
                <w:sz w:val="20"/>
                <w:szCs w:val="20"/>
                <w:lang w:val="fr-CA"/>
              </w:rPr>
            </w:pPr>
            <w:r w:rsidRPr="00EA63C5">
              <w:rPr>
                <w:sz w:val="20"/>
                <w:szCs w:val="20"/>
                <w:lang w:val="fr-CA"/>
              </w:rPr>
              <w:t>Cour divisionnaire</w:t>
            </w:r>
          </w:p>
          <w:p w:rsidR="00FB57D6" w:rsidRPr="00EA63C5" w:rsidRDefault="00FB57D6" w:rsidP="00FB57D6">
            <w:pPr>
              <w:rPr>
                <w:sz w:val="20"/>
                <w:szCs w:val="20"/>
                <w:lang w:val="fr-CA"/>
              </w:rPr>
            </w:pPr>
            <w:r w:rsidRPr="00EA63C5">
              <w:rPr>
                <w:sz w:val="20"/>
                <w:szCs w:val="20"/>
                <w:lang w:val="fr-CA"/>
              </w:rPr>
              <w:t xml:space="preserve">(Juges </w:t>
            </w:r>
            <w:proofErr w:type="spellStart"/>
            <w:r w:rsidRPr="00EA63C5">
              <w:rPr>
                <w:sz w:val="20"/>
                <w:szCs w:val="20"/>
                <w:lang w:val="fr-CA"/>
              </w:rPr>
              <w:t>Kruzick</w:t>
            </w:r>
            <w:proofErr w:type="spellEnd"/>
            <w:r w:rsidRPr="00EA63C5">
              <w:rPr>
                <w:sz w:val="20"/>
                <w:szCs w:val="20"/>
                <w:lang w:val="fr-CA"/>
              </w:rPr>
              <w:t>, Sachs et Wilton-Siegel)</w:t>
            </w:r>
          </w:p>
          <w:p w:rsidR="00FB57D6" w:rsidRPr="00EA63C5" w:rsidRDefault="007F6DC5" w:rsidP="00FB57D6">
            <w:pPr>
              <w:rPr>
                <w:sz w:val="20"/>
                <w:szCs w:val="20"/>
                <w:lang w:val="fr-CA"/>
              </w:rPr>
            </w:pPr>
            <w:hyperlink r:id="rId31" w:history="1">
              <w:r w:rsidR="00FB57D6" w:rsidRPr="00EA63C5">
                <w:rPr>
                  <w:rStyle w:val="Hyperlink"/>
                  <w:sz w:val="20"/>
                  <w:szCs w:val="20"/>
                  <w:lang w:val="fr-CA"/>
                </w:rPr>
                <w:t>2015 ONSC 7273</w:t>
              </w:r>
            </w:hyperlink>
            <w:r w:rsidR="00FB57D6" w:rsidRPr="00EA63C5">
              <w:rPr>
                <w:sz w:val="20"/>
                <w:szCs w:val="20"/>
                <w:lang w:val="fr-CA"/>
              </w:rPr>
              <w:t>; 345/14</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FB57D6" w:rsidP="00B22687">
            <w:pPr>
              <w:pStyle w:val="SCCShortJudgment"/>
              <w:ind w:firstLine="0"/>
              <w:rPr>
                <w:rFonts w:cs="Times New Roman"/>
                <w:szCs w:val="20"/>
                <w:u w:val="single"/>
                <w:lang w:val="fr-CA"/>
              </w:rPr>
            </w:pPr>
            <w:r w:rsidRPr="00EA63C5">
              <w:rPr>
                <w:szCs w:val="20"/>
                <w:lang w:val="fr-CA"/>
              </w:rPr>
              <w:t>Jugement accueillant la demande de contrôle judiciaire de la décision de la Commission; annulation de la décision et renvoi de la demande de l’intimé à la Commission pour qu’elle rende une décision</w:t>
            </w: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30 mars 2016</w:t>
            </w:r>
          </w:p>
          <w:p w:rsidR="00FB57D6" w:rsidRPr="00EA63C5" w:rsidRDefault="00FB57D6" w:rsidP="00FB57D6">
            <w:pPr>
              <w:rPr>
                <w:sz w:val="20"/>
                <w:szCs w:val="20"/>
                <w:lang w:val="fr-CA"/>
              </w:rPr>
            </w:pPr>
            <w:r w:rsidRPr="00EA63C5">
              <w:rPr>
                <w:sz w:val="20"/>
                <w:szCs w:val="20"/>
                <w:lang w:val="fr-CA"/>
              </w:rPr>
              <w:t>Cour d’appel de l’Ontario</w:t>
            </w:r>
          </w:p>
          <w:p w:rsidR="00FB57D6" w:rsidRPr="00EA63C5" w:rsidRDefault="00FB57D6" w:rsidP="00FB57D6">
            <w:pPr>
              <w:rPr>
                <w:sz w:val="20"/>
                <w:szCs w:val="20"/>
                <w:lang w:val="fr-CA"/>
              </w:rPr>
            </w:pPr>
            <w:r w:rsidRPr="00EA63C5">
              <w:rPr>
                <w:sz w:val="20"/>
                <w:szCs w:val="20"/>
                <w:lang w:val="fr-CA"/>
              </w:rPr>
              <w:t xml:space="preserve">(Juges </w:t>
            </w:r>
            <w:proofErr w:type="spellStart"/>
            <w:r w:rsidRPr="00EA63C5">
              <w:rPr>
                <w:sz w:val="20"/>
                <w:szCs w:val="20"/>
                <w:lang w:val="fr-CA"/>
              </w:rPr>
              <w:t>Feldman</w:t>
            </w:r>
            <w:proofErr w:type="spellEnd"/>
            <w:r w:rsidRPr="00EA63C5">
              <w:rPr>
                <w:sz w:val="20"/>
                <w:szCs w:val="20"/>
                <w:lang w:val="fr-CA"/>
              </w:rPr>
              <w:t xml:space="preserve">, </w:t>
            </w:r>
            <w:proofErr w:type="spellStart"/>
            <w:r w:rsidRPr="00EA63C5">
              <w:rPr>
                <w:sz w:val="20"/>
                <w:szCs w:val="20"/>
                <w:lang w:val="fr-CA"/>
              </w:rPr>
              <w:t>Gillese</w:t>
            </w:r>
            <w:proofErr w:type="spellEnd"/>
            <w:r w:rsidRPr="00EA63C5">
              <w:rPr>
                <w:sz w:val="20"/>
                <w:szCs w:val="20"/>
                <w:lang w:val="fr-CA"/>
              </w:rPr>
              <w:t xml:space="preserve"> et Brown)</w:t>
            </w:r>
          </w:p>
          <w:p w:rsidR="00FB57D6" w:rsidRPr="00EA63C5" w:rsidRDefault="00FB57D6" w:rsidP="00FB57D6">
            <w:pPr>
              <w:rPr>
                <w:sz w:val="20"/>
                <w:szCs w:val="20"/>
                <w:lang w:val="fr-CA"/>
              </w:rPr>
            </w:pPr>
            <w:r w:rsidRPr="00EA63C5">
              <w:rPr>
                <w:sz w:val="20"/>
                <w:szCs w:val="20"/>
                <w:lang w:val="fr-CA"/>
              </w:rPr>
              <w:t>M-45870</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lang w:val="fr-CA"/>
              </w:rPr>
            </w:pPr>
            <w:r w:rsidRPr="00EA63C5">
              <w:rPr>
                <w:sz w:val="20"/>
                <w:szCs w:val="20"/>
                <w:lang w:val="fr-CA"/>
              </w:rPr>
              <w:t>Rejet de la motion en autorisation d’interjeter appel</w:t>
            </w:r>
          </w:p>
          <w:p w:rsidR="00B22687" w:rsidRPr="00EA63C5" w:rsidRDefault="00B22687" w:rsidP="00B22687">
            <w:pPr>
              <w:pStyle w:val="SCCShortJudgment"/>
              <w:ind w:firstLine="0"/>
              <w:rPr>
                <w:rFonts w:cs="Times New Roman"/>
                <w:szCs w:val="20"/>
                <w:u w:val="single"/>
                <w:lang w:val="fr-CA"/>
              </w:rPr>
            </w:pPr>
          </w:p>
        </w:tc>
      </w:tr>
      <w:tr w:rsidR="00FB57D6"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25 mai 2016</w:t>
            </w:r>
          </w:p>
          <w:p w:rsidR="00FB57D6" w:rsidRPr="00EA63C5" w:rsidRDefault="00FB57D6" w:rsidP="00FB57D6">
            <w:pPr>
              <w:pStyle w:val="SCCShortJudgment"/>
              <w:ind w:firstLine="0"/>
              <w:rPr>
                <w:rFonts w:cs="Times New Roman"/>
                <w:szCs w:val="20"/>
                <w:u w:val="single"/>
                <w:lang w:val="fr-CA"/>
              </w:rPr>
            </w:pPr>
            <w:r w:rsidRPr="00EA63C5">
              <w:rPr>
                <w:szCs w:val="20"/>
                <w:lang w:val="fr-CA"/>
              </w:rPr>
              <w:t>Cour suprême du Canada</w:t>
            </w:r>
          </w:p>
        </w:tc>
        <w:tc>
          <w:tcPr>
            <w:tcW w:w="630" w:type="dxa"/>
          </w:tcPr>
          <w:p w:rsidR="00FB57D6" w:rsidRPr="00EA63C5" w:rsidRDefault="00FB57D6" w:rsidP="00FB57D6">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lang w:val="fr-CA"/>
              </w:rPr>
            </w:pPr>
            <w:r w:rsidRPr="00EA63C5">
              <w:rPr>
                <w:sz w:val="20"/>
                <w:szCs w:val="20"/>
                <w:lang w:val="fr-CA"/>
              </w:rPr>
              <w:t>Dépôt de la demande d’autorisation d’appel</w:t>
            </w:r>
          </w:p>
        </w:tc>
      </w:tr>
    </w:tbl>
    <w:p w:rsidR="00B22687" w:rsidRPr="00EA63C5" w:rsidRDefault="007F6DC5" w:rsidP="000E2959">
      <w:pPr>
        <w:rPr>
          <w:sz w:val="20"/>
          <w:szCs w:val="20"/>
        </w:rPr>
      </w:pPr>
      <w:r>
        <w:rPr>
          <w:sz w:val="20"/>
          <w:szCs w:val="20"/>
          <w:lang w:val="fr-CA"/>
        </w:rPr>
        <w:pict>
          <v:rect id="_x0000_i1061" style="width:2in;height:1pt" o:hrpct="0" o:hralign="center" o:hrstd="t" o:hrnoshade="t" o:hr="t" fillcolor="black [3213]" stroked="f"/>
        </w:pict>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B22687" w:rsidRPr="007F6D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370</w:t>
            </w:r>
            <w:r w:rsidR="00BF2CCE" w:rsidRPr="00EA63C5">
              <w:rPr>
                <w:rStyle w:val="SCCFileNumberChar"/>
                <w:sz w:val="20"/>
                <w:szCs w:val="20"/>
              </w:rPr>
              <w:t>2</w:t>
            </w:r>
            <w:r w:rsidRPr="00EA63C5">
              <w:rPr>
                <w:rStyle w:val="SCCFileNumberChar"/>
                <w:sz w:val="20"/>
                <w:szCs w:val="20"/>
              </w:rPr>
              <w:t>9</w:t>
            </w:r>
          </w:p>
          <w:p w:rsidR="00B22687" w:rsidRPr="00EA63C5" w:rsidRDefault="00B22687" w:rsidP="00B22687">
            <w:pPr>
              <w:jc w:val="both"/>
              <w:rPr>
                <w:rFonts w:cs="Times New Roman"/>
                <w:b/>
                <w:sz w:val="20"/>
                <w:szCs w:val="20"/>
              </w:rPr>
            </w:pPr>
          </w:p>
        </w:tc>
        <w:tc>
          <w:tcPr>
            <w:tcW w:w="8118" w:type="dxa"/>
          </w:tcPr>
          <w:p w:rsidR="00B22687" w:rsidRPr="00EA63C5" w:rsidRDefault="001F7BE5" w:rsidP="00B22687">
            <w:pPr>
              <w:jc w:val="both"/>
              <w:rPr>
                <w:rFonts w:cs="Times New Roman"/>
                <w:sz w:val="20"/>
                <w:szCs w:val="20"/>
                <w:lang w:val="fr-CA"/>
              </w:rPr>
            </w:pPr>
            <w:r w:rsidRPr="00EA63C5">
              <w:rPr>
                <w:b/>
                <w:sz w:val="20"/>
                <w:szCs w:val="20"/>
                <w:u w:val="single"/>
                <w:lang w:val="fr-CA"/>
              </w:rPr>
              <w:t>A.G.F. c. S.C.</w:t>
            </w:r>
            <w:r w:rsidRPr="00EA63C5">
              <w:rPr>
                <w:rFonts w:cs="Times New Roman"/>
                <w:sz w:val="20"/>
                <w:szCs w:val="20"/>
                <w:lang w:val="fr-CA"/>
              </w:rPr>
              <w:t xml:space="preserve"> </w:t>
            </w:r>
            <w:r w:rsidR="00B22687" w:rsidRPr="00EA63C5">
              <w:rPr>
                <w:rFonts w:cs="Times New Roman"/>
                <w:sz w:val="20"/>
                <w:szCs w:val="20"/>
                <w:lang w:val="fr-CA"/>
              </w:rPr>
              <w:t>(</w:t>
            </w:r>
            <w:proofErr w:type="spellStart"/>
            <w:r w:rsidRPr="00EA63C5">
              <w:rPr>
                <w:rFonts w:cs="Times New Roman"/>
                <w:sz w:val="20"/>
                <w:szCs w:val="20"/>
                <w:lang w:val="fr-CA"/>
              </w:rPr>
              <w:t>Qc</w:t>
            </w:r>
            <w:proofErr w:type="spellEnd"/>
            <w:r w:rsidR="00B22687" w:rsidRPr="00EA63C5">
              <w:rPr>
                <w:rFonts w:cs="Times New Roman"/>
                <w:sz w:val="20"/>
                <w:szCs w:val="20"/>
                <w:lang w:val="fr-CA"/>
              </w:rPr>
              <w:t>) (Civil</w:t>
            </w:r>
            <w:r w:rsidRPr="00EA63C5">
              <w:rPr>
                <w:rFonts w:cs="Times New Roman"/>
                <w:sz w:val="20"/>
                <w:szCs w:val="20"/>
                <w:lang w:val="fr-CA"/>
              </w:rPr>
              <w:t>e</w:t>
            </w:r>
            <w:r w:rsidR="00B22687" w:rsidRPr="00EA63C5">
              <w:rPr>
                <w:rFonts w:cs="Times New Roman"/>
                <w:sz w:val="20"/>
                <w:szCs w:val="20"/>
                <w:lang w:val="fr-CA"/>
              </w:rPr>
              <w:t>) (</w:t>
            </w:r>
            <w:r w:rsidRPr="00EA63C5">
              <w:rPr>
                <w:rFonts w:cs="Times New Roman"/>
                <w:sz w:val="20"/>
                <w:szCs w:val="20"/>
                <w:lang w:val="fr-CA"/>
              </w:rPr>
              <w:t>Autorisation</w:t>
            </w:r>
            <w:r w:rsidR="00B22687" w:rsidRPr="00EA63C5">
              <w:rPr>
                <w:rFonts w:cs="Times New Roman"/>
                <w:sz w:val="20"/>
                <w:szCs w:val="20"/>
                <w:lang w:val="fr-CA"/>
              </w:rPr>
              <w:t>)</w:t>
            </w:r>
          </w:p>
          <w:p w:rsidR="00B22687" w:rsidRPr="00EA63C5" w:rsidRDefault="00B22687" w:rsidP="00B22687">
            <w:pPr>
              <w:jc w:val="both"/>
              <w:rPr>
                <w:rFonts w:cs="Times New Roman"/>
                <w:sz w:val="20"/>
                <w:szCs w:val="20"/>
                <w:lang w:val="fr-CA"/>
              </w:rPr>
            </w:pPr>
          </w:p>
        </w:tc>
      </w:tr>
      <w:tr w:rsidR="00B22687" w:rsidRPr="007F6D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tcPr>
          <w:p w:rsidR="00B22687" w:rsidRPr="00EA63C5" w:rsidRDefault="001F7BE5" w:rsidP="00B22687">
            <w:pPr>
              <w:jc w:val="both"/>
              <w:rPr>
                <w:rStyle w:val="SCCCoramChar"/>
                <w:rFonts w:cs="Times New Roman"/>
                <w:sz w:val="20"/>
                <w:szCs w:val="20"/>
              </w:rPr>
            </w:pPr>
            <w:r w:rsidRPr="00EA63C5">
              <w:rPr>
                <w:rStyle w:val="SCCCoramChar"/>
                <w:rFonts w:cs="Times New Roman"/>
                <w:sz w:val="20"/>
                <w:szCs w:val="20"/>
              </w:rPr>
              <w:t>Les juges Abella, Karakatsanis et Brown</w:t>
            </w:r>
            <w:r w:rsidR="00B22687" w:rsidRPr="00EA63C5">
              <w:rPr>
                <w:rStyle w:val="SCCCoramChar"/>
                <w:rFonts w:cs="Times New Roman"/>
                <w:sz w:val="20"/>
                <w:szCs w:val="20"/>
              </w:rPr>
              <w:t>.</w:t>
            </w:r>
          </w:p>
          <w:p w:rsidR="00B22687" w:rsidRPr="00EA63C5" w:rsidRDefault="00B22687" w:rsidP="00B22687">
            <w:pPr>
              <w:jc w:val="both"/>
              <w:rPr>
                <w:rFonts w:cs="Times New Roman"/>
                <w:sz w:val="20"/>
                <w:szCs w:val="20"/>
                <w:u w:val="single"/>
                <w:lang w:val="fr-CA"/>
              </w:rPr>
            </w:pPr>
          </w:p>
        </w:tc>
      </w:tr>
      <w:tr w:rsidR="00B22687" w:rsidRPr="00EA63C5" w:rsidTr="00B22687">
        <w:trPr>
          <w:cantSplit/>
        </w:trPr>
        <w:tc>
          <w:tcPr>
            <w:tcW w:w="9576" w:type="dxa"/>
            <w:gridSpan w:val="2"/>
          </w:tcPr>
          <w:p w:rsidR="00B22687" w:rsidRPr="00EA63C5" w:rsidRDefault="00B22687" w:rsidP="00B22687">
            <w:pPr>
              <w:pStyle w:val="SCCShortJudgment"/>
              <w:ind w:firstLine="0"/>
              <w:rPr>
                <w:szCs w:val="20"/>
                <w:lang w:val="fr-CA"/>
              </w:rPr>
            </w:pPr>
            <w:r w:rsidRPr="00EA63C5">
              <w:rPr>
                <w:rFonts w:cs="Times New Roman"/>
                <w:szCs w:val="20"/>
                <w:lang w:val="fr-CA"/>
              </w:rPr>
              <w:tab/>
            </w:r>
            <w:r w:rsidR="001F7BE5" w:rsidRPr="00EA63C5">
              <w:rPr>
                <w:szCs w:val="20"/>
                <w:lang w:val="fr-CA"/>
              </w:rPr>
              <w:t>La demande d’autorisation d’appel de l’arrêt de la Cour d’appel du Québec (Montréal), numéro 500-09-025958-166, 2016 QCCA 551, daté du 1 avril 2016, est rejetée.</w:t>
            </w:r>
          </w:p>
          <w:p w:rsidR="001F7BE5" w:rsidRPr="00EA63C5" w:rsidRDefault="001F7BE5" w:rsidP="00B22687">
            <w:pPr>
              <w:pStyle w:val="SCCShortJudgment"/>
              <w:ind w:firstLine="0"/>
              <w:rPr>
                <w:rFonts w:cs="Times New Roman"/>
                <w:szCs w:val="20"/>
                <w:lang w:val="fr-CA"/>
              </w:rPr>
            </w:pPr>
          </w:p>
          <w:p w:rsidR="00B22687" w:rsidRPr="00EA63C5" w:rsidRDefault="00B22687" w:rsidP="00B22687">
            <w:pPr>
              <w:pStyle w:val="SCCShortJudgment"/>
              <w:ind w:firstLine="0"/>
              <w:rPr>
                <w:rFonts w:cs="Times New Roman"/>
                <w:szCs w:val="20"/>
                <w:lang w:val="en-US"/>
              </w:rPr>
            </w:pPr>
            <w:r w:rsidRPr="00EA63C5">
              <w:rPr>
                <w:rFonts w:cs="Times New Roman"/>
                <w:szCs w:val="20"/>
                <w:lang w:val="fr-CA"/>
              </w:rPr>
              <w:tab/>
            </w:r>
            <w:r w:rsidR="001F7BE5" w:rsidRPr="00EA63C5">
              <w:rPr>
                <w:szCs w:val="20"/>
              </w:rPr>
              <w:t>The application for leave to appeal from the judgment of the</w:t>
            </w:r>
            <w:bookmarkStart w:id="1" w:name="BM_1_"/>
            <w:bookmarkEnd w:id="1"/>
            <w:r w:rsidR="001F7BE5" w:rsidRPr="00EA63C5">
              <w:rPr>
                <w:szCs w:val="20"/>
              </w:rPr>
              <w:t xml:space="preserve"> Court of Appeal of Quebec (Montréal), Number 500-09-025958-166, 2016 QCCA 551, dated April 1, 2016, is dismissed.</w:t>
            </w:r>
          </w:p>
          <w:p w:rsidR="00B22687" w:rsidRPr="00EA63C5" w:rsidRDefault="00B22687" w:rsidP="00B22687">
            <w:pPr>
              <w:pStyle w:val="SCCShortJudgment"/>
              <w:ind w:firstLine="0"/>
              <w:rPr>
                <w:rFonts w:cs="Times New Roman"/>
                <w:szCs w:val="20"/>
                <w:lang w:val="en-US"/>
              </w:rPr>
            </w:pPr>
          </w:p>
        </w:tc>
      </w:tr>
    </w:tbl>
    <w:p w:rsidR="001D68AE" w:rsidRPr="00EA63C5" w:rsidRDefault="001D68AE">
      <w:r w:rsidRPr="00EA63C5">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22687" w:rsidRPr="00EA63C5" w:rsidTr="00B22687">
        <w:trPr>
          <w:cantSplit/>
        </w:trPr>
        <w:tc>
          <w:tcPr>
            <w:tcW w:w="9576" w:type="dxa"/>
            <w:gridSpan w:val="3"/>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lastRenderedPageBreak/>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3"/>
          </w:tcPr>
          <w:p w:rsidR="00FB57D6" w:rsidRPr="00EA63C5" w:rsidRDefault="00FB57D6" w:rsidP="00FB57D6">
            <w:pPr>
              <w:pStyle w:val="SCCBanSummary"/>
              <w:rPr>
                <w:sz w:val="20"/>
                <w:szCs w:val="20"/>
                <w:lang w:val="en-CA"/>
              </w:rPr>
            </w:pPr>
            <w:r w:rsidRPr="00EA63C5">
              <w:rPr>
                <w:sz w:val="20"/>
                <w:szCs w:val="20"/>
                <w:lang w:val="en-CA"/>
              </w:rPr>
              <w:t>(Publication Ban in Case) (Publication Ban on Party) (Court file contains information that is not available for inspection by the public)</w:t>
            </w:r>
          </w:p>
          <w:p w:rsidR="00B22687" w:rsidRPr="00EA63C5" w:rsidRDefault="00B22687" w:rsidP="00B22687">
            <w:pPr>
              <w:pStyle w:val="SCCShortJudgment"/>
              <w:ind w:firstLine="0"/>
              <w:rPr>
                <w:rFonts w:cs="Times New Roman"/>
                <w:szCs w:val="20"/>
              </w:rPr>
            </w:pPr>
          </w:p>
        </w:tc>
      </w:tr>
      <w:tr w:rsidR="00B22687" w:rsidRPr="00EA63C5" w:rsidTr="00647E9D">
        <w:tc>
          <w:tcPr>
            <w:tcW w:w="9576" w:type="dxa"/>
            <w:gridSpan w:val="3"/>
          </w:tcPr>
          <w:p w:rsidR="00B22687" w:rsidRPr="00EA63C5" w:rsidRDefault="00FB57D6" w:rsidP="00B22687">
            <w:pPr>
              <w:pStyle w:val="SCCShortJudgment"/>
              <w:ind w:firstLine="0"/>
              <w:rPr>
                <w:szCs w:val="20"/>
              </w:rPr>
            </w:pPr>
            <w:r w:rsidRPr="00EA63C5">
              <w:rPr>
                <w:szCs w:val="20"/>
              </w:rPr>
              <w:t>Civil procedure – Disqualification of counsel</w:t>
            </w:r>
            <w:r w:rsidRPr="00EA63C5">
              <w:rPr>
                <w:color w:val="000000"/>
                <w:szCs w:val="20"/>
              </w:rPr>
              <w:t xml:space="preserve"> – Motion for disqualification filed in family case – Hearing on merits delayed – Abuse of procedure – Punitive damages </w:t>
            </w:r>
            <w:r w:rsidRPr="00EA63C5">
              <w:rPr>
                <w:szCs w:val="20"/>
              </w:rPr>
              <w:t>– Whether courts below erred in imputing punitive damages to applicant – Whether courts below acted to detriment of right to make full answer and defence by refusing to hear witnesses.</w:t>
            </w:r>
          </w:p>
          <w:p w:rsidR="00FB57D6" w:rsidRPr="00EA63C5" w:rsidRDefault="00FB57D6" w:rsidP="00B22687">
            <w:pPr>
              <w:pStyle w:val="SCCShortJudgment"/>
              <w:ind w:firstLine="0"/>
              <w:rPr>
                <w:rFonts w:cs="Times New Roman"/>
                <w:szCs w:val="20"/>
              </w:rPr>
            </w:pPr>
          </w:p>
        </w:tc>
      </w:tr>
      <w:tr w:rsidR="00B22687" w:rsidRPr="00EA63C5" w:rsidTr="00B22687">
        <w:trPr>
          <w:cantSplit/>
        </w:trPr>
        <w:tc>
          <w:tcPr>
            <w:tcW w:w="9576" w:type="dxa"/>
            <w:gridSpan w:val="3"/>
          </w:tcPr>
          <w:p w:rsidR="00FB57D6" w:rsidRPr="00EA63C5" w:rsidRDefault="00FB57D6" w:rsidP="00FB57D6">
            <w:pPr>
              <w:jc w:val="both"/>
              <w:rPr>
                <w:sz w:val="20"/>
                <w:szCs w:val="20"/>
              </w:rPr>
            </w:pPr>
            <w:r w:rsidRPr="00EA63C5">
              <w:rPr>
                <w:sz w:val="20"/>
                <w:szCs w:val="20"/>
              </w:rPr>
              <w:t>In family proceedings for a review of child custody, the applicant presented a motion for the disqualification of counsel for the respondent.</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4410" w:type="dxa"/>
          </w:tcPr>
          <w:p w:rsidR="00FB57D6" w:rsidRPr="00EA63C5" w:rsidRDefault="00FB57D6" w:rsidP="00FB57D6">
            <w:pPr>
              <w:rPr>
                <w:sz w:val="20"/>
                <w:szCs w:val="20"/>
              </w:rPr>
            </w:pPr>
            <w:r w:rsidRPr="00EA63C5">
              <w:rPr>
                <w:sz w:val="20"/>
                <w:szCs w:val="20"/>
              </w:rPr>
              <w:t>February 17, 2016</w:t>
            </w:r>
          </w:p>
          <w:p w:rsidR="00FB57D6" w:rsidRPr="00EA63C5" w:rsidRDefault="00FB57D6" w:rsidP="00FB57D6">
            <w:pPr>
              <w:rPr>
                <w:sz w:val="20"/>
                <w:szCs w:val="20"/>
              </w:rPr>
            </w:pPr>
            <w:r w:rsidRPr="00EA63C5">
              <w:rPr>
                <w:sz w:val="20"/>
                <w:szCs w:val="20"/>
              </w:rPr>
              <w:t>Quebec Superior Court</w:t>
            </w:r>
          </w:p>
          <w:p w:rsidR="00FB57D6" w:rsidRPr="00EA63C5" w:rsidRDefault="00FB57D6" w:rsidP="00FB57D6">
            <w:pPr>
              <w:rPr>
                <w:sz w:val="20"/>
                <w:szCs w:val="20"/>
              </w:rPr>
            </w:pPr>
            <w:r w:rsidRPr="00EA63C5">
              <w:rPr>
                <w:sz w:val="20"/>
                <w:szCs w:val="20"/>
              </w:rPr>
              <w:t>(</w:t>
            </w:r>
            <w:proofErr w:type="spellStart"/>
            <w:r w:rsidRPr="00EA63C5">
              <w:rPr>
                <w:sz w:val="20"/>
                <w:szCs w:val="20"/>
              </w:rPr>
              <w:t>Bénard</w:t>
            </w:r>
            <w:proofErr w:type="spellEnd"/>
            <w:r w:rsidRPr="00EA63C5">
              <w:rPr>
                <w:sz w:val="20"/>
                <w:szCs w:val="20"/>
              </w:rPr>
              <w:t xml:space="preserve"> J.)</w:t>
            </w:r>
          </w:p>
          <w:p w:rsidR="00FB57D6" w:rsidRPr="00EA63C5" w:rsidRDefault="007F6DC5" w:rsidP="00FB57D6">
            <w:pPr>
              <w:rPr>
                <w:sz w:val="20"/>
                <w:szCs w:val="20"/>
              </w:rPr>
            </w:pPr>
            <w:hyperlink r:id="rId32" w:history="1">
              <w:r w:rsidR="00FB57D6" w:rsidRPr="00EA63C5">
                <w:rPr>
                  <w:rStyle w:val="Hyperlink"/>
                  <w:sz w:val="20"/>
                  <w:szCs w:val="20"/>
                </w:rPr>
                <w:t>2016 QCCS 1468</w:t>
              </w:r>
            </w:hyperlink>
            <w:r w:rsidR="00FB57D6" w:rsidRPr="00EA63C5">
              <w:rPr>
                <w:sz w:val="20"/>
                <w:szCs w:val="20"/>
              </w:rPr>
              <w:t xml:space="preserve"> </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jc w:val="both"/>
              <w:rPr>
                <w:sz w:val="20"/>
                <w:szCs w:val="20"/>
              </w:rPr>
            </w:pPr>
            <w:r w:rsidRPr="00EA63C5">
              <w:rPr>
                <w:sz w:val="20"/>
                <w:szCs w:val="20"/>
              </w:rPr>
              <w:t>Motion for disqualification of counsel dismissed; motion to have motion for disqualification declared abusive allowed; damages awarded for abuse of procedure</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tcPr>
          <w:p w:rsidR="00FB57D6" w:rsidRPr="00EA63C5" w:rsidRDefault="00FB57D6" w:rsidP="00FB57D6">
            <w:pPr>
              <w:rPr>
                <w:sz w:val="20"/>
                <w:szCs w:val="20"/>
              </w:rPr>
            </w:pPr>
            <w:r w:rsidRPr="00EA63C5">
              <w:rPr>
                <w:sz w:val="20"/>
                <w:szCs w:val="20"/>
              </w:rPr>
              <w:t>April 1, 2016</w:t>
            </w:r>
          </w:p>
          <w:p w:rsidR="00FB57D6" w:rsidRPr="00EA63C5" w:rsidRDefault="00FB57D6" w:rsidP="00FB57D6">
            <w:pPr>
              <w:rPr>
                <w:sz w:val="20"/>
                <w:szCs w:val="20"/>
              </w:rPr>
            </w:pPr>
            <w:r w:rsidRPr="00EA63C5">
              <w:rPr>
                <w:sz w:val="20"/>
                <w:szCs w:val="20"/>
              </w:rPr>
              <w:t>Quebec Court of Appeal (Montréal)</w:t>
            </w:r>
          </w:p>
          <w:p w:rsidR="00FB57D6" w:rsidRPr="00EA63C5" w:rsidRDefault="00FB57D6" w:rsidP="00FB57D6">
            <w:pPr>
              <w:rPr>
                <w:sz w:val="20"/>
                <w:szCs w:val="20"/>
              </w:rPr>
            </w:pPr>
            <w:r w:rsidRPr="00EA63C5">
              <w:rPr>
                <w:sz w:val="20"/>
                <w:szCs w:val="20"/>
              </w:rPr>
              <w:t>(</w:t>
            </w:r>
            <w:proofErr w:type="spellStart"/>
            <w:r w:rsidRPr="00EA63C5">
              <w:rPr>
                <w:sz w:val="20"/>
                <w:szCs w:val="20"/>
              </w:rPr>
              <w:t>Vauclair</w:t>
            </w:r>
            <w:proofErr w:type="spellEnd"/>
            <w:r w:rsidRPr="00EA63C5">
              <w:rPr>
                <w:sz w:val="20"/>
                <w:szCs w:val="20"/>
              </w:rPr>
              <w:t xml:space="preserve"> J.A.)</w:t>
            </w:r>
          </w:p>
          <w:p w:rsidR="00FB57D6" w:rsidRPr="00EA63C5" w:rsidRDefault="007F6DC5" w:rsidP="00FB57D6">
            <w:pPr>
              <w:rPr>
                <w:sz w:val="20"/>
                <w:szCs w:val="20"/>
              </w:rPr>
            </w:pPr>
            <w:hyperlink r:id="rId33" w:history="1">
              <w:r w:rsidR="00FB57D6" w:rsidRPr="00EA63C5">
                <w:rPr>
                  <w:rStyle w:val="Hyperlink"/>
                  <w:sz w:val="20"/>
                  <w:szCs w:val="20"/>
                </w:rPr>
                <w:t>2016 QCCA 551</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rPr>
                <w:sz w:val="20"/>
                <w:szCs w:val="20"/>
              </w:rPr>
            </w:pPr>
            <w:r w:rsidRPr="00EA63C5">
              <w:rPr>
                <w:sz w:val="20"/>
                <w:szCs w:val="20"/>
              </w:rPr>
              <w:t>Motion for leave to appeal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tcPr>
          <w:p w:rsidR="00FB57D6" w:rsidRPr="00EA63C5" w:rsidRDefault="00FB57D6" w:rsidP="00FB57D6">
            <w:pPr>
              <w:rPr>
                <w:sz w:val="20"/>
                <w:szCs w:val="20"/>
              </w:rPr>
            </w:pPr>
            <w:r w:rsidRPr="00EA63C5">
              <w:rPr>
                <w:sz w:val="20"/>
                <w:szCs w:val="20"/>
              </w:rPr>
              <w:t>May 31, 2016</w:t>
            </w:r>
          </w:p>
          <w:p w:rsidR="00B22687" w:rsidRPr="00EA63C5" w:rsidRDefault="00FB57D6" w:rsidP="00FB57D6">
            <w:pPr>
              <w:jc w:val="both"/>
              <w:rPr>
                <w:rFonts w:cs="Times New Roman"/>
                <w:sz w:val="20"/>
                <w:szCs w:val="20"/>
              </w:rPr>
            </w:pPr>
            <w:r w:rsidRPr="00EA63C5">
              <w:rPr>
                <w:sz w:val="20"/>
                <w:szCs w:val="20"/>
              </w:rPr>
              <w:t>Supreme Court of Canada</w:t>
            </w: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rPr>
                <w:sz w:val="20"/>
                <w:szCs w:val="20"/>
              </w:rPr>
            </w:pPr>
            <w:r w:rsidRPr="00EA63C5">
              <w:rPr>
                <w:sz w:val="20"/>
                <w:szCs w:val="20"/>
              </w:rPr>
              <w:t>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3"/>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3"/>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3"/>
          </w:tcPr>
          <w:p w:rsidR="00FB57D6" w:rsidRPr="00EA63C5" w:rsidRDefault="00FB57D6" w:rsidP="00FB57D6">
            <w:pPr>
              <w:pStyle w:val="SCCBanSummary"/>
              <w:rPr>
                <w:sz w:val="20"/>
                <w:szCs w:val="20"/>
              </w:rPr>
            </w:pPr>
            <w:r w:rsidRPr="00EA63C5">
              <w:rPr>
                <w:sz w:val="20"/>
                <w:szCs w:val="20"/>
              </w:rPr>
              <w:t>(Ordonnance de non-publication dans le dossier) (Ordonnance de non-publication visant une partie) (Le dossier de la Cour renferme des données que le public n'est pas autorisé à consulter)</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3"/>
          </w:tcPr>
          <w:p w:rsidR="00B22687" w:rsidRPr="00EA63C5" w:rsidRDefault="00FB57D6" w:rsidP="00B22687">
            <w:pPr>
              <w:jc w:val="both"/>
              <w:rPr>
                <w:sz w:val="20"/>
                <w:szCs w:val="20"/>
                <w:lang w:val="fr-CA"/>
              </w:rPr>
            </w:pPr>
            <w:r w:rsidRPr="00EA63C5">
              <w:rPr>
                <w:sz w:val="20"/>
                <w:szCs w:val="20"/>
                <w:lang w:val="fr-CA"/>
              </w:rPr>
              <w:t xml:space="preserve">Procédure civile – </w:t>
            </w:r>
            <w:r w:rsidRPr="00EA63C5">
              <w:rPr>
                <w:color w:val="000000"/>
                <w:sz w:val="20"/>
                <w:szCs w:val="20"/>
                <w:lang w:val="fr-CA"/>
              </w:rPr>
              <w:t xml:space="preserve">Déclaration d’inhabilité d’un avocat à occuper – Requête en déclaration d’inhabilité déposée en matière familiale – Retard de l’audition sur le fond – Abus de procédure – Dommage punitif </w:t>
            </w:r>
            <w:r w:rsidRPr="00EA63C5">
              <w:rPr>
                <w:sz w:val="20"/>
                <w:szCs w:val="20"/>
                <w:lang w:val="fr-CA"/>
              </w:rPr>
              <w:t>– Les tribunaux inférieurs ont-ils commis une erreur en imputant à la requérante des dommages punitifs? – Les tribunaux inférieurs ont-ils agis au détriment du droit à une défense pleine et entière en refusant d’entendre les témoins?</w:t>
            </w:r>
          </w:p>
          <w:p w:rsidR="00FB57D6" w:rsidRPr="00EA63C5" w:rsidRDefault="00FB57D6" w:rsidP="00B22687">
            <w:pPr>
              <w:jc w:val="both"/>
              <w:rPr>
                <w:rFonts w:cs="Times New Roman"/>
                <w:sz w:val="20"/>
                <w:szCs w:val="20"/>
                <w:u w:val="single"/>
                <w:lang w:val="fr-CA"/>
              </w:rPr>
            </w:pPr>
          </w:p>
        </w:tc>
      </w:tr>
      <w:tr w:rsidR="00B22687" w:rsidRPr="007F6DC5" w:rsidTr="00B22687">
        <w:trPr>
          <w:cantSplit/>
        </w:trPr>
        <w:tc>
          <w:tcPr>
            <w:tcW w:w="9576" w:type="dxa"/>
            <w:gridSpan w:val="3"/>
          </w:tcPr>
          <w:p w:rsidR="00FB57D6" w:rsidRPr="00EA63C5" w:rsidRDefault="00FB57D6" w:rsidP="00FB57D6">
            <w:pPr>
              <w:jc w:val="both"/>
              <w:rPr>
                <w:sz w:val="20"/>
                <w:szCs w:val="20"/>
                <w:lang w:val="fr-CA"/>
              </w:rPr>
            </w:pPr>
            <w:r w:rsidRPr="00EA63C5">
              <w:rPr>
                <w:sz w:val="20"/>
                <w:szCs w:val="20"/>
                <w:lang w:val="fr-CA"/>
              </w:rPr>
              <w:t xml:space="preserve">Dans le cadre d’une instance en matière familiale en révision de garde d’un enfant, une requête en inhabilité est présentée par la demanderesse à l’encontre du procureur de l’intimé.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tcPr>
          <w:p w:rsidR="00FB57D6" w:rsidRPr="00EA63C5" w:rsidRDefault="00FB57D6" w:rsidP="00FB57D6">
            <w:pPr>
              <w:rPr>
                <w:sz w:val="20"/>
                <w:szCs w:val="20"/>
                <w:lang w:val="fr-CA"/>
              </w:rPr>
            </w:pPr>
            <w:r w:rsidRPr="00EA63C5">
              <w:rPr>
                <w:sz w:val="20"/>
                <w:szCs w:val="20"/>
                <w:lang w:val="fr-CA"/>
              </w:rPr>
              <w:t>Le 17 février 2016</w:t>
            </w:r>
          </w:p>
          <w:p w:rsidR="00FB57D6" w:rsidRPr="00EA63C5" w:rsidRDefault="00FB57D6" w:rsidP="00FB57D6">
            <w:pPr>
              <w:rPr>
                <w:sz w:val="20"/>
                <w:szCs w:val="20"/>
                <w:lang w:val="fr-CA"/>
              </w:rPr>
            </w:pPr>
            <w:r w:rsidRPr="00EA63C5">
              <w:rPr>
                <w:sz w:val="20"/>
                <w:szCs w:val="20"/>
                <w:lang w:val="fr-CA"/>
              </w:rPr>
              <w:t>Cour supérieure du Québec</w:t>
            </w:r>
          </w:p>
          <w:p w:rsidR="00FB57D6" w:rsidRPr="00EA63C5" w:rsidRDefault="00FB57D6" w:rsidP="00FB57D6">
            <w:pPr>
              <w:rPr>
                <w:sz w:val="20"/>
                <w:szCs w:val="20"/>
              </w:rPr>
            </w:pPr>
            <w:r w:rsidRPr="00EA63C5">
              <w:rPr>
                <w:sz w:val="20"/>
                <w:szCs w:val="20"/>
              </w:rPr>
              <w:t xml:space="preserve">(La </w:t>
            </w:r>
            <w:proofErr w:type="spellStart"/>
            <w:r w:rsidRPr="00EA63C5">
              <w:rPr>
                <w:sz w:val="20"/>
                <w:szCs w:val="20"/>
              </w:rPr>
              <w:t>juge</w:t>
            </w:r>
            <w:proofErr w:type="spellEnd"/>
            <w:r w:rsidRPr="00EA63C5">
              <w:rPr>
                <w:sz w:val="20"/>
                <w:szCs w:val="20"/>
              </w:rPr>
              <w:t xml:space="preserve"> </w:t>
            </w:r>
            <w:proofErr w:type="spellStart"/>
            <w:r w:rsidRPr="00EA63C5">
              <w:rPr>
                <w:sz w:val="20"/>
                <w:szCs w:val="20"/>
              </w:rPr>
              <w:t>Bénard</w:t>
            </w:r>
            <w:proofErr w:type="spellEnd"/>
            <w:r w:rsidRPr="00EA63C5">
              <w:rPr>
                <w:sz w:val="20"/>
                <w:szCs w:val="20"/>
              </w:rPr>
              <w:t>)</w:t>
            </w:r>
          </w:p>
          <w:p w:rsidR="00FB57D6" w:rsidRPr="00EA63C5" w:rsidRDefault="007F6DC5" w:rsidP="00FB57D6">
            <w:pPr>
              <w:rPr>
                <w:sz w:val="20"/>
                <w:szCs w:val="20"/>
              </w:rPr>
            </w:pPr>
            <w:hyperlink r:id="rId34" w:history="1">
              <w:r w:rsidR="00FB57D6" w:rsidRPr="00EA63C5">
                <w:rPr>
                  <w:rStyle w:val="Hyperlink"/>
                  <w:sz w:val="20"/>
                  <w:szCs w:val="20"/>
                </w:rPr>
                <w:t>2016 QCCS 1468</w:t>
              </w:r>
            </w:hyperlink>
            <w:r w:rsidR="00FB57D6" w:rsidRPr="00EA63C5">
              <w:rPr>
                <w:sz w:val="20"/>
                <w:szCs w:val="20"/>
              </w:rPr>
              <w:t xml:space="preserve"> </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jc w:val="both"/>
              <w:rPr>
                <w:sz w:val="20"/>
                <w:szCs w:val="20"/>
                <w:lang w:val="fr-CA"/>
              </w:rPr>
            </w:pPr>
            <w:r w:rsidRPr="00EA63C5">
              <w:rPr>
                <w:sz w:val="20"/>
                <w:szCs w:val="20"/>
                <w:lang w:val="fr-CA"/>
              </w:rPr>
              <w:t>Requête en déclaration d’inhabilité de l’avocate rejetée; Requête pour faire déclarer abusive la requête en déclaration d’inhabilité accordée; Dommage accordé pour abus de procédure</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tcPr>
          <w:p w:rsidR="00FB57D6" w:rsidRPr="00EA63C5" w:rsidRDefault="00FB57D6" w:rsidP="00FB57D6">
            <w:pPr>
              <w:rPr>
                <w:sz w:val="20"/>
                <w:szCs w:val="20"/>
                <w:lang w:val="fr-CA"/>
              </w:rPr>
            </w:pPr>
            <w:r w:rsidRPr="00EA63C5">
              <w:rPr>
                <w:sz w:val="20"/>
                <w:szCs w:val="20"/>
                <w:lang w:val="fr-CA"/>
              </w:rPr>
              <w:t>Le 1 avril 2016</w:t>
            </w:r>
          </w:p>
          <w:p w:rsidR="00FB57D6" w:rsidRPr="00EA63C5" w:rsidRDefault="00FB57D6" w:rsidP="00FB57D6">
            <w:pPr>
              <w:rPr>
                <w:sz w:val="20"/>
                <w:szCs w:val="20"/>
                <w:lang w:val="fr-CA"/>
              </w:rPr>
            </w:pPr>
            <w:r w:rsidRPr="00EA63C5">
              <w:rPr>
                <w:sz w:val="20"/>
                <w:szCs w:val="20"/>
                <w:lang w:val="fr-CA"/>
              </w:rPr>
              <w:t>Cour d’appel du Québec (Montréal)</w:t>
            </w:r>
          </w:p>
          <w:p w:rsidR="00FB57D6" w:rsidRPr="00EA63C5" w:rsidRDefault="00FB57D6" w:rsidP="00FB57D6">
            <w:pPr>
              <w:rPr>
                <w:sz w:val="20"/>
                <w:szCs w:val="20"/>
              </w:rPr>
            </w:pPr>
            <w:r w:rsidRPr="00EA63C5">
              <w:rPr>
                <w:sz w:val="20"/>
                <w:szCs w:val="20"/>
              </w:rPr>
              <w:t xml:space="preserve">(Le </w:t>
            </w:r>
            <w:proofErr w:type="spellStart"/>
            <w:r w:rsidRPr="00EA63C5">
              <w:rPr>
                <w:sz w:val="20"/>
                <w:szCs w:val="20"/>
              </w:rPr>
              <w:t>juge</w:t>
            </w:r>
            <w:proofErr w:type="spellEnd"/>
            <w:r w:rsidRPr="00EA63C5">
              <w:rPr>
                <w:sz w:val="20"/>
                <w:szCs w:val="20"/>
              </w:rPr>
              <w:t xml:space="preserve"> </w:t>
            </w:r>
            <w:proofErr w:type="spellStart"/>
            <w:r w:rsidRPr="00EA63C5">
              <w:rPr>
                <w:sz w:val="20"/>
                <w:szCs w:val="20"/>
              </w:rPr>
              <w:t>Vauclair</w:t>
            </w:r>
            <w:proofErr w:type="spellEnd"/>
            <w:r w:rsidRPr="00EA63C5">
              <w:rPr>
                <w:sz w:val="20"/>
                <w:szCs w:val="20"/>
              </w:rPr>
              <w:t>)</w:t>
            </w:r>
          </w:p>
          <w:p w:rsidR="00FB57D6" w:rsidRPr="00EA63C5" w:rsidRDefault="007F6DC5" w:rsidP="00FB57D6">
            <w:pPr>
              <w:rPr>
                <w:sz w:val="20"/>
                <w:szCs w:val="20"/>
              </w:rPr>
            </w:pPr>
            <w:hyperlink r:id="rId35" w:history="1">
              <w:r w:rsidR="00FB57D6" w:rsidRPr="00EA63C5">
                <w:rPr>
                  <w:rStyle w:val="Hyperlink"/>
                  <w:sz w:val="20"/>
                  <w:szCs w:val="20"/>
                </w:rPr>
                <w:t>2016 QCCA 551</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rPr>
            </w:pPr>
            <w:proofErr w:type="spellStart"/>
            <w:r w:rsidRPr="00EA63C5">
              <w:rPr>
                <w:sz w:val="20"/>
                <w:szCs w:val="20"/>
              </w:rPr>
              <w:t>Requête</w:t>
            </w:r>
            <w:proofErr w:type="spellEnd"/>
            <w:r w:rsidRPr="00EA63C5">
              <w:rPr>
                <w:sz w:val="20"/>
                <w:szCs w:val="20"/>
              </w:rPr>
              <w:t xml:space="preserve"> pour permission </w:t>
            </w:r>
            <w:proofErr w:type="spellStart"/>
            <w:r w:rsidRPr="00EA63C5">
              <w:rPr>
                <w:sz w:val="20"/>
                <w:szCs w:val="20"/>
              </w:rPr>
              <w:t>d’appeler</w:t>
            </w:r>
            <w:proofErr w:type="spellEnd"/>
            <w:r w:rsidRPr="00EA63C5">
              <w:rPr>
                <w:sz w:val="20"/>
                <w:szCs w:val="20"/>
              </w:rPr>
              <w:t xml:space="preserve"> </w:t>
            </w:r>
            <w:proofErr w:type="spellStart"/>
            <w:r w:rsidRPr="00EA63C5">
              <w:rPr>
                <w:sz w:val="20"/>
                <w:szCs w:val="20"/>
              </w:rPr>
              <w:t>rejetée</w:t>
            </w:r>
            <w:proofErr w:type="spellEnd"/>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tcPr>
          <w:p w:rsidR="00FB57D6" w:rsidRPr="00EA63C5" w:rsidRDefault="00FB57D6" w:rsidP="00FB57D6">
            <w:pPr>
              <w:rPr>
                <w:sz w:val="20"/>
                <w:szCs w:val="20"/>
                <w:lang w:val="fr-CA"/>
              </w:rPr>
            </w:pPr>
            <w:r w:rsidRPr="00EA63C5">
              <w:rPr>
                <w:sz w:val="20"/>
                <w:szCs w:val="20"/>
                <w:lang w:val="fr-CA"/>
              </w:rPr>
              <w:lastRenderedPageBreak/>
              <w:t>Le 31 mai 2016</w:t>
            </w:r>
          </w:p>
          <w:p w:rsidR="00B22687" w:rsidRPr="00EA63C5" w:rsidRDefault="00FB57D6" w:rsidP="00FB57D6">
            <w:pPr>
              <w:pStyle w:val="SCCShortJudgment"/>
              <w:ind w:firstLine="0"/>
              <w:rPr>
                <w:rFonts w:cs="Times New Roman"/>
                <w:szCs w:val="20"/>
                <w:u w:val="single"/>
                <w:lang w:val="fr-CA"/>
              </w:rPr>
            </w:pPr>
            <w:r w:rsidRPr="00EA63C5">
              <w:rPr>
                <w:szCs w:val="20"/>
                <w:lang w:val="fr-CA"/>
              </w:rPr>
              <w:t>Cour suprême du Canada</w:t>
            </w: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rPr>
                <w:sz w:val="20"/>
                <w:szCs w:val="20"/>
              </w:rPr>
            </w:pPr>
            <w:proofErr w:type="spellStart"/>
            <w:r w:rsidRPr="00EA63C5">
              <w:rPr>
                <w:sz w:val="20"/>
                <w:szCs w:val="20"/>
              </w:rPr>
              <w:t>Demande</w:t>
            </w:r>
            <w:proofErr w:type="spellEnd"/>
            <w:r w:rsidRPr="00EA63C5">
              <w:rPr>
                <w:sz w:val="20"/>
                <w:szCs w:val="20"/>
              </w:rPr>
              <w:t xml:space="preserve"> </w:t>
            </w:r>
            <w:proofErr w:type="spellStart"/>
            <w:r w:rsidRPr="00EA63C5">
              <w:rPr>
                <w:sz w:val="20"/>
                <w:szCs w:val="20"/>
              </w:rPr>
              <w:t>d'autorisation</w:t>
            </w:r>
            <w:proofErr w:type="spellEnd"/>
            <w:r w:rsidRPr="00EA63C5">
              <w:rPr>
                <w:sz w:val="20"/>
                <w:szCs w:val="20"/>
              </w:rPr>
              <w:t xml:space="preserve"> </w:t>
            </w:r>
            <w:proofErr w:type="spellStart"/>
            <w:r w:rsidRPr="00EA63C5">
              <w:rPr>
                <w:sz w:val="20"/>
                <w:szCs w:val="20"/>
              </w:rPr>
              <w:t>d'appel</w:t>
            </w:r>
            <w:proofErr w:type="spellEnd"/>
            <w:r w:rsidRPr="00EA63C5">
              <w:rPr>
                <w:sz w:val="20"/>
                <w:szCs w:val="20"/>
              </w:rPr>
              <w:t xml:space="preserve"> </w:t>
            </w:r>
            <w:proofErr w:type="spellStart"/>
            <w:r w:rsidRPr="00EA63C5">
              <w:rPr>
                <w:sz w:val="20"/>
                <w:szCs w:val="20"/>
              </w:rPr>
              <w:t>déposée</w:t>
            </w:r>
            <w:proofErr w:type="spellEnd"/>
          </w:p>
          <w:p w:rsidR="00B22687" w:rsidRPr="00EA63C5" w:rsidRDefault="00B22687" w:rsidP="00B22687">
            <w:pPr>
              <w:pStyle w:val="SCCShortJudgment"/>
              <w:ind w:firstLine="0"/>
              <w:rPr>
                <w:rFonts w:cs="Times New Roman"/>
                <w:szCs w:val="20"/>
                <w:u w:val="single"/>
                <w:lang w:val="fr-CA"/>
              </w:rPr>
            </w:pPr>
          </w:p>
        </w:tc>
      </w:tr>
    </w:tbl>
    <w:p w:rsidR="00B22687" w:rsidRPr="00EA63C5" w:rsidRDefault="007F6DC5" w:rsidP="000E2959">
      <w:pPr>
        <w:rPr>
          <w:sz w:val="20"/>
          <w:szCs w:val="20"/>
        </w:rPr>
      </w:pPr>
      <w:r>
        <w:rPr>
          <w:sz w:val="20"/>
          <w:szCs w:val="20"/>
          <w:lang w:val="fr-CA"/>
        </w:rPr>
        <w:pict>
          <v:rect id="_x0000_i1063" style="width:2in;height:1pt" o:hrpct="0" o:hralign="center" o:hrstd="t" o:hrnoshade="t" o:hr="t" fillcolor="black [3213]" stroked="f"/>
        </w:pict>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370</w:t>
            </w:r>
            <w:r w:rsidR="00BF2CCE" w:rsidRPr="00EA63C5">
              <w:rPr>
                <w:rStyle w:val="SCCFileNumberChar"/>
                <w:sz w:val="20"/>
                <w:szCs w:val="20"/>
              </w:rPr>
              <w:t>39</w:t>
            </w:r>
          </w:p>
          <w:p w:rsidR="00B22687" w:rsidRPr="00EA63C5" w:rsidRDefault="00B22687" w:rsidP="00B22687">
            <w:pPr>
              <w:jc w:val="both"/>
              <w:rPr>
                <w:rFonts w:cs="Times New Roman"/>
                <w:b/>
                <w:sz w:val="20"/>
                <w:szCs w:val="20"/>
              </w:rPr>
            </w:pPr>
          </w:p>
        </w:tc>
        <w:tc>
          <w:tcPr>
            <w:tcW w:w="8118" w:type="dxa"/>
            <w:gridSpan w:val="3"/>
          </w:tcPr>
          <w:p w:rsidR="00B22687" w:rsidRPr="00EA63C5" w:rsidRDefault="001D68AE" w:rsidP="00B22687">
            <w:pPr>
              <w:jc w:val="both"/>
              <w:rPr>
                <w:rFonts w:cs="Times New Roman"/>
                <w:sz w:val="20"/>
                <w:szCs w:val="20"/>
              </w:rPr>
            </w:pPr>
            <w:proofErr w:type="spellStart"/>
            <w:r w:rsidRPr="00EA63C5">
              <w:rPr>
                <w:rStyle w:val="SCCLsocChar"/>
                <w:rFonts w:cs="Times New Roman"/>
                <w:sz w:val="20"/>
                <w:szCs w:val="20"/>
                <w:lang w:val="en-US"/>
              </w:rPr>
              <w:t>Deslaurier</w:t>
            </w:r>
            <w:proofErr w:type="spellEnd"/>
            <w:r w:rsidRPr="00EA63C5">
              <w:rPr>
                <w:rStyle w:val="SCCLsocChar"/>
                <w:rFonts w:cs="Times New Roman"/>
                <w:sz w:val="20"/>
                <w:szCs w:val="20"/>
                <w:lang w:val="en-US"/>
              </w:rPr>
              <w:t xml:space="preserve"> Custom Cabinets </w:t>
            </w:r>
            <w:proofErr w:type="spellStart"/>
            <w:r w:rsidRPr="00EA63C5">
              <w:rPr>
                <w:rStyle w:val="SCCLsocChar"/>
                <w:rFonts w:cs="Times New Roman"/>
                <w:sz w:val="20"/>
                <w:szCs w:val="20"/>
                <w:lang w:val="en-US"/>
              </w:rPr>
              <w:t>Inc</w:t>
            </w:r>
            <w:proofErr w:type="spellEnd"/>
            <w:r w:rsidRPr="00EA63C5">
              <w:rPr>
                <w:rStyle w:val="SCCLsocChar"/>
                <w:rFonts w:cs="Times New Roman"/>
                <w:sz w:val="20"/>
                <w:szCs w:val="20"/>
                <w:lang w:val="en-US"/>
              </w:rPr>
              <w:t xml:space="preserve"> v. 1728106 Ontario Inc.</w:t>
            </w:r>
            <w:r w:rsidR="00B22687" w:rsidRPr="00EA63C5">
              <w:t xml:space="preserve"> </w:t>
            </w:r>
            <w:r w:rsidR="00B22687" w:rsidRPr="00EA63C5">
              <w:rPr>
                <w:rFonts w:cs="Times New Roman"/>
                <w:sz w:val="20"/>
                <w:szCs w:val="20"/>
              </w:rPr>
              <w:t>(Ont.)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1D68AE" w:rsidP="00B22687">
            <w:pPr>
              <w:jc w:val="both"/>
              <w:rPr>
                <w:rStyle w:val="SCCCoramChar"/>
                <w:rFonts w:cs="Times New Roman"/>
                <w:sz w:val="20"/>
                <w:szCs w:val="20"/>
                <w:lang w:val="en-US"/>
              </w:rPr>
            </w:pPr>
            <w:r w:rsidRPr="00EA63C5">
              <w:rPr>
                <w:rStyle w:val="SCCCoramChar"/>
                <w:rFonts w:cs="Times New Roman"/>
                <w:sz w:val="20"/>
                <w:szCs w:val="20"/>
                <w:lang w:val="en-US"/>
              </w:rPr>
              <w:t>Cromwell, Wagner and Côté JJ.</w:t>
            </w:r>
          </w:p>
          <w:p w:rsidR="001D68AE" w:rsidRPr="00EA63C5" w:rsidRDefault="001D68AE" w:rsidP="00B22687">
            <w:pPr>
              <w:jc w:val="both"/>
              <w:rPr>
                <w:rFonts w:cs="Times New Roman"/>
                <w:sz w:val="20"/>
                <w:szCs w:val="20"/>
                <w:u w:val="single"/>
              </w:rPr>
            </w:pPr>
          </w:p>
        </w:tc>
      </w:tr>
      <w:tr w:rsidR="00B22687" w:rsidRPr="007F6DC5" w:rsidTr="00B22687">
        <w:trPr>
          <w:cantSplit/>
        </w:trPr>
        <w:tc>
          <w:tcPr>
            <w:tcW w:w="9576" w:type="dxa"/>
            <w:gridSpan w:val="4"/>
          </w:tcPr>
          <w:p w:rsidR="00B22687" w:rsidRPr="00EA63C5" w:rsidRDefault="00B22687" w:rsidP="00B22687">
            <w:pPr>
              <w:pStyle w:val="SCCShortJudgment"/>
              <w:ind w:firstLine="0"/>
              <w:rPr>
                <w:rFonts w:cs="Times New Roman"/>
                <w:szCs w:val="20"/>
              </w:rPr>
            </w:pPr>
            <w:r w:rsidRPr="00EA63C5">
              <w:rPr>
                <w:rFonts w:cs="Times New Roman"/>
                <w:szCs w:val="20"/>
              </w:rPr>
              <w:tab/>
            </w:r>
            <w:r w:rsidR="001D68AE" w:rsidRPr="00EA63C5">
              <w:rPr>
                <w:rFonts w:cs="Times New Roman"/>
                <w:szCs w:val="20"/>
              </w:rPr>
              <w:t xml:space="preserve">Pursuant to s. 43(1.1) of the </w:t>
            </w:r>
            <w:r w:rsidR="001D68AE" w:rsidRPr="00EA63C5">
              <w:rPr>
                <w:rFonts w:cs="Times New Roman"/>
                <w:i/>
                <w:szCs w:val="20"/>
              </w:rPr>
              <w:t>Supreme Court Act</w:t>
            </w:r>
            <w:r w:rsidR="001D68AE" w:rsidRPr="00EA63C5">
              <w:rPr>
                <w:rFonts w:cs="Times New Roman"/>
                <w:szCs w:val="20"/>
              </w:rPr>
              <w:t xml:space="preserve">, the case forming the basis of the application for leave to appeal from the judgment of the Court of Appeal for Ontario (Toronto), Number C59429, 2016 ONCA 246, dated April 4, 2016, is remanded to the Court of Appeal for Ontario for disposition in accordance with </w:t>
            </w:r>
            <w:proofErr w:type="spellStart"/>
            <w:r w:rsidR="001D68AE" w:rsidRPr="00EA63C5">
              <w:rPr>
                <w:rFonts w:cs="Times New Roman"/>
                <w:i/>
                <w:szCs w:val="20"/>
              </w:rPr>
              <w:t>Ledcor</w:t>
            </w:r>
            <w:proofErr w:type="spellEnd"/>
            <w:r w:rsidR="001D68AE" w:rsidRPr="00EA63C5">
              <w:rPr>
                <w:rFonts w:cs="Times New Roman"/>
                <w:i/>
                <w:szCs w:val="20"/>
              </w:rPr>
              <w:t xml:space="preserve"> Construction Ltd. </w:t>
            </w:r>
            <w:r w:rsidR="001D68AE" w:rsidRPr="00EA63C5">
              <w:rPr>
                <w:rFonts w:cs="Times New Roman"/>
                <w:i/>
                <w:szCs w:val="20"/>
                <w:lang w:val="en-US"/>
              </w:rPr>
              <w:t>v. Northbridge Indemnity Insurance</w:t>
            </w:r>
            <w:r w:rsidR="001D68AE" w:rsidRPr="00EA63C5">
              <w:rPr>
                <w:rFonts w:cs="Times New Roman"/>
                <w:szCs w:val="20"/>
                <w:lang w:val="en-US"/>
              </w:rPr>
              <w:t xml:space="preserve"> Co., </w:t>
            </w:r>
            <w:r w:rsidR="001D68AE" w:rsidRPr="00EA63C5">
              <w:rPr>
                <w:szCs w:val="20"/>
                <w:lang w:val="en-US"/>
              </w:rPr>
              <w:t>2016 SCC 37.</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szCs w:val="20"/>
                <w:lang w:val="fr-CA"/>
              </w:rPr>
            </w:pPr>
            <w:r w:rsidRPr="00EA63C5">
              <w:rPr>
                <w:rFonts w:cs="Times New Roman"/>
                <w:szCs w:val="20"/>
              </w:rPr>
              <w:tab/>
            </w:r>
            <w:r w:rsidR="001D68AE" w:rsidRPr="00EA63C5">
              <w:rPr>
                <w:rFonts w:cs="Times New Roman"/>
                <w:szCs w:val="20"/>
                <w:lang w:val="fr-CA"/>
              </w:rPr>
              <w:t xml:space="preserve">Conformément au paragraphe 43(1.1) de la </w:t>
            </w:r>
            <w:r w:rsidR="001D68AE" w:rsidRPr="00EA63C5">
              <w:rPr>
                <w:rFonts w:cs="Times New Roman"/>
                <w:i/>
                <w:szCs w:val="20"/>
                <w:lang w:val="fr-CA"/>
              </w:rPr>
              <w:t>Loi sur la Cour suprême</w:t>
            </w:r>
            <w:r w:rsidR="001D68AE" w:rsidRPr="00EA63C5">
              <w:rPr>
                <w:rFonts w:cs="Times New Roman"/>
                <w:szCs w:val="20"/>
                <w:lang w:val="fr-CA"/>
              </w:rPr>
              <w:t xml:space="preserve">, l’affaire à l’origine de la demande d’autorisation d’appel de l’arrêt de la Cour d’appel de l’Ontario (Toronto), numéro C59429, 2016 ONCA 246, daté du 4 avril 2016, est renvoyée à la Cour d’appel de l’Ontario pour qu’elle statue en conformité avec </w:t>
            </w:r>
            <w:proofErr w:type="spellStart"/>
            <w:r w:rsidR="001D68AE" w:rsidRPr="00EA63C5">
              <w:rPr>
                <w:i/>
                <w:szCs w:val="20"/>
                <w:lang w:val="fr-FR"/>
              </w:rPr>
              <w:t>Ledcor</w:t>
            </w:r>
            <w:proofErr w:type="spellEnd"/>
            <w:r w:rsidR="001D68AE" w:rsidRPr="00EA63C5">
              <w:rPr>
                <w:i/>
                <w:szCs w:val="20"/>
                <w:lang w:val="fr-FR"/>
              </w:rPr>
              <w:t xml:space="preserve"> Construction Ltd. </w:t>
            </w:r>
            <w:r w:rsidR="001D68AE" w:rsidRPr="00EA63C5">
              <w:rPr>
                <w:i/>
                <w:szCs w:val="20"/>
                <w:lang w:val="fr-CA"/>
              </w:rPr>
              <w:t>c. Soci</w:t>
            </w:r>
            <w:r w:rsidR="001D68AE" w:rsidRPr="00EA63C5">
              <w:rPr>
                <w:rFonts w:cs="Times New Roman"/>
                <w:i/>
                <w:szCs w:val="20"/>
                <w:lang w:val="fr-CA"/>
              </w:rPr>
              <w:t>é</w:t>
            </w:r>
            <w:r w:rsidR="001D68AE" w:rsidRPr="00EA63C5">
              <w:rPr>
                <w:i/>
                <w:szCs w:val="20"/>
                <w:lang w:val="fr-CA"/>
              </w:rPr>
              <w:t>t</w:t>
            </w:r>
            <w:r w:rsidR="001D68AE" w:rsidRPr="00EA63C5">
              <w:rPr>
                <w:rFonts w:cs="Times New Roman"/>
                <w:i/>
                <w:szCs w:val="20"/>
                <w:lang w:val="fr-CA"/>
              </w:rPr>
              <w:t>é</w:t>
            </w:r>
            <w:r w:rsidR="001D68AE" w:rsidRPr="00EA63C5">
              <w:rPr>
                <w:i/>
                <w:szCs w:val="20"/>
                <w:lang w:val="fr-CA"/>
              </w:rPr>
              <w:t xml:space="preserve"> d’assurance d’indemnisation </w:t>
            </w:r>
            <w:proofErr w:type="spellStart"/>
            <w:r w:rsidR="001D68AE" w:rsidRPr="00EA63C5">
              <w:rPr>
                <w:i/>
                <w:szCs w:val="20"/>
                <w:lang w:val="fr-CA"/>
              </w:rPr>
              <w:t>Northbridge</w:t>
            </w:r>
            <w:proofErr w:type="spellEnd"/>
            <w:r w:rsidR="001D68AE" w:rsidRPr="00EA63C5">
              <w:rPr>
                <w:i/>
                <w:szCs w:val="20"/>
                <w:lang w:val="fr-CA"/>
              </w:rPr>
              <w:t>,</w:t>
            </w:r>
            <w:r w:rsidR="001D68AE" w:rsidRPr="00EA63C5">
              <w:rPr>
                <w:rFonts w:cs="Times New Roman"/>
                <w:szCs w:val="20"/>
                <w:lang w:val="fr-CA"/>
              </w:rPr>
              <w:t xml:space="preserve"> </w:t>
            </w:r>
            <w:r w:rsidR="001D68AE" w:rsidRPr="00EA63C5">
              <w:rPr>
                <w:szCs w:val="20"/>
                <w:lang w:val="fr-CA"/>
              </w:rPr>
              <w:t>2016 CSC 37.</w:t>
            </w:r>
          </w:p>
          <w:p w:rsidR="001D68AE" w:rsidRPr="00EA63C5" w:rsidRDefault="001D68AE"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FB57D6" w:rsidRPr="00EA63C5" w:rsidRDefault="00FB57D6" w:rsidP="00FB57D6">
            <w:pPr>
              <w:jc w:val="both"/>
              <w:rPr>
                <w:sz w:val="20"/>
                <w:szCs w:val="20"/>
              </w:rPr>
            </w:pPr>
            <w:r w:rsidRPr="00EA63C5">
              <w:rPr>
                <w:sz w:val="20"/>
                <w:szCs w:val="20"/>
              </w:rPr>
              <w:t xml:space="preserve">Contracts </w:t>
            </w:r>
            <w:r w:rsidRPr="00EA63C5">
              <w:rPr>
                <w:color w:val="1F1F1F"/>
                <w:sz w:val="20"/>
                <w:szCs w:val="20"/>
                <w:lang w:val="en-US"/>
              </w:rPr>
              <w:t>–</w:t>
            </w:r>
            <w:r w:rsidRPr="00EA63C5">
              <w:rPr>
                <w:sz w:val="20"/>
                <w:szCs w:val="20"/>
              </w:rPr>
              <w:t xml:space="preserve"> Commercial lease </w:t>
            </w:r>
            <w:r w:rsidRPr="00EA63C5">
              <w:rPr>
                <w:color w:val="1F1F1F"/>
                <w:sz w:val="20"/>
                <w:szCs w:val="20"/>
                <w:lang w:val="en-US"/>
              </w:rPr>
              <w:t>–</w:t>
            </w:r>
            <w:r w:rsidRPr="00EA63C5">
              <w:rPr>
                <w:sz w:val="20"/>
                <w:szCs w:val="20"/>
              </w:rPr>
              <w:t xml:space="preserve"> Landlord and Tenant </w:t>
            </w:r>
            <w:r w:rsidRPr="00EA63C5">
              <w:rPr>
                <w:color w:val="1F1F1F"/>
                <w:sz w:val="20"/>
                <w:szCs w:val="20"/>
                <w:lang w:val="en-US"/>
              </w:rPr>
              <w:t>–</w:t>
            </w:r>
            <w:r w:rsidRPr="00EA63C5">
              <w:rPr>
                <w:sz w:val="20"/>
                <w:szCs w:val="20"/>
              </w:rPr>
              <w:t xml:space="preserve"> Insurance </w:t>
            </w:r>
            <w:r w:rsidRPr="00EA63C5">
              <w:rPr>
                <w:color w:val="1F1F1F"/>
                <w:sz w:val="20"/>
                <w:szCs w:val="20"/>
                <w:lang w:val="en-US"/>
              </w:rPr>
              <w:t>–</w:t>
            </w:r>
            <w:r w:rsidRPr="00EA63C5">
              <w:rPr>
                <w:sz w:val="20"/>
                <w:szCs w:val="20"/>
              </w:rPr>
              <w:t xml:space="preserve"> Property insurance </w:t>
            </w:r>
            <w:r w:rsidRPr="00EA63C5">
              <w:rPr>
                <w:color w:val="1F1F1F"/>
                <w:sz w:val="20"/>
                <w:szCs w:val="20"/>
                <w:lang w:val="en-US"/>
              </w:rPr>
              <w:t>–</w:t>
            </w:r>
            <w:r w:rsidRPr="00EA63C5">
              <w:rPr>
                <w:sz w:val="20"/>
                <w:szCs w:val="20"/>
              </w:rPr>
              <w:t xml:space="preserve"> Contractual loss allocation </w:t>
            </w:r>
            <w:r w:rsidRPr="00EA63C5">
              <w:rPr>
                <w:color w:val="1F1F1F"/>
                <w:sz w:val="20"/>
                <w:szCs w:val="20"/>
                <w:lang w:val="en-US"/>
              </w:rPr>
              <w:t>–</w:t>
            </w:r>
            <w:r w:rsidRPr="00EA63C5">
              <w:rPr>
                <w:sz w:val="20"/>
                <w:szCs w:val="20"/>
              </w:rPr>
              <w:t xml:space="preserve"> Interpretation of contractual insurance covenants to determine who is responsible for loss and damage caused by fire at Landlord’s property and Tenant’s business </w:t>
            </w:r>
            <w:r w:rsidRPr="00EA63C5">
              <w:rPr>
                <w:color w:val="1F1F1F"/>
                <w:sz w:val="20"/>
                <w:szCs w:val="20"/>
                <w:lang w:val="en-US"/>
              </w:rPr>
              <w:t>–</w:t>
            </w:r>
            <w:r w:rsidRPr="00EA63C5">
              <w:rPr>
                <w:sz w:val="20"/>
                <w:szCs w:val="20"/>
              </w:rPr>
              <w:t xml:space="preserve"> Whether covenant to insure relieves beneficiary of covenant from any liability for losses which may result from its own negligence </w:t>
            </w:r>
            <w:r w:rsidRPr="00EA63C5">
              <w:rPr>
                <w:color w:val="1F1F1F"/>
                <w:sz w:val="20"/>
                <w:szCs w:val="20"/>
                <w:lang w:val="en-US"/>
              </w:rPr>
              <w:t>–</w:t>
            </w:r>
            <w:r w:rsidRPr="00EA63C5">
              <w:rPr>
                <w:sz w:val="20"/>
                <w:szCs w:val="20"/>
              </w:rPr>
              <w:t xml:space="preserve"> Whether appellate court may substitute its own interpretation of commercial agreement for that of judge of first instance.</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9576" w:type="dxa"/>
            <w:gridSpan w:val="4"/>
          </w:tcPr>
          <w:p w:rsidR="00FB57D6" w:rsidRPr="00EA63C5" w:rsidRDefault="00FB57D6" w:rsidP="00FB57D6">
            <w:pPr>
              <w:jc w:val="both"/>
              <w:rPr>
                <w:rFonts w:eastAsia="Times New Roman" w:cs="Times New Roman"/>
                <w:sz w:val="20"/>
                <w:szCs w:val="20"/>
                <w:lang w:eastAsia="en-CA"/>
              </w:rPr>
            </w:pPr>
            <w:r w:rsidRPr="00EA63C5">
              <w:rPr>
                <w:rFonts w:eastAsia="Times New Roman" w:cs="Times New Roman"/>
                <w:sz w:val="20"/>
                <w:szCs w:val="20"/>
                <w:lang w:eastAsia="en-CA"/>
              </w:rPr>
              <w:t xml:space="preserve">This appeal concerns the interpretation of insurance and cross-indemnity covenants contained in a commercial lease. After a fire destroyed the leased premises, causing significant damage to the respondent, Landlord’s building and the applicant, Tenant’s property and business, the Tenant brought a claim against the Landlord to recover its losses. </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9576" w:type="dxa"/>
            <w:gridSpan w:val="4"/>
          </w:tcPr>
          <w:p w:rsidR="00B22687" w:rsidRPr="00EA63C5" w:rsidRDefault="00FB57D6" w:rsidP="00B22687">
            <w:pPr>
              <w:pStyle w:val="SCCShortJudgment"/>
              <w:ind w:firstLine="0"/>
              <w:rPr>
                <w:rFonts w:eastAsia="Times New Roman" w:cs="Times New Roman"/>
                <w:szCs w:val="20"/>
                <w:lang w:eastAsia="en-CA"/>
              </w:rPr>
            </w:pPr>
            <w:r w:rsidRPr="00EA63C5">
              <w:rPr>
                <w:rFonts w:eastAsia="Times New Roman" w:cs="Times New Roman"/>
                <w:szCs w:val="20"/>
                <w:lang w:eastAsia="en-CA"/>
              </w:rPr>
              <w:t>The Tenant successfully obtained summary judgment against the Landlord. The motion judge found the Landlord assumed the responsibility of indemnifying the Tenant and was therefore liable for the losses claimed by the Tenant. The Court of Appeal allowed the appeal and set aside the summary judgment and dismissed the Tenant’s action against the Landlord.</w:t>
            </w:r>
          </w:p>
          <w:p w:rsidR="00FB57D6" w:rsidRPr="00EA63C5" w:rsidRDefault="00FB57D6" w:rsidP="00B22687">
            <w:pPr>
              <w:pStyle w:val="SCCShortJudgment"/>
              <w:ind w:firstLine="0"/>
              <w:rPr>
                <w:rFonts w:cs="Times New Roman"/>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September 5, 2014</w:t>
            </w:r>
          </w:p>
          <w:p w:rsidR="00FB57D6" w:rsidRPr="00EA63C5" w:rsidRDefault="00FB57D6" w:rsidP="00FB57D6">
            <w:pPr>
              <w:rPr>
                <w:sz w:val="20"/>
                <w:szCs w:val="20"/>
              </w:rPr>
            </w:pPr>
            <w:r w:rsidRPr="00EA63C5">
              <w:rPr>
                <w:sz w:val="20"/>
                <w:szCs w:val="20"/>
              </w:rPr>
              <w:t>Ontario Superior Court of Justice</w:t>
            </w:r>
          </w:p>
          <w:p w:rsidR="00FB57D6" w:rsidRPr="00EA63C5" w:rsidRDefault="00FB57D6" w:rsidP="00FB57D6">
            <w:pPr>
              <w:rPr>
                <w:sz w:val="20"/>
                <w:szCs w:val="20"/>
              </w:rPr>
            </w:pPr>
            <w:r w:rsidRPr="00EA63C5">
              <w:rPr>
                <w:sz w:val="20"/>
                <w:szCs w:val="20"/>
              </w:rPr>
              <w:t>(</w:t>
            </w:r>
            <w:proofErr w:type="spellStart"/>
            <w:r w:rsidRPr="00EA63C5">
              <w:rPr>
                <w:sz w:val="20"/>
                <w:szCs w:val="20"/>
              </w:rPr>
              <w:t>Métivier</w:t>
            </w:r>
            <w:proofErr w:type="spellEnd"/>
            <w:r w:rsidRPr="00EA63C5">
              <w:rPr>
                <w:sz w:val="20"/>
                <w:szCs w:val="20"/>
              </w:rPr>
              <w:t xml:space="preserve"> J.)</w:t>
            </w:r>
          </w:p>
          <w:p w:rsidR="00FB57D6" w:rsidRPr="00EA63C5" w:rsidRDefault="007F6DC5" w:rsidP="00FB57D6">
            <w:pPr>
              <w:rPr>
                <w:sz w:val="20"/>
                <w:szCs w:val="20"/>
              </w:rPr>
            </w:pPr>
            <w:hyperlink r:id="rId36" w:history="1">
              <w:r w:rsidR="00FB57D6" w:rsidRPr="00EA63C5">
                <w:rPr>
                  <w:rStyle w:val="Hyperlink"/>
                  <w:sz w:val="20"/>
                  <w:szCs w:val="20"/>
                </w:rPr>
                <w:t>2014 ONSC 5148</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jc w:val="both"/>
              <w:rPr>
                <w:sz w:val="20"/>
                <w:szCs w:val="20"/>
              </w:rPr>
            </w:pPr>
            <w:r w:rsidRPr="00EA63C5">
              <w:rPr>
                <w:sz w:val="20"/>
                <w:szCs w:val="20"/>
              </w:rPr>
              <w:t xml:space="preserve">Landlord 1728106 Ontario Inc. is liable to indemnify Tenant </w:t>
            </w:r>
            <w:proofErr w:type="spellStart"/>
            <w:r w:rsidRPr="00EA63C5">
              <w:rPr>
                <w:sz w:val="20"/>
                <w:szCs w:val="20"/>
              </w:rPr>
              <w:t>Deslaurier</w:t>
            </w:r>
            <w:proofErr w:type="spellEnd"/>
            <w:r w:rsidRPr="00EA63C5">
              <w:rPr>
                <w:sz w:val="20"/>
                <w:szCs w:val="20"/>
              </w:rPr>
              <w:t xml:space="preserve"> Custom Cabinets Inc. for its losses claimed; Motion for summary judgment to dismiss action dismissed. </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April 4, 2016</w:t>
            </w:r>
          </w:p>
          <w:p w:rsidR="00FB57D6" w:rsidRPr="00EA63C5" w:rsidRDefault="00FB57D6" w:rsidP="00FB57D6">
            <w:pPr>
              <w:rPr>
                <w:sz w:val="20"/>
                <w:szCs w:val="20"/>
              </w:rPr>
            </w:pPr>
            <w:r w:rsidRPr="00EA63C5">
              <w:rPr>
                <w:sz w:val="20"/>
                <w:szCs w:val="20"/>
              </w:rPr>
              <w:t>Court of Appeal for Ontario</w:t>
            </w:r>
          </w:p>
          <w:p w:rsidR="00FB57D6" w:rsidRPr="00EA63C5" w:rsidRDefault="00FB57D6" w:rsidP="00FB57D6">
            <w:pPr>
              <w:rPr>
                <w:sz w:val="20"/>
                <w:szCs w:val="20"/>
              </w:rPr>
            </w:pPr>
            <w:r w:rsidRPr="00EA63C5">
              <w:rPr>
                <w:sz w:val="20"/>
                <w:szCs w:val="20"/>
              </w:rPr>
              <w:t xml:space="preserve">(Cronk, </w:t>
            </w:r>
            <w:proofErr w:type="spellStart"/>
            <w:r w:rsidRPr="00EA63C5">
              <w:rPr>
                <w:sz w:val="20"/>
                <w:szCs w:val="20"/>
              </w:rPr>
              <w:t>Pepall</w:t>
            </w:r>
            <w:proofErr w:type="spellEnd"/>
            <w:r w:rsidRPr="00EA63C5">
              <w:rPr>
                <w:sz w:val="20"/>
                <w:szCs w:val="20"/>
              </w:rPr>
              <w:t xml:space="preserve"> and Miller JJ.A.)</w:t>
            </w:r>
          </w:p>
          <w:p w:rsidR="00FB57D6" w:rsidRPr="00EA63C5" w:rsidRDefault="007F6DC5" w:rsidP="00FB57D6">
            <w:pPr>
              <w:rPr>
                <w:sz w:val="20"/>
                <w:szCs w:val="20"/>
              </w:rPr>
            </w:pPr>
            <w:hyperlink r:id="rId37" w:history="1">
              <w:r w:rsidR="00FB57D6" w:rsidRPr="00EA63C5">
                <w:rPr>
                  <w:rStyle w:val="Hyperlink"/>
                  <w:sz w:val="20"/>
                  <w:szCs w:val="20"/>
                </w:rPr>
                <w:t>2016 ONCA 246</w:t>
              </w:r>
            </w:hyperlink>
          </w:p>
          <w:p w:rsidR="00FB57D6" w:rsidRPr="00EA63C5" w:rsidRDefault="00FB57D6" w:rsidP="00FB57D6">
            <w:pPr>
              <w:rPr>
                <w:sz w:val="20"/>
                <w:szCs w:val="20"/>
              </w:rPr>
            </w:pPr>
            <w:r w:rsidRPr="00EA63C5">
              <w:rPr>
                <w:sz w:val="20"/>
                <w:szCs w:val="20"/>
              </w:rPr>
              <w:t>File No.: C59429</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FB57D6" w:rsidRPr="00EA63C5" w:rsidRDefault="00FB57D6" w:rsidP="00FB57D6">
            <w:pPr>
              <w:jc w:val="both"/>
              <w:rPr>
                <w:sz w:val="20"/>
                <w:szCs w:val="20"/>
              </w:rPr>
            </w:pPr>
            <w:r w:rsidRPr="00EA63C5">
              <w:rPr>
                <w:sz w:val="20"/>
                <w:szCs w:val="20"/>
              </w:rPr>
              <w:t xml:space="preserve">Appeal allowed; judgment of </w:t>
            </w:r>
            <w:proofErr w:type="spellStart"/>
            <w:r w:rsidRPr="00EA63C5">
              <w:rPr>
                <w:sz w:val="20"/>
                <w:szCs w:val="20"/>
              </w:rPr>
              <w:t>Métivier</w:t>
            </w:r>
            <w:proofErr w:type="spellEnd"/>
            <w:r w:rsidRPr="00EA63C5">
              <w:rPr>
                <w:sz w:val="20"/>
                <w:szCs w:val="20"/>
              </w:rPr>
              <w:t> J. set aside; Tenant’s action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FB57D6" w:rsidRPr="00EA63C5" w:rsidRDefault="00FB57D6" w:rsidP="00FB57D6">
            <w:pPr>
              <w:rPr>
                <w:sz w:val="20"/>
                <w:szCs w:val="20"/>
              </w:rPr>
            </w:pPr>
            <w:r w:rsidRPr="00EA63C5">
              <w:rPr>
                <w:sz w:val="20"/>
                <w:szCs w:val="20"/>
              </w:rPr>
              <w:t>June 3, 2016</w:t>
            </w:r>
          </w:p>
          <w:p w:rsidR="00FB57D6" w:rsidRPr="00EA63C5" w:rsidRDefault="00FB57D6" w:rsidP="00FB57D6">
            <w:pPr>
              <w:rPr>
                <w:sz w:val="20"/>
                <w:szCs w:val="20"/>
              </w:rPr>
            </w:pPr>
            <w:r w:rsidRPr="00EA63C5">
              <w:rPr>
                <w:sz w:val="20"/>
                <w:szCs w:val="20"/>
              </w:rPr>
              <w:t>Supreme Court of Canada</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B22687" w:rsidRPr="00EA63C5" w:rsidRDefault="00FB57D6" w:rsidP="00B22687">
            <w:pPr>
              <w:jc w:val="both"/>
              <w:rPr>
                <w:rFonts w:cs="Times New Roman"/>
                <w:sz w:val="20"/>
                <w:szCs w:val="20"/>
              </w:rPr>
            </w:pPr>
            <w:r w:rsidRPr="00EA63C5">
              <w:rPr>
                <w:sz w:val="20"/>
                <w:szCs w:val="20"/>
              </w:rPr>
              <w:t>Application for leave to appeal filed.</w:t>
            </w: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64"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lastRenderedPageBreak/>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FB57D6" w:rsidRPr="00EA63C5" w:rsidRDefault="00FB57D6" w:rsidP="00FB57D6">
            <w:pPr>
              <w:jc w:val="both"/>
              <w:rPr>
                <w:sz w:val="20"/>
                <w:szCs w:val="20"/>
                <w:lang w:val="fr-CA"/>
              </w:rPr>
            </w:pPr>
            <w:r w:rsidRPr="00EA63C5">
              <w:rPr>
                <w:sz w:val="20"/>
                <w:szCs w:val="20"/>
                <w:lang w:val="fr-CA"/>
              </w:rPr>
              <w:t xml:space="preserve">Contrats </w:t>
            </w:r>
            <w:r w:rsidRPr="00EA63C5">
              <w:rPr>
                <w:color w:val="1F1F1F"/>
                <w:sz w:val="20"/>
                <w:szCs w:val="20"/>
                <w:lang w:val="fr-CA"/>
              </w:rPr>
              <w:t>–</w:t>
            </w:r>
            <w:r w:rsidRPr="00EA63C5">
              <w:rPr>
                <w:sz w:val="20"/>
                <w:szCs w:val="20"/>
                <w:lang w:val="fr-CA"/>
              </w:rPr>
              <w:t xml:space="preserve"> Bail commercial </w:t>
            </w:r>
            <w:r w:rsidRPr="00EA63C5">
              <w:rPr>
                <w:color w:val="1F1F1F"/>
                <w:sz w:val="20"/>
                <w:szCs w:val="20"/>
                <w:lang w:val="fr-CA"/>
              </w:rPr>
              <w:t>– L</w:t>
            </w:r>
            <w:r w:rsidRPr="00EA63C5">
              <w:rPr>
                <w:sz w:val="20"/>
                <w:szCs w:val="20"/>
                <w:lang w:val="fr-CA"/>
              </w:rPr>
              <w:t xml:space="preserve">ocateur et locataire </w:t>
            </w:r>
            <w:r w:rsidRPr="00EA63C5">
              <w:rPr>
                <w:color w:val="1F1F1F"/>
                <w:sz w:val="20"/>
                <w:szCs w:val="20"/>
                <w:lang w:val="fr-CA"/>
              </w:rPr>
              <w:t>–</w:t>
            </w:r>
            <w:r w:rsidRPr="00EA63C5">
              <w:rPr>
                <w:sz w:val="20"/>
                <w:szCs w:val="20"/>
                <w:lang w:val="fr-CA"/>
              </w:rPr>
              <w:t xml:space="preserve"> Assurance </w:t>
            </w:r>
            <w:r w:rsidRPr="00EA63C5">
              <w:rPr>
                <w:color w:val="1F1F1F"/>
                <w:sz w:val="20"/>
                <w:szCs w:val="20"/>
                <w:lang w:val="fr-CA"/>
              </w:rPr>
              <w:t>–</w:t>
            </w:r>
            <w:r w:rsidRPr="00EA63C5">
              <w:rPr>
                <w:sz w:val="20"/>
                <w:szCs w:val="20"/>
                <w:lang w:val="fr-CA"/>
              </w:rPr>
              <w:t xml:space="preserve"> Assurance de biens </w:t>
            </w:r>
            <w:r w:rsidRPr="00EA63C5">
              <w:rPr>
                <w:color w:val="1F1F1F"/>
                <w:sz w:val="20"/>
                <w:szCs w:val="20"/>
                <w:lang w:val="fr-CA"/>
              </w:rPr>
              <w:t>–</w:t>
            </w:r>
            <w:r w:rsidRPr="00EA63C5">
              <w:rPr>
                <w:sz w:val="20"/>
                <w:szCs w:val="20"/>
                <w:lang w:val="fr-CA"/>
              </w:rPr>
              <w:t xml:space="preserve"> Allocation pour pertes découlant d’un contrat </w:t>
            </w:r>
            <w:r w:rsidRPr="00EA63C5">
              <w:rPr>
                <w:color w:val="1F1F1F"/>
                <w:sz w:val="20"/>
                <w:szCs w:val="20"/>
                <w:lang w:val="fr-CA"/>
              </w:rPr>
              <w:t>–</w:t>
            </w:r>
            <w:r w:rsidRPr="00EA63C5">
              <w:rPr>
                <w:sz w:val="20"/>
                <w:szCs w:val="20"/>
                <w:lang w:val="fr-CA"/>
              </w:rPr>
              <w:t xml:space="preserve"> Interprétation des clauses d’un contrat d’assurance pour déterminer qui est responsable des pertes et des dommages causés par un feu qui a fait rage dans l’immeuble de la locatrice et le commerce de la locataire </w:t>
            </w:r>
            <w:r w:rsidRPr="00EA63C5">
              <w:rPr>
                <w:color w:val="1F1F1F"/>
                <w:sz w:val="20"/>
                <w:szCs w:val="20"/>
                <w:lang w:val="fr-CA"/>
              </w:rPr>
              <w:t>–</w:t>
            </w:r>
            <w:r w:rsidRPr="00EA63C5">
              <w:rPr>
                <w:sz w:val="20"/>
                <w:szCs w:val="20"/>
                <w:lang w:val="fr-CA"/>
              </w:rPr>
              <w:t xml:space="preserve"> Une clause d’assurance exonère-t-elle celle qui en bénéficie de toute responsabilité pour les pertes qui peuvent résulter de sa propre négligence? </w:t>
            </w:r>
            <w:r w:rsidRPr="00EA63C5">
              <w:rPr>
                <w:color w:val="1F1F1F"/>
                <w:sz w:val="20"/>
                <w:szCs w:val="20"/>
                <w:lang w:val="fr-CA"/>
              </w:rPr>
              <w:t>–</w:t>
            </w:r>
            <w:r w:rsidRPr="00EA63C5">
              <w:rPr>
                <w:sz w:val="20"/>
                <w:szCs w:val="20"/>
                <w:lang w:val="fr-CA"/>
              </w:rPr>
              <w:t xml:space="preserve"> La Cour d’appel peut-elle substituer sa propre interprétation de l’entente commerciale à celle du juge de première instance?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FB57D6" w:rsidRPr="00EA63C5" w:rsidRDefault="00FB57D6" w:rsidP="00FB57D6">
            <w:pPr>
              <w:jc w:val="both"/>
              <w:rPr>
                <w:rFonts w:eastAsia="Times New Roman" w:cs="Times New Roman"/>
                <w:sz w:val="20"/>
                <w:szCs w:val="20"/>
                <w:lang w:val="fr-CA" w:eastAsia="en-CA"/>
              </w:rPr>
            </w:pPr>
            <w:r w:rsidRPr="00EA63C5">
              <w:rPr>
                <w:rFonts w:eastAsia="Times New Roman" w:cs="Times New Roman"/>
                <w:sz w:val="20"/>
                <w:szCs w:val="20"/>
                <w:lang w:val="fr-CA" w:eastAsia="en-CA"/>
              </w:rPr>
              <w:t xml:space="preserve">Le présent appel porte sur l’interprétation des clauses d’assurance et d’indemnisation croisée figurant dans un bail commercial. Après qu’un feu a détruit les locaux loués, ce qui a causé d’importants dommages à l’intimée, à l’édifice de la locatrice et demanderesse, aux biens de la locataire et à son commerce, la locataire a intenté un recours contre la locatrice afin d’être indemnisée pour les pertes qu’elle a subies. </w:t>
            </w:r>
          </w:p>
          <w:p w:rsidR="00B22687" w:rsidRPr="00EA63C5" w:rsidRDefault="00B22687" w:rsidP="00B22687">
            <w:pPr>
              <w:jc w:val="both"/>
              <w:rPr>
                <w:rFonts w:cs="Times New Roman"/>
                <w:sz w:val="20"/>
                <w:szCs w:val="20"/>
                <w:u w:val="single"/>
                <w:lang w:val="fr-CA"/>
              </w:rPr>
            </w:pPr>
          </w:p>
        </w:tc>
      </w:tr>
      <w:tr w:rsidR="00B22687" w:rsidRPr="007F6DC5" w:rsidTr="00B22687">
        <w:trPr>
          <w:cantSplit/>
        </w:trPr>
        <w:tc>
          <w:tcPr>
            <w:tcW w:w="9576" w:type="dxa"/>
            <w:gridSpan w:val="4"/>
          </w:tcPr>
          <w:p w:rsidR="00B22687" w:rsidRPr="00EA63C5" w:rsidRDefault="00FB57D6" w:rsidP="00B22687">
            <w:pPr>
              <w:pStyle w:val="SCCShortJudgment"/>
              <w:ind w:firstLine="0"/>
              <w:rPr>
                <w:rFonts w:eastAsia="Times New Roman" w:cs="Times New Roman"/>
                <w:szCs w:val="20"/>
                <w:lang w:val="fr-CA" w:eastAsia="en-CA"/>
              </w:rPr>
            </w:pPr>
            <w:r w:rsidRPr="00EA63C5">
              <w:rPr>
                <w:rFonts w:eastAsia="Times New Roman" w:cs="Times New Roman"/>
                <w:szCs w:val="20"/>
                <w:lang w:val="fr-CA" w:eastAsia="en-CA"/>
              </w:rPr>
              <w:t>La locataire a obtenu un jugement sommaire en sa faveur contre la locatrice. Le juge des requêtes a conclu que la locatrice avait la responsabilité d’indemniser la locataire et était donc responsable des pertes alléguées de la locatrice. La Cour d’appel a accueilli l’appel, annulé le jugement sommaire et rejeté la poursuite de la locataire contre la locatrice.</w:t>
            </w:r>
          </w:p>
          <w:p w:rsidR="00FB57D6" w:rsidRPr="00EA63C5" w:rsidRDefault="00FB57D6"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5 septembre 2014</w:t>
            </w:r>
          </w:p>
          <w:p w:rsidR="00FB57D6" w:rsidRPr="00EA63C5" w:rsidRDefault="00FB57D6" w:rsidP="00FB57D6">
            <w:pPr>
              <w:rPr>
                <w:sz w:val="20"/>
                <w:szCs w:val="20"/>
                <w:lang w:val="fr-CA"/>
              </w:rPr>
            </w:pPr>
            <w:r w:rsidRPr="00EA63C5">
              <w:rPr>
                <w:sz w:val="20"/>
                <w:szCs w:val="20"/>
                <w:lang w:val="fr-CA"/>
              </w:rPr>
              <w:t xml:space="preserve">Cour supérieure de justice de l’Ontario </w:t>
            </w:r>
          </w:p>
          <w:p w:rsidR="00FB57D6" w:rsidRPr="00EA63C5" w:rsidRDefault="00FB57D6" w:rsidP="00FB57D6">
            <w:pPr>
              <w:rPr>
                <w:sz w:val="20"/>
                <w:szCs w:val="20"/>
              </w:rPr>
            </w:pPr>
            <w:r w:rsidRPr="00EA63C5">
              <w:rPr>
                <w:sz w:val="20"/>
                <w:szCs w:val="20"/>
              </w:rPr>
              <w:t>(</w:t>
            </w:r>
            <w:proofErr w:type="spellStart"/>
            <w:r w:rsidRPr="00EA63C5">
              <w:rPr>
                <w:sz w:val="20"/>
                <w:szCs w:val="20"/>
              </w:rPr>
              <w:t>Juge</w:t>
            </w:r>
            <w:proofErr w:type="spellEnd"/>
            <w:r w:rsidRPr="00EA63C5">
              <w:rPr>
                <w:sz w:val="20"/>
                <w:szCs w:val="20"/>
              </w:rPr>
              <w:t xml:space="preserve"> </w:t>
            </w:r>
            <w:proofErr w:type="spellStart"/>
            <w:r w:rsidRPr="00EA63C5">
              <w:rPr>
                <w:sz w:val="20"/>
                <w:szCs w:val="20"/>
              </w:rPr>
              <w:t>Métivier</w:t>
            </w:r>
            <w:proofErr w:type="spellEnd"/>
            <w:r w:rsidRPr="00EA63C5">
              <w:rPr>
                <w:sz w:val="20"/>
                <w:szCs w:val="20"/>
              </w:rPr>
              <w:t>)</w:t>
            </w:r>
          </w:p>
          <w:p w:rsidR="00FB57D6" w:rsidRPr="00EA63C5" w:rsidRDefault="007F6DC5" w:rsidP="00FB57D6">
            <w:pPr>
              <w:rPr>
                <w:sz w:val="20"/>
                <w:szCs w:val="20"/>
              </w:rPr>
            </w:pPr>
            <w:hyperlink r:id="rId38" w:history="1">
              <w:r w:rsidR="00FB57D6" w:rsidRPr="00EA63C5">
                <w:rPr>
                  <w:rStyle w:val="Hyperlink"/>
                  <w:sz w:val="20"/>
                  <w:szCs w:val="20"/>
                </w:rPr>
                <w:t>2014 ONSC 5148</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jc w:val="both"/>
              <w:rPr>
                <w:sz w:val="20"/>
                <w:szCs w:val="20"/>
                <w:lang w:val="fr-CA"/>
              </w:rPr>
            </w:pPr>
            <w:r w:rsidRPr="00EA63C5">
              <w:rPr>
                <w:sz w:val="20"/>
                <w:szCs w:val="20"/>
                <w:lang w:val="fr-CA"/>
              </w:rPr>
              <w:t xml:space="preserve">La locatrice 1728106 Ontario Inc. est responsable d’indemniser la locataire </w:t>
            </w:r>
            <w:proofErr w:type="spellStart"/>
            <w:r w:rsidRPr="00EA63C5">
              <w:rPr>
                <w:sz w:val="20"/>
                <w:szCs w:val="20"/>
                <w:lang w:val="fr-CA"/>
              </w:rPr>
              <w:t>Deslaurier</w:t>
            </w:r>
            <w:proofErr w:type="spellEnd"/>
            <w:r w:rsidRPr="00EA63C5">
              <w:rPr>
                <w:sz w:val="20"/>
                <w:szCs w:val="20"/>
                <w:lang w:val="fr-CA"/>
              </w:rPr>
              <w:t xml:space="preserve"> Custom Cabinets Inc. pour les pertes qu’elle affirme avoir subies; requête visant le prononcé d’un jugement sommaire rejetant la poursuite rejetée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4 avril 2016</w:t>
            </w:r>
          </w:p>
          <w:p w:rsidR="00FB57D6" w:rsidRPr="00EA63C5" w:rsidRDefault="00FB57D6" w:rsidP="00FB57D6">
            <w:pPr>
              <w:rPr>
                <w:sz w:val="20"/>
                <w:szCs w:val="20"/>
                <w:lang w:val="fr-CA"/>
              </w:rPr>
            </w:pPr>
            <w:r w:rsidRPr="00EA63C5">
              <w:rPr>
                <w:sz w:val="20"/>
                <w:szCs w:val="20"/>
                <w:lang w:val="fr-CA"/>
              </w:rPr>
              <w:t>Cour d’appel de l’Ontario</w:t>
            </w:r>
          </w:p>
          <w:p w:rsidR="00FB57D6" w:rsidRPr="00EA63C5" w:rsidRDefault="00FB57D6" w:rsidP="00FB57D6">
            <w:pPr>
              <w:rPr>
                <w:sz w:val="20"/>
                <w:szCs w:val="20"/>
                <w:lang w:val="fr-CA"/>
              </w:rPr>
            </w:pPr>
            <w:r w:rsidRPr="00EA63C5">
              <w:rPr>
                <w:sz w:val="20"/>
                <w:szCs w:val="20"/>
                <w:lang w:val="fr-CA"/>
              </w:rPr>
              <w:t xml:space="preserve">(Juges </w:t>
            </w:r>
            <w:proofErr w:type="spellStart"/>
            <w:r w:rsidRPr="00EA63C5">
              <w:rPr>
                <w:sz w:val="20"/>
                <w:szCs w:val="20"/>
                <w:lang w:val="fr-CA"/>
              </w:rPr>
              <w:t>Cronk</w:t>
            </w:r>
            <w:proofErr w:type="spellEnd"/>
            <w:r w:rsidRPr="00EA63C5">
              <w:rPr>
                <w:sz w:val="20"/>
                <w:szCs w:val="20"/>
                <w:lang w:val="fr-CA"/>
              </w:rPr>
              <w:t xml:space="preserve">, </w:t>
            </w:r>
            <w:proofErr w:type="spellStart"/>
            <w:r w:rsidRPr="00EA63C5">
              <w:rPr>
                <w:sz w:val="20"/>
                <w:szCs w:val="20"/>
                <w:lang w:val="fr-CA"/>
              </w:rPr>
              <w:t>Pepall</w:t>
            </w:r>
            <w:proofErr w:type="spellEnd"/>
            <w:r w:rsidRPr="00EA63C5">
              <w:rPr>
                <w:sz w:val="20"/>
                <w:szCs w:val="20"/>
                <w:lang w:val="fr-CA"/>
              </w:rPr>
              <w:t xml:space="preserve"> et Miller)</w:t>
            </w:r>
          </w:p>
          <w:p w:rsidR="00FB57D6" w:rsidRPr="00EA63C5" w:rsidRDefault="007F6DC5" w:rsidP="00FB57D6">
            <w:pPr>
              <w:rPr>
                <w:sz w:val="20"/>
                <w:szCs w:val="20"/>
              </w:rPr>
            </w:pPr>
            <w:hyperlink r:id="rId39" w:history="1">
              <w:r w:rsidR="00FB57D6" w:rsidRPr="00EA63C5">
                <w:rPr>
                  <w:rStyle w:val="Hyperlink"/>
                  <w:sz w:val="20"/>
                  <w:szCs w:val="20"/>
                </w:rPr>
                <w:t>2016 ONCA 246</w:t>
              </w:r>
            </w:hyperlink>
          </w:p>
          <w:p w:rsidR="00FB57D6" w:rsidRPr="00EA63C5" w:rsidRDefault="00FB57D6" w:rsidP="00FB57D6">
            <w:pPr>
              <w:rPr>
                <w:sz w:val="20"/>
                <w:szCs w:val="20"/>
              </w:rPr>
            </w:pPr>
            <w:r w:rsidRPr="00EA63C5">
              <w:rPr>
                <w:sz w:val="20"/>
                <w:szCs w:val="20"/>
              </w:rPr>
              <w:t>N</w:t>
            </w:r>
            <w:r w:rsidRPr="00EA63C5">
              <w:rPr>
                <w:sz w:val="20"/>
                <w:szCs w:val="20"/>
                <w:vertAlign w:val="superscript"/>
              </w:rPr>
              <w:t>o</w:t>
            </w:r>
            <w:r w:rsidRPr="00EA63C5">
              <w:rPr>
                <w:sz w:val="20"/>
                <w:szCs w:val="20"/>
              </w:rPr>
              <w:t xml:space="preserve"> du greffe : C59429</w:t>
            </w:r>
          </w:p>
          <w:p w:rsidR="00B22687" w:rsidRPr="00EA63C5" w:rsidRDefault="00B22687" w:rsidP="00FB57D6">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FB57D6" w:rsidRPr="00EA63C5" w:rsidRDefault="00FB57D6" w:rsidP="00FB57D6">
            <w:pPr>
              <w:jc w:val="both"/>
              <w:rPr>
                <w:sz w:val="20"/>
                <w:szCs w:val="20"/>
                <w:lang w:val="fr-CA"/>
              </w:rPr>
            </w:pPr>
            <w:r w:rsidRPr="00EA63C5">
              <w:rPr>
                <w:sz w:val="20"/>
                <w:szCs w:val="20"/>
                <w:lang w:val="fr-CA"/>
              </w:rPr>
              <w:t xml:space="preserve">Appel accueilli; jugement du juge </w:t>
            </w:r>
            <w:proofErr w:type="spellStart"/>
            <w:r w:rsidRPr="00EA63C5">
              <w:rPr>
                <w:sz w:val="20"/>
                <w:szCs w:val="20"/>
                <w:lang w:val="fr-CA"/>
              </w:rPr>
              <w:t>Métivier</w:t>
            </w:r>
            <w:proofErr w:type="spellEnd"/>
            <w:r w:rsidRPr="00EA63C5">
              <w:rPr>
                <w:sz w:val="20"/>
                <w:szCs w:val="20"/>
                <w:lang w:val="fr-CA"/>
              </w:rPr>
              <w:t xml:space="preserve"> annulé; poursuite de la locatrice rejetée</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gridSpan w:val="2"/>
          </w:tcPr>
          <w:p w:rsidR="00FB57D6" w:rsidRPr="00EA63C5" w:rsidRDefault="00FB57D6" w:rsidP="00FB57D6">
            <w:pPr>
              <w:rPr>
                <w:sz w:val="20"/>
                <w:szCs w:val="20"/>
                <w:lang w:val="fr-CA"/>
              </w:rPr>
            </w:pPr>
            <w:r w:rsidRPr="00EA63C5">
              <w:rPr>
                <w:sz w:val="20"/>
                <w:szCs w:val="20"/>
                <w:lang w:val="fr-CA"/>
              </w:rPr>
              <w:t>3 juin 2016</w:t>
            </w:r>
          </w:p>
          <w:p w:rsidR="00B22687" w:rsidRPr="00EA63C5" w:rsidRDefault="00FB57D6" w:rsidP="00FB57D6">
            <w:pPr>
              <w:pStyle w:val="SCCShortJudgment"/>
              <w:ind w:firstLine="0"/>
              <w:rPr>
                <w:rFonts w:cs="Times New Roman"/>
                <w:szCs w:val="20"/>
                <w:u w:val="single"/>
                <w:lang w:val="fr-CA"/>
              </w:rPr>
            </w:pPr>
            <w:r w:rsidRPr="00EA63C5">
              <w:rPr>
                <w:szCs w:val="20"/>
                <w:lang w:val="fr-CA"/>
              </w:rPr>
              <w:t>Cour suprême du Canada</w:t>
            </w: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AC3656" w:rsidP="00B22687">
            <w:pPr>
              <w:pStyle w:val="SCCShortJudgment"/>
              <w:ind w:firstLine="0"/>
              <w:rPr>
                <w:rFonts w:cs="Times New Roman"/>
                <w:szCs w:val="20"/>
                <w:u w:val="single"/>
                <w:lang w:val="fr-CA"/>
              </w:rPr>
            </w:pPr>
            <w:proofErr w:type="spellStart"/>
            <w:r w:rsidRPr="00EA63C5">
              <w:rPr>
                <w:szCs w:val="20"/>
              </w:rPr>
              <w:t>Demande</w:t>
            </w:r>
            <w:proofErr w:type="spellEnd"/>
            <w:r w:rsidRPr="00EA63C5">
              <w:rPr>
                <w:szCs w:val="20"/>
              </w:rPr>
              <w:t xml:space="preserve"> </w:t>
            </w:r>
            <w:proofErr w:type="spellStart"/>
            <w:r w:rsidRPr="00EA63C5">
              <w:rPr>
                <w:szCs w:val="20"/>
              </w:rPr>
              <w:t>d’autorisation</w:t>
            </w:r>
            <w:proofErr w:type="spellEnd"/>
            <w:r w:rsidRPr="00EA63C5">
              <w:rPr>
                <w:szCs w:val="20"/>
              </w:rPr>
              <w:t xml:space="preserve"> </w:t>
            </w:r>
            <w:proofErr w:type="spellStart"/>
            <w:r w:rsidRPr="00EA63C5">
              <w:rPr>
                <w:szCs w:val="20"/>
              </w:rPr>
              <w:t>d’appel</w:t>
            </w:r>
            <w:proofErr w:type="spellEnd"/>
            <w:r w:rsidRPr="00EA63C5">
              <w:rPr>
                <w:szCs w:val="20"/>
              </w:rPr>
              <w:t xml:space="preserve"> </w:t>
            </w:r>
            <w:proofErr w:type="spellStart"/>
            <w:r w:rsidRPr="00EA63C5">
              <w:rPr>
                <w:szCs w:val="20"/>
              </w:rPr>
              <w:t>déposée</w:t>
            </w:r>
            <w:proofErr w:type="spellEnd"/>
          </w:p>
        </w:tc>
      </w:tr>
    </w:tbl>
    <w:p w:rsidR="00B22687" w:rsidRPr="00EA63C5" w:rsidRDefault="007F6DC5" w:rsidP="000E2959">
      <w:pPr>
        <w:rPr>
          <w:sz w:val="20"/>
          <w:szCs w:val="20"/>
        </w:rPr>
      </w:pPr>
      <w:r>
        <w:rPr>
          <w:sz w:val="20"/>
          <w:szCs w:val="20"/>
          <w:lang w:val="fr-CA"/>
        </w:rPr>
        <w:pict>
          <v:rect id="_x0000_i1065" style="width:2in;height:1pt" o:hrpct="0" o:hralign="center" o:hrstd="t" o:hrnoshade="t" o:hr="t" fillcolor="black [3213]" stroked="f"/>
        </w:pict>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B22687" w:rsidRPr="00EA63C5" w:rsidTr="00B22687">
        <w:trPr>
          <w:cantSplit/>
        </w:trPr>
        <w:tc>
          <w:tcPr>
            <w:tcW w:w="1458" w:type="dxa"/>
          </w:tcPr>
          <w:p w:rsidR="00B22687" w:rsidRPr="00EA63C5" w:rsidRDefault="00BF2CCE" w:rsidP="00B22687">
            <w:pPr>
              <w:jc w:val="both"/>
              <w:rPr>
                <w:rFonts w:cs="Times New Roman"/>
                <w:sz w:val="20"/>
                <w:szCs w:val="20"/>
              </w:rPr>
            </w:pPr>
            <w:r w:rsidRPr="00EA63C5">
              <w:rPr>
                <w:rStyle w:val="SCCFileNumberChar"/>
                <w:sz w:val="20"/>
                <w:szCs w:val="20"/>
              </w:rPr>
              <w:t>37045</w:t>
            </w:r>
          </w:p>
          <w:p w:rsidR="00B22687" w:rsidRPr="00EA63C5" w:rsidRDefault="00B22687" w:rsidP="00B22687">
            <w:pPr>
              <w:jc w:val="both"/>
              <w:rPr>
                <w:rFonts w:cs="Times New Roman"/>
                <w:b/>
                <w:sz w:val="20"/>
                <w:szCs w:val="20"/>
              </w:rPr>
            </w:pPr>
          </w:p>
        </w:tc>
        <w:tc>
          <w:tcPr>
            <w:tcW w:w="8118" w:type="dxa"/>
          </w:tcPr>
          <w:p w:rsidR="00B22687" w:rsidRPr="00EA63C5" w:rsidRDefault="00AC775A" w:rsidP="00B22687">
            <w:pPr>
              <w:jc w:val="both"/>
              <w:rPr>
                <w:rFonts w:cs="Times New Roman"/>
                <w:sz w:val="20"/>
                <w:szCs w:val="20"/>
              </w:rPr>
            </w:pPr>
            <w:r w:rsidRPr="00EA63C5">
              <w:rPr>
                <w:b/>
                <w:sz w:val="20"/>
                <w:szCs w:val="20"/>
                <w:u w:val="single"/>
              </w:rPr>
              <w:t xml:space="preserve">Celia </w:t>
            </w:r>
            <w:proofErr w:type="spellStart"/>
            <w:r w:rsidRPr="00EA63C5">
              <w:rPr>
                <w:b/>
                <w:sz w:val="20"/>
                <w:szCs w:val="20"/>
                <w:u w:val="single"/>
              </w:rPr>
              <w:t>Sankar</w:t>
            </w:r>
            <w:proofErr w:type="spellEnd"/>
            <w:r w:rsidRPr="00EA63C5">
              <w:rPr>
                <w:b/>
                <w:sz w:val="20"/>
                <w:szCs w:val="20"/>
                <w:u w:val="single"/>
              </w:rPr>
              <w:t xml:space="preserve"> v. Bell Mobility Inc.</w:t>
            </w:r>
            <w:r w:rsidRPr="00EA63C5">
              <w:rPr>
                <w:rFonts w:cs="Times New Roman"/>
                <w:sz w:val="20"/>
                <w:szCs w:val="20"/>
              </w:rPr>
              <w:t xml:space="preserve"> </w:t>
            </w:r>
            <w:r w:rsidR="00B22687" w:rsidRPr="00EA63C5">
              <w:rPr>
                <w:rFonts w:cs="Times New Roman"/>
                <w:sz w:val="20"/>
                <w:szCs w:val="20"/>
              </w:rPr>
              <w:t>(Ont.)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tcPr>
          <w:p w:rsidR="00B22687" w:rsidRPr="00EA63C5" w:rsidRDefault="00B22687" w:rsidP="00B22687">
            <w:pPr>
              <w:jc w:val="both"/>
              <w:rPr>
                <w:rStyle w:val="SCCCoramChar"/>
                <w:rFonts w:cs="Times New Roman"/>
                <w:sz w:val="20"/>
                <w:szCs w:val="20"/>
                <w:lang w:val="en-US"/>
              </w:rPr>
            </w:pPr>
            <w:r w:rsidRPr="00EA63C5">
              <w:rPr>
                <w:rStyle w:val="SCCCoramChar"/>
                <w:rFonts w:cs="Times New Roman"/>
                <w:sz w:val="20"/>
                <w:szCs w:val="20"/>
                <w:lang w:val="en-US"/>
              </w:rPr>
              <w:t xml:space="preserve">McLachlin C.J. and </w:t>
            </w:r>
            <w:r w:rsidR="00AC775A" w:rsidRPr="00EA63C5">
              <w:rPr>
                <w:rStyle w:val="SCCCoramChar"/>
                <w:rFonts w:cs="Times New Roman"/>
                <w:sz w:val="20"/>
                <w:szCs w:val="20"/>
                <w:lang w:val="en-US"/>
              </w:rPr>
              <w:t>Wagner</w:t>
            </w:r>
            <w:r w:rsidRPr="00EA63C5">
              <w:rPr>
                <w:rStyle w:val="SCCCoramChar"/>
                <w:rFonts w:cs="Times New Roman"/>
                <w:sz w:val="20"/>
                <w:szCs w:val="20"/>
                <w:lang w:val="en-US"/>
              </w:rPr>
              <w:t xml:space="preserve"> and Gascon JJ.</w:t>
            </w:r>
          </w:p>
          <w:p w:rsidR="00B22687" w:rsidRPr="00EA63C5" w:rsidRDefault="00B22687" w:rsidP="00B22687">
            <w:pPr>
              <w:jc w:val="both"/>
              <w:rPr>
                <w:rFonts w:cs="Times New Roman"/>
                <w:sz w:val="20"/>
                <w:szCs w:val="20"/>
                <w:u w:val="single"/>
              </w:rPr>
            </w:pPr>
          </w:p>
        </w:tc>
      </w:tr>
      <w:tr w:rsidR="00B22687" w:rsidRPr="007F6DC5" w:rsidTr="00B22687">
        <w:trPr>
          <w:cantSplit/>
        </w:trPr>
        <w:tc>
          <w:tcPr>
            <w:tcW w:w="9576" w:type="dxa"/>
            <w:gridSpan w:val="2"/>
          </w:tcPr>
          <w:p w:rsidR="00B22687" w:rsidRPr="00EA63C5" w:rsidRDefault="00B22687" w:rsidP="00B22687">
            <w:pPr>
              <w:pStyle w:val="SCCShortJudgment"/>
              <w:ind w:firstLine="0"/>
              <w:rPr>
                <w:rFonts w:cs="Times New Roman"/>
                <w:szCs w:val="20"/>
              </w:rPr>
            </w:pPr>
            <w:r w:rsidRPr="00EA63C5">
              <w:rPr>
                <w:rFonts w:cs="Times New Roman"/>
                <w:szCs w:val="20"/>
              </w:rPr>
              <w:tab/>
            </w:r>
            <w:r w:rsidR="00AC775A" w:rsidRPr="00EA63C5">
              <w:rPr>
                <w:szCs w:val="20"/>
              </w:rPr>
              <w:t xml:space="preserve">Pursuant to s. 43(1.1) of the </w:t>
            </w:r>
            <w:r w:rsidR="00AC775A" w:rsidRPr="00EA63C5">
              <w:rPr>
                <w:i/>
                <w:szCs w:val="20"/>
              </w:rPr>
              <w:t>Supreme Court Act</w:t>
            </w:r>
            <w:r w:rsidR="00AC775A" w:rsidRPr="00EA63C5">
              <w:rPr>
                <w:szCs w:val="20"/>
              </w:rPr>
              <w:t xml:space="preserve">, the case forming the basis of the application for leave to appeal from the judgment of the Court of Appeal for Ontario (Toronto), Number C60176, 2016 ONCA 242, dated April 4, 2016, is remanded to the Court of Appeal for Ontario for disposition in accordance with </w:t>
            </w:r>
            <w:proofErr w:type="spellStart"/>
            <w:r w:rsidR="00AC775A" w:rsidRPr="00EA63C5">
              <w:rPr>
                <w:i/>
                <w:szCs w:val="20"/>
              </w:rPr>
              <w:t>Ledcor</w:t>
            </w:r>
            <w:proofErr w:type="spellEnd"/>
            <w:r w:rsidR="00AC775A" w:rsidRPr="00EA63C5">
              <w:rPr>
                <w:i/>
                <w:szCs w:val="20"/>
              </w:rPr>
              <w:t xml:space="preserve"> Construction Ltd. v. Northbridge Indemnity Insurance Co.</w:t>
            </w:r>
            <w:r w:rsidR="00AC775A" w:rsidRPr="00EA63C5">
              <w:rPr>
                <w:szCs w:val="20"/>
              </w:rPr>
              <w:t>, 2016 SCC 37.</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rFonts w:cs="Times New Roman"/>
                <w:szCs w:val="20"/>
                <w:lang w:val="fr-CA"/>
              </w:rPr>
            </w:pPr>
            <w:r w:rsidRPr="00EA63C5">
              <w:rPr>
                <w:rFonts w:cs="Times New Roman"/>
                <w:szCs w:val="20"/>
              </w:rPr>
              <w:tab/>
            </w:r>
            <w:r w:rsidR="00AC775A" w:rsidRPr="00EA63C5">
              <w:rPr>
                <w:szCs w:val="20"/>
                <w:lang w:val="fr-CA"/>
              </w:rPr>
              <w:t>Conform</w:t>
            </w:r>
            <w:r w:rsidR="00AC775A" w:rsidRPr="00EA63C5">
              <w:rPr>
                <w:rFonts w:cs="Times New Roman"/>
                <w:szCs w:val="20"/>
                <w:lang w:val="fr-CA"/>
              </w:rPr>
              <w:t>é</w:t>
            </w:r>
            <w:r w:rsidR="00AC775A" w:rsidRPr="00EA63C5">
              <w:rPr>
                <w:szCs w:val="20"/>
                <w:lang w:val="fr-CA"/>
              </w:rPr>
              <w:t xml:space="preserve">ment au paragraphe 43(1.1) de la </w:t>
            </w:r>
            <w:r w:rsidR="00AC775A" w:rsidRPr="00EA63C5">
              <w:rPr>
                <w:i/>
                <w:szCs w:val="20"/>
                <w:lang w:val="fr-CA"/>
              </w:rPr>
              <w:t>Loi sur le Cour Supr</w:t>
            </w:r>
            <w:r w:rsidR="00AC775A" w:rsidRPr="00EA63C5">
              <w:rPr>
                <w:rFonts w:cs="Times New Roman"/>
                <w:i/>
                <w:szCs w:val="20"/>
                <w:lang w:val="fr-CA"/>
              </w:rPr>
              <w:t>ê</w:t>
            </w:r>
            <w:r w:rsidR="00AC775A" w:rsidRPr="00EA63C5">
              <w:rPr>
                <w:i/>
                <w:szCs w:val="20"/>
                <w:lang w:val="fr-CA"/>
              </w:rPr>
              <w:t>me</w:t>
            </w:r>
            <w:r w:rsidR="00AC775A" w:rsidRPr="00EA63C5">
              <w:rPr>
                <w:szCs w:val="20"/>
                <w:lang w:val="fr-CA"/>
              </w:rPr>
              <w:t xml:space="preserve">, l’affaire à l’origine de la demande d’autorisation d’appel de l’arrêt de la </w:t>
            </w:r>
            <w:r w:rsidR="00AC775A" w:rsidRPr="00EA63C5">
              <w:rPr>
                <w:szCs w:val="20"/>
                <w:lang w:val="fr-FR"/>
              </w:rPr>
              <w:t>Cour d’appel de l’Ontario (Toronto)</w:t>
            </w:r>
            <w:r w:rsidR="00AC775A" w:rsidRPr="00EA63C5">
              <w:rPr>
                <w:szCs w:val="20"/>
                <w:lang w:val="fr-CA"/>
              </w:rPr>
              <w:t xml:space="preserve">, numéro </w:t>
            </w:r>
            <w:r w:rsidR="00AC775A" w:rsidRPr="00EA63C5">
              <w:rPr>
                <w:szCs w:val="20"/>
                <w:lang w:val="fr-FR"/>
              </w:rPr>
              <w:t>C60176, 2016 ONCA 242</w:t>
            </w:r>
            <w:r w:rsidR="00AC775A" w:rsidRPr="00EA63C5">
              <w:rPr>
                <w:szCs w:val="20"/>
                <w:lang w:val="fr-CA"/>
              </w:rPr>
              <w:t xml:space="preserve">, daté du </w:t>
            </w:r>
            <w:r w:rsidR="00AC775A" w:rsidRPr="00EA63C5">
              <w:rPr>
                <w:szCs w:val="20"/>
                <w:lang w:val="fr-FR"/>
              </w:rPr>
              <w:t>4 avril 2016</w:t>
            </w:r>
            <w:r w:rsidR="00AC775A" w:rsidRPr="00EA63C5">
              <w:rPr>
                <w:szCs w:val="20"/>
                <w:lang w:val="fr-CA"/>
              </w:rPr>
              <w:t xml:space="preserve">, est </w:t>
            </w:r>
            <w:r w:rsidR="00AC775A" w:rsidRPr="00EA63C5">
              <w:rPr>
                <w:rFonts w:cs="Times New Roman"/>
                <w:color w:val="222222"/>
                <w:szCs w:val="20"/>
                <w:lang w:val="fr-FR"/>
              </w:rPr>
              <w:t>renvoyée à la Cour d’appel de l’Ontario pour qu’elle statue en conformité avec</w:t>
            </w:r>
            <w:r w:rsidR="00AC775A" w:rsidRPr="00EA63C5">
              <w:rPr>
                <w:i/>
                <w:szCs w:val="20"/>
                <w:lang w:val="fr-FR"/>
              </w:rPr>
              <w:t xml:space="preserve"> </w:t>
            </w:r>
            <w:proofErr w:type="spellStart"/>
            <w:r w:rsidR="00AC775A" w:rsidRPr="00EA63C5">
              <w:rPr>
                <w:i/>
                <w:szCs w:val="20"/>
                <w:lang w:val="fr-FR"/>
              </w:rPr>
              <w:t>Ledcor</w:t>
            </w:r>
            <w:proofErr w:type="spellEnd"/>
            <w:r w:rsidR="00AC775A" w:rsidRPr="00EA63C5">
              <w:rPr>
                <w:i/>
                <w:szCs w:val="20"/>
                <w:lang w:val="fr-FR"/>
              </w:rPr>
              <w:t xml:space="preserve"> Construction Ltd. </w:t>
            </w:r>
            <w:r w:rsidR="00AC775A" w:rsidRPr="00EA63C5">
              <w:rPr>
                <w:i/>
                <w:szCs w:val="20"/>
                <w:lang w:val="fr-CA"/>
              </w:rPr>
              <w:t>c. Soci</w:t>
            </w:r>
            <w:r w:rsidR="00AC775A" w:rsidRPr="00EA63C5">
              <w:rPr>
                <w:rFonts w:cs="Times New Roman"/>
                <w:i/>
                <w:szCs w:val="20"/>
                <w:lang w:val="fr-CA"/>
              </w:rPr>
              <w:t>é</w:t>
            </w:r>
            <w:r w:rsidR="00AC775A" w:rsidRPr="00EA63C5">
              <w:rPr>
                <w:i/>
                <w:szCs w:val="20"/>
                <w:lang w:val="fr-CA"/>
              </w:rPr>
              <w:t>t</w:t>
            </w:r>
            <w:r w:rsidR="00AC775A" w:rsidRPr="00EA63C5">
              <w:rPr>
                <w:rFonts w:cs="Times New Roman"/>
                <w:i/>
                <w:szCs w:val="20"/>
                <w:lang w:val="fr-CA"/>
              </w:rPr>
              <w:t>é</w:t>
            </w:r>
            <w:r w:rsidR="00AC775A" w:rsidRPr="00EA63C5">
              <w:rPr>
                <w:i/>
                <w:szCs w:val="20"/>
                <w:lang w:val="fr-CA"/>
              </w:rPr>
              <w:t xml:space="preserve"> d’assurance d’indemnisation </w:t>
            </w:r>
            <w:proofErr w:type="spellStart"/>
            <w:r w:rsidR="00AC775A" w:rsidRPr="00EA63C5">
              <w:rPr>
                <w:i/>
                <w:szCs w:val="20"/>
                <w:lang w:val="fr-CA"/>
              </w:rPr>
              <w:t>Northbridge</w:t>
            </w:r>
            <w:proofErr w:type="spellEnd"/>
            <w:r w:rsidR="00AC775A" w:rsidRPr="00EA63C5">
              <w:rPr>
                <w:i/>
                <w:szCs w:val="20"/>
                <w:lang w:val="fr-CA"/>
              </w:rPr>
              <w:t xml:space="preserve">, </w:t>
            </w:r>
            <w:r w:rsidR="00AC775A" w:rsidRPr="00EA63C5">
              <w:rPr>
                <w:szCs w:val="20"/>
                <w:lang w:val="fr-CA"/>
              </w:rPr>
              <w:t xml:space="preserve"> 2016 CSC 37.</w:t>
            </w:r>
          </w:p>
          <w:p w:rsidR="00B22687" w:rsidRPr="00EA63C5" w:rsidRDefault="00B22687" w:rsidP="00B22687">
            <w:pPr>
              <w:pStyle w:val="SCCShortJudgment"/>
              <w:ind w:firstLine="0"/>
              <w:rPr>
                <w:rFonts w:cs="Times New Roman"/>
                <w:szCs w:val="20"/>
                <w:lang w:val="fr-CA"/>
              </w:rPr>
            </w:pPr>
          </w:p>
        </w:tc>
      </w:tr>
    </w:tbl>
    <w:p w:rsidR="001D68AE" w:rsidRPr="009849E0" w:rsidRDefault="001D68AE">
      <w:pPr>
        <w:rPr>
          <w:lang w:val="fr-CA"/>
        </w:rPr>
      </w:pPr>
      <w:r w:rsidRPr="009849E0">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22687" w:rsidRPr="00EA63C5" w:rsidTr="00B22687">
        <w:trPr>
          <w:cantSplit/>
        </w:trPr>
        <w:tc>
          <w:tcPr>
            <w:tcW w:w="9576" w:type="dxa"/>
            <w:gridSpan w:val="3"/>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lastRenderedPageBreak/>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AC3656">
        <w:tc>
          <w:tcPr>
            <w:tcW w:w="9576" w:type="dxa"/>
            <w:gridSpan w:val="3"/>
          </w:tcPr>
          <w:p w:rsidR="00B22687" w:rsidRPr="00EA63C5" w:rsidRDefault="00AC3656" w:rsidP="00B22687">
            <w:pPr>
              <w:pStyle w:val="SCCShortJudgment"/>
              <w:ind w:firstLine="0"/>
              <w:rPr>
                <w:szCs w:val="20"/>
              </w:rPr>
            </w:pPr>
            <w:r w:rsidRPr="00EA63C5">
              <w:rPr>
                <w:szCs w:val="20"/>
              </w:rPr>
              <w:t>Contracts — Breach of contract — Prepaid wireless phone card accounts — Certified class-action alleging Bell improperly collected unused funds from subscriber’s account when they failed to “top up” account before end of its “active period” — Summary judgment in favour of Bell — Court of Appeal dismissing appeal — When should a court interpreting a standard form consumer contract give contractual effect to collateral documents including marketing materials like point of sale advertisements, brochures and statements on websites — Whether standard form notices sent to consumers pursuant to contractual notice provisions can ground a claim for breach of contract in a class action, or must consumers sue individually for misrepresentation.</w:t>
            </w:r>
          </w:p>
          <w:p w:rsidR="00AC3656" w:rsidRPr="00EA63C5" w:rsidRDefault="00AC3656" w:rsidP="00B22687">
            <w:pPr>
              <w:pStyle w:val="SCCShortJudgment"/>
              <w:ind w:firstLine="0"/>
              <w:rPr>
                <w:rFonts w:cs="Times New Roman"/>
                <w:szCs w:val="20"/>
              </w:rPr>
            </w:pPr>
          </w:p>
        </w:tc>
      </w:tr>
      <w:tr w:rsidR="00B22687" w:rsidRPr="00EA63C5" w:rsidTr="00647E9D">
        <w:tc>
          <w:tcPr>
            <w:tcW w:w="9576" w:type="dxa"/>
            <w:gridSpan w:val="3"/>
          </w:tcPr>
          <w:p w:rsidR="00AC3656" w:rsidRPr="00EA63C5" w:rsidRDefault="00AC3656" w:rsidP="00AC3656">
            <w:pPr>
              <w:ind w:right="-30"/>
              <w:jc w:val="both"/>
              <w:rPr>
                <w:sz w:val="20"/>
                <w:szCs w:val="20"/>
              </w:rPr>
            </w:pPr>
            <w:r w:rsidRPr="00EA63C5">
              <w:rPr>
                <w:sz w:val="20"/>
                <w:szCs w:val="20"/>
              </w:rPr>
              <w:t>This proposed appeal is about prepaid wireless phone card accounts. It concerns the fate of the balance remaining in a Bell Mobility Inc. subscriber’s account when she fails to “top up” the account before the end of its “active period”. Bell’s prepaid “top-ups” allow customers to add credit to their accounts and extend their active periods that give them access to Bell’s wireless network. Bell’s practice, during the period at issue, was to claim unused funds the day after the end of the active period. For example, if the active period ended on June 30, Bell’s practice was to claim the unused funds on July 1, if the account had not been topped-up in order to extend the active period.</w:t>
            </w:r>
          </w:p>
          <w:p w:rsidR="00B22687" w:rsidRPr="00EA63C5" w:rsidRDefault="00B22687" w:rsidP="00B22687">
            <w:pPr>
              <w:pStyle w:val="SCCShortJudgment"/>
              <w:ind w:firstLine="0"/>
              <w:rPr>
                <w:rFonts w:cs="Times New Roman"/>
                <w:szCs w:val="20"/>
              </w:rPr>
            </w:pPr>
          </w:p>
        </w:tc>
      </w:tr>
      <w:tr w:rsidR="00B22687" w:rsidRPr="00EA63C5" w:rsidTr="00B22687">
        <w:trPr>
          <w:cantSplit/>
        </w:trPr>
        <w:tc>
          <w:tcPr>
            <w:tcW w:w="9576" w:type="dxa"/>
            <w:gridSpan w:val="3"/>
          </w:tcPr>
          <w:p w:rsidR="00B22687" w:rsidRPr="00EA63C5" w:rsidRDefault="00AC3656" w:rsidP="00B22687">
            <w:pPr>
              <w:pStyle w:val="SCCShortJudgment"/>
              <w:ind w:firstLine="0"/>
              <w:rPr>
                <w:szCs w:val="20"/>
              </w:rPr>
            </w:pPr>
            <w:r w:rsidRPr="00EA63C5">
              <w:rPr>
                <w:szCs w:val="20"/>
              </w:rPr>
              <w:t>The applicant, Ms. </w:t>
            </w:r>
            <w:proofErr w:type="spellStart"/>
            <w:r w:rsidRPr="00EA63C5">
              <w:rPr>
                <w:szCs w:val="20"/>
              </w:rPr>
              <w:t>Sankar’s</w:t>
            </w:r>
            <w:proofErr w:type="spellEnd"/>
            <w:r w:rsidRPr="00EA63C5">
              <w:rPr>
                <w:szCs w:val="20"/>
              </w:rPr>
              <w:t xml:space="preserve"> certified class action alleged that Bell collected those funds improperly. She claimed the contract provided that Bell had to wait until the second day after the end of the active period, not the first day.</w:t>
            </w:r>
          </w:p>
          <w:p w:rsidR="00AC3656" w:rsidRPr="00EA63C5" w:rsidRDefault="00AC3656" w:rsidP="00B22687">
            <w:pPr>
              <w:pStyle w:val="SCCShortJudgment"/>
              <w:ind w:firstLine="0"/>
              <w:rPr>
                <w:rFonts w:cs="Times New Roman"/>
                <w:szCs w:val="20"/>
              </w:rPr>
            </w:pPr>
          </w:p>
        </w:tc>
      </w:tr>
      <w:tr w:rsidR="00AC3656" w:rsidRPr="00EA63C5" w:rsidTr="00B22687">
        <w:trPr>
          <w:cantSplit/>
        </w:trPr>
        <w:tc>
          <w:tcPr>
            <w:tcW w:w="9576" w:type="dxa"/>
            <w:gridSpan w:val="3"/>
          </w:tcPr>
          <w:p w:rsidR="00AC3656" w:rsidRPr="00EA63C5" w:rsidRDefault="00AC3656" w:rsidP="00B22687">
            <w:pPr>
              <w:pStyle w:val="SCCShortJudgment"/>
              <w:ind w:firstLine="0"/>
              <w:rPr>
                <w:szCs w:val="20"/>
              </w:rPr>
            </w:pPr>
            <w:r w:rsidRPr="00EA63C5">
              <w:rPr>
                <w:szCs w:val="20"/>
              </w:rPr>
              <w:t>The motion judge ruled that Bell did not breach its contract and granted summary judgment answering the common issues in Bell’s favour and dismissing the class action. The Court of Appeal dismissed the appeal.</w:t>
            </w:r>
          </w:p>
          <w:p w:rsidR="00AC3656" w:rsidRPr="00EA63C5" w:rsidRDefault="00AC3656" w:rsidP="00B22687">
            <w:pPr>
              <w:pStyle w:val="SCCShortJudgment"/>
              <w:ind w:firstLine="0"/>
              <w:rPr>
                <w:szCs w:val="20"/>
              </w:rPr>
            </w:pPr>
          </w:p>
        </w:tc>
      </w:tr>
      <w:tr w:rsidR="00B22687" w:rsidRPr="00EA63C5" w:rsidTr="00B22687">
        <w:trPr>
          <w:cantSplit/>
        </w:trPr>
        <w:tc>
          <w:tcPr>
            <w:tcW w:w="4410" w:type="dxa"/>
          </w:tcPr>
          <w:p w:rsidR="00AC3656" w:rsidRPr="00EA63C5" w:rsidRDefault="00AC3656" w:rsidP="00AC3656">
            <w:pPr>
              <w:rPr>
                <w:sz w:val="20"/>
                <w:szCs w:val="20"/>
              </w:rPr>
            </w:pPr>
            <w:r w:rsidRPr="00EA63C5">
              <w:rPr>
                <w:sz w:val="20"/>
                <w:szCs w:val="20"/>
              </w:rPr>
              <w:t>October 4, 2013</w:t>
            </w:r>
          </w:p>
          <w:p w:rsidR="00AC3656" w:rsidRPr="00EA63C5" w:rsidRDefault="00AC3656" w:rsidP="00AC3656">
            <w:pPr>
              <w:rPr>
                <w:sz w:val="20"/>
                <w:szCs w:val="20"/>
              </w:rPr>
            </w:pPr>
            <w:r w:rsidRPr="00EA63C5">
              <w:rPr>
                <w:sz w:val="20"/>
                <w:szCs w:val="20"/>
              </w:rPr>
              <w:t>Ontario Superior Court of Justice</w:t>
            </w:r>
          </w:p>
          <w:p w:rsidR="00AC3656" w:rsidRPr="00EA63C5" w:rsidRDefault="00AC3656" w:rsidP="00AC3656">
            <w:pPr>
              <w:rPr>
                <w:sz w:val="20"/>
                <w:szCs w:val="20"/>
              </w:rPr>
            </w:pPr>
            <w:r w:rsidRPr="00EA63C5">
              <w:rPr>
                <w:sz w:val="20"/>
                <w:szCs w:val="20"/>
              </w:rPr>
              <w:t>(</w:t>
            </w:r>
            <w:proofErr w:type="spellStart"/>
            <w:r w:rsidRPr="00EA63C5">
              <w:rPr>
                <w:sz w:val="20"/>
                <w:szCs w:val="20"/>
              </w:rPr>
              <w:t>Belobaba</w:t>
            </w:r>
            <w:proofErr w:type="spellEnd"/>
            <w:r w:rsidRPr="00EA63C5">
              <w:rPr>
                <w:sz w:val="20"/>
                <w:szCs w:val="20"/>
              </w:rPr>
              <w:t xml:space="preserve"> J.)</w:t>
            </w:r>
          </w:p>
          <w:p w:rsidR="00AC3656" w:rsidRPr="00EA63C5" w:rsidRDefault="007F6DC5" w:rsidP="00AC3656">
            <w:pPr>
              <w:rPr>
                <w:sz w:val="20"/>
                <w:szCs w:val="20"/>
              </w:rPr>
            </w:pPr>
            <w:hyperlink r:id="rId40" w:history="1">
              <w:r w:rsidR="00AC3656" w:rsidRPr="00EA63C5">
                <w:rPr>
                  <w:rStyle w:val="Hyperlink"/>
                  <w:sz w:val="20"/>
                  <w:szCs w:val="20"/>
                </w:rPr>
                <w:t>2013 ONSC 5916</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AC3656" w:rsidRPr="00EA63C5" w:rsidRDefault="00AC3656" w:rsidP="00AC3656">
            <w:pPr>
              <w:jc w:val="both"/>
              <w:rPr>
                <w:sz w:val="20"/>
                <w:szCs w:val="20"/>
              </w:rPr>
            </w:pPr>
            <w:r w:rsidRPr="00EA63C5">
              <w:rPr>
                <w:sz w:val="20"/>
                <w:szCs w:val="20"/>
              </w:rPr>
              <w:t>Action certified as a class action proceeding against Bell.</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tcPr>
          <w:p w:rsidR="00AC3656" w:rsidRPr="00EA63C5" w:rsidRDefault="00AC3656" w:rsidP="00AC3656">
            <w:pPr>
              <w:rPr>
                <w:sz w:val="20"/>
                <w:szCs w:val="20"/>
              </w:rPr>
            </w:pPr>
            <w:r w:rsidRPr="00EA63C5">
              <w:rPr>
                <w:sz w:val="20"/>
                <w:szCs w:val="20"/>
              </w:rPr>
              <w:t>February 12, 2015</w:t>
            </w:r>
          </w:p>
          <w:p w:rsidR="00AC3656" w:rsidRPr="00EA63C5" w:rsidRDefault="00AC3656" w:rsidP="00AC3656">
            <w:pPr>
              <w:rPr>
                <w:sz w:val="20"/>
                <w:szCs w:val="20"/>
              </w:rPr>
            </w:pPr>
            <w:r w:rsidRPr="00EA63C5">
              <w:rPr>
                <w:sz w:val="20"/>
                <w:szCs w:val="20"/>
              </w:rPr>
              <w:t>Ontario Superior Court of Justice</w:t>
            </w:r>
          </w:p>
          <w:p w:rsidR="00AC3656" w:rsidRPr="00EA63C5" w:rsidRDefault="00AC3656" w:rsidP="00AC3656">
            <w:pPr>
              <w:rPr>
                <w:sz w:val="20"/>
                <w:szCs w:val="20"/>
              </w:rPr>
            </w:pPr>
            <w:r w:rsidRPr="00EA63C5">
              <w:rPr>
                <w:sz w:val="20"/>
                <w:szCs w:val="20"/>
              </w:rPr>
              <w:t>(</w:t>
            </w:r>
            <w:proofErr w:type="spellStart"/>
            <w:r w:rsidRPr="00EA63C5">
              <w:rPr>
                <w:sz w:val="20"/>
                <w:szCs w:val="20"/>
              </w:rPr>
              <w:t>Belobaba</w:t>
            </w:r>
            <w:proofErr w:type="spellEnd"/>
            <w:r w:rsidRPr="00EA63C5">
              <w:rPr>
                <w:sz w:val="20"/>
                <w:szCs w:val="20"/>
              </w:rPr>
              <w:t xml:space="preserve"> J.)</w:t>
            </w:r>
          </w:p>
          <w:p w:rsidR="00AC3656" w:rsidRPr="00EA63C5" w:rsidRDefault="007F6DC5" w:rsidP="00AC3656">
            <w:pPr>
              <w:rPr>
                <w:sz w:val="20"/>
                <w:szCs w:val="20"/>
              </w:rPr>
            </w:pPr>
            <w:hyperlink r:id="rId41" w:history="1">
              <w:r w:rsidR="00AC3656" w:rsidRPr="00EA63C5">
                <w:rPr>
                  <w:rStyle w:val="Hyperlink"/>
                  <w:sz w:val="20"/>
                  <w:szCs w:val="20"/>
                </w:rPr>
                <w:t>2015 ONSC 632</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AC3656" w:rsidRPr="00EA63C5" w:rsidRDefault="00AC3656" w:rsidP="00AC3656">
            <w:pPr>
              <w:jc w:val="both"/>
              <w:rPr>
                <w:sz w:val="20"/>
                <w:szCs w:val="20"/>
              </w:rPr>
            </w:pPr>
            <w:r w:rsidRPr="00EA63C5">
              <w:rPr>
                <w:sz w:val="20"/>
                <w:szCs w:val="20"/>
              </w:rPr>
              <w:t xml:space="preserve">Common issues answered in favour of Bell; Action against Bell dismissed. </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tcPr>
          <w:p w:rsidR="00AC3656" w:rsidRPr="00EA63C5" w:rsidRDefault="00AC3656" w:rsidP="00AC3656">
            <w:pPr>
              <w:rPr>
                <w:sz w:val="20"/>
                <w:szCs w:val="20"/>
              </w:rPr>
            </w:pPr>
            <w:r w:rsidRPr="00EA63C5">
              <w:rPr>
                <w:sz w:val="20"/>
                <w:szCs w:val="20"/>
              </w:rPr>
              <w:t>April 4, 2016</w:t>
            </w:r>
          </w:p>
          <w:p w:rsidR="00AC3656" w:rsidRPr="00EA63C5" w:rsidRDefault="00AC3656" w:rsidP="00AC3656">
            <w:pPr>
              <w:rPr>
                <w:sz w:val="20"/>
                <w:szCs w:val="20"/>
              </w:rPr>
            </w:pPr>
            <w:r w:rsidRPr="00EA63C5">
              <w:rPr>
                <w:sz w:val="20"/>
                <w:szCs w:val="20"/>
              </w:rPr>
              <w:t>Court of Appeal for Ontario</w:t>
            </w:r>
          </w:p>
          <w:p w:rsidR="00AC3656" w:rsidRPr="00EA63C5" w:rsidRDefault="00AC3656" w:rsidP="00AC3656">
            <w:pPr>
              <w:rPr>
                <w:sz w:val="20"/>
                <w:szCs w:val="20"/>
              </w:rPr>
            </w:pPr>
            <w:r w:rsidRPr="00EA63C5">
              <w:rPr>
                <w:sz w:val="20"/>
                <w:szCs w:val="20"/>
              </w:rPr>
              <w:t xml:space="preserve">(Strathy C.J.O. and </w:t>
            </w:r>
            <w:proofErr w:type="spellStart"/>
            <w:r w:rsidRPr="00EA63C5">
              <w:rPr>
                <w:sz w:val="20"/>
                <w:szCs w:val="20"/>
              </w:rPr>
              <w:t>LaForme</w:t>
            </w:r>
            <w:proofErr w:type="spellEnd"/>
            <w:r w:rsidRPr="00EA63C5">
              <w:rPr>
                <w:sz w:val="20"/>
                <w:szCs w:val="20"/>
              </w:rPr>
              <w:t xml:space="preserve"> and </w:t>
            </w:r>
            <w:proofErr w:type="spellStart"/>
            <w:r w:rsidRPr="00EA63C5">
              <w:rPr>
                <w:sz w:val="20"/>
                <w:szCs w:val="20"/>
              </w:rPr>
              <w:t>Huscroft</w:t>
            </w:r>
            <w:proofErr w:type="spellEnd"/>
            <w:r w:rsidRPr="00EA63C5">
              <w:rPr>
                <w:sz w:val="20"/>
                <w:szCs w:val="20"/>
              </w:rPr>
              <w:t xml:space="preserve"> JJ.A.)</w:t>
            </w:r>
          </w:p>
          <w:p w:rsidR="00AC3656" w:rsidRPr="00EA63C5" w:rsidRDefault="007F6DC5" w:rsidP="00AC3656">
            <w:pPr>
              <w:rPr>
                <w:sz w:val="20"/>
                <w:szCs w:val="20"/>
              </w:rPr>
            </w:pPr>
            <w:hyperlink r:id="rId42" w:history="1">
              <w:r w:rsidR="00AC3656" w:rsidRPr="00EA63C5">
                <w:rPr>
                  <w:rStyle w:val="Hyperlink"/>
                  <w:sz w:val="20"/>
                  <w:szCs w:val="20"/>
                </w:rPr>
                <w:t>2016 ONCA 242</w:t>
              </w:r>
            </w:hyperlink>
          </w:p>
          <w:p w:rsidR="00AC3656" w:rsidRPr="00EA63C5" w:rsidRDefault="00AC3656" w:rsidP="00AC3656">
            <w:pPr>
              <w:rPr>
                <w:sz w:val="20"/>
                <w:szCs w:val="20"/>
              </w:rPr>
            </w:pPr>
            <w:r w:rsidRPr="00EA63C5">
              <w:rPr>
                <w:sz w:val="20"/>
                <w:szCs w:val="20"/>
              </w:rPr>
              <w:t>File No.: C60176</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AC3656" w:rsidRPr="00EA63C5" w:rsidRDefault="00AC3656" w:rsidP="00AC3656">
            <w:pPr>
              <w:rPr>
                <w:sz w:val="20"/>
                <w:szCs w:val="20"/>
              </w:rPr>
            </w:pPr>
            <w:r w:rsidRPr="00EA63C5">
              <w:rPr>
                <w:sz w:val="20"/>
                <w:szCs w:val="20"/>
              </w:rPr>
              <w:t>Appeal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tcPr>
          <w:p w:rsidR="00AC3656" w:rsidRPr="00EA63C5" w:rsidRDefault="00AC3656" w:rsidP="00AC3656">
            <w:pPr>
              <w:rPr>
                <w:sz w:val="20"/>
                <w:szCs w:val="20"/>
              </w:rPr>
            </w:pPr>
            <w:r w:rsidRPr="00EA63C5">
              <w:rPr>
                <w:sz w:val="20"/>
                <w:szCs w:val="20"/>
              </w:rPr>
              <w:t>June 3, 2016</w:t>
            </w:r>
          </w:p>
          <w:p w:rsidR="00B22687" w:rsidRPr="00EA63C5" w:rsidRDefault="00AC3656" w:rsidP="00AC3656">
            <w:pPr>
              <w:jc w:val="both"/>
              <w:rPr>
                <w:rFonts w:cs="Times New Roman"/>
                <w:sz w:val="20"/>
                <w:szCs w:val="20"/>
              </w:rPr>
            </w:pPr>
            <w:r w:rsidRPr="00EA63C5">
              <w:rPr>
                <w:sz w:val="20"/>
                <w:szCs w:val="20"/>
              </w:rPr>
              <w:t>Supreme Court of Canada</w:t>
            </w:r>
          </w:p>
        </w:tc>
        <w:tc>
          <w:tcPr>
            <w:tcW w:w="630" w:type="dxa"/>
          </w:tcPr>
          <w:p w:rsidR="00B22687" w:rsidRPr="00EA63C5" w:rsidRDefault="00B22687" w:rsidP="00B22687">
            <w:pPr>
              <w:jc w:val="both"/>
              <w:rPr>
                <w:rFonts w:cs="Times New Roman"/>
                <w:sz w:val="20"/>
                <w:szCs w:val="20"/>
              </w:rPr>
            </w:pPr>
          </w:p>
        </w:tc>
        <w:tc>
          <w:tcPr>
            <w:tcW w:w="4536" w:type="dxa"/>
          </w:tcPr>
          <w:p w:rsidR="00AC3656" w:rsidRPr="00EA63C5" w:rsidRDefault="00AC3656" w:rsidP="00AC3656">
            <w:pPr>
              <w:rPr>
                <w:sz w:val="20"/>
                <w:szCs w:val="20"/>
              </w:rPr>
            </w:pPr>
            <w:r w:rsidRPr="00EA63C5">
              <w:rPr>
                <w:sz w:val="20"/>
                <w:szCs w:val="20"/>
              </w:rPr>
              <w:t>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3"/>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66"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3"/>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1D68AE">
        <w:tc>
          <w:tcPr>
            <w:tcW w:w="9576" w:type="dxa"/>
            <w:gridSpan w:val="3"/>
          </w:tcPr>
          <w:p w:rsidR="00B22687" w:rsidRPr="00EA63C5" w:rsidRDefault="00AC3656" w:rsidP="00B22687">
            <w:pPr>
              <w:pStyle w:val="SCCShortJudgment"/>
              <w:ind w:firstLine="0"/>
              <w:rPr>
                <w:szCs w:val="20"/>
                <w:lang w:val="fr-CA"/>
              </w:rPr>
            </w:pPr>
            <w:r w:rsidRPr="00EA63C5">
              <w:rPr>
                <w:szCs w:val="20"/>
                <w:lang w:val="fr-CA"/>
              </w:rPr>
              <w:t xml:space="preserve">Contrats — Violation de contrat — Comptes de cartes d’appel sans-fil prépayées — Recours collectif certifié alléguant que Bell a irrégulièrement perçu des fonds inutilisés des comptes d’abonnés qui omettaient de « recharger » leur compte avant la fin de leur « période active » — Jugement sommaire en faveur de Bell — La Cour d’appel a rejeté l’appel — Dans quelles situations une cour qui interprète un contrat de consommation type devrait-elle donner un effet contractuel aux documents accessoires, y compris les documents de mise en marché comme les annonces aux points de vente, les brochures et les déclarations sur les sites Web? — Les avis types envoyés aux consommateurs en exécution de </w:t>
            </w:r>
            <w:r w:rsidRPr="00EA63C5">
              <w:rPr>
                <w:szCs w:val="20"/>
                <w:lang w:val="fr-CA"/>
              </w:rPr>
              <w:lastRenderedPageBreak/>
              <w:t>dispositions contractuelles en matière d’avis peuvent-ils servir de fondement à une demande pour violation de contrat dans un recours collectif ou bien est-ce que les consommateurs doivent plutôt poursuivre individuellement pour assertion inexacte?</w:t>
            </w:r>
          </w:p>
          <w:p w:rsidR="00AC3656" w:rsidRPr="00EA63C5" w:rsidRDefault="00AC3656"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3"/>
          </w:tcPr>
          <w:p w:rsidR="00AC3656" w:rsidRPr="00EA63C5" w:rsidRDefault="00AC3656" w:rsidP="00AC3656">
            <w:pPr>
              <w:ind w:left="-120" w:right="-30"/>
              <w:jc w:val="both"/>
              <w:rPr>
                <w:sz w:val="20"/>
                <w:szCs w:val="20"/>
                <w:lang w:val="fr-CA"/>
              </w:rPr>
            </w:pPr>
            <w:r w:rsidRPr="00EA63C5">
              <w:rPr>
                <w:sz w:val="20"/>
                <w:szCs w:val="20"/>
                <w:lang w:val="fr-CA"/>
              </w:rPr>
              <w:lastRenderedPageBreak/>
              <w:t xml:space="preserve">Le pourvoi éventuel a pour objet les comptes de cartes d’appel sans-fil prépayées. Il concerne le sort des soldes qui demeurent dans le compte d’une abonnée de Bell Mobilité Inc. lorsque cette dernière omet de « recharger » le compte avant la fin de sa « période active ». Les </w:t>
            </w:r>
            <w:proofErr w:type="gramStart"/>
            <w:r w:rsidRPr="00EA63C5">
              <w:rPr>
                <w:sz w:val="20"/>
                <w:szCs w:val="20"/>
                <w:lang w:val="fr-CA"/>
              </w:rPr>
              <w:t>rechargement</w:t>
            </w:r>
            <w:proofErr w:type="gramEnd"/>
            <w:r w:rsidRPr="00EA63C5">
              <w:rPr>
                <w:sz w:val="20"/>
                <w:szCs w:val="20"/>
                <w:lang w:val="fr-CA"/>
              </w:rPr>
              <w:t xml:space="preserve"> des cartes prépayées de Bell permettent aux clients d’ajouter des crédits à leurs comptes et de prolonger leur période active, ce qui leur donne accès au réseau sans-fil de Bell. Pendant la période en cause, Bell avait pour pratique de réclamer les fonds inutilisés le jour qui suivait la fin de la période active. Par exemple, si la période active prenait fin le 30 juin, Bell avait pour pratique de réclamer les fonds inutilisés le 1</w:t>
            </w:r>
            <w:r w:rsidRPr="00EA63C5">
              <w:rPr>
                <w:sz w:val="20"/>
                <w:szCs w:val="20"/>
                <w:vertAlign w:val="superscript"/>
                <w:lang w:val="fr-CA"/>
              </w:rPr>
              <w:t>er</w:t>
            </w:r>
            <w:r w:rsidRPr="00EA63C5">
              <w:rPr>
                <w:sz w:val="20"/>
                <w:szCs w:val="20"/>
                <w:lang w:val="fr-CA"/>
              </w:rPr>
              <w:t xml:space="preserve"> juillet si le compte n’avait pas été rechargé pour prolonger la période active.</w:t>
            </w:r>
          </w:p>
          <w:p w:rsidR="00B22687" w:rsidRPr="00EA63C5" w:rsidRDefault="00B22687" w:rsidP="00B22687">
            <w:pPr>
              <w:jc w:val="both"/>
              <w:rPr>
                <w:rFonts w:cs="Times New Roman"/>
                <w:sz w:val="20"/>
                <w:szCs w:val="20"/>
                <w:u w:val="single"/>
                <w:lang w:val="fr-CA"/>
              </w:rPr>
            </w:pPr>
          </w:p>
        </w:tc>
      </w:tr>
      <w:tr w:rsidR="00B22687" w:rsidRPr="007F6DC5" w:rsidTr="00B22687">
        <w:trPr>
          <w:cantSplit/>
        </w:trPr>
        <w:tc>
          <w:tcPr>
            <w:tcW w:w="9576" w:type="dxa"/>
            <w:gridSpan w:val="3"/>
          </w:tcPr>
          <w:p w:rsidR="00B22687" w:rsidRPr="00EA63C5" w:rsidRDefault="00AC3656" w:rsidP="00B22687">
            <w:pPr>
              <w:pStyle w:val="SCCShortJudgment"/>
              <w:ind w:firstLine="0"/>
              <w:rPr>
                <w:szCs w:val="20"/>
                <w:lang w:val="fr-CA"/>
              </w:rPr>
            </w:pPr>
            <w:r w:rsidRPr="00EA63C5">
              <w:rPr>
                <w:szCs w:val="20"/>
                <w:lang w:val="fr-CA"/>
              </w:rPr>
              <w:t>Dans son recours collectif, la demanderesse, Mme Sankar, a allégué que Bell percevait irrégulièrement ces fonds. Selon la demanderesse, le contrat prévoyait que Bell devait attendre le deuxième jour qui suivait la fin de la période active et non pas le premier jour.</w:t>
            </w:r>
          </w:p>
          <w:p w:rsidR="00AC3656" w:rsidRPr="00EA63C5" w:rsidRDefault="00AC3656" w:rsidP="00B22687">
            <w:pPr>
              <w:pStyle w:val="SCCShortJudgment"/>
              <w:ind w:firstLine="0"/>
              <w:rPr>
                <w:rFonts w:cs="Times New Roman"/>
                <w:szCs w:val="20"/>
                <w:u w:val="single"/>
                <w:lang w:val="fr-CA"/>
              </w:rPr>
            </w:pPr>
          </w:p>
        </w:tc>
      </w:tr>
      <w:tr w:rsidR="00AC3656" w:rsidRPr="00EA63C5" w:rsidTr="00B22687">
        <w:trPr>
          <w:cantSplit/>
        </w:trPr>
        <w:tc>
          <w:tcPr>
            <w:tcW w:w="9576" w:type="dxa"/>
            <w:gridSpan w:val="3"/>
          </w:tcPr>
          <w:p w:rsidR="00AC3656" w:rsidRPr="00EA63C5" w:rsidRDefault="00AC3656" w:rsidP="00AC3656">
            <w:pPr>
              <w:jc w:val="both"/>
              <w:rPr>
                <w:sz w:val="20"/>
                <w:szCs w:val="20"/>
                <w:lang w:val="fr-CA"/>
              </w:rPr>
            </w:pPr>
            <w:r w:rsidRPr="00EA63C5">
              <w:rPr>
                <w:sz w:val="20"/>
                <w:szCs w:val="20"/>
                <w:lang w:val="fr-CA"/>
              </w:rPr>
              <w:t>Le juge de première instance a statué que Bell n’avait pas violé son contrat et il a prononcé un jugement sommaire, tranchant les questions communes en faveur de Bell et il rejeté le recours collectif. La Cour d’appel a rejeté l’appel.</w:t>
            </w:r>
          </w:p>
          <w:p w:rsidR="00AC3656" w:rsidRPr="00EA63C5" w:rsidRDefault="00AC3656" w:rsidP="00B22687">
            <w:pPr>
              <w:pStyle w:val="SCCShortJudgment"/>
              <w:ind w:firstLine="0"/>
              <w:rPr>
                <w:szCs w:val="20"/>
                <w:lang w:val="fr-CA"/>
              </w:rPr>
            </w:pPr>
          </w:p>
        </w:tc>
      </w:tr>
      <w:tr w:rsidR="00B22687" w:rsidRPr="007F6DC5" w:rsidTr="00B22687">
        <w:trPr>
          <w:cantSplit/>
        </w:trPr>
        <w:tc>
          <w:tcPr>
            <w:tcW w:w="4410" w:type="dxa"/>
          </w:tcPr>
          <w:p w:rsidR="00AC3656" w:rsidRPr="00EA63C5" w:rsidRDefault="00AC3656" w:rsidP="00AC3656">
            <w:pPr>
              <w:rPr>
                <w:sz w:val="20"/>
                <w:szCs w:val="20"/>
                <w:lang w:val="fr-CA"/>
              </w:rPr>
            </w:pPr>
            <w:r w:rsidRPr="00EA63C5">
              <w:rPr>
                <w:sz w:val="20"/>
                <w:szCs w:val="20"/>
                <w:lang w:val="fr-CA"/>
              </w:rPr>
              <w:t>4 octobre 2013</w:t>
            </w:r>
          </w:p>
          <w:p w:rsidR="00AC3656" w:rsidRPr="00EA63C5" w:rsidRDefault="00AC3656" w:rsidP="00AC3656">
            <w:pPr>
              <w:rPr>
                <w:sz w:val="20"/>
                <w:szCs w:val="20"/>
                <w:lang w:val="fr-CA"/>
              </w:rPr>
            </w:pPr>
            <w:r w:rsidRPr="00EA63C5">
              <w:rPr>
                <w:sz w:val="20"/>
                <w:szCs w:val="20"/>
                <w:lang w:val="fr-CA"/>
              </w:rPr>
              <w:t>Cour supérieure de justice de l’Ontario</w:t>
            </w:r>
          </w:p>
          <w:p w:rsidR="00AC3656" w:rsidRPr="00EA63C5" w:rsidRDefault="00AC3656" w:rsidP="00AC3656">
            <w:pPr>
              <w:rPr>
                <w:sz w:val="20"/>
                <w:szCs w:val="20"/>
                <w:lang w:val="fr-CA"/>
              </w:rPr>
            </w:pPr>
            <w:r w:rsidRPr="00EA63C5">
              <w:rPr>
                <w:sz w:val="20"/>
                <w:szCs w:val="20"/>
                <w:lang w:val="fr-CA"/>
              </w:rPr>
              <w:t xml:space="preserve">(Juge </w:t>
            </w:r>
            <w:proofErr w:type="spellStart"/>
            <w:r w:rsidRPr="00EA63C5">
              <w:rPr>
                <w:sz w:val="20"/>
                <w:szCs w:val="20"/>
                <w:lang w:val="fr-CA"/>
              </w:rPr>
              <w:t>Belobaba</w:t>
            </w:r>
            <w:proofErr w:type="spellEnd"/>
            <w:r w:rsidRPr="00EA63C5">
              <w:rPr>
                <w:sz w:val="20"/>
                <w:szCs w:val="20"/>
                <w:lang w:val="fr-CA"/>
              </w:rPr>
              <w:t>)</w:t>
            </w:r>
          </w:p>
          <w:p w:rsidR="00AC3656" w:rsidRPr="00EA63C5" w:rsidRDefault="007F6DC5" w:rsidP="00AC3656">
            <w:pPr>
              <w:rPr>
                <w:sz w:val="20"/>
                <w:szCs w:val="20"/>
                <w:lang w:val="fr-CA"/>
              </w:rPr>
            </w:pPr>
            <w:hyperlink r:id="rId43" w:history="1">
              <w:r w:rsidR="00AC3656" w:rsidRPr="00EA63C5">
                <w:rPr>
                  <w:rStyle w:val="Hyperlink"/>
                  <w:sz w:val="20"/>
                  <w:szCs w:val="20"/>
                  <w:lang w:val="fr-CA"/>
                </w:rPr>
                <w:t>2013 ONSC 5916</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AC3656" w:rsidRPr="00EA63C5" w:rsidRDefault="00AC3656" w:rsidP="00AC3656">
            <w:pPr>
              <w:jc w:val="both"/>
              <w:rPr>
                <w:sz w:val="20"/>
                <w:szCs w:val="20"/>
                <w:lang w:val="fr-CA"/>
              </w:rPr>
            </w:pPr>
            <w:r w:rsidRPr="00EA63C5">
              <w:rPr>
                <w:sz w:val="20"/>
                <w:szCs w:val="20"/>
                <w:lang w:val="fr-CA"/>
              </w:rPr>
              <w:t>Action certifiée en tant que recours collectif contre Bell.</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tcPr>
          <w:p w:rsidR="00AC3656" w:rsidRPr="00EA63C5" w:rsidRDefault="00AC3656" w:rsidP="00AC3656">
            <w:pPr>
              <w:rPr>
                <w:sz w:val="20"/>
                <w:szCs w:val="20"/>
                <w:lang w:val="fr-CA"/>
              </w:rPr>
            </w:pPr>
            <w:r w:rsidRPr="00EA63C5">
              <w:rPr>
                <w:sz w:val="20"/>
                <w:szCs w:val="20"/>
                <w:lang w:val="fr-CA"/>
              </w:rPr>
              <w:t>12 février 2015</w:t>
            </w:r>
          </w:p>
          <w:p w:rsidR="00AC3656" w:rsidRPr="00EA63C5" w:rsidRDefault="00AC3656" w:rsidP="00AC3656">
            <w:pPr>
              <w:rPr>
                <w:sz w:val="20"/>
                <w:szCs w:val="20"/>
                <w:lang w:val="fr-CA"/>
              </w:rPr>
            </w:pPr>
            <w:r w:rsidRPr="00EA63C5">
              <w:rPr>
                <w:sz w:val="20"/>
                <w:szCs w:val="20"/>
                <w:lang w:val="fr-CA"/>
              </w:rPr>
              <w:t xml:space="preserve">Cour supérieure de justice de l’Ontario </w:t>
            </w:r>
          </w:p>
          <w:p w:rsidR="00AC3656" w:rsidRPr="00EA63C5" w:rsidRDefault="00AC3656" w:rsidP="00AC3656">
            <w:pPr>
              <w:rPr>
                <w:sz w:val="20"/>
                <w:szCs w:val="20"/>
                <w:lang w:val="fr-CA"/>
              </w:rPr>
            </w:pPr>
            <w:r w:rsidRPr="00EA63C5">
              <w:rPr>
                <w:sz w:val="20"/>
                <w:szCs w:val="20"/>
                <w:lang w:val="fr-CA"/>
              </w:rPr>
              <w:t xml:space="preserve">(Juge </w:t>
            </w:r>
            <w:proofErr w:type="spellStart"/>
            <w:r w:rsidRPr="00EA63C5">
              <w:rPr>
                <w:sz w:val="20"/>
                <w:szCs w:val="20"/>
                <w:lang w:val="fr-CA"/>
              </w:rPr>
              <w:t>Belobaba</w:t>
            </w:r>
            <w:proofErr w:type="spellEnd"/>
            <w:r w:rsidRPr="00EA63C5">
              <w:rPr>
                <w:sz w:val="20"/>
                <w:szCs w:val="20"/>
                <w:lang w:val="fr-CA"/>
              </w:rPr>
              <w:t>)</w:t>
            </w:r>
          </w:p>
          <w:p w:rsidR="00AC3656" w:rsidRPr="00EA63C5" w:rsidRDefault="007F6DC5" w:rsidP="00AC3656">
            <w:pPr>
              <w:rPr>
                <w:sz w:val="20"/>
                <w:szCs w:val="20"/>
                <w:lang w:val="fr-CA"/>
              </w:rPr>
            </w:pPr>
            <w:hyperlink r:id="rId44" w:history="1">
              <w:r w:rsidR="00AC3656" w:rsidRPr="00EA63C5">
                <w:rPr>
                  <w:rStyle w:val="Hyperlink"/>
                  <w:sz w:val="20"/>
                  <w:szCs w:val="20"/>
                  <w:lang w:val="fr-CA"/>
                </w:rPr>
                <w:t>2015 ONSC 632</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AC3656" w:rsidRPr="00EA63C5" w:rsidRDefault="00AC3656" w:rsidP="00AC3656">
            <w:pPr>
              <w:jc w:val="both"/>
              <w:rPr>
                <w:sz w:val="20"/>
                <w:szCs w:val="20"/>
                <w:lang w:val="fr-CA"/>
              </w:rPr>
            </w:pPr>
            <w:r w:rsidRPr="00EA63C5">
              <w:rPr>
                <w:sz w:val="20"/>
                <w:szCs w:val="20"/>
                <w:lang w:val="fr-CA"/>
              </w:rPr>
              <w:t xml:space="preserve">Jugement tranchant les questions communes en faveur de Bell; rejet de l’action contre Bell. </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tcPr>
          <w:p w:rsidR="00AC3656" w:rsidRPr="00EA63C5" w:rsidRDefault="00AC3656" w:rsidP="00AC3656">
            <w:pPr>
              <w:rPr>
                <w:sz w:val="20"/>
                <w:szCs w:val="20"/>
                <w:lang w:val="fr-CA"/>
              </w:rPr>
            </w:pPr>
            <w:r w:rsidRPr="00EA63C5">
              <w:rPr>
                <w:sz w:val="20"/>
                <w:szCs w:val="20"/>
                <w:lang w:val="fr-CA"/>
              </w:rPr>
              <w:t>4 avril 2016</w:t>
            </w:r>
          </w:p>
          <w:p w:rsidR="00AC3656" w:rsidRPr="00EA63C5" w:rsidRDefault="00AC3656" w:rsidP="00AC3656">
            <w:pPr>
              <w:rPr>
                <w:sz w:val="20"/>
                <w:szCs w:val="20"/>
                <w:lang w:val="fr-CA"/>
              </w:rPr>
            </w:pPr>
            <w:r w:rsidRPr="00EA63C5">
              <w:rPr>
                <w:sz w:val="20"/>
                <w:szCs w:val="20"/>
                <w:lang w:val="fr-CA"/>
              </w:rPr>
              <w:t xml:space="preserve">Cour d’appel de l’Ontario </w:t>
            </w:r>
          </w:p>
          <w:p w:rsidR="00AC3656" w:rsidRPr="00EA63C5" w:rsidRDefault="00AC3656" w:rsidP="00AC3656">
            <w:pPr>
              <w:rPr>
                <w:sz w:val="20"/>
                <w:szCs w:val="20"/>
                <w:lang w:val="fr-CA"/>
              </w:rPr>
            </w:pPr>
            <w:r w:rsidRPr="00EA63C5">
              <w:rPr>
                <w:sz w:val="20"/>
                <w:szCs w:val="20"/>
                <w:lang w:val="fr-CA"/>
              </w:rPr>
              <w:t xml:space="preserve">(Juge en chef </w:t>
            </w:r>
            <w:proofErr w:type="spellStart"/>
            <w:r w:rsidRPr="00EA63C5">
              <w:rPr>
                <w:sz w:val="20"/>
                <w:szCs w:val="20"/>
                <w:lang w:val="fr-CA"/>
              </w:rPr>
              <w:t>Strathy</w:t>
            </w:r>
            <w:proofErr w:type="spellEnd"/>
            <w:r w:rsidRPr="00EA63C5">
              <w:rPr>
                <w:sz w:val="20"/>
                <w:szCs w:val="20"/>
                <w:lang w:val="fr-CA"/>
              </w:rPr>
              <w:t xml:space="preserve">, juges </w:t>
            </w:r>
            <w:proofErr w:type="spellStart"/>
            <w:r w:rsidRPr="00EA63C5">
              <w:rPr>
                <w:sz w:val="20"/>
                <w:szCs w:val="20"/>
                <w:lang w:val="fr-CA"/>
              </w:rPr>
              <w:t>LaForme</w:t>
            </w:r>
            <w:proofErr w:type="spellEnd"/>
            <w:r w:rsidRPr="00EA63C5">
              <w:rPr>
                <w:sz w:val="20"/>
                <w:szCs w:val="20"/>
                <w:lang w:val="fr-CA"/>
              </w:rPr>
              <w:t xml:space="preserve"> et </w:t>
            </w:r>
            <w:proofErr w:type="spellStart"/>
            <w:r w:rsidRPr="00EA63C5">
              <w:rPr>
                <w:sz w:val="20"/>
                <w:szCs w:val="20"/>
                <w:lang w:val="fr-CA"/>
              </w:rPr>
              <w:t>Huscroft</w:t>
            </w:r>
            <w:proofErr w:type="spellEnd"/>
            <w:r w:rsidRPr="00EA63C5">
              <w:rPr>
                <w:sz w:val="20"/>
                <w:szCs w:val="20"/>
                <w:lang w:val="fr-CA"/>
              </w:rPr>
              <w:t>)</w:t>
            </w:r>
          </w:p>
          <w:p w:rsidR="00AC3656" w:rsidRPr="00EA63C5" w:rsidRDefault="007F6DC5" w:rsidP="00AC3656">
            <w:pPr>
              <w:rPr>
                <w:sz w:val="20"/>
                <w:szCs w:val="20"/>
                <w:lang w:val="fr-CA"/>
              </w:rPr>
            </w:pPr>
            <w:hyperlink r:id="rId45" w:history="1">
              <w:r w:rsidR="00AC3656" w:rsidRPr="00EA63C5">
                <w:rPr>
                  <w:rStyle w:val="Hyperlink"/>
                  <w:sz w:val="20"/>
                  <w:szCs w:val="20"/>
                  <w:lang w:val="fr-CA"/>
                </w:rPr>
                <w:t>2016 ONCA 242</w:t>
              </w:r>
            </w:hyperlink>
          </w:p>
          <w:p w:rsidR="00AC3656" w:rsidRPr="00EA63C5" w:rsidRDefault="00AC3656" w:rsidP="00AC3656">
            <w:pPr>
              <w:rPr>
                <w:sz w:val="20"/>
                <w:szCs w:val="20"/>
                <w:lang w:val="fr-CA"/>
              </w:rPr>
            </w:pPr>
            <w:r w:rsidRPr="00EA63C5">
              <w:rPr>
                <w:sz w:val="20"/>
                <w:szCs w:val="20"/>
                <w:lang w:val="fr-CA"/>
              </w:rPr>
              <w:t>N</w:t>
            </w:r>
            <w:r w:rsidRPr="00EA63C5">
              <w:rPr>
                <w:sz w:val="20"/>
                <w:szCs w:val="20"/>
                <w:vertAlign w:val="superscript"/>
                <w:lang w:val="fr-CA"/>
              </w:rPr>
              <w:t>o</w:t>
            </w:r>
            <w:r w:rsidRPr="00EA63C5">
              <w:rPr>
                <w:sz w:val="20"/>
                <w:szCs w:val="20"/>
                <w:lang w:val="fr-CA"/>
              </w:rPr>
              <w:t xml:space="preserve"> du greffe : C60176</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AC3656" w:rsidRPr="00EA63C5" w:rsidRDefault="00AC3656" w:rsidP="00AC3656">
            <w:pPr>
              <w:rPr>
                <w:sz w:val="20"/>
                <w:szCs w:val="20"/>
                <w:lang w:val="fr-CA"/>
              </w:rPr>
            </w:pPr>
            <w:r w:rsidRPr="00EA63C5">
              <w:rPr>
                <w:sz w:val="20"/>
                <w:szCs w:val="20"/>
                <w:lang w:val="fr-CA"/>
              </w:rPr>
              <w:t>Rejet de l’appel.</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tcPr>
          <w:p w:rsidR="00AC3656" w:rsidRPr="00EA63C5" w:rsidRDefault="00AC3656" w:rsidP="00AC3656">
            <w:pPr>
              <w:rPr>
                <w:sz w:val="20"/>
                <w:szCs w:val="20"/>
                <w:lang w:val="fr-CA"/>
              </w:rPr>
            </w:pPr>
            <w:r w:rsidRPr="00EA63C5">
              <w:rPr>
                <w:sz w:val="20"/>
                <w:szCs w:val="20"/>
                <w:lang w:val="fr-CA"/>
              </w:rPr>
              <w:t>3 juin 2016</w:t>
            </w:r>
          </w:p>
          <w:p w:rsidR="00B22687" w:rsidRPr="00EA63C5" w:rsidRDefault="00AC3656" w:rsidP="00AC3656">
            <w:pPr>
              <w:pStyle w:val="SCCShortJudgment"/>
              <w:ind w:firstLine="0"/>
              <w:rPr>
                <w:rFonts w:cs="Times New Roman"/>
                <w:szCs w:val="20"/>
                <w:u w:val="single"/>
                <w:lang w:val="fr-CA"/>
              </w:rPr>
            </w:pPr>
            <w:r w:rsidRPr="00EA63C5">
              <w:rPr>
                <w:szCs w:val="20"/>
                <w:lang w:val="fr-CA"/>
              </w:rPr>
              <w:t>Cour suprême du Canada</w:t>
            </w: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AC3656" w:rsidP="00B22687">
            <w:pPr>
              <w:pStyle w:val="SCCShortJudgment"/>
              <w:ind w:firstLine="0"/>
              <w:rPr>
                <w:rFonts w:cs="Times New Roman"/>
                <w:szCs w:val="20"/>
                <w:u w:val="single"/>
                <w:lang w:val="fr-CA"/>
              </w:rPr>
            </w:pPr>
            <w:r w:rsidRPr="00EA63C5">
              <w:rPr>
                <w:szCs w:val="20"/>
                <w:lang w:val="fr-CA"/>
              </w:rPr>
              <w:t>Dépôt de la demande d’autorisation d’appel.</w:t>
            </w:r>
          </w:p>
        </w:tc>
      </w:tr>
    </w:tbl>
    <w:p w:rsidR="00B22687" w:rsidRPr="00EA63C5" w:rsidRDefault="007F6DC5" w:rsidP="000E2959">
      <w:pPr>
        <w:rPr>
          <w:sz w:val="20"/>
          <w:szCs w:val="20"/>
        </w:rPr>
      </w:pPr>
      <w:r>
        <w:rPr>
          <w:sz w:val="20"/>
          <w:szCs w:val="20"/>
          <w:lang w:val="fr-CA"/>
        </w:rPr>
        <w:pict>
          <v:rect id="_x0000_i1067" style="width:2in;height:1pt" o:hrpct="0" o:hralign="center" o:hrstd="t" o:hrnoshade="t" o:hr="t" fillcolor="black [3213]" stroked="f"/>
        </w:pict>
      </w:r>
    </w:p>
    <w:p w:rsidR="00B22687" w:rsidRPr="00EA63C5" w:rsidRDefault="00B22687" w:rsidP="000E2959">
      <w:pPr>
        <w:rPr>
          <w:sz w:val="20"/>
          <w:szCs w:val="20"/>
        </w:rPr>
      </w:pPr>
    </w:p>
    <w:p w:rsidR="007F6DC5" w:rsidRDefault="007F6DC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lastRenderedPageBreak/>
              <w:t>3</w:t>
            </w:r>
            <w:r w:rsidR="00BF2CCE" w:rsidRPr="00EA63C5">
              <w:rPr>
                <w:rStyle w:val="SCCFileNumberChar"/>
                <w:sz w:val="20"/>
                <w:szCs w:val="20"/>
              </w:rPr>
              <w:t>7052</w:t>
            </w:r>
          </w:p>
          <w:p w:rsidR="00B22687" w:rsidRPr="00EA63C5" w:rsidRDefault="00B22687" w:rsidP="00B22687">
            <w:pPr>
              <w:jc w:val="both"/>
              <w:rPr>
                <w:rFonts w:cs="Times New Roman"/>
                <w:b/>
                <w:sz w:val="20"/>
                <w:szCs w:val="20"/>
              </w:rPr>
            </w:pPr>
          </w:p>
        </w:tc>
        <w:tc>
          <w:tcPr>
            <w:tcW w:w="8118" w:type="dxa"/>
          </w:tcPr>
          <w:p w:rsidR="00B22687" w:rsidRPr="00EA63C5" w:rsidRDefault="00BC1A15" w:rsidP="00B22687">
            <w:pPr>
              <w:jc w:val="both"/>
              <w:rPr>
                <w:rFonts w:cs="Times New Roman"/>
                <w:sz w:val="20"/>
                <w:szCs w:val="20"/>
              </w:rPr>
            </w:pPr>
            <w:r w:rsidRPr="00EA63C5">
              <w:rPr>
                <w:b/>
                <w:sz w:val="20"/>
                <w:szCs w:val="20"/>
                <w:u w:val="single"/>
              </w:rPr>
              <w:t>Durham Regional Crime Stoppers Inc. v. Her Majesty the Queen and X.Y.</w:t>
            </w:r>
            <w:r w:rsidRPr="00EA63C5">
              <w:rPr>
                <w:rFonts w:cs="Times New Roman"/>
                <w:sz w:val="20"/>
                <w:szCs w:val="20"/>
              </w:rPr>
              <w:t xml:space="preserve"> </w:t>
            </w:r>
            <w:r w:rsidR="00B22687" w:rsidRPr="00EA63C5">
              <w:rPr>
                <w:rFonts w:cs="Times New Roman"/>
                <w:sz w:val="20"/>
                <w:szCs w:val="20"/>
              </w:rPr>
              <w:t>(Ont.) (</w:t>
            </w:r>
            <w:r w:rsidR="001F7BE5" w:rsidRPr="00EA63C5">
              <w:rPr>
                <w:rFonts w:cs="Times New Roman"/>
                <w:sz w:val="20"/>
                <w:szCs w:val="20"/>
              </w:rPr>
              <w:t>Crim.</w:t>
            </w:r>
            <w:r w:rsidR="00B22687" w:rsidRPr="00EA63C5">
              <w:rPr>
                <w:rFonts w:cs="Times New Roman"/>
                <w:sz w:val="20"/>
                <w:szCs w:val="20"/>
              </w:rPr>
              <w:t>)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tcPr>
          <w:p w:rsidR="00B22687" w:rsidRPr="00EA63C5" w:rsidRDefault="001F7BE5" w:rsidP="00B22687">
            <w:pPr>
              <w:jc w:val="both"/>
              <w:rPr>
                <w:rStyle w:val="SCCCoramChar"/>
                <w:rFonts w:cs="Times New Roman"/>
                <w:sz w:val="20"/>
                <w:szCs w:val="20"/>
                <w:lang w:val="en-US"/>
              </w:rPr>
            </w:pPr>
            <w:r w:rsidRPr="00EA63C5">
              <w:rPr>
                <w:rStyle w:val="SCCCoramChar"/>
                <w:rFonts w:cs="Times New Roman"/>
                <w:sz w:val="20"/>
                <w:szCs w:val="20"/>
                <w:lang w:val="en-US"/>
              </w:rPr>
              <w:t>Abella, Karakatsanis and Brown JJ.</w:t>
            </w:r>
          </w:p>
          <w:p w:rsidR="00B22687" w:rsidRPr="00EA63C5" w:rsidRDefault="00B22687" w:rsidP="00B22687">
            <w:pPr>
              <w:jc w:val="both"/>
              <w:rPr>
                <w:rFonts w:cs="Times New Roman"/>
                <w:sz w:val="20"/>
                <w:szCs w:val="20"/>
                <w:u w:val="single"/>
              </w:rPr>
            </w:pPr>
          </w:p>
        </w:tc>
      </w:tr>
      <w:tr w:rsidR="00B22687" w:rsidRPr="007F6DC5" w:rsidTr="001F7BE5">
        <w:tc>
          <w:tcPr>
            <w:tcW w:w="9576" w:type="dxa"/>
            <w:gridSpan w:val="2"/>
          </w:tcPr>
          <w:p w:rsidR="001F7BE5" w:rsidRPr="00EA63C5" w:rsidRDefault="00B22687" w:rsidP="001F7BE5">
            <w:pPr>
              <w:jc w:val="both"/>
              <w:rPr>
                <w:sz w:val="20"/>
                <w:szCs w:val="20"/>
              </w:rPr>
            </w:pPr>
            <w:r w:rsidRPr="00EA63C5">
              <w:rPr>
                <w:rFonts w:cs="Times New Roman"/>
                <w:szCs w:val="20"/>
              </w:rPr>
              <w:tab/>
            </w:r>
            <w:r w:rsidR="001F7BE5" w:rsidRPr="00EA63C5">
              <w:rPr>
                <w:sz w:val="20"/>
                <w:szCs w:val="20"/>
              </w:rPr>
              <w:t>The application for leave to appeal from the judgment of the Ontario Superior Court of Justice, Number 15/13823, dated April 14, 2016, is granted.</w:t>
            </w:r>
          </w:p>
          <w:p w:rsidR="001F7BE5" w:rsidRPr="00EA63C5" w:rsidRDefault="001F7BE5" w:rsidP="001F7BE5">
            <w:pPr>
              <w:jc w:val="both"/>
              <w:rPr>
                <w:sz w:val="20"/>
                <w:szCs w:val="20"/>
              </w:rPr>
            </w:pPr>
          </w:p>
          <w:p w:rsidR="001F7BE5" w:rsidRPr="00EA63C5" w:rsidRDefault="001F7BE5" w:rsidP="001F7BE5">
            <w:pPr>
              <w:autoSpaceDE w:val="0"/>
              <w:autoSpaceDN w:val="0"/>
              <w:jc w:val="both"/>
              <w:rPr>
                <w:rFonts w:cs="Times New Roman"/>
                <w:sz w:val="20"/>
                <w:szCs w:val="20"/>
              </w:rPr>
            </w:pPr>
            <w:r w:rsidRPr="00EA63C5">
              <w:rPr>
                <w:rFonts w:cs="Times New Roman"/>
                <w:sz w:val="20"/>
                <w:szCs w:val="20"/>
              </w:rPr>
              <w:tab/>
              <w:t>The motion for an order that this file be sealed, and not available for search by the public, and for an order banning publication of the name of the accused and of any information described as having been contained in any communication received by the Applicant from an anonymous source and relating in any way to the subject matter of the application for leave to appeal and, if leave is granted, to the appeal, is granted on the following terms.</w:t>
            </w:r>
          </w:p>
          <w:p w:rsidR="001F7BE5" w:rsidRPr="00EA63C5" w:rsidRDefault="001F7BE5" w:rsidP="001F7BE5">
            <w:pPr>
              <w:autoSpaceDE w:val="0"/>
              <w:autoSpaceDN w:val="0"/>
              <w:jc w:val="both"/>
              <w:rPr>
                <w:rFonts w:cs="Times New Roman"/>
                <w:sz w:val="20"/>
                <w:szCs w:val="20"/>
              </w:rPr>
            </w:pPr>
          </w:p>
          <w:p w:rsidR="001F7BE5" w:rsidRPr="00EA63C5" w:rsidRDefault="001F7BE5" w:rsidP="001F7BE5">
            <w:pPr>
              <w:autoSpaceDE w:val="0"/>
              <w:autoSpaceDN w:val="0"/>
              <w:jc w:val="both"/>
              <w:rPr>
                <w:rFonts w:cs="Times New Roman"/>
                <w:sz w:val="20"/>
                <w:szCs w:val="20"/>
              </w:rPr>
            </w:pPr>
            <w:r w:rsidRPr="00EA63C5">
              <w:rPr>
                <w:rFonts w:cs="Times New Roman"/>
                <w:sz w:val="20"/>
                <w:szCs w:val="20"/>
              </w:rPr>
              <w:tab/>
              <w:t xml:space="preserve">All materials filed in the case shall be sealed, except for the redacted copy of the application for leave to appeal which shall be made available for public consultation. The parties shall be required to file a redacted copy of the factum and record, and all such redacted copies shall be made available for public consultation. </w:t>
            </w:r>
          </w:p>
          <w:p w:rsidR="001F7BE5" w:rsidRPr="00EA63C5" w:rsidRDefault="001F7BE5" w:rsidP="001F7BE5">
            <w:pPr>
              <w:autoSpaceDE w:val="0"/>
              <w:autoSpaceDN w:val="0"/>
              <w:jc w:val="both"/>
              <w:rPr>
                <w:rFonts w:cs="Times New Roman"/>
                <w:sz w:val="20"/>
                <w:szCs w:val="20"/>
              </w:rPr>
            </w:pPr>
          </w:p>
          <w:p w:rsidR="001F7BE5" w:rsidRPr="00EA63C5" w:rsidRDefault="001F7BE5" w:rsidP="001F7BE5">
            <w:pPr>
              <w:autoSpaceDE w:val="0"/>
              <w:autoSpaceDN w:val="0"/>
              <w:jc w:val="both"/>
              <w:rPr>
                <w:rFonts w:cs="Times New Roman"/>
                <w:sz w:val="20"/>
                <w:szCs w:val="20"/>
              </w:rPr>
            </w:pPr>
            <w:r w:rsidRPr="00EA63C5">
              <w:rPr>
                <w:rFonts w:cs="Times New Roman"/>
                <w:sz w:val="20"/>
                <w:szCs w:val="20"/>
              </w:rPr>
              <w:tab/>
              <w:t xml:space="preserve">There shall be a ban on the publication of the name of the accused. </w:t>
            </w:r>
          </w:p>
          <w:p w:rsidR="001F7BE5" w:rsidRPr="00EA63C5" w:rsidRDefault="001F7BE5" w:rsidP="001F7BE5">
            <w:pPr>
              <w:autoSpaceDE w:val="0"/>
              <w:autoSpaceDN w:val="0"/>
              <w:jc w:val="both"/>
              <w:rPr>
                <w:rFonts w:cs="Times New Roman"/>
                <w:sz w:val="20"/>
                <w:szCs w:val="20"/>
              </w:rPr>
            </w:pPr>
          </w:p>
          <w:p w:rsidR="001F7BE5" w:rsidRPr="00EA63C5" w:rsidRDefault="001F7BE5" w:rsidP="001F7BE5">
            <w:pPr>
              <w:autoSpaceDE w:val="0"/>
              <w:autoSpaceDN w:val="0"/>
              <w:jc w:val="both"/>
              <w:rPr>
                <w:rFonts w:cs="Times New Roman"/>
                <w:sz w:val="20"/>
                <w:szCs w:val="20"/>
              </w:rPr>
            </w:pPr>
            <w:r w:rsidRPr="00EA63C5">
              <w:rPr>
                <w:rFonts w:cs="Times New Roman"/>
                <w:sz w:val="20"/>
                <w:szCs w:val="20"/>
              </w:rPr>
              <w:tab/>
              <w:t xml:space="preserve">There shall be a ban on the publication of any information that might identify the source or the contents of the anonymous communication received by the Applicant that is related to the subject matter of the application for leave to appeal and the appeal. </w:t>
            </w:r>
          </w:p>
          <w:p w:rsidR="001F7BE5" w:rsidRPr="00EA63C5" w:rsidRDefault="001F7BE5" w:rsidP="001F7BE5">
            <w:pPr>
              <w:autoSpaceDE w:val="0"/>
              <w:autoSpaceDN w:val="0"/>
              <w:jc w:val="both"/>
              <w:rPr>
                <w:rFonts w:cs="Times New Roman"/>
                <w:sz w:val="20"/>
                <w:szCs w:val="20"/>
              </w:rPr>
            </w:pPr>
          </w:p>
          <w:p w:rsidR="001F7BE5" w:rsidRPr="00EA63C5" w:rsidRDefault="001F7BE5" w:rsidP="001F7BE5">
            <w:pPr>
              <w:autoSpaceDE w:val="0"/>
              <w:autoSpaceDN w:val="0"/>
              <w:jc w:val="both"/>
              <w:rPr>
                <w:rFonts w:cs="Times New Roman"/>
                <w:sz w:val="20"/>
                <w:szCs w:val="20"/>
              </w:rPr>
            </w:pPr>
            <w:r w:rsidRPr="00EA63C5">
              <w:rPr>
                <w:rFonts w:cs="Times New Roman"/>
                <w:sz w:val="20"/>
                <w:szCs w:val="20"/>
              </w:rPr>
              <w:tab/>
              <w:t xml:space="preserve">This order may be modified or vacated by the panel hearing the appeal    </w:t>
            </w:r>
          </w:p>
          <w:p w:rsidR="00B22687" w:rsidRPr="00EA63C5" w:rsidRDefault="00B22687" w:rsidP="00B22687">
            <w:pPr>
              <w:pStyle w:val="SCCShortJudgment"/>
              <w:ind w:firstLine="0"/>
              <w:rPr>
                <w:rFonts w:cs="Times New Roman"/>
                <w:szCs w:val="20"/>
              </w:rPr>
            </w:pPr>
          </w:p>
          <w:p w:rsidR="001F7BE5" w:rsidRPr="00EA63C5" w:rsidRDefault="001F7BE5" w:rsidP="00B22687">
            <w:pPr>
              <w:pStyle w:val="SCCShortJudgment"/>
              <w:ind w:firstLine="0"/>
              <w:rPr>
                <w:rFonts w:cs="Times New Roman"/>
                <w:szCs w:val="20"/>
              </w:rPr>
            </w:pPr>
          </w:p>
          <w:p w:rsidR="00B22687" w:rsidRPr="00EA63C5" w:rsidRDefault="00B22687" w:rsidP="00B22687">
            <w:pPr>
              <w:pStyle w:val="SCCShortJudgment"/>
              <w:ind w:firstLine="0"/>
              <w:rPr>
                <w:rFonts w:cs="Times New Roman"/>
                <w:szCs w:val="20"/>
              </w:rPr>
            </w:pPr>
          </w:p>
          <w:p w:rsidR="001F7BE5" w:rsidRPr="00EA63C5" w:rsidRDefault="00B22687" w:rsidP="001F7BE5">
            <w:pPr>
              <w:jc w:val="both"/>
              <w:rPr>
                <w:sz w:val="20"/>
                <w:szCs w:val="20"/>
                <w:lang w:val="fr-CA"/>
              </w:rPr>
            </w:pPr>
            <w:r w:rsidRPr="00EA63C5">
              <w:rPr>
                <w:rFonts w:cs="Times New Roman"/>
                <w:szCs w:val="20"/>
              </w:rPr>
              <w:tab/>
            </w:r>
            <w:r w:rsidR="001F7BE5" w:rsidRPr="00EA63C5">
              <w:rPr>
                <w:sz w:val="20"/>
                <w:szCs w:val="20"/>
                <w:lang w:val="fr-CA"/>
              </w:rPr>
              <w:t xml:space="preserve">La demande d’autorisation d’appel de l’arrêt de la </w:t>
            </w:r>
            <w:r w:rsidR="001F7BE5" w:rsidRPr="00EA63C5">
              <w:rPr>
                <w:sz w:val="20"/>
                <w:szCs w:val="20"/>
                <w:lang w:val="fr-FR"/>
              </w:rPr>
              <w:t>Cour supérieure de justice de l’Ontario</w:t>
            </w:r>
            <w:r w:rsidR="001F7BE5" w:rsidRPr="00EA63C5">
              <w:rPr>
                <w:sz w:val="20"/>
                <w:szCs w:val="20"/>
                <w:lang w:val="fr-CA"/>
              </w:rPr>
              <w:t xml:space="preserve">, numéro </w:t>
            </w:r>
            <w:r w:rsidR="001F7BE5" w:rsidRPr="00EA63C5">
              <w:rPr>
                <w:sz w:val="20"/>
                <w:szCs w:val="20"/>
                <w:lang w:val="fr-FR"/>
              </w:rPr>
              <w:t>15/13823</w:t>
            </w:r>
            <w:r w:rsidR="001F7BE5" w:rsidRPr="00EA63C5">
              <w:rPr>
                <w:sz w:val="20"/>
                <w:szCs w:val="20"/>
                <w:lang w:val="fr-CA"/>
              </w:rPr>
              <w:t xml:space="preserve">, daté du </w:t>
            </w:r>
            <w:r w:rsidR="001F7BE5" w:rsidRPr="00EA63C5">
              <w:rPr>
                <w:sz w:val="20"/>
                <w:szCs w:val="20"/>
                <w:lang w:val="fr-FR"/>
              </w:rPr>
              <w:t>14 avril 2016</w:t>
            </w:r>
            <w:r w:rsidR="001F7BE5" w:rsidRPr="00EA63C5">
              <w:rPr>
                <w:sz w:val="20"/>
                <w:szCs w:val="20"/>
                <w:lang w:val="fr-CA"/>
              </w:rPr>
              <w:t>, est accueillie.</w:t>
            </w:r>
          </w:p>
          <w:p w:rsidR="001F7BE5" w:rsidRPr="00EA63C5" w:rsidRDefault="001F7BE5" w:rsidP="001F7BE5">
            <w:pPr>
              <w:jc w:val="both"/>
              <w:rPr>
                <w:sz w:val="20"/>
                <w:szCs w:val="20"/>
                <w:lang w:val="fr-CA"/>
              </w:rPr>
            </w:pPr>
          </w:p>
          <w:p w:rsidR="001F7BE5" w:rsidRPr="00EA63C5" w:rsidRDefault="001F7BE5" w:rsidP="001F7BE5">
            <w:pPr>
              <w:jc w:val="both"/>
              <w:rPr>
                <w:sz w:val="20"/>
                <w:szCs w:val="20"/>
                <w:lang w:val="fr-CA"/>
              </w:rPr>
            </w:pPr>
            <w:r w:rsidRPr="00EA63C5">
              <w:rPr>
                <w:sz w:val="20"/>
                <w:szCs w:val="20"/>
                <w:lang w:val="fr-CA"/>
              </w:rPr>
              <w:tab/>
              <w:t xml:space="preserve">La requête visant l’obtention d’une ordonnance de mise sous scellés et d’interdiction de consultation du dossier par le public, ainsi que d’une ordonnance d’interdiction de publication du nom de l’accusé ou de tout élément d’information qui figurerait dans une communication obtenue d’une source anonyme par la demanderesse et se rapportant de quelque manière à l’objet de la demande d’autorisation d’appel et, s’il est fait droit à celle-ci, de l’appel, est accueillie aux conditions qui suivent. </w:t>
            </w:r>
          </w:p>
          <w:p w:rsidR="001F7BE5" w:rsidRPr="00EA63C5" w:rsidRDefault="001F7BE5" w:rsidP="001F7BE5">
            <w:pPr>
              <w:jc w:val="both"/>
              <w:rPr>
                <w:sz w:val="20"/>
                <w:szCs w:val="20"/>
                <w:lang w:val="fr-CA"/>
              </w:rPr>
            </w:pPr>
          </w:p>
          <w:p w:rsidR="001F7BE5" w:rsidRPr="00EA63C5" w:rsidRDefault="001F7BE5" w:rsidP="001F7BE5">
            <w:pPr>
              <w:jc w:val="both"/>
              <w:rPr>
                <w:sz w:val="20"/>
                <w:szCs w:val="20"/>
                <w:lang w:val="fr-CA"/>
              </w:rPr>
            </w:pPr>
            <w:r w:rsidRPr="00EA63C5">
              <w:rPr>
                <w:sz w:val="20"/>
                <w:szCs w:val="20"/>
                <w:lang w:val="fr-CA"/>
              </w:rPr>
              <w:tab/>
              <w:t xml:space="preserve">Tous les documents déposés au dossier sont mis sous scellés, sauf la copie caviardée de la demande d’autorisation d’appel, qui peut être consultée par le public. Les parties doivent déposer des copies caviardées de leurs mémoires et dossiers, lesquelles peuvent être consultées par le public. </w:t>
            </w:r>
          </w:p>
          <w:p w:rsidR="001F7BE5" w:rsidRPr="00EA63C5" w:rsidRDefault="001F7BE5" w:rsidP="001F7BE5">
            <w:pPr>
              <w:jc w:val="both"/>
              <w:rPr>
                <w:sz w:val="20"/>
                <w:szCs w:val="20"/>
                <w:lang w:val="fr-CA"/>
              </w:rPr>
            </w:pPr>
          </w:p>
          <w:p w:rsidR="001F7BE5" w:rsidRPr="00EA63C5" w:rsidRDefault="001F7BE5" w:rsidP="001F7BE5">
            <w:pPr>
              <w:jc w:val="both"/>
              <w:rPr>
                <w:sz w:val="20"/>
                <w:szCs w:val="20"/>
                <w:lang w:val="fr-CA"/>
              </w:rPr>
            </w:pPr>
            <w:r w:rsidRPr="00EA63C5">
              <w:rPr>
                <w:sz w:val="20"/>
                <w:szCs w:val="20"/>
                <w:lang w:val="fr-CA"/>
              </w:rPr>
              <w:tab/>
              <w:t xml:space="preserve">Interdiction est faite de publier le nom de l’accusé. </w:t>
            </w:r>
          </w:p>
          <w:p w:rsidR="001F7BE5" w:rsidRPr="00EA63C5" w:rsidRDefault="001F7BE5" w:rsidP="001F7BE5">
            <w:pPr>
              <w:jc w:val="both"/>
              <w:rPr>
                <w:sz w:val="20"/>
                <w:szCs w:val="20"/>
                <w:lang w:val="fr-CA"/>
              </w:rPr>
            </w:pPr>
          </w:p>
          <w:p w:rsidR="001F7BE5" w:rsidRPr="00EA63C5" w:rsidRDefault="001F7BE5" w:rsidP="001F7BE5">
            <w:pPr>
              <w:jc w:val="both"/>
              <w:rPr>
                <w:sz w:val="20"/>
                <w:szCs w:val="20"/>
                <w:lang w:val="fr-CA"/>
              </w:rPr>
            </w:pPr>
            <w:r w:rsidRPr="00EA63C5">
              <w:rPr>
                <w:sz w:val="20"/>
                <w:szCs w:val="20"/>
                <w:lang w:val="fr-CA"/>
              </w:rPr>
              <w:tab/>
              <w:t xml:space="preserve">Interdiction est faite de publier quelque information susceptible de permettre d’identifier la source ou la teneur de la communication anonyme obtenue par la demanderesse relativement à l’objet de la demande d’autorisation d’appel et de l’appel. </w:t>
            </w:r>
          </w:p>
          <w:p w:rsidR="001F7BE5" w:rsidRPr="00EA63C5" w:rsidRDefault="001F7BE5" w:rsidP="001F7BE5">
            <w:pPr>
              <w:jc w:val="both"/>
              <w:rPr>
                <w:sz w:val="20"/>
                <w:szCs w:val="20"/>
                <w:lang w:val="fr-CA"/>
              </w:rPr>
            </w:pPr>
          </w:p>
          <w:p w:rsidR="001F7BE5" w:rsidRPr="00EA63C5" w:rsidRDefault="001F7BE5" w:rsidP="001F7BE5">
            <w:pPr>
              <w:jc w:val="both"/>
              <w:rPr>
                <w:sz w:val="20"/>
                <w:szCs w:val="20"/>
                <w:lang w:val="fr-CA"/>
              </w:rPr>
            </w:pPr>
            <w:r w:rsidRPr="00EA63C5">
              <w:rPr>
                <w:sz w:val="20"/>
                <w:szCs w:val="20"/>
                <w:lang w:val="fr-CA"/>
              </w:rPr>
              <w:tab/>
              <w:t>La présente ordonnance est susceptible de modification ou d’annulation par la formation qui entendra l’appel.</w: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2"/>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68"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7F6DC5" w:rsidRPr="00EA63C5" w:rsidTr="00B22687">
        <w:trPr>
          <w:cantSplit/>
        </w:trPr>
        <w:tc>
          <w:tcPr>
            <w:tcW w:w="9576" w:type="dxa"/>
            <w:gridSpan w:val="2"/>
          </w:tcPr>
          <w:p w:rsidR="007F6DC5" w:rsidRDefault="007F6DC5" w:rsidP="00B22687">
            <w:pPr>
              <w:pStyle w:val="SCCShortJudgment"/>
              <w:ind w:firstLine="0"/>
              <w:rPr>
                <w:rFonts w:cs="Times New Roman"/>
                <w:szCs w:val="20"/>
                <w:lang w:val="fr-CA"/>
              </w:rPr>
            </w:pPr>
          </w:p>
        </w:tc>
      </w:tr>
    </w:tbl>
    <w:p w:rsidR="007F6DC5" w:rsidRDefault="007F6DC5">
      <w:r>
        <w:br w:type="page"/>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w:t>
            </w:r>
            <w:r w:rsidR="00BF2CCE" w:rsidRPr="00EA63C5">
              <w:rPr>
                <w:rStyle w:val="SCCFileNumberChar"/>
                <w:sz w:val="20"/>
                <w:szCs w:val="20"/>
              </w:rPr>
              <w:t>7056</w:t>
            </w:r>
          </w:p>
          <w:p w:rsidR="00B22687" w:rsidRPr="00EA63C5" w:rsidRDefault="00B22687" w:rsidP="00B22687">
            <w:pPr>
              <w:jc w:val="both"/>
              <w:rPr>
                <w:rFonts w:cs="Times New Roman"/>
                <w:b/>
                <w:sz w:val="20"/>
                <w:szCs w:val="20"/>
              </w:rPr>
            </w:pPr>
          </w:p>
        </w:tc>
        <w:tc>
          <w:tcPr>
            <w:tcW w:w="8118" w:type="dxa"/>
            <w:gridSpan w:val="3"/>
          </w:tcPr>
          <w:p w:rsidR="00B22687" w:rsidRPr="00EA63C5" w:rsidRDefault="00280F42" w:rsidP="00B22687">
            <w:pPr>
              <w:jc w:val="both"/>
              <w:rPr>
                <w:rFonts w:cs="Times New Roman"/>
                <w:sz w:val="20"/>
                <w:szCs w:val="20"/>
              </w:rPr>
            </w:pPr>
            <w:r w:rsidRPr="00EA63C5">
              <w:rPr>
                <w:b/>
                <w:sz w:val="20"/>
                <w:szCs w:val="20"/>
                <w:u w:val="single"/>
              </w:rPr>
              <w:t>Jessica Leblanc v. Her Majesty the Queen</w:t>
            </w:r>
            <w:r w:rsidRPr="00EA63C5">
              <w:rPr>
                <w:rFonts w:cs="Times New Roman"/>
                <w:sz w:val="20"/>
                <w:szCs w:val="20"/>
              </w:rPr>
              <w:t xml:space="preserve"> </w:t>
            </w:r>
            <w:r w:rsidR="00B22687" w:rsidRPr="00EA63C5">
              <w:rPr>
                <w:rFonts w:cs="Times New Roman"/>
                <w:sz w:val="20"/>
                <w:szCs w:val="20"/>
              </w:rPr>
              <w:t>(</w:t>
            </w:r>
            <w:r w:rsidRPr="00EA63C5">
              <w:rPr>
                <w:rFonts w:cs="Times New Roman"/>
                <w:sz w:val="20"/>
                <w:szCs w:val="20"/>
              </w:rPr>
              <w:t>F.C.</w:t>
            </w:r>
            <w:r w:rsidR="00B22687" w:rsidRPr="00EA63C5">
              <w:rPr>
                <w:rFonts w:cs="Times New Roman"/>
                <w:sz w:val="20"/>
                <w:szCs w:val="20"/>
              </w:rPr>
              <w: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B22687" w:rsidP="00B22687">
            <w:pPr>
              <w:jc w:val="both"/>
              <w:rPr>
                <w:rStyle w:val="SCCCoramChar"/>
                <w:rFonts w:cs="Times New Roman"/>
                <w:sz w:val="20"/>
                <w:szCs w:val="20"/>
                <w:lang w:val="en-US"/>
              </w:rPr>
            </w:pPr>
            <w:r w:rsidRPr="00EA63C5">
              <w:rPr>
                <w:rStyle w:val="SCCCoramChar"/>
                <w:rFonts w:cs="Times New Roman"/>
                <w:sz w:val="20"/>
                <w:szCs w:val="20"/>
                <w:lang w:val="en-US"/>
              </w:rPr>
              <w:t xml:space="preserve">McLachlin C.J. and </w:t>
            </w:r>
            <w:r w:rsidR="00280F42" w:rsidRPr="00EA63C5">
              <w:rPr>
                <w:rStyle w:val="SCCCoramChar"/>
                <w:rFonts w:cs="Times New Roman"/>
                <w:sz w:val="20"/>
                <w:szCs w:val="20"/>
                <w:lang w:val="en-US"/>
              </w:rPr>
              <w:t>Wagner</w:t>
            </w:r>
            <w:r w:rsidRPr="00EA63C5">
              <w:rPr>
                <w:rStyle w:val="SCCCoramChar"/>
                <w:rFonts w:cs="Times New Roman"/>
                <w:sz w:val="20"/>
                <w:szCs w:val="20"/>
                <w:lang w:val="en-US"/>
              </w:rPr>
              <w:t xml:space="preserve"> and Gascon JJ.</w:t>
            </w:r>
          </w:p>
          <w:p w:rsidR="00B22687" w:rsidRPr="00EA63C5" w:rsidRDefault="00B22687" w:rsidP="00B22687">
            <w:pPr>
              <w:jc w:val="both"/>
              <w:rPr>
                <w:rFonts w:cs="Times New Roman"/>
                <w:sz w:val="20"/>
                <w:szCs w:val="20"/>
                <w:u w:val="single"/>
              </w:rPr>
            </w:pPr>
          </w:p>
        </w:tc>
      </w:tr>
      <w:tr w:rsidR="00B22687" w:rsidRPr="007F6DC5" w:rsidTr="00B22687">
        <w:trPr>
          <w:cantSplit/>
        </w:trPr>
        <w:tc>
          <w:tcPr>
            <w:tcW w:w="9576" w:type="dxa"/>
            <w:gridSpan w:val="4"/>
          </w:tcPr>
          <w:p w:rsidR="00B22687" w:rsidRPr="00EA63C5" w:rsidRDefault="00B22687" w:rsidP="00B22687">
            <w:pPr>
              <w:pStyle w:val="SCCShortJudgment"/>
              <w:ind w:firstLine="0"/>
              <w:rPr>
                <w:rFonts w:cs="Times New Roman"/>
                <w:szCs w:val="20"/>
              </w:rPr>
            </w:pPr>
            <w:r w:rsidRPr="00EA63C5">
              <w:rPr>
                <w:rFonts w:cs="Times New Roman"/>
                <w:szCs w:val="20"/>
              </w:rPr>
              <w:tab/>
            </w:r>
            <w:r w:rsidR="00280F42" w:rsidRPr="00EA63C5">
              <w:rPr>
                <w:szCs w:val="20"/>
              </w:rPr>
              <w:t>The motion for an extension of time to serve and file the application for leave to appeal is granted.  The application for leave to appeal from the judgment of the Federal Court of Appeal, Number A 344-14, 2016 FCA 9, dated January 13, 2016, is dismissed with costs.</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rFonts w:cs="Times New Roman"/>
                <w:szCs w:val="20"/>
                <w:lang w:val="fr-CA"/>
              </w:rPr>
            </w:pPr>
            <w:r w:rsidRPr="00EA63C5">
              <w:rPr>
                <w:rFonts w:cs="Times New Roman"/>
                <w:szCs w:val="20"/>
              </w:rPr>
              <w:tab/>
            </w:r>
            <w:r w:rsidR="00280F42" w:rsidRPr="00EA63C5">
              <w:rPr>
                <w:szCs w:val="20"/>
                <w:lang w:val="fr-CA"/>
              </w:rPr>
              <w:t>La requ</w:t>
            </w:r>
            <w:r w:rsidR="00280F42" w:rsidRPr="00EA63C5">
              <w:rPr>
                <w:rFonts w:cs="Times New Roman"/>
                <w:szCs w:val="20"/>
                <w:lang w:val="fr-CA"/>
              </w:rPr>
              <w:t>ê</w:t>
            </w:r>
            <w:r w:rsidR="00280F42" w:rsidRPr="00EA63C5">
              <w:rPr>
                <w:szCs w:val="20"/>
                <w:lang w:val="fr-CA"/>
              </w:rPr>
              <w:t>te en prorogation du d</w:t>
            </w:r>
            <w:r w:rsidR="00280F42" w:rsidRPr="00EA63C5">
              <w:rPr>
                <w:rFonts w:cs="Times New Roman"/>
                <w:szCs w:val="20"/>
                <w:lang w:val="fr-CA"/>
              </w:rPr>
              <w:t>é</w:t>
            </w:r>
            <w:r w:rsidR="00280F42" w:rsidRPr="00EA63C5">
              <w:rPr>
                <w:szCs w:val="20"/>
                <w:lang w:val="fr-CA"/>
              </w:rPr>
              <w:t>lai de signification et de d</w:t>
            </w:r>
            <w:r w:rsidR="00280F42" w:rsidRPr="00EA63C5">
              <w:rPr>
                <w:rFonts w:cs="Times New Roman"/>
                <w:szCs w:val="20"/>
                <w:lang w:val="fr-CA"/>
              </w:rPr>
              <w:t>é</w:t>
            </w:r>
            <w:r w:rsidR="00280F42" w:rsidRPr="00EA63C5">
              <w:rPr>
                <w:szCs w:val="20"/>
                <w:lang w:val="fr-CA"/>
              </w:rPr>
              <w:t>p</w:t>
            </w:r>
            <w:r w:rsidR="00280F42" w:rsidRPr="00EA63C5">
              <w:rPr>
                <w:rFonts w:cs="Times New Roman"/>
                <w:szCs w:val="20"/>
                <w:lang w:val="fr-CA"/>
              </w:rPr>
              <w:t>ô</w:t>
            </w:r>
            <w:r w:rsidR="00280F42" w:rsidRPr="00EA63C5">
              <w:rPr>
                <w:szCs w:val="20"/>
                <w:lang w:val="fr-CA"/>
              </w:rPr>
              <w:t xml:space="preserve">t de la demande d’autorisation d’appel est accueillie. La demande d’autorisation d’appel de l’arrêt de la </w:t>
            </w:r>
            <w:r w:rsidR="00280F42" w:rsidRPr="00EA63C5">
              <w:rPr>
                <w:szCs w:val="20"/>
                <w:lang w:val="fr-FR"/>
              </w:rPr>
              <w:t>Cour d’appel fédérale</w:t>
            </w:r>
            <w:r w:rsidR="00280F42" w:rsidRPr="00EA63C5">
              <w:rPr>
                <w:szCs w:val="20"/>
                <w:lang w:val="fr-CA"/>
              </w:rPr>
              <w:t xml:space="preserve">, numéro </w:t>
            </w:r>
            <w:r w:rsidR="00280F42" w:rsidRPr="00EA63C5">
              <w:rPr>
                <w:szCs w:val="20"/>
                <w:lang w:val="fr-FR"/>
              </w:rPr>
              <w:t>A 344-14</w:t>
            </w:r>
            <w:r w:rsidR="00280F42" w:rsidRPr="00EA63C5">
              <w:rPr>
                <w:szCs w:val="20"/>
                <w:lang w:val="fr-CA"/>
              </w:rPr>
              <w:t xml:space="preserve">, 2016 FCA 9, daté du </w:t>
            </w:r>
            <w:r w:rsidR="00280F42" w:rsidRPr="00EA63C5">
              <w:rPr>
                <w:szCs w:val="20"/>
                <w:lang w:val="fr-FR"/>
              </w:rPr>
              <w:t>13 janvier 2016</w:t>
            </w:r>
            <w:r w:rsidR="00280F42" w:rsidRPr="00EA63C5">
              <w:rPr>
                <w:szCs w:val="20"/>
                <w:lang w:val="fr-CA"/>
              </w:rPr>
              <w:t>, est rejet</w:t>
            </w:r>
            <w:r w:rsidR="00280F42" w:rsidRPr="00EA63C5">
              <w:rPr>
                <w:rFonts w:cs="Times New Roman"/>
                <w:szCs w:val="20"/>
                <w:lang w:val="fr-CA"/>
              </w:rPr>
              <w:t>é</w:t>
            </w:r>
            <w:r w:rsidR="00280F42" w:rsidRPr="00EA63C5">
              <w:rPr>
                <w:szCs w:val="20"/>
                <w:lang w:val="fr-CA"/>
              </w:rPr>
              <w:t>e avec d</w:t>
            </w:r>
            <w:r w:rsidR="00280F42" w:rsidRPr="00EA63C5">
              <w:rPr>
                <w:rFonts w:cs="Times New Roman"/>
                <w:szCs w:val="20"/>
                <w:lang w:val="fr-CA"/>
              </w:rPr>
              <w:t>é</w:t>
            </w:r>
            <w:r w:rsidR="00280F42" w:rsidRPr="00EA63C5">
              <w:rPr>
                <w:szCs w:val="20"/>
                <w:lang w:val="fr-CA"/>
              </w:rPr>
              <w:t>pens.</w: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B22687" w:rsidRPr="00EA63C5" w:rsidRDefault="00793E99" w:rsidP="00B22687">
            <w:pPr>
              <w:pStyle w:val="SCCShortJudgment"/>
              <w:ind w:firstLine="0"/>
              <w:rPr>
                <w:szCs w:val="20"/>
              </w:rPr>
            </w:pPr>
            <w:r w:rsidRPr="00EA63C5">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A63C5">
              <w:rPr>
                <w:i/>
                <w:szCs w:val="20"/>
              </w:rPr>
              <w:t>Controlled Drugs and Substances Act</w:t>
            </w:r>
            <w:r w:rsidRPr="00EA63C5">
              <w:rPr>
                <w:szCs w:val="20"/>
              </w:rPr>
              <w:t>, S.C. 1996, c. 19.</w:t>
            </w:r>
          </w:p>
          <w:p w:rsidR="00793E99" w:rsidRPr="00EA63C5" w:rsidRDefault="00793E99" w:rsidP="00B22687">
            <w:pPr>
              <w:pStyle w:val="SCCShortJudgment"/>
              <w:ind w:firstLine="0"/>
              <w:rPr>
                <w:rFonts w:cs="Times New Roman"/>
                <w:szCs w:val="20"/>
              </w:rPr>
            </w:pPr>
          </w:p>
        </w:tc>
      </w:tr>
      <w:tr w:rsidR="00B22687" w:rsidRPr="00EA63C5" w:rsidTr="00647E9D">
        <w:tc>
          <w:tcPr>
            <w:tcW w:w="9576" w:type="dxa"/>
            <w:gridSpan w:val="4"/>
          </w:tcPr>
          <w:p w:rsidR="00B22687" w:rsidRPr="00EA63C5" w:rsidRDefault="00793E99" w:rsidP="00B22687">
            <w:pPr>
              <w:pStyle w:val="SCCShortJudgment"/>
              <w:ind w:firstLine="0"/>
              <w:rPr>
                <w:szCs w:val="20"/>
              </w:rPr>
            </w:pPr>
            <w:r w:rsidRPr="00EA63C5">
              <w:rPr>
                <w:szCs w:val="20"/>
              </w:rPr>
              <w:t xml:space="preserve">Since February 2014, approximately 300 self-represented plaintiffs, including the applicant, have filed identical claims seeking declarations that the </w:t>
            </w:r>
            <w:r w:rsidRPr="00EA63C5">
              <w:rPr>
                <w:i/>
                <w:szCs w:val="20"/>
              </w:rPr>
              <w:t>Marijuana Medical Access Regulations (“MMAR”)</w:t>
            </w:r>
            <w:r w:rsidRPr="00EA63C5">
              <w:rPr>
                <w:szCs w:val="20"/>
              </w:rPr>
              <w:t>, S.O.R./2001-227, which were repealed on March 31, 2014 and the</w:t>
            </w:r>
            <w:r w:rsidRPr="00EA63C5">
              <w:rPr>
                <w:i/>
                <w:szCs w:val="20"/>
              </w:rPr>
              <w:t xml:space="preserve"> Marijuana for Medical Purposes Regulations</w:t>
            </w:r>
            <w:r w:rsidRPr="00EA63C5">
              <w:rPr>
                <w:szCs w:val="20"/>
              </w:rPr>
              <w:t xml:space="preserve">, S.O.R./2013-119, which succeeded the </w:t>
            </w:r>
            <w:r w:rsidRPr="00EA63C5">
              <w:rPr>
                <w:i/>
                <w:szCs w:val="20"/>
              </w:rPr>
              <w:t>MMAR</w:t>
            </w:r>
            <w:r w:rsidRPr="00EA63C5">
              <w:rPr>
                <w:szCs w:val="20"/>
              </w:rPr>
              <w:t xml:space="preserve"> are unconstitutional. In the course of their actions, twenty-six plaintiffs, including the applicant, brought motions for interim constitutional exemptions from the </w:t>
            </w:r>
            <w:r w:rsidRPr="00EA63C5">
              <w:rPr>
                <w:i/>
                <w:szCs w:val="20"/>
              </w:rPr>
              <w:t>Controlled Drugs and Substances Act</w:t>
            </w:r>
            <w:r w:rsidRPr="00EA63C5">
              <w:rPr>
                <w:szCs w:val="20"/>
              </w:rPr>
              <w:t xml:space="preserve"> </w:t>
            </w:r>
            <w:r w:rsidRPr="00EA63C5">
              <w:rPr>
                <w:i/>
                <w:szCs w:val="20"/>
              </w:rPr>
              <w:t>(“CDSA”)</w:t>
            </w:r>
            <w:r w:rsidRPr="00EA63C5">
              <w:rPr>
                <w:szCs w:val="20"/>
              </w:rPr>
              <w:t xml:space="preserve"> for the personal use of marijuana pending trial of their actions.</w:t>
            </w:r>
          </w:p>
          <w:p w:rsidR="00793E99" w:rsidRPr="00EA63C5" w:rsidRDefault="00793E99" w:rsidP="00B22687">
            <w:pPr>
              <w:pStyle w:val="SCCShortJudgment"/>
              <w:ind w:firstLine="0"/>
              <w:rPr>
                <w:rFonts w:cs="Times New Roman"/>
                <w:szCs w:val="20"/>
              </w:rPr>
            </w:pPr>
          </w:p>
        </w:tc>
      </w:tr>
      <w:tr w:rsidR="00B22687" w:rsidRPr="00EA63C5" w:rsidTr="00B22687">
        <w:trPr>
          <w:cantSplit/>
        </w:trPr>
        <w:tc>
          <w:tcPr>
            <w:tcW w:w="4410" w:type="dxa"/>
            <w:gridSpan w:val="2"/>
          </w:tcPr>
          <w:p w:rsidR="00793E99" w:rsidRPr="00EA63C5" w:rsidRDefault="00793E99" w:rsidP="00793E99">
            <w:pPr>
              <w:rPr>
                <w:sz w:val="20"/>
                <w:szCs w:val="20"/>
              </w:rPr>
            </w:pPr>
            <w:r w:rsidRPr="00EA63C5">
              <w:rPr>
                <w:sz w:val="20"/>
                <w:szCs w:val="20"/>
              </w:rPr>
              <w:t>May 7, 2015</w:t>
            </w:r>
          </w:p>
          <w:p w:rsidR="00793E99" w:rsidRPr="00EA63C5" w:rsidRDefault="00793E99" w:rsidP="00793E99">
            <w:pPr>
              <w:rPr>
                <w:sz w:val="20"/>
                <w:szCs w:val="20"/>
              </w:rPr>
            </w:pPr>
            <w:r w:rsidRPr="00EA63C5">
              <w:rPr>
                <w:sz w:val="20"/>
                <w:szCs w:val="20"/>
              </w:rPr>
              <w:t>Federal Court</w:t>
            </w:r>
          </w:p>
          <w:p w:rsidR="00B22687" w:rsidRPr="00EA63C5" w:rsidRDefault="00793E99" w:rsidP="00793E99">
            <w:pPr>
              <w:jc w:val="both"/>
              <w:rPr>
                <w:sz w:val="20"/>
                <w:szCs w:val="20"/>
              </w:rPr>
            </w:pPr>
            <w:r w:rsidRPr="00EA63C5">
              <w:rPr>
                <w:sz w:val="20"/>
                <w:szCs w:val="20"/>
              </w:rPr>
              <w:t>(Phelan J.)</w:t>
            </w:r>
          </w:p>
          <w:p w:rsidR="00793E99" w:rsidRPr="00EA63C5" w:rsidRDefault="00793E99" w:rsidP="00793E99">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3E99" w:rsidRPr="00EA63C5" w:rsidRDefault="00793E99" w:rsidP="00793E99">
            <w:pPr>
              <w:jc w:val="both"/>
              <w:rPr>
                <w:sz w:val="20"/>
                <w:szCs w:val="20"/>
              </w:rPr>
            </w:pPr>
            <w:r w:rsidRPr="00EA63C5">
              <w:rPr>
                <w:sz w:val="20"/>
                <w:szCs w:val="20"/>
              </w:rPr>
              <w:t xml:space="preserve">Motion for interim constitutional exemptions from provisions of </w:t>
            </w:r>
            <w:r w:rsidRPr="00EA63C5">
              <w:rPr>
                <w:i/>
                <w:sz w:val="20"/>
                <w:szCs w:val="20"/>
              </w:rPr>
              <w:t>Controlled Drugs and Substances Act</w:t>
            </w:r>
            <w:r w:rsidRPr="00EA63C5">
              <w:rPr>
                <w:sz w:val="20"/>
                <w:szCs w:val="20"/>
              </w:rPr>
              <w:t xml:space="preserve">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793E99" w:rsidRPr="00EA63C5" w:rsidRDefault="00793E99" w:rsidP="00793E99">
            <w:pPr>
              <w:rPr>
                <w:sz w:val="20"/>
                <w:szCs w:val="20"/>
              </w:rPr>
            </w:pPr>
            <w:r w:rsidRPr="00EA63C5">
              <w:rPr>
                <w:sz w:val="20"/>
                <w:szCs w:val="20"/>
              </w:rPr>
              <w:t>January 13, 2016</w:t>
            </w:r>
          </w:p>
          <w:p w:rsidR="00793E99" w:rsidRPr="00EA63C5" w:rsidRDefault="00793E99" w:rsidP="00793E99">
            <w:pPr>
              <w:rPr>
                <w:sz w:val="20"/>
                <w:szCs w:val="20"/>
              </w:rPr>
            </w:pPr>
            <w:r w:rsidRPr="00EA63C5">
              <w:rPr>
                <w:sz w:val="20"/>
                <w:szCs w:val="20"/>
              </w:rPr>
              <w:t>Federal Court of Appeal</w:t>
            </w:r>
          </w:p>
          <w:p w:rsidR="00793E99" w:rsidRPr="00EA63C5" w:rsidRDefault="00793E99" w:rsidP="00793E99">
            <w:pPr>
              <w:rPr>
                <w:sz w:val="20"/>
                <w:szCs w:val="20"/>
              </w:rPr>
            </w:pPr>
            <w:r w:rsidRPr="00EA63C5">
              <w:rPr>
                <w:sz w:val="20"/>
                <w:szCs w:val="20"/>
              </w:rPr>
              <w:t xml:space="preserve">(Pelletier, </w:t>
            </w:r>
            <w:proofErr w:type="spellStart"/>
            <w:r w:rsidRPr="00EA63C5">
              <w:rPr>
                <w:sz w:val="20"/>
                <w:szCs w:val="20"/>
              </w:rPr>
              <w:t>Stratas</w:t>
            </w:r>
            <w:proofErr w:type="spellEnd"/>
            <w:r w:rsidRPr="00EA63C5">
              <w:rPr>
                <w:sz w:val="20"/>
                <w:szCs w:val="20"/>
              </w:rPr>
              <w:t xml:space="preserve"> and Gleason JJ.A.)</w:t>
            </w:r>
          </w:p>
          <w:p w:rsidR="00793E99" w:rsidRPr="00EA63C5" w:rsidRDefault="007F6DC5" w:rsidP="00793E99">
            <w:pPr>
              <w:rPr>
                <w:rFonts w:eastAsia="Times New Roman" w:cs="Times New Roman"/>
                <w:sz w:val="20"/>
                <w:szCs w:val="20"/>
                <w:lang w:eastAsia="en-CA"/>
              </w:rPr>
            </w:pPr>
            <w:hyperlink r:id="rId46" w:history="1">
              <w:r w:rsidR="00793E99" w:rsidRPr="00EA63C5">
                <w:rPr>
                  <w:rFonts w:eastAsia="Times New Roman" w:cs="Times New Roman"/>
                  <w:color w:val="0000FF" w:themeColor="hyperlink"/>
                  <w:sz w:val="20"/>
                  <w:szCs w:val="20"/>
                  <w:u w:val="single"/>
                  <w:lang w:eastAsia="en-CA"/>
                </w:rPr>
                <w:t>2016 FCA 9</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3E99" w:rsidRPr="00EA63C5" w:rsidRDefault="00793E99" w:rsidP="00793E99">
            <w:pPr>
              <w:rPr>
                <w:sz w:val="20"/>
                <w:szCs w:val="20"/>
              </w:rPr>
            </w:pPr>
            <w:r w:rsidRPr="00EA63C5">
              <w:rPr>
                <w:sz w:val="20"/>
                <w:szCs w:val="20"/>
              </w:rPr>
              <w:t>Appeal dismissed</w:t>
            </w:r>
          </w:p>
          <w:p w:rsidR="00B22687" w:rsidRPr="00EA63C5" w:rsidRDefault="00B22687" w:rsidP="00793E99">
            <w:pPr>
              <w:rPr>
                <w:rFonts w:cs="Times New Roman"/>
                <w:sz w:val="20"/>
                <w:szCs w:val="20"/>
              </w:rPr>
            </w:pPr>
          </w:p>
        </w:tc>
      </w:tr>
      <w:tr w:rsidR="00B22687" w:rsidRPr="00EA63C5" w:rsidTr="00B22687">
        <w:trPr>
          <w:cantSplit/>
        </w:trPr>
        <w:tc>
          <w:tcPr>
            <w:tcW w:w="4410" w:type="dxa"/>
            <w:gridSpan w:val="2"/>
          </w:tcPr>
          <w:p w:rsidR="00793E99" w:rsidRPr="00EA63C5" w:rsidRDefault="00793E99" w:rsidP="00793E99">
            <w:pPr>
              <w:rPr>
                <w:sz w:val="20"/>
                <w:szCs w:val="20"/>
              </w:rPr>
            </w:pPr>
            <w:r w:rsidRPr="00EA63C5">
              <w:rPr>
                <w:sz w:val="20"/>
                <w:szCs w:val="20"/>
              </w:rPr>
              <w:t>March 14, 2016</w:t>
            </w:r>
          </w:p>
          <w:p w:rsidR="00793E99" w:rsidRPr="00EA63C5" w:rsidRDefault="00793E99" w:rsidP="00793E99">
            <w:pPr>
              <w:rPr>
                <w:sz w:val="20"/>
                <w:szCs w:val="20"/>
              </w:rPr>
            </w:pPr>
            <w:r w:rsidRPr="00EA63C5">
              <w:rPr>
                <w:sz w:val="20"/>
                <w:szCs w:val="20"/>
              </w:rPr>
              <w:t>Supreme Court of Canada</w:t>
            </w:r>
          </w:p>
          <w:p w:rsidR="00B22687" w:rsidRPr="00EA63C5" w:rsidRDefault="00B22687" w:rsidP="00793E99">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3E99" w:rsidRPr="00EA63C5" w:rsidRDefault="00793E99" w:rsidP="00793E99">
            <w:pPr>
              <w:jc w:val="both"/>
              <w:rPr>
                <w:sz w:val="20"/>
                <w:szCs w:val="20"/>
              </w:rPr>
            </w:pPr>
            <w:r w:rsidRPr="00EA63C5">
              <w:rPr>
                <w:sz w:val="20"/>
                <w:szCs w:val="20"/>
              </w:rPr>
              <w:t>Application for an extension of time to serve and file application for leave to appeal and 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70"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bl>
    <w:p w:rsidR="007F6DC5" w:rsidRDefault="007F6DC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22687" w:rsidRPr="00EA63C5" w:rsidTr="00B22687">
        <w:trPr>
          <w:cantSplit/>
        </w:trPr>
        <w:tc>
          <w:tcPr>
            <w:tcW w:w="9576" w:type="dxa"/>
            <w:gridSpan w:val="3"/>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lastRenderedPageBreak/>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3"/>
          </w:tcPr>
          <w:p w:rsidR="00B22687" w:rsidRPr="00EA63C5" w:rsidRDefault="00793E99" w:rsidP="00B22687">
            <w:pPr>
              <w:pStyle w:val="SCCShortJudgment"/>
              <w:ind w:firstLine="0"/>
              <w:rPr>
                <w:szCs w:val="20"/>
                <w:lang w:val="fr-CA"/>
              </w:rPr>
            </w:pPr>
            <w:r w:rsidRPr="00EA63C5">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A63C5">
              <w:rPr>
                <w:i/>
                <w:szCs w:val="20"/>
                <w:lang w:val="fr-CA"/>
              </w:rPr>
              <w:t>Loi réglementant certaines drogues et autres substances</w:t>
            </w:r>
            <w:r w:rsidRPr="00EA63C5">
              <w:rPr>
                <w:szCs w:val="20"/>
                <w:lang w:val="fr-CA"/>
              </w:rPr>
              <w:t>, L.C., 1996, ch. 19.</w:t>
            </w:r>
          </w:p>
          <w:p w:rsidR="00793E99" w:rsidRPr="00EA63C5" w:rsidRDefault="00793E99"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3"/>
          </w:tcPr>
          <w:p w:rsidR="00B22687" w:rsidRPr="00EA63C5" w:rsidRDefault="00797827" w:rsidP="00B22687">
            <w:pPr>
              <w:jc w:val="both"/>
              <w:rPr>
                <w:sz w:val="20"/>
                <w:szCs w:val="20"/>
                <w:lang w:val="fr-CA"/>
              </w:rPr>
            </w:pPr>
            <w:r w:rsidRPr="00EA63C5">
              <w:rPr>
                <w:sz w:val="20"/>
                <w:szCs w:val="20"/>
                <w:lang w:val="fr-CA"/>
              </w:rPr>
              <w:t xml:space="preserve">Depuis février 2014, environ 300 plaideurs non représentés, y compris le demandeur, ont déposé des demandes identiques sollicitant des jugements qui déclarent inconstitutionnels le </w:t>
            </w:r>
            <w:r w:rsidRPr="00EA63C5">
              <w:rPr>
                <w:i/>
                <w:sz w:val="20"/>
                <w:szCs w:val="20"/>
                <w:lang w:val="fr-CA"/>
              </w:rPr>
              <w:t>Règlement sur l’accès à la marihuana à des fins médicales (« RAMFM »)</w:t>
            </w:r>
            <w:r w:rsidRPr="00EA63C5">
              <w:rPr>
                <w:sz w:val="20"/>
                <w:szCs w:val="20"/>
                <w:lang w:val="fr-CA"/>
              </w:rPr>
              <w:t xml:space="preserve">, D.O.R.S./2001-227, abrogé le 31 mars 2014 et le </w:t>
            </w:r>
            <w:r w:rsidRPr="00EA63C5">
              <w:rPr>
                <w:i/>
                <w:sz w:val="20"/>
                <w:szCs w:val="20"/>
                <w:lang w:val="fr-CA"/>
              </w:rPr>
              <w:t>Règlement sur la marihuana à des fins médicales</w:t>
            </w:r>
            <w:r w:rsidRPr="00EA63C5">
              <w:rPr>
                <w:sz w:val="20"/>
                <w:szCs w:val="20"/>
                <w:lang w:val="fr-CA"/>
              </w:rPr>
              <w:t xml:space="preserve">, D.O.R.S./2013-119, qui a remplacé le </w:t>
            </w:r>
            <w:r w:rsidRPr="00EA63C5">
              <w:rPr>
                <w:i/>
                <w:sz w:val="20"/>
                <w:szCs w:val="20"/>
                <w:lang w:val="fr-CA"/>
              </w:rPr>
              <w:t>RAMFM</w:t>
            </w:r>
            <w:r w:rsidRPr="00EA63C5">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A63C5">
              <w:rPr>
                <w:i/>
                <w:sz w:val="20"/>
                <w:szCs w:val="20"/>
                <w:lang w:val="fr-CA"/>
              </w:rPr>
              <w:t xml:space="preserve">Loi réglementant certaines drogues et autres substances </w:t>
            </w:r>
            <w:r w:rsidRPr="00EA63C5">
              <w:rPr>
                <w:sz w:val="20"/>
                <w:szCs w:val="20"/>
                <w:lang w:val="fr-CA"/>
              </w:rPr>
              <w:t>(« </w:t>
            </w:r>
            <w:r w:rsidRPr="00EA63C5">
              <w:rPr>
                <w:i/>
                <w:sz w:val="20"/>
                <w:szCs w:val="20"/>
                <w:lang w:val="fr-CA"/>
              </w:rPr>
              <w:t>LRCDAS »)</w:t>
            </w:r>
            <w:r w:rsidRPr="00EA63C5">
              <w:rPr>
                <w:sz w:val="20"/>
                <w:szCs w:val="20"/>
                <w:lang w:val="fr-CA"/>
              </w:rPr>
              <w:t xml:space="preserve"> pour l’utilisation personnelle de la marihuana en attendant que leurs actions soient instruites.</w:t>
            </w:r>
          </w:p>
          <w:p w:rsidR="00797827" w:rsidRPr="00EA63C5" w:rsidRDefault="00797827" w:rsidP="00B22687">
            <w:pPr>
              <w:jc w:val="both"/>
              <w:rPr>
                <w:rFonts w:cs="Times New Roman"/>
                <w:sz w:val="20"/>
                <w:szCs w:val="20"/>
                <w:u w:val="single"/>
                <w:lang w:val="fr-CA"/>
              </w:rPr>
            </w:pPr>
          </w:p>
        </w:tc>
      </w:tr>
      <w:tr w:rsidR="00B22687" w:rsidRPr="007F6DC5" w:rsidTr="00B22687">
        <w:trPr>
          <w:cantSplit/>
        </w:trPr>
        <w:tc>
          <w:tcPr>
            <w:tcW w:w="4410" w:type="dxa"/>
          </w:tcPr>
          <w:p w:rsidR="00797827" w:rsidRPr="00EA63C5" w:rsidRDefault="00797827" w:rsidP="00797827">
            <w:pPr>
              <w:rPr>
                <w:sz w:val="20"/>
                <w:szCs w:val="20"/>
                <w:lang w:val="fr-CA"/>
              </w:rPr>
            </w:pPr>
            <w:r w:rsidRPr="00EA63C5">
              <w:rPr>
                <w:sz w:val="20"/>
                <w:szCs w:val="20"/>
                <w:lang w:val="fr-CA"/>
              </w:rPr>
              <w:t>7 mai 2015</w:t>
            </w:r>
          </w:p>
          <w:p w:rsidR="00797827" w:rsidRPr="00EA63C5" w:rsidRDefault="00797827" w:rsidP="00797827">
            <w:pPr>
              <w:rPr>
                <w:sz w:val="20"/>
                <w:szCs w:val="20"/>
                <w:lang w:val="fr-CA"/>
              </w:rPr>
            </w:pPr>
            <w:r w:rsidRPr="00EA63C5">
              <w:rPr>
                <w:sz w:val="20"/>
                <w:szCs w:val="20"/>
                <w:lang w:val="fr-CA"/>
              </w:rPr>
              <w:t xml:space="preserve">Cour fédérale </w:t>
            </w:r>
          </w:p>
          <w:p w:rsidR="00B22687" w:rsidRPr="00EA63C5" w:rsidRDefault="00797827" w:rsidP="00797827">
            <w:pPr>
              <w:pStyle w:val="SCCShortJudgment"/>
              <w:ind w:firstLine="0"/>
              <w:rPr>
                <w:szCs w:val="20"/>
                <w:lang w:val="fr-CA"/>
              </w:rPr>
            </w:pPr>
            <w:r w:rsidRPr="00EA63C5">
              <w:rPr>
                <w:szCs w:val="20"/>
                <w:lang w:val="fr-CA"/>
              </w:rPr>
              <w:t>(Juge Phelan)</w:t>
            </w:r>
          </w:p>
          <w:p w:rsidR="00797827" w:rsidRPr="00EA63C5" w:rsidRDefault="00797827" w:rsidP="0079782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797827" w:rsidRPr="00EA63C5" w:rsidRDefault="00797827" w:rsidP="00797827">
            <w:pPr>
              <w:jc w:val="both"/>
              <w:rPr>
                <w:sz w:val="20"/>
                <w:szCs w:val="20"/>
                <w:lang w:val="fr-CA"/>
              </w:rPr>
            </w:pPr>
            <w:r w:rsidRPr="00EA63C5">
              <w:rPr>
                <w:sz w:val="20"/>
                <w:szCs w:val="20"/>
                <w:lang w:val="fr-CA"/>
              </w:rPr>
              <w:t xml:space="preserve">Rejet de la requête en exemption constitutionnelle visant à écarter temporairement l’application de la </w:t>
            </w:r>
            <w:r w:rsidRPr="00EA63C5">
              <w:rPr>
                <w:i/>
                <w:sz w:val="20"/>
                <w:szCs w:val="20"/>
                <w:lang w:val="fr-CA"/>
              </w:rPr>
              <w:t>Loi réglementant certaines drogues et autres substances</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tcPr>
          <w:p w:rsidR="00797827" w:rsidRPr="00EA63C5" w:rsidRDefault="00797827" w:rsidP="00797827">
            <w:pPr>
              <w:rPr>
                <w:sz w:val="20"/>
                <w:szCs w:val="20"/>
                <w:lang w:val="fr-CA"/>
              </w:rPr>
            </w:pPr>
            <w:r w:rsidRPr="00EA63C5">
              <w:rPr>
                <w:sz w:val="20"/>
                <w:szCs w:val="20"/>
                <w:lang w:val="fr-CA"/>
              </w:rPr>
              <w:t>13 janvier 2016</w:t>
            </w:r>
          </w:p>
          <w:p w:rsidR="00797827" w:rsidRPr="00EA63C5" w:rsidRDefault="00797827" w:rsidP="00797827">
            <w:pPr>
              <w:rPr>
                <w:sz w:val="20"/>
                <w:szCs w:val="20"/>
                <w:lang w:val="fr-CA"/>
              </w:rPr>
            </w:pPr>
            <w:r w:rsidRPr="00EA63C5">
              <w:rPr>
                <w:sz w:val="20"/>
                <w:szCs w:val="20"/>
                <w:lang w:val="fr-CA"/>
              </w:rPr>
              <w:t xml:space="preserve">Cour d’appel fédérale </w:t>
            </w:r>
          </w:p>
          <w:p w:rsidR="00797827" w:rsidRPr="00EA63C5" w:rsidRDefault="00797827" w:rsidP="00797827">
            <w:pPr>
              <w:rPr>
                <w:rFonts w:eastAsia="Times New Roman" w:cs="Times New Roman"/>
                <w:sz w:val="20"/>
                <w:szCs w:val="20"/>
                <w:lang w:val="fr-CA" w:eastAsia="en-CA"/>
              </w:rPr>
            </w:pPr>
            <w:r w:rsidRPr="00EA63C5">
              <w:rPr>
                <w:rFonts w:eastAsia="Times New Roman" w:cs="Times New Roman"/>
                <w:sz w:val="20"/>
                <w:szCs w:val="20"/>
                <w:lang w:val="fr-CA" w:eastAsia="en-CA"/>
              </w:rPr>
              <w:t xml:space="preserve">(Juges Pelletier, </w:t>
            </w:r>
            <w:proofErr w:type="spellStart"/>
            <w:r w:rsidRPr="00EA63C5">
              <w:rPr>
                <w:rFonts w:eastAsia="Times New Roman" w:cs="Times New Roman"/>
                <w:sz w:val="20"/>
                <w:szCs w:val="20"/>
                <w:lang w:val="fr-CA" w:eastAsia="en-CA"/>
              </w:rPr>
              <w:t>Stratas</w:t>
            </w:r>
            <w:proofErr w:type="spellEnd"/>
            <w:r w:rsidRPr="00EA63C5">
              <w:rPr>
                <w:rFonts w:eastAsia="Times New Roman" w:cs="Times New Roman"/>
                <w:sz w:val="20"/>
                <w:szCs w:val="20"/>
                <w:lang w:val="fr-CA" w:eastAsia="en-CA"/>
              </w:rPr>
              <w:t xml:space="preserve"> et </w:t>
            </w:r>
            <w:proofErr w:type="spellStart"/>
            <w:r w:rsidRPr="00EA63C5">
              <w:rPr>
                <w:rFonts w:eastAsia="Times New Roman" w:cs="Times New Roman"/>
                <w:sz w:val="20"/>
                <w:szCs w:val="20"/>
                <w:lang w:val="fr-CA" w:eastAsia="en-CA"/>
              </w:rPr>
              <w:t>Gleason</w:t>
            </w:r>
            <w:proofErr w:type="spellEnd"/>
            <w:r w:rsidRPr="00EA63C5">
              <w:rPr>
                <w:rFonts w:eastAsia="Times New Roman" w:cs="Times New Roman"/>
                <w:sz w:val="20"/>
                <w:szCs w:val="20"/>
                <w:lang w:val="fr-CA" w:eastAsia="en-CA"/>
              </w:rPr>
              <w:t>)</w:t>
            </w:r>
          </w:p>
          <w:p w:rsidR="00797827" w:rsidRPr="00EA63C5" w:rsidRDefault="007F6DC5" w:rsidP="00797827">
            <w:pPr>
              <w:rPr>
                <w:rFonts w:eastAsia="Times New Roman" w:cs="Times New Roman"/>
                <w:sz w:val="20"/>
                <w:szCs w:val="20"/>
                <w:lang w:val="fr-CA" w:eastAsia="en-CA"/>
              </w:rPr>
            </w:pPr>
            <w:hyperlink r:id="rId47" w:history="1">
              <w:r w:rsidR="00797827" w:rsidRPr="00EA63C5">
                <w:rPr>
                  <w:rFonts w:eastAsia="Times New Roman" w:cs="Times New Roman"/>
                  <w:color w:val="0000FF" w:themeColor="hyperlink"/>
                  <w:sz w:val="20"/>
                  <w:szCs w:val="20"/>
                  <w:u w:val="single"/>
                  <w:lang w:val="fr-CA" w:eastAsia="en-CA"/>
                </w:rPr>
                <w:t>2016 FCA 9</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797827" w:rsidRPr="00EA63C5" w:rsidRDefault="00797827" w:rsidP="00797827">
            <w:pPr>
              <w:rPr>
                <w:sz w:val="20"/>
                <w:szCs w:val="20"/>
                <w:lang w:val="fr-CA"/>
              </w:rPr>
            </w:pPr>
            <w:r w:rsidRPr="00EA63C5">
              <w:rPr>
                <w:sz w:val="20"/>
                <w:szCs w:val="20"/>
                <w:lang w:val="fr-CA"/>
              </w:rPr>
              <w:t>Rejet de l’appel</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4410" w:type="dxa"/>
          </w:tcPr>
          <w:p w:rsidR="00797827" w:rsidRPr="00EA63C5" w:rsidRDefault="00797827" w:rsidP="00797827">
            <w:pPr>
              <w:rPr>
                <w:sz w:val="20"/>
                <w:szCs w:val="20"/>
                <w:lang w:val="fr-CA"/>
              </w:rPr>
            </w:pPr>
            <w:r w:rsidRPr="00EA63C5">
              <w:rPr>
                <w:sz w:val="20"/>
                <w:szCs w:val="20"/>
                <w:lang w:val="fr-CA"/>
              </w:rPr>
              <w:t>14 mars 2016</w:t>
            </w:r>
          </w:p>
          <w:p w:rsidR="00797827" w:rsidRPr="00EA63C5" w:rsidRDefault="00797827" w:rsidP="00797827">
            <w:pPr>
              <w:rPr>
                <w:sz w:val="20"/>
                <w:szCs w:val="20"/>
                <w:lang w:val="fr-CA"/>
              </w:rPr>
            </w:pPr>
            <w:r w:rsidRPr="00EA63C5">
              <w:rPr>
                <w:sz w:val="20"/>
                <w:szCs w:val="20"/>
                <w:lang w:val="fr-CA"/>
              </w:rPr>
              <w:t>Cour suprême du Canada</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797827" w:rsidRPr="00EA63C5" w:rsidRDefault="00797827" w:rsidP="00797827">
            <w:pPr>
              <w:jc w:val="both"/>
              <w:rPr>
                <w:sz w:val="20"/>
                <w:szCs w:val="20"/>
                <w:lang w:val="fr-CA"/>
              </w:rPr>
            </w:pPr>
            <w:r w:rsidRPr="00EA63C5">
              <w:rPr>
                <w:sz w:val="20"/>
                <w:szCs w:val="20"/>
                <w:lang w:val="fr-CA"/>
              </w:rPr>
              <w:t xml:space="preserve">Dépôt de la requête en prorogation du délai de signification et de dépôt de la demande d’autorisation d’appel et de la demande d’autorisation d’appel </w:t>
            </w:r>
          </w:p>
          <w:p w:rsidR="00B22687" w:rsidRPr="00EA63C5" w:rsidRDefault="00B22687" w:rsidP="00B22687">
            <w:pPr>
              <w:pStyle w:val="SCCShortJudgment"/>
              <w:ind w:firstLine="0"/>
              <w:rPr>
                <w:rFonts w:cs="Times New Roman"/>
                <w:szCs w:val="20"/>
                <w:u w:val="single"/>
                <w:lang w:val="fr-CA"/>
              </w:rPr>
            </w:pPr>
          </w:p>
        </w:tc>
      </w:tr>
    </w:tbl>
    <w:p w:rsidR="00B22687" w:rsidRPr="00EA63C5" w:rsidRDefault="007F6DC5" w:rsidP="000E2959">
      <w:pPr>
        <w:rPr>
          <w:sz w:val="20"/>
          <w:szCs w:val="20"/>
        </w:rPr>
      </w:pPr>
      <w:r>
        <w:rPr>
          <w:sz w:val="20"/>
          <w:szCs w:val="20"/>
          <w:lang w:val="fr-CA"/>
        </w:rPr>
        <w:pict>
          <v:rect id="_x0000_i1071" style="width:2in;height:1pt" o:hrpct="0" o:hralign="center" o:hrstd="t" o:hrnoshade="t" o:hr="t" fillcolor="black [3213]" stroked="f"/>
        </w:pict>
      </w:r>
    </w:p>
    <w:p w:rsidR="00B22687" w:rsidRPr="00EA63C5" w:rsidRDefault="00B2268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w:t>
            </w:r>
            <w:r w:rsidR="00BF2CCE" w:rsidRPr="00EA63C5">
              <w:rPr>
                <w:rStyle w:val="SCCFileNumberChar"/>
                <w:sz w:val="20"/>
                <w:szCs w:val="20"/>
              </w:rPr>
              <w:t>7057</w:t>
            </w:r>
          </w:p>
          <w:p w:rsidR="00B22687" w:rsidRPr="00EA63C5" w:rsidRDefault="00B22687" w:rsidP="00B22687">
            <w:pPr>
              <w:jc w:val="both"/>
              <w:rPr>
                <w:rFonts w:cs="Times New Roman"/>
                <w:b/>
                <w:sz w:val="20"/>
                <w:szCs w:val="20"/>
              </w:rPr>
            </w:pPr>
          </w:p>
        </w:tc>
        <w:tc>
          <w:tcPr>
            <w:tcW w:w="8118" w:type="dxa"/>
            <w:gridSpan w:val="3"/>
          </w:tcPr>
          <w:p w:rsidR="00B22687" w:rsidRPr="00EA63C5" w:rsidRDefault="00280F42" w:rsidP="00B22687">
            <w:pPr>
              <w:jc w:val="both"/>
              <w:rPr>
                <w:rFonts w:cs="Times New Roman"/>
                <w:sz w:val="20"/>
                <w:szCs w:val="20"/>
              </w:rPr>
            </w:pPr>
            <w:r w:rsidRPr="00EA63C5">
              <w:rPr>
                <w:rStyle w:val="SCCLsocChar"/>
                <w:rFonts w:cs="Times New Roman"/>
                <w:sz w:val="20"/>
                <w:szCs w:val="20"/>
                <w:lang w:val="en-US"/>
              </w:rPr>
              <w:t>Luc Leblanc v. Her Majesty the Queen</w:t>
            </w:r>
            <w:r w:rsidR="00B22687" w:rsidRPr="00EA63C5">
              <w:t xml:space="preserve"> </w:t>
            </w:r>
            <w:r w:rsidR="00B22687" w:rsidRPr="00EA63C5">
              <w:rPr>
                <w:rFonts w:cs="Times New Roman"/>
                <w:sz w:val="20"/>
                <w:szCs w:val="20"/>
              </w:rPr>
              <w:t>(</w:t>
            </w:r>
            <w:r w:rsidRPr="00EA63C5">
              <w:rPr>
                <w:rFonts w:cs="Times New Roman"/>
                <w:sz w:val="20"/>
                <w:szCs w:val="20"/>
              </w:rPr>
              <w:t>F.C</w:t>
            </w:r>
            <w:r w:rsidR="00B22687" w:rsidRPr="00EA63C5">
              <w:rPr>
                <w:rFonts w:cs="Times New Roman"/>
                <w:sz w:val="20"/>
                <w:szCs w:val="20"/>
              </w:rPr>
              <w: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B22687" w:rsidP="00B22687">
            <w:pPr>
              <w:jc w:val="both"/>
              <w:rPr>
                <w:rStyle w:val="SCCCoramChar"/>
                <w:rFonts w:cs="Times New Roman"/>
                <w:sz w:val="20"/>
                <w:szCs w:val="20"/>
                <w:lang w:val="en-US"/>
              </w:rPr>
            </w:pPr>
            <w:r w:rsidRPr="00EA63C5">
              <w:rPr>
                <w:rStyle w:val="SCCCoramChar"/>
                <w:rFonts w:cs="Times New Roman"/>
                <w:sz w:val="20"/>
                <w:szCs w:val="20"/>
                <w:lang w:val="en-US"/>
              </w:rPr>
              <w:t xml:space="preserve">McLachlin C.J. and </w:t>
            </w:r>
            <w:r w:rsidR="00280F42" w:rsidRPr="00EA63C5">
              <w:rPr>
                <w:rStyle w:val="SCCCoramChar"/>
                <w:rFonts w:cs="Times New Roman"/>
                <w:sz w:val="20"/>
                <w:szCs w:val="20"/>
                <w:lang w:val="en-US"/>
              </w:rPr>
              <w:t>Wagner</w:t>
            </w:r>
            <w:r w:rsidRPr="00EA63C5">
              <w:rPr>
                <w:rStyle w:val="SCCCoramChar"/>
                <w:rFonts w:cs="Times New Roman"/>
                <w:sz w:val="20"/>
                <w:szCs w:val="20"/>
                <w:lang w:val="en-US"/>
              </w:rPr>
              <w:t xml:space="preserve"> and Gascon JJ.</w:t>
            </w:r>
          </w:p>
          <w:p w:rsidR="00B22687" w:rsidRPr="00EA63C5" w:rsidRDefault="00B22687" w:rsidP="00B22687">
            <w:pPr>
              <w:jc w:val="both"/>
              <w:rPr>
                <w:rFonts w:cs="Times New Roman"/>
                <w:sz w:val="20"/>
                <w:szCs w:val="20"/>
                <w:u w:val="single"/>
              </w:rPr>
            </w:pPr>
          </w:p>
        </w:tc>
      </w:tr>
      <w:tr w:rsidR="00B22687" w:rsidRPr="007F6DC5" w:rsidTr="00B22687">
        <w:trPr>
          <w:cantSplit/>
        </w:trPr>
        <w:tc>
          <w:tcPr>
            <w:tcW w:w="9576" w:type="dxa"/>
            <w:gridSpan w:val="4"/>
          </w:tcPr>
          <w:p w:rsidR="00B22687" w:rsidRPr="00EA63C5" w:rsidRDefault="00B22687" w:rsidP="00B22687">
            <w:pPr>
              <w:pStyle w:val="SCCShortJudgment"/>
              <w:ind w:firstLine="0"/>
              <w:rPr>
                <w:rFonts w:cs="Times New Roman"/>
                <w:szCs w:val="20"/>
              </w:rPr>
            </w:pPr>
            <w:r w:rsidRPr="00EA63C5">
              <w:rPr>
                <w:rFonts w:cs="Times New Roman"/>
                <w:szCs w:val="20"/>
              </w:rPr>
              <w:tab/>
            </w:r>
            <w:r w:rsidR="00280F42" w:rsidRPr="00EA63C5">
              <w:rPr>
                <w:szCs w:val="20"/>
              </w:rPr>
              <w:t>The motion for an extension of time to serve and file the application for leave to appeal is granted.  The application for leave to appeal from the judgment of the Federal Court of Appeal, Number A-344-14, 2016 FCA 9, dated January 13, 2016, is dismissed with costs.</w:t>
            </w:r>
          </w:p>
          <w:p w:rsidR="00B22687" w:rsidRPr="00EA63C5" w:rsidRDefault="00B22687" w:rsidP="00B22687">
            <w:pPr>
              <w:pStyle w:val="SCCShortJudgment"/>
              <w:ind w:firstLine="0"/>
              <w:rPr>
                <w:rFonts w:cs="Times New Roman"/>
                <w:szCs w:val="20"/>
              </w:rPr>
            </w:pPr>
          </w:p>
          <w:p w:rsidR="00B22687" w:rsidRPr="00EA63C5" w:rsidRDefault="00B22687" w:rsidP="00B22687">
            <w:pPr>
              <w:pStyle w:val="SCCShortJudgment"/>
              <w:ind w:firstLine="0"/>
              <w:rPr>
                <w:rFonts w:cs="Times New Roman"/>
                <w:szCs w:val="20"/>
                <w:lang w:val="fr-CA"/>
              </w:rPr>
            </w:pPr>
            <w:r w:rsidRPr="00EA63C5">
              <w:rPr>
                <w:rFonts w:cs="Times New Roman"/>
                <w:szCs w:val="20"/>
              </w:rPr>
              <w:tab/>
            </w:r>
            <w:r w:rsidR="00280F42" w:rsidRPr="00EA63C5">
              <w:rPr>
                <w:szCs w:val="20"/>
                <w:lang w:val="fr-CA"/>
              </w:rPr>
              <w:t>La requ</w:t>
            </w:r>
            <w:r w:rsidR="00280F42" w:rsidRPr="00EA63C5">
              <w:rPr>
                <w:rFonts w:cs="Times New Roman"/>
                <w:szCs w:val="20"/>
                <w:lang w:val="fr-CA"/>
              </w:rPr>
              <w:t>ê</w:t>
            </w:r>
            <w:r w:rsidR="00280F42" w:rsidRPr="00EA63C5">
              <w:rPr>
                <w:szCs w:val="20"/>
                <w:lang w:val="fr-CA"/>
              </w:rPr>
              <w:t>te en prorogation du d</w:t>
            </w:r>
            <w:r w:rsidR="00280F42" w:rsidRPr="00EA63C5">
              <w:rPr>
                <w:rFonts w:cs="Times New Roman"/>
                <w:szCs w:val="20"/>
                <w:lang w:val="fr-CA"/>
              </w:rPr>
              <w:t>é</w:t>
            </w:r>
            <w:r w:rsidR="00280F42" w:rsidRPr="00EA63C5">
              <w:rPr>
                <w:szCs w:val="20"/>
                <w:lang w:val="fr-CA"/>
              </w:rPr>
              <w:t>lai de signification et de d</w:t>
            </w:r>
            <w:r w:rsidR="00280F42" w:rsidRPr="00EA63C5">
              <w:rPr>
                <w:rFonts w:cs="Times New Roman"/>
                <w:szCs w:val="20"/>
                <w:lang w:val="fr-CA"/>
              </w:rPr>
              <w:t>é</w:t>
            </w:r>
            <w:r w:rsidR="00280F42" w:rsidRPr="00EA63C5">
              <w:rPr>
                <w:szCs w:val="20"/>
                <w:lang w:val="fr-CA"/>
              </w:rPr>
              <w:t>p</w:t>
            </w:r>
            <w:r w:rsidR="00280F42" w:rsidRPr="00EA63C5">
              <w:rPr>
                <w:rFonts w:cs="Times New Roman"/>
                <w:szCs w:val="20"/>
                <w:lang w:val="fr-CA"/>
              </w:rPr>
              <w:t>ô</w:t>
            </w:r>
            <w:r w:rsidR="00280F42" w:rsidRPr="00EA63C5">
              <w:rPr>
                <w:szCs w:val="20"/>
                <w:lang w:val="fr-CA"/>
              </w:rPr>
              <w:t xml:space="preserve">t de la demande d’autorisation d’appel est accueillie. La demande d’autorisation d’appel de l’arrêt de la </w:t>
            </w:r>
            <w:r w:rsidR="00280F42" w:rsidRPr="00EA63C5">
              <w:rPr>
                <w:szCs w:val="20"/>
                <w:lang w:val="fr-FR"/>
              </w:rPr>
              <w:t>Cour d’appel fédérale</w:t>
            </w:r>
            <w:r w:rsidR="00280F42" w:rsidRPr="00EA63C5">
              <w:rPr>
                <w:szCs w:val="20"/>
                <w:lang w:val="fr-CA"/>
              </w:rPr>
              <w:t xml:space="preserve">, numéro </w:t>
            </w:r>
            <w:r w:rsidR="00280F42" w:rsidRPr="00EA63C5">
              <w:rPr>
                <w:szCs w:val="20"/>
                <w:lang w:val="fr-FR"/>
              </w:rPr>
              <w:t>A-344-14</w:t>
            </w:r>
            <w:r w:rsidR="00280F42" w:rsidRPr="00EA63C5">
              <w:rPr>
                <w:szCs w:val="20"/>
                <w:lang w:val="fr-CA"/>
              </w:rPr>
              <w:t xml:space="preserve">, 2016 FCA 9, daté du </w:t>
            </w:r>
            <w:r w:rsidR="00280F42" w:rsidRPr="00EA63C5">
              <w:rPr>
                <w:szCs w:val="20"/>
                <w:lang w:val="fr-FR"/>
              </w:rPr>
              <w:t>13 janvier 2016</w:t>
            </w:r>
            <w:r w:rsidR="00280F42" w:rsidRPr="00EA63C5">
              <w:rPr>
                <w:szCs w:val="20"/>
                <w:lang w:val="fr-CA"/>
              </w:rPr>
              <w:t>, est rejet</w:t>
            </w:r>
            <w:r w:rsidR="00280F42" w:rsidRPr="00EA63C5">
              <w:rPr>
                <w:rFonts w:cs="Times New Roman"/>
                <w:szCs w:val="20"/>
                <w:lang w:val="fr-CA"/>
              </w:rPr>
              <w:t>é</w:t>
            </w:r>
            <w:r w:rsidR="00280F42" w:rsidRPr="00EA63C5">
              <w:rPr>
                <w:szCs w:val="20"/>
                <w:lang w:val="fr-CA"/>
              </w:rPr>
              <w:t>e avec d</w:t>
            </w:r>
            <w:r w:rsidR="00280F42" w:rsidRPr="00EA63C5">
              <w:rPr>
                <w:rFonts w:cs="Times New Roman"/>
                <w:szCs w:val="20"/>
                <w:lang w:val="fr-CA"/>
              </w:rPr>
              <w:t>é</w:t>
            </w:r>
            <w:r w:rsidR="00280F42" w:rsidRPr="00EA63C5">
              <w:rPr>
                <w:szCs w:val="20"/>
                <w:lang w:val="fr-CA"/>
              </w:rPr>
              <w:t>pens.</w: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B22687" w:rsidRPr="00EA63C5" w:rsidRDefault="00797827" w:rsidP="00B22687">
            <w:pPr>
              <w:pStyle w:val="SCCShortJudgment"/>
              <w:ind w:firstLine="0"/>
              <w:rPr>
                <w:szCs w:val="20"/>
              </w:rPr>
            </w:pPr>
            <w:r w:rsidRPr="00EA63C5">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A63C5">
              <w:rPr>
                <w:i/>
                <w:szCs w:val="20"/>
              </w:rPr>
              <w:t>Controlled Drugs and Substances Act</w:t>
            </w:r>
            <w:r w:rsidRPr="00EA63C5">
              <w:rPr>
                <w:szCs w:val="20"/>
              </w:rPr>
              <w:t>, S.C. 1996, c. 19.</w:t>
            </w:r>
          </w:p>
          <w:p w:rsidR="00797827" w:rsidRPr="00EA63C5" w:rsidRDefault="00797827" w:rsidP="00B22687">
            <w:pPr>
              <w:pStyle w:val="SCCShortJudgment"/>
              <w:ind w:firstLine="0"/>
              <w:rPr>
                <w:rFonts w:cs="Times New Roman"/>
                <w:szCs w:val="20"/>
              </w:rPr>
            </w:pPr>
          </w:p>
        </w:tc>
      </w:tr>
      <w:tr w:rsidR="00B22687" w:rsidRPr="00EA63C5" w:rsidTr="00797827">
        <w:tc>
          <w:tcPr>
            <w:tcW w:w="9576" w:type="dxa"/>
            <w:gridSpan w:val="4"/>
          </w:tcPr>
          <w:p w:rsidR="00B22687" w:rsidRPr="00EA63C5" w:rsidRDefault="00797827" w:rsidP="00B22687">
            <w:pPr>
              <w:pStyle w:val="SCCShortJudgment"/>
              <w:ind w:firstLine="0"/>
              <w:rPr>
                <w:szCs w:val="20"/>
              </w:rPr>
            </w:pPr>
            <w:r w:rsidRPr="00EA63C5">
              <w:rPr>
                <w:szCs w:val="20"/>
              </w:rPr>
              <w:lastRenderedPageBreak/>
              <w:t xml:space="preserve">Since February 2014, approximately 300 self-represented plaintiffs, including the applicant, have filed identical claims seeking declarations that the </w:t>
            </w:r>
            <w:r w:rsidRPr="00EA63C5">
              <w:rPr>
                <w:i/>
                <w:szCs w:val="20"/>
              </w:rPr>
              <w:t>Marijuana Medical Access Regulations (“MMAR”)</w:t>
            </w:r>
            <w:r w:rsidRPr="00EA63C5">
              <w:rPr>
                <w:szCs w:val="20"/>
              </w:rPr>
              <w:t>, S.O.R./2001-227, which were repealed on March 31, 2014 and the</w:t>
            </w:r>
            <w:r w:rsidRPr="00EA63C5">
              <w:rPr>
                <w:i/>
                <w:szCs w:val="20"/>
              </w:rPr>
              <w:t xml:space="preserve"> Marijuana for Medical Purposes Regulations</w:t>
            </w:r>
            <w:r w:rsidRPr="00EA63C5">
              <w:rPr>
                <w:szCs w:val="20"/>
              </w:rPr>
              <w:t xml:space="preserve">, S.O.R./2013-119, which succeeded the </w:t>
            </w:r>
            <w:r w:rsidRPr="00EA63C5">
              <w:rPr>
                <w:i/>
                <w:szCs w:val="20"/>
              </w:rPr>
              <w:t>MMAR</w:t>
            </w:r>
            <w:r w:rsidRPr="00EA63C5">
              <w:rPr>
                <w:szCs w:val="20"/>
              </w:rPr>
              <w:t xml:space="preserve"> are unconstitutional. In the course of their actions, twenty-six plaintiffs, including the applicant, brought motions for interim constitutional exemptions from the </w:t>
            </w:r>
            <w:r w:rsidRPr="00EA63C5">
              <w:rPr>
                <w:i/>
                <w:szCs w:val="20"/>
              </w:rPr>
              <w:t>Controlled Drugs and Substances Act</w:t>
            </w:r>
            <w:r w:rsidRPr="00EA63C5">
              <w:rPr>
                <w:szCs w:val="20"/>
              </w:rPr>
              <w:t xml:space="preserve"> </w:t>
            </w:r>
            <w:r w:rsidRPr="00EA63C5">
              <w:rPr>
                <w:i/>
                <w:szCs w:val="20"/>
              </w:rPr>
              <w:t>(“CDSA”)</w:t>
            </w:r>
            <w:r w:rsidRPr="00EA63C5">
              <w:rPr>
                <w:szCs w:val="20"/>
              </w:rPr>
              <w:t xml:space="preserve"> for the personal use of marijuana pending trial of their actions.</w:t>
            </w:r>
          </w:p>
          <w:p w:rsidR="00797827" w:rsidRPr="00EA63C5" w:rsidRDefault="00797827" w:rsidP="00B22687">
            <w:pPr>
              <w:pStyle w:val="SCCShortJudgment"/>
              <w:ind w:firstLine="0"/>
              <w:rPr>
                <w:rFonts w:cs="Times New Roman"/>
                <w:szCs w:val="20"/>
              </w:rPr>
            </w:pPr>
          </w:p>
        </w:tc>
      </w:tr>
      <w:tr w:rsidR="00B2268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t>May 7, 2014</w:t>
            </w:r>
          </w:p>
          <w:p w:rsidR="00797827" w:rsidRPr="00EA63C5" w:rsidRDefault="00797827" w:rsidP="00797827">
            <w:pPr>
              <w:rPr>
                <w:sz w:val="20"/>
                <w:szCs w:val="20"/>
              </w:rPr>
            </w:pPr>
            <w:r w:rsidRPr="00EA63C5">
              <w:rPr>
                <w:sz w:val="20"/>
                <w:szCs w:val="20"/>
              </w:rPr>
              <w:t>Federal Court</w:t>
            </w:r>
          </w:p>
          <w:p w:rsidR="00797827" w:rsidRPr="00EA63C5" w:rsidRDefault="00797827" w:rsidP="00797827">
            <w:pPr>
              <w:rPr>
                <w:sz w:val="20"/>
                <w:szCs w:val="20"/>
              </w:rPr>
            </w:pPr>
            <w:r w:rsidRPr="00EA63C5">
              <w:rPr>
                <w:sz w:val="20"/>
                <w:szCs w:val="20"/>
              </w:rPr>
              <w:t>(Phelan J.)</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7827" w:rsidRPr="00EA63C5" w:rsidRDefault="00797827" w:rsidP="00797827">
            <w:pPr>
              <w:jc w:val="both"/>
              <w:rPr>
                <w:sz w:val="20"/>
                <w:szCs w:val="20"/>
              </w:rPr>
            </w:pPr>
            <w:r w:rsidRPr="00EA63C5">
              <w:rPr>
                <w:sz w:val="20"/>
                <w:szCs w:val="20"/>
              </w:rPr>
              <w:t xml:space="preserve">Motion for interim constitutional exemptions from provisions of </w:t>
            </w:r>
            <w:r w:rsidRPr="00EA63C5">
              <w:rPr>
                <w:i/>
                <w:sz w:val="20"/>
                <w:szCs w:val="20"/>
              </w:rPr>
              <w:t>Controlled Drugs and Substances Act</w:t>
            </w:r>
            <w:r w:rsidRPr="00EA63C5">
              <w:rPr>
                <w:sz w:val="20"/>
                <w:szCs w:val="20"/>
              </w:rPr>
              <w:t xml:space="preserve">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t>January 13, 2016</w:t>
            </w:r>
          </w:p>
          <w:p w:rsidR="00797827" w:rsidRPr="00EA63C5" w:rsidRDefault="00797827" w:rsidP="00797827">
            <w:pPr>
              <w:rPr>
                <w:sz w:val="20"/>
                <w:szCs w:val="20"/>
              </w:rPr>
            </w:pPr>
            <w:r w:rsidRPr="00EA63C5">
              <w:rPr>
                <w:sz w:val="20"/>
                <w:szCs w:val="20"/>
              </w:rPr>
              <w:t>Federal Court of Appeal</w:t>
            </w:r>
          </w:p>
          <w:p w:rsidR="00797827" w:rsidRPr="00EA63C5" w:rsidRDefault="00797827" w:rsidP="00797827">
            <w:pPr>
              <w:rPr>
                <w:sz w:val="20"/>
                <w:szCs w:val="20"/>
              </w:rPr>
            </w:pPr>
            <w:r w:rsidRPr="00EA63C5">
              <w:rPr>
                <w:sz w:val="20"/>
                <w:szCs w:val="20"/>
              </w:rPr>
              <w:t xml:space="preserve">(Pelletier, </w:t>
            </w:r>
            <w:proofErr w:type="spellStart"/>
            <w:r w:rsidRPr="00EA63C5">
              <w:rPr>
                <w:sz w:val="20"/>
                <w:szCs w:val="20"/>
              </w:rPr>
              <w:t>Stratas</w:t>
            </w:r>
            <w:proofErr w:type="spellEnd"/>
            <w:r w:rsidRPr="00EA63C5">
              <w:rPr>
                <w:sz w:val="20"/>
                <w:szCs w:val="20"/>
              </w:rPr>
              <w:t xml:space="preserve"> and Gleason JJ.A.)</w:t>
            </w:r>
          </w:p>
          <w:p w:rsidR="00797827" w:rsidRPr="00EA63C5" w:rsidRDefault="007F6DC5" w:rsidP="00797827">
            <w:pPr>
              <w:rPr>
                <w:rFonts w:eastAsia="Times New Roman" w:cs="Times New Roman"/>
                <w:sz w:val="20"/>
                <w:szCs w:val="20"/>
                <w:lang w:eastAsia="en-CA"/>
              </w:rPr>
            </w:pPr>
            <w:hyperlink r:id="rId48" w:history="1">
              <w:r w:rsidR="00797827" w:rsidRPr="00EA63C5">
                <w:rPr>
                  <w:rFonts w:eastAsia="Times New Roman" w:cs="Times New Roman"/>
                  <w:color w:val="0000FF" w:themeColor="hyperlink"/>
                  <w:sz w:val="20"/>
                  <w:szCs w:val="20"/>
                  <w:u w:val="single"/>
                  <w:lang w:eastAsia="en-CA"/>
                </w:rPr>
                <w:t>2016 FCA 9</w:t>
              </w:r>
            </w:hyperlink>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7827" w:rsidRPr="00EA63C5" w:rsidRDefault="00797827" w:rsidP="00797827">
            <w:pPr>
              <w:rPr>
                <w:sz w:val="20"/>
                <w:szCs w:val="20"/>
              </w:rPr>
            </w:pPr>
            <w:r w:rsidRPr="00EA63C5">
              <w:rPr>
                <w:sz w:val="20"/>
                <w:szCs w:val="20"/>
              </w:rPr>
              <w:t>Appeal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t>March 14, 2016</w:t>
            </w:r>
          </w:p>
          <w:p w:rsidR="00797827" w:rsidRPr="00EA63C5" w:rsidRDefault="00797827" w:rsidP="00797827">
            <w:pPr>
              <w:rPr>
                <w:sz w:val="20"/>
                <w:szCs w:val="20"/>
              </w:rPr>
            </w:pPr>
            <w:r w:rsidRPr="00EA63C5">
              <w:rPr>
                <w:sz w:val="20"/>
                <w:szCs w:val="20"/>
              </w:rPr>
              <w:t>Supreme Court of Canada</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7827" w:rsidRPr="00EA63C5" w:rsidRDefault="00797827" w:rsidP="00797827">
            <w:pPr>
              <w:jc w:val="both"/>
              <w:rPr>
                <w:sz w:val="20"/>
                <w:szCs w:val="20"/>
              </w:rPr>
            </w:pPr>
            <w:r w:rsidRPr="00EA63C5">
              <w:rPr>
                <w:sz w:val="20"/>
                <w:szCs w:val="20"/>
              </w:rPr>
              <w:t>Application for an extension of time to serve and file leave application and 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72"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B22687" w:rsidRPr="00EA63C5" w:rsidRDefault="00797827" w:rsidP="00B22687">
            <w:pPr>
              <w:pStyle w:val="SCCShortJudgment"/>
              <w:ind w:firstLine="0"/>
              <w:rPr>
                <w:szCs w:val="20"/>
                <w:lang w:val="fr-CA"/>
              </w:rPr>
            </w:pPr>
            <w:r w:rsidRPr="00EA63C5">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A63C5">
              <w:rPr>
                <w:i/>
                <w:szCs w:val="20"/>
                <w:lang w:val="fr-CA"/>
              </w:rPr>
              <w:t>Loi réglementant certaines drogues et autres substances</w:t>
            </w:r>
            <w:r w:rsidRPr="00EA63C5">
              <w:rPr>
                <w:szCs w:val="20"/>
                <w:lang w:val="fr-CA"/>
              </w:rPr>
              <w:t>, L.C., 1996, ch. 19.</w:t>
            </w:r>
          </w:p>
          <w:p w:rsidR="00797827" w:rsidRPr="00EA63C5" w:rsidRDefault="00797827" w:rsidP="00B22687">
            <w:pPr>
              <w:pStyle w:val="SCCShortJudgment"/>
              <w:ind w:firstLine="0"/>
              <w:rPr>
                <w:rFonts w:cs="Times New Roman"/>
                <w:szCs w:val="20"/>
                <w:u w:val="single"/>
                <w:lang w:val="fr-CA"/>
              </w:rPr>
            </w:pPr>
          </w:p>
        </w:tc>
      </w:tr>
      <w:tr w:rsidR="00B22687" w:rsidRPr="007F6DC5" w:rsidTr="00647E9D">
        <w:tc>
          <w:tcPr>
            <w:tcW w:w="9576" w:type="dxa"/>
            <w:gridSpan w:val="4"/>
          </w:tcPr>
          <w:p w:rsidR="00B22687" w:rsidRPr="00EA63C5" w:rsidRDefault="00797827" w:rsidP="00B22687">
            <w:pPr>
              <w:jc w:val="both"/>
              <w:rPr>
                <w:sz w:val="20"/>
                <w:szCs w:val="20"/>
                <w:lang w:val="fr-CA"/>
              </w:rPr>
            </w:pPr>
            <w:r w:rsidRPr="00EA63C5">
              <w:rPr>
                <w:sz w:val="20"/>
                <w:szCs w:val="20"/>
                <w:lang w:val="fr-CA"/>
              </w:rPr>
              <w:t xml:space="preserve">Depuis février 2014, environ 300 plaideurs non représentés, y compris le demandeur, ont déposé des demandes identiques sollicitant des jugements qui déclarent inconstitutionnels le </w:t>
            </w:r>
            <w:r w:rsidRPr="00EA63C5">
              <w:rPr>
                <w:i/>
                <w:sz w:val="20"/>
                <w:szCs w:val="20"/>
                <w:lang w:val="fr-CA"/>
              </w:rPr>
              <w:t>Règlement sur l’accès à la marihuana à des fins médicales (« RAMFM »)</w:t>
            </w:r>
            <w:r w:rsidRPr="00EA63C5">
              <w:rPr>
                <w:sz w:val="20"/>
                <w:szCs w:val="20"/>
                <w:lang w:val="fr-CA"/>
              </w:rPr>
              <w:t xml:space="preserve">, D.O.R.S./2001-227, abrogé le 31 mars 2014 et le </w:t>
            </w:r>
            <w:r w:rsidRPr="00EA63C5">
              <w:rPr>
                <w:i/>
                <w:sz w:val="20"/>
                <w:szCs w:val="20"/>
                <w:lang w:val="fr-CA"/>
              </w:rPr>
              <w:t>Règlement sur la marihuana à des fins médicales</w:t>
            </w:r>
            <w:r w:rsidRPr="00EA63C5">
              <w:rPr>
                <w:sz w:val="20"/>
                <w:szCs w:val="20"/>
                <w:lang w:val="fr-CA"/>
              </w:rPr>
              <w:t xml:space="preserve">, D.O.R.S./2013-119, qui a remplacé le </w:t>
            </w:r>
            <w:r w:rsidRPr="00EA63C5">
              <w:rPr>
                <w:i/>
                <w:sz w:val="20"/>
                <w:szCs w:val="20"/>
                <w:lang w:val="fr-CA"/>
              </w:rPr>
              <w:t>RAMFM</w:t>
            </w:r>
            <w:r w:rsidRPr="00EA63C5">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A63C5">
              <w:rPr>
                <w:i/>
                <w:sz w:val="20"/>
                <w:szCs w:val="20"/>
                <w:lang w:val="fr-CA"/>
              </w:rPr>
              <w:t xml:space="preserve">Loi réglementant certaines drogues et autres substances </w:t>
            </w:r>
            <w:r w:rsidRPr="00EA63C5">
              <w:rPr>
                <w:sz w:val="20"/>
                <w:szCs w:val="20"/>
                <w:lang w:val="fr-CA"/>
              </w:rPr>
              <w:t>(« </w:t>
            </w:r>
            <w:r w:rsidRPr="00EA63C5">
              <w:rPr>
                <w:i/>
                <w:sz w:val="20"/>
                <w:szCs w:val="20"/>
                <w:lang w:val="fr-CA"/>
              </w:rPr>
              <w:t>LRCDAS »)</w:t>
            </w:r>
            <w:r w:rsidRPr="00EA63C5">
              <w:rPr>
                <w:sz w:val="20"/>
                <w:szCs w:val="20"/>
                <w:lang w:val="fr-CA"/>
              </w:rPr>
              <w:t xml:space="preserve"> pour l’utilisation personnelle de la marihuana en attendant que leurs actions soient instruites.</w:t>
            </w:r>
          </w:p>
          <w:p w:rsidR="00797827" w:rsidRPr="00EA63C5" w:rsidRDefault="00797827" w:rsidP="00B22687">
            <w:pPr>
              <w:jc w:val="both"/>
              <w:rPr>
                <w:rFonts w:cs="Times New Roman"/>
                <w:sz w:val="20"/>
                <w:szCs w:val="20"/>
                <w:u w:val="single"/>
                <w:lang w:val="fr-CA"/>
              </w:rPr>
            </w:pPr>
          </w:p>
        </w:tc>
      </w:tr>
      <w:tr w:rsidR="00B22687" w:rsidRPr="007F6DC5" w:rsidTr="00B22687">
        <w:trPr>
          <w:cantSplit/>
        </w:trPr>
        <w:tc>
          <w:tcPr>
            <w:tcW w:w="4410" w:type="dxa"/>
            <w:gridSpan w:val="2"/>
          </w:tcPr>
          <w:p w:rsidR="00797827" w:rsidRPr="00EA63C5" w:rsidRDefault="00797827" w:rsidP="00797827">
            <w:pPr>
              <w:rPr>
                <w:sz w:val="20"/>
                <w:szCs w:val="20"/>
                <w:lang w:val="fr-CA"/>
              </w:rPr>
            </w:pPr>
            <w:r w:rsidRPr="00EA63C5">
              <w:rPr>
                <w:sz w:val="20"/>
                <w:szCs w:val="20"/>
                <w:lang w:val="fr-CA"/>
              </w:rPr>
              <w:t>7 mai 2014</w:t>
            </w:r>
          </w:p>
          <w:p w:rsidR="00797827" w:rsidRPr="00EA63C5" w:rsidRDefault="00797827" w:rsidP="00797827">
            <w:pPr>
              <w:rPr>
                <w:sz w:val="20"/>
                <w:szCs w:val="20"/>
                <w:lang w:val="fr-CA"/>
              </w:rPr>
            </w:pPr>
            <w:r w:rsidRPr="00EA63C5">
              <w:rPr>
                <w:sz w:val="20"/>
                <w:szCs w:val="20"/>
                <w:lang w:val="fr-CA"/>
              </w:rPr>
              <w:t xml:space="preserve">Cour fédérale </w:t>
            </w:r>
          </w:p>
          <w:p w:rsidR="00B22687" w:rsidRPr="00EA63C5" w:rsidRDefault="00797827" w:rsidP="00797827">
            <w:pPr>
              <w:pStyle w:val="SCCShortJudgment"/>
              <w:ind w:firstLine="0"/>
              <w:rPr>
                <w:szCs w:val="20"/>
                <w:lang w:val="fr-CA"/>
              </w:rPr>
            </w:pPr>
            <w:r w:rsidRPr="00EA63C5">
              <w:rPr>
                <w:szCs w:val="20"/>
                <w:lang w:val="fr-CA"/>
              </w:rPr>
              <w:t>(Juge Phelan)</w:t>
            </w:r>
          </w:p>
          <w:p w:rsidR="00797827" w:rsidRPr="00EA63C5" w:rsidRDefault="00797827" w:rsidP="0079782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797827" w:rsidRPr="00EA63C5" w:rsidRDefault="00797827" w:rsidP="00797827">
            <w:pPr>
              <w:jc w:val="both"/>
              <w:rPr>
                <w:sz w:val="20"/>
                <w:szCs w:val="20"/>
                <w:lang w:val="fr-CA"/>
              </w:rPr>
            </w:pPr>
            <w:r w:rsidRPr="00EA63C5">
              <w:rPr>
                <w:sz w:val="20"/>
                <w:szCs w:val="20"/>
                <w:lang w:val="fr-CA"/>
              </w:rPr>
              <w:t xml:space="preserve">Rejet de la requête en exemption constitutionnelle visant à écarter temporairement l’application de la </w:t>
            </w:r>
            <w:r w:rsidRPr="00EA63C5">
              <w:rPr>
                <w:i/>
                <w:sz w:val="20"/>
                <w:szCs w:val="20"/>
                <w:lang w:val="fr-CA"/>
              </w:rPr>
              <w:t>Loi réglementant certaines drogues et autres substances</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4410" w:type="dxa"/>
            <w:gridSpan w:val="2"/>
          </w:tcPr>
          <w:p w:rsidR="00797827" w:rsidRPr="00EA63C5" w:rsidRDefault="00797827" w:rsidP="00797827">
            <w:pPr>
              <w:rPr>
                <w:sz w:val="20"/>
                <w:szCs w:val="20"/>
                <w:lang w:val="fr-CA"/>
              </w:rPr>
            </w:pPr>
            <w:r w:rsidRPr="00EA63C5">
              <w:rPr>
                <w:sz w:val="20"/>
                <w:szCs w:val="20"/>
                <w:lang w:val="fr-CA"/>
              </w:rPr>
              <w:t>13 janvier 2016</w:t>
            </w:r>
          </w:p>
          <w:p w:rsidR="00797827" w:rsidRPr="00EA63C5" w:rsidRDefault="00797827" w:rsidP="00797827">
            <w:pPr>
              <w:rPr>
                <w:sz w:val="20"/>
                <w:szCs w:val="20"/>
                <w:lang w:val="fr-CA"/>
              </w:rPr>
            </w:pPr>
            <w:r w:rsidRPr="00EA63C5">
              <w:rPr>
                <w:sz w:val="20"/>
                <w:szCs w:val="20"/>
                <w:lang w:val="fr-CA"/>
              </w:rPr>
              <w:t xml:space="preserve">Cour d’appel fédérale </w:t>
            </w:r>
          </w:p>
          <w:p w:rsidR="00797827" w:rsidRPr="00EA63C5" w:rsidRDefault="00797827" w:rsidP="00797827">
            <w:pPr>
              <w:rPr>
                <w:rFonts w:eastAsia="Times New Roman" w:cs="Times New Roman"/>
                <w:sz w:val="20"/>
                <w:szCs w:val="20"/>
                <w:lang w:val="fr-CA" w:eastAsia="en-CA"/>
              </w:rPr>
            </w:pPr>
            <w:r w:rsidRPr="00EA63C5">
              <w:rPr>
                <w:rFonts w:eastAsia="Times New Roman" w:cs="Times New Roman"/>
                <w:sz w:val="20"/>
                <w:szCs w:val="20"/>
                <w:lang w:val="fr-CA" w:eastAsia="en-CA"/>
              </w:rPr>
              <w:t xml:space="preserve">(Juges Pelletier, </w:t>
            </w:r>
            <w:proofErr w:type="spellStart"/>
            <w:r w:rsidRPr="00EA63C5">
              <w:rPr>
                <w:rFonts w:eastAsia="Times New Roman" w:cs="Times New Roman"/>
                <w:sz w:val="20"/>
                <w:szCs w:val="20"/>
                <w:lang w:val="fr-CA" w:eastAsia="en-CA"/>
              </w:rPr>
              <w:t>Stratas</w:t>
            </w:r>
            <w:proofErr w:type="spellEnd"/>
            <w:r w:rsidRPr="00EA63C5">
              <w:rPr>
                <w:rFonts w:eastAsia="Times New Roman" w:cs="Times New Roman"/>
                <w:sz w:val="20"/>
                <w:szCs w:val="20"/>
                <w:lang w:val="fr-CA" w:eastAsia="en-CA"/>
              </w:rPr>
              <w:t xml:space="preserve"> et </w:t>
            </w:r>
            <w:proofErr w:type="spellStart"/>
            <w:r w:rsidRPr="00EA63C5">
              <w:rPr>
                <w:rFonts w:eastAsia="Times New Roman" w:cs="Times New Roman"/>
                <w:sz w:val="20"/>
                <w:szCs w:val="20"/>
                <w:lang w:val="fr-CA" w:eastAsia="en-CA"/>
              </w:rPr>
              <w:t>Gleason</w:t>
            </w:r>
            <w:proofErr w:type="spellEnd"/>
            <w:r w:rsidRPr="00EA63C5">
              <w:rPr>
                <w:rFonts w:eastAsia="Times New Roman" w:cs="Times New Roman"/>
                <w:sz w:val="20"/>
                <w:szCs w:val="20"/>
                <w:lang w:val="fr-CA" w:eastAsia="en-CA"/>
              </w:rPr>
              <w:t>)</w:t>
            </w:r>
          </w:p>
          <w:p w:rsidR="00797827" w:rsidRPr="00EA63C5" w:rsidRDefault="007F6DC5" w:rsidP="00797827">
            <w:pPr>
              <w:rPr>
                <w:rFonts w:eastAsia="Times New Roman" w:cs="Times New Roman"/>
                <w:sz w:val="20"/>
                <w:szCs w:val="20"/>
                <w:lang w:val="fr-CA" w:eastAsia="en-CA"/>
              </w:rPr>
            </w:pPr>
            <w:hyperlink r:id="rId49" w:history="1">
              <w:r w:rsidR="00797827" w:rsidRPr="00EA63C5">
                <w:rPr>
                  <w:rFonts w:eastAsia="Times New Roman" w:cs="Times New Roman"/>
                  <w:color w:val="0000FF" w:themeColor="hyperlink"/>
                  <w:sz w:val="20"/>
                  <w:szCs w:val="20"/>
                  <w:u w:val="single"/>
                  <w:lang w:val="fr-CA" w:eastAsia="en-CA"/>
                </w:rPr>
                <w:t>2016 FCA 9</w:t>
              </w:r>
            </w:hyperlink>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B22687" w:rsidRPr="00EA63C5" w:rsidRDefault="00797827" w:rsidP="00B22687">
            <w:pPr>
              <w:pStyle w:val="SCCShortJudgment"/>
              <w:ind w:firstLine="0"/>
              <w:rPr>
                <w:rFonts w:cs="Times New Roman"/>
                <w:szCs w:val="20"/>
                <w:u w:val="single"/>
                <w:lang w:val="fr-CA"/>
              </w:rPr>
            </w:pPr>
            <w:r w:rsidRPr="00EA63C5">
              <w:rPr>
                <w:szCs w:val="20"/>
                <w:lang w:val="fr-CA"/>
              </w:rPr>
              <w:t>Rejet de l’appel</w:t>
            </w:r>
          </w:p>
        </w:tc>
      </w:tr>
    </w:tbl>
    <w:p w:rsidR="007F6DC5" w:rsidRDefault="007F6DC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B22687" w:rsidRPr="007F6DC5" w:rsidTr="00B22687">
        <w:trPr>
          <w:cantSplit/>
        </w:trPr>
        <w:tc>
          <w:tcPr>
            <w:tcW w:w="4410" w:type="dxa"/>
          </w:tcPr>
          <w:p w:rsidR="00797827" w:rsidRPr="00EA63C5" w:rsidRDefault="00797827" w:rsidP="00797827">
            <w:pPr>
              <w:rPr>
                <w:sz w:val="20"/>
                <w:szCs w:val="20"/>
                <w:lang w:val="fr-CA"/>
              </w:rPr>
            </w:pPr>
            <w:r w:rsidRPr="00EA63C5">
              <w:rPr>
                <w:sz w:val="20"/>
                <w:szCs w:val="20"/>
                <w:lang w:val="fr-CA"/>
              </w:rPr>
              <w:lastRenderedPageBreak/>
              <w:t>14 mars 2016</w:t>
            </w:r>
          </w:p>
          <w:p w:rsidR="00797827" w:rsidRPr="00EA63C5" w:rsidRDefault="00797827" w:rsidP="00797827">
            <w:pPr>
              <w:rPr>
                <w:sz w:val="20"/>
                <w:szCs w:val="20"/>
                <w:lang w:val="fr-CA"/>
              </w:rPr>
            </w:pPr>
            <w:r w:rsidRPr="00EA63C5">
              <w:rPr>
                <w:sz w:val="20"/>
                <w:szCs w:val="20"/>
                <w:lang w:val="fr-CA"/>
              </w:rPr>
              <w:t>Cour suprême du Canada</w:t>
            </w:r>
          </w:p>
          <w:p w:rsidR="00B22687" w:rsidRPr="00EA63C5" w:rsidRDefault="00B22687" w:rsidP="00B22687">
            <w:pPr>
              <w:pStyle w:val="SCCShortJudgment"/>
              <w:ind w:firstLine="0"/>
              <w:rPr>
                <w:rFonts w:cs="Times New Roman"/>
                <w:szCs w:val="20"/>
                <w:u w:val="single"/>
                <w:lang w:val="fr-CA"/>
              </w:rPr>
            </w:pPr>
          </w:p>
        </w:tc>
        <w:tc>
          <w:tcPr>
            <w:tcW w:w="630" w:type="dxa"/>
          </w:tcPr>
          <w:p w:rsidR="00B22687" w:rsidRPr="00EA63C5" w:rsidRDefault="00B22687" w:rsidP="00B22687">
            <w:pPr>
              <w:pStyle w:val="SCCShortJudgment"/>
              <w:ind w:firstLine="0"/>
              <w:rPr>
                <w:rFonts w:cs="Times New Roman"/>
                <w:szCs w:val="20"/>
                <w:u w:val="single"/>
                <w:lang w:val="fr-CA"/>
              </w:rPr>
            </w:pPr>
          </w:p>
        </w:tc>
        <w:tc>
          <w:tcPr>
            <w:tcW w:w="4536" w:type="dxa"/>
          </w:tcPr>
          <w:p w:rsidR="00797827" w:rsidRPr="00EA63C5" w:rsidRDefault="00797827" w:rsidP="00797827">
            <w:pPr>
              <w:jc w:val="both"/>
              <w:rPr>
                <w:sz w:val="20"/>
                <w:szCs w:val="20"/>
                <w:lang w:val="fr-CA"/>
              </w:rPr>
            </w:pPr>
            <w:r w:rsidRPr="00EA63C5">
              <w:rPr>
                <w:sz w:val="20"/>
                <w:szCs w:val="20"/>
                <w:lang w:val="fr-CA"/>
              </w:rPr>
              <w:t xml:space="preserve">Dépôt de la requête en prorogation du délai de signification et de dépôt de la demande d’autorisation d’appel et de la demande d’autorisation d’appel </w:t>
            </w:r>
          </w:p>
          <w:p w:rsidR="00B22687" w:rsidRPr="00EA63C5" w:rsidRDefault="00B22687" w:rsidP="00B22687">
            <w:pPr>
              <w:pStyle w:val="SCCShortJudgment"/>
              <w:ind w:firstLine="0"/>
              <w:rPr>
                <w:rFonts w:cs="Times New Roman"/>
                <w:szCs w:val="20"/>
                <w:u w:val="single"/>
                <w:lang w:val="fr-CA"/>
              </w:rPr>
            </w:pPr>
          </w:p>
        </w:tc>
      </w:tr>
    </w:tbl>
    <w:p w:rsidR="00B22687" w:rsidRPr="00EA63C5" w:rsidRDefault="007F6DC5" w:rsidP="000E2959">
      <w:pPr>
        <w:rPr>
          <w:sz w:val="20"/>
          <w:szCs w:val="20"/>
        </w:rPr>
      </w:pPr>
      <w:r>
        <w:rPr>
          <w:sz w:val="20"/>
          <w:szCs w:val="20"/>
          <w:lang w:val="fr-CA"/>
        </w:rPr>
        <w:pict>
          <v:rect id="_x0000_i1073" style="width:2in;height:1pt" o:hrpct="0" o:hralign="center" o:hrstd="t" o:hrnoshade="t" o:hr="t" fillcolor="black [3213]" stroked="f"/>
        </w:pict>
      </w:r>
    </w:p>
    <w:p w:rsidR="00B22687" w:rsidRPr="00EA63C5" w:rsidRDefault="00B22687" w:rsidP="000E2959">
      <w:pPr>
        <w:rPr>
          <w:sz w:val="20"/>
          <w:szCs w:val="20"/>
        </w:rPr>
      </w:pPr>
    </w:p>
    <w:p w:rsidR="007F6DC5" w:rsidRDefault="007F6DC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Style w:val="SCCFileNumberChar"/>
                <w:sz w:val="20"/>
                <w:szCs w:val="20"/>
              </w:rPr>
              <w:t>3</w:t>
            </w:r>
            <w:r w:rsidR="00BF2CCE" w:rsidRPr="00EA63C5">
              <w:rPr>
                <w:rStyle w:val="SCCFileNumberChar"/>
                <w:sz w:val="20"/>
                <w:szCs w:val="20"/>
              </w:rPr>
              <w:t>7065</w:t>
            </w:r>
          </w:p>
          <w:p w:rsidR="00B22687" w:rsidRPr="00EA63C5" w:rsidRDefault="00B22687" w:rsidP="00B22687">
            <w:pPr>
              <w:jc w:val="both"/>
              <w:rPr>
                <w:rFonts w:cs="Times New Roman"/>
                <w:b/>
                <w:sz w:val="20"/>
                <w:szCs w:val="20"/>
              </w:rPr>
            </w:pPr>
          </w:p>
        </w:tc>
        <w:tc>
          <w:tcPr>
            <w:tcW w:w="8118" w:type="dxa"/>
            <w:gridSpan w:val="3"/>
          </w:tcPr>
          <w:p w:rsidR="00B22687" w:rsidRPr="00EA63C5" w:rsidRDefault="002B089C" w:rsidP="00B22687">
            <w:pPr>
              <w:jc w:val="both"/>
              <w:rPr>
                <w:rFonts w:cs="Times New Roman"/>
                <w:sz w:val="20"/>
                <w:szCs w:val="20"/>
              </w:rPr>
            </w:pPr>
            <w:proofErr w:type="spellStart"/>
            <w:r w:rsidRPr="00EA63C5">
              <w:rPr>
                <w:b/>
                <w:sz w:val="20"/>
                <w:szCs w:val="20"/>
                <w:u w:val="single"/>
              </w:rPr>
              <w:t>Lucyna</w:t>
            </w:r>
            <w:proofErr w:type="spellEnd"/>
            <w:r w:rsidRPr="00EA63C5">
              <w:rPr>
                <w:b/>
                <w:sz w:val="20"/>
                <w:szCs w:val="20"/>
                <w:u w:val="single"/>
              </w:rPr>
              <w:t xml:space="preserve"> </w:t>
            </w:r>
            <w:proofErr w:type="spellStart"/>
            <w:r w:rsidRPr="00EA63C5">
              <w:rPr>
                <w:b/>
                <w:sz w:val="20"/>
                <w:szCs w:val="20"/>
                <w:u w:val="single"/>
              </w:rPr>
              <w:t>Blicharz</w:t>
            </w:r>
            <w:proofErr w:type="spellEnd"/>
            <w:r w:rsidRPr="00EA63C5">
              <w:rPr>
                <w:b/>
                <w:sz w:val="20"/>
                <w:szCs w:val="20"/>
                <w:u w:val="single"/>
              </w:rPr>
              <w:t xml:space="preserve"> v. Settlement Lenders Inc. and Settlement Lenders of Canada Inc.</w:t>
            </w:r>
            <w:r w:rsidRPr="00EA63C5">
              <w:rPr>
                <w:rFonts w:cs="Times New Roman"/>
                <w:sz w:val="20"/>
                <w:szCs w:val="20"/>
              </w:rPr>
              <w:t xml:space="preserve"> </w:t>
            </w:r>
            <w:r w:rsidR="00B22687" w:rsidRPr="00EA63C5">
              <w:rPr>
                <w:rFonts w:cs="Times New Roman"/>
                <w:sz w:val="20"/>
                <w:szCs w:val="20"/>
              </w:rPr>
              <w:t>(</w:t>
            </w:r>
            <w:r w:rsidRPr="00EA63C5">
              <w:rPr>
                <w:rFonts w:cs="Times New Roman"/>
                <w:sz w:val="20"/>
                <w:szCs w:val="20"/>
              </w:rPr>
              <w:t>Alta</w:t>
            </w:r>
            <w:r w:rsidR="00B22687" w:rsidRPr="00EA63C5">
              <w:rPr>
                <w:rFonts w:cs="Times New Roman"/>
                <w:sz w:val="20"/>
                <w:szCs w:val="20"/>
              </w:rPr>
              <w:t>.) (Civil) (By Leave)</w:t>
            </w:r>
          </w:p>
          <w:p w:rsidR="00B22687" w:rsidRPr="00EA63C5" w:rsidRDefault="00B22687" w:rsidP="00B22687">
            <w:pPr>
              <w:jc w:val="both"/>
              <w:rPr>
                <w:rFonts w:cs="Times New Roman"/>
                <w:sz w:val="20"/>
                <w:szCs w:val="20"/>
              </w:rPr>
            </w:pPr>
          </w:p>
        </w:tc>
      </w:tr>
      <w:tr w:rsidR="00B22687" w:rsidRPr="00EA63C5" w:rsidTr="00B22687">
        <w:trPr>
          <w:cantSplit/>
        </w:trPr>
        <w:tc>
          <w:tcPr>
            <w:tcW w:w="1458" w:type="dxa"/>
          </w:tcPr>
          <w:p w:rsidR="00B22687" w:rsidRPr="00EA63C5" w:rsidRDefault="00B22687" w:rsidP="00B22687">
            <w:pPr>
              <w:jc w:val="both"/>
              <w:rPr>
                <w:rFonts w:cs="Times New Roman"/>
                <w:sz w:val="20"/>
                <w:szCs w:val="20"/>
              </w:rPr>
            </w:pPr>
            <w:r w:rsidRPr="00EA63C5">
              <w:rPr>
                <w:rFonts w:cs="Times New Roman"/>
                <w:sz w:val="20"/>
                <w:szCs w:val="20"/>
              </w:rPr>
              <w:t>Coram :</w:t>
            </w:r>
          </w:p>
        </w:tc>
        <w:tc>
          <w:tcPr>
            <w:tcW w:w="8118" w:type="dxa"/>
            <w:gridSpan w:val="3"/>
          </w:tcPr>
          <w:p w:rsidR="00B22687" w:rsidRPr="00EA63C5" w:rsidRDefault="002B089C" w:rsidP="00B22687">
            <w:pPr>
              <w:jc w:val="both"/>
              <w:rPr>
                <w:rStyle w:val="SCCCoramChar"/>
                <w:rFonts w:cs="Times New Roman"/>
                <w:sz w:val="20"/>
                <w:szCs w:val="20"/>
                <w:lang w:val="en-US"/>
              </w:rPr>
            </w:pPr>
            <w:r w:rsidRPr="00EA63C5">
              <w:rPr>
                <w:rStyle w:val="SCCCoramChar"/>
                <w:rFonts w:cs="Times New Roman"/>
                <w:sz w:val="20"/>
                <w:szCs w:val="20"/>
                <w:lang w:val="en-US"/>
              </w:rPr>
              <w:t>Abella, Karakatsanis and Brown JJ.</w:t>
            </w:r>
          </w:p>
          <w:p w:rsidR="002B089C" w:rsidRPr="00EA63C5" w:rsidRDefault="002B089C" w:rsidP="00B22687">
            <w:pPr>
              <w:jc w:val="both"/>
              <w:rPr>
                <w:rFonts w:cs="Times New Roman"/>
                <w:sz w:val="20"/>
                <w:szCs w:val="20"/>
                <w:u w:val="single"/>
              </w:rPr>
            </w:pPr>
          </w:p>
        </w:tc>
      </w:tr>
      <w:tr w:rsidR="00B22687" w:rsidRPr="007F6DC5" w:rsidTr="00B22687">
        <w:trPr>
          <w:cantSplit/>
        </w:trPr>
        <w:tc>
          <w:tcPr>
            <w:tcW w:w="9576" w:type="dxa"/>
            <w:gridSpan w:val="4"/>
          </w:tcPr>
          <w:p w:rsidR="00B22687" w:rsidRPr="00EA63C5" w:rsidRDefault="002B089C" w:rsidP="002B089C">
            <w:pPr>
              <w:pStyle w:val="SCCShortJudgment"/>
              <w:ind w:firstLine="0"/>
              <w:rPr>
                <w:rFonts w:cs="Times New Roman"/>
                <w:szCs w:val="20"/>
              </w:rPr>
            </w:pPr>
            <w:r w:rsidRPr="00EA63C5">
              <w:rPr>
                <w:szCs w:val="20"/>
              </w:rPr>
              <w:tab/>
              <w:t xml:space="preserve">The application for leave to appeal from the judgment of the Court of Appeal of Alberta (Edmonton), number </w:t>
            </w:r>
            <w:r w:rsidRPr="00EA63C5">
              <w:rPr>
                <w:szCs w:val="20"/>
                <w:lang w:val="en-US"/>
              </w:rPr>
              <w:t>1503-0108-AC</w:t>
            </w:r>
            <w:r w:rsidRPr="00EA63C5">
              <w:rPr>
                <w:szCs w:val="20"/>
              </w:rPr>
              <w:t>, 2016 ABCA 109, dated April 15, 2016, is dismissed.</w:t>
            </w:r>
          </w:p>
          <w:p w:rsidR="002B089C" w:rsidRPr="00EA63C5" w:rsidRDefault="002B089C" w:rsidP="00B22687">
            <w:pPr>
              <w:pStyle w:val="SCCShortJudgment"/>
              <w:ind w:firstLine="0"/>
              <w:rPr>
                <w:rFonts w:cs="Times New Roman"/>
                <w:szCs w:val="20"/>
              </w:rPr>
            </w:pPr>
          </w:p>
          <w:p w:rsidR="00B22687" w:rsidRPr="00EA63C5" w:rsidRDefault="00B22687" w:rsidP="00B22687">
            <w:pPr>
              <w:pStyle w:val="SCCShortJudgment"/>
              <w:ind w:firstLine="0"/>
              <w:rPr>
                <w:rFonts w:cs="Times New Roman"/>
                <w:szCs w:val="20"/>
                <w:lang w:val="fr-CA"/>
              </w:rPr>
            </w:pPr>
            <w:r w:rsidRPr="00EA63C5">
              <w:rPr>
                <w:rFonts w:cs="Times New Roman"/>
                <w:szCs w:val="20"/>
              </w:rPr>
              <w:tab/>
            </w:r>
            <w:r w:rsidR="002B089C" w:rsidRPr="00EA63C5">
              <w:rPr>
                <w:szCs w:val="20"/>
                <w:lang w:val="fr-CA"/>
              </w:rPr>
              <w:t>La demande d’autorisation d’appel de l’arrêt de la Cour d’appel de l’Alberta (Edmonton), numéro 1503-0108-AC, 2016 ABCA 109, daté du 15 avril 2016, est rejetée.</w: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CASE SUMMARY</w:t>
            </w:r>
          </w:p>
          <w:p w:rsidR="00B22687" w:rsidRPr="00EA63C5" w:rsidRDefault="00B22687" w:rsidP="00B22687">
            <w:pPr>
              <w:pStyle w:val="SCCShortJudgment"/>
              <w:ind w:firstLine="0"/>
              <w:rPr>
                <w:rFonts w:cs="Times New Roman"/>
                <w:szCs w:val="20"/>
                <w:u w:val="single"/>
                <w:lang w:val="fr-CA"/>
              </w:rPr>
            </w:pPr>
          </w:p>
        </w:tc>
      </w:tr>
      <w:tr w:rsidR="00B22687" w:rsidRPr="00EA63C5" w:rsidTr="00B22687">
        <w:trPr>
          <w:cantSplit/>
        </w:trPr>
        <w:tc>
          <w:tcPr>
            <w:tcW w:w="9576" w:type="dxa"/>
            <w:gridSpan w:val="4"/>
          </w:tcPr>
          <w:p w:rsidR="00B22687" w:rsidRPr="00EA63C5" w:rsidRDefault="00797827" w:rsidP="00B22687">
            <w:pPr>
              <w:pStyle w:val="SCCShortJudgment"/>
              <w:ind w:firstLine="0"/>
              <w:rPr>
                <w:szCs w:val="20"/>
              </w:rPr>
            </w:pPr>
            <w:r w:rsidRPr="00EA63C5">
              <w:rPr>
                <w:szCs w:val="20"/>
              </w:rPr>
              <w:t>Civil procedure — Appeals — Leave to appeal — Whether Court of Appeal correctly denied a motion for leave to appeal to a panel of three judges.</w:t>
            </w:r>
          </w:p>
          <w:p w:rsidR="00797827" w:rsidRPr="00EA63C5" w:rsidRDefault="00797827" w:rsidP="00B22687">
            <w:pPr>
              <w:pStyle w:val="SCCShortJudgment"/>
              <w:ind w:firstLine="0"/>
              <w:rPr>
                <w:rFonts w:cs="Times New Roman"/>
                <w:szCs w:val="20"/>
              </w:rPr>
            </w:pPr>
          </w:p>
        </w:tc>
      </w:tr>
      <w:tr w:rsidR="00B22687" w:rsidRPr="00EA63C5" w:rsidTr="00B22687">
        <w:trPr>
          <w:cantSplit/>
        </w:trPr>
        <w:tc>
          <w:tcPr>
            <w:tcW w:w="9576" w:type="dxa"/>
            <w:gridSpan w:val="4"/>
          </w:tcPr>
          <w:p w:rsidR="00797827" w:rsidRPr="00EA63C5" w:rsidRDefault="00797827" w:rsidP="00797827">
            <w:pPr>
              <w:jc w:val="both"/>
              <w:rPr>
                <w:sz w:val="20"/>
                <w:szCs w:val="20"/>
              </w:rPr>
            </w:pPr>
            <w:r w:rsidRPr="00EA63C5">
              <w:rPr>
                <w:sz w:val="20"/>
                <w:szCs w:val="20"/>
              </w:rPr>
              <w:t>In 2007 and 2008, Ms. </w:t>
            </w:r>
            <w:proofErr w:type="spellStart"/>
            <w:r w:rsidRPr="00EA63C5">
              <w:rPr>
                <w:sz w:val="20"/>
                <w:szCs w:val="20"/>
              </w:rPr>
              <w:t>Blicharz</w:t>
            </w:r>
            <w:proofErr w:type="spellEnd"/>
            <w:r w:rsidRPr="00EA63C5">
              <w:rPr>
                <w:sz w:val="20"/>
                <w:szCs w:val="20"/>
              </w:rPr>
              <w:t xml:space="preserve"> executed three promissory notes in favour of Settlement Lenders Inc. and Settlement Lenders of Canada Inc. (collectively, “Settlement Lenders”), who lend money to people pursuing legal actions. At the time, she was the plaintiff in five personal injury actions, and she was represented by counsel when she signed the notes.  Settlement Lenders issued a statement of claim alleging that Ms. </w:t>
            </w:r>
            <w:proofErr w:type="spellStart"/>
            <w:r w:rsidRPr="00EA63C5">
              <w:rPr>
                <w:sz w:val="20"/>
                <w:szCs w:val="20"/>
              </w:rPr>
              <w:t>Blicharz</w:t>
            </w:r>
            <w:proofErr w:type="spellEnd"/>
            <w:r w:rsidRPr="00EA63C5">
              <w:rPr>
                <w:sz w:val="20"/>
                <w:szCs w:val="20"/>
              </w:rPr>
              <w:t xml:space="preserve"> had defaulted on all three loans. It was served on Ms. </w:t>
            </w:r>
            <w:proofErr w:type="spellStart"/>
            <w:r w:rsidRPr="00EA63C5">
              <w:rPr>
                <w:sz w:val="20"/>
                <w:szCs w:val="20"/>
              </w:rPr>
              <w:t>Blicharz</w:t>
            </w:r>
            <w:proofErr w:type="spellEnd"/>
            <w:r w:rsidRPr="00EA63C5">
              <w:rPr>
                <w:sz w:val="20"/>
                <w:szCs w:val="20"/>
              </w:rPr>
              <w:t>, but she did not file a statement of defence and default judgment was granted. Ten months later, Ms. </w:t>
            </w:r>
            <w:proofErr w:type="spellStart"/>
            <w:r w:rsidRPr="00EA63C5">
              <w:rPr>
                <w:sz w:val="20"/>
                <w:szCs w:val="20"/>
              </w:rPr>
              <w:t>Blicharz</w:t>
            </w:r>
            <w:proofErr w:type="spellEnd"/>
            <w:r w:rsidRPr="00EA63C5">
              <w:rPr>
                <w:sz w:val="20"/>
                <w:szCs w:val="20"/>
              </w:rPr>
              <w:t xml:space="preserve"> applied to set aside the default judgment. After Settlement Lenders set out the basis for its interest calculations, the application was dismissed on the grounds that she did not have an arguable defence and had not moved promptly to reopen the judgment. Four months later, Ms. </w:t>
            </w:r>
            <w:proofErr w:type="spellStart"/>
            <w:r w:rsidRPr="00EA63C5">
              <w:rPr>
                <w:sz w:val="20"/>
                <w:szCs w:val="20"/>
              </w:rPr>
              <w:t>Blicharz</w:t>
            </w:r>
            <w:proofErr w:type="spellEnd"/>
            <w:r w:rsidRPr="00EA63C5">
              <w:rPr>
                <w:sz w:val="20"/>
                <w:szCs w:val="20"/>
              </w:rPr>
              <w:t xml:space="preserve"> attempted to file a notice of appeal, and was informed an extension of time would be required. Four months later, she applied for an extension of time to file her notice of appeal and her appeal record. Around the same time, the appeal was struck for failure to file the appeal record. The matter was then adjourned twice, once on the condition that any further applications be filed by January 18, 2016. When the matter came forward six months later, a request for a further adjournment was denied, as were the motions to extend time to file the notice of appeal and the appeal record. The appellate judge also determined that the appeal could not be restored. The same appellate judge denied Ms. </w:t>
            </w:r>
            <w:proofErr w:type="spellStart"/>
            <w:r w:rsidRPr="00EA63C5">
              <w:rPr>
                <w:sz w:val="20"/>
                <w:szCs w:val="20"/>
              </w:rPr>
              <w:t>Blicharz’s</w:t>
            </w:r>
            <w:proofErr w:type="spellEnd"/>
            <w:r w:rsidRPr="00EA63C5">
              <w:rPr>
                <w:sz w:val="20"/>
                <w:szCs w:val="20"/>
              </w:rPr>
              <w:t xml:space="preserve"> application for leave to appeal that decision to a panel of three judges.</w:t>
            </w:r>
          </w:p>
          <w:p w:rsidR="00B22687" w:rsidRPr="00EA63C5" w:rsidRDefault="00B22687" w:rsidP="00B22687">
            <w:pPr>
              <w:pStyle w:val="SCCShortJudgment"/>
              <w:ind w:firstLine="0"/>
              <w:rPr>
                <w:rFonts w:cs="Times New Roman"/>
                <w:szCs w:val="20"/>
              </w:rPr>
            </w:pPr>
          </w:p>
        </w:tc>
      </w:tr>
      <w:tr w:rsidR="0079782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t>December 31, 2013</w:t>
            </w:r>
          </w:p>
          <w:p w:rsidR="00797827" w:rsidRPr="00EA63C5" w:rsidRDefault="00797827" w:rsidP="00797827">
            <w:pPr>
              <w:rPr>
                <w:sz w:val="20"/>
                <w:szCs w:val="20"/>
              </w:rPr>
            </w:pPr>
            <w:r w:rsidRPr="00EA63C5">
              <w:rPr>
                <w:sz w:val="20"/>
                <w:szCs w:val="20"/>
              </w:rPr>
              <w:t>Court of Queen’s Bench of Alberta</w:t>
            </w:r>
          </w:p>
          <w:p w:rsidR="00797827" w:rsidRPr="00EA63C5" w:rsidRDefault="00797827" w:rsidP="00B22687">
            <w:pPr>
              <w:jc w:val="both"/>
              <w:rPr>
                <w:rFonts w:cs="Times New Roman"/>
                <w:sz w:val="20"/>
                <w:szCs w:val="20"/>
              </w:rPr>
            </w:pPr>
          </w:p>
        </w:tc>
        <w:tc>
          <w:tcPr>
            <w:tcW w:w="630" w:type="dxa"/>
          </w:tcPr>
          <w:p w:rsidR="00797827" w:rsidRPr="00EA63C5" w:rsidRDefault="00797827" w:rsidP="00B22687">
            <w:pPr>
              <w:pStyle w:val="SCCShortJudgment"/>
              <w:ind w:firstLine="0"/>
              <w:rPr>
                <w:rFonts w:cs="Times New Roman"/>
                <w:szCs w:val="20"/>
              </w:rPr>
            </w:pPr>
          </w:p>
        </w:tc>
        <w:tc>
          <w:tcPr>
            <w:tcW w:w="4536" w:type="dxa"/>
          </w:tcPr>
          <w:p w:rsidR="00797827" w:rsidRPr="00EA63C5" w:rsidRDefault="00797827" w:rsidP="00B22687">
            <w:pPr>
              <w:jc w:val="both"/>
              <w:rPr>
                <w:rFonts w:cs="Times New Roman"/>
                <w:sz w:val="20"/>
                <w:szCs w:val="20"/>
              </w:rPr>
            </w:pPr>
            <w:r w:rsidRPr="00EA63C5">
              <w:rPr>
                <w:sz w:val="20"/>
                <w:szCs w:val="20"/>
              </w:rPr>
              <w:t>Default judgment entered</w:t>
            </w:r>
          </w:p>
        </w:tc>
      </w:tr>
      <w:tr w:rsidR="00B2268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t>January 7, 2014</w:t>
            </w:r>
          </w:p>
          <w:p w:rsidR="00797827" w:rsidRPr="00EA63C5" w:rsidRDefault="00797827" w:rsidP="00797827">
            <w:pPr>
              <w:rPr>
                <w:sz w:val="20"/>
                <w:szCs w:val="20"/>
              </w:rPr>
            </w:pPr>
            <w:r w:rsidRPr="00EA63C5">
              <w:rPr>
                <w:sz w:val="20"/>
                <w:szCs w:val="20"/>
              </w:rPr>
              <w:t>Court of Queen’s Bench of Alberta</w:t>
            </w:r>
          </w:p>
          <w:p w:rsidR="00797827" w:rsidRPr="00EA63C5" w:rsidRDefault="00797827" w:rsidP="00797827">
            <w:pPr>
              <w:rPr>
                <w:sz w:val="20"/>
                <w:szCs w:val="20"/>
              </w:rPr>
            </w:pPr>
            <w:r w:rsidRPr="00EA63C5">
              <w:rPr>
                <w:sz w:val="20"/>
                <w:szCs w:val="20"/>
              </w:rPr>
              <w:t>(</w:t>
            </w:r>
            <w:proofErr w:type="spellStart"/>
            <w:r w:rsidRPr="00EA63C5">
              <w:rPr>
                <w:sz w:val="20"/>
                <w:szCs w:val="20"/>
              </w:rPr>
              <w:t>Michalyshyn</w:t>
            </w:r>
            <w:proofErr w:type="spellEnd"/>
            <w:r w:rsidRPr="00EA63C5">
              <w:rPr>
                <w:sz w:val="20"/>
                <w:szCs w:val="20"/>
              </w:rPr>
              <w:t xml:space="preserve"> J.)</w:t>
            </w:r>
          </w:p>
          <w:p w:rsidR="00797827" w:rsidRPr="00EA63C5" w:rsidRDefault="00797827" w:rsidP="00797827">
            <w:pPr>
              <w:rPr>
                <w:sz w:val="20"/>
                <w:szCs w:val="20"/>
              </w:rPr>
            </w:pPr>
            <w:r w:rsidRPr="00EA63C5">
              <w:rPr>
                <w:sz w:val="20"/>
                <w:szCs w:val="20"/>
              </w:rPr>
              <w:t xml:space="preserve">2015 ABQB 16 </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7827" w:rsidRPr="00EA63C5" w:rsidRDefault="00797827" w:rsidP="00797827">
            <w:pPr>
              <w:rPr>
                <w:sz w:val="20"/>
                <w:szCs w:val="20"/>
              </w:rPr>
            </w:pPr>
            <w:r w:rsidRPr="00EA63C5">
              <w:rPr>
                <w:sz w:val="20"/>
                <w:szCs w:val="20"/>
              </w:rPr>
              <w:t>Application to re-open default judgment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t>February 5, 2015</w:t>
            </w:r>
          </w:p>
          <w:p w:rsidR="00797827" w:rsidRPr="00EA63C5" w:rsidRDefault="00797827" w:rsidP="00797827">
            <w:pPr>
              <w:rPr>
                <w:sz w:val="20"/>
                <w:szCs w:val="20"/>
              </w:rPr>
            </w:pPr>
            <w:r w:rsidRPr="00EA63C5">
              <w:rPr>
                <w:sz w:val="20"/>
                <w:szCs w:val="20"/>
              </w:rPr>
              <w:t>Court of Appeal of Alberta (Edmonton)</w:t>
            </w:r>
          </w:p>
          <w:p w:rsidR="00797827" w:rsidRPr="00EA63C5" w:rsidRDefault="00797827" w:rsidP="00797827">
            <w:pPr>
              <w:rPr>
                <w:sz w:val="20"/>
                <w:szCs w:val="20"/>
              </w:rPr>
            </w:pPr>
            <w:r w:rsidRPr="00EA63C5">
              <w:rPr>
                <w:sz w:val="20"/>
                <w:szCs w:val="20"/>
              </w:rPr>
              <w:t>(</w:t>
            </w:r>
            <w:proofErr w:type="spellStart"/>
            <w:r w:rsidRPr="00EA63C5">
              <w:rPr>
                <w:sz w:val="20"/>
                <w:szCs w:val="20"/>
              </w:rPr>
              <w:t>Rowbotham</w:t>
            </w:r>
            <w:proofErr w:type="spellEnd"/>
            <w:r w:rsidRPr="00EA63C5">
              <w:rPr>
                <w:sz w:val="20"/>
                <w:szCs w:val="20"/>
              </w:rPr>
              <w:t xml:space="preserve"> J.A.)</w:t>
            </w:r>
          </w:p>
          <w:p w:rsidR="00797827" w:rsidRPr="00EA63C5" w:rsidRDefault="00797827" w:rsidP="00797827">
            <w:pPr>
              <w:rPr>
                <w:sz w:val="20"/>
                <w:szCs w:val="20"/>
              </w:rPr>
            </w:pPr>
            <w:r w:rsidRPr="00EA63C5">
              <w:rPr>
                <w:sz w:val="20"/>
                <w:szCs w:val="20"/>
              </w:rPr>
              <w:t>2016 ABCA 33</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7827" w:rsidRPr="00EA63C5" w:rsidRDefault="00797827" w:rsidP="00797827">
            <w:pPr>
              <w:jc w:val="both"/>
              <w:rPr>
                <w:sz w:val="20"/>
                <w:szCs w:val="20"/>
              </w:rPr>
            </w:pPr>
            <w:r w:rsidRPr="00EA63C5">
              <w:rPr>
                <w:sz w:val="20"/>
                <w:szCs w:val="20"/>
              </w:rPr>
              <w:t>Motion to restore appeal or extend the time to file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797827" w:rsidRPr="00EA63C5" w:rsidRDefault="00797827" w:rsidP="00797827">
            <w:pPr>
              <w:rPr>
                <w:sz w:val="20"/>
                <w:szCs w:val="20"/>
              </w:rPr>
            </w:pPr>
            <w:r w:rsidRPr="00EA63C5">
              <w:rPr>
                <w:sz w:val="20"/>
                <w:szCs w:val="20"/>
              </w:rPr>
              <w:lastRenderedPageBreak/>
              <w:t>April 15, 2016</w:t>
            </w:r>
          </w:p>
          <w:p w:rsidR="00797827" w:rsidRPr="00EA63C5" w:rsidRDefault="00797827" w:rsidP="00797827">
            <w:pPr>
              <w:rPr>
                <w:sz w:val="20"/>
                <w:szCs w:val="20"/>
              </w:rPr>
            </w:pPr>
            <w:r w:rsidRPr="00EA63C5">
              <w:rPr>
                <w:sz w:val="20"/>
                <w:szCs w:val="20"/>
              </w:rPr>
              <w:t>Court of Appeal of Alberta (Edmonton)</w:t>
            </w:r>
          </w:p>
          <w:p w:rsidR="00797827" w:rsidRPr="00EA63C5" w:rsidRDefault="00797827" w:rsidP="00797827">
            <w:pPr>
              <w:rPr>
                <w:sz w:val="20"/>
                <w:szCs w:val="20"/>
              </w:rPr>
            </w:pPr>
            <w:r w:rsidRPr="00EA63C5">
              <w:rPr>
                <w:sz w:val="20"/>
                <w:szCs w:val="20"/>
              </w:rPr>
              <w:t>(</w:t>
            </w:r>
            <w:proofErr w:type="spellStart"/>
            <w:r w:rsidRPr="00EA63C5">
              <w:rPr>
                <w:sz w:val="20"/>
                <w:szCs w:val="20"/>
              </w:rPr>
              <w:t>Rowbotham</w:t>
            </w:r>
            <w:proofErr w:type="spellEnd"/>
            <w:r w:rsidRPr="00EA63C5">
              <w:rPr>
                <w:sz w:val="20"/>
                <w:szCs w:val="20"/>
              </w:rPr>
              <w:t xml:space="preserve"> J.A.)</w:t>
            </w:r>
          </w:p>
          <w:p w:rsidR="00797827" w:rsidRPr="00EA63C5" w:rsidRDefault="00797827" w:rsidP="00797827">
            <w:pPr>
              <w:rPr>
                <w:sz w:val="20"/>
                <w:szCs w:val="20"/>
              </w:rPr>
            </w:pPr>
            <w:r w:rsidRPr="00EA63C5">
              <w:rPr>
                <w:sz w:val="20"/>
                <w:szCs w:val="20"/>
              </w:rPr>
              <w:t>2016 ABCA 109</w:t>
            </w:r>
          </w:p>
          <w:p w:rsidR="00B22687" w:rsidRPr="00EA63C5" w:rsidRDefault="00B22687" w:rsidP="00B22687">
            <w:pPr>
              <w:jc w:val="both"/>
              <w:rPr>
                <w:rFonts w:cs="Times New Roman"/>
                <w:sz w:val="20"/>
                <w:szCs w:val="20"/>
              </w:rPr>
            </w:pPr>
          </w:p>
        </w:tc>
        <w:tc>
          <w:tcPr>
            <w:tcW w:w="630" w:type="dxa"/>
          </w:tcPr>
          <w:p w:rsidR="00B22687" w:rsidRPr="00EA63C5" w:rsidRDefault="00B22687" w:rsidP="00B22687">
            <w:pPr>
              <w:pStyle w:val="SCCShortJudgment"/>
              <w:ind w:firstLine="0"/>
              <w:rPr>
                <w:rFonts w:cs="Times New Roman"/>
                <w:szCs w:val="20"/>
              </w:rPr>
            </w:pPr>
          </w:p>
        </w:tc>
        <w:tc>
          <w:tcPr>
            <w:tcW w:w="4536" w:type="dxa"/>
          </w:tcPr>
          <w:p w:rsidR="00797827" w:rsidRPr="00EA63C5" w:rsidRDefault="00797827" w:rsidP="00797827">
            <w:pPr>
              <w:jc w:val="both"/>
              <w:rPr>
                <w:sz w:val="20"/>
                <w:szCs w:val="20"/>
              </w:rPr>
            </w:pPr>
            <w:r w:rsidRPr="00EA63C5">
              <w:rPr>
                <w:sz w:val="20"/>
                <w:szCs w:val="20"/>
              </w:rPr>
              <w:t>Motion for leave to appeal the decision of February 5, 2016, to appeal to a panel of three judges dismissed</w:t>
            </w:r>
          </w:p>
          <w:p w:rsidR="00B22687" w:rsidRPr="00EA63C5" w:rsidRDefault="00B22687" w:rsidP="00B22687">
            <w:pPr>
              <w:jc w:val="both"/>
              <w:rPr>
                <w:rFonts w:cs="Times New Roman"/>
                <w:sz w:val="20"/>
                <w:szCs w:val="20"/>
              </w:rPr>
            </w:pPr>
          </w:p>
        </w:tc>
      </w:tr>
      <w:tr w:rsidR="00B22687" w:rsidRPr="00EA63C5" w:rsidTr="00B22687">
        <w:trPr>
          <w:cantSplit/>
        </w:trPr>
        <w:tc>
          <w:tcPr>
            <w:tcW w:w="4410" w:type="dxa"/>
            <w:gridSpan w:val="2"/>
          </w:tcPr>
          <w:p w:rsidR="00797827" w:rsidRPr="00EA63C5" w:rsidRDefault="007F6DC5" w:rsidP="00797827">
            <w:pPr>
              <w:rPr>
                <w:sz w:val="20"/>
                <w:szCs w:val="20"/>
              </w:rPr>
            </w:pPr>
            <w:r>
              <w:br w:type="page"/>
            </w:r>
            <w:r w:rsidR="00797827" w:rsidRPr="00EA63C5">
              <w:rPr>
                <w:sz w:val="20"/>
                <w:szCs w:val="20"/>
              </w:rPr>
              <w:t>June 14, 2016</w:t>
            </w:r>
          </w:p>
          <w:p w:rsidR="00B22687" w:rsidRPr="00EA63C5" w:rsidRDefault="00797827" w:rsidP="00797827">
            <w:pPr>
              <w:jc w:val="both"/>
              <w:rPr>
                <w:rFonts w:cs="Times New Roman"/>
                <w:sz w:val="20"/>
                <w:szCs w:val="20"/>
              </w:rPr>
            </w:pPr>
            <w:r w:rsidRPr="00EA63C5">
              <w:rPr>
                <w:sz w:val="20"/>
                <w:szCs w:val="20"/>
              </w:rPr>
              <w:t>Supreme Court of Canada</w:t>
            </w:r>
          </w:p>
        </w:tc>
        <w:tc>
          <w:tcPr>
            <w:tcW w:w="630" w:type="dxa"/>
          </w:tcPr>
          <w:p w:rsidR="00B22687" w:rsidRPr="00EA63C5" w:rsidRDefault="00B22687" w:rsidP="00B22687">
            <w:pPr>
              <w:jc w:val="both"/>
              <w:rPr>
                <w:rFonts w:cs="Times New Roman"/>
                <w:sz w:val="20"/>
                <w:szCs w:val="20"/>
              </w:rPr>
            </w:pPr>
          </w:p>
        </w:tc>
        <w:tc>
          <w:tcPr>
            <w:tcW w:w="4536" w:type="dxa"/>
          </w:tcPr>
          <w:p w:rsidR="00797827" w:rsidRPr="00EA63C5" w:rsidRDefault="00797827" w:rsidP="00797827">
            <w:pPr>
              <w:rPr>
                <w:sz w:val="20"/>
                <w:szCs w:val="20"/>
              </w:rPr>
            </w:pPr>
            <w:r w:rsidRPr="00EA63C5">
              <w:rPr>
                <w:sz w:val="20"/>
                <w:szCs w:val="20"/>
              </w:rPr>
              <w:t>Application for leave to appeal filed</w:t>
            </w:r>
          </w:p>
          <w:p w:rsidR="00B22687" w:rsidRPr="00EA63C5" w:rsidRDefault="00B22687" w:rsidP="00B22687">
            <w:pPr>
              <w:jc w:val="both"/>
              <w:rPr>
                <w:rFonts w:cs="Times New Roman"/>
                <w:sz w:val="20"/>
                <w:szCs w:val="20"/>
              </w:rPr>
            </w:pPr>
          </w:p>
        </w:tc>
      </w:tr>
      <w:tr w:rsidR="00B22687" w:rsidRPr="00EA63C5" w:rsidTr="00B22687">
        <w:trPr>
          <w:cantSplit/>
        </w:trPr>
        <w:tc>
          <w:tcPr>
            <w:tcW w:w="9576" w:type="dxa"/>
            <w:gridSpan w:val="4"/>
          </w:tcPr>
          <w:p w:rsidR="00B22687" w:rsidRPr="00EA63C5" w:rsidRDefault="007F6DC5" w:rsidP="00B22687">
            <w:pPr>
              <w:pStyle w:val="SCCShortJudgment"/>
              <w:ind w:firstLine="0"/>
              <w:rPr>
                <w:rFonts w:cs="Times New Roman"/>
                <w:szCs w:val="20"/>
                <w:lang w:val="fr-CA"/>
              </w:rPr>
            </w:pPr>
            <w:r>
              <w:rPr>
                <w:rFonts w:cs="Times New Roman"/>
                <w:szCs w:val="20"/>
                <w:lang w:val="fr-CA"/>
              </w:rPr>
              <w:pict>
                <v:rect id="_x0000_i1074" style="width:2in;height:1pt" o:hrpct="0" o:hralign="center" o:hrstd="t" o:hrnoshade="t" o:hr="t" fillcolor="black [3213]" stroked="f"/>
              </w:pict>
            </w:r>
          </w:p>
          <w:p w:rsidR="00B22687" w:rsidRPr="00EA63C5" w:rsidRDefault="00B22687" w:rsidP="00B22687">
            <w:pPr>
              <w:pStyle w:val="SCCShortJudgment"/>
              <w:ind w:firstLine="0"/>
              <w:rPr>
                <w:rFonts w:cs="Times New Roman"/>
                <w:szCs w:val="20"/>
                <w:lang w:val="fr-CA"/>
              </w:rPr>
            </w:pPr>
          </w:p>
        </w:tc>
      </w:tr>
      <w:tr w:rsidR="00B22687" w:rsidRPr="00EA63C5" w:rsidTr="00B22687">
        <w:trPr>
          <w:cantSplit/>
        </w:trPr>
        <w:tc>
          <w:tcPr>
            <w:tcW w:w="9576" w:type="dxa"/>
            <w:gridSpan w:val="4"/>
          </w:tcPr>
          <w:p w:rsidR="00B22687" w:rsidRPr="00EA63C5" w:rsidRDefault="00B22687" w:rsidP="00B22687">
            <w:pPr>
              <w:pStyle w:val="SCCShortJudgment"/>
              <w:ind w:firstLine="0"/>
              <w:rPr>
                <w:rFonts w:cs="Times New Roman"/>
                <w:szCs w:val="20"/>
                <w:u w:val="single"/>
                <w:lang w:val="fr-CA"/>
              </w:rPr>
            </w:pPr>
            <w:r w:rsidRPr="00EA63C5">
              <w:rPr>
                <w:rFonts w:cs="Times New Roman"/>
                <w:szCs w:val="20"/>
                <w:u w:val="single"/>
                <w:lang w:val="fr-CA"/>
              </w:rPr>
              <w:t>RÉSUMÉ DE L’AFFAIRE </w:t>
            </w:r>
          </w:p>
          <w:p w:rsidR="00B22687" w:rsidRPr="00EA63C5" w:rsidRDefault="00B22687" w:rsidP="00B22687">
            <w:pPr>
              <w:pStyle w:val="SCCShortJudgment"/>
              <w:ind w:firstLine="0"/>
              <w:rPr>
                <w:rFonts w:cs="Times New Roman"/>
                <w:szCs w:val="20"/>
                <w:u w:val="single"/>
                <w:lang w:val="fr-CA"/>
              </w:rPr>
            </w:pPr>
          </w:p>
        </w:tc>
      </w:tr>
      <w:tr w:rsidR="00B22687" w:rsidRPr="007F6DC5" w:rsidTr="00B22687">
        <w:trPr>
          <w:cantSplit/>
        </w:trPr>
        <w:tc>
          <w:tcPr>
            <w:tcW w:w="9576" w:type="dxa"/>
            <w:gridSpan w:val="4"/>
          </w:tcPr>
          <w:p w:rsidR="00B22687" w:rsidRPr="00EA63C5" w:rsidRDefault="008A1B8A" w:rsidP="00B22687">
            <w:pPr>
              <w:pStyle w:val="SCCShortJudgment"/>
              <w:ind w:firstLine="0"/>
              <w:rPr>
                <w:szCs w:val="20"/>
                <w:lang w:val="fr-CA"/>
              </w:rPr>
            </w:pPr>
            <w:r w:rsidRPr="00EA63C5">
              <w:rPr>
                <w:szCs w:val="20"/>
                <w:lang w:val="fr-CA"/>
              </w:rPr>
              <w:t>Procédure civile — Appels — Autorisation d’appel — La Cour d’appel a-t-elle eu raison de rejeter une requête en autorisation d’appel à une formation de trois juges?</w:t>
            </w:r>
          </w:p>
          <w:p w:rsidR="008A1B8A" w:rsidRPr="00EA63C5" w:rsidRDefault="008A1B8A" w:rsidP="00B22687">
            <w:pPr>
              <w:pStyle w:val="SCCShortJudgment"/>
              <w:ind w:firstLine="0"/>
              <w:rPr>
                <w:rFonts w:cs="Times New Roman"/>
                <w:szCs w:val="20"/>
                <w:u w:val="single"/>
                <w:lang w:val="fr-CA"/>
              </w:rPr>
            </w:pPr>
          </w:p>
        </w:tc>
      </w:tr>
      <w:tr w:rsidR="00B22687" w:rsidRPr="007F6DC5" w:rsidTr="001D68AE">
        <w:tc>
          <w:tcPr>
            <w:tcW w:w="9576" w:type="dxa"/>
            <w:gridSpan w:val="4"/>
          </w:tcPr>
          <w:p w:rsidR="008A1B8A" w:rsidRPr="00EA63C5" w:rsidRDefault="008A1B8A" w:rsidP="008A1B8A">
            <w:pPr>
              <w:jc w:val="both"/>
              <w:rPr>
                <w:sz w:val="20"/>
                <w:szCs w:val="20"/>
                <w:lang w:val="fr-CA"/>
              </w:rPr>
            </w:pPr>
            <w:r w:rsidRPr="00EA63C5">
              <w:rPr>
                <w:sz w:val="20"/>
                <w:szCs w:val="20"/>
                <w:lang w:val="fr-CA"/>
              </w:rPr>
              <w:t>En 2007 et 2008, Mme </w:t>
            </w:r>
            <w:proofErr w:type="spellStart"/>
            <w:r w:rsidRPr="00EA63C5">
              <w:rPr>
                <w:sz w:val="20"/>
                <w:szCs w:val="20"/>
                <w:lang w:val="fr-CA"/>
              </w:rPr>
              <w:t>Blicharz</w:t>
            </w:r>
            <w:proofErr w:type="spellEnd"/>
            <w:r w:rsidRPr="00EA63C5">
              <w:rPr>
                <w:sz w:val="20"/>
                <w:szCs w:val="20"/>
                <w:lang w:val="fr-CA"/>
              </w:rPr>
              <w:t xml:space="preserve"> a signé trois billets à ordre en faveur de </w:t>
            </w:r>
            <w:proofErr w:type="spellStart"/>
            <w:r w:rsidRPr="00EA63C5">
              <w:rPr>
                <w:sz w:val="20"/>
                <w:szCs w:val="20"/>
                <w:lang w:val="fr-CA"/>
              </w:rPr>
              <w:t>Settlement</w:t>
            </w:r>
            <w:proofErr w:type="spellEnd"/>
            <w:r w:rsidRPr="00EA63C5">
              <w:rPr>
                <w:sz w:val="20"/>
                <w:szCs w:val="20"/>
                <w:lang w:val="fr-CA"/>
              </w:rPr>
              <w:t xml:space="preserve"> </w:t>
            </w:r>
            <w:proofErr w:type="spellStart"/>
            <w:r w:rsidRPr="00EA63C5">
              <w:rPr>
                <w:sz w:val="20"/>
                <w:szCs w:val="20"/>
                <w:lang w:val="fr-CA"/>
              </w:rPr>
              <w:t>Lenders</w:t>
            </w:r>
            <w:proofErr w:type="spellEnd"/>
            <w:r w:rsidRPr="00EA63C5">
              <w:rPr>
                <w:sz w:val="20"/>
                <w:szCs w:val="20"/>
                <w:lang w:val="fr-CA"/>
              </w:rPr>
              <w:t xml:space="preserve"> Inc. et de </w:t>
            </w:r>
            <w:proofErr w:type="spellStart"/>
            <w:r w:rsidRPr="00EA63C5">
              <w:rPr>
                <w:sz w:val="20"/>
                <w:szCs w:val="20"/>
                <w:lang w:val="fr-CA"/>
              </w:rPr>
              <w:t>Settlement</w:t>
            </w:r>
            <w:proofErr w:type="spellEnd"/>
            <w:r w:rsidRPr="00EA63C5">
              <w:rPr>
                <w:sz w:val="20"/>
                <w:szCs w:val="20"/>
                <w:lang w:val="fr-CA"/>
              </w:rPr>
              <w:t xml:space="preserve"> </w:t>
            </w:r>
            <w:proofErr w:type="spellStart"/>
            <w:r w:rsidRPr="00EA63C5">
              <w:rPr>
                <w:sz w:val="20"/>
                <w:szCs w:val="20"/>
                <w:lang w:val="fr-CA"/>
              </w:rPr>
              <w:t>Lenders</w:t>
            </w:r>
            <w:proofErr w:type="spellEnd"/>
            <w:r w:rsidRPr="00EA63C5">
              <w:rPr>
                <w:sz w:val="20"/>
                <w:szCs w:val="20"/>
                <w:lang w:val="fr-CA"/>
              </w:rPr>
              <w:t xml:space="preserve"> of Canada Inc. (collectivement, « </w:t>
            </w:r>
            <w:proofErr w:type="spellStart"/>
            <w:r w:rsidRPr="00EA63C5">
              <w:rPr>
                <w:sz w:val="20"/>
                <w:szCs w:val="20"/>
                <w:lang w:val="fr-CA"/>
              </w:rPr>
              <w:t>Settlement</w:t>
            </w:r>
            <w:proofErr w:type="spellEnd"/>
            <w:r w:rsidRPr="00EA63C5">
              <w:rPr>
                <w:sz w:val="20"/>
                <w:szCs w:val="20"/>
                <w:lang w:val="fr-CA"/>
              </w:rPr>
              <w:t xml:space="preserve"> </w:t>
            </w:r>
            <w:proofErr w:type="spellStart"/>
            <w:r w:rsidRPr="00EA63C5">
              <w:rPr>
                <w:sz w:val="20"/>
                <w:szCs w:val="20"/>
                <w:lang w:val="fr-CA"/>
              </w:rPr>
              <w:t>Lenders</w:t>
            </w:r>
            <w:proofErr w:type="spellEnd"/>
            <w:r w:rsidRPr="00EA63C5">
              <w:rPr>
                <w:sz w:val="20"/>
                <w:szCs w:val="20"/>
                <w:lang w:val="fr-CA"/>
              </w:rPr>
              <w:t xml:space="preserve"> »), qui prêtent de l’argent aux personnes qui intentent des poursuites en justice. À l’époque, elle était demanderesse dans cinq actions pour préjudice personnel et elle était représentée par un avocat lorsqu’elle a signé les billets. </w:t>
            </w:r>
            <w:proofErr w:type="spellStart"/>
            <w:r w:rsidRPr="00EA63C5">
              <w:rPr>
                <w:sz w:val="20"/>
                <w:szCs w:val="20"/>
                <w:lang w:val="fr-CA"/>
              </w:rPr>
              <w:t>Settlement</w:t>
            </w:r>
            <w:proofErr w:type="spellEnd"/>
            <w:r w:rsidRPr="00EA63C5">
              <w:rPr>
                <w:sz w:val="20"/>
                <w:szCs w:val="20"/>
                <w:lang w:val="fr-CA"/>
              </w:rPr>
              <w:t xml:space="preserve"> </w:t>
            </w:r>
            <w:proofErr w:type="spellStart"/>
            <w:r w:rsidRPr="00EA63C5">
              <w:rPr>
                <w:sz w:val="20"/>
                <w:szCs w:val="20"/>
                <w:lang w:val="fr-CA"/>
              </w:rPr>
              <w:t>Lenders</w:t>
            </w:r>
            <w:proofErr w:type="spellEnd"/>
            <w:r w:rsidRPr="00EA63C5">
              <w:rPr>
                <w:sz w:val="20"/>
                <w:szCs w:val="20"/>
                <w:lang w:val="fr-CA"/>
              </w:rPr>
              <w:t xml:space="preserve"> a produit une déclaration alléguant que Mme </w:t>
            </w:r>
            <w:proofErr w:type="spellStart"/>
            <w:r w:rsidRPr="00EA63C5">
              <w:rPr>
                <w:sz w:val="20"/>
                <w:szCs w:val="20"/>
                <w:lang w:val="fr-CA"/>
              </w:rPr>
              <w:t>Blicharz</w:t>
            </w:r>
            <w:proofErr w:type="spellEnd"/>
            <w:r w:rsidRPr="00EA63C5">
              <w:rPr>
                <w:sz w:val="20"/>
                <w:szCs w:val="20"/>
                <w:lang w:val="fr-CA"/>
              </w:rPr>
              <w:t xml:space="preserve"> avait manqué à ses engagements à l’égard des trois prêts. La déclaration a été signifiée à Mme </w:t>
            </w:r>
            <w:proofErr w:type="spellStart"/>
            <w:r w:rsidRPr="00EA63C5">
              <w:rPr>
                <w:sz w:val="20"/>
                <w:szCs w:val="20"/>
                <w:lang w:val="fr-CA"/>
              </w:rPr>
              <w:t>Blicharz</w:t>
            </w:r>
            <w:proofErr w:type="spellEnd"/>
            <w:r w:rsidRPr="00EA63C5">
              <w:rPr>
                <w:sz w:val="20"/>
                <w:szCs w:val="20"/>
                <w:lang w:val="fr-CA"/>
              </w:rPr>
              <w:t>, mais cette dernière n’a pas produit de défense et un jugement par défaut a été prononcé. Dix mois plus tard, Mme </w:t>
            </w:r>
            <w:proofErr w:type="spellStart"/>
            <w:r w:rsidRPr="00EA63C5">
              <w:rPr>
                <w:sz w:val="20"/>
                <w:szCs w:val="20"/>
                <w:lang w:val="fr-CA"/>
              </w:rPr>
              <w:t>Blicharz</w:t>
            </w:r>
            <w:proofErr w:type="spellEnd"/>
            <w:r w:rsidRPr="00EA63C5">
              <w:rPr>
                <w:sz w:val="20"/>
                <w:szCs w:val="20"/>
                <w:lang w:val="fr-CA"/>
              </w:rPr>
              <w:t xml:space="preserve"> a demandé l’annulation du jugement par défaut. Après que </w:t>
            </w:r>
            <w:proofErr w:type="spellStart"/>
            <w:r w:rsidRPr="00EA63C5">
              <w:rPr>
                <w:sz w:val="20"/>
                <w:szCs w:val="20"/>
                <w:lang w:val="fr-CA"/>
              </w:rPr>
              <w:t>Settlement</w:t>
            </w:r>
            <w:proofErr w:type="spellEnd"/>
            <w:r w:rsidRPr="00EA63C5">
              <w:rPr>
                <w:sz w:val="20"/>
                <w:szCs w:val="20"/>
                <w:lang w:val="fr-CA"/>
              </w:rPr>
              <w:t xml:space="preserve"> </w:t>
            </w:r>
            <w:proofErr w:type="spellStart"/>
            <w:r w:rsidRPr="00EA63C5">
              <w:rPr>
                <w:sz w:val="20"/>
                <w:szCs w:val="20"/>
                <w:lang w:val="fr-CA"/>
              </w:rPr>
              <w:t>Lenders</w:t>
            </w:r>
            <w:proofErr w:type="spellEnd"/>
            <w:r w:rsidRPr="00EA63C5">
              <w:rPr>
                <w:sz w:val="20"/>
                <w:szCs w:val="20"/>
                <w:lang w:val="fr-CA"/>
              </w:rPr>
              <w:t xml:space="preserve"> a établi le fondement de ses calculs d’intérêts, la demande a été rejetée aux motifs que Mme </w:t>
            </w:r>
            <w:proofErr w:type="spellStart"/>
            <w:r w:rsidRPr="00EA63C5">
              <w:rPr>
                <w:sz w:val="20"/>
                <w:szCs w:val="20"/>
                <w:lang w:val="fr-CA"/>
              </w:rPr>
              <w:t>Blicharz</w:t>
            </w:r>
            <w:proofErr w:type="spellEnd"/>
            <w:r w:rsidRPr="00EA63C5">
              <w:rPr>
                <w:sz w:val="20"/>
                <w:szCs w:val="20"/>
                <w:lang w:val="fr-CA"/>
              </w:rPr>
              <w:t xml:space="preserve"> n’avait aucun moyen de défense valable à faire valoir et qu’elle avait tardé à présenter une requête en réouverture de jugement. Quatre mois plus tard, Mme </w:t>
            </w:r>
            <w:proofErr w:type="spellStart"/>
            <w:r w:rsidRPr="00EA63C5">
              <w:rPr>
                <w:sz w:val="20"/>
                <w:szCs w:val="20"/>
                <w:lang w:val="fr-CA"/>
              </w:rPr>
              <w:t>Blicharz</w:t>
            </w:r>
            <w:proofErr w:type="spellEnd"/>
            <w:r w:rsidRPr="00EA63C5">
              <w:rPr>
                <w:sz w:val="20"/>
                <w:szCs w:val="20"/>
                <w:lang w:val="fr-CA"/>
              </w:rPr>
              <w:t xml:space="preserve"> a tenté de déposer un avis d’appel et on l’a informée qu’une prorogation de délai serait nécessaire. Quatre mois plus tard, elle a demandé une prorogation de délai pour déposer son avis d’appel et son dossier d’appel. Vers la même époque, l’appel a été radié pour non-dépôt du dossier d’appel. L’affaire a été ajournée à deux reprises, une fois à la condition que toute demande subséquente soit déposée au plus tard le 18 janvier 2016. Lorsque l’affaire est revenue au rôle six mois plus tard, une demande d’ajournement additionnel a été rejetée, tout comme les requêtes en prorogation du délai de dépôt de l’avis d’appel et du dossier d’appel. Le juge d’appel a également conclu que l’appel ne pouvait être rétabli. Le même juge d’appel a rejeté la demande de Mme </w:t>
            </w:r>
            <w:proofErr w:type="spellStart"/>
            <w:r w:rsidRPr="00EA63C5">
              <w:rPr>
                <w:sz w:val="20"/>
                <w:szCs w:val="20"/>
                <w:lang w:val="fr-CA"/>
              </w:rPr>
              <w:t>Blicharz</w:t>
            </w:r>
            <w:proofErr w:type="spellEnd"/>
            <w:r w:rsidRPr="00EA63C5">
              <w:rPr>
                <w:sz w:val="20"/>
                <w:szCs w:val="20"/>
                <w:lang w:val="fr-CA"/>
              </w:rPr>
              <w:t xml:space="preserve"> en autorisation d’appel de cette décision à une formation de trois juges.</w:t>
            </w:r>
          </w:p>
          <w:p w:rsidR="00B22687" w:rsidRPr="00EA63C5" w:rsidRDefault="00B22687" w:rsidP="00B22687">
            <w:pPr>
              <w:jc w:val="both"/>
              <w:rPr>
                <w:rFonts w:cs="Times New Roman"/>
                <w:sz w:val="20"/>
                <w:szCs w:val="20"/>
                <w:u w:val="single"/>
                <w:lang w:val="fr-CA"/>
              </w:rPr>
            </w:pPr>
          </w:p>
        </w:tc>
      </w:tr>
      <w:tr w:rsidR="008A1B8A" w:rsidRPr="007F6DC5" w:rsidTr="00B22687">
        <w:trPr>
          <w:cantSplit/>
        </w:trPr>
        <w:tc>
          <w:tcPr>
            <w:tcW w:w="4410" w:type="dxa"/>
            <w:gridSpan w:val="2"/>
          </w:tcPr>
          <w:p w:rsidR="008A1B8A" w:rsidRPr="00EA63C5" w:rsidRDefault="008A1B8A" w:rsidP="008A1B8A">
            <w:pPr>
              <w:rPr>
                <w:sz w:val="20"/>
                <w:szCs w:val="20"/>
                <w:lang w:val="fr-CA"/>
              </w:rPr>
            </w:pPr>
            <w:r w:rsidRPr="00EA63C5">
              <w:rPr>
                <w:sz w:val="20"/>
                <w:szCs w:val="20"/>
                <w:lang w:val="fr-CA"/>
              </w:rPr>
              <w:t>31 décembre 2013</w:t>
            </w:r>
          </w:p>
          <w:p w:rsidR="008A1B8A" w:rsidRPr="00EA63C5" w:rsidRDefault="008A1B8A" w:rsidP="008A1B8A">
            <w:pPr>
              <w:rPr>
                <w:sz w:val="20"/>
                <w:szCs w:val="20"/>
                <w:lang w:val="fr-CA"/>
              </w:rPr>
            </w:pPr>
            <w:r w:rsidRPr="00EA63C5">
              <w:rPr>
                <w:sz w:val="20"/>
                <w:szCs w:val="20"/>
                <w:lang w:val="fr-CA"/>
              </w:rPr>
              <w:t>Cour du Banc de la Reine de l’Alberta</w:t>
            </w:r>
          </w:p>
          <w:p w:rsidR="008A1B8A" w:rsidRPr="00EA63C5" w:rsidRDefault="008A1B8A" w:rsidP="008A1B8A">
            <w:pPr>
              <w:pStyle w:val="SCCShortJudgment"/>
              <w:ind w:firstLine="0"/>
              <w:rPr>
                <w:rFonts w:cs="Times New Roman"/>
                <w:szCs w:val="20"/>
                <w:u w:val="single"/>
                <w:lang w:val="fr-CA"/>
              </w:rPr>
            </w:pPr>
          </w:p>
        </w:tc>
        <w:tc>
          <w:tcPr>
            <w:tcW w:w="630" w:type="dxa"/>
          </w:tcPr>
          <w:p w:rsidR="008A1B8A" w:rsidRPr="00EA63C5" w:rsidRDefault="008A1B8A" w:rsidP="008A1B8A">
            <w:pPr>
              <w:pStyle w:val="SCCShortJudgment"/>
              <w:ind w:firstLine="0"/>
              <w:rPr>
                <w:rFonts w:cs="Times New Roman"/>
                <w:szCs w:val="20"/>
                <w:u w:val="single"/>
                <w:lang w:val="fr-CA"/>
              </w:rPr>
            </w:pPr>
          </w:p>
        </w:tc>
        <w:tc>
          <w:tcPr>
            <w:tcW w:w="4536" w:type="dxa"/>
          </w:tcPr>
          <w:p w:rsidR="008A1B8A" w:rsidRPr="00EA63C5" w:rsidRDefault="008A1B8A" w:rsidP="008A1B8A">
            <w:pPr>
              <w:rPr>
                <w:sz w:val="20"/>
                <w:szCs w:val="20"/>
                <w:lang w:val="fr-CA"/>
              </w:rPr>
            </w:pPr>
            <w:r w:rsidRPr="00EA63C5">
              <w:rPr>
                <w:sz w:val="20"/>
                <w:szCs w:val="20"/>
                <w:lang w:val="fr-CA"/>
              </w:rPr>
              <w:t>Inscription du jugement par défaut</w:t>
            </w:r>
          </w:p>
        </w:tc>
      </w:tr>
      <w:tr w:rsidR="008A1B8A" w:rsidRPr="007F6DC5" w:rsidTr="00647E9D">
        <w:tc>
          <w:tcPr>
            <w:tcW w:w="4410" w:type="dxa"/>
            <w:gridSpan w:val="2"/>
          </w:tcPr>
          <w:p w:rsidR="008A1B8A" w:rsidRPr="00EA63C5" w:rsidRDefault="008A1B8A" w:rsidP="008A1B8A">
            <w:pPr>
              <w:rPr>
                <w:sz w:val="20"/>
                <w:szCs w:val="20"/>
                <w:lang w:val="fr-CA"/>
              </w:rPr>
            </w:pPr>
            <w:r w:rsidRPr="00EA63C5">
              <w:rPr>
                <w:sz w:val="20"/>
                <w:szCs w:val="20"/>
                <w:lang w:val="fr-CA"/>
              </w:rPr>
              <w:t>7 janvier 2014</w:t>
            </w:r>
          </w:p>
          <w:p w:rsidR="008A1B8A" w:rsidRPr="00EA63C5" w:rsidRDefault="008A1B8A" w:rsidP="008A1B8A">
            <w:pPr>
              <w:rPr>
                <w:sz w:val="20"/>
                <w:szCs w:val="20"/>
                <w:lang w:val="fr-CA"/>
              </w:rPr>
            </w:pPr>
            <w:r w:rsidRPr="00EA63C5">
              <w:rPr>
                <w:sz w:val="20"/>
                <w:szCs w:val="20"/>
                <w:lang w:val="fr-CA"/>
              </w:rPr>
              <w:t>Cour du Banc de la Reine de l’Alberta</w:t>
            </w:r>
          </w:p>
          <w:p w:rsidR="008A1B8A" w:rsidRPr="00EA63C5" w:rsidRDefault="008A1B8A" w:rsidP="008A1B8A">
            <w:pPr>
              <w:rPr>
                <w:sz w:val="20"/>
                <w:szCs w:val="20"/>
                <w:lang w:val="fr-CA"/>
              </w:rPr>
            </w:pPr>
            <w:r w:rsidRPr="00EA63C5">
              <w:rPr>
                <w:sz w:val="20"/>
                <w:szCs w:val="20"/>
                <w:lang w:val="fr-CA"/>
              </w:rPr>
              <w:t xml:space="preserve">(Juge </w:t>
            </w:r>
            <w:proofErr w:type="spellStart"/>
            <w:r w:rsidRPr="00EA63C5">
              <w:rPr>
                <w:sz w:val="20"/>
                <w:szCs w:val="20"/>
                <w:lang w:val="fr-CA"/>
              </w:rPr>
              <w:t>Michalyshyn</w:t>
            </w:r>
            <w:proofErr w:type="spellEnd"/>
            <w:r w:rsidRPr="00EA63C5">
              <w:rPr>
                <w:sz w:val="20"/>
                <w:szCs w:val="20"/>
                <w:lang w:val="fr-CA"/>
              </w:rPr>
              <w:t>)</w:t>
            </w:r>
          </w:p>
          <w:p w:rsidR="008A1B8A" w:rsidRPr="00EA63C5" w:rsidRDefault="008A1B8A" w:rsidP="008A1B8A">
            <w:pPr>
              <w:rPr>
                <w:sz w:val="20"/>
                <w:szCs w:val="20"/>
                <w:lang w:val="fr-CA"/>
              </w:rPr>
            </w:pPr>
            <w:r w:rsidRPr="00EA63C5">
              <w:rPr>
                <w:sz w:val="20"/>
                <w:szCs w:val="20"/>
                <w:lang w:val="fr-CA"/>
              </w:rPr>
              <w:t xml:space="preserve">2015 ABQB 16 </w:t>
            </w:r>
          </w:p>
          <w:p w:rsidR="008A1B8A" w:rsidRPr="00EA63C5" w:rsidRDefault="008A1B8A" w:rsidP="008A1B8A">
            <w:pPr>
              <w:pStyle w:val="SCCShortJudgment"/>
              <w:ind w:firstLine="0"/>
              <w:rPr>
                <w:rFonts w:cs="Times New Roman"/>
                <w:szCs w:val="20"/>
                <w:u w:val="single"/>
                <w:lang w:val="fr-CA"/>
              </w:rPr>
            </w:pPr>
          </w:p>
        </w:tc>
        <w:tc>
          <w:tcPr>
            <w:tcW w:w="630" w:type="dxa"/>
          </w:tcPr>
          <w:p w:rsidR="008A1B8A" w:rsidRPr="00EA63C5" w:rsidRDefault="008A1B8A" w:rsidP="008A1B8A">
            <w:pPr>
              <w:pStyle w:val="SCCShortJudgment"/>
              <w:ind w:firstLine="0"/>
              <w:rPr>
                <w:rFonts w:cs="Times New Roman"/>
                <w:szCs w:val="20"/>
                <w:u w:val="single"/>
                <w:lang w:val="fr-CA"/>
              </w:rPr>
            </w:pPr>
          </w:p>
        </w:tc>
        <w:tc>
          <w:tcPr>
            <w:tcW w:w="4536" w:type="dxa"/>
          </w:tcPr>
          <w:p w:rsidR="008A1B8A" w:rsidRPr="00EA63C5" w:rsidRDefault="008A1B8A" w:rsidP="008A1B8A">
            <w:pPr>
              <w:pStyle w:val="SCCShortJudgment"/>
              <w:ind w:firstLine="0"/>
              <w:rPr>
                <w:rFonts w:cs="Times New Roman"/>
                <w:szCs w:val="20"/>
                <w:u w:val="single"/>
                <w:lang w:val="fr-CA"/>
              </w:rPr>
            </w:pPr>
            <w:r w:rsidRPr="00EA63C5">
              <w:rPr>
                <w:szCs w:val="20"/>
                <w:lang w:val="fr-CA"/>
              </w:rPr>
              <w:t>Rejet de la demande en réouverture du jugement par défaut</w:t>
            </w:r>
          </w:p>
        </w:tc>
      </w:tr>
      <w:tr w:rsidR="008A1B8A" w:rsidRPr="007F6DC5" w:rsidTr="00B22687">
        <w:trPr>
          <w:cantSplit/>
        </w:trPr>
        <w:tc>
          <w:tcPr>
            <w:tcW w:w="4410" w:type="dxa"/>
            <w:gridSpan w:val="2"/>
          </w:tcPr>
          <w:p w:rsidR="008A1B8A" w:rsidRPr="00EA63C5" w:rsidRDefault="008A1B8A" w:rsidP="008A1B8A">
            <w:pPr>
              <w:rPr>
                <w:sz w:val="20"/>
                <w:szCs w:val="20"/>
                <w:lang w:val="fr-CA"/>
              </w:rPr>
            </w:pPr>
            <w:r w:rsidRPr="00EA63C5">
              <w:rPr>
                <w:sz w:val="20"/>
                <w:szCs w:val="20"/>
                <w:lang w:val="fr-CA"/>
              </w:rPr>
              <w:t>5 février 2015</w:t>
            </w:r>
          </w:p>
          <w:p w:rsidR="008A1B8A" w:rsidRPr="00EA63C5" w:rsidRDefault="008A1B8A" w:rsidP="008A1B8A">
            <w:pPr>
              <w:rPr>
                <w:sz w:val="20"/>
                <w:szCs w:val="20"/>
                <w:lang w:val="fr-CA"/>
              </w:rPr>
            </w:pPr>
            <w:r w:rsidRPr="00EA63C5">
              <w:rPr>
                <w:sz w:val="20"/>
                <w:szCs w:val="20"/>
                <w:lang w:val="fr-CA"/>
              </w:rPr>
              <w:t>Cour d’appel de l’Alberta (Edmonton)</w:t>
            </w:r>
          </w:p>
          <w:p w:rsidR="008A1B8A" w:rsidRPr="00EA63C5" w:rsidRDefault="008A1B8A" w:rsidP="008A1B8A">
            <w:pPr>
              <w:rPr>
                <w:sz w:val="20"/>
                <w:szCs w:val="20"/>
                <w:lang w:val="fr-CA"/>
              </w:rPr>
            </w:pPr>
            <w:r w:rsidRPr="00EA63C5">
              <w:rPr>
                <w:sz w:val="20"/>
                <w:szCs w:val="20"/>
                <w:lang w:val="fr-CA"/>
              </w:rPr>
              <w:t xml:space="preserve">(Juge </w:t>
            </w:r>
            <w:proofErr w:type="spellStart"/>
            <w:r w:rsidRPr="00EA63C5">
              <w:rPr>
                <w:sz w:val="20"/>
                <w:szCs w:val="20"/>
                <w:lang w:val="fr-CA"/>
              </w:rPr>
              <w:t>Rowbotham</w:t>
            </w:r>
            <w:proofErr w:type="spellEnd"/>
            <w:r w:rsidRPr="00EA63C5">
              <w:rPr>
                <w:sz w:val="20"/>
                <w:szCs w:val="20"/>
                <w:lang w:val="fr-CA"/>
              </w:rPr>
              <w:t>)</w:t>
            </w:r>
          </w:p>
          <w:p w:rsidR="008A1B8A" w:rsidRPr="00EA63C5" w:rsidRDefault="008A1B8A" w:rsidP="008A1B8A">
            <w:pPr>
              <w:rPr>
                <w:sz w:val="20"/>
                <w:szCs w:val="20"/>
                <w:lang w:val="fr-CA"/>
              </w:rPr>
            </w:pPr>
            <w:r w:rsidRPr="00EA63C5">
              <w:rPr>
                <w:sz w:val="20"/>
                <w:szCs w:val="20"/>
                <w:lang w:val="fr-CA"/>
              </w:rPr>
              <w:t>2016 ABCA 33</w:t>
            </w:r>
          </w:p>
          <w:p w:rsidR="008A1B8A" w:rsidRPr="00EA63C5" w:rsidRDefault="008A1B8A" w:rsidP="008A1B8A">
            <w:pPr>
              <w:pStyle w:val="SCCShortJudgment"/>
              <w:ind w:firstLine="0"/>
              <w:rPr>
                <w:rFonts w:cs="Times New Roman"/>
                <w:szCs w:val="20"/>
                <w:u w:val="single"/>
                <w:lang w:val="fr-CA"/>
              </w:rPr>
            </w:pPr>
          </w:p>
        </w:tc>
        <w:tc>
          <w:tcPr>
            <w:tcW w:w="630" w:type="dxa"/>
          </w:tcPr>
          <w:p w:rsidR="008A1B8A" w:rsidRPr="00EA63C5" w:rsidRDefault="008A1B8A" w:rsidP="008A1B8A">
            <w:pPr>
              <w:pStyle w:val="SCCShortJudgment"/>
              <w:ind w:firstLine="0"/>
              <w:rPr>
                <w:rFonts w:cs="Times New Roman"/>
                <w:szCs w:val="20"/>
                <w:u w:val="single"/>
                <w:lang w:val="fr-CA"/>
              </w:rPr>
            </w:pPr>
          </w:p>
        </w:tc>
        <w:tc>
          <w:tcPr>
            <w:tcW w:w="4536" w:type="dxa"/>
          </w:tcPr>
          <w:p w:rsidR="008A1B8A" w:rsidRPr="00EA63C5" w:rsidRDefault="008A1B8A" w:rsidP="008A1B8A">
            <w:pPr>
              <w:jc w:val="both"/>
              <w:rPr>
                <w:sz w:val="20"/>
                <w:szCs w:val="20"/>
                <w:lang w:val="fr-CA"/>
              </w:rPr>
            </w:pPr>
            <w:r w:rsidRPr="00EA63C5">
              <w:rPr>
                <w:sz w:val="20"/>
                <w:szCs w:val="20"/>
                <w:lang w:val="fr-CA"/>
              </w:rPr>
              <w:t>Rejet de la requête en rétablissement de l’appel ou en prorogation du délai pour déposer</w:t>
            </w:r>
          </w:p>
          <w:p w:rsidR="008A1B8A" w:rsidRPr="00EA63C5" w:rsidRDefault="008A1B8A" w:rsidP="008A1B8A">
            <w:pPr>
              <w:pStyle w:val="SCCShortJudgment"/>
              <w:ind w:firstLine="0"/>
              <w:rPr>
                <w:rFonts w:cs="Times New Roman"/>
                <w:szCs w:val="20"/>
                <w:u w:val="single"/>
                <w:lang w:val="fr-CA"/>
              </w:rPr>
            </w:pPr>
          </w:p>
        </w:tc>
      </w:tr>
      <w:tr w:rsidR="008A1B8A" w:rsidRPr="007F6DC5" w:rsidTr="00B22687">
        <w:trPr>
          <w:cantSplit/>
        </w:trPr>
        <w:tc>
          <w:tcPr>
            <w:tcW w:w="4410" w:type="dxa"/>
            <w:gridSpan w:val="2"/>
          </w:tcPr>
          <w:p w:rsidR="008A1B8A" w:rsidRPr="00EA63C5" w:rsidRDefault="008A1B8A" w:rsidP="008A1B8A">
            <w:pPr>
              <w:rPr>
                <w:sz w:val="20"/>
                <w:szCs w:val="20"/>
                <w:lang w:val="fr-CA"/>
              </w:rPr>
            </w:pPr>
            <w:r w:rsidRPr="00EA63C5">
              <w:rPr>
                <w:sz w:val="20"/>
                <w:szCs w:val="20"/>
                <w:lang w:val="fr-CA"/>
              </w:rPr>
              <w:t>15 avril 2016</w:t>
            </w:r>
          </w:p>
          <w:p w:rsidR="008A1B8A" w:rsidRPr="00EA63C5" w:rsidRDefault="008A1B8A" w:rsidP="008A1B8A">
            <w:pPr>
              <w:rPr>
                <w:sz w:val="20"/>
                <w:szCs w:val="20"/>
                <w:lang w:val="fr-CA"/>
              </w:rPr>
            </w:pPr>
            <w:r w:rsidRPr="00EA63C5">
              <w:rPr>
                <w:sz w:val="20"/>
                <w:szCs w:val="20"/>
                <w:lang w:val="fr-CA"/>
              </w:rPr>
              <w:t>Cour d’appel de l’Alberta (Edmonton)</w:t>
            </w:r>
          </w:p>
          <w:p w:rsidR="008A1B8A" w:rsidRPr="00EA63C5" w:rsidRDefault="008A1B8A" w:rsidP="008A1B8A">
            <w:pPr>
              <w:rPr>
                <w:sz w:val="20"/>
                <w:szCs w:val="20"/>
                <w:lang w:val="fr-CA"/>
              </w:rPr>
            </w:pPr>
            <w:r w:rsidRPr="00EA63C5">
              <w:rPr>
                <w:sz w:val="20"/>
                <w:szCs w:val="20"/>
                <w:lang w:val="fr-CA"/>
              </w:rPr>
              <w:t xml:space="preserve">(Juge </w:t>
            </w:r>
            <w:proofErr w:type="spellStart"/>
            <w:r w:rsidRPr="00EA63C5">
              <w:rPr>
                <w:sz w:val="20"/>
                <w:szCs w:val="20"/>
                <w:lang w:val="fr-CA"/>
              </w:rPr>
              <w:t>Rowbotham</w:t>
            </w:r>
            <w:proofErr w:type="spellEnd"/>
            <w:r w:rsidRPr="00EA63C5">
              <w:rPr>
                <w:sz w:val="20"/>
                <w:szCs w:val="20"/>
                <w:lang w:val="fr-CA"/>
              </w:rPr>
              <w:t>)</w:t>
            </w:r>
          </w:p>
          <w:p w:rsidR="008A1B8A" w:rsidRPr="00EA63C5" w:rsidRDefault="008A1B8A" w:rsidP="008A1B8A">
            <w:pPr>
              <w:rPr>
                <w:sz w:val="20"/>
                <w:szCs w:val="20"/>
                <w:lang w:val="fr-CA"/>
              </w:rPr>
            </w:pPr>
            <w:r w:rsidRPr="00EA63C5">
              <w:rPr>
                <w:sz w:val="20"/>
                <w:szCs w:val="20"/>
                <w:lang w:val="fr-CA"/>
              </w:rPr>
              <w:t>2016 ABCA 109</w:t>
            </w:r>
          </w:p>
          <w:p w:rsidR="008A1B8A" w:rsidRPr="00EA63C5" w:rsidRDefault="008A1B8A" w:rsidP="008A1B8A">
            <w:pPr>
              <w:pStyle w:val="SCCShortJudgment"/>
              <w:ind w:firstLine="0"/>
              <w:rPr>
                <w:rFonts w:cs="Times New Roman"/>
                <w:szCs w:val="20"/>
                <w:u w:val="single"/>
                <w:lang w:val="fr-CA"/>
              </w:rPr>
            </w:pPr>
          </w:p>
        </w:tc>
        <w:tc>
          <w:tcPr>
            <w:tcW w:w="630" w:type="dxa"/>
          </w:tcPr>
          <w:p w:rsidR="008A1B8A" w:rsidRPr="00EA63C5" w:rsidRDefault="008A1B8A" w:rsidP="008A1B8A">
            <w:pPr>
              <w:pStyle w:val="SCCShortJudgment"/>
              <w:ind w:firstLine="0"/>
              <w:rPr>
                <w:rFonts w:cs="Times New Roman"/>
                <w:szCs w:val="20"/>
                <w:u w:val="single"/>
                <w:lang w:val="fr-CA"/>
              </w:rPr>
            </w:pPr>
          </w:p>
        </w:tc>
        <w:tc>
          <w:tcPr>
            <w:tcW w:w="4536" w:type="dxa"/>
          </w:tcPr>
          <w:p w:rsidR="008A1B8A" w:rsidRPr="00EA63C5" w:rsidRDefault="008A1B8A" w:rsidP="008A1B8A">
            <w:pPr>
              <w:jc w:val="both"/>
              <w:rPr>
                <w:sz w:val="20"/>
                <w:szCs w:val="20"/>
                <w:lang w:val="fr-CA"/>
              </w:rPr>
            </w:pPr>
            <w:r w:rsidRPr="00EA63C5">
              <w:rPr>
                <w:sz w:val="20"/>
                <w:szCs w:val="20"/>
                <w:lang w:val="fr-CA"/>
              </w:rPr>
              <w:t>Rejet de la requête en autorisation d’appel de la décision du 5 février 2016 à une formation de trois juges</w:t>
            </w:r>
          </w:p>
          <w:p w:rsidR="008A1B8A" w:rsidRPr="00EA63C5" w:rsidRDefault="008A1B8A" w:rsidP="008A1B8A">
            <w:pPr>
              <w:pStyle w:val="SCCShortJudgment"/>
              <w:ind w:firstLine="0"/>
              <w:rPr>
                <w:rFonts w:cs="Times New Roman"/>
                <w:szCs w:val="20"/>
                <w:u w:val="single"/>
                <w:lang w:val="fr-CA"/>
              </w:rPr>
            </w:pPr>
          </w:p>
        </w:tc>
      </w:tr>
    </w:tbl>
    <w:p w:rsidR="007F6DC5" w:rsidRDefault="007F6DC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8A1B8A" w:rsidRPr="007F6DC5" w:rsidTr="00B22687">
        <w:trPr>
          <w:cantSplit/>
        </w:trPr>
        <w:tc>
          <w:tcPr>
            <w:tcW w:w="4410" w:type="dxa"/>
          </w:tcPr>
          <w:p w:rsidR="008A1B8A" w:rsidRPr="00EA63C5" w:rsidRDefault="008A1B8A" w:rsidP="008A1B8A">
            <w:pPr>
              <w:rPr>
                <w:sz w:val="20"/>
                <w:szCs w:val="20"/>
                <w:lang w:val="fr-CA"/>
              </w:rPr>
            </w:pPr>
            <w:r w:rsidRPr="00EA63C5">
              <w:rPr>
                <w:sz w:val="20"/>
                <w:szCs w:val="20"/>
                <w:lang w:val="fr-CA"/>
              </w:rPr>
              <w:lastRenderedPageBreak/>
              <w:t>14 juin 2016</w:t>
            </w:r>
          </w:p>
          <w:p w:rsidR="008A1B8A" w:rsidRPr="00EA63C5" w:rsidRDefault="008A1B8A" w:rsidP="008A1B8A">
            <w:pPr>
              <w:pStyle w:val="SCCShortJudgment"/>
              <w:ind w:firstLine="0"/>
              <w:rPr>
                <w:rFonts w:cs="Times New Roman"/>
                <w:szCs w:val="20"/>
                <w:u w:val="single"/>
                <w:lang w:val="fr-CA"/>
              </w:rPr>
            </w:pPr>
            <w:r w:rsidRPr="00EA63C5">
              <w:rPr>
                <w:szCs w:val="20"/>
                <w:lang w:val="fr-CA"/>
              </w:rPr>
              <w:t>Cour suprême du Canada</w:t>
            </w:r>
          </w:p>
        </w:tc>
        <w:tc>
          <w:tcPr>
            <w:tcW w:w="630" w:type="dxa"/>
          </w:tcPr>
          <w:p w:rsidR="008A1B8A" w:rsidRPr="00EA63C5" w:rsidRDefault="008A1B8A" w:rsidP="008A1B8A">
            <w:pPr>
              <w:pStyle w:val="SCCShortJudgment"/>
              <w:ind w:firstLine="0"/>
              <w:rPr>
                <w:rFonts w:cs="Times New Roman"/>
                <w:szCs w:val="20"/>
                <w:u w:val="single"/>
                <w:lang w:val="fr-CA"/>
              </w:rPr>
            </w:pPr>
          </w:p>
        </w:tc>
        <w:tc>
          <w:tcPr>
            <w:tcW w:w="4536" w:type="dxa"/>
          </w:tcPr>
          <w:p w:rsidR="008A1B8A" w:rsidRPr="00EA63C5" w:rsidRDefault="008A1B8A" w:rsidP="008A1B8A">
            <w:pPr>
              <w:pStyle w:val="SCCShortJudgment"/>
              <w:ind w:firstLine="0"/>
              <w:rPr>
                <w:rFonts w:cs="Times New Roman"/>
                <w:szCs w:val="20"/>
                <w:u w:val="single"/>
                <w:lang w:val="fr-CA"/>
              </w:rPr>
            </w:pPr>
            <w:r w:rsidRPr="00EA63C5">
              <w:rPr>
                <w:szCs w:val="20"/>
                <w:lang w:val="fr-CA"/>
              </w:rPr>
              <w:t>Dépôt de la demande d’autorisation d’appel</w:t>
            </w:r>
          </w:p>
        </w:tc>
      </w:tr>
    </w:tbl>
    <w:p w:rsidR="000E2959" w:rsidRPr="00EA63C5" w:rsidRDefault="007F6DC5" w:rsidP="000E2959">
      <w:pPr>
        <w:rPr>
          <w:sz w:val="20"/>
          <w:szCs w:val="20"/>
        </w:rPr>
      </w:pPr>
      <w:r>
        <w:rPr>
          <w:sz w:val="20"/>
          <w:szCs w:val="20"/>
          <w:lang w:val="fr-CA"/>
        </w:rPr>
        <w:pict>
          <v:rect id="_x0000_i1075" style="width:2in;height:1pt" o:hrpct="0" o:hralign="center" o:hrstd="t" o:hrnoshade="t" o:hr="t" fillcolor="black [3213]" stroked="f"/>
        </w:pict>
      </w:r>
    </w:p>
    <w:p w:rsidR="000E2959" w:rsidRPr="00EA63C5" w:rsidRDefault="000E2959" w:rsidP="000E2959">
      <w:pPr>
        <w:rPr>
          <w:sz w:val="20"/>
          <w:szCs w:val="20"/>
        </w:rPr>
      </w:pPr>
    </w:p>
    <w:p w:rsidR="008D292F" w:rsidRPr="00EA63C5" w:rsidRDefault="008D292F" w:rsidP="008D292F">
      <w:pPr>
        <w:rPr>
          <w:sz w:val="20"/>
          <w:szCs w:val="20"/>
          <w:lang w:val="fr-CA"/>
        </w:rPr>
      </w:pPr>
    </w:p>
    <w:p w:rsidR="00890FEB" w:rsidRPr="00EA63C5" w:rsidRDefault="00890FEB" w:rsidP="008D292F">
      <w:pPr>
        <w:rPr>
          <w:sz w:val="20"/>
          <w:szCs w:val="20"/>
          <w:lang w:val="fr-CA"/>
        </w:rPr>
      </w:pPr>
    </w:p>
    <w:p w:rsidR="00890FEB" w:rsidRPr="00EA63C5" w:rsidRDefault="00890FEB" w:rsidP="008D292F">
      <w:pPr>
        <w:rPr>
          <w:b/>
          <w:sz w:val="20"/>
          <w:szCs w:val="20"/>
          <w:lang w:val="fr-CA"/>
        </w:rPr>
        <w:sectPr w:rsidR="00890FEB" w:rsidRPr="00EA63C5"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EA63C5" w:rsidTr="00BA6468">
        <w:tc>
          <w:tcPr>
            <w:tcW w:w="4230" w:type="dxa"/>
            <w:shd w:val="clear" w:color="auto" w:fill="auto"/>
            <w:tcMar>
              <w:left w:w="0" w:type="dxa"/>
              <w:right w:w="0" w:type="dxa"/>
            </w:tcMar>
          </w:tcPr>
          <w:p w:rsidR="00890FEB" w:rsidRPr="00EA63C5" w:rsidRDefault="00890FEB" w:rsidP="00EB2B90">
            <w:pPr>
              <w:keepNext/>
              <w:keepLines/>
              <w:tabs>
                <w:tab w:val="left" w:pos="-1440"/>
                <w:tab w:val="left" w:pos="-720"/>
              </w:tabs>
              <w:jc w:val="both"/>
              <w:rPr>
                <w:szCs w:val="24"/>
              </w:rPr>
            </w:pPr>
            <w:r w:rsidRPr="00EA63C5">
              <w:rPr>
                <w:b/>
                <w:szCs w:val="24"/>
              </w:rPr>
              <w:lastRenderedPageBreak/>
              <w:t>MOTIONS</w:t>
            </w:r>
          </w:p>
        </w:tc>
        <w:tc>
          <w:tcPr>
            <w:tcW w:w="1170" w:type="dxa"/>
            <w:shd w:val="clear" w:color="auto" w:fill="auto"/>
            <w:tcMar>
              <w:left w:w="0" w:type="dxa"/>
              <w:right w:w="0" w:type="dxa"/>
            </w:tcMar>
          </w:tcPr>
          <w:p w:rsidR="00890FEB" w:rsidRPr="00EA63C5" w:rsidRDefault="00890FEB" w:rsidP="00890FEB">
            <w:pPr>
              <w:keepNext/>
              <w:keepLines/>
              <w:tabs>
                <w:tab w:val="left" w:pos="-1440"/>
                <w:tab w:val="left" w:pos="-720"/>
              </w:tabs>
              <w:jc w:val="center"/>
              <w:rPr>
                <w:szCs w:val="24"/>
              </w:rPr>
            </w:pPr>
          </w:p>
          <w:p w:rsidR="00890FEB" w:rsidRPr="00EA63C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EA63C5" w:rsidRDefault="00890FEB" w:rsidP="00831CA9">
            <w:pPr>
              <w:keepNext/>
              <w:keepLines/>
              <w:tabs>
                <w:tab w:val="left" w:pos="-1440"/>
                <w:tab w:val="left" w:pos="-720"/>
              </w:tabs>
              <w:rPr>
                <w:szCs w:val="24"/>
                <w:lang w:val="fr-CA"/>
              </w:rPr>
            </w:pPr>
            <w:r w:rsidRPr="00EA63C5">
              <w:rPr>
                <w:b/>
                <w:szCs w:val="24"/>
                <w:lang w:val="fr-CA"/>
              </w:rPr>
              <w:t>REQUÊTES</w:t>
            </w:r>
          </w:p>
        </w:tc>
      </w:tr>
    </w:tbl>
    <w:p w:rsidR="00890FEB" w:rsidRPr="00EA63C5" w:rsidRDefault="00890FEB" w:rsidP="00890FEB">
      <w:pPr>
        <w:rPr>
          <w:sz w:val="20"/>
          <w:szCs w:val="20"/>
        </w:rPr>
      </w:pPr>
    </w:p>
    <w:p w:rsidR="00DA405E" w:rsidRPr="00EA63C5" w:rsidRDefault="00DA405E" w:rsidP="00DA405E">
      <w:pPr>
        <w:tabs>
          <w:tab w:val="left" w:pos="-1440"/>
          <w:tab w:val="left" w:pos="-720"/>
        </w:tabs>
        <w:jc w:val="both"/>
        <w:rPr>
          <w:sz w:val="20"/>
          <w:szCs w:val="20"/>
          <w:lang w:val="fr-CA"/>
        </w:rPr>
      </w:pPr>
    </w:p>
    <w:p w:rsidR="00DA405E" w:rsidRPr="00EA63C5" w:rsidRDefault="00D64B34" w:rsidP="00DA405E">
      <w:pPr>
        <w:tabs>
          <w:tab w:val="left" w:pos="-1440"/>
          <w:tab w:val="left" w:pos="-720"/>
        </w:tabs>
        <w:jc w:val="both"/>
        <w:rPr>
          <w:sz w:val="20"/>
          <w:szCs w:val="20"/>
          <w:lang w:val="fr-CA"/>
        </w:rPr>
      </w:pPr>
      <w:r>
        <w:rPr>
          <w:sz w:val="20"/>
          <w:szCs w:val="20"/>
          <w:lang w:val="fr-CA"/>
        </w:rPr>
        <w:t>07.10</w:t>
      </w:r>
      <w:r w:rsidR="00DA405E" w:rsidRPr="00EA63C5">
        <w:rPr>
          <w:sz w:val="20"/>
          <w:szCs w:val="20"/>
          <w:lang w:val="fr-CA"/>
        </w:rPr>
        <w:t>.2016</w:t>
      </w:r>
    </w:p>
    <w:p w:rsidR="00DA405E" w:rsidRPr="00EA63C5" w:rsidRDefault="00DA405E" w:rsidP="00DA405E">
      <w:pPr>
        <w:tabs>
          <w:tab w:val="left" w:pos="-1440"/>
          <w:tab w:val="left" w:pos="-720"/>
        </w:tabs>
        <w:jc w:val="both"/>
        <w:rPr>
          <w:sz w:val="20"/>
          <w:szCs w:val="20"/>
          <w:lang w:val="fr-CA"/>
        </w:rPr>
      </w:pPr>
    </w:p>
    <w:p w:rsidR="00DA405E" w:rsidRPr="00EA63C5" w:rsidRDefault="00DA405E" w:rsidP="00DA405E">
      <w:pPr>
        <w:tabs>
          <w:tab w:val="left" w:pos="-1440"/>
          <w:tab w:val="left" w:pos="-720"/>
        </w:tabs>
        <w:jc w:val="both"/>
        <w:rPr>
          <w:sz w:val="20"/>
          <w:szCs w:val="20"/>
          <w:lang w:val="fr-CA"/>
        </w:rPr>
      </w:pPr>
      <w:proofErr w:type="spellStart"/>
      <w:r w:rsidRPr="00EA63C5">
        <w:rPr>
          <w:sz w:val="20"/>
          <w:szCs w:val="20"/>
          <w:lang w:val="fr-CA"/>
        </w:rPr>
        <w:t>Before</w:t>
      </w:r>
      <w:proofErr w:type="spellEnd"/>
      <w:r w:rsidRPr="00EA63C5">
        <w:rPr>
          <w:sz w:val="20"/>
          <w:szCs w:val="20"/>
          <w:lang w:val="fr-CA"/>
        </w:rPr>
        <w:t xml:space="preserve"> / Devant :   MOLDAVER J. / LE JUGE MOLDAVER</w:t>
      </w:r>
    </w:p>
    <w:p w:rsidR="00DA405E" w:rsidRPr="00EA63C5" w:rsidRDefault="00DA405E" w:rsidP="00DA405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DA405E" w:rsidRPr="007F6DC5" w:rsidTr="004B3AE0">
        <w:tc>
          <w:tcPr>
            <w:tcW w:w="4338" w:type="dxa"/>
          </w:tcPr>
          <w:p w:rsidR="00DA405E" w:rsidRPr="00EA63C5" w:rsidRDefault="00DA405E" w:rsidP="00F0666D">
            <w:pPr>
              <w:tabs>
                <w:tab w:val="left" w:pos="-1440"/>
                <w:tab w:val="left" w:pos="-720"/>
              </w:tabs>
              <w:jc w:val="both"/>
              <w:rPr>
                <w:b/>
                <w:sz w:val="20"/>
                <w:szCs w:val="20"/>
              </w:rPr>
            </w:pPr>
            <w:r w:rsidRPr="00EA63C5">
              <w:rPr>
                <w:sz w:val="20"/>
                <w:szCs w:val="20"/>
              </w:rPr>
              <w:fldChar w:fldCharType="begin"/>
            </w:r>
            <w:r w:rsidRPr="00EA63C5">
              <w:rPr>
                <w:sz w:val="20"/>
                <w:szCs w:val="20"/>
              </w:rPr>
              <w:instrText xml:space="preserve"> SEQ CHAPTER \h \r 1</w:instrText>
            </w:r>
            <w:r w:rsidRPr="00EA63C5">
              <w:rPr>
                <w:sz w:val="20"/>
                <w:szCs w:val="20"/>
              </w:rPr>
              <w:fldChar w:fldCharType="end"/>
            </w:r>
            <w:r w:rsidRPr="00EA63C5">
              <w:rPr>
                <w:sz w:val="20"/>
                <w:szCs w:val="20"/>
              </w:rPr>
              <w:fldChar w:fldCharType="begin"/>
            </w:r>
            <w:r w:rsidRPr="00EA63C5">
              <w:rPr>
                <w:sz w:val="20"/>
                <w:szCs w:val="20"/>
              </w:rPr>
              <w:instrText xml:space="preserve"> SEQ CHAPTER \h \r 1</w:instrText>
            </w:r>
            <w:r w:rsidRPr="00EA63C5">
              <w:rPr>
                <w:sz w:val="20"/>
                <w:szCs w:val="20"/>
              </w:rPr>
              <w:fldChar w:fldCharType="end"/>
            </w:r>
            <w:r w:rsidRPr="00EA63C5">
              <w:rPr>
                <w:b/>
                <w:bCs/>
                <w:sz w:val="20"/>
                <w:szCs w:val="20"/>
              </w:rPr>
              <w:t xml:space="preserve">Motion to extend the time </w:t>
            </w:r>
          </w:p>
        </w:tc>
        <w:tc>
          <w:tcPr>
            <w:tcW w:w="1170" w:type="dxa"/>
          </w:tcPr>
          <w:p w:rsidR="00DA405E" w:rsidRPr="00EA63C5" w:rsidRDefault="00DA405E" w:rsidP="004B3AE0">
            <w:pPr>
              <w:tabs>
                <w:tab w:val="left" w:pos="-1440"/>
                <w:tab w:val="left" w:pos="-720"/>
              </w:tabs>
              <w:jc w:val="both"/>
              <w:rPr>
                <w:sz w:val="20"/>
                <w:szCs w:val="20"/>
              </w:rPr>
            </w:pPr>
          </w:p>
          <w:p w:rsidR="00DA405E" w:rsidRPr="00EA63C5" w:rsidRDefault="00DA405E" w:rsidP="004B3AE0">
            <w:pPr>
              <w:tabs>
                <w:tab w:val="left" w:pos="-1440"/>
                <w:tab w:val="left" w:pos="-720"/>
              </w:tabs>
              <w:jc w:val="both"/>
              <w:rPr>
                <w:sz w:val="20"/>
                <w:szCs w:val="20"/>
              </w:rPr>
            </w:pPr>
          </w:p>
        </w:tc>
        <w:tc>
          <w:tcPr>
            <w:tcW w:w="4327" w:type="dxa"/>
          </w:tcPr>
          <w:p w:rsidR="00DA405E" w:rsidRPr="00EA63C5" w:rsidRDefault="00DA405E" w:rsidP="00F0666D">
            <w:pPr>
              <w:tabs>
                <w:tab w:val="left" w:pos="-1440"/>
                <w:tab w:val="left" w:pos="-720"/>
              </w:tabs>
              <w:jc w:val="both"/>
              <w:rPr>
                <w:sz w:val="20"/>
                <w:szCs w:val="20"/>
                <w:lang w:val="fr-CA"/>
              </w:rPr>
            </w:pPr>
            <w:r w:rsidRPr="00EA63C5">
              <w:rPr>
                <w:sz w:val="20"/>
                <w:szCs w:val="20"/>
              </w:rPr>
              <w:fldChar w:fldCharType="begin"/>
            </w:r>
            <w:r w:rsidRPr="00EA63C5">
              <w:rPr>
                <w:sz w:val="20"/>
                <w:szCs w:val="20"/>
                <w:lang w:val="fr-CA"/>
              </w:rPr>
              <w:instrText xml:space="preserve"> SEQ CHAPTER \h \r 1</w:instrText>
            </w:r>
            <w:r w:rsidRPr="00EA63C5">
              <w:rPr>
                <w:sz w:val="20"/>
                <w:szCs w:val="20"/>
              </w:rPr>
              <w:fldChar w:fldCharType="end"/>
            </w:r>
            <w:r w:rsidRPr="00EA63C5">
              <w:rPr>
                <w:sz w:val="20"/>
                <w:szCs w:val="20"/>
              </w:rPr>
              <w:fldChar w:fldCharType="begin"/>
            </w:r>
            <w:r w:rsidRPr="00EA63C5">
              <w:rPr>
                <w:sz w:val="20"/>
                <w:szCs w:val="20"/>
                <w:lang w:val="fr-CA"/>
              </w:rPr>
              <w:instrText xml:space="preserve"> SEQ CHAPTER \h \r 1</w:instrText>
            </w:r>
            <w:r w:rsidRPr="00EA63C5">
              <w:rPr>
                <w:sz w:val="20"/>
                <w:szCs w:val="20"/>
              </w:rPr>
              <w:fldChar w:fldCharType="end"/>
            </w:r>
            <w:r w:rsidRPr="00EA63C5">
              <w:rPr>
                <w:b/>
                <w:bCs/>
                <w:sz w:val="20"/>
                <w:szCs w:val="20"/>
                <w:lang w:val="fr-CA"/>
              </w:rPr>
              <w:t xml:space="preserve">Requête en prorogation du délai </w:t>
            </w:r>
            <w:r w:rsidRPr="00EA63C5">
              <w:rPr>
                <w:sz w:val="20"/>
                <w:szCs w:val="20"/>
              </w:rPr>
              <w:fldChar w:fldCharType="begin"/>
            </w:r>
            <w:r w:rsidRPr="00EA63C5">
              <w:rPr>
                <w:sz w:val="20"/>
                <w:szCs w:val="20"/>
                <w:lang w:val="fr-CA"/>
              </w:rPr>
              <w:instrText xml:space="preserve"> SEQ CHAPTER \h \r 1</w:instrText>
            </w:r>
            <w:r w:rsidRPr="00EA63C5">
              <w:rPr>
                <w:sz w:val="20"/>
                <w:szCs w:val="20"/>
              </w:rPr>
              <w:fldChar w:fldCharType="end"/>
            </w:r>
          </w:p>
        </w:tc>
      </w:tr>
      <w:tr w:rsidR="00DA405E" w:rsidRPr="00EA63C5" w:rsidTr="004B3AE0">
        <w:tc>
          <w:tcPr>
            <w:tcW w:w="4338" w:type="dxa"/>
          </w:tcPr>
          <w:p w:rsidR="00DA405E" w:rsidRPr="009849E0" w:rsidRDefault="00DA405E" w:rsidP="004B3AE0">
            <w:pPr>
              <w:tabs>
                <w:tab w:val="left" w:pos="-1440"/>
                <w:tab w:val="left" w:pos="-720"/>
              </w:tabs>
              <w:jc w:val="both"/>
              <w:rPr>
                <w:sz w:val="20"/>
                <w:szCs w:val="20"/>
                <w:lang w:val="en-US"/>
              </w:rPr>
            </w:pPr>
            <w:r w:rsidRPr="009849E0">
              <w:rPr>
                <w:sz w:val="20"/>
                <w:szCs w:val="20"/>
                <w:lang w:val="en-US"/>
              </w:rPr>
              <w:t>Frederick Allen Clark</w:t>
            </w:r>
          </w:p>
          <w:p w:rsidR="00DA405E" w:rsidRPr="009849E0" w:rsidRDefault="00DA405E" w:rsidP="004B3AE0">
            <w:pPr>
              <w:tabs>
                <w:tab w:val="left" w:pos="-1440"/>
                <w:tab w:val="left" w:pos="-720"/>
              </w:tabs>
              <w:jc w:val="both"/>
              <w:rPr>
                <w:sz w:val="20"/>
                <w:szCs w:val="20"/>
                <w:lang w:val="en-US"/>
              </w:rPr>
            </w:pPr>
          </w:p>
          <w:p w:rsidR="00DA405E" w:rsidRPr="009849E0" w:rsidRDefault="00DA405E" w:rsidP="004B3AE0">
            <w:pPr>
              <w:tabs>
                <w:tab w:val="left" w:pos="-1440"/>
                <w:tab w:val="left" w:pos="-720"/>
              </w:tabs>
              <w:jc w:val="both"/>
              <w:rPr>
                <w:sz w:val="20"/>
                <w:szCs w:val="20"/>
                <w:lang w:val="en-US"/>
              </w:rPr>
            </w:pPr>
            <w:r w:rsidRPr="009849E0">
              <w:rPr>
                <w:sz w:val="20"/>
                <w:szCs w:val="20"/>
                <w:lang w:val="en-US"/>
              </w:rPr>
              <w:tab/>
              <w:t>v. (36813)</w:t>
            </w:r>
          </w:p>
          <w:p w:rsidR="00DA405E" w:rsidRPr="009849E0" w:rsidRDefault="00DA405E" w:rsidP="004B3AE0">
            <w:pPr>
              <w:tabs>
                <w:tab w:val="left" w:pos="-1440"/>
                <w:tab w:val="left" w:pos="-720"/>
              </w:tabs>
              <w:jc w:val="both"/>
              <w:rPr>
                <w:sz w:val="20"/>
                <w:szCs w:val="20"/>
                <w:lang w:val="en-US"/>
              </w:rPr>
            </w:pPr>
          </w:p>
          <w:p w:rsidR="00DA405E" w:rsidRPr="00EA63C5" w:rsidRDefault="00DA405E" w:rsidP="004B3AE0">
            <w:pPr>
              <w:tabs>
                <w:tab w:val="left" w:pos="-1440"/>
                <w:tab w:val="left" w:pos="-720"/>
              </w:tabs>
              <w:jc w:val="both"/>
              <w:rPr>
                <w:sz w:val="20"/>
                <w:szCs w:val="20"/>
                <w:lang w:val="en-US"/>
              </w:rPr>
            </w:pPr>
            <w:r w:rsidRPr="00EA63C5">
              <w:rPr>
                <w:sz w:val="20"/>
                <w:szCs w:val="20"/>
                <w:lang w:val="en-US"/>
              </w:rPr>
              <w:t>Her Majesty the Queen (B.C.)</w:t>
            </w:r>
          </w:p>
          <w:p w:rsidR="00DA405E" w:rsidRPr="00EA63C5" w:rsidRDefault="00DA405E" w:rsidP="004B3AE0">
            <w:pPr>
              <w:tabs>
                <w:tab w:val="left" w:pos="-1440"/>
                <w:tab w:val="left" w:pos="-720"/>
              </w:tabs>
              <w:jc w:val="both"/>
              <w:rPr>
                <w:sz w:val="20"/>
                <w:szCs w:val="20"/>
                <w:lang w:val="en-US"/>
              </w:rPr>
            </w:pPr>
          </w:p>
        </w:tc>
        <w:tc>
          <w:tcPr>
            <w:tcW w:w="1170" w:type="dxa"/>
          </w:tcPr>
          <w:p w:rsidR="00DA405E" w:rsidRPr="00EA63C5" w:rsidRDefault="00DA405E" w:rsidP="004B3AE0">
            <w:pPr>
              <w:tabs>
                <w:tab w:val="left" w:pos="-1440"/>
                <w:tab w:val="left" w:pos="-720"/>
              </w:tabs>
              <w:jc w:val="both"/>
              <w:rPr>
                <w:sz w:val="20"/>
                <w:szCs w:val="20"/>
                <w:lang w:val="en-US"/>
              </w:rPr>
            </w:pPr>
          </w:p>
        </w:tc>
        <w:tc>
          <w:tcPr>
            <w:tcW w:w="4327" w:type="dxa"/>
          </w:tcPr>
          <w:p w:rsidR="00DA405E" w:rsidRPr="00EA63C5" w:rsidRDefault="00DA405E" w:rsidP="004B3AE0">
            <w:pPr>
              <w:tabs>
                <w:tab w:val="left" w:pos="-1440"/>
                <w:tab w:val="left" w:pos="-720"/>
              </w:tabs>
              <w:jc w:val="both"/>
              <w:rPr>
                <w:sz w:val="20"/>
                <w:szCs w:val="20"/>
                <w:lang w:val="en-US"/>
              </w:rPr>
            </w:pPr>
          </w:p>
        </w:tc>
      </w:tr>
    </w:tbl>
    <w:p w:rsidR="00DA405E" w:rsidRPr="00EA63C5" w:rsidRDefault="00DA405E" w:rsidP="00DA405E">
      <w:pPr>
        <w:tabs>
          <w:tab w:val="left" w:pos="-1440"/>
          <w:tab w:val="left" w:pos="-720"/>
        </w:tabs>
        <w:jc w:val="both"/>
        <w:rPr>
          <w:sz w:val="20"/>
          <w:szCs w:val="20"/>
          <w:lang w:val="en-US"/>
        </w:rPr>
      </w:pPr>
    </w:p>
    <w:p w:rsidR="00DA405E" w:rsidRPr="00EA63C5" w:rsidRDefault="00DA405E" w:rsidP="00DA405E">
      <w:pPr>
        <w:tabs>
          <w:tab w:val="left" w:pos="-1440"/>
          <w:tab w:val="left" w:pos="-720"/>
        </w:tabs>
        <w:jc w:val="both"/>
        <w:rPr>
          <w:b/>
          <w:sz w:val="20"/>
          <w:szCs w:val="20"/>
          <w:lang w:val="en-US"/>
        </w:rPr>
      </w:pPr>
      <w:r w:rsidRPr="00EA63C5">
        <w:rPr>
          <w:b/>
          <w:sz w:val="20"/>
          <w:szCs w:val="20"/>
          <w:lang w:val="en-US"/>
        </w:rPr>
        <w:t>GRANTED / ACCORDÉE</w:t>
      </w:r>
    </w:p>
    <w:p w:rsidR="00DA405E" w:rsidRPr="00EA63C5" w:rsidRDefault="00DA405E" w:rsidP="00DA405E">
      <w:pPr>
        <w:tabs>
          <w:tab w:val="left" w:pos="-1440"/>
          <w:tab w:val="left" w:pos="-720"/>
        </w:tabs>
        <w:jc w:val="both"/>
        <w:rPr>
          <w:sz w:val="20"/>
          <w:szCs w:val="20"/>
          <w:lang w:val="en-US"/>
        </w:rPr>
      </w:pPr>
    </w:p>
    <w:p w:rsidR="00DA405E" w:rsidRPr="00EA63C5" w:rsidRDefault="00DA405E" w:rsidP="00DA405E">
      <w:pPr>
        <w:spacing w:line="233" w:lineRule="auto"/>
        <w:jc w:val="both"/>
        <w:rPr>
          <w:rFonts w:cs="Times New Roman"/>
          <w:sz w:val="20"/>
          <w:szCs w:val="20"/>
        </w:rPr>
      </w:pPr>
      <w:r w:rsidRPr="00EA63C5">
        <w:rPr>
          <w:rFonts w:cs="Times New Roman"/>
          <w:b/>
          <w:bCs/>
          <w:sz w:val="20"/>
          <w:szCs w:val="20"/>
        </w:rPr>
        <w:t xml:space="preserve">UPON APPLICATION </w:t>
      </w:r>
      <w:r w:rsidRPr="00EA63C5">
        <w:rPr>
          <w:rFonts w:cs="Times New Roman"/>
          <w:bCs/>
          <w:sz w:val="20"/>
          <w:szCs w:val="20"/>
        </w:rPr>
        <w:t>by the respondent for an order</w:t>
      </w:r>
      <w:r w:rsidRPr="00EA63C5">
        <w:rPr>
          <w:rFonts w:cs="Times New Roman"/>
          <w:b/>
          <w:bCs/>
          <w:sz w:val="20"/>
          <w:szCs w:val="20"/>
        </w:rPr>
        <w:t xml:space="preserve"> </w:t>
      </w:r>
      <w:r w:rsidRPr="00EA63C5">
        <w:rPr>
          <w:rFonts w:cs="Times New Roman"/>
          <w:bCs/>
          <w:sz w:val="20"/>
          <w:szCs w:val="20"/>
        </w:rPr>
        <w:t>extending the time to serve and file its factum, record and book of authorities to October 3, 2016, and for permission to present oral argument at the hearing of the appeal pursuant to Rule 71(3);</w:t>
      </w:r>
    </w:p>
    <w:p w:rsidR="00DA405E" w:rsidRPr="00EA63C5" w:rsidRDefault="00DA405E" w:rsidP="00DA405E">
      <w:pPr>
        <w:spacing w:line="233" w:lineRule="auto"/>
        <w:jc w:val="both"/>
        <w:rPr>
          <w:rFonts w:cs="Times New Roman"/>
          <w:sz w:val="20"/>
          <w:szCs w:val="20"/>
        </w:rPr>
      </w:pPr>
    </w:p>
    <w:p w:rsidR="00DA405E" w:rsidRPr="00EA63C5" w:rsidRDefault="00DA405E" w:rsidP="00DA405E">
      <w:pPr>
        <w:spacing w:line="233" w:lineRule="auto"/>
        <w:jc w:val="both"/>
        <w:rPr>
          <w:rFonts w:cs="Times New Roman"/>
          <w:sz w:val="20"/>
          <w:szCs w:val="20"/>
        </w:rPr>
      </w:pPr>
      <w:r w:rsidRPr="00EA63C5">
        <w:rPr>
          <w:rFonts w:cs="Times New Roman"/>
          <w:b/>
          <w:bCs/>
          <w:sz w:val="20"/>
          <w:szCs w:val="20"/>
        </w:rPr>
        <w:t xml:space="preserve">AND THE MATERIAL FILED </w:t>
      </w:r>
      <w:r w:rsidRPr="00EA63C5">
        <w:rPr>
          <w:rFonts w:cs="Times New Roman"/>
          <w:bCs/>
          <w:sz w:val="20"/>
          <w:szCs w:val="20"/>
        </w:rPr>
        <w:t>having been read;</w:t>
      </w:r>
    </w:p>
    <w:p w:rsidR="00DA405E" w:rsidRPr="00EA63C5" w:rsidRDefault="00DA405E" w:rsidP="00DA405E">
      <w:pPr>
        <w:spacing w:line="233" w:lineRule="auto"/>
        <w:jc w:val="both"/>
        <w:rPr>
          <w:rFonts w:cs="Times New Roman"/>
          <w:sz w:val="20"/>
          <w:szCs w:val="20"/>
        </w:rPr>
      </w:pPr>
    </w:p>
    <w:p w:rsidR="00DA405E" w:rsidRPr="00EA63C5" w:rsidRDefault="00DA405E" w:rsidP="00DA405E">
      <w:pPr>
        <w:jc w:val="both"/>
        <w:rPr>
          <w:rFonts w:cs="Times New Roman"/>
          <w:sz w:val="20"/>
          <w:szCs w:val="20"/>
        </w:rPr>
      </w:pPr>
      <w:r w:rsidRPr="00EA63C5">
        <w:rPr>
          <w:rFonts w:cs="Times New Roman"/>
          <w:b/>
          <w:sz w:val="20"/>
          <w:szCs w:val="20"/>
        </w:rPr>
        <w:t>AND NOTING THAT</w:t>
      </w:r>
      <w:r w:rsidRPr="00EA63C5">
        <w:rPr>
          <w:rFonts w:cs="Times New Roman"/>
          <w:sz w:val="20"/>
          <w:szCs w:val="20"/>
        </w:rPr>
        <w:t xml:space="preserve"> the appellant consents to the motion;</w:t>
      </w:r>
    </w:p>
    <w:p w:rsidR="00DA405E" w:rsidRPr="00EA63C5" w:rsidRDefault="00DA405E" w:rsidP="00DA405E">
      <w:pPr>
        <w:spacing w:line="233" w:lineRule="auto"/>
        <w:jc w:val="both"/>
        <w:rPr>
          <w:rFonts w:cs="Times New Roman"/>
          <w:sz w:val="20"/>
          <w:szCs w:val="20"/>
        </w:rPr>
      </w:pPr>
    </w:p>
    <w:p w:rsidR="00DA405E" w:rsidRPr="00EA63C5" w:rsidRDefault="00DA405E" w:rsidP="00DA405E">
      <w:pPr>
        <w:spacing w:line="233" w:lineRule="auto"/>
        <w:jc w:val="both"/>
        <w:rPr>
          <w:rFonts w:cs="Times New Roman"/>
          <w:sz w:val="20"/>
          <w:szCs w:val="20"/>
        </w:rPr>
      </w:pPr>
      <w:r w:rsidRPr="00EA63C5">
        <w:rPr>
          <w:rFonts w:cs="Times New Roman"/>
          <w:b/>
          <w:bCs/>
          <w:sz w:val="20"/>
          <w:szCs w:val="20"/>
        </w:rPr>
        <w:t xml:space="preserve">IT IS HEREBY ORDERED THAT: </w:t>
      </w:r>
    </w:p>
    <w:p w:rsidR="00DA405E" w:rsidRPr="00EA63C5" w:rsidRDefault="00DA405E" w:rsidP="00DA405E">
      <w:pPr>
        <w:spacing w:line="233" w:lineRule="auto"/>
        <w:jc w:val="both"/>
        <w:rPr>
          <w:rFonts w:cs="Times New Roman"/>
          <w:sz w:val="20"/>
          <w:szCs w:val="20"/>
        </w:rPr>
      </w:pPr>
    </w:p>
    <w:p w:rsidR="00DA405E" w:rsidRPr="009849E0" w:rsidRDefault="00DA405E" w:rsidP="00DA405E">
      <w:pPr>
        <w:spacing w:line="233" w:lineRule="auto"/>
        <w:rPr>
          <w:rFonts w:cs="Times New Roman"/>
          <w:sz w:val="20"/>
          <w:szCs w:val="20"/>
          <w:lang w:val="fr-CA"/>
        </w:rPr>
      </w:pPr>
      <w:r w:rsidRPr="009849E0">
        <w:rPr>
          <w:rFonts w:cs="Times New Roman"/>
          <w:sz w:val="20"/>
          <w:szCs w:val="20"/>
          <w:lang w:val="fr-CA"/>
        </w:rPr>
        <w:t xml:space="preserve">The motion </w:t>
      </w:r>
      <w:proofErr w:type="spellStart"/>
      <w:r w:rsidRPr="009849E0">
        <w:rPr>
          <w:rFonts w:cs="Times New Roman"/>
          <w:sz w:val="20"/>
          <w:szCs w:val="20"/>
          <w:lang w:val="fr-CA"/>
        </w:rPr>
        <w:t>is</w:t>
      </w:r>
      <w:proofErr w:type="spellEnd"/>
      <w:r w:rsidRPr="009849E0">
        <w:rPr>
          <w:rFonts w:cs="Times New Roman"/>
          <w:sz w:val="20"/>
          <w:szCs w:val="20"/>
          <w:lang w:val="fr-CA"/>
        </w:rPr>
        <w:t xml:space="preserve"> </w:t>
      </w:r>
      <w:proofErr w:type="spellStart"/>
      <w:r w:rsidRPr="009849E0">
        <w:rPr>
          <w:rFonts w:cs="Times New Roman"/>
          <w:sz w:val="20"/>
          <w:szCs w:val="20"/>
          <w:lang w:val="fr-CA"/>
        </w:rPr>
        <w:t>granted</w:t>
      </w:r>
      <w:proofErr w:type="spellEnd"/>
      <w:r w:rsidRPr="009849E0">
        <w:rPr>
          <w:rFonts w:cs="Times New Roman"/>
          <w:sz w:val="20"/>
          <w:szCs w:val="20"/>
          <w:lang w:val="fr-CA"/>
        </w:rPr>
        <w:t>.</w:t>
      </w:r>
    </w:p>
    <w:p w:rsidR="0010587F" w:rsidRPr="00EA63C5" w:rsidRDefault="0010587F" w:rsidP="0010587F">
      <w:pPr>
        <w:tabs>
          <w:tab w:val="left" w:pos="-1440"/>
          <w:tab w:val="left" w:pos="-720"/>
        </w:tabs>
        <w:jc w:val="both"/>
        <w:rPr>
          <w:sz w:val="20"/>
          <w:szCs w:val="20"/>
          <w:lang w:val="fr-CA"/>
        </w:rPr>
      </w:pPr>
    </w:p>
    <w:p w:rsidR="00DA405E" w:rsidRPr="00EA63C5" w:rsidRDefault="00DA405E" w:rsidP="0010587F">
      <w:pPr>
        <w:tabs>
          <w:tab w:val="left" w:pos="-1440"/>
          <w:tab w:val="left" w:pos="-720"/>
        </w:tabs>
        <w:jc w:val="both"/>
        <w:rPr>
          <w:sz w:val="20"/>
          <w:szCs w:val="20"/>
          <w:lang w:val="fr-CA"/>
        </w:rPr>
      </w:pPr>
    </w:p>
    <w:p w:rsidR="00DA405E" w:rsidRPr="00EA63C5" w:rsidRDefault="00DA405E" w:rsidP="0010587F">
      <w:pPr>
        <w:tabs>
          <w:tab w:val="left" w:pos="-1440"/>
          <w:tab w:val="left" w:pos="-720"/>
        </w:tabs>
        <w:jc w:val="both"/>
        <w:rPr>
          <w:sz w:val="20"/>
          <w:szCs w:val="20"/>
          <w:lang w:val="fr-CA"/>
        </w:rPr>
      </w:pPr>
    </w:p>
    <w:p w:rsidR="00DA405E" w:rsidRPr="00EA63C5" w:rsidRDefault="00DA405E" w:rsidP="00DA405E">
      <w:pPr>
        <w:spacing w:line="233" w:lineRule="auto"/>
        <w:jc w:val="both"/>
        <w:rPr>
          <w:rFonts w:cs="Times New Roman"/>
          <w:sz w:val="20"/>
          <w:szCs w:val="20"/>
          <w:lang w:val="fr-CA"/>
        </w:rPr>
      </w:pPr>
      <w:r w:rsidRPr="00EA63C5">
        <w:rPr>
          <w:rFonts w:cs="Times New Roman"/>
          <w:b/>
          <w:bCs/>
          <w:sz w:val="20"/>
          <w:szCs w:val="20"/>
          <w:lang w:val="fr-CA"/>
        </w:rPr>
        <w:t xml:space="preserve">À LA SUITE DE LA DEMANDE </w:t>
      </w:r>
      <w:r w:rsidRPr="00EA63C5">
        <w:rPr>
          <w:rFonts w:cs="Times New Roman"/>
          <w:bCs/>
          <w:sz w:val="20"/>
          <w:szCs w:val="20"/>
          <w:lang w:val="fr-CA"/>
        </w:rPr>
        <w:t>présentée par l’intimée visant à faire proroger au 3 octobre 2016 le délai de signification et de dépôt de ses mémoire, dossier et recueil de sources, et à être autorisée, en vertu du par. 71(3) des Règles, à plaider en appel;</w:t>
      </w:r>
    </w:p>
    <w:p w:rsidR="00DA405E" w:rsidRPr="00EA63C5" w:rsidRDefault="00DA405E" w:rsidP="00DA405E">
      <w:pPr>
        <w:spacing w:line="233" w:lineRule="auto"/>
        <w:jc w:val="both"/>
        <w:rPr>
          <w:rFonts w:cs="Times New Roman"/>
          <w:sz w:val="20"/>
          <w:szCs w:val="20"/>
          <w:lang w:val="fr-CA"/>
        </w:rPr>
      </w:pPr>
    </w:p>
    <w:p w:rsidR="00DA405E" w:rsidRPr="00EA63C5" w:rsidRDefault="00DA405E" w:rsidP="00DA405E">
      <w:pPr>
        <w:spacing w:line="233" w:lineRule="auto"/>
        <w:jc w:val="both"/>
        <w:rPr>
          <w:rFonts w:cs="Times New Roman"/>
          <w:sz w:val="20"/>
          <w:szCs w:val="20"/>
          <w:lang w:val="fr-CA"/>
        </w:rPr>
      </w:pPr>
      <w:r w:rsidRPr="00EA63C5">
        <w:rPr>
          <w:rFonts w:cs="Times New Roman"/>
          <w:b/>
          <w:bCs/>
          <w:sz w:val="20"/>
          <w:szCs w:val="20"/>
          <w:lang w:val="fr-CA"/>
        </w:rPr>
        <w:t xml:space="preserve">ET APRÈS EXAMEN </w:t>
      </w:r>
      <w:r w:rsidRPr="00EA63C5">
        <w:rPr>
          <w:rFonts w:cs="Times New Roman"/>
          <w:bCs/>
          <w:sz w:val="20"/>
          <w:szCs w:val="20"/>
          <w:lang w:val="fr-CA"/>
        </w:rPr>
        <w:t>des documents déposés;</w:t>
      </w:r>
    </w:p>
    <w:p w:rsidR="00DA405E" w:rsidRPr="00EA63C5" w:rsidRDefault="00DA405E" w:rsidP="00DA405E">
      <w:pPr>
        <w:spacing w:line="233" w:lineRule="auto"/>
        <w:jc w:val="both"/>
        <w:rPr>
          <w:rFonts w:cs="Times New Roman"/>
          <w:sz w:val="20"/>
          <w:szCs w:val="20"/>
          <w:lang w:val="fr-CA"/>
        </w:rPr>
      </w:pPr>
    </w:p>
    <w:p w:rsidR="00DA405E" w:rsidRPr="00EA63C5" w:rsidRDefault="00DA405E" w:rsidP="00DA405E">
      <w:pPr>
        <w:jc w:val="both"/>
        <w:rPr>
          <w:rFonts w:cs="Times New Roman"/>
          <w:sz w:val="20"/>
          <w:szCs w:val="20"/>
          <w:lang w:val="fr-CA"/>
        </w:rPr>
      </w:pPr>
      <w:r w:rsidRPr="00EA63C5">
        <w:rPr>
          <w:rFonts w:cs="Times New Roman"/>
          <w:b/>
          <w:sz w:val="20"/>
          <w:szCs w:val="20"/>
          <w:lang w:val="fr-CA"/>
        </w:rPr>
        <w:t xml:space="preserve">ET VU </w:t>
      </w:r>
      <w:r w:rsidRPr="00EA63C5">
        <w:rPr>
          <w:rFonts w:cs="Times New Roman"/>
          <w:sz w:val="20"/>
          <w:szCs w:val="20"/>
          <w:lang w:val="fr-CA"/>
        </w:rPr>
        <w:t>le consentement de l’appelant à la requête;</w:t>
      </w:r>
    </w:p>
    <w:p w:rsidR="00DA405E" w:rsidRPr="00EA63C5" w:rsidRDefault="00DA405E" w:rsidP="00DA405E">
      <w:pPr>
        <w:spacing w:line="233" w:lineRule="auto"/>
        <w:jc w:val="both"/>
        <w:rPr>
          <w:rFonts w:cs="Times New Roman"/>
          <w:sz w:val="20"/>
          <w:szCs w:val="20"/>
          <w:lang w:val="fr-CA"/>
        </w:rPr>
      </w:pPr>
    </w:p>
    <w:p w:rsidR="00DA405E" w:rsidRPr="00EA63C5" w:rsidRDefault="00DA405E" w:rsidP="00DA405E">
      <w:pPr>
        <w:spacing w:line="233" w:lineRule="auto"/>
        <w:jc w:val="both"/>
        <w:rPr>
          <w:rFonts w:cs="Times New Roman"/>
          <w:sz w:val="20"/>
          <w:szCs w:val="20"/>
          <w:lang w:val="fr-CA"/>
        </w:rPr>
      </w:pPr>
      <w:r w:rsidRPr="00EA63C5">
        <w:rPr>
          <w:rFonts w:cs="Times New Roman"/>
          <w:b/>
          <w:bCs/>
          <w:sz w:val="20"/>
          <w:szCs w:val="20"/>
          <w:lang w:val="fr-CA"/>
        </w:rPr>
        <w:t>IL EST ORDONNÉ CE QUI SUIT</w:t>
      </w:r>
      <w:r w:rsidRPr="00EA63C5">
        <w:rPr>
          <w:sz w:val="20"/>
          <w:szCs w:val="20"/>
          <w:lang w:val="fr-CA"/>
        </w:rPr>
        <w:t> </w:t>
      </w:r>
      <w:r w:rsidRPr="00EA63C5">
        <w:rPr>
          <w:rFonts w:cs="Times New Roman"/>
          <w:b/>
          <w:bCs/>
          <w:sz w:val="20"/>
          <w:szCs w:val="20"/>
          <w:lang w:val="fr-CA"/>
        </w:rPr>
        <w:t xml:space="preserve">: </w:t>
      </w:r>
    </w:p>
    <w:p w:rsidR="00DA405E" w:rsidRPr="00EA63C5" w:rsidRDefault="00DA405E" w:rsidP="00DA405E">
      <w:pPr>
        <w:spacing w:line="233" w:lineRule="auto"/>
        <w:jc w:val="both"/>
        <w:rPr>
          <w:rFonts w:cs="Times New Roman"/>
          <w:sz w:val="20"/>
          <w:szCs w:val="20"/>
          <w:lang w:val="fr-CA"/>
        </w:rPr>
      </w:pPr>
    </w:p>
    <w:p w:rsidR="00DA405E" w:rsidRPr="00EA63C5" w:rsidRDefault="00DA405E" w:rsidP="00DA405E">
      <w:pPr>
        <w:spacing w:line="233" w:lineRule="auto"/>
        <w:rPr>
          <w:rFonts w:cs="Times New Roman"/>
          <w:sz w:val="20"/>
          <w:szCs w:val="20"/>
          <w:lang w:val="fr-CA"/>
        </w:rPr>
      </w:pPr>
      <w:r w:rsidRPr="00EA63C5">
        <w:rPr>
          <w:rFonts w:cs="Times New Roman"/>
          <w:sz w:val="20"/>
          <w:szCs w:val="20"/>
          <w:lang w:val="fr-CA"/>
        </w:rPr>
        <w:t>La requête est accueillie.</w:t>
      </w:r>
    </w:p>
    <w:p w:rsidR="00DA405E" w:rsidRPr="00EA63C5" w:rsidRDefault="00DA405E" w:rsidP="00DA405E">
      <w:pPr>
        <w:spacing w:line="233" w:lineRule="auto"/>
        <w:rPr>
          <w:rFonts w:cs="Times New Roman"/>
          <w:sz w:val="20"/>
          <w:szCs w:val="20"/>
          <w:lang w:val="fr-CA"/>
        </w:rPr>
      </w:pPr>
    </w:p>
    <w:p w:rsidR="00DA405E" w:rsidRPr="00EA63C5" w:rsidRDefault="007F6DC5" w:rsidP="0010587F">
      <w:pPr>
        <w:tabs>
          <w:tab w:val="left" w:pos="-1440"/>
          <w:tab w:val="left" w:pos="-720"/>
        </w:tabs>
        <w:jc w:val="both"/>
        <w:rPr>
          <w:sz w:val="20"/>
          <w:szCs w:val="20"/>
          <w:lang w:val="fr-CA"/>
        </w:rPr>
      </w:pPr>
      <w:r>
        <w:rPr>
          <w:sz w:val="20"/>
          <w:szCs w:val="20"/>
          <w:lang w:val="fr-CA"/>
        </w:rPr>
        <w:pict>
          <v:rect id="_x0000_i1078" style="width:2in;height:1pt" o:hrpct="0" o:hralign="center" o:hrstd="t" o:hrnoshade="t" o:hr="t" fillcolor="black [3213]" stroked="f"/>
        </w:pict>
      </w:r>
    </w:p>
    <w:p w:rsidR="00CA2DEA" w:rsidRPr="00EA63C5" w:rsidRDefault="00CA2DEA" w:rsidP="00CA2DEA">
      <w:pPr>
        <w:widowControl w:val="0"/>
        <w:rPr>
          <w:rFonts w:eastAsia="Times New Roman" w:cs="Times New Roman"/>
          <w:sz w:val="20"/>
          <w:szCs w:val="20"/>
          <w:lang w:val="en-US" w:eastAsia="en-CA"/>
        </w:rPr>
      </w:pPr>
    </w:p>
    <w:p w:rsidR="00CA2DEA" w:rsidRPr="00EA63C5" w:rsidRDefault="00CA2DEA" w:rsidP="0010587F">
      <w:pPr>
        <w:tabs>
          <w:tab w:val="left" w:pos="-1440"/>
          <w:tab w:val="left" w:pos="-720"/>
        </w:tabs>
        <w:jc w:val="both"/>
        <w:rPr>
          <w:sz w:val="20"/>
          <w:szCs w:val="20"/>
          <w:lang w:val="fr-CA"/>
        </w:rPr>
      </w:pPr>
    </w:p>
    <w:p w:rsidR="00890FEB" w:rsidRPr="00EA63C5" w:rsidRDefault="00890FEB" w:rsidP="00831CA9">
      <w:pPr>
        <w:jc w:val="both"/>
        <w:rPr>
          <w:sz w:val="20"/>
          <w:szCs w:val="20"/>
          <w:lang w:val="fr-CA"/>
        </w:rPr>
      </w:pPr>
    </w:p>
    <w:p w:rsidR="00831CA9" w:rsidRPr="00EA63C5" w:rsidRDefault="00831CA9" w:rsidP="00831CA9">
      <w:pPr>
        <w:jc w:val="both"/>
        <w:rPr>
          <w:sz w:val="20"/>
          <w:szCs w:val="20"/>
          <w:lang w:val="fr-CA"/>
        </w:rPr>
        <w:sectPr w:rsidR="00831CA9" w:rsidRPr="00EA63C5"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F6DC5" w:rsidTr="0085476B">
        <w:trPr>
          <w:cantSplit/>
        </w:trPr>
        <w:tc>
          <w:tcPr>
            <w:tcW w:w="4410" w:type="dxa"/>
            <w:tcMar>
              <w:left w:w="0" w:type="dxa"/>
              <w:right w:w="0" w:type="dxa"/>
            </w:tcMar>
          </w:tcPr>
          <w:p w:rsidR="00C1697B" w:rsidRPr="00EA63C5" w:rsidRDefault="00732DB7" w:rsidP="00697C62">
            <w:pPr>
              <w:keepNext/>
              <w:keepLines/>
              <w:widowControl w:val="0"/>
              <w:jc w:val="both"/>
              <w:rPr>
                <w:b/>
                <w:szCs w:val="24"/>
              </w:rPr>
            </w:pPr>
            <w:r w:rsidRPr="00EA63C5">
              <w:rPr>
                <w:b/>
                <w:szCs w:val="24"/>
              </w:rPr>
              <w:lastRenderedPageBreak/>
              <w:t>APPEALS HEARD SINCE LAST ISSUE AND DISPOSITION</w:t>
            </w:r>
          </w:p>
          <w:p w:rsidR="00732DB7" w:rsidRPr="00EA63C5" w:rsidRDefault="00732DB7" w:rsidP="00C1697B">
            <w:pPr>
              <w:tabs>
                <w:tab w:val="left" w:pos="1116"/>
              </w:tabs>
              <w:rPr>
                <w:szCs w:val="24"/>
              </w:rPr>
            </w:pPr>
          </w:p>
        </w:tc>
        <w:tc>
          <w:tcPr>
            <w:tcW w:w="720" w:type="dxa"/>
            <w:tcMar>
              <w:left w:w="0" w:type="dxa"/>
              <w:right w:w="0" w:type="dxa"/>
            </w:tcMar>
          </w:tcPr>
          <w:p w:rsidR="00732DB7" w:rsidRPr="00EA63C5" w:rsidRDefault="00732DB7" w:rsidP="00732DB7">
            <w:pPr>
              <w:keepNext/>
              <w:keepLines/>
              <w:widowControl w:val="0"/>
              <w:jc w:val="center"/>
              <w:rPr>
                <w:b/>
                <w:szCs w:val="24"/>
              </w:rPr>
            </w:pPr>
          </w:p>
          <w:p w:rsidR="00732DB7" w:rsidRPr="00EA63C5" w:rsidRDefault="00732DB7" w:rsidP="00732DB7">
            <w:pPr>
              <w:keepNext/>
              <w:keepLines/>
              <w:widowControl w:val="0"/>
              <w:jc w:val="center"/>
              <w:rPr>
                <w:b/>
                <w:szCs w:val="24"/>
              </w:rPr>
            </w:pPr>
          </w:p>
          <w:p w:rsidR="00732DB7" w:rsidRPr="00EA63C5" w:rsidRDefault="00732DB7" w:rsidP="00732DB7">
            <w:pPr>
              <w:keepNext/>
              <w:keepLines/>
              <w:widowControl w:val="0"/>
              <w:jc w:val="center"/>
              <w:rPr>
                <w:b/>
                <w:szCs w:val="24"/>
              </w:rPr>
            </w:pPr>
          </w:p>
        </w:tc>
        <w:tc>
          <w:tcPr>
            <w:tcW w:w="4350" w:type="dxa"/>
            <w:tcMar>
              <w:left w:w="0" w:type="dxa"/>
              <w:right w:w="0" w:type="dxa"/>
            </w:tcMar>
          </w:tcPr>
          <w:p w:rsidR="00732DB7" w:rsidRPr="00EA63C5" w:rsidRDefault="00732DB7" w:rsidP="00697C62">
            <w:pPr>
              <w:keepNext/>
              <w:keepLines/>
              <w:widowControl w:val="0"/>
              <w:jc w:val="both"/>
              <w:rPr>
                <w:b/>
                <w:szCs w:val="24"/>
                <w:lang w:val="fr-CA"/>
              </w:rPr>
            </w:pPr>
            <w:r w:rsidRPr="00EA63C5">
              <w:rPr>
                <w:b/>
                <w:szCs w:val="24"/>
                <w:lang w:val="fr-CA"/>
              </w:rPr>
              <w:t>APPELS ENTENDUS DEPUIS LA DERNIÈRE PARUTION ET RÉSULTAT</w:t>
            </w:r>
          </w:p>
        </w:tc>
      </w:tr>
    </w:tbl>
    <w:p w:rsidR="00732DB7" w:rsidRPr="00EA63C5" w:rsidRDefault="00732DB7" w:rsidP="00732DB7">
      <w:pPr>
        <w:widowControl w:val="0"/>
        <w:rPr>
          <w:sz w:val="20"/>
          <w:szCs w:val="20"/>
          <w:lang w:val="fr-CA"/>
        </w:rPr>
      </w:pPr>
    </w:p>
    <w:p w:rsidR="007C47C2" w:rsidRPr="00EA63C5" w:rsidRDefault="00AA43E5" w:rsidP="007C47C2">
      <w:pPr>
        <w:widowControl w:val="0"/>
        <w:rPr>
          <w:sz w:val="20"/>
          <w:szCs w:val="20"/>
          <w:lang w:val="en-US"/>
        </w:rPr>
      </w:pPr>
      <w:r w:rsidRPr="00EA63C5">
        <w:rPr>
          <w:sz w:val="20"/>
          <w:szCs w:val="20"/>
          <w:lang w:val="en-US"/>
        </w:rPr>
        <w:t>14.10.2016</w:t>
      </w:r>
    </w:p>
    <w:p w:rsidR="007C47C2" w:rsidRPr="00EA63C5" w:rsidRDefault="007C47C2" w:rsidP="007C47C2">
      <w:pPr>
        <w:widowControl w:val="0"/>
        <w:rPr>
          <w:sz w:val="20"/>
          <w:szCs w:val="20"/>
          <w:lang w:val="en-US"/>
        </w:rPr>
      </w:pPr>
    </w:p>
    <w:p w:rsidR="007C47C2" w:rsidRPr="00EA63C5" w:rsidRDefault="007C47C2" w:rsidP="007C47C2">
      <w:pPr>
        <w:widowControl w:val="0"/>
        <w:ind w:left="720" w:hanging="720"/>
        <w:rPr>
          <w:sz w:val="20"/>
          <w:szCs w:val="20"/>
          <w:u w:val="single"/>
          <w:lang w:val="en-US"/>
        </w:rPr>
      </w:pPr>
      <w:r w:rsidRPr="00EA63C5">
        <w:rPr>
          <w:sz w:val="20"/>
          <w:szCs w:val="20"/>
          <w:lang w:val="en-US"/>
        </w:rPr>
        <w:t xml:space="preserve">Coram: </w:t>
      </w:r>
      <w:r w:rsidRPr="00EA63C5">
        <w:rPr>
          <w:sz w:val="20"/>
          <w:szCs w:val="20"/>
          <w:lang w:val="en-US"/>
        </w:rPr>
        <w:tab/>
      </w:r>
      <w:r w:rsidR="00AA43E5" w:rsidRPr="00EA63C5">
        <w:rPr>
          <w:sz w:val="20"/>
          <w:szCs w:val="20"/>
          <w:u w:val="single"/>
          <w:lang w:val="en-US"/>
        </w:rPr>
        <w:t>Abella, Moldaver, Wagner, Côté and Brown JJ.</w:t>
      </w:r>
    </w:p>
    <w:p w:rsidR="007C47C2" w:rsidRPr="00EA63C5"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A63C5" w:rsidTr="00E942C2">
        <w:tc>
          <w:tcPr>
            <w:tcW w:w="4380" w:type="dxa"/>
            <w:tcMar>
              <w:left w:w="0" w:type="dxa"/>
              <w:right w:w="0" w:type="dxa"/>
            </w:tcMar>
          </w:tcPr>
          <w:p w:rsidR="007C47C2" w:rsidRPr="00EA63C5" w:rsidRDefault="00AA43E5" w:rsidP="00E942C2">
            <w:pPr>
              <w:widowControl w:val="0"/>
              <w:rPr>
                <w:b/>
                <w:sz w:val="20"/>
                <w:szCs w:val="20"/>
                <w:lang w:val="en-US"/>
              </w:rPr>
            </w:pPr>
            <w:r w:rsidRPr="00EA63C5">
              <w:rPr>
                <w:b/>
                <w:sz w:val="20"/>
                <w:szCs w:val="20"/>
                <w:lang w:val="en-US"/>
              </w:rPr>
              <w:t xml:space="preserve">Eric Andrew </w:t>
            </w:r>
            <w:proofErr w:type="spellStart"/>
            <w:r w:rsidRPr="00EA63C5">
              <w:rPr>
                <w:b/>
                <w:sz w:val="20"/>
                <w:szCs w:val="20"/>
                <w:lang w:val="en-US"/>
              </w:rPr>
              <w:t>Rowson</w:t>
            </w:r>
            <w:proofErr w:type="spellEnd"/>
          </w:p>
          <w:p w:rsidR="007C47C2" w:rsidRPr="00EA63C5" w:rsidRDefault="007C47C2" w:rsidP="00E942C2">
            <w:pPr>
              <w:widowControl w:val="0"/>
              <w:rPr>
                <w:b/>
                <w:sz w:val="20"/>
                <w:szCs w:val="20"/>
                <w:lang w:val="en-US"/>
              </w:rPr>
            </w:pPr>
          </w:p>
          <w:p w:rsidR="007C47C2" w:rsidRPr="00EA63C5" w:rsidRDefault="007C47C2" w:rsidP="00E942C2">
            <w:pPr>
              <w:widowControl w:val="0"/>
              <w:rPr>
                <w:b/>
                <w:sz w:val="20"/>
                <w:szCs w:val="20"/>
                <w:lang w:val="en-US"/>
              </w:rPr>
            </w:pPr>
            <w:r w:rsidRPr="00EA63C5">
              <w:rPr>
                <w:b/>
                <w:sz w:val="20"/>
                <w:szCs w:val="20"/>
                <w:lang w:val="en-US"/>
              </w:rPr>
              <w:tab/>
            </w:r>
            <w:r w:rsidR="00AA43E5" w:rsidRPr="00EA63C5">
              <w:rPr>
                <w:b/>
                <w:sz w:val="20"/>
                <w:szCs w:val="20"/>
                <w:lang w:val="en-US"/>
              </w:rPr>
              <w:t>v</w:t>
            </w:r>
            <w:r w:rsidRPr="00EA63C5">
              <w:rPr>
                <w:b/>
                <w:sz w:val="20"/>
                <w:szCs w:val="20"/>
                <w:lang w:val="en-US"/>
              </w:rPr>
              <w:t xml:space="preserve">. </w:t>
            </w:r>
            <w:r w:rsidRPr="00EA63C5">
              <w:rPr>
                <w:sz w:val="20"/>
                <w:szCs w:val="20"/>
                <w:lang w:val="en-US"/>
              </w:rPr>
              <w:t>(</w:t>
            </w:r>
            <w:hyperlink r:id="rId62" w:history="1">
              <w:r w:rsidRPr="00EA63C5">
                <w:rPr>
                  <w:rStyle w:val="Hyperlink"/>
                  <w:sz w:val="20"/>
                  <w:szCs w:val="20"/>
                  <w:lang w:val="en-US"/>
                </w:rPr>
                <w:t>3</w:t>
              </w:r>
              <w:r w:rsidR="00AA43E5" w:rsidRPr="00EA63C5">
                <w:rPr>
                  <w:rStyle w:val="Hyperlink"/>
                  <w:sz w:val="20"/>
                  <w:szCs w:val="20"/>
                  <w:lang w:val="en-US"/>
                </w:rPr>
                <w:t>6777</w:t>
              </w:r>
            </w:hyperlink>
            <w:r w:rsidRPr="00EA63C5">
              <w:rPr>
                <w:sz w:val="20"/>
                <w:szCs w:val="20"/>
                <w:lang w:val="en-US"/>
              </w:rPr>
              <w:t>)</w:t>
            </w:r>
          </w:p>
          <w:p w:rsidR="007C47C2" w:rsidRPr="00EA63C5" w:rsidRDefault="007C47C2" w:rsidP="00E942C2">
            <w:pPr>
              <w:widowControl w:val="0"/>
              <w:rPr>
                <w:b/>
                <w:sz w:val="20"/>
                <w:szCs w:val="20"/>
                <w:lang w:val="en-US"/>
              </w:rPr>
            </w:pPr>
          </w:p>
          <w:p w:rsidR="007C47C2" w:rsidRPr="00EA63C5" w:rsidRDefault="00AA43E5" w:rsidP="00E942C2">
            <w:pPr>
              <w:widowControl w:val="0"/>
              <w:rPr>
                <w:sz w:val="20"/>
                <w:szCs w:val="20"/>
                <w:lang w:val="fr-CA"/>
              </w:rPr>
            </w:pPr>
            <w:r w:rsidRPr="00EA63C5">
              <w:rPr>
                <w:b/>
                <w:sz w:val="20"/>
                <w:szCs w:val="20"/>
                <w:lang w:val="en-US"/>
              </w:rPr>
              <w:t xml:space="preserve">Her Majesty the Queen (Alta.) </w:t>
            </w:r>
            <w:r w:rsidRPr="00EA63C5">
              <w:rPr>
                <w:b/>
                <w:sz w:val="20"/>
                <w:szCs w:val="20"/>
                <w:lang w:val="fr-CA"/>
              </w:rPr>
              <w:t>(</w:t>
            </w:r>
            <w:proofErr w:type="spellStart"/>
            <w:r w:rsidRPr="00EA63C5">
              <w:rPr>
                <w:b/>
                <w:sz w:val="20"/>
                <w:szCs w:val="20"/>
                <w:lang w:val="fr-CA"/>
              </w:rPr>
              <w:t>Crim</w:t>
            </w:r>
            <w:proofErr w:type="spellEnd"/>
            <w:r w:rsidRPr="00EA63C5">
              <w:rPr>
                <w:b/>
                <w:sz w:val="20"/>
                <w:szCs w:val="20"/>
                <w:lang w:val="fr-CA"/>
              </w:rPr>
              <w:t>.) (As of Right)</w:t>
            </w:r>
            <w:r w:rsidR="007C47C2" w:rsidRPr="00EA63C5">
              <w:rPr>
                <w:sz w:val="20"/>
                <w:szCs w:val="20"/>
                <w:lang w:val="fr-CA"/>
              </w:rPr>
              <w:t xml:space="preserve"> </w:t>
            </w:r>
          </w:p>
        </w:tc>
        <w:tc>
          <w:tcPr>
            <w:tcW w:w="720" w:type="dxa"/>
            <w:tcMar>
              <w:left w:w="0" w:type="dxa"/>
              <w:right w:w="0" w:type="dxa"/>
            </w:tcMar>
          </w:tcPr>
          <w:p w:rsidR="007C47C2" w:rsidRPr="00EA63C5" w:rsidRDefault="007C47C2" w:rsidP="00E942C2">
            <w:pPr>
              <w:widowControl w:val="0"/>
              <w:jc w:val="center"/>
              <w:rPr>
                <w:sz w:val="20"/>
                <w:szCs w:val="20"/>
                <w:lang w:val="fr-CA"/>
              </w:rPr>
            </w:pPr>
          </w:p>
        </w:tc>
        <w:tc>
          <w:tcPr>
            <w:tcW w:w="4380" w:type="dxa"/>
            <w:tcMar>
              <w:left w:w="0" w:type="dxa"/>
              <w:right w:w="0" w:type="dxa"/>
            </w:tcMar>
          </w:tcPr>
          <w:p w:rsidR="007C47C2" w:rsidRPr="00EA63C5" w:rsidRDefault="00AA43E5" w:rsidP="00E942C2">
            <w:pPr>
              <w:widowControl w:val="0"/>
              <w:jc w:val="both"/>
              <w:rPr>
                <w:sz w:val="20"/>
                <w:szCs w:val="20"/>
                <w:lang w:val="en-US"/>
              </w:rPr>
            </w:pPr>
            <w:r w:rsidRPr="00EA63C5">
              <w:rPr>
                <w:sz w:val="20"/>
                <w:szCs w:val="20"/>
                <w:lang w:val="en-US"/>
              </w:rPr>
              <w:t xml:space="preserve">Jennifer </w:t>
            </w:r>
            <w:proofErr w:type="spellStart"/>
            <w:r w:rsidRPr="00EA63C5">
              <w:rPr>
                <w:sz w:val="20"/>
                <w:szCs w:val="20"/>
                <w:lang w:val="en-US"/>
              </w:rPr>
              <w:t>Ruttan</w:t>
            </w:r>
            <w:proofErr w:type="spellEnd"/>
            <w:r w:rsidRPr="00EA63C5">
              <w:rPr>
                <w:sz w:val="20"/>
                <w:szCs w:val="20"/>
                <w:lang w:val="en-US"/>
              </w:rPr>
              <w:t xml:space="preserve"> and Michael Bates for the </w:t>
            </w:r>
            <w:proofErr w:type="spellStart"/>
            <w:r w:rsidRPr="00EA63C5">
              <w:rPr>
                <w:sz w:val="20"/>
                <w:szCs w:val="20"/>
                <w:lang w:val="en-US"/>
              </w:rPr>
              <w:t>appelant</w:t>
            </w:r>
            <w:proofErr w:type="spellEnd"/>
            <w:r w:rsidRPr="00EA63C5">
              <w:rPr>
                <w:sz w:val="20"/>
                <w:szCs w:val="20"/>
                <w:lang w:val="en-US"/>
              </w:rPr>
              <w:t>.</w:t>
            </w:r>
          </w:p>
          <w:p w:rsidR="00AA43E5" w:rsidRPr="00EA63C5" w:rsidRDefault="00AA43E5" w:rsidP="00E942C2">
            <w:pPr>
              <w:widowControl w:val="0"/>
              <w:jc w:val="both"/>
              <w:rPr>
                <w:sz w:val="20"/>
                <w:szCs w:val="20"/>
                <w:lang w:val="en-US"/>
              </w:rPr>
            </w:pPr>
          </w:p>
          <w:p w:rsidR="00AA43E5" w:rsidRPr="00EA63C5" w:rsidRDefault="00AA43E5" w:rsidP="00E942C2">
            <w:pPr>
              <w:widowControl w:val="0"/>
              <w:jc w:val="both"/>
              <w:rPr>
                <w:sz w:val="20"/>
                <w:szCs w:val="20"/>
                <w:lang w:val="en-US"/>
              </w:rPr>
            </w:pPr>
            <w:r w:rsidRPr="00EA63C5">
              <w:rPr>
                <w:sz w:val="20"/>
                <w:szCs w:val="20"/>
                <w:lang w:val="en-US"/>
              </w:rPr>
              <w:t xml:space="preserve">Christine </w:t>
            </w:r>
            <w:proofErr w:type="spellStart"/>
            <w:r w:rsidRPr="00EA63C5">
              <w:rPr>
                <w:sz w:val="20"/>
                <w:szCs w:val="20"/>
                <w:lang w:val="en-US"/>
              </w:rPr>
              <w:t>Rideout</w:t>
            </w:r>
            <w:proofErr w:type="spellEnd"/>
            <w:r w:rsidRPr="00EA63C5">
              <w:rPr>
                <w:sz w:val="20"/>
                <w:szCs w:val="20"/>
                <w:lang w:val="en-US"/>
              </w:rPr>
              <w:t xml:space="preserve"> for the respondent.</w:t>
            </w:r>
          </w:p>
        </w:tc>
      </w:tr>
    </w:tbl>
    <w:p w:rsidR="007C47C2" w:rsidRPr="00EA63C5" w:rsidRDefault="007C47C2" w:rsidP="007C47C2">
      <w:pPr>
        <w:widowControl w:val="0"/>
        <w:rPr>
          <w:sz w:val="20"/>
          <w:szCs w:val="20"/>
          <w:lang w:val="en-US"/>
        </w:rPr>
      </w:pPr>
    </w:p>
    <w:p w:rsidR="00AA43E5" w:rsidRPr="00EA63C5" w:rsidRDefault="00AA43E5" w:rsidP="00AA43E5">
      <w:pPr>
        <w:rPr>
          <w:rFonts w:eastAsia="Calibri" w:cs="Times New Roman"/>
          <w:b/>
          <w:bCs/>
          <w:sz w:val="20"/>
          <w:szCs w:val="20"/>
          <w:lang w:val="en-US"/>
        </w:rPr>
      </w:pPr>
      <w:r w:rsidRPr="00EA63C5">
        <w:rPr>
          <w:rFonts w:eastAsia="Calibri" w:cs="Times New Roman"/>
          <w:b/>
          <w:bCs/>
          <w:sz w:val="20"/>
          <w:szCs w:val="20"/>
          <w:lang w:val="en-US"/>
        </w:rPr>
        <w:t xml:space="preserve">2016 </w:t>
      </w:r>
      <w:r w:rsidRPr="00EA63C5">
        <w:rPr>
          <w:rFonts w:eastAsia="Calibri" w:cs="Times New Roman"/>
          <w:b/>
          <w:bCs/>
          <w:sz w:val="20"/>
          <w:szCs w:val="20"/>
        </w:rPr>
        <w:t>SCC 40</w:t>
      </w:r>
      <w:r w:rsidRPr="00EA63C5">
        <w:rPr>
          <w:rFonts w:eastAsia="Calibri" w:cs="Times New Roman"/>
          <w:b/>
          <w:bCs/>
          <w:sz w:val="20"/>
          <w:szCs w:val="20"/>
          <w:lang w:val="en-US"/>
        </w:rPr>
        <w:t xml:space="preserve"> / 2016 CSC 40</w:t>
      </w:r>
    </w:p>
    <w:p w:rsidR="00AA43E5" w:rsidRPr="00EA63C5" w:rsidRDefault="00AA43E5" w:rsidP="007C47C2">
      <w:pPr>
        <w:widowControl w:val="0"/>
        <w:rPr>
          <w:sz w:val="20"/>
          <w:szCs w:val="20"/>
          <w:lang w:val="en-US"/>
        </w:rPr>
      </w:pPr>
    </w:p>
    <w:p w:rsidR="007C47C2" w:rsidRPr="00EA63C5" w:rsidRDefault="00AA43E5" w:rsidP="007C47C2">
      <w:pPr>
        <w:widowControl w:val="0"/>
        <w:rPr>
          <w:sz w:val="20"/>
          <w:szCs w:val="20"/>
        </w:rPr>
      </w:pPr>
      <w:r w:rsidRPr="00EA63C5">
        <w:rPr>
          <w:b/>
          <w:sz w:val="20"/>
          <w:szCs w:val="20"/>
          <w:lang w:val="fr-CA"/>
        </w:rPr>
        <w:t>DISMISSED / REJETÉ</w:t>
      </w:r>
    </w:p>
    <w:p w:rsidR="007C47C2" w:rsidRPr="00EA63C5"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A43E5" w:rsidRPr="007F6DC5" w:rsidTr="00280F42">
        <w:tc>
          <w:tcPr>
            <w:tcW w:w="4380" w:type="dxa"/>
            <w:tcMar>
              <w:left w:w="0" w:type="dxa"/>
              <w:right w:w="0" w:type="dxa"/>
            </w:tcMar>
          </w:tcPr>
          <w:p w:rsidR="00AA43E5" w:rsidRPr="00EA63C5" w:rsidRDefault="00AA43E5" w:rsidP="00280F42">
            <w:pPr>
              <w:widowControl w:val="0"/>
              <w:jc w:val="both"/>
              <w:rPr>
                <w:b/>
                <w:sz w:val="20"/>
                <w:szCs w:val="20"/>
                <w:u w:val="single"/>
              </w:rPr>
            </w:pPr>
            <w:r w:rsidRPr="00EA63C5">
              <w:rPr>
                <w:b/>
                <w:sz w:val="20"/>
                <w:szCs w:val="20"/>
                <w:u w:val="single"/>
              </w:rPr>
              <w:t>JUDGMENT:</w:t>
            </w:r>
          </w:p>
          <w:p w:rsidR="00AA43E5" w:rsidRPr="00EA63C5" w:rsidRDefault="00AA43E5" w:rsidP="00280F42">
            <w:pPr>
              <w:widowControl w:val="0"/>
              <w:jc w:val="both"/>
              <w:rPr>
                <w:b/>
                <w:sz w:val="20"/>
                <w:szCs w:val="20"/>
              </w:rPr>
            </w:pPr>
          </w:p>
          <w:p w:rsidR="00AA43E5" w:rsidRPr="00EA63C5" w:rsidRDefault="00AA43E5" w:rsidP="00AA43E5">
            <w:pPr>
              <w:jc w:val="both"/>
              <w:rPr>
                <w:sz w:val="20"/>
                <w:szCs w:val="20"/>
              </w:rPr>
            </w:pPr>
            <w:r w:rsidRPr="00EA63C5">
              <w:rPr>
                <w:sz w:val="20"/>
                <w:szCs w:val="20"/>
              </w:rPr>
              <w:t xml:space="preserve">The appeal from the judgment of the Court of Appeal of Alberta (Calgary), Number 1401-0306-A, 2015 ABCA 354, dated November 20, 2015, was heard on October 14, 2016, and the Court on that day delivered the following judgment orally: </w:t>
            </w:r>
          </w:p>
          <w:p w:rsidR="00AA43E5" w:rsidRPr="00EA63C5" w:rsidRDefault="00AA43E5" w:rsidP="00AA43E5">
            <w:pPr>
              <w:jc w:val="both"/>
              <w:rPr>
                <w:sz w:val="20"/>
                <w:szCs w:val="20"/>
              </w:rPr>
            </w:pPr>
          </w:p>
          <w:p w:rsidR="00AA43E5" w:rsidRPr="00EA63C5" w:rsidRDefault="00AA43E5" w:rsidP="00AA43E5">
            <w:pPr>
              <w:jc w:val="both"/>
              <w:rPr>
                <w:smallCaps/>
                <w:sz w:val="20"/>
                <w:szCs w:val="20"/>
              </w:rPr>
            </w:pPr>
          </w:p>
          <w:p w:rsidR="00AA43E5" w:rsidRPr="00EA63C5" w:rsidRDefault="00AA43E5" w:rsidP="00AA43E5">
            <w:pPr>
              <w:jc w:val="both"/>
              <w:rPr>
                <w:b/>
                <w:sz w:val="20"/>
                <w:szCs w:val="20"/>
              </w:rPr>
            </w:pPr>
            <w:r w:rsidRPr="00EA63C5">
              <w:rPr>
                <w:smallCaps/>
                <w:sz w:val="20"/>
                <w:szCs w:val="20"/>
              </w:rPr>
              <w:t>Abella</w:t>
            </w:r>
            <w:r w:rsidRPr="00EA63C5">
              <w:rPr>
                <w:sz w:val="20"/>
                <w:szCs w:val="20"/>
              </w:rPr>
              <w:t xml:space="preserve"> J. </w:t>
            </w:r>
            <w:r w:rsidRPr="00EA63C5">
              <w:rPr>
                <w:rFonts w:cs="Times New Roman"/>
                <w:sz w:val="20"/>
                <w:szCs w:val="20"/>
              </w:rPr>
              <w:t>—</w:t>
            </w:r>
            <w:r w:rsidRPr="00EA63C5">
              <w:rPr>
                <w:sz w:val="20"/>
                <w:szCs w:val="20"/>
              </w:rPr>
              <w:t xml:space="preserve"> A majority of this panel is of the view that the appeal should be dismissed substantially for the reasons of Justice </w:t>
            </w:r>
            <w:proofErr w:type="spellStart"/>
            <w:r w:rsidRPr="00EA63C5">
              <w:rPr>
                <w:sz w:val="20"/>
                <w:szCs w:val="20"/>
              </w:rPr>
              <w:t>O’Ferrall</w:t>
            </w:r>
            <w:proofErr w:type="spellEnd"/>
            <w:r w:rsidRPr="00EA63C5">
              <w:rPr>
                <w:sz w:val="20"/>
                <w:szCs w:val="20"/>
              </w:rPr>
              <w:t>. Justice C</w:t>
            </w:r>
            <w:r w:rsidRPr="00EA63C5">
              <w:rPr>
                <w:rFonts w:cs="Times New Roman"/>
                <w:sz w:val="20"/>
                <w:szCs w:val="20"/>
              </w:rPr>
              <w:t>ô</w:t>
            </w:r>
            <w:r w:rsidRPr="00EA63C5">
              <w:rPr>
                <w:sz w:val="20"/>
                <w:szCs w:val="20"/>
              </w:rPr>
              <w:t>t</w:t>
            </w:r>
            <w:r w:rsidRPr="00EA63C5">
              <w:rPr>
                <w:rFonts w:cs="Times New Roman"/>
                <w:sz w:val="20"/>
                <w:szCs w:val="20"/>
              </w:rPr>
              <w:t>é and I would allow the appeal primarily on the basis that the cumulative effect of the multiple breaches warranted the exclusion of the breathalyzer evidence.</w:t>
            </w:r>
          </w:p>
        </w:tc>
        <w:tc>
          <w:tcPr>
            <w:tcW w:w="720" w:type="dxa"/>
            <w:tcMar>
              <w:left w:w="0" w:type="dxa"/>
              <w:right w:w="0" w:type="dxa"/>
            </w:tcMar>
          </w:tcPr>
          <w:p w:rsidR="00AA43E5" w:rsidRPr="00EA63C5" w:rsidRDefault="00AA43E5" w:rsidP="00280F42">
            <w:pPr>
              <w:widowControl w:val="0"/>
              <w:jc w:val="center"/>
              <w:rPr>
                <w:sz w:val="20"/>
                <w:szCs w:val="20"/>
              </w:rPr>
            </w:pPr>
          </w:p>
        </w:tc>
        <w:tc>
          <w:tcPr>
            <w:tcW w:w="4380" w:type="dxa"/>
            <w:tcMar>
              <w:left w:w="0" w:type="dxa"/>
              <w:right w:w="0" w:type="dxa"/>
            </w:tcMar>
          </w:tcPr>
          <w:p w:rsidR="00AA43E5" w:rsidRPr="00EA63C5" w:rsidRDefault="00AA43E5" w:rsidP="00280F42">
            <w:pPr>
              <w:widowControl w:val="0"/>
              <w:jc w:val="both"/>
              <w:rPr>
                <w:b/>
                <w:sz w:val="20"/>
                <w:szCs w:val="20"/>
                <w:u w:val="single"/>
                <w:lang w:val="fr-CA"/>
              </w:rPr>
            </w:pPr>
            <w:r w:rsidRPr="00EA63C5">
              <w:rPr>
                <w:b/>
                <w:sz w:val="20"/>
                <w:szCs w:val="20"/>
                <w:u w:val="single"/>
                <w:lang w:val="fr-CA"/>
              </w:rPr>
              <w:t>JUGEMENT :</w:t>
            </w:r>
          </w:p>
          <w:p w:rsidR="00AA43E5" w:rsidRPr="00EA63C5" w:rsidRDefault="00AA43E5" w:rsidP="00280F42">
            <w:pPr>
              <w:widowControl w:val="0"/>
              <w:jc w:val="both"/>
              <w:rPr>
                <w:sz w:val="20"/>
                <w:szCs w:val="20"/>
                <w:lang w:val="fr-CA"/>
              </w:rPr>
            </w:pPr>
          </w:p>
          <w:p w:rsidR="00AA43E5" w:rsidRPr="00EA63C5" w:rsidRDefault="00AA43E5" w:rsidP="00AA43E5">
            <w:pPr>
              <w:jc w:val="both"/>
              <w:rPr>
                <w:sz w:val="20"/>
                <w:szCs w:val="20"/>
                <w:lang w:val="fr-CA"/>
              </w:rPr>
            </w:pPr>
            <w:r w:rsidRPr="00EA63C5">
              <w:rPr>
                <w:sz w:val="20"/>
                <w:szCs w:val="20"/>
                <w:lang w:val="fr-CA"/>
              </w:rPr>
              <w:t xml:space="preserve">L’appel interjeté contre l’arrêt de la </w:t>
            </w:r>
            <w:r w:rsidRPr="00EA63C5">
              <w:rPr>
                <w:sz w:val="20"/>
                <w:szCs w:val="20"/>
                <w:lang w:val="fr-FR"/>
              </w:rPr>
              <w:t>Cour d’appel de l’Alberta (Calgary)</w:t>
            </w:r>
            <w:r w:rsidRPr="00EA63C5">
              <w:rPr>
                <w:sz w:val="20"/>
                <w:szCs w:val="20"/>
                <w:lang w:val="fr-CA"/>
              </w:rPr>
              <w:t xml:space="preserve">, numéro </w:t>
            </w:r>
            <w:r w:rsidRPr="00EA63C5">
              <w:rPr>
                <w:sz w:val="20"/>
                <w:szCs w:val="20"/>
                <w:lang w:val="fr-FR"/>
              </w:rPr>
              <w:t>1401-0306-A, 2015 ABCA 354</w:t>
            </w:r>
            <w:r w:rsidRPr="00EA63C5">
              <w:rPr>
                <w:sz w:val="20"/>
                <w:szCs w:val="20"/>
                <w:lang w:val="fr-CA"/>
              </w:rPr>
              <w:t xml:space="preserve">, daté du </w:t>
            </w:r>
            <w:r w:rsidRPr="00EA63C5">
              <w:rPr>
                <w:sz w:val="20"/>
                <w:szCs w:val="20"/>
                <w:lang w:val="fr-FR"/>
              </w:rPr>
              <w:t>20 novembre 2015</w:t>
            </w:r>
            <w:r w:rsidRPr="00EA63C5">
              <w:rPr>
                <w:sz w:val="20"/>
                <w:szCs w:val="20"/>
                <w:lang w:val="fr-CA"/>
              </w:rPr>
              <w:t xml:space="preserve">, a été entendu le </w:t>
            </w:r>
            <w:r w:rsidRPr="00EA63C5">
              <w:rPr>
                <w:sz w:val="20"/>
                <w:szCs w:val="20"/>
                <w:lang w:val="fr-FR"/>
              </w:rPr>
              <w:t>14 octobre 2016</w:t>
            </w:r>
            <w:r w:rsidRPr="00EA63C5">
              <w:rPr>
                <w:sz w:val="20"/>
                <w:szCs w:val="20"/>
                <w:lang w:val="fr-CA"/>
              </w:rPr>
              <w:t xml:space="preserve"> et la Cour a prononcé oralement le même jour le jugement suivant:</w:t>
            </w:r>
          </w:p>
          <w:p w:rsidR="00AA43E5" w:rsidRPr="00EA63C5" w:rsidRDefault="00AA43E5" w:rsidP="00AA43E5">
            <w:pPr>
              <w:jc w:val="both"/>
              <w:rPr>
                <w:sz w:val="20"/>
                <w:szCs w:val="20"/>
                <w:lang w:val="fr-CA"/>
              </w:rPr>
            </w:pPr>
          </w:p>
          <w:p w:rsidR="00AA43E5" w:rsidRPr="00EA63C5" w:rsidRDefault="00AA43E5" w:rsidP="00AA43E5">
            <w:pPr>
              <w:jc w:val="both"/>
              <w:rPr>
                <w:smallCaps/>
                <w:sz w:val="20"/>
                <w:szCs w:val="20"/>
                <w:lang w:val="fr-CA"/>
              </w:rPr>
            </w:pPr>
            <w:r w:rsidRPr="00EA63C5">
              <w:rPr>
                <w:sz w:val="20"/>
                <w:szCs w:val="20"/>
                <w:lang w:val="fr-CA"/>
              </w:rPr>
              <w:t>[</w:t>
            </w:r>
            <w:r w:rsidRPr="00EA63C5">
              <w:rPr>
                <w:smallCaps/>
                <w:sz w:val="20"/>
                <w:szCs w:val="20"/>
                <w:lang w:val="fr-CA"/>
              </w:rPr>
              <w:t>traduction]</w:t>
            </w:r>
          </w:p>
          <w:p w:rsidR="00AA43E5" w:rsidRPr="00EA63C5" w:rsidRDefault="00AA43E5" w:rsidP="00AA43E5">
            <w:pPr>
              <w:jc w:val="both"/>
              <w:rPr>
                <w:sz w:val="20"/>
                <w:szCs w:val="20"/>
                <w:lang w:val="fr-CA"/>
              </w:rPr>
            </w:pPr>
            <w:r w:rsidRPr="00EA63C5">
              <w:rPr>
                <w:smallCaps/>
                <w:sz w:val="20"/>
                <w:szCs w:val="20"/>
                <w:lang w:val="fr-CA"/>
              </w:rPr>
              <w:t>La juge Abella</w:t>
            </w:r>
            <w:r w:rsidRPr="00EA63C5">
              <w:rPr>
                <w:sz w:val="20"/>
                <w:szCs w:val="20"/>
                <w:lang w:val="fr-CA"/>
              </w:rPr>
              <w:t xml:space="preserve"> </w:t>
            </w:r>
            <w:r w:rsidRPr="00EA63C5">
              <w:rPr>
                <w:rFonts w:cs="Times New Roman"/>
                <w:sz w:val="20"/>
                <w:szCs w:val="20"/>
                <w:lang w:val="fr-CA"/>
              </w:rPr>
              <w:t>—</w:t>
            </w:r>
            <w:r w:rsidRPr="00EA63C5">
              <w:rPr>
                <w:sz w:val="20"/>
                <w:szCs w:val="20"/>
                <w:lang w:val="fr-CA"/>
              </w:rPr>
              <w:t xml:space="preserve"> La majorité des membres de la présente formation sont d’avis de rejeter le pourvoi, essentiellement pour les motifs exposés par le juge </w:t>
            </w:r>
            <w:proofErr w:type="spellStart"/>
            <w:r w:rsidRPr="00EA63C5">
              <w:rPr>
                <w:sz w:val="20"/>
                <w:szCs w:val="20"/>
                <w:lang w:val="fr-CA"/>
              </w:rPr>
              <w:t>O’Ferrall</w:t>
            </w:r>
            <w:proofErr w:type="spellEnd"/>
            <w:r w:rsidRPr="00EA63C5">
              <w:rPr>
                <w:sz w:val="20"/>
                <w:szCs w:val="20"/>
                <w:lang w:val="fr-CA"/>
              </w:rPr>
              <w:t>. La juge Côté et moi-même ferions droit à l’appel, principalement pour la raison que l’effet cumulatif des multiples manquements justifiait l’exclusion de la preuve relative à l’alcootest.</w:t>
            </w:r>
          </w:p>
          <w:p w:rsidR="00AA43E5" w:rsidRPr="00EA63C5" w:rsidRDefault="00AA43E5" w:rsidP="00280F42">
            <w:pPr>
              <w:jc w:val="both"/>
              <w:rPr>
                <w:sz w:val="20"/>
                <w:szCs w:val="20"/>
                <w:lang w:val="fr-CA"/>
              </w:rPr>
            </w:pPr>
          </w:p>
        </w:tc>
      </w:tr>
    </w:tbl>
    <w:p w:rsidR="00AA43E5" w:rsidRPr="00EA63C5" w:rsidRDefault="00AA43E5" w:rsidP="007C47C2">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F6DC5" w:rsidTr="00E942C2">
        <w:tc>
          <w:tcPr>
            <w:tcW w:w="4380" w:type="dxa"/>
            <w:tcMar>
              <w:left w:w="0" w:type="dxa"/>
              <w:right w:w="0" w:type="dxa"/>
            </w:tcMar>
          </w:tcPr>
          <w:p w:rsidR="007C47C2" w:rsidRPr="00EA63C5" w:rsidRDefault="007C47C2" w:rsidP="00E942C2">
            <w:pPr>
              <w:widowControl w:val="0"/>
              <w:jc w:val="both"/>
              <w:rPr>
                <w:b/>
                <w:sz w:val="20"/>
                <w:szCs w:val="20"/>
                <w:u w:val="single"/>
              </w:rPr>
            </w:pPr>
            <w:r w:rsidRPr="00EA63C5">
              <w:rPr>
                <w:b/>
                <w:sz w:val="20"/>
                <w:szCs w:val="20"/>
                <w:u w:val="single"/>
              </w:rPr>
              <w:t>Nature of the case:</w:t>
            </w:r>
          </w:p>
          <w:p w:rsidR="007C47C2" w:rsidRPr="00EA63C5" w:rsidRDefault="007C47C2" w:rsidP="00E942C2">
            <w:pPr>
              <w:widowControl w:val="0"/>
              <w:jc w:val="both"/>
              <w:rPr>
                <w:b/>
                <w:sz w:val="20"/>
                <w:szCs w:val="20"/>
              </w:rPr>
            </w:pPr>
          </w:p>
          <w:p w:rsidR="00AA43E5" w:rsidRPr="00EA63C5" w:rsidRDefault="00AA43E5" w:rsidP="00AA43E5">
            <w:pPr>
              <w:widowControl w:val="0"/>
              <w:jc w:val="both"/>
              <w:rPr>
                <w:sz w:val="20"/>
                <w:szCs w:val="20"/>
              </w:rPr>
            </w:pPr>
            <w:r w:rsidRPr="00EA63C5">
              <w:rPr>
                <w:sz w:val="20"/>
                <w:szCs w:val="20"/>
              </w:rPr>
              <w:t xml:space="preserve">Charter of Rights - Criminal law - Arbitrary detention - Right to counsel - Search and seizure - Remedy - Accused convicted of seven charges arising from motor vehicle collision - Whether arresting officer had reasonable and probable grounds to arrest accused - Whether breath sample evidence ought to be excluded because it was obtained in violation of the accused’s rights under the </w:t>
            </w:r>
            <w:r w:rsidRPr="00EA63C5">
              <w:rPr>
                <w:i/>
                <w:sz w:val="20"/>
                <w:szCs w:val="20"/>
              </w:rPr>
              <w:t>Canadian Charter of Rights and Freedoms</w:t>
            </w:r>
            <w:r w:rsidRPr="00EA63C5">
              <w:rPr>
                <w:sz w:val="20"/>
                <w:szCs w:val="20"/>
              </w:rPr>
              <w:t xml:space="preserve"> - Whether the admission of the evidence would bring the administration of justice into disrepute.</w:t>
            </w:r>
          </w:p>
          <w:p w:rsidR="007C47C2" w:rsidRPr="00EA63C5" w:rsidRDefault="007C47C2" w:rsidP="00E942C2">
            <w:pPr>
              <w:widowControl w:val="0"/>
              <w:jc w:val="both"/>
              <w:rPr>
                <w:b/>
                <w:sz w:val="20"/>
                <w:szCs w:val="20"/>
              </w:rPr>
            </w:pPr>
          </w:p>
        </w:tc>
        <w:tc>
          <w:tcPr>
            <w:tcW w:w="720" w:type="dxa"/>
            <w:tcMar>
              <w:left w:w="0" w:type="dxa"/>
              <w:right w:w="0" w:type="dxa"/>
            </w:tcMar>
          </w:tcPr>
          <w:p w:rsidR="007C47C2" w:rsidRPr="00EA63C5" w:rsidRDefault="007C47C2" w:rsidP="00E942C2">
            <w:pPr>
              <w:widowControl w:val="0"/>
              <w:jc w:val="center"/>
              <w:rPr>
                <w:sz w:val="20"/>
                <w:szCs w:val="20"/>
              </w:rPr>
            </w:pPr>
          </w:p>
        </w:tc>
        <w:tc>
          <w:tcPr>
            <w:tcW w:w="4380" w:type="dxa"/>
            <w:tcMar>
              <w:left w:w="0" w:type="dxa"/>
              <w:right w:w="0" w:type="dxa"/>
            </w:tcMar>
          </w:tcPr>
          <w:p w:rsidR="007C47C2" w:rsidRPr="00EA63C5" w:rsidRDefault="007C47C2" w:rsidP="00E942C2">
            <w:pPr>
              <w:widowControl w:val="0"/>
              <w:jc w:val="both"/>
              <w:rPr>
                <w:b/>
                <w:sz w:val="20"/>
                <w:szCs w:val="20"/>
                <w:u w:val="single"/>
                <w:lang w:val="fr-CA"/>
              </w:rPr>
            </w:pPr>
            <w:r w:rsidRPr="00EA63C5">
              <w:rPr>
                <w:b/>
                <w:sz w:val="20"/>
                <w:szCs w:val="20"/>
                <w:u w:val="single"/>
                <w:lang w:val="fr-CA"/>
              </w:rPr>
              <w:t>Nature de la cause :</w:t>
            </w:r>
          </w:p>
          <w:p w:rsidR="007C47C2" w:rsidRPr="00EA63C5" w:rsidRDefault="007C47C2" w:rsidP="00E942C2">
            <w:pPr>
              <w:widowControl w:val="0"/>
              <w:jc w:val="both"/>
              <w:rPr>
                <w:sz w:val="20"/>
                <w:szCs w:val="20"/>
                <w:lang w:val="fr-CA"/>
              </w:rPr>
            </w:pPr>
          </w:p>
          <w:p w:rsidR="00AA43E5" w:rsidRPr="00EA63C5" w:rsidRDefault="00AA43E5" w:rsidP="00AA43E5">
            <w:pPr>
              <w:widowControl w:val="0"/>
              <w:jc w:val="both"/>
              <w:rPr>
                <w:sz w:val="20"/>
                <w:szCs w:val="20"/>
                <w:lang w:val="fr-CA"/>
              </w:rPr>
            </w:pPr>
            <w:r w:rsidRPr="00EA63C5">
              <w:rPr>
                <w:sz w:val="20"/>
                <w:szCs w:val="20"/>
                <w:lang w:val="fr-CA"/>
              </w:rPr>
              <w:t xml:space="preserve">Charte des droits - Droit criminel - Détention arbitraire - Droit à l’assistance d’un avocat - Fouilles, perquisitions et saisies - Réparation - Inculpé reconnu coupable de sept accusations découlant d’un accident de voiture - Le policier avait-il des motifs raisonnables et probables d’arrêter l’inculpé? - Y </w:t>
            </w:r>
            <w:proofErr w:type="spellStart"/>
            <w:r w:rsidRPr="00EA63C5">
              <w:rPr>
                <w:sz w:val="20"/>
                <w:szCs w:val="20"/>
                <w:lang w:val="fr-CA"/>
              </w:rPr>
              <w:t>a-t-il</w:t>
            </w:r>
            <w:proofErr w:type="spellEnd"/>
            <w:r w:rsidRPr="00EA63C5">
              <w:rPr>
                <w:sz w:val="20"/>
                <w:szCs w:val="20"/>
                <w:lang w:val="fr-CA"/>
              </w:rPr>
              <w:t xml:space="preserve"> lieu d’exclure les échantillons d’haleine produits en preuve parce qu’ils ont été obtenus en violation des droits que la </w:t>
            </w:r>
            <w:r w:rsidRPr="00EA63C5">
              <w:rPr>
                <w:i/>
                <w:sz w:val="20"/>
                <w:szCs w:val="20"/>
                <w:lang w:val="fr-CA"/>
              </w:rPr>
              <w:t>Charte canadienne des droits et libertés</w:t>
            </w:r>
            <w:r w:rsidRPr="00EA63C5">
              <w:rPr>
                <w:sz w:val="20"/>
                <w:szCs w:val="20"/>
                <w:lang w:val="fr-CA"/>
              </w:rPr>
              <w:t xml:space="preserve"> garantit à l’inculpé? - L’admission de la preuve est-elle susceptible de déconsidérer l’administration de la justice? </w:t>
            </w:r>
          </w:p>
          <w:p w:rsidR="007C47C2" w:rsidRPr="00EA63C5" w:rsidRDefault="007C47C2" w:rsidP="00E942C2">
            <w:pPr>
              <w:widowControl w:val="0"/>
              <w:jc w:val="both"/>
              <w:rPr>
                <w:sz w:val="20"/>
                <w:szCs w:val="20"/>
                <w:lang w:val="fr-CA"/>
              </w:rPr>
            </w:pPr>
          </w:p>
        </w:tc>
      </w:tr>
    </w:tbl>
    <w:p w:rsidR="007C47C2" w:rsidRPr="00EA63C5" w:rsidRDefault="007C47C2" w:rsidP="007C47C2">
      <w:pPr>
        <w:widowControl w:val="0"/>
        <w:rPr>
          <w:sz w:val="20"/>
          <w:szCs w:val="20"/>
          <w:lang w:val="fr-CA"/>
        </w:rPr>
      </w:pPr>
    </w:p>
    <w:p w:rsidR="002A27D1" w:rsidRPr="00EA63C5" w:rsidRDefault="007F6DC5" w:rsidP="002A27D1">
      <w:pPr>
        <w:widowControl w:val="0"/>
        <w:rPr>
          <w:sz w:val="20"/>
          <w:szCs w:val="20"/>
        </w:rPr>
      </w:pPr>
      <w:r>
        <w:rPr>
          <w:sz w:val="20"/>
          <w:szCs w:val="20"/>
          <w:lang w:val="fr-CA"/>
        </w:rPr>
        <w:pict>
          <v:rect id="_x0000_i1081" style="width:2in;height:1pt" o:hrpct="0" o:hralign="center" o:hrstd="t" o:hrnoshade="t" o:hr="t" fillcolor="black [3213]" stroked="f"/>
        </w:pict>
      </w:r>
    </w:p>
    <w:p w:rsidR="002A27D1" w:rsidRPr="00EA63C5" w:rsidRDefault="002A27D1" w:rsidP="002A27D1">
      <w:pPr>
        <w:widowControl w:val="0"/>
        <w:rPr>
          <w:sz w:val="20"/>
          <w:szCs w:val="20"/>
        </w:rPr>
      </w:pPr>
    </w:p>
    <w:p w:rsidR="00913864" w:rsidRPr="00EA63C5" w:rsidRDefault="00913864">
      <w:pPr>
        <w:rPr>
          <w:sz w:val="20"/>
          <w:szCs w:val="20"/>
        </w:rPr>
      </w:pPr>
      <w:r w:rsidRPr="00EA63C5">
        <w:rPr>
          <w:sz w:val="20"/>
          <w:szCs w:val="20"/>
        </w:rPr>
        <w:br w:type="page"/>
      </w:r>
    </w:p>
    <w:p w:rsidR="007C47C2" w:rsidRPr="00EA63C5" w:rsidRDefault="00AA43E5" w:rsidP="007C47C2">
      <w:pPr>
        <w:widowControl w:val="0"/>
        <w:rPr>
          <w:sz w:val="20"/>
          <w:szCs w:val="20"/>
        </w:rPr>
      </w:pPr>
      <w:r w:rsidRPr="00EA63C5">
        <w:rPr>
          <w:sz w:val="20"/>
          <w:szCs w:val="20"/>
        </w:rPr>
        <w:lastRenderedPageBreak/>
        <w:t>14.10.2016</w:t>
      </w:r>
    </w:p>
    <w:p w:rsidR="007C47C2" w:rsidRPr="00EA63C5" w:rsidRDefault="007C47C2" w:rsidP="007C47C2">
      <w:pPr>
        <w:widowControl w:val="0"/>
        <w:rPr>
          <w:sz w:val="20"/>
          <w:szCs w:val="20"/>
        </w:rPr>
      </w:pPr>
    </w:p>
    <w:p w:rsidR="007C47C2" w:rsidRPr="00EA63C5" w:rsidRDefault="007C47C2" w:rsidP="007C47C2">
      <w:pPr>
        <w:widowControl w:val="0"/>
        <w:ind w:left="720" w:hanging="720"/>
        <w:rPr>
          <w:sz w:val="20"/>
          <w:szCs w:val="20"/>
        </w:rPr>
      </w:pPr>
      <w:r w:rsidRPr="00EA63C5">
        <w:rPr>
          <w:sz w:val="20"/>
          <w:szCs w:val="20"/>
        </w:rPr>
        <w:t xml:space="preserve">Coram: </w:t>
      </w:r>
      <w:r w:rsidRPr="00EA63C5">
        <w:rPr>
          <w:sz w:val="20"/>
          <w:szCs w:val="20"/>
        </w:rPr>
        <w:tab/>
      </w:r>
      <w:r w:rsidR="00AA43E5" w:rsidRPr="00EA63C5">
        <w:rPr>
          <w:sz w:val="20"/>
          <w:szCs w:val="20"/>
          <w:u w:val="single"/>
        </w:rPr>
        <w:t>Abella, Moldaver, Wagner, Côté and Brown JJ.</w:t>
      </w:r>
      <w:r w:rsidRPr="00EA63C5">
        <w:rPr>
          <w:sz w:val="20"/>
          <w:szCs w:val="20"/>
        </w:rPr>
        <w:t xml:space="preserve"> </w:t>
      </w:r>
    </w:p>
    <w:p w:rsidR="007C47C2" w:rsidRPr="00EA63C5"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A63C5" w:rsidTr="00E942C2">
        <w:tc>
          <w:tcPr>
            <w:tcW w:w="4380" w:type="dxa"/>
            <w:tcMar>
              <w:left w:w="0" w:type="dxa"/>
              <w:right w:w="0" w:type="dxa"/>
            </w:tcMar>
          </w:tcPr>
          <w:p w:rsidR="007C47C2" w:rsidRPr="00EA63C5" w:rsidRDefault="007C47C2" w:rsidP="00E942C2">
            <w:pPr>
              <w:widowControl w:val="0"/>
              <w:jc w:val="both"/>
              <w:rPr>
                <w:b/>
                <w:sz w:val="20"/>
                <w:szCs w:val="20"/>
              </w:rPr>
            </w:pPr>
            <w:r w:rsidRPr="00EA63C5">
              <w:rPr>
                <w:b/>
                <w:sz w:val="20"/>
                <w:szCs w:val="20"/>
              </w:rPr>
              <w:t>Her Majesty the Queen</w:t>
            </w:r>
          </w:p>
          <w:p w:rsidR="007C47C2" w:rsidRPr="00EA63C5" w:rsidRDefault="007C47C2" w:rsidP="00E942C2">
            <w:pPr>
              <w:widowControl w:val="0"/>
              <w:jc w:val="both"/>
              <w:rPr>
                <w:b/>
                <w:sz w:val="20"/>
                <w:szCs w:val="20"/>
              </w:rPr>
            </w:pPr>
          </w:p>
          <w:p w:rsidR="007C47C2" w:rsidRPr="00EA63C5" w:rsidRDefault="007C47C2" w:rsidP="00E942C2">
            <w:pPr>
              <w:widowControl w:val="0"/>
              <w:tabs>
                <w:tab w:val="left" w:pos="736"/>
              </w:tabs>
              <w:jc w:val="both"/>
              <w:rPr>
                <w:b/>
                <w:sz w:val="20"/>
                <w:szCs w:val="20"/>
              </w:rPr>
            </w:pPr>
            <w:r w:rsidRPr="00EA63C5">
              <w:rPr>
                <w:b/>
                <w:sz w:val="20"/>
                <w:szCs w:val="20"/>
              </w:rPr>
              <w:tab/>
              <w:t xml:space="preserve">v. </w:t>
            </w:r>
            <w:r w:rsidRPr="00EA63C5">
              <w:rPr>
                <w:sz w:val="20"/>
                <w:szCs w:val="20"/>
              </w:rPr>
              <w:t>(</w:t>
            </w:r>
            <w:hyperlink r:id="rId63" w:history="1">
              <w:r w:rsidRPr="00EA63C5">
                <w:rPr>
                  <w:rStyle w:val="Hyperlink"/>
                  <w:sz w:val="20"/>
                  <w:szCs w:val="20"/>
                </w:rPr>
                <w:t>3</w:t>
              </w:r>
              <w:r w:rsidR="00AA43E5" w:rsidRPr="00EA63C5">
                <w:rPr>
                  <w:rStyle w:val="Hyperlink"/>
                  <w:sz w:val="20"/>
                  <w:szCs w:val="20"/>
                </w:rPr>
                <w:t>6877</w:t>
              </w:r>
            </w:hyperlink>
            <w:r w:rsidRPr="00EA63C5">
              <w:rPr>
                <w:sz w:val="20"/>
                <w:szCs w:val="20"/>
              </w:rPr>
              <w:t>)</w:t>
            </w:r>
          </w:p>
          <w:p w:rsidR="007C47C2" w:rsidRPr="00EA63C5" w:rsidRDefault="007C47C2" w:rsidP="00E942C2">
            <w:pPr>
              <w:widowControl w:val="0"/>
              <w:jc w:val="both"/>
              <w:rPr>
                <w:b/>
                <w:sz w:val="20"/>
                <w:szCs w:val="20"/>
              </w:rPr>
            </w:pPr>
          </w:p>
          <w:p w:rsidR="007C47C2" w:rsidRPr="00EA63C5" w:rsidRDefault="00AA43E5" w:rsidP="00E942C2">
            <w:pPr>
              <w:widowControl w:val="0"/>
              <w:jc w:val="both"/>
              <w:rPr>
                <w:sz w:val="20"/>
                <w:szCs w:val="20"/>
              </w:rPr>
            </w:pPr>
            <w:r w:rsidRPr="00EA63C5">
              <w:rPr>
                <w:b/>
                <w:sz w:val="20"/>
                <w:szCs w:val="20"/>
              </w:rPr>
              <w:t>C.K-D.</w:t>
            </w:r>
          </w:p>
        </w:tc>
        <w:tc>
          <w:tcPr>
            <w:tcW w:w="720" w:type="dxa"/>
            <w:tcMar>
              <w:left w:w="0" w:type="dxa"/>
              <w:right w:w="0" w:type="dxa"/>
            </w:tcMar>
          </w:tcPr>
          <w:p w:rsidR="007C47C2" w:rsidRPr="00EA63C5" w:rsidRDefault="007C47C2" w:rsidP="00E942C2">
            <w:pPr>
              <w:widowControl w:val="0"/>
              <w:jc w:val="center"/>
              <w:rPr>
                <w:sz w:val="20"/>
                <w:szCs w:val="20"/>
              </w:rPr>
            </w:pPr>
          </w:p>
        </w:tc>
        <w:tc>
          <w:tcPr>
            <w:tcW w:w="4380" w:type="dxa"/>
            <w:tcMar>
              <w:left w:w="0" w:type="dxa"/>
              <w:right w:w="0" w:type="dxa"/>
            </w:tcMar>
          </w:tcPr>
          <w:p w:rsidR="00AA43E5" w:rsidRPr="00EA63C5" w:rsidRDefault="00AA43E5" w:rsidP="00E942C2">
            <w:pPr>
              <w:widowControl w:val="0"/>
              <w:jc w:val="both"/>
              <w:rPr>
                <w:sz w:val="20"/>
                <w:szCs w:val="20"/>
              </w:rPr>
            </w:pPr>
            <w:r w:rsidRPr="00EA63C5">
              <w:rPr>
                <w:sz w:val="20"/>
                <w:szCs w:val="20"/>
              </w:rPr>
              <w:t>Michael Bernstein for the appellant.</w:t>
            </w:r>
          </w:p>
          <w:p w:rsidR="00AA43E5" w:rsidRPr="00EA63C5" w:rsidRDefault="00AA43E5" w:rsidP="00E942C2">
            <w:pPr>
              <w:widowControl w:val="0"/>
              <w:jc w:val="both"/>
              <w:rPr>
                <w:sz w:val="20"/>
                <w:szCs w:val="20"/>
              </w:rPr>
            </w:pPr>
          </w:p>
          <w:p w:rsidR="007C47C2" w:rsidRPr="00EA63C5" w:rsidRDefault="00AA43E5" w:rsidP="00E942C2">
            <w:pPr>
              <w:widowControl w:val="0"/>
              <w:jc w:val="both"/>
              <w:rPr>
                <w:sz w:val="20"/>
                <w:szCs w:val="20"/>
                <w:lang w:val="en-US"/>
              </w:rPr>
            </w:pPr>
            <w:r w:rsidRPr="00EA63C5">
              <w:rPr>
                <w:sz w:val="20"/>
                <w:szCs w:val="20"/>
                <w:lang w:val="en-US"/>
              </w:rPr>
              <w:t xml:space="preserve">Louis P. </w:t>
            </w:r>
            <w:proofErr w:type="spellStart"/>
            <w:r w:rsidRPr="00EA63C5">
              <w:rPr>
                <w:sz w:val="20"/>
                <w:szCs w:val="20"/>
                <w:lang w:val="en-US"/>
              </w:rPr>
              <w:t>Strezos</w:t>
            </w:r>
            <w:proofErr w:type="spellEnd"/>
            <w:r w:rsidRPr="00EA63C5">
              <w:rPr>
                <w:sz w:val="20"/>
                <w:szCs w:val="20"/>
                <w:lang w:val="en-US"/>
              </w:rPr>
              <w:t xml:space="preserve">, Jill R. Presser and Jeff </w:t>
            </w:r>
            <w:proofErr w:type="spellStart"/>
            <w:r w:rsidRPr="00EA63C5">
              <w:rPr>
                <w:sz w:val="20"/>
                <w:szCs w:val="20"/>
                <w:lang w:val="en-US"/>
              </w:rPr>
              <w:t>Marshman</w:t>
            </w:r>
            <w:proofErr w:type="spellEnd"/>
            <w:r w:rsidRPr="00EA63C5">
              <w:rPr>
                <w:sz w:val="20"/>
                <w:szCs w:val="20"/>
                <w:lang w:val="en-US"/>
              </w:rPr>
              <w:t xml:space="preserve"> for the respondent</w:t>
            </w:r>
            <w:proofErr w:type="gramStart"/>
            <w:r w:rsidRPr="00EA63C5">
              <w:rPr>
                <w:sz w:val="20"/>
                <w:szCs w:val="20"/>
                <w:lang w:val="en-US"/>
              </w:rPr>
              <w:t>.</w:t>
            </w:r>
            <w:r w:rsidR="007C47C2" w:rsidRPr="00EA63C5">
              <w:rPr>
                <w:sz w:val="20"/>
                <w:szCs w:val="20"/>
                <w:lang w:val="en-US"/>
              </w:rPr>
              <w:t>.</w:t>
            </w:r>
            <w:proofErr w:type="gramEnd"/>
          </w:p>
        </w:tc>
      </w:tr>
    </w:tbl>
    <w:p w:rsidR="007C47C2" w:rsidRPr="00EA63C5" w:rsidRDefault="007C47C2" w:rsidP="007C47C2">
      <w:pPr>
        <w:widowControl w:val="0"/>
        <w:rPr>
          <w:lang w:val="en-US"/>
        </w:rPr>
      </w:pPr>
    </w:p>
    <w:p w:rsidR="007C47C2" w:rsidRPr="00EA63C5" w:rsidRDefault="007C47C2" w:rsidP="007C47C2">
      <w:pPr>
        <w:rPr>
          <w:rFonts w:eastAsia="Calibri" w:cs="Times New Roman"/>
          <w:b/>
          <w:bCs/>
          <w:sz w:val="20"/>
          <w:szCs w:val="20"/>
          <w:lang w:val="en-US"/>
        </w:rPr>
      </w:pPr>
      <w:r w:rsidRPr="00EA63C5">
        <w:rPr>
          <w:rFonts w:eastAsia="Calibri" w:cs="Times New Roman"/>
          <w:b/>
          <w:bCs/>
          <w:sz w:val="20"/>
          <w:szCs w:val="20"/>
          <w:lang w:val="en-US"/>
        </w:rPr>
        <w:t>201</w:t>
      </w:r>
      <w:r w:rsidR="00E942C2" w:rsidRPr="00EA63C5">
        <w:rPr>
          <w:rFonts w:eastAsia="Calibri" w:cs="Times New Roman"/>
          <w:b/>
          <w:bCs/>
          <w:sz w:val="20"/>
          <w:szCs w:val="20"/>
          <w:lang w:val="en-US"/>
        </w:rPr>
        <w:t>6</w:t>
      </w:r>
      <w:r w:rsidRPr="00EA63C5">
        <w:rPr>
          <w:rFonts w:eastAsia="Calibri" w:cs="Times New Roman"/>
          <w:b/>
          <w:bCs/>
          <w:sz w:val="20"/>
          <w:szCs w:val="20"/>
          <w:lang w:val="en-US"/>
        </w:rPr>
        <w:t xml:space="preserve"> </w:t>
      </w:r>
      <w:r w:rsidRPr="00EA63C5">
        <w:rPr>
          <w:rFonts w:eastAsia="Calibri" w:cs="Times New Roman"/>
          <w:b/>
          <w:bCs/>
          <w:sz w:val="20"/>
          <w:szCs w:val="20"/>
        </w:rPr>
        <w:t xml:space="preserve">SCC </w:t>
      </w:r>
      <w:r w:rsidR="00AA43E5" w:rsidRPr="00EA63C5">
        <w:rPr>
          <w:rFonts w:eastAsia="Calibri" w:cs="Times New Roman"/>
          <w:b/>
          <w:bCs/>
          <w:sz w:val="20"/>
          <w:szCs w:val="20"/>
        </w:rPr>
        <w:t>41</w:t>
      </w:r>
      <w:r w:rsidRPr="00EA63C5">
        <w:rPr>
          <w:rFonts w:eastAsia="Calibri" w:cs="Times New Roman"/>
          <w:b/>
          <w:bCs/>
          <w:sz w:val="20"/>
          <w:szCs w:val="20"/>
          <w:lang w:val="en-US"/>
        </w:rPr>
        <w:t xml:space="preserve"> / 201</w:t>
      </w:r>
      <w:r w:rsidR="00E942C2" w:rsidRPr="00EA63C5">
        <w:rPr>
          <w:rFonts w:eastAsia="Calibri" w:cs="Times New Roman"/>
          <w:b/>
          <w:bCs/>
          <w:sz w:val="20"/>
          <w:szCs w:val="20"/>
          <w:lang w:val="en-US"/>
        </w:rPr>
        <w:t>6</w:t>
      </w:r>
      <w:r w:rsidRPr="00EA63C5">
        <w:rPr>
          <w:rFonts w:eastAsia="Calibri" w:cs="Times New Roman"/>
          <w:b/>
          <w:bCs/>
          <w:sz w:val="20"/>
          <w:szCs w:val="20"/>
          <w:lang w:val="en-US"/>
        </w:rPr>
        <w:t xml:space="preserve"> CSC</w:t>
      </w:r>
      <w:r w:rsidR="00AA43E5" w:rsidRPr="00EA63C5">
        <w:rPr>
          <w:rFonts w:eastAsia="Calibri" w:cs="Times New Roman"/>
          <w:b/>
          <w:bCs/>
          <w:sz w:val="20"/>
          <w:szCs w:val="20"/>
          <w:lang w:val="en-US"/>
        </w:rPr>
        <w:t xml:space="preserve"> 41</w:t>
      </w:r>
    </w:p>
    <w:p w:rsidR="007C47C2" w:rsidRPr="00EA63C5" w:rsidRDefault="007C47C2" w:rsidP="007C47C2">
      <w:pPr>
        <w:widowControl w:val="0"/>
        <w:rPr>
          <w:sz w:val="20"/>
          <w:szCs w:val="20"/>
        </w:rPr>
      </w:pPr>
    </w:p>
    <w:p w:rsidR="007C47C2" w:rsidRPr="00EA63C5" w:rsidRDefault="007C47C2" w:rsidP="007C47C2">
      <w:pPr>
        <w:widowControl w:val="0"/>
        <w:rPr>
          <w:sz w:val="20"/>
          <w:szCs w:val="20"/>
        </w:rPr>
      </w:pPr>
      <w:r w:rsidRPr="00EA63C5">
        <w:rPr>
          <w:b/>
          <w:sz w:val="20"/>
          <w:szCs w:val="20"/>
        </w:rPr>
        <w:t>ALLOWED / ACCU</w:t>
      </w:r>
      <w:r w:rsidRPr="00EA63C5">
        <w:rPr>
          <w:b/>
          <w:sz w:val="20"/>
          <w:szCs w:val="20"/>
          <w:lang w:val="en-US"/>
        </w:rPr>
        <w:t>EILLI</w:t>
      </w:r>
    </w:p>
    <w:p w:rsidR="007C47C2" w:rsidRPr="00EA63C5"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F6DC5" w:rsidTr="00E942C2">
        <w:tc>
          <w:tcPr>
            <w:tcW w:w="4380" w:type="dxa"/>
            <w:tcMar>
              <w:left w:w="0" w:type="dxa"/>
              <w:right w:w="0" w:type="dxa"/>
            </w:tcMar>
          </w:tcPr>
          <w:p w:rsidR="007C47C2" w:rsidRPr="00EA63C5" w:rsidRDefault="007C47C2" w:rsidP="00E942C2">
            <w:pPr>
              <w:widowControl w:val="0"/>
              <w:jc w:val="both"/>
              <w:rPr>
                <w:b/>
                <w:sz w:val="20"/>
                <w:szCs w:val="20"/>
                <w:u w:val="single"/>
              </w:rPr>
            </w:pPr>
            <w:r w:rsidRPr="00EA63C5">
              <w:rPr>
                <w:b/>
                <w:sz w:val="20"/>
                <w:szCs w:val="20"/>
                <w:u w:val="single"/>
              </w:rPr>
              <w:t>JUDGMENT:</w:t>
            </w:r>
          </w:p>
          <w:p w:rsidR="007C47C2" w:rsidRPr="00EA63C5" w:rsidRDefault="007C47C2" w:rsidP="00E942C2">
            <w:pPr>
              <w:widowControl w:val="0"/>
              <w:jc w:val="both"/>
              <w:rPr>
                <w:b/>
                <w:sz w:val="20"/>
                <w:szCs w:val="20"/>
              </w:rPr>
            </w:pPr>
          </w:p>
          <w:p w:rsidR="00AA43E5" w:rsidRPr="00EA63C5" w:rsidRDefault="00AA43E5" w:rsidP="00AA43E5">
            <w:pPr>
              <w:jc w:val="both"/>
              <w:rPr>
                <w:rFonts w:cs="Times New Roman"/>
                <w:sz w:val="20"/>
                <w:szCs w:val="20"/>
              </w:rPr>
            </w:pPr>
            <w:r w:rsidRPr="00EA63C5">
              <w:rPr>
                <w:rFonts w:cs="Times New Roman"/>
                <w:sz w:val="20"/>
                <w:szCs w:val="20"/>
              </w:rPr>
              <w:t xml:space="preserve">The appeal from the judgment of the Court of Appeal for Ontario, Number C59503, 2016 ONCA 66, dated January 25, 2016, was heard on October 14, 2016, and the Court on that day delivered the following judgment orally: </w:t>
            </w:r>
          </w:p>
          <w:p w:rsidR="00AA43E5" w:rsidRPr="00EA63C5" w:rsidRDefault="00AA43E5" w:rsidP="00AA43E5">
            <w:pPr>
              <w:jc w:val="both"/>
              <w:rPr>
                <w:rFonts w:cs="Times New Roman"/>
                <w:sz w:val="20"/>
                <w:szCs w:val="20"/>
              </w:rPr>
            </w:pPr>
          </w:p>
          <w:p w:rsidR="00AA43E5" w:rsidRPr="00EA63C5" w:rsidRDefault="00AA43E5" w:rsidP="00AA43E5">
            <w:pPr>
              <w:jc w:val="both"/>
              <w:rPr>
                <w:rFonts w:cs="Times New Roman"/>
                <w:sz w:val="20"/>
                <w:szCs w:val="20"/>
              </w:rPr>
            </w:pPr>
          </w:p>
          <w:p w:rsidR="00AA43E5" w:rsidRPr="00EA63C5" w:rsidRDefault="00AA43E5" w:rsidP="00AA43E5">
            <w:pPr>
              <w:jc w:val="both"/>
              <w:rPr>
                <w:rFonts w:cs="Times New Roman"/>
                <w:sz w:val="20"/>
                <w:szCs w:val="20"/>
              </w:rPr>
            </w:pPr>
            <w:r w:rsidRPr="00EA63C5">
              <w:rPr>
                <w:rFonts w:cs="Times New Roman"/>
                <w:smallCaps/>
                <w:sz w:val="20"/>
                <w:szCs w:val="20"/>
              </w:rPr>
              <w:t>Wagner J.</w:t>
            </w:r>
            <w:r w:rsidRPr="00EA63C5">
              <w:rPr>
                <w:rFonts w:cs="Times New Roman"/>
                <w:sz w:val="20"/>
                <w:szCs w:val="20"/>
              </w:rPr>
              <w:t xml:space="preserve"> — The trial judge’s charge to the jury as a whole conveyed the correct instruction to the jury on the proper approach to assessing A.Y.’s evidence and credibility. On this basis, the appeal should be allowed and the convictions restored.  </w:t>
            </w:r>
          </w:p>
          <w:p w:rsidR="007C47C2" w:rsidRPr="00EA63C5" w:rsidRDefault="007C47C2" w:rsidP="00E942C2">
            <w:pPr>
              <w:jc w:val="both"/>
              <w:rPr>
                <w:b/>
                <w:sz w:val="20"/>
                <w:szCs w:val="20"/>
              </w:rPr>
            </w:pPr>
          </w:p>
        </w:tc>
        <w:tc>
          <w:tcPr>
            <w:tcW w:w="720" w:type="dxa"/>
            <w:tcMar>
              <w:left w:w="0" w:type="dxa"/>
              <w:right w:w="0" w:type="dxa"/>
            </w:tcMar>
          </w:tcPr>
          <w:p w:rsidR="007C47C2" w:rsidRPr="00EA63C5" w:rsidRDefault="007C47C2" w:rsidP="00E942C2">
            <w:pPr>
              <w:widowControl w:val="0"/>
              <w:jc w:val="center"/>
              <w:rPr>
                <w:sz w:val="20"/>
                <w:szCs w:val="20"/>
              </w:rPr>
            </w:pPr>
          </w:p>
        </w:tc>
        <w:tc>
          <w:tcPr>
            <w:tcW w:w="4380" w:type="dxa"/>
            <w:tcMar>
              <w:left w:w="0" w:type="dxa"/>
              <w:right w:w="0" w:type="dxa"/>
            </w:tcMar>
          </w:tcPr>
          <w:p w:rsidR="007C47C2" w:rsidRPr="00EA63C5" w:rsidRDefault="007C47C2" w:rsidP="00E942C2">
            <w:pPr>
              <w:widowControl w:val="0"/>
              <w:jc w:val="both"/>
              <w:rPr>
                <w:b/>
                <w:sz w:val="20"/>
                <w:szCs w:val="20"/>
                <w:u w:val="single"/>
                <w:lang w:val="fr-CA"/>
              </w:rPr>
            </w:pPr>
            <w:r w:rsidRPr="00EA63C5">
              <w:rPr>
                <w:b/>
                <w:sz w:val="20"/>
                <w:szCs w:val="20"/>
                <w:u w:val="single"/>
                <w:lang w:val="fr-CA"/>
              </w:rPr>
              <w:t>JUGEMENT :</w:t>
            </w:r>
          </w:p>
          <w:p w:rsidR="007C47C2" w:rsidRPr="00EA63C5" w:rsidRDefault="007C47C2" w:rsidP="00E942C2">
            <w:pPr>
              <w:widowControl w:val="0"/>
              <w:jc w:val="both"/>
              <w:rPr>
                <w:sz w:val="20"/>
                <w:szCs w:val="20"/>
                <w:lang w:val="fr-CA"/>
              </w:rPr>
            </w:pPr>
          </w:p>
          <w:p w:rsidR="00AA43E5" w:rsidRPr="00EA63C5" w:rsidRDefault="00AA43E5" w:rsidP="00AA43E5">
            <w:pPr>
              <w:jc w:val="both"/>
              <w:rPr>
                <w:rFonts w:cs="Times New Roman"/>
                <w:sz w:val="20"/>
                <w:szCs w:val="20"/>
                <w:lang w:val="fr-CA"/>
              </w:rPr>
            </w:pPr>
            <w:r w:rsidRPr="00EA63C5">
              <w:rPr>
                <w:rFonts w:cs="Times New Roman"/>
                <w:sz w:val="20"/>
                <w:szCs w:val="20"/>
                <w:lang w:val="fr-CA"/>
              </w:rPr>
              <w:t>L’appel interjeté contre l’arrêt de la Cour d’appel de l’Ontario, numéro C59503, 2016 ONCA 66, daté du 25 janvier 2016, a été entendu le 14 octobre 2016 et la Cour a prononcé oralement le même jour le jugement suivant :</w:t>
            </w:r>
          </w:p>
          <w:p w:rsidR="00AA43E5" w:rsidRPr="00EA63C5" w:rsidRDefault="00AA43E5" w:rsidP="00AA43E5">
            <w:pPr>
              <w:jc w:val="both"/>
              <w:rPr>
                <w:rFonts w:cs="Times New Roman"/>
                <w:sz w:val="20"/>
                <w:szCs w:val="20"/>
                <w:lang w:val="fr-CA"/>
              </w:rPr>
            </w:pPr>
          </w:p>
          <w:p w:rsidR="00AA43E5" w:rsidRPr="00EA63C5" w:rsidRDefault="00AA43E5" w:rsidP="00AA43E5">
            <w:pPr>
              <w:jc w:val="both"/>
              <w:rPr>
                <w:rFonts w:cs="Times New Roman"/>
                <w:sz w:val="20"/>
                <w:szCs w:val="20"/>
                <w:lang w:val="fr-CA"/>
              </w:rPr>
            </w:pPr>
            <w:r w:rsidRPr="00EA63C5">
              <w:rPr>
                <w:rFonts w:cs="Times New Roman"/>
                <w:sz w:val="20"/>
                <w:szCs w:val="20"/>
                <w:lang w:val="fr-CA"/>
              </w:rPr>
              <w:t>[</w:t>
            </w:r>
            <w:r w:rsidRPr="00EA63C5">
              <w:rPr>
                <w:rFonts w:cs="Times New Roman"/>
                <w:smallCaps/>
                <w:sz w:val="20"/>
                <w:szCs w:val="20"/>
                <w:lang w:val="fr-CA"/>
              </w:rPr>
              <w:t>traduction</w:t>
            </w:r>
            <w:r w:rsidRPr="00EA63C5">
              <w:rPr>
                <w:rFonts w:cs="Times New Roman"/>
                <w:sz w:val="20"/>
                <w:szCs w:val="20"/>
                <w:lang w:val="fr-CA"/>
              </w:rPr>
              <w:t>]</w:t>
            </w:r>
          </w:p>
          <w:p w:rsidR="00AA43E5" w:rsidRPr="00EA63C5" w:rsidRDefault="00AA43E5" w:rsidP="00AA43E5">
            <w:pPr>
              <w:jc w:val="both"/>
              <w:rPr>
                <w:rFonts w:cs="Times New Roman"/>
                <w:sz w:val="20"/>
                <w:szCs w:val="20"/>
                <w:lang w:val="fr-CA"/>
              </w:rPr>
            </w:pPr>
            <w:r w:rsidRPr="00EA63C5">
              <w:rPr>
                <w:rFonts w:cs="Times New Roman"/>
                <w:smallCaps/>
                <w:sz w:val="20"/>
                <w:szCs w:val="20"/>
                <w:lang w:val="fr-CA"/>
              </w:rPr>
              <w:t>Le juge Wagner</w:t>
            </w:r>
            <w:r w:rsidRPr="00EA63C5">
              <w:rPr>
                <w:rFonts w:cs="Times New Roman"/>
                <w:sz w:val="20"/>
                <w:szCs w:val="20"/>
                <w:lang w:val="fr-CA"/>
              </w:rPr>
              <w:t xml:space="preserve"> — </w:t>
            </w:r>
            <w:r w:rsidRPr="00EA63C5">
              <w:rPr>
                <w:sz w:val="20"/>
                <w:szCs w:val="20"/>
                <w:lang w:val="fr-CA"/>
              </w:rPr>
              <w:t xml:space="preserve">Considéré globalement, l’exposé de la juge du procès aux jurés a fourni à ces derniers les directives appropriées sur la façon d’apprécier le témoignage et la crédibilité </w:t>
            </w:r>
            <w:proofErr w:type="gramStart"/>
            <w:r w:rsidRPr="00EA63C5">
              <w:rPr>
                <w:sz w:val="20"/>
                <w:szCs w:val="20"/>
                <w:lang w:val="fr-CA"/>
              </w:rPr>
              <w:t>de A.Y</w:t>
            </w:r>
            <w:proofErr w:type="gramEnd"/>
            <w:r w:rsidRPr="00EA63C5">
              <w:rPr>
                <w:sz w:val="20"/>
                <w:szCs w:val="20"/>
                <w:lang w:val="fr-CA"/>
              </w:rPr>
              <w:t>.  Pour cette raison, il y a lieu d’accueillir l’appel et de rétablir les déclarations de culpabilité.</w:t>
            </w:r>
            <w:r w:rsidRPr="00EA63C5">
              <w:rPr>
                <w:rFonts w:cs="Times New Roman"/>
                <w:sz w:val="20"/>
                <w:szCs w:val="20"/>
                <w:lang w:val="fr-CA"/>
              </w:rPr>
              <w:t xml:space="preserve"> </w:t>
            </w:r>
          </w:p>
          <w:p w:rsidR="007C47C2" w:rsidRPr="00EA63C5" w:rsidRDefault="007C47C2" w:rsidP="00E942C2">
            <w:pPr>
              <w:jc w:val="both"/>
              <w:rPr>
                <w:sz w:val="20"/>
                <w:szCs w:val="20"/>
                <w:lang w:val="fr-CA"/>
              </w:rPr>
            </w:pPr>
          </w:p>
        </w:tc>
      </w:tr>
    </w:tbl>
    <w:p w:rsidR="007C47C2" w:rsidRPr="00EA63C5"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EA63C5" w:rsidTr="00E942C2">
        <w:tc>
          <w:tcPr>
            <w:tcW w:w="4380" w:type="dxa"/>
            <w:tcMar>
              <w:left w:w="0" w:type="dxa"/>
              <w:right w:w="0" w:type="dxa"/>
            </w:tcMar>
          </w:tcPr>
          <w:p w:rsidR="007C47C2" w:rsidRPr="00EA63C5" w:rsidRDefault="007C47C2" w:rsidP="00E942C2">
            <w:pPr>
              <w:widowControl w:val="0"/>
              <w:jc w:val="both"/>
              <w:rPr>
                <w:b/>
                <w:sz w:val="20"/>
                <w:szCs w:val="20"/>
                <w:u w:val="single"/>
              </w:rPr>
            </w:pPr>
            <w:r w:rsidRPr="00EA63C5">
              <w:rPr>
                <w:b/>
                <w:sz w:val="20"/>
                <w:szCs w:val="20"/>
                <w:u w:val="single"/>
              </w:rPr>
              <w:t>Nature of the case:</w:t>
            </w:r>
          </w:p>
          <w:p w:rsidR="007C47C2" w:rsidRPr="00EA63C5" w:rsidRDefault="007C47C2" w:rsidP="00E942C2">
            <w:pPr>
              <w:widowControl w:val="0"/>
              <w:jc w:val="both"/>
              <w:rPr>
                <w:b/>
                <w:sz w:val="20"/>
                <w:szCs w:val="20"/>
              </w:rPr>
            </w:pPr>
          </w:p>
          <w:p w:rsidR="00AA43E5" w:rsidRPr="00EA63C5" w:rsidRDefault="00AA43E5" w:rsidP="00AA43E5">
            <w:pPr>
              <w:widowControl w:val="0"/>
              <w:jc w:val="both"/>
              <w:rPr>
                <w:sz w:val="20"/>
                <w:szCs w:val="20"/>
              </w:rPr>
            </w:pPr>
            <w:r w:rsidRPr="00EA63C5">
              <w:rPr>
                <w:sz w:val="20"/>
                <w:szCs w:val="20"/>
              </w:rPr>
              <w:t xml:space="preserve">Criminal law - Charge to jury - Whether the majority of the Court of Appeal erred in law in holding that the trial judge misdirected the jury on the standard to be used in assessing the complainant’s credibility given that the offences occurred when she was 12 years old and she testified when she was 17 years old - Whether the majority of the Court of Appeal erred in law in failing to apply the curative proviso in section 686(1)(b)(iii) of the </w:t>
            </w:r>
            <w:r w:rsidRPr="00EA63C5">
              <w:rPr>
                <w:i/>
                <w:sz w:val="20"/>
                <w:szCs w:val="20"/>
              </w:rPr>
              <w:t>Criminal Code</w:t>
            </w:r>
            <w:r w:rsidRPr="00EA63C5">
              <w:rPr>
                <w:sz w:val="20"/>
                <w:szCs w:val="20"/>
              </w:rPr>
              <w:t>, R.S.C. 1985, c. C-46.</w:t>
            </w:r>
          </w:p>
          <w:p w:rsidR="007C47C2" w:rsidRPr="00EA63C5" w:rsidRDefault="007C47C2" w:rsidP="00E942C2">
            <w:pPr>
              <w:widowControl w:val="0"/>
              <w:jc w:val="both"/>
              <w:rPr>
                <w:b/>
                <w:sz w:val="20"/>
                <w:szCs w:val="20"/>
              </w:rPr>
            </w:pPr>
          </w:p>
        </w:tc>
        <w:tc>
          <w:tcPr>
            <w:tcW w:w="720" w:type="dxa"/>
            <w:tcMar>
              <w:left w:w="0" w:type="dxa"/>
              <w:right w:w="0" w:type="dxa"/>
            </w:tcMar>
          </w:tcPr>
          <w:p w:rsidR="007C47C2" w:rsidRPr="00EA63C5" w:rsidRDefault="007C47C2" w:rsidP="00E942C2">
            <w:pPr>
              <w:widowControl w:val="0"/>
              <w:jc w:val="center"/>
              <w:rPr>
                <w:sz w:val="20"/>
                <w:szCs w:val="20"/>
              </w:rPr>
            </w:pPr>
          </w:p>
        </w:tc>
        <w:tc>
          <w:tcPr>
            <w:tcW w:w="4380" w:type="dxa"/>
            <w:tcMar>
              <w:left w:w="0" w:type="dxa"/>
              <w:right w:w="0" w:type="dxa"/>
            </w:tcMar>
          </w:tcPr>
          <w:p w:rsidR="007C47C2" w:rsidRPr="00EA63C5" w:rsidRDefault="007C47C2" w:rsidP="00E942C2">
            <w:pPr>
              <w:widowControl w:val="0"/>
              <w:jc w:val="both"/>
              <w:rPr>
                <w:b/>
                <w:sz w:val="20"/>
                <w:szCs w:val="20"/>
                <w:u w:val="single"/>
                <w:lang w:val="fr-CA"/>
              </w:rPr>
            </w:pPr>
            <w:r w:rsidRPr="00EA63C5">
              <w:rPr>
                <w:b/>
                <w:sz w:val="20"/>
                <w:szCs w:val="20"/>
                <w:u w:val="single"/>
                <w:lang w:val="fr-CA"/>
              </w:rPr>
              <w:t>Nature de la cause :</w:t>
            </w:r>
          </w:p>
          <w:p w:rsidR="007C47C2" w:rsidRPr="00EA63C5" w:rsidRDefault="007C47C2" w:rsidP="00E942C2">
            <w:pPr>
              <w:widowControl w:val="0"/>
              <w:jc w:val="both"/>
              <w:rPr>
                <w:sz w:val="20"/>
                <w:szCs w:val="20"/>
                <w:lang w:val="fr-CA"/>
              </w:rPr>
            </w:pPr>
          </w:p>
          <w:p w:rsidR="00DD0EE8" w:rsidRPr="00EA63C5" w:rsidRDefault="00DD0EE8" w:rsidP="00DD0EE8">
            <w:pPr>
              <w:widowControl w:val="0"/>
              <w:jc w:val="both"/>
              <w:rPr>
                <w:sz w:val="20"/>
                <w:szCs w:val="20"/>
                <w:lang w:val="fr-CA"/>
              </w:rPr>
            </w:pPr>
            <w:r w:rsidRPr="00EA63C5">
              <w:rPr>
                <w:sz w:val="20"/>
                <w:szCs w:val="20"/>
                <w:lang w:val="fr-CA"/>
              </w:rPr>
              <w:t>Droit criminel - Exposé au jury - Les juges majoritaires de la Cour d’appel ont-ils commis une erreur de droit en statuant que la juge du procès a donné au jury des directives erronées sur la norme pour apprécier la crédibilité de la plaignante, vu que l’infraction avait été commise alors que cette dernière était âgée de 12 ans et qu’elle avait livré son témoignage à l’âge de 17 ans? - Les juges majoritaires de la Cour d’appel ont-ils commis une erreur de droit en omettant d’appliquer la disposition réparatrice prévue au sous-alinéa 686(1)b</w:t>
            </w:r>
            <w:proofErr w:type="gramStart"/>
            <w:r w:rsidRPr="00EA63C5">
              <w:rPr>
                <w:sz w:val="20"/>
                <w:szCs w:val="20"/>
                <w:lang w:val="fr-CA"/>
              </w:rPr>
              <w:t>)(</w:t>
            </w:r>
            <w:proofErr w:type="gramEnd"/>
            <w:r w:rsidRPr="00EA63C5">
              <w:rPr>
                <w:sz w:val="20"/>
                <w:szCs w:val="20"/>
                <w:lang w:val="fr-CA"/>
              </w:rPr>
              <w:t xml:space="preserve">iii) du </w:t>
            </w:r>
            <w:r w:rsidRPr="00EA63C5">
              <w:rPr>
                <w:i/>
                <w:sz w:val="20"/>
                <w:szCs w:val="20"/>
                <w:lang w:val="fr-CA"/>
              </w:rPr>
              <w:t>Code criminel</w:t>
            </w:r>
            <w:r w:rsidRPr="00EA63C5">
              <w:rPr>
                <w:sz w:val="20"/>
                <w:szCs w:val="20"/>
                <w:lang w:val="fr-CA"/>
              </w:rPr>
              <w:t>, L.R.C. 1985, ch. C-46?</w:t>
            </w:r>
          </w:p>
          <w:p w:rsidR="007C47C2" w:rsidRPr="00EA63C5" w:rsidRDefault="007C47C2" w:rsidP="00E942C2">
            <w:pPr>
              <w:widowControl w:val="0"/>
              <w:jc w:val="both"/>
              <w:rPr>
                <w:sz w:val="20"/>
                <w:szCs w:val="20"/>
                <w:lang w:val="fr-CA"/>
              </w:rPr>
            </w:pPr>
          </w:p>
        </w:tc>
      </w:tr>
    </w:tbl>
    <w:p w:rsidR="007C47C2" w:rsidRPr="00EA63C5" w:rsidRDefault="007C47C2" w:rsidP="007C47C2">
      <w:pPr>
        <w:widowControl w:val="0"/>
        <w:rPr>
          <w:sz w:val="20"/>
          <w:szCs w:val="20"/>
          <w:lang w:val="fr-CA"/>
        </w:rPr>
      </w:pPr>
    </w:p>
    <w:p w:rsidR="00E940EB" w:rsidRPr="00EA63C5" w:rsidRDefault="007F6DC5" w:rsidP="00732DB7">
      <w:pPr>
        <w:widowControl w:val="0"/>
        <w:rPr>
          <w:sz w:val="20"/>
          <w:szCs w:val="20"/>
          <w:lang w:val="fr-CA"/>
        </w:rPr>
      </w:pPr>
      <w:r>
        <w:rPr>
          <w:sz w:val="20"/>
          <w:szCs w:val="20"/>
          <w:lang w:val="fr-CA"/>
        </w:rPr>
        <w:pict>
          <v:rect id="_x0000_i1082" style="width:2in;height:1pt" o:hrpct="0" o:hralign="center" o:hrstd="t" o:hrnoshade="t" o:hr="t" fillcolor="black [3213]" stroked="f"/>
        </w:pict>
      </w:r>
    </w:p>
    <w:p w:rsidR="00D004FC" w:rsidRPr="00EA63C5" w:rsidRDefault="00D004FC" w:rsidP="00732DB7">
      <w:pPr>
        <w:widowControl w:val="0"/>
        <w:rPr>
          <w:sz w:val="20"/>
          <w:szCs w:val="20"/>
          <w:lang w:val="fr-CA"/>
        </w:rPr>
      </w:pPr>
    </w:p>
    <w:p w:rsidR="00732DB7" w:rsidRPr="00EA63C5" w:rsidRDefault="00732DB7" w:rsidP="00732DB7">
      <w:pPr>
        <w:widowControl w:val="0"/>
        <w:rPr>
          <w:sz w:val="20"/>
          <w:szCs w:val="20"/>
          <w:lang w:val="fr-CA"/>
        </w:rPr>
      </w:pPr>
    </w:p>
    <w:p w:rsidR="00732DB7" w:rsidRPr="00EA63C5" w:rsidRDefault="00732DB7" w:rsidP="00732DB7">
      <w:pPr>
        <w:widowControl w:val="0"/>
        <w:rPr>
          <w:sz w:val="20"/>
          <w:szCs w:val="20"/>
          <w:lang w:val="fr-CA"/>
        </w:rPr>
        <w:sectPr w:rsidR="00732DB7" w:rsidRPr="00EA63C5" w:rsidSect="00732DB7">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F6DC5" w:rsidTr="0085476B">
        <w:tc>
          <w:tcPr>
            <w:tcW w:w="4200" w:type="dxa"/>
            <w:tcMar>
              <w:left w:w="0" w:type="dxa"/>
              <w:right w:w="0" w:type="dxa"/>
            </w:tcMar>
          </w:tcPr>
          <w:p w:rsidR="00FF6EEC" w:rsidRPr="00EA63C5" w:rsidRDefault="00FF6EEC" w:rsidP="0085476B">
            <w:pPr>
              <w:keepNext/>
              <w:keepLines/>
              <w:tabs>
                <w:tab w:val="left" w:pos="-1440"/>
                <w:tab w:val="left" w:pos="-720"/>
              </w:tabs>
              <w:rPr>
                <w:b/>
                <w:szCs w:val="24"/>
              </w:rPr>
            </w:pPr>
            <w:r w:rsidRPr="00EA63C5">
              <w:rPr>
                <w:b/>
                <w:szCs w:val="24"/>
              </w:rPr>
              <w:lastRenderedPageBreak/>
              <w:t>PRONOUNCEMENTS OF APPEALS</w:t>
            </w:r>
            <w:r w:rsidR="0085476B" w:rsidRPr="00EA63C5">
              <w:rPr>
                <w:b/>
                <w:szCs w:val="24"/>
              </w:rPr>
              <w:t xml:space="preserve"> </w:t>
            </w:r>
            <w:r w:rsidRPr="00EA63C5">
              <w:rPr>
                <w:b/>
                <w:szCs w:val="24"/>
              </w:rPr>
              <w:t>RESERVED</w:t>
            </w:r>
          </w:p>
          <w:p w:rsidR="00FF6EEC" w:rsidRPr="00EA63C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EA63C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EA63C5">
              <w:rPr>
                <w:b/>
                <w:szCs w:val="24"/>
              </w:rPr>
              <w:t>Reasons for judgment are available</w:t>
            </w:r>
          </w:p>
        </w:tc>
        <w:tc>
          <w:tcPr>
            <w:tcW w:w="1200" w:type="dxa"/>
            <w:tcMar>
              <w:left w:w="0" w:type="dxa"/>
              <w:right w:w="0" w:type="dxa"/>
            </w:tcMar>
          </w:tcPr>
          <w:p w:rsidR="00FF6EEC" w:rsidRPr="00EA63C5" w:rsidRDefault="00FF6EEC" w:rsidP="00FF6EEC">
            <w:pPr>
              <w:keepNext/>
              <w:keepLines/>
              <w:tabs>
                <w:tab w:val="left" w:pos="-1440"/>
                <w:tab w:val="left" w:pos="-720"/>
              </w:tabs>
              <w:jc w:val="center"/>
              <w:rPr>
                <w:b/>
                <w:szCs w:val="24"/>
              </w:rPr>
            </w:pPr>
          </w:p>
          <w:p w:rsidR="00FF6EEC" w:rsidRPr="00EA63C5" w:rsidRDefault="00FF6EEC" w:rsidP="00FF6EEC">
            <w:pPr>
              <w:keepNext/>
              <w:keepLines/>
              <w:tabs>
                <w:tab w:val="left" w:pos="-1440"/>
                <w:tab w:val="left" w:pos="-720"/>
              </w:tabs>
              <w:jc w:val="center"/>
              <w:rPr>
                <w:b/>
                <w:szCs w:val="24"/>
              </w:rPr>
            </w:pPr>
          </w:p>
          <w:p w:rsidR="00FF6EEC" w:rsidRPr="00EA63C5" w:rsidRDefault="00FF6EEC" w:rsidP="00FF6EEC">
            <w:pPr>
              <w:keepNext/>
              <w:keepLines/>
              <w:tabs>
                <w:tab w:val="left" w:pos="-1440"/>
                <w:tab w:val="left" w:pos="-720"/>
              </w:tabs>
              <w:jc w:val="center"/>
              <w:rPr>
                <w:b/>
                <w:szCs w:val="24"/>
              </w:rPr>
            </w:pPr>
          </w:p>
          <w:p w:rsidR="00FF6EEC" w:rsidRPr="00EA63C5" w:rsidRDefault="00FF6EEC" w:rsidP="00FF6EEC">
            <w:pPr>
              <w:keepNext/>
              <w:keepLines/>
              <w:tabs>
                <w:tab w:val="left" w:pos="-1440"/>
                <w:tab w:val="left" w:pos="-720"/>
              </w:tabs>
              <w:jc w:val="center"/>
              <w:rPr>
                <w:b/>
                <w:szCs w:val="24"/>
              </w:rPr>
            </w:pPr>
          </w:p>
          <w:p w:rsidR="00FF6EEC" w:rsidRPr="00EA63C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EA63C5" w:rsidRDefault="00FF6EEC" w:rsidP="00FF6EEC">
            <w:pPr>
              <w:keepNext/>
              <w:keepLines/>
              <w:tabs>
                <w:tab w:val="left" w:pos="-1440"/>
                <w:tab w:val="left" w:pos="-720"/>
              </w:tabs>
              <w:rPr>
                <w:b/>
                <w:szCs w:val="24"/>
                <w:lang w:val="fr-CA"/>
              </w:rPr>
            </w:pPr>
            <w:r w:rsidRPr="00EA63C5">
              <w:rPr>
                <w:b/>
                <w:szCs w:val="24"/>
                <w:lang w:val="fr-CA"/>
              </w:rPr>
              <w:t>JUGEMENTS RENDUS SUR LES APPELS EN DÉLIBÉRÉ</w:t>
            </w:r>
          </w:p>
          <w:p w:rsidR="00FF6EEC" w:rsidRPr="00EA63C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EA63C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EA63C5">
              <w:rPr>
                <w:b/>
                <w:szCs w:val="24"/>
                <w:lang w:val="fr-CA"/>
              </w:rPr>
              <w:t>Les motifs de jugement sont disponibles</w:t>
            </w:r>
          </w:p>
        </w:tc>
      </w:tr>
    </w:tbl>
    <w:p w:rsidR="00FF6EEC" w:rsidRPr="00EA63C5" w:rsidRDefault="00FF6EEC" w:rsidP="00FF6EEC">
      <w:pPr>
        <w:rPr>
          <w:b/>
          <w:sz w:val="20"/>
          <w:szCs w:val="20"/>
          <w:lang w:val="fr-CA"/>
        </w:rPr>
      </w:pPr>
    </w:p>
    <w:p w:rsidR="0052229C" w:rsidRPr="00EA63C5" w:rsidRDefault="00526C95" w:rsidP="0052229C">
      <w:pPr>
        <w:rPr>
          <w:b/>
          <w:sz w:val="20"/>
          <w:szCs w:val="20"/>
          <w:lang w:val="en-US"/>
        </w:rPr>
      </w:pPr>
      <w:r w:rsidRPr="00EA63C5">
        <w:rPr>
          <w:b/>
          <w:sz w:val="20"/>
          <w:szCs w:val="20"/>
          <w:lang w:val="en-US"/>
        </w:rPr>
        <w:t>OCTOBER 20</w:t>
      </w:r>
      <w:r w:rsidR="0052229C" w:rsidRPr="00EA63C5">
        <w:rPr>
          <w:b/>
          <w:sz w:val="20"/>
          <w:szCs w:val="20"/>
          <w:lang w:val="en-US"/>
        </w:rPr>
        <w:t>, 201</w:t>
      </w:r>
      <w:r w:rsidR="00E942C2" w:rsidRPr="00EA63C5">
        <w:rPr>
          <w:b/>
          <w:sz w:val="20"/>
          <w:szCs w:val="20"/>
          <w:lang w:val="en-US"/>
        </w:rPr>
        <w:t>6</w:t>
      </w:r>
      <w:r w:rsidR="0052229C" w:rsidRPr="00EA63C5">
        <w:rPr>
          <w:b/>
          <w:sz w:val="20"/>
          <w:szCs w:val="20"/>
          <w:lang w:val="en-US"/>
        </w:rPr>
        <w:t xml:space="preserve"> / LE </w:t>
      </w:r>
      <w:r w:rsidRPr="00EA63C5">
        <w:rPr>
          <w:b/>
          <w:sz w:val="20"/>
          <w:szCs w:val="20"/>
          <w:lang w:val="en-US"/>
        </w:rPr>
        <w:t>20</w:t>
      </w:r>
      <w:r w:rsidR="0052229C" w:rsidRPr="00EA63C5">
        <w:rPr>
          <w:b/>
          <w:sz w:val="20"/>
          <w:szCs w:val="20"/>
          <w:lang w:val="en-US"/>
        </w:rPr>
        <w:t xml:space="preserve"> </w:t>
      </w:r>
      <w:r w:rsidRPr="00EA63C5">
        <w:rPr>
          <w:b/>
          <w:sz w:val="20"/>
          <w:szCs w:val="20"/>
          <w:lang w:val="en-US"/>
        </w:rPr>
        <w:t>OCTOBRE</w:t>
      </w:r>
      <w:r w:rsidR="0052229C" w:rsidRPr="00EA63C5">
        <w:rPr>
          <w:b/>
          <w:sz w:val="20"/>
          <w:szCs w:val="20"/>
          <w:lang w:val="en-US"/>
        </w:rPr>
        <w:t xml:space="preserve"> 201</w:t>
      </w:r>
      <w:r w:rsidR="00E942C2" w:rsidRPr="00EA63C5">
        <w:rPr>
          <w:b/>
          <w:sz w:val="20"/>
          <w:szCs w:val="20"/>
          <w:lang w:val="en-US"/>
        </w:rPr>
        <w:t>6</w:t>
      </w:r>
    </w:p>
    <w:p w:rsidR="0052229C" w:rsidRPr="00EA63C5" w:rsidRDefault="0052229C" w:rsidP="0052229C">
      <w:pPr>
        <w:rPr>
          <w:sz w:val="20"/>
          <w:szCs w:val="20"/>
          <w:lang w:val="en-US"/>
        </w:rPr>
      </w:pPr>
    </w:p>
    <w:p w:rsidR="0052229C" w:rsidRPr="00EA63C5" w:rsidRDefault="000E27A5" w:rsidP="00526C95">
      <w:pPr>
        <w:ind w:left="1440" w:hanging="1440"/>
        <w:jc w:val="both"/>
        <w:rPr>
          <w:sz w:val="20"/>
          <w:lang w:val="en-US"/>
        </w:rPr>
      </w:pPr>
      <w:r w:rsidRPr="00EA63C5">
        <w:rPr>
          <w:b/>
          <w:sz w:val="20"/>
        </w:rPr>
        <w:fldChar w:fldCharType="begin"/>
      </w:r>
      <w:r w:rsidR="0052229C" w:rsidRPr="00EA63C5">
        <w:rPr>
          <w:b/>
          <w:sz w:val="20"/>
          <w:lang w:val="en-US"/>
        </w:rPr>
        <w:instrText xml:space="preserve"> SEQ CHAPTER \h \r 1</w:instrText>
      </w:r>
      <w:r w:rsidRPr="00EA63C5">
        <w:rPr>
          <w:b/>
          <w:sz w:val="20"/>
        </w:rPr>
        <w:fldChar w:fldCharType="end"/>
      </w:r>
      <w:r w:rsidR="00526C95" w:rsidRPr="00EA63C5">
        <w:rPr>
          <w:b/>
          <w:sz w:val="20"/>
        </w:rPr>
        <w:t>35843</w:t>
      </w:r>
      <w:r w:rsidR="0052229C" w:rsidRPr="00EA63C5">
        <w:rPr>
          <w:sz w:val="20"/>
          <w:lang w:val="en-US"/>
        </w:rPr>
        <w:tab/>
      </w:r>
      <w:r w:rsidR="00526C95" w:rsidRPr="00EA63C5">
        <w:rPr>
          <w:b/>
          <w:sz w:val="20"/>
          <w:u w:val="single"/>
          <w:lang w:val="en-US"/>
        </w:rPr>
        <w:t>Anita Endean, as representative plaintiff v. Her Majesty the Queen in Right of the    Province of British Columbia, et al.</w:t>
      </w:r>
      <w:r w:rsidR="00A61A20" w:rsidRPr="00EA63C5">
        <w:rPr>
          <w:sz w:val="20"/>
          <w:lang w:val="en-US"/>
        </w:rPr>
        <w:t xml:space="preserve"> </w:t>
      </w:r>
      <w:r w:rsidR="00526C95" w:rsidRPr="00EA63C5">
        <w:rPr>
          <w:sz w:val="20"/>
          <w:lang w:val="en-US"/>
        </w:rPr>
        <w:t>(B.C.) (Civil) (By Leave)</w:t>
      </w:r>
    </w:p>
    <w:p w:rsidR="00526C95" w:rsidRPr="00EA63C5" w:rsidRDefault="00526C95" w:rsidP="00526C95">
      <w:pPr>
        <w:ind w:left="1440" w:hanging="1440"/>
        <w:jc w:val="both"/>
        <w:rPr>
          <w:sz w:val="20"/>
          <w:lang w:val="en-US"/>
        </w:rPr>
      </w:pPr>
    </w:p>
    <w:p w:rsidR="009168CB" w:rsidRPr="00EA63C5" w:rsidRDefault="009168CB" w:rsidP="009168CB">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EA63C5">
        <w:rPr>
          <w:b/>
          <w:sz w:val="20"/>
          <w:lang w:val="en-US"/>
        </w:rPr>
        <w:t>2016 SCC 42 / 2016 CSC 42</w:t>
      </w:r>
    </w:p>
    <w:p w:rsidR="009168CB" w:rsidRPr="00EA63C5" w:rsidRDefault="009168CB" w:rsidP="009168C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9168CB" w:rsidRPr="00EA63C5" w:rsidRDefault="009168CB" w:rsidP="009168CB">
      <w:pPr>
        <w:ind w:left="1440" w:hanging="1440"/>
        <w:jc w:val="both"/>
        <w:rPr>
          <w:rFonts w:eastAsia="Calibri"/>
          <w:sz w:val="20"/>
          <w:u w:val="single"/>
        </w:rPr>
      </w:pPr>
      <w:r w:rsidRPr="00EA63C5">
        <w:rPr>
          <w:sz w:val="20"/>
          <w:lang w:val="en-US"/>
        </w:rPr>
        <w:t>Coram:</w:t>
      </w:r>
      <w:r w:rsidRPr="00EA63C5">
        <w:rPr>
          <w:sz w:val="20"/>
          <w:lang w:val="en-US"/>
        </w:rPr>
        <w:tab/>
      </w:r>
      <w:r w:rsidRPr="00EA63C5">
        <w:rPr>
          <w:rFonts w:eastAsia="Calibri"/>
          <w:sz w:val="20"/>
          <w:u w:val="single"/>
        </w:rPr>
        <w:t>McLachlin C.J. and Abella, Cromwell, Moldaver, Karakatsanis, Wagner, Gascon, Côté and Brown JJ.</w:t>
      </w:r>
    </w:p>
    <w:p w:rsidR="009168CB" w:rsidRPr="00EA63C5" w:rsidRDefault="009168CB" w:rsidP="009168CB">
      <w:pPr>
        <w:ind w:left="1440" w:hanging="1440"/>
        <w:rPr>
          <w:sz w:val="16"/>
          <w:u w:val="single"/>
          <w:lang w:val="en-US"/>
        </w:rPr>
      </w:pPr>
    </w:p>
    <w:p w:rsidR="009168CB" w:rsidRPr="00EA63C5" w:rsidRDefault="009168CB" w:rsidP="009168CB">
      <w:pPr>
        <w:jc w:val="both"/>
        <w:rPr>
          <w:rFonts w:eastAsia="Calibri"/>
          <w:sz w:val="20"/>
          <w:lang w:val="en-US"/>
        </w:rPr>
      </w:pPr>
      <w:r w:rsidRPr="00EA63C5">
        <w:rPr>
          <w:rFonts w:eastAsia="Calibri"/>
          <w:sz w:val="20"/>
          <w:lang w:val="en-US"/>
        </w:rPr>
        <w:t>The appeal from the judgment of the Court of Appeal for British Columbia (Vancouver), Number CA041078, 2014 BCCA 61, dated February 17, 2014, heard on May 19, 2016, is allowed without costs. The order of the Court of Appeal is set aside and the order of Bauman C.J., dated June 19, 2013, is restored.</w:t>
      </w:r>
    </w:p>
    <w:p w:rsidR="009168CB" w:rsidRPr="009849E0" w:rsidRDefault="009168CB" w:rsidP="009168CB">
      <w:pPr>
        <w:jc w:val="both"/>
        <w:rPr>
          <w:rFonts w:eastAsia="Calibri"/>
          <w:sz w:val="20"/>
          <w:lang w:val="en-US"/>
        </w:rPr>
      </w:pPr>
    </w:p>
    <w:p w:rsidR="009168CB" w:rsidRPr="009849E0" w:rsidRDefault="009168CB" w:rsidP="009168CB">
      <w:pPr>
        <w:jc w:val="both"/>
        <w:rPr>
          <w:sz w:val="20"/>
          <w:lang w:val="fr-CA"/>
        </w:rPr>
      </w:pPr>
      <w:r w:rsidRPr="009849E0">
        <w:rPr>
          <w:rFonts w:eastAsia="Calibri"/>
          <w:sz w:val="20"/>
          <w:lang w:val="fr-CA"/>
        </w:rPr>
        <w:t xml:space="preserve">L’appel interjeté contre l’arrêt de la Cour d’appel de la Colombie-Britannique (Vancouver), numéro CA041078, 2014 BCCA 61, daté du 17 février 2014, entendu le 19 mai 2016, est accueilli sans dépens. L’ordonnance de la Cour d’appel est annulée et l’ordonnance du 19 juin 2013 du juge en chef </w:t>
      </w:r>
      <w:proofErr w:type="spellStart"/>
      <w:r w:rsidRPr="009849E0">
        <w:rPr>
          <w:rFonts w:eastAsia="Calibri"/>
          <w:sz w:val="20"/>
          <w:lang w:val="fr-CA"/>
        </w:rPr>
        <w:t>Bauman</w:t>
      </w:r>
      <w:proofErr w:type="spellEnd"/>
      <w:r w:rsidRPr="009849E0">
        <w:rPr>
          <w:rFonts w:eastAsia="Calibri"/>
          <w:sz w:val="20"/>
          <w:lang w:val="fr-CA"/>
        </w:rPr>
        <w:t xml:space="preserve"> est rétablie.</w:t>
      </w:r>
    </w:p>
    <w:p w:rsidR="00D95DF7" w:rsidRPr="009849E0" w:rsidRDefault="00D95DF7" w:rsidP="00D95DF7">
      <w:pPr>
        <w:rPr>
          <w:sz w:val="20"/>
          <w:szCs w:val="20"/>
          <w:lang w:val="fr-CA"/>
        </w:rPr>
      </w:pPr>
    </w:p>
    <w:p w:rsidR="00D95DF7" w:rsidRPr="00EA63C5" w:rsidRDefault="007F6DC5" w:rsidP="00D95DF7">
      <w:pPr>
        <w:spacing w:line="0" w:lineRule="atLeast"/>
        <w:rPr>
          <w:sz w:val="20"/>
          <w:szCs w:val="20"/>
        </w:rPr>
      </w:pPr>
      <w:r>
        <w:rPr>
          <w:b/>
          <w:sz w:val="20"/>
          <w:szCs w:val="20"/>
        </w:rPr>
        <w:pict>
          <v:rect id="_x0000_i1085" style="width:144.3pt;height:1pt" o:hrpct="300" o:hralign="center" o:hrstd="t" o:hrnoshade="t" o:hr="t" fillcolor="black [3213]" stroked="f"/>
        </w:pict>
      </w:r>
    </w:p>
    <w:p w:rsidR="00D95DF7" w:rsidRPr="00EA63C5" w:rsidRDefault="00D95DF7" w:rsidP="00D95DF7">
      <w:pPr>
        <w:spacing w:line="0" w:lineRule="atLeast"/>
        <w:rPr>
          <w:sz w:val="20"/>
          <w:szCs w:val="20"/>
        </w:rPr>
      </w:pPr>
    </w:p>
    <w:p w:rsidR="009168CB" w:rsidRPr="00EA63C5" w:rsidRDefault="009168CB" w:rsidP="00526C95">
      <w:pPr>
        <w:ind w:left="1440" w:hanging="1440"/>
        <w:jc w:val="both"/>
        <w:rPr>
          <w:sz w:val="20"/>
          <w:lang w:val="en-US"/>
        </w:rPr>
      </w:pPr>
    </w:p>
    <w:p w:rsidR="00526C95" w:rsidRPr="00EA63C5" w:rsidRDefault="00526C95" w:rsidP="00526C95">
      <w:pPr>
        <w:ind w:left="1440" w:hanging="1440"/>
      </w:pPr>
      <w:r w:rsidRPr="00EA63C5">
        <w:rPr>
          <w:b/>
          <w:sz w:val="20"/>
          <w:lang w:val="en-US"/>
        </w:rPr>
        <w:t>36456</w:t>
      </w:r>
      <w:r w:rsidRPr="00EA63C5">
        <w:rPr>
          <w:b/>
          <w:sz w:val="20"/>
          <w:lang w:val="en-US"/>
        </w:rPr>
        <w:tab/>
      </w:r>
      <w:r w:rsidRPr="00EA63C5">
        <w:rPr>
          <w:b/>
          <w:sz w:val="20"/>
          <w:szCs w:val="20"/>
          <w:u w:val="single"/>
        </w:rPr>
        <w:t>Dianna Louise Parsons, deceased, by her Estate Administrator, William John Forsyth, et al. v. Her Majesty the Queen in Right of Ontario, et al.</w:t>
      </w:r>
      <w:r w:rsidRPr="00EA63C5">
        <w:rPr>
          <w:sz w:val="20"/>
          <w:szCs w:val="20"/>
        </w:rPr>
        <w:t xml:space="preserve"> (Ont.) (Civil) (By Leave)</w:t>
      </w:r>
    </w:p>
    <w:p w:rsidR="00526C95" w:rsidRPr="00EA63C5" w:rsidRDefault="00526C95" w:rsidP="00526C95">
      <w:pPr>
        <w:ind w:left="1440" w:hanging="1440"/>
        <w:jc w:val="both"/>
        <w:rPr>
          <w:sz w:val="20"/>
          <w:lang w:val="en-US"/>
        </w:rPr>
      </w:pPr>
    </w:p>
    <w:p w:rsidR="0052229C" w:rsidRPr="00EA63C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EA63C5">
        <w:rPr>
          <w:b/>
          <w:sz w:val="20"/>
          <w:lang w:val="en-US"/>
        </w:rPr>
        <w:t>201</w:t>
      </w:r>
      <w:r w:rsidR="00E942C2" w:rsidRPr="00EA63C5">
        <w:rPr>
          <w:b/>
          <w:sz w:val="20"/>
          <w:lang w:val="en-US"/>
        </w:rPr>
        <w:t>6</w:t>
      </w:r>
      <w:r w:rsidRPr="00EA63C5">
        <w:rPr>
          <w:b/>
          <w:sz w:val="20"/>
          <w:lang w:val="en-US"/>
        </w:rPr>
        <w:t xml:space="preserve"> SCC </w:t>
      </w:r>
      <w:r w:rsidR="00526C95" w:rsidRPr="00EA63C5">
        <w:rPr>
          <w:b/>
          <w:sz w:val="20"/>
          <w:lang w:val="en-US"/>
        </w:rPr>
        <w:t xml:space="preserve">42 </w:t>
      </w:r>
      <w:r w:rsidRPr="00EA63C5">
        <w:rPr>
          <w:b/>
          <w:sz w:val="20"/>
          <w:lang w:val="en-US"/>
        </w:rPr>
        <w:t>/ 201</w:t>
      </w:r>
      <w:r w:rsidR="00E942C2" w:rsidRPr="00EA63C5">
        <w:rPr>
          <w:b/>
          <w:sz w:val="20"/>
          <w:lang w:val="en-US"/>
        </w:rPr>
        <w:t>6</w:t>
      </w:r>
      <w:r w:rsidRPr="00EA63C5">
        <w:rPr>
          <w:b/>
          <w:sz w:val="20"/>
          <w:lang w:val="en-US"/>
        </w:rPr>
        <w:t xml:space="preserve"> CSC </w:t>
      </w:r>
      <w:r w:rsidR="00526C95" w:rsidRPr="00EA63C5">
        <w:rPr>
          <w:b/>
          <w:sz w:val="20"/>
          <w:lang w:val="en-US"/>
        </w:rPr>
        <w:t>42</w:t>
      </w:r>
    </w:p>
    <w:p w:rsidR="0052229C" w:rsidRPr="00EA63C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D57FAC" w:rsidRPr="00EA63C5" w:rsidRDefault="0052229C" w:rsidP="00D57FAC">
      <w:pPr>
        <w:ind w:left="1440" w:hanging="1440"/>
        <w:jc w:val="both"/>
        <w:rPr>
          <w:rFonts w:eastAsia="Calibri"/>
          <w:sz w:val="20"/>
          <w:u w:val="single"/>
        </w:rPr>
      </w:pPr>
      <w:r w:rsidRPr="00EA63C5">
        <w:rPr>
          <w:sz w:val="20"/>
          <w:lang w:val="en-US"/>
        </w:rPr>
        <w:t>Coram:</w:t>
      </w:r>
      <w:r w:rsidRPr="00EA63C5">
        <w:rPr>
          <w:sz w:val="20"/>
          <w:lang w:val="en-US"/>
        </w:rPr>
        <w:tab/>
      </w:r>
      <w:r w:rsidR="00D57FAC" w:rsidRPr="00EA63C5">
        <w:rPr>
          <w:rFonts w:eastAsia="Calibri"/>
          <w:sz w:val="20"/>
          <w:u w:val="single"/>
        </w:rPr>
        <w:t>McLachlin C.J. and Abella, Cromwell, Moldaver, Karakatsanis, Wagner, Gascon, Côté and Brown JJ.</w:t>
      </w:r>
    </w:p>
    <w:p w:rsidR="0052229C" w:rsidRPr="00EA63C5" w:rsidRDefault="0052229C" w:rsidP="0052229C">
      <w:pPr>
        <w:ind w:left="1440" w:hanging="1440"/>
        <w:rPr>
          <w:sz w:val="16"/>
          <w:u w:val="single"/>
          <w:lang w:val="en-US"/>
        </w:rPr>
      </w:pPr>
    </w:p>
    <w:p w:rsidR="0052229C" w:rsidRPr="00EA63C5" w:rsidRDefault="001448AB" w:rsidP="0052229C">
      <w:pPr>
        <w:jc w:val="both"/>
        <w:rPr>
          <w:rFonts w:eastAsia="Calibri"/>
          <w:sz w:val="20"/>
          <w:lang w:val="en-US"/>
        </w:rPr>
      </w:pPr>
      <w:r w:rsidRPr="00EA63C5">
        <w:rPr>
          <w:rFonts w:eastAsia="Calibri"/>
          <w:sz w:val="20"/>
          <w:lang w:val="en-US"/>
        </w:rPr>
        <w:t>The appeal from the judgment of the Court of Appeal for Ontario, Number C57131, 2015 ONCA 158, dated March 13, 2015, heard on May 19, 2016, is allowed without costs. Paragraph 1 of the order of the Court of Appeal is set aside and paragraph 1 of the order of Winkler C.J.O., dated June 28, 2013, is restored. The cross-appeal is dismissed without costs.</w:t>
      </w:r>
    </w:p>
    <w:p w:rsidR="001448AB" w:rsidRPr="00EA63C5" w:rsidRDefault="001448AB" w:rsidP="0052229C">
      <w:pPr>
        <w:jc w:val="both"/>
        <w:rPr>
          <w:rFonts w:eastAsia="Calibri"/>
          <w:sz w:val="20"/>
          <w:lang w:val="fr-CA"/>
        </w:rPr>
      </w:pPr>
    </w:p>
    <w:p w:rsidR="0052229C" w:rsidRPr="00EA63C5" w:rsidRDefault="001448AB" w:rsidP="0052229C">
      <w:pPr>
        <w:jc w:val="both"/>
        <w:rPr>
          <w:rFonts w:eastAsia="Calibri"/>
          <w:sz w:val="20"/>
        </w:rPr>
      </w:pPr>
      <w:r w:rsidRPr="009849E0">
        <w:rPr>
          <w:rFonts w:eastAsia="Calibri"/>
          <w:sz w:val="20"/>
          <w:lang w:val="fr-CA"/>
        </w:rPr>
        <w:t xml:space="preserve">L’appel interjeté contre l’arrêt de la Cour d’appel de l’Ontario, numéro C57131, 2015 ONCA 158, daté du 13 mars 2015, entendu le 19 mai 2016, est accueilli sans dépens. Le paragraphe 1 de l’ordonnance de la Cour d’appel est annulé et le paragraphe 1 de l’ordonnance du 28 juin 2013 du juge en chef Winkler de l’Ontario est rétabli. </w:t>
      </w:r>
      <w:proofErr w:type="spellStart"/>
      <w:r w:rsidRPr="00EA63C5">
        <w:rPr>
          <w:rFonts w:eastAsia="Calibri"/>
          <w:sz w:val="20"/>
        </w:rPr>
        <w:t>L’appel</w:t>
      </w:r>
      <w:proofErr w:type="spellEnd"/>
      <w:r w:rsidRPr="00EA63C5">
        <w:rPr>
          <w:rFonts w:eastAsia="Calibri"/>
          <w:sz w:val="20"/>
        </w:rPr>
        <w:t xml:space="preserve"> incident </w:t>
      </w:r>
      <w:proofErr w:type="gramStart"/>
      <w:r w:rsidRPr="00EA63C5">
        <w:rPr>
          <w:rFonts w:eastAsia="Calibri"/>
          <w:sz w:val="20"/>
        </w:rPr>
        <w:t>est</w:t>
      </w:r>
      <w:proofErr w:type="gramEnd"/>
      <w:r w:rsidRPr="00EA63C5">
        <w:rPr>
          <w:rFonts w:eastAsia="Calibri"/>
          <w:sz w:val="20"/>
        </w:rPr>
        <w:t xml:space="preserve"> </w:t>
      </w:r>
      <w:proofErr w:type="spellStart"/>
      <w:r w:rsidRPr="00EA63C5">
        <w:rPr>
          <w:rFonts w:eastAsia="Calibri"/>
          <w:sz w:val="20"/>
        </w:rPr>
        <w:t>rejeté</w:t>
      </w:r>
      <w:proofErr w:type="spellEnd"/>
      <w:r w:rsidRPr="00EA63C5">
        <w:rPr>
          <w:rFonts w:eastAsia="Calibri"/>
          <w:sz w:val="20"/>
        </w:rPr>
        <w:t xml:space="preserve"> sans </w:t>
      </w:r>
      <w:proofErr w:type="spellStart"/>
      <w:r w:rsidRPr="00EA63C5">
        <w:rPr>
          <w:rFonts w:eastAsia="Calibri"/>
          <w:sz w:val="20"/>
        </w:rPr>
        <w:t>dépens</w:t>
      </w:r>
      <w:proofErr w:type="spellEnd"/>
      <w:r w:rsidRPr="00EA63C5">
        <w:rPr>
          <w:rFonts w:eastAsia="Calibri"/>
          <w:sz w:val="20"/>
        </w:rPr>
        <w:t>.</w:t>
      </w:r>
    </w:p>
    <w:p w:rsidR="0052229C" w:rsidRPr="00EA63C5" w:rsidRDefault="0052229C" w:rsidP="0052229C">
      <w:pPr>
        <w:rPr>
          <w:sz w:val="20"/>
          <w:szCs w:val="20"/>
        </w:rPr>
      </w:pPr>
    </w:p>
    <w:p w:rsidR="0052229C" w:rsidRPr="00EA63C5" w:rsidRDefault="007F6DC5" w:rsidP="0052229C">
      <w:pPr>
        <w:spacing w:line="0" w:lineRule="atLeast"/>
        <w:rPr>
          <w:sz w:val="20"/>
          <w:szCs w:val="20"/>
        </w:rPr>
      </w:pPr>
      <w:r>
        <w:rPr>
          <w:b/>
          <w:sz w:val="20"/>
          <w:szCs w:val="20"/>
        </w:rPr>
        <w:pict>
          <v:rect id="_x0000_i1086" style="width:144.3pt;height:1pt" o:hrpct="300" o:hralign="center" o:hrstd="t" o:hrnoshade="t" o:hr="t" fillcolor="black [3213]" stroked="f"/>
        </w:pict>
      </w:r>
    </w:p>
    <w:p w:rsidR="0052229C" w:rsidRPr="00EA63C5" w:rsidRDefault="0052229C" w:rsidP="0052229C">
      <w:pPr>
        <w:spacing w:line="0" w:lineRule="atLeast"/>
        <w:rPr>
          <w:sz w:val="20"/>
          <w:szCs w:val="20"/>
        </w:rPr>
      </w:pPr>
    </w:p>
    <w:p w:rsidR="00526C95" w:rsidRPr="00EA63C5" w:rsidRDefault="00526C95" w:rsidP="00526C95">
      <w:pPr>
        <w:rPr>
          <w:b/>
          <w:sz w:val="20"/>
          <w:szCs w:val="20"/>
          <w:lang w:val="en-US"/>
        </w:rPr>
      </w:pPr>
      <w:r w:rsidRPr="00EA63C5">
        <w:rPr>
          <w:b/>
          <w:sz w:val="20"/>
          <w:szCs w:val="20"/>
          <w:lang w:val="en-US"/>
        </w:rPr>
        <w:t>OCTOBER 21, 2016 / LE 21 OCTOBRE 2016</w:t>
      </w:r>
    </w:p>
    <w:p w:rsidR="0052229C" w:rsidRPr="00EA63C5" w:rsidRDefault="0052229C" w:rsidP="0052229C">
      <w:pPr>
        <w:spacing w:line="0" w:lineRule="atLeast"/>
        <w:rPr>
          <w:rFonts w:cs="Times New Roman"/>
          <w:sz w:val="20"/>
          <w:szCs w:val="20"/>
        </w:rPr>
      </w:pPr>
    </w:p>
    <w:p w:rsidR="0052229C" w:rsidRPr="00EA63C5" w:rsidRDefault="000E27A5" w:rsidP="0052229C">
      <w:pPr>
        <w:ind w:left="1440" w:hanging="1440"/>
        <w:jc w:val="both"/>
        <w:rPr>
          <w:sz w:val="20"/>
          <w:szCs w:val="20"/>
        </w:rPr>
      </w:pPr>
      <w:r w:rsidRPr="00EA63C5">
        <w:rPr>
          <w:b/>
          <w:sz w:val="20"/>
          <w:szCs w:val="20"/>
        </w:rPr>
        <w:fldChar w:fldCharType="begin"/>
      </w:r>
      <w:r w:rsidR="0052229C" w:rsidRPr="00EA63C5">
        <w:rPr>
          <w:b/>
          <w:sz w:val="20"/>
          <w:szCs w:val="20"/>
        </w:rPr>
        <w:instrText xml:space="preserve"> SEQ CHAPTER \h \r 1</w:instrText>
      </w:r>
      <w:r w:rsidRPr="00EA63C5">
        <w:rPr>
          <w:b/>
          <w:sz w:val="20"/>
          <w:szCs w:val="20"/>
        </w:rPr>
        <w:fldChar w:fldCharType="end"/>
      </w:r>
      <w:r w:rsidR="00526C95" w:rsidRPr="00EA63C5">
        <w:rPr>
          <w:b/>
          <w:sz w:val="20"/>
          <w:szCs w:val="20"/>
        </w:rPr>
        <w:t>36410</w:t>
      </w:r>
      <w:r w:rsidR="0052229C" w:rsidRPr="00EA63C5">
        <w:rPr>
          <w:sz w:val="20"/>
          <w:szCs w:val="20"/>
        </w:rPr>
        <w:tab/>
      </w:r>
      <w:r w:rsidR="00526C95" w:rsidRPr="00EA63C5">
        <w:rPr>
          <w:b/>
          <w:sz w:val="20"/>
          <w:szCs w:val="20"/>
          <w:u w:val="single"/>
        </w:rPr>
        <w:t>Matthew John Anthony-Cook v. Her Majesty the Queen</w:t>
      </w:r>
      <w:r w:rsidR="00526C95" w:rsidRPr="00EA63C5">
        <w:rPr>
          <w:sz w:val="20"/>
          <w:szCs w:val="20"/>
        </w:rPr>
        <w:t xml:space="preserve"> (B.C.) (Crim.) (By Leave)</w:t>
      </w:r>
    </w:p>
    <w:p w:rsidR="00526C95" w:rsidRPr="00EA63C5" w:rsidRDefault="00526C95" w:rsidP="0052229C">
      <w:pPr>
        <w:ind w:left="1440" w:hanging="1440"/>
        <w:jc w:val="both"/>
        <w:rPr>
          <w:sz w:val="20"/>
          <w:szCs w:val="20"/>
        </w:rPr>
      </w:pPr>
    </w:p>
    <w:p w:rsidR="0052229C" w:rsidRPr="00EA63C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EA63C5">
        <w:rPr>
          <w:b/>
          <w:sz w:val="20"/>
          <w:szCs w:val="20"/>
        </w:rPr>
        <w:t>201</w:t>
      </w:r>
      <w:r w:rsidR="00E942C2" w:rsidRPr="00EA63C5">
        <w:rPr>
          <w:b/>
          <w:sz w:val="20"/>
          <w:szCs w:val="20"/>
        </w:rPr>
        <w:t>6</w:t>
      </w:r>
      <w:r w:rsidRPr="00EA63C5">
        <w:rPr>
          <w:b/>
          <w:sz w:val="20"/>
          <w:szCs w:val="20"/>
        </w:rPr>
        <w:t xml:space="preserve"> SCC </w:t>
      </w:r>
      <w:r w:rsidR="00526C95" w:rsidRPr="00EA63C5">
        <w:rPr>
          <w:b/>
          <w:sz w:val="20"/>
          <w:szCs w:val="20"/>
        </w:rPr>
        <w:t>43</w:t>
      </w:r>
      <w:r w:rsidRPr="00EA63C5">
        <w:rPr>
          <w:b/>
          <w:sz w:val="20"/>
          <w:szCs w:val="20"/>
        </w:rPr>
        <w:t xml:space="preserve"> / 201</w:t>
      </w:r>
      <w:r w:rsidR="00E942C2" w:rsidRPr="00EA63C5">
        <w:rPr>
          <w:b/>
          <w:sz w:val="20"/>
          <w:szCs w:val="20"/>
        </w:rPr>
        <w:t>6</w:t>
      </w:r>
      <w:r w:rsidRPr="00EA63C5">
        <w:rPr>
          <w:b/>
          <w:sz w:val="20"/>
          <w:szCs w:val="20"/>
        </w:rPr>
        <w:t xml:space="preserve"> CSC </w:t>
      </w:r>
      <w:r w:rsidR="00526C95" w:rsidRPr="00EA63C5">
        <w:rPr>
          <w:b/>
          <w:sz w:val="20"/>
          <w:szCs w:val="20"/>
        </w:rPr>
        <w:t>43</w:t>
      </w:r>
    </w:p>
    <w:p w:rsidR="0052229C" w:rsidRPr="00EA63C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EA63C5" w:rsidRDefault="0052229C" w:rsidP="0052229C">
      <w:pPr>
        <w:ind w:left="1440" w:hanging="1440"/>
        <w:rPr>
          <w:sz w:val="20"/>
          <w:szCs w:val="20"/>
          <w:u w:val="single"/>
        </w:rPr>
      </w:pPr>
      <w:r w:rsidRPr="00EA63C5">
        <w:rPr>
          <w:sz w:val="20"/>
          <w:szCs w:val="20"/>
        </w:rPr>
        <w:t>Coram:</w:t>
      </w:r>
      <w:r w:rsidRPr="00EA63C5">
        <w:rPr>
          <w:sz w:val="20"/>
          <w:szCs w:val="20"/>
        </w:rPr>
        <w:tab/>
      </w:r>
      <w:r w:rsidRPr="00EA63C5">
        <w:rPr>
          <w:sz w:val="20"/>
          <w:szCs w:val="20"/>
          <w:u w:val="single"/>
        </w:rPr>
        <w:t>Abella, Moldaver</w:t>
      </w:r>
      <w:r w:rsidR="00A61A20" w:rsidRPr="00EA63C5">
        <w:rPr>
          <w:sz w:val="20"/>
          <w:szCs w:val="20"/>
          <w:u w:val="single"/>
        </w:rPr>
        <w:t>, Karakatsanis, Wagner, Gascon, Côté</w:t>
      </w:r>
      <w:r w:rsidRPr="00EA63C5">
        <w:rPr>
          <w:sz w:val="20"/>
          <w:szCs w:val="20"/>
          <w:u w:val="single"/>
        </w:rPr>
        <w:t xml:space="preserve"> and </w:t>
      </w:r>
      <w:r w:rsidR="00A61A20" w:rsidRPr="00EA63C5">
        <w:rPr>
          <w:sz w:val="20"/>
          <w:szCs w:val="20"/>
          <w:u w:val="single"/>
        </w:rPr>
        <w:t>Brown</w:t>
      </w:r>
      <w:r w:rsidRPr="00EA63C5">
        <w:rPr>
          <w:sz w:val="20"/>
          <w:szCs w:val="20"/>
          <w:u w:val="single"/>
        </w:rPr>
        <w:t xml:space="preserve"> JJ.</w:t>
      </w:r>
    </w:p>
    <w:p w:rsidR="0052229C" w:rsidRPr="00EA63C5" w:rsidRDefault="0052229C" w:rsidP="0052229C">
      <w:pPr>
        <w:ind w:left="1440" w:hanging="1440"/>
        <w:jc w:val="both"/>
        <w:rPr>
          <w:sz w:val="20"/>
          <w:szCs w:val="20"/>
          <w:u w:val="single"/>
        </w:rPr>
      </w:pPr>
    </w:p>
    <w:p w:rsidR="0052229C" w:rsidRPr="00EA63C5" w:rsidRDefault="0040091B" w:rsidP="0052229C">
      <w:pPr>
        <w:jc w:val="both"/>
        <w:rPr>
          <w:rFonts w:eastAsia="Calibri"/>
          <w:sz w:val="20"/>
          <w:szCs w:val="20"/>
        </w:rPr>
      </w:pPr>
      <w:r w:rsidRPr="00EA63C5">
        <w:rPr>
          <w:rFonts w:eastAsia="Calibri"/>
          <w:sz w:val="20"/>
          <w:szCs w:val="20"/>
        </w:rPr>
        <w:t>The appeal from the judgment of the Court of Appeal for British Columbia (Vancouver), Number CA042018, 2015 BCCA 22, dated January 19, 2015, heard on March 31, 2016, is allowed and the appellant’s sentence is varied to bring it into conformity with the sentence jointly proposed by the Crown and defence, namely, that the appellant serve an additional 18 months in custody, with no period of probation to follow.</w:t>
      </w:r>
    </w:p>
    <w:p w:rsidR="0040091B" w:rsidRPr="00EA63C5" w:rsidRDefault="0040091B" w:rsidP="0052229C">
      <w:pPr>
        <w:jc w:val="both"/>
        <w:rPr>
          <w:rFonts w:eastAsia="Calibri"/>
          <w:sz w:val="20"/>
          <w:szCs w:val="20"/>
        </w:rPr>
      </w:pPr>
    </w:p>
    <w:p w:rsidR="0052229C" w:rsidRPr="00EA63C5" w:rsidRDefault="0040091B" w:rsidP="0052229C">
      <w:pPr>
        <w:jc w:val="both"/>
        <w:rPr>
          <w:rFonts w:eastAsia="Calibri"/>
          <w:sz w:val="20"/>
          <w:szCs w:val="20"/>
          <w:lang w:val="fr-CA"/>
        </w:rPr>
      </w:pPr>
      <w:r w:rsidRPr="00EA63C5">
        <w:rPr>
          <w:rFonts w:eastAsia="Calibri"/>
          <w:sz w:val="20"/>
          <w:szCs w:val="20"/>
          <w:lang w:val="fr-CA"/>
        </w:rPr>
        <w:lastRenderedPageBreak/>
        <w:t>L’appel interjeté contre l’arrêt de la Cour d’appel de la Colombie-Britannique (Vancouver), numéro CA042018, 2015 BCCA 22, daté du 19 janvier 2015, entendu le 31 mars 2016, est accueilli et la peine de l’appelant est modifiée pour qu’elle soit conforme à la recommandation conjointe du ministère public et de la défense, à savoir que l’appelant purge une peine de détention additionnelle de 18 mois, sans période de probation par la suite.</w:t>
      </w:r>
    </w:p>
    <w:p w:rsidR="00D004FC" w:rsidRPr="00EA63C5" w:rsidRDefault="00D004FC" w:rsidP="00D004FC">
      <w:pPr>
        <w:spacing w:line="0" w:lineRule="atLeast"/>
        <w:rPr>
          <w:rFonts w:cs="Times New Roman"/>
          <w:sz w:val="20"/>
          <w:szCs w:val="20"/>
          <w:lang w:val="fr-CA"/>
        </w:rPr>
      </w:pPr>
    </w:p>
    <w:p w:rsidR="00D004FC" w:rsidRPr="00EA63C5" w:rsidRDefault="007F6DC5" w:rsidP="00D004FC">
      <w:pPr>
        <w:jc w:val="both"/>
        <w:rPr>
          <w:rFonts w:cs="Times New Roman"/>
          <w:b/>
          <w:sz w:val="20"/>
          <w:szCs w:val="20"/>
        </w:rPr>
      </w:pPr>
      <w:r>
        <w:rPr>
          <w:rFonts w:cs="Times New Roman"/>
          <w:b/>
          <w:sz w:val="20"/>
          <w:szCs w:val="20"/>
        </w:rPr>
        <w:pict>
          <v:rect id="_x0000_i1087" style="width:144.3pt;height:1pt" o:hrpct="300" o:hralign="center" o:hrstd="t" o:hrnoshade="t" o:hr="t" fillcolor="black [3213]" stroked="f"/>
        </w:pict>
      </w:r>
    </w:p>
    <w:p w:rsidR="00D004FC" w:rsidRPr="00EA63C5" w:rsidRDefault="00D004FC" w:rsidP="00D004FC">
      <w:pPr>
        <w:jc w:val="both"/>
        <w:rPr>
          <w:rFonts w:cs="Times New Roman"/>
          <w:sz w:val="20"/>
          <w:szCs w:val="20"/>
        </w:rPr>
      </w:pPr>
    </w:p>
    <w:p w:rsidR="00D004FC" w:rsidRPr="00EA63C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EA63C5" w:rsidRDefault="00732DB7" w:rsidP="00732DB7">
      <w:pPr>
        <w:widowControl w:val="0"/>
        <w:rPr>
          <w:sz w:val="20"/>
          <w:szCs w:val="20"/>
        </w:rPr>
      </w:pPr>
    </w:p>
    <w:p w:rsidR="00697C62" w:rsidRPr="00EA63C5" w:rsidRDefault="00697C62" w:rsidP="00732DB7">
      <w:pPr>
        <w:widowControl w:val="0"/>
        <w:rPr>
          <w:sz w:val="20"/>
          <w:szCs w:val="20"/>
        </w:rPr>
        <w:sectPr w:rsidR="00697C62" w:rsidRPr="00EA63C5" w:rsidSect="00782AE4">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EA63C5" w:rsidTr="0085476B">
        <w:tc>
          <w:tcPr>
            <w:tcW w:w="4200" w:type="dxa"/>
            <w:tcMar>
              <w:left w:w="0" w:type="dxa"/>
              <w:right w:w="0" w:type="dxa"/>
            </w:tcMar>
          </w:tcPr>
          <w:p w:rsidR="00782AE4" w:rsidRPr="00EA63C5" w:rsidRDefault="00782AE4" w:rsidP="00782AE4">
            <w:pPr>
              <w:keepNext/>
              <w:keepLines/>
              <w:jc w:val="both"/>
              <w:rPr>
                <w:b/>
                <w:szCs w:val="24"/>
              </w:rPr>
            </w:pPr>
            <w:r w:rsidRPr="00EA63C5">
              <w:rPr>
                <w:b/>
                <w:szCs w:val="24"/>
              </w:rPr>
              <w:lastRenderedPageBreak/>
              <w:t>HEADNOTES OF RECENT</w:t>
            </w:r>
          </w:p>
          <w:p w:rsidR="00782AE4" w:rsidRPr="00EA63C5" w:rsidRDefault="00782AE4" w:rsidP="00782AE4">
            <w:pPr>
              <w:keepNext/>
              <w:keepLines/>
              <w:jc w:val="both"/>
              <w:rPr>
                <w:b/>
                <w:szCs w:val="24"/>
              </w:rPr>
            </w:pPr>
            <w:r w:rsidRPr="00EA63C5">
              <w:rPr>
                <w:b/>
                <w:szCs w:val="24"/>
              </w:rPr>
              <w:t>JUDGMENTS</w:t>
            </w:r>
          </w:p>
        </w:tc>
        <w:tc>
          <w:tcPr>
            <w:tcW w:w="1200" w:type="dxa"/>
            <w:tcMar>
              <w:left w:w="0" w:type="dxa"/>
              <w:right w:w="0" w:type="dxa"/>
            </w:tcMar>
          </w:tcPr>
          <w:p w:rsidR="00782AE4" w:rsidRPr="00EA63C5" w:rsidRDefault="00782AE4" w:rsidP="00102926">
            <w:pPr>
              <w:keepNext/>
              <w:keepLines/>
              <w:jc w:val="center"/>
              <w:rPr>
                <w:b/>
                <w:szCs w:val="24"/>
              </w:rPr>
            </w:pPr>
          </w:p>
          <w:p w:rsidR="00782AE4" w:rsidRPr="00EA63C5" w:rsidRDefault="00782AE4" w:rsidP="00102926">
            <w:pPr>
              <w:keepNext/>
              <w:keepLines/>
              <w:jc w:val="center"/>
              <w:rPr>
                <w:b/>
                <w:szCs w:val="24"/>
              </w:rPr>
            </w:pPr>
          </w:p>
          <w:p w:rsidR="00782AE4" w:rsidRPr="00EA63C5" w:rsidRDefault="00782AE4" w:rsidP="00102926">
            <w:pPr>
              <w:keepNext/>
              <w:keepLines/>
              <w:jc w:val="center"/>
              <w:rPr>
                <w:b/>
                <w:szCs w:val="24"/>
              </w:rPr>
            </w:pPr>
          </w:p>
        </w:tc>
        <w:tc>
          <w:tcPr>
            <w:tcW w:w="4080" w:type="dxa"/>
            <w:tcMar>
              <w:left w:w="0" w:type="dxa"/>
              <w:right w:w="0" w:type="dxa"/>
            </w:tcMar>
          </w:tcPr>
          <w:p w:rsidR="00782AE4" w:rsidRPr="00EA63C5" w:rsidRDefault="00782AE4" w:rsidP="00782AE4">
            <w:pPr>
              <w:keepNext/>
              <w:keepLines/>
              <w:rPr>
                <w:b/>
                <w:szCs w:val="24"/>
              </w:rPr>
            </w:pPr>
            <w:r w:rsidRPr="00EA63C5">
              <w:rPr>
                <w:b/>
                <w:szCs w:val="24"/>
              </w:rPr>
              <w:t>SOMMAIRES DE JUGEMENTS RÉCENTS</w:t>
            </w:r>
          </w:p>
        </w:tc>
      </w:tr>
    </w:tbl>
    <w:p w:rsidR="003B3977" w:rsidRPr="00EA63C5" w:rsidRDefault="003B3977" w:rsidP="005C6840">
      <w:pPr>
        <w:rPr>
          <w:rFonts w:cs="Times New Roman"/>
          <w:i/>
          <w:sz w:val="20"/>
          <w:szCs w:val="20"/>
        </w:rPr>
      </w:pPr>
    </w:p>
    <w:p w:rsidR="0052229C" w:rsidRPr="009849E0" w:rsidRDefault="006F143E" w:rsidP="0052229C">
      <w:pPr>
        <w:ind w:left="1440" w:hanging="1440"/>
        <w:jc w:val="both"/>
        <w:rPr>
          <w:sz w:val="20"/>
          <w:szCs w:val="20"/>
          <w:lang w:val="en-US"/>
        </w:rPr>
      </w:pPr>
      <w:r w:rsidRPr="009849E0">
        <w:rPr>
          <w:rFonts w:eastAsia="Calibri"/>
          <w:i/>
          <w:sz w:val="20"/>
          <w:szCs w:val="20"/>
          <w:lang w:val="en-US"/>
        </w:rPr>
        <w:t>Endean v. British Columbia</w:t>
      </w:r>
      <w:r w:rsidR="0052229C" w:rsidRPr="009849E0">
        <w:rPr>
          <w:sz w:val="20"/>
          <w:szCs w:val="20"/>
          <w:lang w:val="en-US"/>
        </w:rPr>
        <w:t xml:space="preserve"> (</w:t>
      </w:r>
      <w:r w:rsidRPr="009849E0">
        <w:rPr>
          <w:sz w:val="20"/>
          <w:szCs w:val="20"/>
          <w:lang w:val="en-US"/>
        </w:rPr>
        <w:t>B.C.</w:t>
      </w:r>
      <w:r w:rsidR="0052229C" w:rsidRPr="009849E0">
        <w:rPr>
          <w:sz w:val="20"/>
          <w:szCs w:val="20"/>
          <w:lang w:val="en-US"/>
        </w:rPr>
        <w:t>) (</w:t>
      </w:r>
      <w:hyperlink r:id="rId76" w:history="1">
        <w:r w:rsidR="0052229C" w:rsidRPr="009849E0">
          <w:rPr>
            <w:rStyle w:val="Hyperlink"/>
            <w:sz w:val="20"/>
            <w:szCs w:val="20"/>
            <w:lang w:val="en-US"/>
          </w:rPr>
          <w:t>3</w:t>
        </w:r>
        <w:r w:rsidRPr="009849E0">
          <w:rPr>
            <w:rStyle w:val="Hyperlink"/>
            <w:sz w:val="20"/>
            <w:szCs w:val="20"/>
            <w:lang w:val="en-US"/>
          </w:rPr>
          <w:t>5</w:t>
        </w:r>
        <w:r w:rsidR="0052229C" w:rsidRPr="009849E0">
          <w:rPr>
            <w:rStyle w:val="Hyperlink"/>
            <w:sz w:val="20"/>
            <w:szCs w:val="20"/>
            <w:lang w:val="en-US"/>
          </w:rPr>
          <w:t>8</w:t>
        </w:r>
        <w:r w:rsidRPr="009849E0">
          <w:rPr>
            <w:rStyle w:val="Hyperlink"/>
            <w:sz w:val="20"/>
            <w:szCs w:val="20"/>
            <w:lang w:val="en-US"/>
          </w:rPr>
          <w:t>43</w:t>
        </w:r>
      </w:hyperlink>
      <w:r w:rsidRPr="009849E0">
        <w:rPr>
          <w:sz w:val="20"/>
          <w:szCs w:val="20"/>
          <w:lang w:val="en-US"/>
        </w:rPr>
        <w:t>/</w:t>
      </w:r>
      <w:hyperlink r:id="rId77" w:history="1">
        <w:r w:rsidRPr="009849E0">
          <w:rPr>
            <w:rStyle w:val="Hyperlink"/>
            <w:sz w:val="20"/>
            <w:szCs w:val="20"/>
            <w:lang w:val="en-US"/>
          </w:rPr>
          <w:t>36456</w:t>
        </w:r>
      </w:hyperlink>
      <w:r w:rsidRPr="009849E0">
        <w:rPr>
          <w:sz w:val="20"/>
          <w:szCs w:val="20"/>
          <w:lang w:val="en-US"/>
        </w:rPr>
        <w:t>)</w:t>
      </w:r>
    </w:p>
    <w:p w:rsidR="0052229C" w:rsidRPr="00EA63C5" w:rsidRDefault="0052229C" w:rsidP="0052229C">
      <w:pPr>
        <w:jc w:val="both"/>
        <w:rPr>
          <w:b/>
          <w:sz w:val="20"/>
          <w:szCs w:val="20"/>
          <w:lang w:val="en-US"/>
        </w:rPr>
      </w:pPr>
      <w:r w:rsidRPr="00EA63C5">
        <w:rPr>
          <w:b/>
          <w:sz w:val="20"/>
          <w:szCs w:val="20"/>
          <w:lang w:val="en-US"/>
        </w:rPr>
        <w:t xml:space="preserve">Indexed as:  </w:t>
      </w:r>
      <w:r w:rsidR="00C1045C" w:rsidRPr="00EA63C5">
        <w:rPr>
          <w:b/>
          <w:sz w:val="20"/>
          <w:szCs w:val="20"/>
          <w:lang w:val="en-US"/>
        </w:rPr>
        <w:t>Endean</w:t>
      </w:r>
      <w:r w:rsidRPr="00EA63C5">
        <w:rPr>
          <w:b/>
          <w:sz w:val="20"/>
          <w:szCs w:val="20"/>
          <w:lang w:val="en-US"/>
        </w:rPr>
        <w:t xml:space="preserve"> </w:t>
      </w:r>
      <w:r w:rsidRPr="00EA63C5">
        <w:rPr>
          <w:b/>
          <w:i/>
          <w:sz w:val="20"/>
          <w:szCs w:val="20"/>
          <w:lang w:val="en-US"/>
        </w:rPr>
        <w:t>v.</w:t>
      </w:r>
      <w:r w:rsidRPr="00EA63C5">
        <w:rPr>
          <w:b/>
          <w:sz w:val="20"/>
          <w:szCs w:val="20"/>
          <w:lang w:val="en-US"/>
        </w:rPr>
        <w:t xml:space="preserve"> </w:t>
      </w:r>
      <w:r w:rsidR="00C1045C" w:rsidRPr="00EA63C5">
        <w:rPr>
          <w:rStyle w:val="SCCRespondentForIndexChar"/>
          <w:rFonts w:eastAsiaTheme="minorHAnsi"/>
          <w:sz w:val="20"/>
          <w:lang w:val="en-US"/>
        </w:rPr>
        <w:t>British Columbia</w:t>
      </w:r>
      <w:r w:rsidRPr="00EA63C5">
        <w:rPr>
          <w:rStyle w:val="SCCRespondentForIndexChar"/>
          <w:rFonts w:eastAsiaTheme="minorHAnsi"/>
          <w:sz w:val="20"/>
          <w:lang w:val="en-US"/>
        </w:rPr>
        <w:t xml:space="preserve"> / </w:t>
      </w:r>
      <w:proofErr w:type="spellStart"/>
      <w:proofErr w:type="gramStart"/>
      <w:r w:rsidRPr="00EA63C5">
        <w:rPr>
          <w:b/>
          <w:sz w:val="20"/>
          <w:szCs w:val="20"/>
          <w:lang w:val="en-US"/>
        </w:rPr>
        <w:t>Répertorié</w:t>
      </w:r>
      <w:proofErr w:type="spellEnd"/>
      <w:r w:rsidRPr="00EA63C5">
        <w:rPr>
          <w:b/>
          <w:sz w:val="20"/>
          <w:szCs w:val="20"/>
          <w:lang w:val="en-US"/>
        </w:rPr>
        <w:t> :</w:t>
      </w:r>
      <w:proofErr w:type="gramEnd"/>
      <w:r w:rsidRPr="00EA63C5">
        <w:rPr>
          <w:b/>
          <w:sz w:val="20"/>
          <w:szCs w:val="20"/>
          <w:lang w:val="en-US"/>
        </w:rPr>
        <w:t> </w:t>
      </w:r>
      <w:r w:rsidR="006F143E" w:rsidRPr="00EA63C5">
        <w:rPr>
          <w:rStyle w:val="SCCAppellantForIndexChar"/>
          <w:rFonts w:eastAsiaTheme="minorHAnsi"/>
          <w:sz w:val="20"/>
          <w:lang w:val="en-US"/>
        </w:rPr>
        <w:t>Endean</w:t>
      </w:r>
      <w:r w:rsidRPr="00EA63C5">
        <w:rPr>
          <w:b/>
          <w:sz w:val="20"/>
          <w:szCs w:val="20"/>
          <w:lang w:val="en-US"/>
        </w:rPr>
        <w:t xml:space="preserve"> </w:t>
      </w:r>
      <w:r w:rsidRPr="00EA63C5">
        <w:rPr>
          <w:b/>
          <w:i/>
          <w:sz w:val="20"/>
          <w:szCs w:val="20"/>
          <w:lang w:val="en-US"/>
        </w:rPr>
        <w:t>c.</w:t>
      </w:r>
      <w:r w:rsidRPr="00EA63C5">
        <w:rPr>
          <w:b/>
          <w:sz w:val="20"/>
          <w:szCs w:val="20"/>
          <w:lang w:val="en-US"/>
        </w:rPr>
        <w:t xml:space="preserve"> </w:t>
      </w:r>
      <w:proofErr w:type="spellStart"/>
      <w:r w:rsidR="006F143E" w:rsidRPr="00EA63C5">
        <w:rPr>
          <w:rStyle w:val="SCCRespondentForIndexChar"/>
          <w:rFonts w:eastAsiaTheme="minorHAnsi"/>
          <w:sz w:val="20"/>
          <w:lang w:val="en-US"/>
        </w:rPr>
        <w:t>Colombie-Britannique</w:t>
      </w:r>
      <w:proofErr w:type="spellEnd"/>
    </w:p>
    <w:p w:rsidR="0052229C" w:rsidRPr="00EA63C5" w:rsidRDefault="0052229C" w:rsidP="0052229C">
      <w:pPr>
        <w:pStyle w:val="SCCSystemYear"/>
        <w:jc w:val="both"/>
        <w:rPr>
          <w:sz w:val="20"/>
          <w:lang w:val="en-US"/>
        </w:rPr>
      </w:pPr>
      <w:r w:rsidRPr="00EA63C5">
        <w:rPr>
          <w:sz w:val="20"/>
          <w:lang w:val="en-US"/>
        </w:rPr>
        <w:t xml:space="preserve">Neutral citation:  </w:t>
      </w:r>
      <w:r w:rsidR="0030050B" w:rsidRPr="00EA63C5">
        <w:rPr>
          <w:sz w:val="20"/>
          <w:lang w:val="en-US"/>
        </w:rPr>
        <w:t>2016</w:t>
      </w:r>
      <w:r w:rsidRPr="00EA63C5">
        <w:rPr>
          <w:sz w:val="20"/>
          <w:lang w:val="en-US"/>
        </w:rPr>
        <w:t xml:space="preserve"> SCC </w:t>
      </w:r>
      <w:r w:rsidR="00C1045C" w:rsidRPr="00EA63C5">
        <w:rPr>
          <w:sz w:val="20"/>
          <w:lang w:val="en-US"/>
        </w:rPr>
        <w:t>42</w:t>
      </w:r>
      <w:r w:rsidRPr="00EA63C5">
        <w:rPr>
          <w:sz w:val="20"/>
          <w:lang w:val="en-US"/>
        </w:rPr>
        <w:t xml:space="preserve"> / Référence </w:t>
      </w:r>
      <w:proofErr w:type="spellStart"/>
      <w:proofErr w:type="gramStart"/>
      <w:r w:rsidRPr="00EA63C5">
        <w:rPr>
          <w:sz w:val="20"/>
          <w:lang w:val="en-US"/>
        </w:rPr>
        <w:t>neutre</w:t>
      </w:r>
      <w:proofErr w:type="spellEnd"/>
      <w:r w:rsidRPr="00EA63C5">
        <w:rPr>
          <w:sz w:val="20"/>
          <w:lang w:val="en-US"/>
        </w:rPr>
        <w:t xml:space="preserve"> :</w:t>
      </w:r>
      <w:proofErr w:type="gramEnd"/>
      <w:r w:rsidRPr="00EA63C5">
        <w:rPr>
          <w:sz w:val="20"/>
          <w:lang w:val="en-US"/>
        </w:rPr>
        <w:t xml:space="preserve"> </w:t>
      </w:r>
      <w:r w:rsidR="0030050B" w:rsidRPr="00EA63C5">
        <w:rPr>
          <w:sz w:val="20"/>
          <w:lang w:val="en-US"/>
        </w:rPr>
        <w:t>2016</w:t>
      </w:r>
      <w:r w:rsidRPr="00EA63C5">
        <w:rPr>
          <w:sz w:val="20"/>
          <w:lang w:val="en-US"/>
        </w:rPr>
        <w:t xml:space="preserve"> CSC </w:t>
      </w:r>
      <w:r w:rsidR="00C1045C" w:rsidRPr="00EA63C5">
        <w:rPr>
          <w:sz w:val="20"/>
          <w:lang w:val="en-US"/>
        </w:rPr>
        <w:t>42</w:t>
      </w:r>
    </w:p>
    <w:p w:rsidR="0052229C" w:rsidRPr="00EA63C5" w:rsidRDefault="0052229C" w:rsidP="0052229C">
      <w:pPr>
        <w:rPr>
          <w:rFonts w:cs="Times New Roman"/>
          <w:sz w:val="20"/>
          <w:szCs w:val="20"/>
          <w:lang w:val="en-US"/>
        </w:rPr>
      </w:pPr>
      <w:r w:rsidRPr="00EA63C5">
        <w:rPr>
          <w:rFonts w:cs="Times New Roman"/>
          <w:sz w:val="20"/>
          <w:szCs w:val="20"/>
          <w:lang w:val="en-US"/>
        </w:rPr>
        <w:t xml:space="preserve">Hearing:  </w:t>
      </w:r>
      <w:r w:rsidR="00C1045C" w:rsidRPr="00EA63C5">
        <w:rPr>
          <w:rFonts w:cs="Times New Roman"/>
          <w:sz w:val="20"/>
          <w:szCs w:val="20"/>
          <w:lang w:val="en-US"/>
        </w:rPr>
        <w:t>May</w:t>
      </w:r>
      <w:r w:rsidRPr="00EA63C5">
        <w:rPr>
          <w:rFonts w:cs="Times New Roman"/>
          <w:sz w:val="20"/>
          <w:szCs w:val="20"/>
          <w:lang w:val="en-US"/>
        </w:rPr>
        <w:t xml:space="preserve"> </w:t>
      </w:r>
      <w:r w:rsidR="00C1045C" w:rsidRPr="00EA63C5">
        <w:rPr>
          <w:rFonts w:cs="Times New Roman"/>
          <w:sz w:val="20"/>
          <w:szCs w:val="20"/>
          <w:lang w:val="en-US"/>
        </w:rPr>
        <w:t>19</w:t>
      </w:r>
      <w:r w:rsidRPr="00EA63C5">
        <w:rPr>
          <w:rFonts w:cs="Times New Roman"/>
          <w:sz w:val="20"/>
          <w:szCs w:val="20"/>
          <w:lang w:val="en-US"/>
        </w:rPr>
        <w:t>, 201</w:t>
      </w:r>
      <w:r w:rsidR="00C1045C" w:rsidRPr="00EA63C5">
        <w:rPr>
          <w:rFonts w:cs="Times New Roman"/>
          <w:sz w:val="20"/>
          <w:szCs w:val="20"/>
          <w:lang w:val="en-US"/>
        </w:rPr>
        <w:t>6</w:t>
      </w:r>
      <w:r w:rsidRPr="00EA63C5">
        <w:rPr>
          <w:rFonts w:cs="Times New Roman"/>
          <w:sz w:val="20"/>
          <w:szCs w:val="20"/>
          <w:lang w:val="en-US"/>
        </w:rPr>
        <w:t xml:space="preserve"> / Judgment:  </w:t>
      </w:r>
      <w:proofErr w:type="spellStart"/>
      <w:r w:rsidR="00C1045C" w:rsidRPr="00EA63C5">
        <w:rPr>
          <w:rFonts w:cs="Times New Roman"/>
          <w:sz w:val="20"/>
          <w:szCs w:val="20"/>
          <w:lang w:val="en-US"/>
        </w:rPr>
        <w:t>Octobre</w:t>
      </w:r>
      <w:proofErr w:type="spellEnd"/>
      <w:r w:rsidRPr="00EA63C5">
        <w:rPr>
          <w:rFonts w:cs="Times New Roman"/>
          <w:sz w:val="20"/>
          <w:szCs w:val="20"/>
          <w:lang w:val="en-US"/>
        </w:rPr>
        <w:t xml:space="preserve"> </w:t>
      </w:r>
      <w:r w:rsidR="00C1045C" w:rsidRPr="00EA63C5">
        <w:rPr>
          <w:rFonts w:cs="Times New Roman"/>
          <w:sz w:val="20"/>
          <w:szCs w:val="20"/>
          <w:lang w:val="en-US"/>
        </w:rPr>
        <w:t>20</w:t>
      </w:r>
      <w:r w:rsidRPr="00EA63C5">
        <w:rPr>
          <w:rFonts w:cs="Times New Roman"/>
          <w:sz w:val="20"/>
          <w:szCs w:val="20"/>
          <w:lang w:val="en-US"/>
        </w:rPr>
        <w:t xml:space="preserve">, </w:t>
      </w:r>
      <w:r w:rsidR="0030050B" w:rsidRPr="00EA63C5">
        <w:rPr>
          <w:rFonts w:cs="Times New Roman"/>
          <w:sz w:val="20"/>
          <w:szCs w:val="20"/>
          <w:lang w:val="en-US"/>
        </w:rPr>
        <w:t>2016</w:t>
      </w:r>
    </w:p>
    <w:p w:rsidR="0052229C" w:rsidRPr="00EA63C5" w:rsidRDefault="0052229C" w:rsidP="0052229C">
      <w:pPr>
        <w:rPr>
          <w:rFonts w:cs="Times New Roman"/>
          <w:sz w:val="20"/>
          <w:szCs w:val="20"/>
          <w:lang w:val="fr-CA"/>
        </w:rPr>
      </w:pPr>
      <w:r w:rsidRPr="00EA63C5">
        <w:rPr>
          <w:rFonts w:cs="Times New Roman"/>
          <w:sz w:val="20"/>
          <w:szCs w:val="20"/>
          <w:lang w:val="fr-CA"/>
        </w:rPr>
        <w:t xml:space="preserve">Audition : Le </w:t>
      </w:r>
      <w:r w:rsidR="00C1045C" w:rsidRPr="00EA63C5">
        <w:rPr>
          <w:rFonts w:cs="Times New Roman"/>
          <w:sz w:val="20"/>
          <w:szCs w:val="20"/>
          <w:lang w:val="fr-CA"/>
        </w:rPr>
        <w:t>19</w:t>
      </w:r>
      <w:r w:rsidRPr="00EA63C5">
        <w:rPr>
          <w:rFonts w:cs="Times New Roman"/>
          <w:sz w:val="20"/>
          <w:szCs w:val="20"/>
          <w:lang w:val="fr-CA"/>
        </w:rPr>
        <w:t xml:space="preserve"> </w:t>
      </w:r>
      <w:r w:rsidR="00C1045C" w:rsidRPr="00EA63C5">
        <w:rPr>
          <w:rFonts w:cs="Times New Roman"/>
          <w:sz w:val="20"/>
          <w:szCs w:val="20"/>
          <w:lang w:val="fr-CA"/>
        </w:rPr>
        <w:t>mai</w:t>
      </w:r>
      <w:r w:rsidRPr="00EA63C5">
        <w:rPr>
          <w:rFonts w:cs="Times New Roman"/>
          <w:sz w:val="20"/>
          <w:szCs w:val="20"/>
          <w:lang w:val="fr-CA"/>
        </w:rPr>
        <w:t xml:space="preserve"> 201</w:t>
      </w:r>
      <w:r w:rsidR="00C1045C" w:rsidRPr="00EA63C5">
        <w:rPr>
          <w:rFonts w:cs="Times New Roman"/>
          <w:sz w:val="20"/>
          <w:szCs w:val="20"/>
          <w:lang w:val="fr-CA"/>
        </w:rPr>
        <w:t>6</w:t>
      </w:r>
      <w:r w:rsidRPr="00EA63C5">
        <w:rPr>
          <w:rFonts w:cs="Times New Roman"/>
          <w:sz w:val="20"/>
          <w:szCs w:val="20"/>
          <w:lang w:val="fr-CA"/>
        </w:rPr>
        <w:t xml:space="preserve"> / Jugement : Le </w:t>
      </w:r>
      <w:r w:rsidR="00C1045C" w:rsidRPr="00EA63C5">
        <w:rPr>
          <w:rFonts w:cs="Times New Roman"/>
          <w:sz w:val="20"/>
          <w:szCs w:val="20"/>
          <w:lang w:val="fr-CA"/>
        </w:rPr>
        <w:t>20</w:t>
      </w:r>
      <w:r w:rsidRPr="00EA63C5">
        <w:rPr>
          <w:rFonts w:cs="Times New Roman"/>
          <w:sz w:val="20"/>
          <w:szCs w:val="20"/>
          <w:lang w:val="fr-CA"/>
        </w:rPr>
        <w:t xml:space="preserve"> </w:t>
      </w:r>
      <w:r w:rsidR="00C1045C" w:rsidRPr="00EA63C5">
        <w:rPr>
          <w:rFonts w:cs="Times New Roman"/>
          <w:sz w:val="20"/>
          <w:szCs w:val="20"/>
          <w:lang w:val="fr-CA"/>
        </w:rPr>
        <w:t>octobre</w:t>
      </w:r>
      <w:r w:rsidRPr="00EA63C5">
        <w:rPr>
          <w:rFonts w:cs="Times New Roman"/>
          <w:sz w:val="20"/>
          <w:szCs w:val="20"/>
          <w:lang w:val="fr-CA"/>
        </w:rPr>
        <w:t xml:space="preserve"> </w:t>
      </w:r>
      <w:r w:rsidR="0030050B" w:rsidRPr="00EA63C5">
        <w:rPr>
          <w:rFonts w:cs="Times New Roman"/>
          <w:sz w:val="20"/>
          <w:szCs w:val="20"/>
          <w:lang w:val="fr-CA"/>
        </w:rPr>
        <w:t>2016</w:t>
      </w:r>
    </w:p>
    <w:p w:rsidR="005C6840" w:rsidRPr="00EA63C5" w:rsidRDefault="007F6DC5" w:rsidP="005C6840">
      <w:pPr>
        <w:rPr>
          <w:rFonts w:cs="Times New Roman"/>
          <w:sz w:val="20"/>
          <w:szCs w:val="20"/>
          <w:lang w:val="fr-CA"/>
        </w:rPr>
      </w:pPr>
      <w:r>
        <w:rPr>
          <w:rFonts w:cs="Times New Roman"/>
          <w:i/>
          <w:sz w:val="20"/>
          <w:szCs w:val="20"/>
        </w:rPr>
        <w:pict>
          <v:rect id="_x0000_i1090" style="width:480.95pt;height:1pt" o:hralign="center" o:hrstd="t" o:hrnoshade="t" o:hr="t" fillcolor="black [3213]" stroked="f"/>
        </w:pict>
      </w:r>
    </w:p>
    <w:p w:rsidR="005C6840" w:rsidRPr="00EA63C5" w:rsidRDefault="005C6840" w:rsidP="005C6840">
      <w:pPr>
        <w:rPr>
          <w:rFonts w:cs="Times New Roman"/>
          <w:sz w:val="20"/>
          <w:szCs w:val="20"/>
          <w:lang w:val="fr-CA"/>
        </w:rPr>
      </w:pPr>
    </w:p>
    <w:p w:rsidR="00B971A9" w:rsidRPr="00EA63C5" w:rsidRDefault="00B971A9" w:rsidP="00B971A9">
      <w:pPr>
        <w:jc w:val="both"/>
        <w:rPr>
          <w:sz w:val="20"/>
          <w:szCs w:val="20"/>
        </w:rPr>
      </w:pPr>
      <w:r w:rsidRPr="00EA63C5">
        <w:rPr>
          <w:sz w:val="20"/>
          <w:szCs w:val="20"/>
        </w:rPr>
        <w:t>Present: McLachlin C.J. and Abella, Cromwell, Moldaver, Karakatsanis, Wagner, Gascon, Côté and Brown JJ.</w:t>
      </w:r>
    </w:p>
    <w:p w:rsidR="00B971A9" w:rsidRPr="00EA63C5" w:rsidRDefault="00B971A9" w:rsidP="00B971A9">
      <w:pPr>
        <w:pStyle w:val="SCCNormalDoubleSpacing"/>
        <w:spacing w:line="240" w:lineRule="auto"/>
        <w:rPr>
          <w:i/>
          <w:sz w:val="20"/>
          <w:lang w:val="en-US"/>
        </w:rPr>
      </w:pPr>
    </w:p>
    <w:p w:rsidR="00B971A9" w:rsidRPr="00EA63C5" w:rsidRDefault="00753B71" w:rsidP="00B971A9">
      <w:pPr>
        <w:pStyle w:val="SCCNormalDoubleSpacing"/>
        <w:spacing w:line="240" w:lineRule="auto"/>
        <w:rPr>
          <w:i/>
          <w:sz w:val="20"/>
        </w:rPr>
      </w:pPr>
      <w:r w:rsidRPr="00EA63C5">
        <w:rPr>
          <w:i/>
          <w:sz w:val="20"/>
          <w:lang w:val="en-US"/>
        </w:rPr>
        <w:tab/>
        <w:t>Courts — Jurisdiction — Class actions — Hearings outside superior court’s home province — Superior court judges in three provinces supervising implementation of pan national class action settlement — Motions relating to settlement brought before supervisory judges — Class counsel proposing that supervisory judges sit together in fourth province to hear motions — Parties agreeing that judges have discretionary power to sit together outside their home provinces, but disagreeing on source of power and conditions under which it may be exercised — Whether source of authority is statutory or an aspect of inherent powers of superior court — Whether video link to open courtroom in judges’ home jurisdiction is condition for exercise of authority — Class Proceedings Act, 1992, S.O. 1992, c. 6, s. 12 — Class Proceedings Act, R.S.B.C. 1996, c. 50, s. 12.</w:t>
      </w:r>
    </w:p>
    <w:p w:rsidR="00B971A9" w:rsidRPr="00EA63C5" w:rsidRDefault="00B971A9" w:rsidP="00D43EAF">
      <w:pPr>
        <w:pStyle w:val="SCCNormalDoubleSpacing"/>
        <w:spacing w:line="240" w:lineRule="auto"/>
        <w:rPr>
          <w:i/>
          <w:sz w:val="20"/>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t>The superior courts of British Columbia, Quebec and Ontario certified concurrent class action proceedings on behalf of individuals infected with hepatitis C by the Canadian blood supply between 1986 and 1990. The British Columbia and Quebec class actions included residents of those provinces, while the Ontario class action included all other persons in Canada. The parties reached a pan</w:t>
      </w:r>
      <w:r w:rsidRPr="00D43EAF">
        <w:rPr>
          <w:rFonts w:eastAsia="Times New Roman" w:cs="Times New Roman"/>
          <w:sz w:val="20"/>
          <w:szCs w:val="20"/>
          <w:lang w:eastAsia="en-CA"/>
        </w:rPr>
        <w:noBreakHyphen/>
        <w:t>Canadian settlement agreement in 1999, which assigned a supervisory role to the British Columbia, Quebec and Ontario superior courts and provided that decisions of those courts only took effect if they were materially identical.</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t>In 2012, class counsel filed motions before the supervisory judges relating to the settlement agreement and proposed that the motions be heard by the three judges sitting together in one location. British Columbia, Quebec and Ontario opposed the proposal on the basis that the judges did not have the jurisdiction to conduct hearings outside their home province. Motions for directions were brought in each jurisdiction to resolve the objection. All three motions judges concluded that it was permissible for the superior court judges to sit in a province other than their respective home province with their judicial counterparts to hear the settlement agreement motions. Only Ontario and British Columbia appealed. The Ontario Court of Appeal agreed with the motions judge that the basis for the power to conduct a hearing outside the province was the superior court’s inherent jurisdiction, but concluded that a video link was required between the out</w:t>
      </w:r>
      <w:r w:rsidRPr="00D43EAF">
        <w:rPr>
          <w:rFonts w:eastAsia="Times New Roman" w:cs="Times New Roman"/>
          <w:sz w:val="20"/>
          <w:szCs w:val="20"/>
          <w:lang w:eastAsia="en-CA"/>
        </w:rPr>
        <w:noBreakHyphen/>
        <w:t>of</w:t>
      </w:r>
      <w:r w:rsidRPr="00D43EAF">
        <w:rPr>
          <w:rFonts w:eastAsia="Times New Roman" w:cs="Times New Roman"/>
          <w:sz w:val="20"/>
          <w:szCs w:val="20"/>
          <w:lang w:eastAsia="en-CA"/>
        </w:rPr>
        <w:noBreakHyphen/>
        <w:t>province courtroom and an Ontario courtroom. The British Columbia Court of Appeal found that the common law prohibited superior court judges from sitting outside the province, but that it was permissible for a judge who was not physically present in the province to conduct a hearing taking place in the province by telephone, video conference or other communication medium.</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t>The representative plaintiffs appeal to this Court and Ontario cross</w:t>
      </w:r>
      <w:r w:rsidRPr="00D43EAF">
        <w:rPr>
          <w:rFonts w:eastAsia="Times New Roman" w:cs="Times New Roman"/>
          <w:sz w:val="20"/>
          <w:szCs w:val="20"/>
          <w:lang w:eastAsia="en-CA"/>
        </w:rPr>
        <w:noBreakHyphen/>
        <w:t>appeals. The parties now agree that the superior court judges have a discretionary power to sit together outside their home provinces to hear a motion without oral evidence in the context of a pan</w:t>
      </w:r>
      <w:r w:rsidRPr="00D43EAF">
        <w:rPr>
          <w:rFonts w:eastAsia="Times New Roman" w:cs="Times New Roman"/>
          <w:sz w:val="20"/>
          <w:szCs w:val="20"/>
          <w:lang w:eastAsia="en-CA"/>
        </w:rPr>
        <w:noBreakHyphen/>
        <w:t>Canadian settlement agreement. However, there is no agreement concerning the source of this power and the conditions under which it may be exercised.</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r>
      <w:r w:rsidRPr="00EA63C5">
        <w:rPr>
          <w:rFonts w:eastAsia="Times New Roman" w:cs="Times New Roman"/>
          <w:i/>
          <w:iCs/>
          <w:sz w:val="20"/>
          <w:szCs w:val="20"/>
          <w:lang w:eastAsia="en-CA"/>
        </w:rPr>
        <w:t>Held</w:t>
      </w:r>
      <w:r w:rsidRPr="00EA63C5">
        <w:rPr>
          <w:rFonts w:eastAsia="Times New Roman" w:cs="Times New Roman"/>
          <w:iCs/>
          <w:sz w:val="20"/>
          <w:szCs w:val="20"/>
          <w:lang w:eastAsia="en-CA"/>
        </w:rPr>
        <w:t>:</w:t>
      </w:r>
      <w:r w:rsidRPr="00D43EAF">
        <w:rPr>
          <w:rFonts w:eastAsia="Times New Roman" w:cs="Times New Roman"/>
          <w:sz w:val="20"/>
          <w:szCs w:val="20"/>
          <w:lang w:eastAsia="en-CA"/>
        </w:rPr>
        <w:t xml:space="preserve"> The appeals should be allowed and the cross</w:t>
      </w:r>
      <w:r w:rsidRPr="00D43EAF">
        <w:rPr>
          <w:rFonts w:eastAsia="Times New Roman" w:cs="Times New Roman"/>
          <w:sz w:val="20"/>
          <w:szCs w:val="20"/>
          <w:lang w:eastAsia="en-CA"/>
        </w:rPr>
        <w:noBreakHyphen/>
        <w:t>appeal should be dismissed.</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r>
      <w:r w:rsidRPr="00D43EAF">
        <w:rPr>
          <w:rFonts w:eastAsia="Times New Roman" w:cs="Times New Roman"/>
          <w:i/>
          <w:sz w:val="20"/>
          <w:szCs w:val="20"/>
          <w:lang w:eastAsia="en-CA"/>
        </w:rPr>
        <w:t>Per</w:t>
      </w:r>
      <w:r w:rsidRPr="00D43EAF">
        <w:rPr>
          <w:rFonts w:eastAsia="Times New Roman" w:cs="Times New Roman"/>
          <w:sz w:val="20"/>
          <w:szCs w:val="20"/>
          <w:lang w:eastAsia="en-CA"/>
        </w:rPr>
        <w:t xml:space="preserve"> McLachlin C.J. and Abella, </w:t>
      </w:r>
      <w:r w:rsidRPr="00D43EAF">
        <w:rPr>
          <w:rFonts w:eastAsia="Times New Roman" w:cs="Times New Roman"/>
          <w:b/>
          <w:sz w:val="20"/>
          <w:szCs w:val="20"/>
          <w:lang w:eastAsia="en-CA"/>
        </w:rPr>
        <w:t>Cromwell,</w:t>
      </w:r>
      <w:r w:rsidRPr="00D43EAF">
        <w:rPr>
          <w:rFonts w:eastAsia="Times New Roman" w:cs="Times New Roman"/>
          <w:sz w:val="20"/>
          <w:szCs w:val="20"/>
          <w:lang w:eastAsia="en-CA"/>
        </w:rPr>
        <w:t xml:space="preserve"> Moldaver, Gascon, </w:t>
      </w:r>
      <w:r w:rsidRPr="00D43EAF">
        <w:rPr>
          <w:rFonts w:eastAsia="Times New Roman" w:cs="Times New Roman"/>
          <w:sz w:val="20"/>
          <w:szCs w:val="20"/>
          <w:lang w:val="en-US" w:eastAsia="en-CA"/>
        </w:rPr>
        <w:t>Côté and Brown JJ.:</w:t>
      </w:r>
      <w:r w:rsidRPr="00D43EAF">
        <w:rPr>
          <w:rFonts w:eastAsia="Times New Roman" w:cs="Times New Roman"/>
          <w:sz w:val="20"/>
          <w:szCs w:val="20"/>
          <w:lang w:eastAsia="en-CA"/>
        </w:rPr>
        <w:t xml:space="preserve"> In pan</w:t>
      </w:r>
      <w:r w:rsidRPr="00D43EAF">
        <w:rPr>
          <w:rFonts w:eastAsia="Times New Roman" w:cs="Times New Roman"/>
          <w:sz w:val="20"/>
          <w:szCs w:val="20"/>
          <w:lang w:eastAsia="en-CA"/>
        </w:rPr>
        <w:noBreakHyphen/>
        <w:t>national class action proceedings over which the superior court has subject</w:t>
      </w:r>
      <w:r w:rsidRPr="00D43EAF">
        <w:rPr>
          <w:rFonts w:eastAsia="Times New Roman" w:cs="Times New Roman"/>
          <w:sz w:val="20"/>
          <w:szCs w:val="20"/>
          <w:lang w:eastAsia="en-CA"/>
        </w:rPr>
        <w:noBreakHyphen/>
        <w:t xml:space="preserve">matter and personal jurisdiction, a judge of that court has the discretion to hold a hearing outside his or her territory in conjunction with other judges managing related class actions, provided that the judge will not have to resort to the court’s coercive powers in order to convene or conduct the hearing and the hearing is not contrary to the law of the place in which it will be held. </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lastRenderedPageBreak/>
        <w:tab/>
        <w:t xml:space="preserve">To determine the source of their discretionary power to sit outside their home jurisdiction, courts ought to look first to their statutory powers before considering their inherent jurisdiction. Given the broad and loosely defined nature of the inherent powers of superior courts, they should be exercised sparingly and with caution. In Ontario and British Columbia, superior court judges have the discretionary statutory power under s. 12 of the Ontario </w:t>
      </w:r>
      <w:r w:rsidRPr="00D43EAF">
        <w:rPr>
          <w:rFonts w:eastAsia="Times New Roman" w:cs="Times New Roman"/>
          <w:i/>
          <w:sz w:val="20"/>
          <w:szCs w:val="20"/>
          <w:lang w:eastAsia="en-CA"/>
        </w:rPr>
        <w:t>Class Proceedings Act, 1992</w:t>
      </w:r>
      <w:r w:rsidRPr="00D43EAF">
        <w:rPr>
          <w:rFonts w:eastAsia="Times New Roman" w:cs="Times New Roman"/>
          <w:sz w:val="20"/>
          <w:szCs w:val="20"/>
          <w:lang w:eastAsia="en-CA"/>
        </w:rPr>
        <w:t xml:space="preserve"> and s. 12 of the British Columbia </w:t>
      </w:r>
      <w:r w:rsidRPr="00D43EAF">
        <w:rPr>
          <w:rFonts w:eastAsia="Times New Roman" w:cs="Times New Roman"/>
          <w:i/>
          <w:sz w:val="20"/>
          <w:szCs w:val="20"/>
          <w:lang w:eastAsia="en-CA"/>
        </w:rPr>
        <w:t>Class Proceedings Act</w:t>
      </w:r>
      <w:r w:rsidRPr="00D43EAF">
        <w:rPr>
          <w:rFonts w:eastAsia="Times New Roman" w:cs="Times New Roman"/>
          <w:sz w:val="20"/>
          <w:szCs w:val="20"/>
          <w:lang w:eastAsia="en-CA"/>
        </w:rPr>
        <w:t xml:space="preserve"> (the “Acts”) to sit outside their home provinces. A broad interpretation of these statutory powers, which confirms and reflects the inherent authority of judges to control procedure, helps to fulfil the purpose of class actions and to ensure that procedural innovations in aid of access to justice will not be stymied by unduly technical or time</w:t>
      </w:r>
      <w:r w:rsidRPr="00D43EAF">
        <w:rPr>
          <w:rFonts w:eastAsia="Times New Roman" w:cs="Times New Roman"/>
          <w:sz w:val="20"/>
          <w:szCs w:val="20"/>
          <w:lang w:eastAsia="en-CA"/>
        </w:rPr>
        <w:noBreakHyphen/>
        <w:t xml:space="preserve">bound understandings of the scope of the class action judge’s authority. There are no constitutional, statutory or common law limitations that restrict the scope of the broad and general language of these provisions and that prevent a judge from sitting outside his or her province for the purposes in issue in these cases. </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t>Section 12 of the Acts should be understood as both confirming and reflecting the inherent jurisdiction of the superior courts to govern their own processes. Thus, in common law jurisdictions where comparable provisions do not exist, the analysis of the courts’ inherent jurisdiction would lead to the same result, subject to any limitations on inherent jurisdiction there applicable, such as constraints imposed by the Constitution, by any statutory provisions or by common law rules. Absent some clear limitation, the inherent jurisdiction of the superior courts extends to permitting the court to hold the sort of hearing in issue here.</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t>A video link between the out</w:t>
      </w:r>
      <w:r w:rsidRPr="00D43EAF">
        <w:rPr>
          <w:rFonts w:eastAsia="Times New Roman" w:cs="Times New Roman"/>
          <w:sz w:val="20"/>
          <w:szCs w:val="20"/>
          <w:lang w:eastAsia="en-CA"/>
        </w:rPr>
        <w:noBreakHyphen/>
        <w:t>of</w:t>
      </w:r>
      <w:r w:rsidRPr="00D43EAF">
        <w:rPr>
          <w:rFonts w:eastAsia="Times New Roman" w:cs="Times New Roman"/>
          <w:sz w:val="20"/>
          <w:szCs w:val="20"/>
          <w:lang w:eastAsia="en-CA"/>
        </w:rPr>
        <w:noBreakHyphen/>
        <w:t xml:space="preserve">province courtroom where the hearing takes place and a courtroom in the judge’s home province is not a condition for a judge to be able to sit outside his or her home province. Neither the Acts nor the inherent jurisdiction of the court imposes such a requirement. The open court principle is not violated when a superior court judge exercises his or her discretion to sit outside his or her home province without a video link to the home jurisdiction. </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eastAsia="en-CA"/>
        </w:rPr>
      </w:pPr>
      <w:r w:rsidRPr="00D43EAF">
        <w:rPr>
          <w:rFonts w:eastAsia="Times New Roman" w:cs="Times New Roman"/>
          <w:sz w:val="20"/>
          <w:szCs w:val="20"/>
          <w:lang w:eastAsia="en-CA"/>
        </w:rPr>
        <w:tab/>
        <w:t>The court’s discretion to hold a hearing outside its territory must be exercised in the interests of the administration of justice. The court should also be guided by the following broad considerations: whether sitting in another province will impinge or could be seen as impinging on the sovereignty of that province; whether there are benefits or costs to the proposed out</w:t>
      </w:r>
      <w:r w:rsidRPr="00D43EAF">
        <w:rPr>
          <w:rFonts w:eastAsia="Times New Roman" w:cs="Times New Roman"/>
          <w:sz w:val="20"/>
          <w:szCs w:val="20"/>
          <w:lang w:eastAsia="en-CA"/>
        </w:rPr>
        <w:noBreakHyphen/>
        <w:t>of</w:t>
      </w:r>
      <w:r w:rsidRPr="00D43EAF">
        <w:rPr>
          <w:rFonts w:eastAsia="Times New Roman" w:cs="Times New Roman"/>
          <w:sz w:val="20"/>
          <w:szCs w:val="20"/>
          <w:lang w:eastAsia="en-CA"/>
        </w:rPr>
        <w:noBreakHyphen/>
        <w:t xml:space="preserve">province proceeding; and whether any terms should be imposed, such as conditions as to the payment of extraordinary costs or use of a video link to the court’s home jurisdiction. </w:t>
      </w:r>
    </w:p>
    <w:p w:rsidR="00D43EAF" w:rsidRPr="00D43EAF" w:rsidRDefault="00D43EAF" w:rsidP="00D43EAF">
      <w:pPr>
        <w:tabs>
          <w:tab w:val="left" w:pos="1168"/>
        </w:tabs>
        <w:jc w:val="both"/>
        <w:rPr>
          <w:rFonts w:eastAsia="Times New Roman" w:cs="Times New Roman"/>
          <w:sz w:val="20"/>
          <w:szCs w:val="20"/>
          <w:lang w:eastAsia="en-CA"/>
        </w:rPr>
      </w:pPr>
    </w:p>
    <w:p w:rsidR="00D43EAF" w:rsidRPr="00EA63C5" w:rsidRDefault="00D43EAF" w:rsidP="00D43EAF">
      <w:pPr>
        <w:tabs>
          <w:tab w:val="left" w:pos="1168"/>
        </w:tabs>
        <w:jc w:val="both"/>
        <w:rPr>
          <w:rFonts w:eastAsia="Times New Roman" w:cs="Times New Roman"/>
          <w:sz w:val="20"/>
          <w:szCs w:val="20"/>
          <w:lang w:val="en-US" w:eastAsia="en-CA"/>
        </w:rPr>
      </w:pPr>
      <w:r w:rsidRPr="00D43EAF">
        <w:rPr>
          <w:rFonts w:eastAsia="Times New Roman" w:cs="Times New Roman"/>
          <w:sz w:val="20"/>
          <w:szCs w:val="20"/>
          <w:lang w:eastAsia="en-CA"/>
        </w:rPr>
        <w:tab/>
      </w:r>
      <w:r w:rsidRPr="00D43EAF">
        <w:rPr>
          <w:rFonts w:eastAsia="Times New Roman" w:cs="Times New Roman"/>
          <w:i/>
          <w:sz w:val="20"/>
          <w:szCs w:val="20"/>
          <w:lang w:eastAsia="en-CA"/>
        </w:rPr>
        <w:t>Per</w:t>
      </w:r>
      <w:r w:rsidRPr="00D43EAF">
        <w:rPr>
          <w:rFonts w:eastAsia="Times New Roman" w:cs="Times New Roman"/>
          <w:sz w:val="20"/>
          <w:szCs w:val="20"/>
          <w:lang w:eastAsia="en-CA"/>
        </w:rPr>
        <w:t xml:space="preserve"> Karakatsanis and </w:t>
      </w:r>
      <w:r w:rsidRPr="00D43EAF">
        <w:rPr>
          <w:rFonts w:eastAsia="Times New Roman" w:cs="Times New Roman"/>
          <w:b/>
          <w:sz w:val="20"/>
          <w:szCs w:val="20"/>
          <w:lang w:eastAsia="en-CA"/>
        </w:rPr>
        <w:t>Wagner</w:t>
      </w:r>
      <w:r w:rsidRPr="00D43EAF">
        <w:rPr>
          <w:rFonts w:eastAsia="Times New Roman" w:cs="Times New Roman"/>
          <w:sz w:val="20"/>
          <w:szCs w:val="20"/>
          <w:lang w:eastAsia="en-CA"/>
        </w:rPr>
        <w:t xml:space="preserve"> JJ.: </w:t>
      </w:r>
      <w:r w:rsidRPr="00D43EAF">
        <w:rPr>
          <w:rFonts w:eastAsia="Times New Roman" w:cs="Times New Roman"/>
          <w:sz w:val="20"/>
          <w:szCs w:val="20"/>
          <w:lang w:val="en-US" w:eastAsia="en-CA"/>
        </w:rPr>
        <w:t xml:space="preserve">There is agreement that the superior court judges in these cases have discretionary statutory authority under s. 12 of the Acts to sit outside of their home provinces, and that a video link is not mandatory in an </w:t>
      </w:r>
      <w:proofErr w:type="spellStart"/>
      <w:r w:rsidRPr="00D43EAF">
        <w:rPr>
          <w:rFonts w:eastAsia="Times New Roman" w:cs="Times New Roman"/>
          <w:sz w:val="20"/>
          <w:szCs w:val="20"/>
          <w:lang w:val="en-US" w:eastAsia="en-CA"/>
        </w:rPr>
        <w:t>extraprovincial</w:t>
      </w:r>
      <w:proofErr w:type="spellEnd"/>
      <w:r w:rsidRPr="00D43EAF">
        <w:rPr>
          <w:rFonts w:eastAsia="Times New Roman" w:cs="Times New Roman"/>
          <w:sz w:val="20"/>
          <w:szCs w:val="20"/>
          <w:lang w:val="en-US" w:eastAsia="en-CA"/>
        </w:rPr>
        <w:t xml:space="preserve"> hearing. </w:t>
      </w:r>
    </w:p>
    <w:p w:rsidR="00D43EAF" w:rsidRPr="00D43EAF" w:rsidRDefault="00D43EAF" w:rsidP="00D43EAF">
      <w:pPr>
        <w:tabs>
          <w:tab w:val="left" w:pos="1168"/>
        </w:tabs>
        <w:jc w:val="both"/>
        <w:rPr>
          <w:rFonts w:eastAsia="Times New Roman" w:cs="Times New Roman"/>
          <w:sz w:val="20"/>
          <w:szCs w:val="20"/>
          <w:lang w:val="en-US" w:eastAsia="en-CA"/>
        </w:rPr>
      </w:pPr>
    </w:p>
    <w:p w:rsidR="00D43EAF" w:rsidRPr="00D43EAF" w:rsidRDefault="00D43EAF" w:rsidP="00D43EAF">
      <w:pPr>
        <w:tabs>
          <w:tab w:val="left" w:pos="1168"/>
        </w:tabs>
        <w:jc w:val="both"/>
        <w:rPr>
          <w:rFonts w:eastAsia="Times New Roman" w:cs="Times New Roman"/>
          <w:sz w:val="20"/>
          <w:szCs w:val="20"/>
          <w:lang w:val="en-US" w:eastAsia="en-CA"/>
        </w:rPr>
      </w:pPr>
      <w:r w:rsidRPr="00D43EAF">
        <w:rPr>
          <w:rFonts w:eastAsia="Times New Roman" w:cs="Times New Roman"/>
          <w:sz w:val="20"/>
          <w:szCs w:val="20"/>
          <w:lang w:val="en-US" w:eastAsia="en-CA"/>
        </w:rPr>
        <w:tab/>
        <w:t xml:space="preserve">The open court principle encompasses more than a singular requirement that justice not be carried out in secrecy. It fosters public confidence in the court system and furthers public understanding of the administration of justice. In addition, the open court principle protects the media’s right to access courts and the circumstances necessary for the media to fulfil its role as a surrogate for the public. A judge sitting </w:t>
      </w:r>
      <w:proofErr w:type="spellStart"/>
      <w:r w:rsidRPr="00D43EAF">
        <w:rPr>
          <w:rFonts w:eastAsia="Times New Roman" w:cs="Times New Roman"/>
          <w:sz w:val="20"/>
          <w:szCs w:val="20"/>
          <w:lang w:val="en-US" w:eastAsia="en-CA"/>
        </w:rPr>
        <w:t>extraprovincially</w:t>
      </w:r>
      <w:proofErr w:type="spellEnd"/>
      <w:r w:rsidRPr="00D43EAF">
        <w:rPr>
          <w:rFonts w:eastAsia="Times New Roman" w:cs="Times New Roman"/>
          <w:sz w:val="20"/>
          <w:szCs w:val="20"/>
          <w:lang w:val="en-US" w:eastAsia="en-CA"/>
        </w:rPr>
        <w:t xml:space="preserve"> should be prepared to consider how to give effect to the educational and community centric aspects of the open court principle. In particular, courts should strive to make class actions procedure visible and understandable to class members and the community where the proceedings were initiated. While the court should not presumptively order that a video link back to the home provinces be set up where the court sits </w:t>
      </w:r>
      <w:proofErr w:type="spellStart"/>
      <w:r w:rsidRPr="00D43EAF">
        <w:rPr>
          <w:rFonts w:eastAsia="Times New Roman" w:cs="Times New Roman"/>
          <w:sz w:val="20"/>
          <w:szCs w:val="20"/>
          <w:lang w:val="en-US" w:eastAsia="en-CA"/>
        </w:rPr>
        <w:t>extraprovincially</w:t>
      </w:r>
      <w:proofErr w:type="spellEnd"/>
      <w:r w:rsidRPr="00D43EAF">
        <w:rPr>
          <w:rFonts w:eastAsia="Times New Roman" w:cs="Times New Roman"/>
          <w:sz w:val="20"/>
          <w:szCs w:val="20"/>
          <w:lang w:val="en-US" w:eastAsia="en-CA"/>
        </w:rPr>
        <w:t xml:space="preserve">, members of the public, the media, or counsel can request that a video link or other means be used to enhance the accessibility of the hearing. If such a request is made, or the judge considers it appropriate, a video link or other means to enhance accessibility should be ordered, subject to any countervailing considerations. </w:t>
      </w:r>
    </w:p>
    <w:p w:rsidR="00B971A9" w:rsidRPr="00EA63C5" w:rsidRDefault="00B971A9" w:rsidP="00D43EAF">
      <w:pPr>
        <w:pStyle w:val="SCCNormalDoubleSpacing"/>
        <w:spacing w:line="240" w:lineRule="auto"/>
        <w:rPr>
          <w:sz w:val="20"/>
        </w:rPr>
      </w:pPr>
    </w:p>
    <w:p w:rsidR="008B0F67" w:rsidRPr="00EA63C5" w:rsidRDefault="008B0F67" w:rsidP="00D43EAF">
      <w:pPr>
        <w:pStyle w:val="SCCLawFirm"/>
        <w:spacing w:line="240" w:lineRule="auto"/>
        <w:rPr>
          <w:i w:val="0"/>
          <w:sz w:val="20"/>
          <w:lang w:val="en-US"/>
        </w:rPr>
      </w:pPr>
      <w:r w:rsidRPr="00EA63C5">
        <w:rPr>
          <w:i w:val="0"/>
          <w:sz w:val="20"/>
          <w:lang w:val="en-US"/>
        </w:rPr>
        <w:tab/>
        <w:t xml:space="preserve">APPEAL from a judgment of the British Columbia Court of Appeal (Saunders, </w:t>
      </w:r>
      <w:proofErr w:type="spellStart"/>
      <w:r w:rsidRPr="00EA63C5">
        <w:rPr>
          <w:i w:val="0"/>
          <w:sz w:val="20"/>
          <w:lang w:val="en-US"/>
        </w:rPr>
        <w:t>Tysoe</w:t>
      </w:r>
      <w:proofErr w:type="spellEnd"/>
      <w:r w:rsidRPr="00EA63C5">
        <w:rPr>
          <w:i w:val="0"/>
          <w:sz w:val="20"/>
          <w:lang w:val="en-US"/>
        </w:rPr>
        <w:t xml:space="preserve"> and </w:t>
      </w:r>
      <w:proofErr w:type="spellStart"/>
      <w:r w:rsidRPr="00EA63C5">
        <w:rPr>
          <w:i w:val="0"/>
          <w:sz w:val="20"/>
          <w:lang w:val="en-US"/>
        </w:rPr>
        <w:t>Goepel</w:t>
      </w:r>
      <w:proofErr w:type="spellEnd"/>
      <w:r w:rsidRPr="00EA63C5">
        <w:rPr>
          <w:i w:val="0"/>
          <w:sz w:val="20"/>
          <w:lang w:val="en-US"/>
        </w:rPr>
        <w:t xml:space="preserve"> JJ.A.), 2014 BCCA 61, 59 B.C.L.R. (5th) 113, 352 B.C.A.C. 7, 601 W.A.C. 7, 49 C.P.C. (7th) 316, [2014] 5 W.W.R. 481, [2014] B.C.J. No. 254 (QL), 2014 </w:t>
      </w:r>
      <w:proofErr w:type="spellStart"/>
      <w:r w:rsidRPr="00EA63C5">
        <w:rPr>
          <w:i w:val="0"/>
          <w:sz w:val="20"/>
          <w:lang w:val="en-US"/>
        </w:rPr>
        <w:t>CarswellBC</w:t>
      </w:r>
      <w:proofErr w:type="spellEnd"/>
      <w:r w:rsidRPr="00EA63C5">
        <w:rPr>
          <w:i w:val="0"/>
          <w:sz w:val="20"/>
          <w:lang w:val="en-US"/>
        </w:rPr>
        <w:t xml:space="preserve"> 363 (WL Can.), setting aside a decision of Bauman C.J.B.C., 2013 BCSC 1074, [2013] B.C.J. No. 1304 (QL), 2013 </w:t>
      </w:r>
      <w:proofErr w:type="spellStart"/>
      <w:r w:rsidRPr="00EA63C5">
        <w:rPr>
          <w:i w:val="0"/>
          <w:sz w:val="20"/>
          <w:lang w:val="en-US"/>
        </w:rPr>
        <w:t>CarswellBC</w:t>
      </w:r>
      <w:proofErr w:type="spellEnd"/>
      <w:r w:rsidRPr="00EA63C5">
        <w:rPr>
          <w:i w:val="0"/>
          <w:sz w:val="20"/>
          <w:lang w:val="en-US"/>
        </w:rPr>
        <w:t xml:space="preserve"> 1828 (WL Can.). Appeal allowed.</w:t>
      </w:r>
    </w:p>
    <w:p w:rsidR="008B0F67" w:rsidRPr="00EA63C5" w:rsidRDefault="008B0F67" w:rsidP="00D43EAF">
      <w:pPr>
        <w:pStyle w:val="SCCNormalDoubleSpacing"/>
        <w:spacing w:line="240" w:lineRule="auto"/>
        <w:rPr>
          <w:sz w:val="20"/>
          <w:lang w:val="en-US"/>
        </w:rPr>
      </w:pPr>
    </w:p>
    <w:p w:rsidR="008B0F67" w:rsidRPr="00EA63C5" w:rsidRDefault="008B0F67" w:rsidP="00D43EAF">
      <w:pPr>
        <w:pStyle w:val="SCCLawFirm"/>
        <w:spacing w:line="240" w:lineRule="auto"/>
        <w:rPr>
          <w:i w:val="0"/>
          <w:sz w:val="20"/>
          <w:lang w:val="en-US"/>
        </w:rPr>
      </w:pPr>
      <w:r w:rsidRPr="00EA63C5">
        <w:rPr>
          <w:i w:val="0"/>
          <w:sz w:val="20"/>
          <w:lang w:val="en-US"/>
        </w:rPr>
        <w:lastRenderedPageBreak/>
        <w:tab/>
        <w:t>APPEAL and CROSS APPEAL from a judgment of the Ontario Court of Appeal (</w:t>
      </w:r>
      <w:proofErr w:type="spellStart"/>
      <w:r w:rsidRPr="00EA63C5">
        <w:rPr>
          <w:i w:val="0"/>
          <w:sz w:val="20"/>
          <w:lang w:val="en-US"/>
        </w:rPr>
        <w:t>Juriansz</w:t>
      </w:r>
      <w:proofErr w:type="spellEnd"/>
      <w:r w:rsidRPr="00EA63C5">
        <w:rPr>
          <w:i w:val="0"/>
          <w:sz w:val="20"/>
          <w:lang w:val="en-US"/>
        </w:rPr>
        <w:t xml:space="preserve">, </w:t>
      </w:r>
      <w:proofErr w:type="spellStart"/>
      <w:r w:rsidRPr="00EA63C5">
        <w:rPr>
          <w:i w:val="0"/>
          <w:sz w:val="20"/>
          <w:lang w:val="en-US"/>
        </w:rPr>
        <w:t>LaForme</w:t>
      </w:r>
      <w:proofErr w:type="spellEnd"/>
      <w:r w:rsidRPr="00EA63C5">
        <w:rPr>
          <w:i w:val="0"/>
          <w:sz w:val="20"/>
          <w:lang w:val="en-US"/>
        </w:rPr>
        <w:t xml:space="preserve"> and </w:t>
      </w:r>
      <w:proofErr w:type="spellStart"/>
      <w:r w:rsidRPr="00EA63C5">
        <w:rPr>
          <w:i w:val="0"/>
          <w:sz w:val="20"/>
          <w:lang w:val="en-US"/>
        </w:rPr>
        <w:t>Lauwers</w:t>
      </w:r>
      <w:proofErr w:type="spellEnd"/>
      <w:r w:rsidRPr="00EA63C5">
        <w:rPr>
          <w:i w:val="0"/>
          <w:sz w:val="20"/>
          <w:lang w:val="en-US"/>
        </w:rPr>
        <w:t xml:space="preserve"> JJ.A.), 2015 ONCA 158, 125 O.R. (3d) 168, 331 O.A.C. 71, 381 D.L.R. (4th) 667, 64 C.P.C. (7th) 227, [2015] O.J. No. 1257 (QL), 2015 </w:t>
      </w:r>
      <w:proofErr w:type="spellStart"/>
      <w:r w:rsidRPr="00EA63C5">
        <w:rPr>
          <w:i w:val="0"/>
          <w:sz w:val="20"/>
          <w:lang w:val="en-US"/>
        </w:rPr>
        <w:t>CarswellOnt</w:t>
      </w:r>
      <w:proofErr w:type="spellEnd"/>
      <w:r w:rsidRPr="00EA63C5">
        <w:rPr>
          <w:i w:val="0"/>
          <w:sz w:val="20"/>
          <w:lang w:val="en-US"/>
        </w:rPr>
        <w:t xml:space="preserve"> 3336 (WL Can.), setting aside in part a decision of Winkler C.J.O., 2013 ONSC 3053, 363 D.L.R. (4th) 352, 43 C.P.C. (7th) 412, [2013] O.J. No. 2343 (QL), 2013 </w:t>
      </w:r>
      <w:proofErr w:type="spellStart"/>
      <w:r w:rsidRPr="00EA63C5">
        <w:rPr>
          <w:i w:val="0"/>
          <w:sz w:val="20"/>
          <w:lang w:val="en-US"/>
        </w:rPr>
        <w:t>CarswellOnt</w:t>
      </w:r>
      <w:proofErr w:type="spellEnd"/>
      <w:r w:rsidRPr="00EA63C5">
        <w:rPr>
          <w:i w:val="0"/>
          <w:sz w:val="20"/>
          <w:lang w:val="en-US"/>
        </w:rPr>
        <w:t xml:space="preserve"> 6659 (WL Can.). Appeal allowed and cross appeal dismissed.</w:t>
      </w:r>
    </w:p>
    <w:p w:rsidR="008B0F67" w:rsidRPr="00EA63C5" w:rsidRDefault="008B0F67" w:rsidP="00D43EAF">
      <w:pPr>
        <w:pStyle w:val="SCCNormalDoubleSpacing"/>
        <w:spacing w:line="240" w:lineRule="auto"/>
        <w:rPr>
          <w:i/>
          <w:sz w:val="20"/>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Sharon D. Matthews, Q.C., J. J. Camp, Q.C., and Michael </w:t>
      </w:r>
      <w:proofErr w:type="spellStart"/>
      <w:r w:rsidRPr="00EA63C5">
        <w:rPr>
          <w:sz w:val="20"/>
          <w:lang w:val="en-US"/>
        </w:rPr>
        <w:t>Sobkin</w:t>
      </w:r>
      <w:proofErr w:type="spellEnd"/>
      <w:r w:rsidRPr="00EA63C5">
        <w:rPr>
          <w:sz w:val="20"/>
          <w:lang w:val="en-US"/>
        </w:rPr>
        <w:t>, for the appellant Anita Endean, as representative plaintiff.</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Keith Evans and Katherine Webber, for the respondent Her Majesty the Queen in Right of the Province of British Columbia.</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Robert J. Frater, Q.C., and Kathryn </w:t>
      </w:r>
      <w:proofErr w:type="spellStart"/>
      <w:r w:rsidRPr="00EA63C5">
        <w:rPr>
          <w:sz w:val="20"/>
          <w:lang w:val="en-US"/>
        </w:rPr>
        <w:t>Hucal</w:t>
      </w:r>
      <w:proofErr w:type="spellEnd"/>
      <w:r w:rsidRPr="00EA63C5">
        <w:rPr>
          <w:sz w:val="20"/>
          <w:lang w:val="en-US"/>
        </w:rPr>
        <w:t>, for the respondent/respondent on cross appeal the Attorney General of Canada.</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Paul J. Pape and </w:t>
      </w:r>
      <w:proofErr w:type="spellStart"/>
      <w:r w:rsidRPr="00EA63C5">
        <w:rPr>
          <w:sz w:val="20"/>
          <w:lang w:val="en-US"/>
        </w:rPr>
        <w:t>Shantona</w:t>
      </w:r>
      <w:proofErr w:type="spellEnd"/>
      <w:r w:rsidRPr="00EA63C5">
        <w:rPr>
          <w:sz w:val="20"/>
          <w:lang w:val="en-US"/>
        </w:rPr>
        <w:t xml:space="preserve"> </w:t>
      </w:r>
      <w:proofErr w:type="spellStart"/>
      <w:r w:rsidRPr="00EA63C5">
        <w:rPr>
          <w:sz w:val="20"/>
          <w:lang w:val="en-US"/>
        </w:rPr>
        <w:t>Chaudhury</w:t>
      </w:r>
      <w:proofErr w:type="spellEnd"/>
      <w:r w:rsidRPr="00EA63C5">
        <w:rPr>
          <w:sz w:val="20"/>
          <w:lang w:val="en-US"/>
        </w:rPr>
        <w:t>, for the appellants/respondents on cross appeal Dianna Louise Parsons et al.</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John E. Callaghan and Alex </w:t>
      </w:r>
      <w:proofErr w:type="spellStart"/>
      <w:r w:rsidRPr="00EA63C5">
        <w:rPr>
          <w:sz w:val="20"/>
          <w:lang w:val="en-US"/>
        </w:rPr>
        <w:t>Zavaglia</w:t>
      </w:r>
      <w:proofErr w:type="spellEnd"/>
      <w:r w:rsidRPr="00EA63C5">
        <w:rPr>
          <w:sz w:val="20"/>
          <w:lang w:val="en-US"/>
        </w:rPr>
        <w:t>, for the appellant the Fund Counsel for Ontario.</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Josh Hunter, Brent Kettles and Lynne McArdle, for the respondent/appellant on cross appeal Her Majesty the Queen in Right of Ontario.</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No one appeared for the respondent/respondent on cross appeal the Canadian Red Cross Society.</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Caroline </w:t>
      </w:r>
      <w:proofErr w:type="spellStart"/>
      <w:r w:rsidRPr="00EA63C5">
        <w:rPr>
          <w:sz w:val="20"/>
          <w:lang w:val="en-US"/>
        </w:rPr>
        <w:t>Zayid</w:t>
      </w:r>
      <w:proofErr w:type="spellEnd"/>
      <w:r w:rsidRPr="00EA63C5">
        <w:rPr>
          <w:sz w:val="20"/>
          <w:lang w:val="en-US"/>
        </w:rPr>
        <w:t>, H. Michael Rosenberg and Adam Goldenberg, for the respondents Her Majesty the Queen in Right of Alberta et al.</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Written submissions only by Dana </w:t>
      </w:r>
      <w:proofErr w:type="spellStart"/>
      <w:r w:rsidRPr="00EA63C5">
        <w:rPr>
          <w:sz w:val="20"/>
          <w:lang w:val="en-US"/>
        </w:rPr>
        <w:t>Pescarus</w:t>
      </w:r>
      <w:proofErr w:type="spellEnd"/>
      <w:r w:rsidRPr="00EA63C5">
        <w:rPr>
          <w:sz w:val="20"/>
          <w:lang w:val="en-US"/>
        </w:rPr>
        <w:t xml:space="preserve">, Carole </w:t>
      </w:r>
      <w:proofErr w:type="spellStart"/>
      <w:r w:rsidRPr="00EA63C5">
        <w:rPr>
          <w:sz w:val="20"/>
          <w:lang w:val="en-US"/>
        </w:rPr>
        <w:t>Soucy</w:t>
      </w:r>
      <w:proofErr w:type="spellEnd"/>
      <w:r w:rsidRPr="00EA63C5">
        <w:rPr>
          <w:sz w:val="20"/>
          <w:lang w:val="en-US"/>
        </w:rPr>
        <w:t xml:space="preserve"> and Manon Des Ormeaux, for the intervener.</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Solicitors for the appellant Anita Endean, as representative plaintiff: Camp </w:t>
      </w:r>
      <w:proofErr w:type="spellStart"/>
      <w:r w:rsidRPr="00EA63C5">
        <w:rPr>
          <w:sz w:val="20"/>
          <w:lang w:val="en-US"/>
        </w:rPr>
        <w:t>Fiorante</w:t>
      </w:r>
      <w:proofErr w:type="spellEnd"/>
      <w:r w:rsidRPr="00EA63C5">
        <w:rPr>
          <w:sz w:val="20"/>
          <w:lang w:val="en-US"/>
        </w:rPr>
        <w:t xml:space="preserve"> Matthews </w:t>
      </w:r>
      <w:proofErr w:type="spellStart"/>
      <w:r w:rsidRPr="00EA63C5">
        <w:rPr>
          <w:sz w:val="20"/>
          <w:lang w:val="en-US"/>
        </w:rPr>
        <w:t>Mogerman</w:t>
      </w:r>
      <w:proofErr w:type="spellEnd"/>
      <w:r w:rsidRPr="00EA63C5">
        <w:rPr>
          <w:sz w:val="20"/>
          <w:lang w:val="en-US"/>
        </w:rPr>
        <w:t xml:space="preserve">, Vancouver; Michael </w:t>
      </w:r>
      <w:proofErr w:type="spellStart"/>
      <w:r w:rsidRPr="00EA63C5">
        <w:rPr>
          <w:sz w:val="20"/>
          <w:lang w:val="en-US"/>
        </w:rPr>
        <w:t>Sobkin</w:t>
      </w:r>
      <w:proofErr w:type="spellEnd"/>
      <w:r w:rsidRPr="00EA63C5">
        <w:rPr>
          <w:sz w:val="20"/>
          <w:lang w:val="en-US"/>
        </w:rPr>
        <w:t>, Ottawa.</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Solicitor for the respondent Her Majesty the Queen in Right of the Province of British Columbia: Attorney General of British Columbia, Vancouver.</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Solicitor for the respondent/respondent on cross appeal the Attorney General of Canada: Attorney General of Canada, Ottawa.</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Solicitors for the appellants/respondents on cross appeal Dianna Louise Parsons et al.: Pape Barristers, Toronto.</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Solicitors for the appellant the Fund Counsel for Ontario: </w:t>
      </w:r>
      <w:proofErr w:type="spellStart"/>
      <w:r w:rsidRPr="00EA63C5">
        <w:rPr>
          <w:sz w:val="20"/>
          <w:lang w:val="en-US"/>
        </w:rPr>
        <w:t>Gowling</w:t>
      </w:r>
      <w:proofErr w:type="spellEnd"/>
      <w:r w:rsidRPr="00EA63C5">
        <w:rPr>
          <w:sz w:val="20"/>
          <w:lang w:val="en-US"/>
        </w:rPr>
        <w:t xml:space="preserve"> WLG (Canada) Inc., Toronto.</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Solicitor for the respondent/appellant on cross appeal Her Majesty the Queen in Right of Ontario: Attorney General of Ontario, Toronto.</w:t>
      </w:r>
    </w:p>
    <w:p w:rsidR="008B0F67" w:rsidRPr="00EA63C5" w:rsidRDefault="008B0F67" w:rsidP="008B0F67">
      <w:pPr>
        <w:pStyle w:val="SCCNormalDoubleSpacing"/>
        <w:spacing w:line="240" w:lineRule="auto"/>
        <w:rPr>
          <w:lang w:val="en-US"/>
        </w:rPr>
      </w:pPr>
    </w:p>
    <w:p w:rsidR="008B0F67" w:rsidRPr="00EA63C5" w:rsidRDefault="008B0F67" w:rsidP="008B0F67">
      <w:pPr>
        <w:pStyle w:val="SCCLawFirm"/>
        <w:spacing w:line="240" w:lineRule="auto"/>
        <w:rPr>
          <w:sz w:val="20"/>
          <w:lang w:val="en-US"/>
        </w:rPr>
      </w:pPr>
      <w:r w:rsidRPr="00EA63C5">
        <w:rPr>
          <w:sz w:val="20"/>
          <w:lang w:val="en-US"/>
        </w:rPr>
        <w:tab/>
        <w:t xml:space="preserve">Solicitors for the respondents Her Majesty the Queen in Right of Alberta et al.: McCarthy </w:t>
      </w:r>
      <w:proofErr w:type="spellStart"/>
      <w:r w:rsidRPr="00EA63C5">
        <w:rPr>
          <w:sz w:val="20"/>
          <w:lang w:val="en-US"/>
        </w:rPr>
        <w:t>Tétrault</w:t>
      </w:r>
      <w:proofErr w:type="spellEnd"/>
      <w:r w:rsidRPr="00EA63C5">
        <w:rPr>
          <w:sz w:val="20"/>
          <w:lang w:val="en-US"/>
        </w:rPr>
        <w:t>, Toronto.</w:t>
      </w:r>
    </w:p>
    <w:p w:rsidR="008B0F67" w:rsidRPr="00EA63C5" w:rsidRDefault="008B0F67" w:rsidP="008B0F67">
      <w:pPr>
        <w:pStyle w:val="SCCNormalDoubleSpacing"/>
        <w:spacing w:line="240" w:lineRule="auto"/>
        <w:rPr>
          <w:lang w:val="en-US"/>
        </w:rPr>
      </w:pPr>
    </w:p>
    <w:p w:rsidR="00B971A9" w:rsidRPr="00EA63C5" w:rsidRDefault="008B0F67" w:rsidP="008B0F67">
      <w:pPr>
        <w:pStyle w:val="SCCLawFirm"/>
        <w:spacing w:line="240" w:lineRule="auto"/>
        <w:rPr>
          <w:sz w:val="20"/>
        </w:rPr>
      </w:pPr>
      <w:r w:rsidRPr="00EA63C5">
        <w:rPr>
          <w:sz w:val="20"/>
          <w:lang w:val="en-US"/>
        </w:rPr>
        <w:lastRenderedPageBreak/>
        <w:tab/>
        <w:t>Solicitor for the intervener: Attorney General of Quebec, Québec.</w:t>
      </w:r>
    </w:p>
    <w:p w:rsidR="00B971A9" w:rsidRPr="00EA63C5" w:rsidRDefault="00B971A9" w:rsidP="008B0F67">
      <w:pPr>
        <w:rPr>
          <w:rFonts w:cs="Times New Roman"/>
          <w:sz w:val="20"/>
          <w:szCs w:val="20"/>
        </w:rPr>
      </w:pPr>
    </w:p>
    <w:p w:rsidR="0052229C" w:rsidRPr="009849E0" w:rsidRDefault="0052229C" w:rsidP="0052229C">
      <w:pPr>
        <w:rPr>
          <w:rFonts w:cs="Times New Roman"/>
          <w:sz w:val="20"/>
          <w:szCs w:val="20"/>
          <w:lang w:val="fr-CA"/>
        </w:rPr>
      </w:pPr>
      <w:r w:rsidRPr="009849E0">
        <w:rPr>
          <w:rFonts w:cs="Times New Roman"/>
          <w:sz w:val="20"/>
          <w:szCs w:val="20"/>
          <w:lang w:val="fr-CA"/>
        </w:rPr>
        <w:t>________________________</w:t>
      </w:r>
    </w:p>
    <w:p w:rsidR="0052229C" w:rsidRPr="009849E0" w:rsidRDefault="0052229C" w:rsidP="0052229C">
      <w:pPr>
        <w:rPr>
          <w:rFonts w:cs="Times New Roman"/>
          <w:sz w:val="20"/>
          <w:szCs w:val="20"/>
          <w:lang w:val="fr-CA"/>
        </w:rPr>
      </w:pPr>
    </w:p>
    <w:p w:rsidR="00B971A9" w:rsidRPr="00EA63C5" w:rsidRDefault="00B971A9" w:rsidP="00B971A9">
      <w:pPr>
        <w:jc w:val="both"/>
        <w:rPr>
          <w:sz w:val="20"/>
          <w:szCs w:val="20"/>
          <w:lang w:val="fr-CA"/>
        </w:rPr>
      </w:pPr>
      <w:r w:rsidRPr="00EA63C5">
        <w:rPr>
          <w:sz w:val="20"/>
          <w:szCs w:val="20"/>
          <w:lang w:val="fr-CA"/>
        </w:rPr>
        <w:t>Présents : La juge en chef McLachlin et les juges Abella, Cromwell, Moldaver, Karakatsanis, Wagner, Gascon, Côté et Brown.</w:t>
      </w:r>
    </w:p>
    <w:p w:rsidR="00B971A9" w:rsidRPr="00EA63C5" w:rsidRDefault="00B971A9" w:rsidP="00B971A9">
      <w:pPr>
        <w:jc w:val="both"/>
        <w:rPr>
          <w:smallCaps/>
          <w:sz w:val="20"/>
          <w:szCs w:val="20"/>
          <w:lang w:val="fr-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sz w:val="20"/>
          <w:szCs w:val="20"/>
          <w:lang w:val="fr-CA" w:eastAsia="en-CA"/>
        </w:rPr>
        <w:tab/>
      </w:r>
      <w:r w:rsidRPr="000743E2">
        <w:rPr>
          <w:rFonts w:eastAsia="Times New Roman" w:cs="Times New Roman"/>
          <w:i/>
          <w:sz w:val="20"/>
          <w:szCs w:val="20"/>
          <w:lang w:val="fr-CA" w:eastAsia="en-CA"/>
        </w:rPr>
        <w:t>Tribunaux — Compétence — Recours collectifs — Audiences de cours supérieures tenues à l’extérieur de leur province de rattachement — Juges de la cour supérieure de trois provinces chargés de superviser la mise en œuvre d’une convention pancanadienne de règlement de recours collectifs — Juges superviseurs saisis de requêtes relatives à la convention de règlement — Conseillers juridiques proposant que les juges superviseurs siègent ensemble dans une quatrième province pour trancher les requêtes — Accord des parties sur le fait que les juges ont le pouvoir discrétionnaire de siéger ensemble à l’extérieur de leur province de rattachement, mais non sur la source et les modalités d’exercice de ce pouvoir — S’agit</w:t>
      </w:r>
      <w:r w:rsidRPr="000743E2">
        <w:rPr>
          <w:rFonts w:eastAsia="Times New Roman" w:cs="Times New Roman"/>
          <w:i/>
          <w:sz w:val="20"/>
          <w:szCs w:val="20"/>
          <w:lang w:val="fr-CA" w:eastAsia="en-CA"/>
        </w:rPr>
        <w:noBreakHyphen/>
        <w:t>il d’un pouvoir d’origine législative ou d’un volet de la compétence inhérente des cours supérieures? — L’exercice de ce pouvoir nécessite</w:t>
      </w:r>
      <w:r w:rsidRPr="000743E2">
        <w:rPr>
          <w:rFonts w:eastAsia="Times New Roman" w:cs="Times New Roman"/>
          <w:i/>
          <w:sz w:val="20"/>
          <w:szCs w:val="20"/>
          <w:lang w:val="fr-CA" w:eastAsia="en-CA"/>
        </w:rPr>
        <w:noBreakHyphen/>
        <w:t>t</w:t>
      </w:r>
      <w:r w:rsidRPr="000743E2">
        <w:rPr>
          <w:rFonts w:eastAsia="Times New Roman" w:cs="Times New Roman"/>
          <w:i/>
          <w:sz w:val="20"/>
          <w:szCs w:val="20"/>
          <w:lang w:val="fr-CA" w:eastAsia="en-CA"/>
        </w:rPr>
        <w:noBreakHyphen/>
        <w:t xml:space="preserve">il un lien vidéo entre la salle d’audience où se trouve le juge et une salle d’audience accessible au public dans la province de rattachement du juge? — </w:t>
      </w:r>
      <w:r w:rsidRPr="000743E2">
        <w:rPr>
          <w:rFonts w:eastAsia="Times New Roman" w:cs="Times New Roman"/>
          <w:i/>
          <w:iCs/>
          <w:sz w:val="20"/>
          <w:szCs w:val="20"/>
          <w:lang w:val="fr-CA" w:eastAsia="en-CA"/>
        </w:rPr>
        <w:t>Loi de 1992 sur les recours collectifs</w:t>
      </w:r>
      <w:r w:rsidRPr="000743E2">
        <w:rPr>
          <w:rFonts w:eastAsia="Times New Roman" w:cs="Times New Roman"/>
          <w:i/>
          <w:sz w:val="20"/>
          <w:szCs w:val="20"/>
          <w:lang w:val="fr-CA" w:eastAsia="en-CA"/>
        </w:rPr>
        <w:t xml:space="preserve">, L.O. 1992, c. 6, art. 12 — </w:t>
      </w:r>
      <w:r w:rsidRPr="000743E2">
        <w:rPr>
          <w:rFonts w:eastAsia="Times New Roman" w:cs="Times New Roman"/>
          <w:i/>
          <w:iCs/>
          <w:sz w:val="20"/>
          <w:szCs w:val="20"/>
          <w:lang w:val="fr-CA" w:eastAsia="en-CA"/>
        </w:rPr>
        <w:t xml:space="preserve">Class </w:t>
      </w:r>
      <w:proofErr w:type="spellStart"/>
      <w:r w:rsidRPr="000743E2">
        <w:rPr>
          <w:rFonts w:eastAsia="Times New Roman" w:cs="Times New Roman"/>
          <w:i/>
          <w:iCs/>
          <w:sz w:val="20"/>
          <w:szCs w:val="20"/>
          <w:lang w:val="fr-CA" w:eastAsia="en-CA"/>
        </w:rPr>
        <w:t>Proceedings</w:t>
      </w:r>
      <w:proofErr w:type="spellEnd"/>
      <w:r w:rsidRPr="000743E2">
        <w:rPr>
          <w:rFonts w:eastAsia="Times New Roman" w:cs="Times New Roman"/>
          <w:i/>
          <w:iCs/>
          <w:sz w:val="20"/>
          <w:szCs w:val="20"/>
          <w:lang w:val="fr-CA" w:eastAsia="en-CA"/>
        </w:rPr>
        <w:t xml:space="preserve"> </w:t>
      </w:r>
      <w:proofErr w:type="spellStart"/>
      <w:r w:rsidRPr="000743E2">
        <w:rPr>
          <w:rFonts w:eastAsia="Times New Roman" w:cs="Times New Roman"/>
          <w:i/>
          <w:iCs/>
          <w:sz w:val="20"/>
          <w:szCs w:val="20"/>
          <w:lang w:val="fr-CA" w:eastAsia="en-CA"/>
        </w:rPr>
        <w:t>Act</w:t>
      </w:r>
      <w:proofErr w:type="spellEnd"/>
      <w:r w:rsidRPr="000743E2">
        <w:rPr>
          <w:rFonts w:eastAsia="Times New Roman" w:cs="Times New Roman"/>
          <w:i/>
          <w:sz w:val="20"/>
          <w:szCs w:val="20"/>
          <w:lang w:val="fr-CA" w:eastAsia="en-CA"/>
        </w:rPr>
        <w:t>, R.S.B.C. 1996, c. 50, art. 12.</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Les cours supérieures de la Colombie</w:t>
      </w:r>
      <w:r w:rsidRPr="000743E2">
        <w:rPr>
          <w:rFonts w:eastAsia="Times New Roman" w:cs="Times New Roman"/>
          <w:sz w:val="20"/>
          <w:szCs w:val="20"/>
          <w:lang w:val="fr-CA" w:eastAsia="en-CA"/>
        </w:rPr>
        <w:noBreakHyphen/>
        <w:t>Britannique, du Québec et de l’Ontario ont autorisé l’introduction de recours collectifs concomitants au nom de personnes ayant été infectées par l’hépatite C par suite de transfusions sanguines reçues au Canada entre 1986 et 1990. Les recours collectifs intentés en Colombie</w:t>
      </w:r>
      <w:r w:rsidRPr="000743E2">
        <w:rPr>
          <w:rFonts w:eastAsia="Times New Roman" w:cs="Times New Roman"/>
          <w:sz w:val="20"/>
          <w:szCs w:val="20"/>
          <w:lang w:val="fr-CA" w:eastAsia="en-CA"/>
        </w:rPr>
        <w:noBreakHyphen/>
        <w:t>Britannique et au Québec touchaient des résidents de ces provinces, tandis que celui intenté en Ontario concernait tous les autres Canadiens visés. En 1999, les parties ont conclu une convention de règlement pancanadienne qui attribuait un rôle de supervision aux cours supérieures de la Colombie</w:t>
      </w:r>
      <w:r w:rsidRPr="000743E2">
        <w:rPr>
          <w:rFonts w:eastAsia="Times New Roman" w:cs="Times New Roman"/>
          <w:sz w:val="20"/>
          <w:szCs w:val="20"/>
          <w:lang w:val="fr-CA" w:eastAsia="en-CA"/>
        </w:rPr>
        <w:noBreakHyphen/>
        <w:t>Britannique, du Québec et de l’Ontario, et qui prévoyait que les décisions de ces tribunaux n’entraient en vigueur que s’il n’existait pas de différences importantes entre elles.</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En 2012, les conseillers juridiques agissant dans le cadre des recours collectifs ont saisi les juges superviseurs de requêtes relatives à la convention de règlement et ont proposé qu’elles soient instruites par les trois juges siégeant à un seul endroit. La Colombie</w:t>
      </w:r>
      <w:r w:rsidRPr="000743E2">
        <w:rPr>
          <w:rFonts w:eastAsia="Times New Roman" w:cs="Times New Roman"/>
          <w:sz w:val="20"/>
          <w:szCs w:val="20"/>
          <w:lang w:val="fr-CA" w:eastAsia="en-CA"/>
        </w:rPr>
        <w:noBreakHyphen/>
        <w:t>Britannique, le Québec et l’Ontario ont contesté la proposition au motif que les juges n’étaient pas compétents pour tenir une audience à l’extérieur de leur province de rattachement. Des requêtes visant à obtenir des directives ont été présentées dans chaque province afin que cette objection soit tranchée. Les trois juges saisis des requêtes ont conclu que les juges des cours supérieures pouvaient siéger avec leurs homologues dans une province autre que leur province respective de rattachement pour instruire les requêtes portant sur la convention de règlement. Seules l’Ontario et la Colombie</w:t>
      </w:r>
      <w:r w:rsidRPr="000743E2">
        <w:rPr>
          <w:rFonts w:eastAsia="Times New Roman" w:cs="Times New Roman"/>
          <w:sz w:val="20"/>
          <w:szCs w:val="20"/>
          <w:lang w:val="fr-CA" w:eastAsia="en-CA"/>
        </w:rPr>
        <w:noBreakHyphen/>
        <w:t>Britannique ont fait appel de cette décision. La Cour d’appel de l’Ontario a souscrit à la décision du juge des requêtes suivant laquelle le pouvoir de tenir une audience à l’extérieur de la province est fondé sur la compétence inhérente d’une cour supérieure, mais elle a conclu qu’il est nécessaire d’établir un lien vidéo entre la salle d’audience située à l’extérieur de la province et une salle d’audience située en Ontario. La Cour d’appel de la Colombie</w:t>
      </w:r>
      <w:r w:rsidRPr="000743E2">
        <w:rPr>
          <w:rFonts w:eastAsia="Times New Roman" w:cs="Times New Roman"/>
          <w:sz w:val="20"/>
          <w:szCs w:val="20"/>
          <w:lang w:val="fr-CA" w:eastAsia="en-CA"/>
        </w:rPr>
        <w:noBreakHyphen/>
        <w:t xml:space="preserve">Britannique a conclu que la </w:t>
      </w:r>
      <w:proofErr w:type="spellStart"/>
      <w:r w:rsidRPr="000743E2">
        <w:rPr>
          <w:rFonts w:eastAsia="Times New Roman" w:cs="Times New Roman"/>
          <w:sz w:val="20"/>
          <w:szCs w:val="20"/>
          <w:lang w:val="fr-CA" w:eastAsia="en-CA"/>
        </w:rPr>
        <w:t>common</w:t>
      </w:r>
      <w:proofErr w:type="spellEnd"/>
      <w:r w:rsidRPr="000743E2">
        <w:rPr>
          <w:rFonts w:eastAsia="Times New Roman" w:cs="Times New Roman"/>
          <w:sz w:val="20"/>
          <w:szCs w:val="20"/>
          <w:lang w:val="fr-CA" w:eastAsia="en-CA"/>
        </w:rPr>
        <w:t xml:space="preserve"> </w:t>
      </w:r>
      <w:proofErr w:type="spellStart"/>
      <w:r w:rsidRPr="000743E2">
        <w:rPr>
          <w:rFonts w:eastAsia="Times New Roman" w:cs="Times New Roman"/>
          <w:sz w:val="20"/>
          <w:szCs w:val="20"/>
          <w:lang w:val="fr-CA" w:eastAsia="en-CA"/>
        </w:rPr>
        <w:t>law</w:t>
      </w:r>
      <w:proofErr w:type="spellEnd"/>
      <w:r w:rsidRPr="000743E2">
        <w:rPr>
          <w:rFonts w:eastAsia="Times New Roman" w:cs="Times New Roman"/>
          <w:sz w:val="20"/>
          <w:szCs w:val="20"/>
          <w:lang w:val="fr-CA" w:eastAsia="en-CA"/>
        </w:rPr>
        <w:t xml:space="preserve"> interdit aux juges des cours supérieures de siéger à l’extérieur de la province, mais qu’un juge qui n’est pas physiquement présent dans la province peut présider une audience se déroulant dans la province par téléphone, par vidéoconférence ou par tout autre moyen de communication. </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Les représentants des demandeurs se pourvoient devant la Cour et l’Ontario forme un pourvoi incident. Les parties sont maintenant d’accord pour dire que les juges de la cour supérieure ont le pouvoir discrétionnaire de siéger ensemble à l’extérieur de leur province de rattachement respective pour instruire, sans preuve orale, une requête portant sur une convention de règlement pancanadienne. Elles ne s’entendent toutefois pas sur la source et les éventuelles modalités d’exercice de ce pouvoir.</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r>
      <w:r w:rsidRPr="000743E2">
        <w:rPr>
          <w:rFonts w:eastAsia="Times New Roman" w:cs="Times New Roman"/>
          <w:i/>
          <w:sz w:val="20"/>
          <w:szCs w:val="20"/>
          <w:lang w:val="fr-CA" w:eastAsia="en-CA"/>
        </w:rPr>
        <w:t>Arrêts</w:t>
      </w:r>
      <w:r w:rsidRPr="000743E2">
        <w:rPr>
          <w:rFonts w:eastAsia="Times New Roman" w:cs="Times New Roman"/>
          <w:sz w:val="20"/>
          <w:szCs w:val="20"/>
          <w:lang w:val="fr-CA" w:eastAsia="en-CA"/>
        </w:rPr>
        <w:t> : Les pourvois sont accueillis et le pourvoi incident est rejeté.</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r>
      <w:r w:rsidRPr="000743E2">
        <w:rPr>
          <w:rFonts w:eastAsia="Times New Roman" w:cs="Times New Roman"/>
          <w:i/>
          <w:sz w:val="20"/>
          <w:szCs w:val="20"/>
          <w:lang w:val="fr-CA" w:eastAsia="en-CA"/>
        </w:rPr>
        <w:t>La</w:t>
      </w:r>
      <w:r w:rsidRPr="000743E2">
        <w:rPr>
          <w:rFonts w:eastAsia="Times New Roman" w:cs="Times New Roman"/>
          <w:sz w:val="20"/>
          <w:szCs w:val="20"/>
          <w:lang w:val="fr-CA" w:eastAsia="en-CA"/>
        </w:rPr>
        <w:t xml:space="preserve"> juge en chef McLachlin et les juges Abella, </w:t>
      </w:r>
      <w:r w:rsidRPr="000743E2">
        <w:rPr>
          <w:rFonts w:eastAsia="Times New Roman" w:cs="Times New Roman"/>
          <w:b/>
          <w:sz w:val="20"/>
          <w:szCs w:val="20"/>
          <w:lang w:val="fr-CA" w:eastAsia="en-CA"/>
        </w:rPr>
        <w:t>Cromwell</w:t>
      </w:r>
      <w:r w:rsidRPr="000743E2">
        <w:rPr>
          <w:rFonts w:eastAsia="Times New Roman" w:cs="Times New Roman"/>
          <w:sz w:val="20"/>
          <w:szCs w:val="20"/>
          <w:lang w:val="fr-CA" w:eastAsia="en-CA"/>
        </w:rPr>
        <w:t xml:space="preserve">, Moldaver, Gascon, Côté et Brown : Dans le cadre de recours collectifs pancanadiens sur lesquels une cour supérieure a compétence </w:t>
      </w:r>
      <w:proofErr w:type="spellStart"/>
      <w:r w:rsidRPr="000743E2">
        <w:rPr>
          <w:rFonts w:eastAsia="Times New Roman" w:cs="Times New Roman"/>
          <w:i/>
          <w:sz w:val="20"/>
          <w:szCs w:val="20"/>
          <w:lang w:val="fr-CA" w:eastAsia="en-CA"/>
        </w:rPr>
        <w:t>ratione</w:t>
      </w:r>
      <w:proofErr w:type="spellEnd"/>
      <w:r w:rsidRPr="000743E2">
        <w:rPr>
          <w:rFonts w:eastAsia="Times New Roman" w:cs="Times New Roman"/>
          <w:i/>
          <w:sz w:val="20"/>
          <w:szCs w:val="20"/>
          <w:lang w:val="fr-CA" w:eastAsia="en-CA"/>
        </w:rPr>
        <w:t xml:space="preserve"> </w:t>
      </w:r>
      <w:proofErr w:type="spellStart"/>
      <w:r w:rsidRPr="000743E2">
        <w:rPr>
          <w:rFonts w:eastAsia="Times New Roman" w:cs="Times New Roman"/>
          <w:i/>
          <w:sz w:val="20"/>
          <w:szCs w:val="20"/>
          <w:lang w:val="fr-CA" w:eastAsia="en-CA"/>
        </w:rPr>
        <w:t>materiæ</w:t>
      </w:r>
      <w:proofErr w:type="spellEnd"/>
      <w:r w:rsidRPr="000743E2">
        <w:rPr>
          <w:rFonts w:eastAsia="Times New Roman" w:cs="Times New Roman"/>
          <w:sz w:val="20"/>
          <w:szCs w:val="20"/>
          <w:lang w:val="fr-CA" w:eastAsia="en-CA"/>
        </w:rPr>
        <w:t xml:space="preserve"> et </w:t>
      </w:r>
      <w:proofErr w:type="spellStart"/>
      <w:r w:rsidRPr="000743E2">
        <w:rPr>
          <w:rFonts w:eastAsia="Times New Roman" w:cs="Times New Roman"/>
          <w:i/>
          <w:sz w:val="20"/>
          <w:szCs w:val="20"/>
          <w:lang w:val="fr-CA" w:eastAsia="en-CA"/>
        </w:rPr>
        <w:t>ratione</w:t>
      </w:r>
      <w:proofErr w:type="spellEnd"/>
      <w:r w:rsidRPr="000743E2">
        <w:rPr>
          <w:rFonts w:eastAsia="Times New Roman" w:cs="Times New Roman"/>
          <w:i/>
          <w:sz w:val="20"/>
          <w:szCs w:val="20"/>
          <w:lang w:val="fr-CA" w:eastAsia="en-CA"/>
        </w:rPr>
        <w:t xml:space="preserve"> </w:t>
      </w:r>
      <w:proofErr w:type="spellStart"/>
      <w:r w:rsidRPr="000743E2">
        <w:rPr>
          <w:rFonts w:eastAsia="Times New Roman" w:cs="Times New Roman"/>
          <w:i/>
          <w:sz w:val="20"/>
          <w:szCs w:val="20"/>
          <w:lang w:val="fr-CA" w:eastAsia="en-CA"/>
        </w:rPr>
        <w:t>personæ</w:t>
      </w:r>
      <w:proofErr w:type="spellEnd"/>
      <w:r w:rsidRPr="000743E2">
        <w:rPr>
          <w:rFonts w:eastAsia="Times New Roman" w:cs="Times New Roman"/>
          <w:sz w:val="20"/>
          <w:szCs w:val="20"/>
          <w:lang w:val="fr-CA" w:eastAsia="en-CA"/>
        </w:rPr>
        <w:t xml:space="preserve">, un juge de cette cour a le pouvoir discrétionnaire de tenir une audience à l’extérieur de sa province de rattachement conjointement avec d’autres juges chargés de gérer des recours collectifs connexes, à condition de ne pas </w:t>
      </w:r>
      <w:r w:rsidRPr="000743E2">
        <w:rPr>
          <w:rFonts w:eastAsia="Times New Roman" w:cs="Times New Roman"/>
          <w:sz w:val="20"/>
          <w:szCs w:val="20"/>
          <w:lang w:val="fr-CA" w:eastAsia="en-CA"/>
        </w:rPr>
        <w:lastRenderedPageBreak/>
        <w:t>avoir à recourir aux pouvoirs de contrainte de la cour pour convoquer ou mener l’audience et à condition que l’audience ne soit pas contraire aux lois de la province où elle se déroule.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Pour déterminer la source de leur pouvoir discrétionnaire de siéger à l’extérieur de leur province de rattachement, les tribunaux devraient en premier lieu s’enquérir des pouvoirs que la loi leur confère avant d’examiner leur compétence inhérente. Compte tenu de son caractère général et de sa définition formulée en termes vagues, la compétence inhérente des cours supérieures doit être exercée avec circonspection. En Ontario et en Colombie</w:t>
      </w:r>
      <w:r w:rsidRPr="000743E2">
        <w:rPr>
          <w:rFonts w:eastAsia="Times New Roman" w:cs="Times New Roman"/>
          <w:sz w:val="20"/>
          <w:szCs w:val="20"/>
          <w:lang w:val="fr-CA" w:eastAsia="en-CA"/>
        </w:rPr>
        <w:noBreakHyphen/>
        <w:t xml:space="preserve">Britannique, les juges des cours supérieures ont ― en vertu respectivement de l’art. 12 de la </w:t>
      </w:r>
      <w:r w:rsidRPr="000743E2">
        <w:rPr>
          <w:rFonts w:eastAsia="Times New Roman" w:cs="Times New Roman"/>
          <w:i/>
          <w:iCs/>
          <w:sz w:val="20"/>
          <w:szCs w:val="20"/>
          <w:lang w:val="fr-CA" w:eastAsia="en-CA"/>
        </w:rPr>
        <w:t>Loi de 1992 sur les recours collectifs</w:t>
      </w:r>
      <w:r w:rsidRPr="000743E2">
        <w:rPr>
          <w:rFonts w:eastAsia="Times New Roman" w:cs="Times New Roman"/>
          <w:sz w:val="20"/>
          <w:szCs w:val="20"/>
          <w:lang w:val="fr-CA" w:eastAsia="en-CA"/>
        </w:rPr>
        <w:t xml:space="preserve"> et de l’art. 12 de la </w:t>
      </w:r>
      <w:r w:rsidRPr="000743E2">
        <w:rPr>
          <w:rFonts w:eastAsia="Times New Roman" w:cs="Times New Roman"/>
          <w:i/>
          <w:iCs/>
          <w:sz w:val="20"/>
          <w:szCs w:val="20"/>
          <w:lang w:val="fr-CA" w:eastAsia="en-CA"/>
        </w:rPr>
        <w:t>Class </w:t>
      </w:r>
      <w:proofErr w:type="spellStart"/>
      <w:r w:rsidRPr="000743E2">
        <w:rPr>
          <w:rFonts w:eastAsia="Times New Roman" w:cs="Times New Roman"/>
          <w:i/>
          <w:iCs/>
          <w:sz w:val="20"/>
          <w:szCs w:val="20"/>
          <w:lang w:val="fr-CA" w:eastAsia="en-CA"/>
        </w:rPr>
        <w:t>Proceedings</w:t>
      </w:r>
      <w:proofErr w:type="spellEnd"/>
      <w:r w:rsidRPr="000743E2">
        <w:rPr>
          <w:rFonts w:eastAsia="Times New Roman" w:cs="Times New Roman"/>
          <w:i/>
          <w:iCs/>
          <w:sz w:val="20"/>
          <w:szCs w:val="20"/>
          <w:lang w:val="fr-CA" w:eastAsia="en-CA"/>
        </w:rPr>
        <w:t xml:space="preserve"> </w:t>
      </w:r>
      <w:proofErr w:type="spellStart"/>
      <w:r w:rsidRPr="000743E2">
        <w:rPr>
          <w:rFonts w:eastAsia="Times New Roman" w:cs="Times New Roman"/>
          <w:i/>
          <w:iCs/>
          <w:sz w:val="20"/>
          <w:szCs w:val="20"/>
          <w:lang w:val="fr-CA" w:eastAsia="en-CA"/>
        </w:rPr>
        <w:t>Act</w:t>
      </w:r>
      <w:proofErr w:type="spellEnd"/>
      <w:r w:rsidRPr="000743E2">
        <w:rPr>
          <w:rFonts w:eastAsia="Times New Roman" w:cs="Times New Roman"/>
          <w:sz w:val="20"/>
          <w:szCs w:val="20"/>
          <w:lang w:val="fr-CA" w:eastAsia="en-CA"/>
        </w:rPr>
        <w:t xml:space="preserve"> (les « </w:t>
      </w:r>
      <w:r w:rsidRPr="000743E2">
        <w:rPr>
          <w:rFonts w:eastAsia="Times New Roman" w:cs="Times New Roman"/>
          <w:iCs/>
          <w:sz w:val="20"/>
          <w:szCs w:val="20"/>
          <w:lang w:val="fr-CA" w:eastAsia="en-CA"/>
        </w:rPr>
        <w:t>Lois »</w:t>
      </w:r>
      <w:r w:rsidRPr="000743E2">
        <w:rPr>
          <w:rFonts w:eastAsia="Times New Roman" w:cs="Times New Roman"/>
          <w:sz w:val="20"/>
          <w:szCs w:val="20"/>
          <w:lang w:val="fr-CA" w:eastAsia="en-CA"/>
        </w:rPr>
        <w:t xml:space="preserve">) ― le pouvoir discrétionnaire de siéger à l’extérieur de leur province de rattachement. Une interprétation large de ces pouvoirs conférés par la loi, qui confirme et reflète le pouvoir inhérent qu’ont les juges de contrôler la procédure, contribue à réaliser l’objectif des recours collectifs et à garantir que l’on ne vienne pas, en raison d’une vision de la portée des pouvoirs des juges présidant les recours collectifs qui serait trop technique ou trop circonscrite dans le temps, nuire à des innovations procédurales censées faciliter l’accès à la justice. Aucune </w:t>
      </w:r>
      <w:r w:rsidRPr="000743E2">
        <w:rPr>
          <w:rFonts w:eastAsia="Times New Roman" w:cs="Times New Roman"/>
          <w:iCs/>
          <w:sz w:val="20"/>
          <w:szCs w:val="20"/>
          <w:lang w:val="fr-CA" w:eastAsia="en-CA"/>
        </w:rPr>
        <w:t xml:space="preserve">limite fixée par la Constitution, par une loi ou par la </w:t>
      </w:r>
      <w:proofErr w:type="spellStart"/>
      <w:r w:rsidRPr="000743E2">
        <w:rPr>
          <w:rFonts w:eastAsia="Times New Roman" w:cs="Times New Roman"/>
          <w:iCs/>
          <w:sz w:val="20"/>
          <w:szCs w:val="20"/>
          <w:lang w:val="fr-CA" w:eastAsia="en-CA"/>
        </w:rPr>
        <w:t>common</w:t>
      </w:r>
      <w:proofErr w:type="spellEnd"/>
      <w:r w:rsidRPr="000743E2">
        <w:rPr>
          <w:rFonts w:eastAsia="Times New Roman" w:cs="Times New Roman"/>
          <w:iCs/>
          <w:sz w:val="20"/>
          <w:szCs w:val="20"/>
          <w:lang w:val="fr-CA" w:eastAsia="en-CA"/>
        </w:rPr>
        <w:t> </w:t>
      </w:r>
      <w:proofErr w:type="spellStart"/>
      <w:r w:rsidRPr="000743E2">
        <w:rPr>
          <w:rFonts w:eastAsia="Times New Roman" w:cs="Times New Roman"/>
          <w:iCs/>
          <w:sz w:val="20"/>
          <w:szCs w:val="20"/>
          <w:lang w:val="fr-CA" w:eastAsia="en-CA"/>
        </w:rPr>
        <w:t>law</w:t>
      </w:r>
      <w:proofErr w:type="spellEnd"/>
      <w:r w:rsidRPr="000743E2">
        <w:rPr>
          <w:rFonts w:eastAsia="Times New Roman" w:cs="Times New Roman"/>
          <w:iCs/>
          <w:sz w:val="20"/>
          <w:szCs w:val="20"/>
          <w:lang w:val="fr-CA" w:eastAsia="en-CA"/>
        </w:rPr>
        <w:t xml:space="preserve"> ne restreint la portée du libellé large et général de ces dispositions ni n’</w:t>
      </w:r>
      <w:r w:rsidRPr="000743E2">
        <w:rPr>
          <w:rFonts w:eastAsia="Times New Roman" w:cs="Times New Roman"/>
          <w:sz w:val="20"/>
          <w:szCs w:val="20"/>
          <w:lang w:val="fr-CA" w:eastAsia="en-CA"/>
        </w:rPr>
        <w:t>empêche un juge de siéger à l’extérieur de sa province de rattachement pour les fins dont il est question en l’espèce.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 xml:space="preserve">Les articles 12 des Lois </w:t>
      </w:r>
      <w:r w:rsidRPr="000743E2">
        <w:rPr>
          <w:rFonts w:eastAsia="Times New Roman" w:cs="Times New Roman"/>
          <w:iCs/>
          <w:sz w:val="20"/>
          <w:szCs w:val="20"/>
          <w:lang w:val="fr-CA" w:eastAsia="en-CA"/>
        </w:rPr>
        <w:t xml:space="preserve">devraient être interprétés comme </w:t>
      </w:r>
      <w:r w:rsidRPr="000743E2">
        <w:rPr>
          <w:rFonts w:eastAsia="Times New Roman" w:cs="Times New Roman"/>
          <w:sz w:val="20"/>
          <w:szCs w:val="20"/>
          <w:lang w:val="fr-CA" w:eastAsia="en-CA"/>
        </w:rPr>
        <w:t xml:space="preserve">confirmant et reflétant </w:t>
      </w:r>
      <w:r w:rsidRPr="000743E2">
        <w:rPr>
          <w:rFonts w:eastAsia="Times New Roman" w:cs="Times New Roman"/>
          <w:iCs/>
          <w:sz w:val="20"/>
          <w:szCs w:val="20"/>
          <w:lang w:val="fr-CA" w:eastAsia="en-CA"/>
        </w:rPr>
        <w:t xml:space="preserve">le pouvoir inhérent des cours supérieures </w:t>
      </w:r>
      <w:r w:rsidRPr="000743E2">
        <w:rPr>
          <w:rFonts w:eastAsia="Times New Roman" w:cs="Times New Roman"/>
          <w:sz w:val="20"/>
          <w:szCs w:val="20"/>
          <w:lang w:val="fr-CA" w:eastAsia="en-CA"/>
        </w:rPr>
        <w:t xml:space="preserve">de gérer leur propre procédure. </w:t>
      </w:r>
      <w:r w:rsidRPr="000743E2">
        <w:rPr>
          <w:rFonts w:eastAsia="Times New Roman" w:cs="Times New Roman"/>
          <w:iCs/>
          <w:sz w:val="20"/>
          <w:szCs w:val="20"/>
          <w:lang w:val="fr-CA" w:eastAsia="en-CA"/>
        </w:rPr>
        <w:t xml:space="preserve">Ainsi, dans les provinces de </w:t>
      </w:r>
      <w:proofErr w:type="spellStart"/>
      <w:r w:rsidRPr="000743E2">
        <w:rPr>
          <w:rFonts w:eastAsia="Times New Roman" w:cs="Times New Roman"/>
          <w:iCs/>
          <w:sz w:val="20"/>
          <w:szCs w:val="20"/>
          <w:lang w:val="fr-CA" w:eastAsia="en-CA"/>
        </w:rPr>
        <w:t>common</w:t>
      </w:r>
      <w:proofErr w:type="spellEnd"/>
      <w:r w:rsidRPr="000743E2">
        <w:rPr>
          <w:rFonts w:eastAsia="Times New Roman" w:cs="Times New Roman"/>
          <w:iCs/>
          <w:sz w:val="20"/>
          <w:szCs w:val="20"/>
          <w:lang w:val="fr-CA" w:eastAsia="en-CA"/>
        </w:rPr>
        <w:t> </w:t>
      </w:r>
      <w:proofErr w:type="spellStart"/>
      <w:r w:rsidRPr="000743E2">
        <w:rPr>
          <w:rFonts w:eastAsia="Times New Roman" w:cs="Times New Roman"/>
          <w:iCs/>
          <w:sz w:val="20"/>
          <w:szCs w:val="20"/>
          <w:lang w:val="fr-CA" w:eastAsia="en-CA"/>
        </w:rPr>
        <w:t>law</w:t>
      </w:r>
      <w:proofErr w:type="spellEnd"/>
      <w:r w:rsidRPr="000743E2">
        <w:rPr>
          <w:rFonts w:eastAsia="Times New Roman" w:cs="Times New Roman"/>
          <w:iCs/>
          <w:sz w:val="20"/>
          <w:szCs w:val="20"/>
          <w:lang w:val="fr-CA" w:eastAsia="en-CA"/>
        </w:rPr>
        <w:t xml:space="preserve"> où il n’existe pas de dispositions comparables, l’analyse de la compétence inhérente des cours conduirait à la même conclusion, sous réserve de toute restriction applicable à la compétence inhérente, par exemple des </w:t>
      </w:r>
      <w:r w:rsidRPr="000743E2">
        <w:rPr>
          <w:rFonts w:eastAsia="Times New Roman" w:cs="Times New Roman"/>
          <w:sz w:val="20"/>
          <w:szCs w:val="20"/>
          <w:lang w:val="fr-CA" w:eastAsia="en-CA"/>
        </w:rPr>
        <w:t xml:space="preserve">contraintes fixées par la Constitution, par des dispositions législatives ou par des règles de la </w:t>
      </w:r>
      <w:proofErr w:type="spellStart"/>
      <w:r w:rsidRPr="000743E2">
        <w:rPr>
          <w:rFonts w:eastAsia="Times New Roman" w:cs="Times New Roman"/>
          <w:sz w:val="20"/>
          <w:szCs w:val="20"/>
          <w:lang w:val="fr-CA" w:eastAsia="en-CA"/>
        </w:rPr>
        <w:t>common</w:t>
      </w:r>
      <w:proofErr w:type="spellEnd"/>
      <w:r w:rsidRPr="000743E2">
        <w:rPr>
          <w:rFonts w:eastAsia="Times New Roman" w:cs="Times New Roman"/>
          <w:sz w:val="20"/>
          <w:szCs w:val="20"/>
          <w:lang w:val="fr-CA" w:eastAsia="en-CA"/>
        </w:rPr>
        <w:t xml:space="preserve"> </w:t>
      </w:r>
      <w:proofErr w:type="spellStart"/>
      <w:r w:rsidRPr="000743E2">
        <w:rPr>
          <w:rFonts w:eastAsia="Times New Roman" w:cs="Times New Roman"/>
          <w:sz w:val="20"/>
          <w:szCs w:val="20"/>
          <w:lang w:val="fr-CA" w:eastAsia="en-CA"/>
        </w:rPr>
        <w:t>law</w:t>
      </w:r>
      <w:proofErr w:type="spellEnd"/>
      <w:r w:rsidRPr="000743E2">
        <w:rPr>
          <w:rFonts w:eastAsia="Times New Roman" w:cs="Times New Roman"/>
          <w:sz w:val="20"/>
          <w:szCs w:val="20"/>
          <w:lang w:val="fr-CA" w:eastAsia="en-CA"/>
        </w:rPr>
        <w:t>. À défaut de restriction explicite, les cours supérieures peuvent, en vertu de leur compétence inhérente, tenir le type d’audiences dont il est question en l’espèce.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 xml:space="preserve">L’existence d’un lien vidéo entre la salle de cour située à l’extérieur de la province où se </w:t>
      </w:r>
      <w:proofErr w:type="gramStart"/>
      <w:r w:rsidRPr="000743E2">
        <w:rPr>
          <w:rFonts w:eastAsia="Times New Roman" w:cs="Times New Roman"/>
          <w:sz w:val="20"/>
          <w:szCs w:val="20"/>
          <w:lang w:val="fr-CA" w:eastAsia="en-CA"/>
        </w:rPr>
        <w:t>déroule</w:t>
      </w:r>
      <w:proofErr w:type="gramEnd"/>
      <w:r w:rsidRPr="000743E2">
        <w:rPr>
          <w:rFonts w:eastAsia="Times New Roman" w:cs="Times New Roman"/>
          <w:sz w:val="20"/>
          <w:szCs w:val="20"/>
          <w:lang w:val="fr-CA" w:eastAsia="en-CA"/>
        </w:rPr>
        <w:t xml:space="preserve"> l’audience et une salle d’audience se trouvant dans la province de rattachement du juge n’est pas requise pour qu’un juge puisse siéger à l’extérieur de cette dernière. Ni les </w:t>
      </w:r>
      <w:r w:rsidRPr="000743E2">
        <w:rPr>
          <w:rFonts w:eastAsia="Times New Roman" w:cs="Times New Roman"/>
          <w:iCs/>
          <w:sz w:val="20"/>
          <w:szCs w:val="20"/>
          <w:lang w:val="fr-CA" w:eastAsia="en-CA"/>
        </w:rPr>
        <w:t>Lois</w:t>
      </w:r>
      <w:r w:rsidRPr="000743E2">
        <w:rPr>
          <w:rFonts w:eastAsia="Times New Roman" w:cs="Times New Roman"/>
          <w:sz w:val="20"/>
          <w:szCs w:val="20"/>
          <w:lang w:val="fr-CA" w:eastAsia="en-CA"/>
        </w:rPr>
        <w:t xml:space="preserve"> ni la compétence inhérente des cours supérieures n’imposent une telle condition. Le principe de la publicité des débats est respecté lorsqu’un juge d’une cour supérieure exerce son pouvoir discrétionnaire de siéger à l’extérieur de sa province sans qu’un lien vidéo soit établi avec cette dernière.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Le pouvoir discrétionnaire de la cour de tenir une audience à l’extérieur de sa province de rattachement doit être exercé dans l’intérêt de l’administration de la justice. La cour devrait également prendre en considération les facteurs généraux suivants : si le fait de siéger dans une autre province portera atteinte ou pourrait être considéré comme portant atteinte à la souveraineté de cette province, les avantages et les coûts de la tenue de l’audience projetée à l’extérieur de la province, et s’il y a lieu d’imposer des conditions, par exemple le remboursement des frais extraordinaires ou le recours à un lien vidéo avec la province de rattachement de la cour.</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r>
      <w:r w:rsidRPr="000743E2">
        <w:rPr>
          <w:rFonts w:eastAsia="Times New Roman" w:cs="Times New Roman"/>
          <w:i/>
          <w:sz w:val="20"/>
          <w:szCs w:val="20"/>
          <w:lang w:val="fr-CA" w:eastAsia="en-CA"/>
        </w:rPr>
        <w:t>Les</w:t>
      </w:r>
      <w:r w:rsidRPr="000743E2">
        <w:rPr>
          <w:rFonts w:eastAsia="Times New Roman" w:cs="Times New Roman"/>
          <w:sz w:val="20"/>
          <w:szCs w:val="20"/>
          <w:lang w:val="fr-CA" w:eastAsia="en-CA"/>
        </w:rPr>
        <w:t xml:space="preserve"> juges Karakatsanis et </w:t>
      </w:r>
      <w:r w:rsidRPr="000743E2">
        <w:rPr>
          <w:rFonts w:eastAsia="Times New Roman" w:cs="Times New Roman"/>
          <w:b/>
          <w:sz w:val="20"/>
          <w:szCs w:val="20"/>
          <w:lang w:val="fr-CA" w:eastAsia="en-CA"/>
        </w:rPr>
        <w:t>Wagner</w:t>
      </w:r>
      <w:r w:rsidRPr="000743E2">
        <w:rPr>
          <w:rFonts w:eastAsia="Times New Roman" w:cs="Times New Roman"/>
          <w:sz w:val="20"/>
          <w:szCs w:val="20"/>
          <w:lang w:val="fr-CA" w:eastAsia="en-CA"/>
        </w:rPr>
        <w:t xml:space="preserve"> : Il y a accord quant au fait que les juges des cours supérieures dans les présents dossiers ont le pouvoir légal discrétionnaire en vertu </w:t>
      </w:r>
      <w:proofErr w:type="gramStart"/>
      <w:r w:rsidRPr="000743E2">
        <w:rPr>
          <w:rFonts w:eastAsia="Times New Roman" w:cs="Times New Roman"/>
          <w:sz w:val="20"/>
          <w:szCs w:val="20"/>
          <w:lang w:val="fr-CA" w:eastAsia="en-CA"/>
        </w:rPr>
        <w:t>des art</w:t>
      </w:r>
      <w:proofErr w:type="gramEnd"/>
      <w:r w:rsidRPr="000743E2">
        <w:rPr>
          <w:rFonts w:eastAsia="Times New Roman" w:cs="Times New Roman"/>
          <w:sz w:val="20"/>
          <w:szCs w:val="20"/>
          <w:lang w:val="fr-CA" w:eastAsia="en-CA"/>
        </w:rPr>
        <w:t>. 12 des Lois de siéger en dehors de leur province de rattachement et qu’il n’est pas obligatoire d’établir un lien vidéo dans le contexte d’une audience tenue hors province.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0743E2"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 xml:space="preserve">Le principe de la publicité des débats judiciaires englobe davantage que la seule exigence selon laquelle la justice ne doit pas être rendue secrètement. Il favorise la confiance du public à l’égard du système judiciaire et accroît sa compréhension de l’administration de la justice. En outre, le principe de la publicité des débats protège le droit des médias d’avoir accès aux salles d’audience et les circonstances nécessaires pour que les médias puissent jouer leur rôle de suppléants du public. Un juge qui préside une audience tenue hors province doit être prêt à examiner comment donner effet au volet éducatif du principe de la publicité des débats judiciaires ainsi qu’à celui qui veut que la communauté soit au cœur de cet enjeu. Plus particulièrement, les tribunaux doivent aspirer à rendre les recours collectifs visibles et compréhensibles pour les membres des groupes visés par de tels recours ainsi que pour la communauté où ces derniers ont été intentés. Même si les tribunaux ne devraient pas présumer devoir ordonner la mise en place d’un lien vidéo avec les provinces de rattachement lorsque les juges siègent hors province, les membres du public, les médias ou les avocats peuvent demander qu’un tel lien ou qu’un autre moyen de communication soit utilisé pour accroître l’accessibilité à </w:t>
      </w:r>
      <w:r w:rsidRPr="000743E2">
        <w:rPr>
          <w:rFonts w:eastAsia="Times New Roman" w:cs="Times New Roman"/>
          <w:sz w:val="20"/>
          <w:szCs w:val="20"/>
          <w:lang w:val="fr-CA" w:eastAsia="en-CA"/>
        </w:rPr>
        <w:lastRenderedPageBreak/>
        <w:t>l’audience. Si une telle demande est présentée ― ou si le juge estime qu’il est de mise d’établir un tel lien vidéo ―, sous réserve de considérations qui feraient contrepoids, elle devrait généralement être accueillie.</w:t>
      </w:r>
    </w:p>
    <w:p w:rsidR="00B971A9" w:rsidRPr="00EA63C5" w:rsidRDefault="00B971A9" w:rsidP="000743E2">
      <w:pPr>
        <w:pStyle w:val="SCCNormalDoubleSpacing"/>
        <w:spacing w:line="240" w:lineRule="auto"/>
        <w:rPr>
          <w:sz w:val="20"/>
          <w:lang w:val="fr-CA"/>
        </w:rPr>
      </w:pPr>
    </w:p>
    <w:p w:rsidR="000743E2" w:rsidRPr="00EA63C5" w:rsidRDefault="000743E2" w:rsidP="000743E2">
      <w:pPr>
        <w:tabs>
          <w:tab w:val="left" w:pos="1168"/>
        </w:tabs>
        <w:jc w:val="both"/>
        <w:rPr>
          <w:rFonts w:eastAsia="Times New Roman" w:cs="Times New Roman"/>
          <w:sz w:val="20"/>
          <w:szCs w:val="20"/>
          <w:lang w:val="fr-CA" w:eastAsia="en-CA"/>
        </w:rPr>
      </w:pPr>
      <w:r w:rsidRPr="009849E0">
        <w:rPr>
          <w:rFonts w:eastAsia="Times New Roman" w:cs="Times New Roman"/>
          <w:sz w:val="20"/>
          <w:szCs w:val="20"/>
          <w:lang w:val="fr-CA" w:eastAsia="en-CA"/>
        </w:rPr>
        <w:tab/>
        <w:t>POURVOI contre un arrêt de la Cour d’appel de la Colombie</w:t>
      </w:r>
      <w:r w:rsidRPr="009849E0">
        <w:rPr>
          <w:rFonts w:eastAsia="Times New Roman" w:cs="Times New Roman"/>
          <w:sz w:val="20"/>
          <w:szCs w:val="20"/>
          <w:lang w:val="fr-CA" w:eastAsia="en-CA"/>
        </w:rPr>
        <w:noBreakHyphen/>
        <w:t xml:space="preserve">Britannique (les juges Saunders, </w:t>
      </w:r>
      <w:proofErr w:type="spellStart"/>
      <w:r w:rsidRPr="009849E0">
        <w:rPr>
          <w:rFonts w:eastAsia="Times New Roman" w:cs="Times New Roman"/>
          <w:sz w:val="20"/>
          <w:szCs w:val="20"/>
          <w:lang w:val="fr-CA" w:eastAsia="en-CA"/>
        </w:rPr>
        <w:t>Tysoe</w:t>
      </w:r>
      <w:proofErr w:type="spellEnd"/>
      <w:r w:rsidRPr="009849E0">
        <w:rPr>
          <w:rFonts w:eastAsia="Times New Roman" w:cs="Times New Roman"/>
          <w:sz w:val="20"/>
          <w:szCs w:val="20"/>
          <w:lang w:val="fr-CA" w:eastAsia="en-CA"/>
        </w:rPr>
        <w:t xml:space="preserve"> et </w:t>
      </w:r>
      <w:proofErr w:type="spellStart"/>
      <w:r w:rsidRPr="009849E0">
        <w:rPr>
          <w:rFonts w:eastAsia="Times New Roman" w:cs="Times New Roman"/>
          <w:sz w:val="20"/>
          <w:szCs w:val="20"/>
          <w:lang w:val="fr-CA" w:eastAsia="en-CA"/>
        </w:rPr>
        <w:t>Goepel</w:t>
      </w:r>
      <w:proofErr w:type="spellEnd"/>
      <w:r w:rsidRPr="009849E0">
        <w:rPr>
          <w:rFonts w:eastAsia="Times New Roman" w:cs="Times New Roman"/>
          <w:sz w:val="20"/>
          <w:szCs w:val="20"/>
          <w:lang w:val="fr-CA" w:eastAsia="en-CA"/>
        </w:rPr>
        <w:t xml:space="preserve">), 2014 BCCA 61, 59 B.C.L.R. (5th) 113, 352 B.C.A.C. 7, 601 W.A.C. 7, 49 C.P.C. (7th) 316, [2014] 5 W.W.R. 481, [2014] B.C.J. No. 254 (QL), 2014 </w:t>
      </w:r>
      <w:proofErr w:type="spellStart"/>
      <w:r w:rsidRPr="009849E0">
        <w:rPr>
          <w:rFonts w:eastAsia="Times New Roman" w:cs="Times New Roman"/>
          <w:sz w:val="20"/>
          <w:szCs w:val="20"/>
          <w:lang w:val="fr-CA" w:eastAsia="en-CA"/>
        </w:rPr>
        <w:t>CarswellBC</w:t>
      </w:r>
      <w:proofErr w:type="spellEnd"/>
      <w:r w:rsidRPr="009849E0">
        <w:rPr>
          <w:rFonts w:eastAsia="Times New Roman" w:cs="Times New Roman"/>
          <w:sz w:val="20"/>
          <w:szCs w:val="20"/>
          <w:lang w:val="fr-CA" w:eastAsia="en-CA"/>
        </w:rPr>
        <w:t xml:space="preserve"> 363 (WL Can.), qui a infirmé une décision du juge en chef </w:t>
      </w:r>
      <w:proofErr w:type="spellStart"/>
      <w:r w:rsidRPr="009849E0">
        <w:rPr>
          <w:rFonts w:eastAsia="Times New Roman" w:cs="Times New Roman"/>
          <w:sz w:val="20"/>
          <w:szCs w:val="20"/>
          <w:lang w:val="fr-CA" w:eastAsia="en-CA"/>
        </w:rPr>
        <w:t>Bauman</w:t>
      </w:r>
      <w:proofErr w:type="spellEnd"/>
      <w:r w:rsidRPr="009849E0">
        <w:rPr>
          <w:rFonts w:eastAsia="Times New Roman" w:cs="Times New Roman"/>
          <w:sz w:val="20"/>
          <w:szCs w:val="20"/>
          <w:lang w:val="fr-CA" w:eastAsia="en-CA"/>
        </w:rPr>
        <w:t xml:space="preserve">, 2013 BCSC 1074, [2013] B.C.J. No. 1304 (QL), 2013 </w:t>
      </w:r>
      <w:proofErr w:type="spellStart"/>
      <w:r w:rsidRPr="009849E0">
        <w:rPr>
          <w:rFonts w:eastAsia="Times New Roman" w:cs="Times New Roman"/>
          <w:sz w:val="20"/>
          <w:szCs w:val="20"/>
          <w:lang w:val="fr-CA" w:eastAsia="en-CA"/>
        </w:rPr>
        <w:t>CarswellBC</w:t>
      </w:r>
      <w:proofErr w:type="spellEnd"/>
      <w:r w:rsidRPr="009849E0">
        <w:rPr>
          <w:rFonts w:eastAsia="Times New Roman" w:cs="Times New Roman"/>
          <w:sz w:val="20"/>
          <w:szCs w:val="20"/>
          <w:lang w:val="fr-CA" w:eastAsia="en-CA"/>
        </w:rPr>
        <w:t xml:space="preserve"> 1828 (WL Can.). </w:t>
      </w:r>
      <w:r w:rsidRPr="000743E2">
        <w:rPr>
          <w:rFonts w:eastAsia="Times New Roman" w:cs="Times New Roman"/>
          <w:sz w:val="20"/>
          <w:szCs w:val="20"/>
          <w:lang w:val="fr-CA" w:eastAsia="en-CA"/>
        </w:rPr>
        <w:t>Pourvoi accueilli.</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 xml:space="preserve">POURVOI PRINCIPAL et POURVOI INCIDENT contre un arrêt de la Cour d’appel de l’Ontario (les juges </w:t>
      </w:r>
      <w:proofErr w:type="spellStart"/>
      <w:r w:rsidRPr="000743E2">
        <w:rPr>
          <w:rFonts w:eastAsia="Times New Roman" w:cs="Times New Roman"/>
          <w:sz w:val="20"/>
          <w:szCs w:val="20"/>
          <w:lang w:val="fr-CA" w:eastAsia="en-CA"/>
        </w:rPr>
        <w:t>Juriansz</w:t>
      </w:r>
      <w:proofErr w:type="spellEnd"/>
      <w:r w:rsidRPr="000743E2">
        <w:rPr>
          <w:rFonts w:eastAsia="Times New Roman" w:cs="Times New Roman"/>
          <w:sz w:val="20"/>
          <w:szCs w:val="20"/>
          <w:lang w:val="fr-CA" w:eastAsia="en-CA"/>
        </w:rPr>
        <w:t xml:space="preserve">, </w:t>
      </w:r>
      <w:proofErr w:type="spellStart"/>
      <w:r w:rsidRPr="000743E2">
        <w:rPr>
          <w:rFonts w:eastAsia="Times New Roman" w:cs="Times New Roman"/>
          <w:sz w:val="20"/>
          <w:szCs w:val="20"/>
          <w:lang w:val="fr-CA" w:eastAsia="en-CA"/>
        </w:rPr>
        <w:t>LaForme</w:t>
      </w:r>
      <w:proofErr w:type="spellEnd"/>
      <w:r w:rsidRPr="000743E2">
        <w:rPr>
          <w:rFonts w:eastAsia="Times New Roman" w:cs="Times New Roman"/>
          <w:sz w:val="20"/>
          <w:szCs w:val="20"/>
          <w:lang w:val="fr-CA" w:eastAsia="en-CA"/>
        </w:rPr>
        <w:t xml:space="preserve"> et </w:t>
      </w:r>
      <w:proofErr w:type="spellStart"/>
      <w:r w:rsidRPr="000743E2">
        <w:rPr>
          <w:rFonts w:eastAsia="Times New Roman" w:cs="Times New Roman"/>
          <w:sz w:val="20"/>
          <w:szCs w:val="20"/>
          <w:lang w:val="fr-CA" w:eastAsia="en-CA"/>
        </w:rPr>
        <w:t>Lauwers</w:t>
      </w:r>
      <w:proofErr w:type="spellEnd"/>
      <w:r w:rsidRPr="000743E2">
        <w:rPr>
          <w:rFonts w:eastAsia="Times New Roman" w:cs="Times New Roman"/>
          <w:sz w:val="20"/>
          <w:szCs w:val="20"/>
          <w:lang w:val="fr-CA" w:eastAsia="en-CA"/>
        </w:rPr>
        <w:t xml:space="preserve">), 2015 ONCA 158, 125 O.R. (3d) 168, 331 O.A.C. 71, 381 D.L.R. (4th) 667, 64 C.P.C. (7th) 227, [2015] O.J. No. 1257 (QL), 2015 </w:t>
      </w:r>
      <w:proofErr w:type="spellStart"/>
      <w:r w:rsidRPr="000743E2">
        <w:rPr>
          <w:rFonts w:eastAsia="Times New Roman" w:cs="Times New Roman"/>
          <w:sz w:val="20"/>
          <w:szCs w:val="20"/>
          <w:lang w:val="fr-CA" w:eastAsia="en-CA"/>
        </w:rPr>
        <w:t>CarswellOnt</w:t>
      </w:r>
      <w:proofErr w:type="spellEnd"/>
      <w:r w:rsidRPr="000743E2">
        <w:rPr>
          <w:rFonts w:eastAsia="Times New Roman" w:cs="Times New Roman"/>
          <w:sz w:val="20"/>
          <w:szCs w:val="20"/>
          <w:lang w:val="fr-CA" w:eastAsia="en-CA"/>
        </w:rPr>
        <w:t xml:space="preserve"> 3336 (WL Can.), qui a infirmé en partie une décision du juge en chef Winkler, 2013 ONSC 3053, 363 D.L.R. (4th) 352, 43 C.P.C. (7th) 412, [2013] O.J. No. 2343 (QL), 2013 </w:t>
      </w:r>
      <w:proofErr w:type="spellStart"/>
      <w:r w:rsidRPr="000743E2">
        <w:rPr>
          <w:rFonts w:eastAsia="Times New Roman" w:cs="Times New Roman"/>
          <w:sz w:val="20"/>
          <w:szCs w:val="20"/>
          <w:lang w:val="fr-CA" w:eastAsia="en-CA"/>
        </w:rPr>
        <w:t>CarswellOnt</w:t>
      </w:r>
      <w:proofErr w:type="spellEnd"/>
      <w:r w:rsidRPr="000743E2">
        <w:rPr>
          <w:rFonts w:eastAsia="Times New Roman" w:cs="Times New Roman"/>
          <w:sz w:val="20"/>
          <w:szCs w:val="20"/>
          <w:lang w:val="fr-CA" w:eastAsia="en-CA"/>
        </w:rPr>
        <w:t xml:space="preserve"> 6659 (WL Can.). Pourvoi principal accueilli et pourvoi incident rejeté.</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Sharon D. Matthews</w:t>
      </w:r>
      <w:r w:rsidRPr="00EA63C5">
        <w:rPr>
          <w:rFonts w:eastAsia="Times New Roman" w:cs="Times New Roman"/>
          <w:sz w:val="20"/>
          <w:szCs w:val="20"/>
          <w:lang w:val="fr-CA" w:eastAsia="en-CA"/>
        </w:rPr>
        <w:t xml:space="preserve">, </w:t>
      </w:r>
      <w:proofErr w:type="spellStart"/>
      <w:proofErr w:type="gramStart"/>
      <w:r w:rsidRPr="00EA63C5">
        <w:rPr>
          <w:rFonts w:eastAsia="Times New Roman" w:cs="Times New Roman"/>
          <w:i/>
          <w:sz w:val="20"/>
          <w:szCs w:val="20"/>
          <w:lang w:val="fr-CA" w:eastAsia="en-CA"/>
        </w:rPr>
        <w:t>c.r</w:t>
      </w:r>
      <w:proofErr w:type="spellEnd"/>
      <w:r w:rsidRPr="00EA63C5">
        <w:rPr>
          <w:rFonts w:eastAsia="Times New Roman" w:cs="Times New Roman"/>
          <w:i/>
          <w:sz w:val="20"/>
          <w:szCs w:val="20"/>
          <w:lang w:val="fr-CA" w:eastAsia="en-CA"/>
        </w:rPr>
        <w:t>.</w:t>
      </w:r>
      <w:r w:rsidRPr="00EA63C5">
        <w:rPr>
          <w:rFonts w:eastAsia="Times New Roman" w:cs="Times New Roman"/>
          <w:sz w:val="20"/>
          <w:szCs w:val="20"/>
          <w:lang w:val="fr-CA" w:eastAsia="en-CA"/>
        </w:rPr>
        <w:t>,</w:t>
      </w:r>
      <w:proofErr w:type="gramEnd"/>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J. J. Camp</w:t>
      </w:r>
      <w:r w:rsidRPr="00EA63C5">
        <w:rPr>
          <w:rFonts w:eastAsia="Times New Roman" w:cs="Times New Roman"/>
          <w:sz w:val="20"/>
          <w:szCs w:val="20"/>
          <w:lang w:val="fr-CA" w:eastAsia="en-CA"/>
        </w:rPr>
        <w:t xml:space="preserve">, </w:t>
      </w:r>
      <w:proofErr w:type="spellStart"/>
      <w:r w:rsidRPr="00EA63C5">
        <w:rPr>
          <w:rFonts w:eastAsia="Times New Roman" w:cs="Times New Roman"/>
          <w:i/>
          <w:sz w:val="20"/>
          <w:szCs w:val="20"/>
          <w:lang w:val="fr-CA" w:eastAsia="en-CA"/>
        </w:rPr>
        <w:t>c.r</w:t>
      </w:r>
      <w:proofErr w:type="spellEnd"/>
      <w:r w:rsidRPr="00EA63C5">
        <w:rPr>
          <w:rFonts w:eastAsia="Times New Roman" w:cs="Times New Roman"/>
          <w:i/>
          <w:sz w:val="20"/>
          <w:szCs w:val="20"/>
          <w:lang w:val="fr-CA" w:eastAsia="en-CA"/>
        </w:rPr>
        <w:t>.</w:t>
      </w:r>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 xml:space="preserve">Michael </w:t>
      </w:r>
      <w:proofErr w:type="spellStart"/>
      <w:r w:rsidRPr="00EA63C5">
        <w:rPr>
          <w:rFonts w:eastAsia="Times New Roman" w:cs="Times New Roman"/>
          <w:i/>
          <w:sz w:val="20"/>
          <w:szCs w:val="20"/>
          <w:lang w:val="fr-CA" w:eastAsia="en-CA"/>
        </w:rPr>
        <w:t>Sobkin</w:t>
      </w:r>
      <w:proofErr w:type="spellEnd"/>
      <w:r w:rsidRPr="00EA63C5">
        <w:rPr>
          <w:rFonts w:eastAsia="Times New Roman" w:cs="Times New Roman"/>
          <w:sz w:val="20"/>
          <w:szCs w:val="20"/>
          <w:lang w:val="fr-CA" w:eastAsia="en-CA"/>
        </w:rPr>
        <w:t xml:space="preserve">, pour l’appelante Anita </w:t>
      </w:r>
      <w:proofErr w:type="spellStart"/>
      <w:r w:rsidRPr="00EA63C5">
        <w:rPr>
          <w:rFonts w:eastAsia="Times New Roman" w:cs="Times New Roman"/>
          <w:sz w:val="20"/>
          <w:szCs w:val="20"/>
          <w:lang w:val="fr-CA" w:eastAsia="en-CA"/>
        </w:rPr>
        <w:t>Endean</w:t>
      </w:r>
      <w:proofErr w:type="spellEnd"/>
      <w:r w:rsidRPr="00EA63C5">
        <w:rPr>
          <w:rFonts w:eastAsia="Times New Roman" w:cs="Times New Roman"/>
          <w:sz w:val="20"/>
          <w:szCs w:val="20"/>
          <w:lang w:val="fr-CA" w:eastAsia="en-CA"/>
        </w:rPr>
        <w:t xml:space="preserve">, </w:t>
      </w:r>
      <w:r w:rsidRPr="000743E2">
        <w:rPr>
          <w:rFonts w:eastAsia="Times New Roman" w:cs="Times New Roman"/>
          <w:sz w:val="20"/>
          <w:szCs w:val="20"/>
          <w:lang w:val="fr-CA" w:eastAsia="en-CA"/>
        </w:rPr>
        <w:t>en sa qualité de représentante des demandeurs</w:t>
      </w:r>
      <w:r w:rsidRPr="00EA63C5">
        <w:rPr>
          <w:rFonts w:eastAsia="Times New Roman" w:cs="Times New Roman"/>
          <w:sz w:val="20"/>
          <w:szCs w:val="20"/>
          <w:lang w:val="fr-CA" w:eastAsia="en-CA"/>
        </w:rPr>
        <w:t>.</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Keith Evans</w:t>
      </w:r>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Katherine Webber</w:t>
      </w:r>
      <w:r w:rsidRPr="00EA63C5">
        <w:rPr>
          <w:rFonts w:eastAsia="Times New Roman" w:cs="Times New Roman"/>
          <w:sz w:val="20"/>
          <w:szCs w:val="20"/>
          <w:lang w:val="fr-CA" w:eastAsia="en-CA"/>
        </w:rPr>
        <w:t>, pour l’intimée Sa Majesté la Reine du chef de la province de la Colombie</w:t>
      </w:r>
      <w:r w:rsidRPr="00EA63C5">
        <w:rPr>
          <w:rFonts w:eastAsia="Times New Roman" w:cs="Times New Roman"/>
          <w:sz w:val="20"/>
          <w:szCs w:val="20"/>
          <w:lang w:val="fr-CA" w:eastAsia="en-CA"/>
        </w:rPr>
        <w:noBreakHyphen/>
        <w:t>Britannique.</w:t>
      </w:r>
    </w:p>
    <w:p w:rsidR="000743E2" w:rsidRPr="00EA63C5"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Robert J. Frater</w:t>
      </w:r>
      <w:r w:rsidRPr="00EA63C5">
        <w:rPr>
          <w:rFonts w:eastAsia="Times New Roman" w:cs="Times New Roman"/>
          <w:sz w:val="20"/>
          <w:szCs w:val="20"/>
          <w:lang w:val="fr-CA" w:eastAsia="en-CA"/>
        </w:rPr>
        <w:t xml:space="preserve">, </w:t>
      </w:r>
      <w:proofErr w:type="spellStart"/>
      <w:proofErr w:type="gramStart"/>
      <w:r w:rsidRPr="00EA63C5">
        <w:rPr>
          <w:rFonts w:eastAsia="Times New Roman" w:cs="Times New Roman"/>
          <w:i/>
          <w:sz w:val="20"/>
          <w:szCs w:val="20"/>
          <w:lang w:val="fr-CA" w:eastAsia="en-CA"/>
        </w:rPr>
        <w:t>c.r</w:t>
      </w:r>
      <w:proofErr w:type="spellEnd"/>
      <w:r w:rsidRPr="00EA63C5">
        <w:rPr>
          <w:rFonts w:eastAsia="Times New Roman" w:cs="Times New Roman"/>
          <w:i/>
          <w:sz w:val="20"/>
          <w:szCs w:val="20"/>
          <w:lang w:val="fr-CA" w:eastAsia="en-CA"/>
        </w:rPr>
        <w:t>.</w:t>
      </w:r>
      <w:r w:rsidRPr="00EA63C5">
        <w:rPr>
          <w:rFonts w:eastAsia="Times New Roman" w:cs="Times New Roman"/>
          <w:sz w:val="20"/>
          <w:szCs w:val="20"/>
          <w:lang w:val="fr-CA" w:eastAsia="en-CA"/>
        </w:rPr>
        <w:t>,</w:t>
      </w:r>
      <w:proofErr w:type="gram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 xml:space="preserve">Kathryn </w:t>
      </w:r>
      <w:proofErr w:type="spellStart"/>
      <w:r w:rsidRPr="00EA63C5">
        <w:rPr>
          <w:rFonts w:eastAsia="Times New Roman" w:cs="Times New Roman"/>
          <w:i/>
          <w:sz w:val="20"/>
          <w:szCs w:val="20"/>
          <w:lang w:val="fr-CA" w:eastAsia="en-CA"/>
        </w:rPr>
        <w:t>Hucal</w:t>
      </w:r>
      <w:proofErr w:type="spellEnd"/>
      <w:r w:rsidRPr="00EA63C5">
        <w:rPr>
          <w:rFonts w:eastAsia="Times New Roman" w:cs="Times New Roman"/>
          <w:sz w:val="20"/>
          <w:szCs w:val="20"/>
          <w:lang w:val="fr-CA" w:eastAsia="en-CA"/>
        </w:rPr>
        <w:t>, pour l’intimé/intimé au pourvoi incident le procureur général du Canada.</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Paul J. Pape</w:t>
      </w:r>
      <w:r w:rsidRPr="00EA63C5">
        <w:rPr>
          <w:rFonts w:eastAsia="Times New Roman" w:cs="Times New Roman"/>
          <w:sz w:val="20"/>
          <w:szCs w:val="20"/>
          <w:lang w:val="fr-CA" w:eastAsia="en-CA"/>
        </w:rPr>
        <w:t xml:space="preserve"> et </w:t>
      </w:r>
      <w:proofErr w:type="spellStart"/>
      <w:r w:rsidRPr="00EA63C5">
        <w:rPr>
          <w:rFonts w:eastAsia="Times New Roman" w:cs="Times New Roman"/>
          <w:i/>
          <w:sz w:val="20"/>
          <w:szCs w:val="20"/>
          <w:lang w:val="fr-CA" w:eastAsia="en-CA"/>
        </w:rPr>
        <w:t>Shantona</w:t>
      </w:r>
      <w:proofErr w:type="spellEnd"/>
      <w:r w:rsidRPr="00EA63C5">
        <w:rPr>
          <w:rFonts w:eastAsia="Times New Roman" w:cs="Times New Roman"/>
          <w:i/>
          <w:sz w:val="20"/>
          <w:szCs w:val="20"/>
          <w:lang w:val="fr-CA" w:eastAsia="en-CA"/>
        </w:rPr>
        <w:t xml:space="preserve"> </w:t>
      </w:r>
      <w:proofErr w:type="spellStart"/>
      <w:r w:rsidRPr="00EA63C5">
        <w:rPr>
          <w:rFonts w:eastAsia="Times New Roman" w:cs="Times New Roman"/>
          <w:i/>
          <w:sz w:val="20"/>
          <w:szCs w:val="20"/>
          <w:lang w:val="fr-CA" w:eastAsia="en-CA"/>
        </w:rPr>
        <w:t>Chaudhury</w:t>
      </w:r>
      <w:proofErr w:type="spellEnd"/>
      <w:r w:rsidRPr="00EA63C5">
        <w:rPr>
          <w:rFonts w:eastAsia="Times New Roman" w:cs="Times New Roman"/>
          <w:sz w:val="20"/>
          <w:szCs w:val="20"/>
          <w:lang w:val="fr-CA" w:eastAsia="en-CA"/>
        </w:rPr>
        <w:t xml:space="preserve">, pour les appelants/intimés au pourvoi incident </w:t>
      </w:r>
      <w:proofErr w:type="spellStart"/>
      <w:r w:rsidRPr="00EA63C5">
        <w:rPr>
          <w:rFonts w:eastAsia="Times New Roman" w:cs="Times New Roman"/>
          <w:sz w:val="20"/>
          <w:szCs w:val="20"/>
          <w:lang w:val="fr-CA" w:eastAsia="en-CA"/>
        </w:rPr>
        <w:t>Dianna</w:t>
      </w:r>
      <w:proofErr w:type="spellEnd"/>
      <w:r w:rsidRPr="00EA63C5">
        <w:rPr>
          <w:rFonts w:eastAsia="Times New Roman" w:cs="Times New Roman"/>
          <w:sz w:val="20"/>
          <w:szCs w:val="20"/>
          <w:lang w:val="fr-CA" w:eastAsia="en-CA"/>
        </w:rPr>
        <w:t xml:space="preserve"> Louise Parsons et autres.</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John E. Callaghan</w:t>
      </w:r>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 xml:space="preserve">Alex </w:t>
      </w:r>
      <w:proofErr w:type="spellStart"/>
      <w:r w:rsidRPr="00EA63C5">
        <w:rPr>
          <w:rFonts w:eastAsia="Times New Roman" w:cs="Times New Roman"/>
          <w:i/>
          <w:sz w:val="20"/>
          <w:szCs w:val="20"/>
          <w:lang w:val="fr-CA" w:eastAsia="en-CA"/>
        </w:rPr>
        <w:t>Zavaglia</w:t>
      </w:r>
      <w:proofErr w:type="spellEnd"/>
      <w:r w:rsidRPr="00EA63C5">
        <w:rPr>
          <w:rFonts w:eastAsia="Times New Roman" w:cs="Times New Roman"/>
          <w:sz w:val="20"/>
          <w:szCs w:val="20"/>
          <w:lang w:val="fr-CA" w:eastAsia="en-CA"/>
        </w:rPr>
        <w:t>, pour l’appelant le Conseiller juridique du Fonds pour l’Ontario.</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Josh Hunter</w:t>
      </w:r>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 xml:space="preserve">Brent </w:t>
      </w:r>
      <w:proofErr w:type="spellStart"/>
      <w:r w:rsidRPr="00EA63C5">
        <w:rPr>
          <w:rFonts w:eastAsia="Times New Roman" w:cs="Times New Roman"/>
          <w:i/>
          <w:sz w:val="20"/>
          <w:szCs w:val="20"/>
          <w:lang w:val="fr-CA" w:eastAsia="en-CA"/>
        </w:rPr>
        <w:t>Kettles</w:t>
      </w:r>
      <w:proofErr w:type="spell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 xml:space="preserve">Lynne </w:t>
      </w:r>
      <w:proofErr w:type="spellStart"/>
      <w:r w:rsidRPr="00EA63C5">
        <w:rPr>
          <w:rFonts w:eastAsia="Times New Roman" w:cs="Times New Roman"/>
          <w:i/>
          <w:sz w:val="20"/>
          <w:szCs w:val="20"/>
          <w:lang w:val="fr-CA" w:eastAsia="en-CA"/>
        </w:rPr>
        <w:t>McArdle</w:t>
      </w:r>
      <w:proofErr w:type="spellEnd"/>
      <w:r w:rsidRPr="00EA63C5">
        <w:rPr>
          <w:rFonts w:eastAsia="Times New Roman" w:cs="Times New Roman"/>
          <w:sz w:val="20"/>
          <w:szCs w:val="20"/>
          <w:lang w:val="fr-CA" w:eastAsia="en-CA"/>
        </w:rPr>
        <w:t>, pour l’intimée/appelante au pourvoi incident Sa Majesté la Reine du chef de l’Ontario.</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0743E2">
        <w:rPr>
          <w:rFonts w:eastAsia="Times New Roman" w:cs="Times New Roman"/>
          <w:sz w:val="20"/>
          <w:szCs w:val="20"/>
          <w:lang w:val="fr-CA" w:eastAsia="en-CA"/>
        </w:rPr>
        <w:tab/>
        <w:t>Personne n’a comparu pour l’intimée/</w:t>
      </w:r>
      <w:r w:rsidRPr="00EA63C5">
        <w:rPr>
          <w:rFonts w:eastAsia="Times New Roman" w:cs="Times New Roman"/>
          <w:sz w:val="20"/>
          <w:szCs w:val="20"/>
          <w:lang w:val="fr-CA" w:eastAsia="en-CA"/>
        </w:rPr>
        <w:t>intimée au pourvoi incident</w:t>
      </w:r>
      <w:r w:rsidRPr="000743E2">
        <w:rPr>
          <w:rFonts w:eastAsia="Times New Roman" w:cs="Times New Roman"/>
          <w:sz w:val="20"/>
          <w:szCs w:val="20"/>
          <w:lang w:val="fr-CA" w:eastAsia="en-CA"/>
        </w:rPr>
        <w:t xml:space="preserve"> la Société canadienne de la Croix</w:t>
      </w:r>
      <w:r w:rsidRPr="000743E2">
        <w:rPr>
          <w:rFonts w:eastAsia="Times New Roman" w:cs="Times New Roman"/>
          <w:sz w:val="20"/>
          <w:szCs w:val="20"/>
          <w:lang w:val="fr-CA" w:eastAsia="en-CA"/>
        </w:rPr>
        <w:noBreakHyphen/>
        <w:t>Rouge.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 xml:space="preserve">Caroline </w:t>
      </w:r>
      <w:proofErr w:type="spellStart"/>
      <w:r w:rsidRPr="00EA63C5">
        <w:rPr>
          <w:rFonts w:eastAsia="Times New Roman" w:cs="Times New Roman"/>
          <w:i/>
          <w:sz w:val="20"/>
          <w:szCs w:val="20"/>
          <w:lang w:val="fr-CA" w:eastAsia="en-CA"/>
        </w:rPr>
        <w:t>Zayid</w:t>
      </w:r>
      <w:proofErr w:type="spellEnd"/>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H. Michael Rosenberg</w:t>
      </w:r>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Adam Goldenberg</w:t>
      </w:r>
      <w:r w:rsidRPr="00EA63C5">
        <w:rPr>
          <w:rFonts w:eastAsia="Times New Roman" w:cs="Times New Roman"/>
          <w:sz w:val="20"/>
          <w:szCs w:val="20"/>
          <w:lang w:val="fr-CA" w:eastAsia="en-CA"/>
        </w:rPr>
        <w:t>, pour les intimés Sa Majesté la Reine du chef de l’Alberta et autres.</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t xml:space="preserve">Argumentation écrite seulement par </w:t>
      </w:r>
      <w:r w:rsidRPr="00EA63C5">
        <w:rPr>
          <w:rFonts w:eastAsia="Times New Roman" w:cs="Times New Roman"/>
          <w:i/>
          <w:sz w:val="20"/>
          <w:szCs w:val="20"/>
          <w:lang w:val="fr-CA" w:eastAsia="en-CA"/>
        </w:rPr>
        <w:t xml:space="preserve">Dana </w:t>
      </w:r>
      <w:proofErr w:type="spellStart"/>
      <w:r w:rsidRPr="00EA63C5">
        <w:rPr>
          <w:rFonts w:eastAsia="Times New Roman" w:cs="Times New Roman"/>
          <w:i/>
          <w:sz w:val="20"/>
          <w:szCs w:val="20"/>
          <w:lang w:val="fr-CA" w:eastAsia="en-CA"/>
        </w:rPr>
        <w:t>Pescarus</w:t>
      </w:r>
      <w:proofErr w:type="spellEnd"/>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 xml:space="preserve">Carole </w:t>
      </w:r>
      <w:proofErr w:type="spellStart"/>
      <w:r w:rsidRPr="00EA63C5">
        <w:rPr>
          <w:rFonts w:eastAsia="Times New Roman" w:cs="Times New Roman"/>
          <w:i/>
          <w:sz w:val="20"/>
          <w:szCs w:val="20"/>
          <w:lang w:val="fr-CA" w:eastAsia="en-CA"/>
        </w:rPr>
        <w:t>Soucy</w:t>
      </w:r>
      <w:proofErr w:type="spell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Manon Des Ormeaux</w:t>
      </w:r>
      <w:r w:rsidRPr="00EA63C5">
        <w:rPr>
          <w:rFonts w:eastAsia="Times New Roman" w:cs="Times New Roman"/>
          <w:sz w:val="20"/>
          <w:szCs w:val="20"/>
          <w:lang w:val="fr-CA" w:eastAsia="en-CA"/>
        </w:rPr>
        <w:t>, pour l’intervenante.</w:t>
      </w:r>
    </w:p>
    <w:p w:rsidR="000743E2" w:rsidRPr="000743E2" w:rsidRDefault="000743E2" w:rsidP="000743E2">
      <w:pPr>
        <w:tabs>
          <w:tab w:val="left" w:pos="1168"/>
        </w:tabs>
        <w:jc w:val="both"/>
        <w:rPr>
          <w:rFonts w:eastAsia="Times New Roman" w:cs="Times New Roman"/>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 xml:space="preserve">Procureurs de l’appelante </w:t>
      </w:r>
      <w:r w:rsidRPr="00EA63C5">
        <w:rPr>
          <w:rFonts w:eastAsia="Times New Roman" w:cs="Times New Roman"/>
          <w:i/>
          <w:sz w:val="20"/>
          <w:szCs w:val="20"/>
          <w:lang w:val="fr-CA" w:eastAsia="en-CA"/>
        </w:rPr>
        <w:t xml:space="preserve">Anita </w:t>
      </w:r>
      <w:proofErr w:type="spellStart"/>
      <w:r w:rsidRPr="00EA63C5">
        <w:rPr>
          <w:rFonts w:eastAsia="Times New Roman" w:cs="Times New Roman"/>
          <w:i/>
          <w:sz w:val="20"/>
          <w:szCs w:val="20"/>
          <w:lang w:val="fr-CA" w:eastAsia="en-CA"/>
        </w:rPr>
        <w:t>Endean</w:t>
      </w:r>
      <w:proofErr w:type="spellEnd"/>
      <w:r w:rsidRPr="00EA63C5">
        <w:rPr>
          <w:rFonts w:eastAsia="Times New Roman" w:cs="Times New Roman"/>
          <w:i/>
          <w:sz w:val="20"/>
          <w:szCs w:val="20"/>
          <w:lang w:val="fr-CA" w:eastAsia="en-CA"/>
        </w:rPr>
        <w:t xml:space="preserve">, </w:t>
      </w:r>
      <w:r w:rsidRPr="000743E2">
        <w:rPr>
          <w:rFonts w:eastAsia="Times New Roman" w:cs="Times New Roman"/>
          <w:i/>
          <w:sz w:val="20"/>
          <w:szCs w:val="20"/>
          <w:lang w:val="fr-CA" w:eastAsia="en-CA"/>
        </w:rPr>
        <w:t xml:space="preserve">en sa qualité de représentante des demandeurs : Camp </w:t>
      </w:r>
      <w:proofErr w:type="spellStart"/>
      <w:r w:rsidRPr="000743E2">
        <w:rPr>
          <w:rFonts w:eastAsia="Times New Roman" w:cs="Times New Roman"/>
          <w:i/>
          <w:sz w:val="20"/>
          <w:szCs w:val="20"/>
          <w:lang w:val="fr-CA" w:eastAsia="en-CA"/>
        </w:rPr>
        <w:t>Fiorante</w:t>
      </w:r>
      <w:proofErr w:type="spellEnd"/>
      <w:r w:rsidRPr="000743E2">
        <w:rPr>
          <w:rFonts w:eastAsia="Times New Roman" w:cs="Times New Roman"/>
          <w:i/>
          <w:sz w:val="20"/>
          <w:szCs w:val="20"/>
          <w:lang w:val="fr-CA" w:eastAsia="en-CA"/>
        </w:rPr>
        <w:t xml:space="preserve"> Matthews </w:t>
      </w:r>
      <w:proofErr w:type="spellStart"/>
      <w:r w:rsidRPr="000743E2">
        <w:rPr>
          <w:rFonts w:eastAsia="Times New Roman" w:cs="Times New Roman"/>
          <w:i/>
          <w:sz w:val="20"/>
          <w:szCs w:val="20"/>
          <w:lang w:val="fr-CA" w:eastAsia="en-CA"/>
        </w:rPr>
        <w:t>Mogerman</w:t>
      </w:r>
      <w:proofErr w:type="spellEnd"/>
      <w:r w:rsidRPr="000743E2">
        <w:rPr>
          <w:rFonts w:eastAsia="Times New Roman" w:cs="Times New Roman"/>
          <w:i/>
          <w:sz w:val="20"/>
          <w:szCs w:val="20"/>
          <w:lang w:val="fr-CA" w:eastAsia="en-CA"/>
        </w:rPr>
        <w:t xml:space="preserve">, Vancouver; Michael </w:t>
      </w:r>
      <w:proofErr w:type="spellStart"/>
      <w:r w:rsidRPr="000743E2">
        <w:rPr>
          <w:rFonts w:eastAsia="Times New Roman" w:cs="Times New Roman"/>
          <w:i/>
          <w:sz w:val="20"/>
          <w:szCs w:val="20"/>
          <w:lang w:val="fr-CA" w:eastAsia="en-CA"/>
        </w:rPr>
        <w:t>Sobkin</w:t>
      </w:r>
      <w:proofErr w:type="spellEnd"/>
      <w:r w:rsidRPr="000743E2">
        <w:rPr>
          <w:rFonts w:eastAsia="Times New Roman" w:cs="Times New Roman"/>
          <w:i/>
          <w:sz w:val="20"/>
          <w:szCs w:val="20"/>
          <w:lang w:val="fr-CA" w:eastAsia="en-CA"/>
        </w:rPr>
        <w:t>, Ottawa.</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 xml:space="preserve">Procureur de l’intimée </w:t>
      </w:r>
      <w:r w:rsidRPr="00EA63C5">
        <w:rPr>
          <w:rFonts w:eastAsia="Times New Roman" w:cs="Times New Roman"/>
          <w:i/>
          <w:sz w:val="20"/>
          <w:szCs w:val="20"/>
          <w:lang w:val="fr-CA" w:eastAsia="en-CA"/>
        </w:rPr>
        <w:t>Sa Majesté la Reine du chef de la province de la Colombie</w:t>
      </w:r>
      <w:r w:rsidRPr="00EA63C5">
        <w:rPr>
          <w:rFonts w:eastAsia="Times New Roman" w:cs="Times New Roman"/>
          <w:i/>
          <w:sz w:val="20"/>
          <w:szCs w:val="20"/>
          <w:lang w:val="fr-CA" w:eastAsia="en-CA"/>
        </w:rPr>
        <w:noBreakHyphen/>
        <w:t>Britannique</w:t>
      </w:r>
      <w:r w:rsidRPr="000743E2">
        <w:rPr>
          <w:rFonts w:eastAsia="Times New Roman" w:cs="Times New Roman"/>
          <w:i/>
          <w:sz w:val="20"/>
          <w:szCs w:val="20"/>
          <w:lang w:val="fr-CA" w:eastAsia="en-CA"/>
        </w:rPr>
        <w:t> : Procureur général de la Colombie</w:t>
      </w:r>
      <w:r w:rsidRPr="000743E2">
        <w:rPr>
          <w:rFonts w:eastAsia="Times New Roman" w:cs="Times New Roman"/>
          <w:i/>
          <w:sz w:val="20"/>
          <w:szCs w:val="20"/>
          <w:lang w:val="fr-CA" w:eastAsia="en-CA"/>
        </w:rPr>
        <w:noBreakHyphen/>
        <w:t>Britannique, Vancouver.</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Procureur de l’intimé</w:t>
      </w:r>
      <w:r w:rsidRPr="00EA63C5">
        <w:rPr>
          <w:rFonts w:eastAsia="Times New Roman" w:cs="Times New Roman"/>
          <w:i/>
          <w:sz w:val="20"/>
          <w:szCs w:val="20"/>
          <w:lang w:val="fr-CA" w:eastAsia="en-CA"/>
        </w:rPr>
        <w:t>/intimé au pourvoi incident</w:t>
      </w:r>
      <w:r w:rsidRPr="000743E2">
        <w:rPr>
          <w:rFonts w:eastAsia="Times New Roman" w:cs="Times New Roman"/>
          <w:i/>
          <w:sz w:val="20"/>
          <w:szCs w:val="20"/>
          <w:lang w:val="fr-CA" w:eastAsia="en-CA"/>
        </w:rPr>
        <w:t xml:space="preserve"> </w:t>
      </w:r>
      <w:r w:rsidRPr="00EA63C5">
        <w:rPr>
          <w:rFonts w:eastAsia="Times New Roman" w:cs="Times New Roman"/>
          <w:i/>
          <w:sz w:val="20"/>
          <w:szCs w:val="20"/>
          <w:lang w:val="fr-CA" w:eastAsia="en-CA"/>
        </w:rPr>
        <w:t>le procureur général du Canada</w:t>
      </w:r>
      <w:r w:rsidRPr="000743E2">
        <w:rPr>
          <w:rFonts w:eastAsia="Times New Roman" w:cs="Times New Roman"/>
          <w:i/>
          <w:sz w:val="20"/>
          <w:szCs w:val="20"/>
          <w:lang w:val="fr-CA" w:eastAsia="en-CA"/>
        </w:rPr>
        <w:t> : </w:t>
      </w:r>
      <w:r w:rsidRPr="00EA63C5">
        <w:rPr>
          <w:rFonts w:eastAsia="Times New Roman" w:cs="Times New Roman"/>
          <w:i/>
          <w:sz w:val="20"/>
          <w:szCs w:val="20"/>
          <w:lang w:val="fr-CA" w:eastAsia="en-CA"/>
        </w:rPr>
        <w:t>Procureur général du Canada</w:t>
      </w:r>
      <w:r w:rsidRPr="000743E2">
        <w:rPr>
          <w:rFonts w:eastAsia="Times New Roman" w:cs="Times New Roman"/>
          <w:i/>
          <w:sz w:val="20"/>
          <w:szCs w:val="20"/>
          <w:lang w:val="fr-CA" w:eastAsia="en-CA"/>
        </w:rPr>
        <w:t>, Ottawa.</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 xml:space="preserve">Procureurs des appelants/intimés au pourvoi incident </w:t>
      </w:r>
      <w:proofErr w:type="spellStart"/>
      <w:r w:rsidRPr="00EA63C5">
        <w:rPr>
          <w:rFonts w:eastAsia="Times New Roman" w:cs="Times New Roman"/>
          <w:i/>
          <w:sz w:val="20"/>
          <w:szCs w:val="20"/>
          <w:lang w:val="fr-CA" w:eastAsia="en-CA"/>
        </w:rPr>
        <w:t>Dianna</w:t>
      </w:r>
      <w:proofErr w:type="spellEnd"/>
      <w:r w:rsidRPr="00EA63C5">
        <w:rPr>
          <w:rFonts w:eastAsia="Times New Roman" w:cs="Times New Roman"/>
          <w:i/>
          <w:sz w:val="20"/>
          <w:szCs w:val="20"/>
          <w:lang w:val="fr-CA" w:eastAsia="en-CA"/>
        </w:rPr>
        <w:t xml:space="preserve"> Louise Parsons et autres</w:t>
      </w:r>
      <w:r w:rsidRPr="000743E2">
        <w:rPr>
          <w:rFonts w:eastAsia="Times New Roman" w:cs="Times New Roman"/>
          <w:i/>
          <w:sz w:val="20"/>
          <w:szCs w:val="20"/>
          <w:lang w:val="fr-CA" w:eastAsia="en-CA"/>
        </w:rPr>
        <w:t xml:space="preserve"> : Pape </w:t>
      </w:r>
      <w:proofErr w:type="spellStart"/>
      <w:r w:rsidRPr="000743E2">
        <w:rPr>
          <w:rFonts w:eastAsia="Times New Roman" w:cs="Times New Roman"/>
          <w:i/>
          <w:sz w:val="20"/>
          <w:szCs w:val="20"/>
          <w:lang w:val="fr-CA" w:eastAsia="en-CA"/>
        </w:rPr>
        <w:t>Barristers</w:t>
      </w:r>
      <w:proofErr w:type="spellEnd"/>
      <w:r w:rsidRPr="000743E2">
        <w:rPr>
          <w:rFonts w:eastAsia="Times New Roman" w:cs="Times New Roman"/>
          <w:i/>
          <w:sz w:val="20"/>
          <w:szCs w:val="20"/>
          <w:lang w:val="fr-CA" w:eastAsia="en-CA"/>
        </w:rPr>
        <w:t>, Toronto.</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 xml:space="preserve">Procureurs de l’appelant </w:t>
      </w:r>
      <w:r w:rsidRPr="00EA63C5">
        <w:rPr>
          <w:rFonts w:eastAsia="Times New Roman" w:cs="Times New Roman"/>
          <w:i/>
          <w:sz w:val="20"/>
          <w:szCs w:val="20"/>
          <w:lang w:val="fr-CA" w:eastAsia="en-CA"/>
        </w:rPr>
        <w:t>le Conseiller juridique du Fonds pour l’Ontario</w:t>
      </w:r>
      <w:r w:rsidRPr="000743E2">
        <w:rPr>
          <w:rFonts w:eastAsia="Times New Roman" w:cs="Times New Roman"/>
          <w:i/>
          <w:sz w:val="20"/>
          <w:szCs w:val="20"/>
          <w:lang w:val="fr-CA" w:eastAsia="en-CA"/>
        </w:rPr>
        <w:t> : </w:t>
      </w:r>
      <w:proofErr w:type="spellStart"/>
      <w:r w:rsidRPr="000743E2">
        <w:rPr>
          <w:rFonts w:eastAsia="Times New Roman" w:cs="Times New Roman"/>
          <w:i/>
          <w:sz w:val="20"/>
          <w:szCs w:val="20"/>
          <w:lang w:val="fr-CA" w:eastAsia="en-CA"/>
        </w:rPr>
        <w:t>Gowling</w:t>
      </w:r>
      <w:proofErr w:type="spellEnd"/>
      <w:r w:rsidRPr="000743E2">
        <w:rPr>
          <w:rFonts w:eastAsia="Times New Roman" w:cs="Times New Roman"/>
          <w:i/>
          <w:sz w:val="20"/>
          <w:szCs w:val="20"/>
          <w:lang w:val="fr-CA" w:eastAsia="en-CA"/>
        </w:rPr>
        <w:t xml:space="preserve"> WLG (Canada) Inc., Toronto.</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 xml:space="preserve">Procureur de l’intimée/appelante au pourvoi incident </w:t>
      </w:r>
      <w:r w:rsidRPr="00EA63C5">
        <w:rPr>
          <w:rFonts w:eastAsia="Times New Roman" w:cs="Times New Roman"/>
          <w:i/>
          <w:sz w:val="20"/>
          <w:szCs w:val="20"/>
          <w:lang w:val="fr-CA" w:eastAsia="en-CA"/>
        </w:rPr>
        <w:t>Sa Majesté la Reine du chef de l’Ontario</w:t>
      </w:r>
      <w:r w:rsidRPr="000743E2">
        <w:rPr>
          <w:rFonts w:eastAsia="Times New Roman" w:cs="Times New Roman"/>
          <w:i/>
          <w:sz w:val="20"/>
          <w:szCs w:val="20"/>
          <w:lang w:val="fr-CA" w:eastAsia="en-CA"/>
        </w:rPr>
        <w:t> : Procureur général de l’Ontario, Toronto.</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 xml:space="preserve">Procureurs des intimés </w:t>
      </w:r>
      <w:r w:rsidRPr="00EA63C5">
        <w:rPr>
          <w:rFonts w:eastAsia="Times New Roman" w:cs="Times New Roman"/>
          <w:i/>
          <w:sz w:val="20"/>
          <w:szCs w:val="20"/>
          <w:lang w:val="fr-CA" w:eastAsia="en-CA"/>
        </w:rPr>
        <w:t>Sa Majesté la Reine du chef de l’Alberta et autres</w:t>
      </w:r>
      <w:r w:rsidRPr="000743E2">
        <w:rPr>
          <w:rFonts w:eastAsia="Times New Roman" w:cs="Times New Roman"/>
          <w:i/>
          <w:sz w:val="20"/>
          <w:szCs w:val="20"/>
          <w:lang w:val="fr-CA" w:eastAsia="en-CA"/>
        </w:rPr>
        <w:t xml:space="preserve"> : McCarthy </w:t>
      </w:r>
      <w:proofErr w:type="spellStart"/>
      <w:r w:rsidRPr="000743E2">
        <w:rPr>
          <w:rFonts w:eastAsia="Times New Roman" w:cs="Times New Roman"/>
          <w:i/>
          <w:sz w:val="20"/>
          <w:szCs w:val="20"/>
          <w:lang w:val="fr-CA" w:eastAsia="en-CA"/>
        </w:rPr>
        <w:t>Tétrault</w:t>
      </w:r>
      <w:proofErr w:type="spellEnd"/>
      <w:r w:rsidRPr="000743E2">
        <w:rPr>
          <w:rFonts w:eastAsia="Times New Roman" w:cs="Times New Roman"/>
          <w:i/>
          <w:sz w:val="20"/>
          <w:szCs w:val="20"/>
          <w:lang w:val="fr-CA" w:eastAsia="en-CA"/>
        </w:rPr>
        <w:t>, Toronto.</w:t>
      </w:r>
    </w:p>
    <w:p w:rsidR="000743E2" w:rsidRPr="000743E2" w:rsidRDefault="000743E2" w:rsidP="000743E2">
      <w:pPr>
        <w:tabs>
          <w:tab w:val="left" w:pos="1168"/>
        </w:tabs>
        <w:jc w:val="both"/>
        <w:rPr>
          <w:rFonts w:eastAsia="Times New Roman" w:cs="Times New Roman"/>
          <w:i/>
          <w:sz w:val="20"/>
          <w:szCs w:val="20"/>
          <w:lang w:val="fr-CA" w:eastAsia="en-CA"/>
        </w:rPr>
      </w:pPr>
    </w:p>
    <w:p w:rsidR="000743E2" w:rsidRPr="00EA63C5" w:rsidRDefault="000743E2" w:rsidP="000743E2">
      <w:pPr>
        <w:tabs>
          <w:tab w:val="left" w:pos="1168"/>
        </w:tabs>
        <w:jc w:val="both"/>
        <w:rPr>
          <w:rFonts w:eastAsia="Times New Roman" w:cs="Times New Roman"/>
          <w:i/>
          <w:sz w:val="20"/>
          <w:szCs w:val="20"/>
          <w:lang w:val="fr-CA" w:eastAsia="en-CA"/>
        </w:rPr>
      </w:pPr>
      <w:r w:rsidRPr="000743E2">
        <w:rPr>
          <w:rFonts w:eastAsia="Times New Roman" w:cs="Times New Roman"/>
          <w:i/>
          <w:sz w:val="20"/>
          <w:szCs w:val="20"/>
          <w:lang w:val="fr-CA" w:eastAsia="en-CA"/>
        </w:rPr>
        <w:tab/>
        <w:t>Procureure de l’intervenante : Procureure générale du Québec, Québec.</w:t>
      </w:r>
    </w:p>
    <w:p w:rsidR="000743E2" w:rsidRPr="009849E0" w:rsidRDefault="000743E2" w:rsidP="000743E2">
      <w:pPr>
        <w:rPr>
          <w:rFonts w:cs="Times New Roman"/>
          <w:sz w:val="20"/>
          <w:szCs w:val="20"/>
          <w:lang w:val="fr-CA"/>
        </w:rPr>
      </w:pPr>
    </w:p>
    <w:p w:rsidR="000743E2" w:rsidRPr="00EA63C5" w:rsidRDefault="007F6DC5" w:rsidP="005C6840">
      <w:pPr>
        <w:rPr>
          <w:rFonts w:cs="Times New Roman"/>
          <w:sz w:val="20"/>
          <w:szCs w:val="20"/>
          <w:lang w:val="fr-CA"/>
        </w:rPr>
      </w:pPr>
      <w:r>
        <w:rPr>
          <w:rFonts w:cs="Times New Roman"/>
          <w:sz w:val="20"/>
          <w:szCs w:val="20"/>
          <w:lang w:val="fr-CA"/>
        </w:rPr>
        <w:pict>
          <v:rect id="_x0000_i1091" style="width:144.3pt;height:1pt" o:hrpct="300" o:hralign="center" o:hrstd="t" o:hrnoshade="t" o:hr="t" fillcolor="black [3213]" stroked="f"/>
        </w:pict>
      </w:r>
    </w:p>
    <w:p w:rsidR="000743E2" w:rsidRPr="00EA63C5" w:rsidRDefault="000743E2" w:rsidP="005C6840">
      <w:pPr>
        <w:rPr>
          <w:rFonts w:cs="Times New Roman"/>
          <w:sz w:val="20"/>
          <w:szCs w:val="20"/>
          <w:lang w:val="fr-CA"/>
        </w:rPr>
      </w:pPr>
    </w:p>
    <w:p w:rsidR="000743E2" w:rsidRPr="00EA63C5" w:rsidRDefault="000743E2" w:rsidP="005C6840">
      <w:pPr>
        <w:rPr>
          <w:rFonts w:cs="Times New Roman"/>
          <w:sz w:val="20"/>
          <w:szCs w:val="20"/>
          <w:lang w:val="fr-CA"/>
        </w:rPr>
      </w:pPr>
    </w:p>
    <w:p w:rsidR="005C6840" w:rsidRPr="00EA63C5" w:rsidRDefault="005C6840" w:rsidP="005C6840">
      <w:pPr>
        <w:rPr>
          <w:lang w:val="fr-CA"/>
        </w:rPr>
      </w:pPr>
      <w:r w:rsidRPr="00EA63C5">
        <w:rPr>
          <w:lang w:val="fr-CA"/>
        </w:rPr>
        <w:br w:type="page"/>
      </w:r>
    </w:p>
    <w:p w:rsidR="0052229C" w:rsidRPr="00EA63C5" w:rsidRDefault="00775843" w:rsidP="0052229C">
      <w:pPr>
        <w:ind w:left="720" w:hanging="720"/>
        <w:rPr>
          <w:rFonts w:eastAsia="Calibri"/>
          <w:b/>
          <w:sz w:val="20"/>
          <w:szCs w:val="20"/>
        </w:rPr>
      </w:pPr>
      <w:r w:rsidRPr="00EA63C5">
        <w:rPr>
          <w:i/>
          <w:sz w:val="20"/>
          <w:szCs w:val="20"/>
        </w:rPr>
        <w:lastRenderedPageBreak/>
        <w:t>Matthew John Anthony-Cook v. Her Majesty the Queen</w:t>
      </w:r>
      <w:r w:rsidRPr="00EA63C5">
        <w:rPr>
          <w:sz w:val="20"/>
          <w:szCs w:val="20"/>
        </w:rPr>
        <w:t xml:space="preserve"> (B</w:t>
      </w:r>
      <w:r w:rsidR="0052229C" w:rsidRPr="00EA63C5">
        <w:rPr>
          <w:sz w:val="20"/>
          <w:szCs w:val="20"/>
        </w:rPr>
        <w:t>.</w:t>
      </w:r>
      <w:r w:rsidRPr="00EA63C5">
        <w:rPr>
          <w:sz w:val="20"/>
          <w:szCs w:val="20"/>
        </w:rPr>
        <w:t>C</w:t>
      </w:r>
      <w:r w:rsidR="0052229C" w:rsidRPr="00EA63C5">
        <w:rPr>
          <w:sz w:val="20"/>
          <w:szCs w:val="20"/>
        </w:rPr>
        <w:t>.) (</w:t>
      </w:r>
      <w:hyperlink r:id="rId78" w:history="1">
        <w:r w:rsidR="0052229C" w:rsidRPr="00EA63C5">
          <w:rPr>
            <w:rStyle w:val="Hyperlink"/>
            <w:sz w:val="20"/>
            <w:szCs w:val="20"/>
          </w:rPr>
          <w:t>3</w:t>
        </w:r>
        <w:r w:rsidRPr="00EA63C5">
          <w:rPr>
            <w:rStyle w:val="Hyperlink"/>
            <w:sz w:val="20"/>
            <w:szCs w:val="20"/>
          </w:rPr>
          <w:t>6</w:t>
        </w:r>
        <w:r w:rsidR="0052229C" w:rsidRPr="00EA63C5">
          <w:rPr>
            <w:rStyle w:val="Hyperlink"/>
            <w:sz w:val="20"/>
            <w:szCs w:val="20"/>
          </w:rPr>
          <w:t>41</w:t>
        </w:r>
        <w:r w:rsidRPr="00EA63C5">
          <w:rPr>
            <w:rStyle w:val="Hyperlink"/>
            <w:sz w:val="20"/>
            <w:szCs w:val="20"/>
          </w:rPr>
          <w:t>0</w:t>
        </w:r>
      </w:hyperlink>
      <w:r w:rsidR="0052229C" w:rsidRPr="00EA63C5">
        <w:rPr>
          <w:sz w:val="20"/>
          <w:szCs w:val="20"/>
        </w:rPr>
        <w:t>)</w:t>
      </w:r>
    </w:p>
    <w:p w:rsidR="0052229C" w:rsidRPr="00EA63C5" w:rsidRDefault="0052229C" w:rsidP="0052229C">
      <w:pPr>
        <w:jc w:val="both"/>
        <w:rPr>
          <w:b/>
          <w:sz w:val="20"/>
          <w:szCs w:val="20"/>
        </w:rPr>
      </w:pPr>
      <w:r w:rsidRPr="00EA63C5">
        <w:rPr>
          <w:b/>
          <w:sz w:val="20"/>
          <w:szCs w:val="20"/>
        </w:rPr>
        <w:t xml:space="preserve">Indexed as:  R. </w:t>
      </w:r>
      <w:r w:rsidRPr="00EA63C5">
        <w:rPr>
          <w:b/>
          <w:i/>
          <w:sz w:val="20"/>
          <w:szCs w:val="20"/>
        </w:rPr>
        <w:t xml:space="preserve">v. </w:t>
      </w:r>
      <w:r w:rsidR="00775843" w:rsidRPr="00EA63C5">
        <w:rPr>
          <w:rStyle w:val="SCCAppellantForIndexChar"/>
          <w:rFonts w:eastAsiaTheme="minorHAnsi"/>
          <w:sz w:val="20"/>
          <w:lang w:val="en-CA"/>
        </w:rPr>
        <w:t>Anthony-Cook</w:t>
      </w:r>
      <w:r w:rsidRPr="00EA63C5">
        <w:rPr>
          <w:rStyle w:val="SCCAppellantForIndexChar"/>
          <w:rFonts w:eastAsiaTheme="minorHAnsi"/>
          <w:sz w:val="20"/>
          <w:lang w:val="en-CA"/>
        </w:rPr>
        <w:t xml:space="preserve"> / </w:t>
      </w:r>
      <w:proofErr w:type="spellStart"/>
      <w:proofErr w:type="gramStart"/>
      <w:r w:rsidRPr="00EA63C5">
        <w:rPr>
          <w:b/>
          <w:sz w:val="20"/>
          <w:szCs w:val="20"/>
        </w:rPr>
        <w:t>Répertorié</w:t>
      </w:r>
      <w:proofErr w:type="spellEnd"/>
      <w:r w:rsidRPr="00EA63C5">
        <w:rPr>
          <w:b/>
          <w:sz w:val="20"/>
          <w:szCs w:val="20"/>
        </w:rPr>
        <w:t> :</w:t>
      </w:r>
      <w:proofErr w:type="gramEnd"/>
      <w:r w:rsidRPr="00EA63C5">
        <w:rPr>
          <w:b/>
          <w:sz w:val="20"/>
          <w:szCs w:val="20"/>
        </w:rPr>
        <w:t xml:space="preserve"> R. </w:t>
      </w:r>
      <w:r w:rsidRPr="00EA63C5">
        <w:rPr>
          <w:b/>
          <w:i/>
          <w:sz w:val="20"/>
          <w:szCs w:val="20"/>
        </w:rPr>
        <w:t xml:space="preserve">c. </w:t>
      </w:r>
      <w:r w:rsidR="00775843" w:rsidRPr="00EA63C5">
        <w:rPr>
          <w:rStyle w:val="SCCAppellantForIndexChar"/>
          <w:rFonts w:eastAsiaTheme="minorHAnsi"/>
          <w:sz w:val="20"/>
          <w:lang w:val="en-CA"/>
        </w:rPr>
        <w:t>Anthony-Cook</w:t>
      </w:r>
    </w:p>
    <w:p w:rsidR="0052229C" w:rsidRPr="00EA63C5" w:rsidRDefault="0052229C" w:rsidP="0052229C">
      <w:pPr>
        <w:pStyle w:val="SCCSystemYear"/>
        <w:jc w:val="both"/>
        <w:rPr>
          <w:sz w:val="20"/>
        </w:rPr>
      </w:pPr>
      <w:proofErr w:type="spellStart"/>
      <w:r w:rsidRPr="00EA63C5">
        <w:rPr>
          <w:sz w:val="20"/>
        </w:rPr>
        <w:t>Neutral</w:t>
      </w:r>
      <w:proofErr w:type="spellEnd"/>
      <w:r w:rsidRPr="00EA63C5">
        <w:rPr>
          <w:sz w:val="20"/>
        </w:rPr>
        <w:t xml:space="preserve"> citation</w:t>
      </w:r>
      <w:proofErr w:type="gramStart"/>
      <w:r w:rsidRPr="00EA63C5">
        <w:rPr>
          <w:sz w:val="20"/>
        </w:rPr>
        <w:t xml:space="preserve">:  </w:t>
      </w:r>
      <w:r w:rsidR="0030050B" w:rsidRPr="00EA63C5">
        <w:rPr>
          <w:sz w:val="20"/>
        </w:rPr>
        <w:t>2016</w:t>
      </w:r>
      <w:proofErr w:type="gramEnd"/>
      <w:r w:rsidRPr="00EA63C5">
        <w:rPr>
          <w:sz w:val="20"/>
        </w:rPr>
        <w:t xml:space="preserve"> SCC </w:t>
      </w:r>
      <w:r w:rsidR="00775843" w:rsidRPr="00EA63C5">
        <w:rPr>
          <w:sz w:val="20"/>
        </w:rPr>
        <w:t>43</w:t>
      </w:r>
      <w:r w:rsidRPr="00EA63C5">
        <w:rPr>
          <w:sz w:val="20"/>
        </w:rPr>
        <w:t xml:space="preserve"> / Référence neutre : </w:t>
      </w:r>
      <w:r w:rsidR="0030050B" w:rsidRPr="00EA63C5">
        <w:rPr>
          <w:sz w:val="20"/>
        </w:rPr>
        <w:t>2016</w:t>
      </w:r>
      <w:r w:rsidRPr="00EA63C5">
        <w:rPr>
          <w:sz w:val="20"/>
        </w:rPr>
        <w:t xml:space="preserve"> CSC </w:t>
      </w:r>
      <w:r w:rsidR="00775843" w:rsidRPr="00EA63C5">
        <w:rPr>
          <w:sz w:val="20"/>
        </w:rPr>
        <w:t>4</w:t>
      </w:r>
      <w:r w:rsidRPr="00EA63C5">
        <w:rPr>
          <w:sz w:val="20"/>
        </w:rPr>
        <w:t>3</w:t>
      </w:r>
    </w:p>
    <w:p w:rsidR="0052229C" w:rsidRPr="00EA63C5" w:rsidRDefault="0052229C" w:rsidP="0052229C">
      <w:pPr>
        <w:rPr>
          <w:sz w:val="20"/>
          <w:szCs w:val="20"/>
          <w:lang w:val="fr-CA"/>
        </w:rPr>
      </w:pPr>
      <w:proofErr w:type="spellStart"/>
      <w:r w:rsidRPr="00EA63C5">
        <w:rPr>
          <w:sz w:val="20"/>
          <w:szCs w:val="20"/>
          <w:lang w:val="fr-CA"/>
        </w:rPr>
        <w:t>Hearing</w:t>
      </w:r>
      <w:proofErr w:type="spellEnd"/>
      <w:proofErr w:type="gramStart"/>
      <w:r w:rsidRPr="00EA63C5">
        <w:rPr>
          <w:sz w:val="20"/>
          <w:szCs w:val="20"/>
          <w:lang w:val="fr-CA"/>
        </w:rPr>
        <w:t>:  Ma</w:t>
      </w:r>
      <w:r w:rsidR="00775843" w:rsidRPr="00EA63C5">
        <w:rPr>
          <w:sz w:val="20"/>
          <w:szCs w:val="20"/>
          <w:lang w:val="fr-CA"/>
        </w:rPr>
        <w:t>rch</w:t>
      </w:r>
      <w:proofErr w:type="gramEnd"/>
      <w:r w:rsidRPr="00EA63C5">
        <w:rPr>
          <w:sz w:val="20"/>
          <w:szCs w:val="20"/>
          <w:lang w:val="fr-CA"/>
        </w:rPr>
        <w:t xml:space="preserve"> 3</w:t>
      </w:r>
      <w:r w:rsidR="00775843" w:rsidRPr="00EA63C5">
        <w:rPr>
          <w:sz w:val="20"/>
          <w:szCs w:val="20"/>
          <w:lang w:val="fr-CA"/>
        </w:rPr>
        <w:t>1</w:t>
      </w:r>
      <w:r w:rsidRPr="00EA63C5">
        <w:rPr>
          <w:sz w:val="20"/>
          <w:szCs w:val="20"/>
          <w:lang w:val="fr-CA"/>
        </w:rPr>
        <w:t>, 201</w:t>
      </w:r>
      <w:r w:rsidR="00775843" w:rsidRPr="00EA63C5">
        <w:rPr>
          <w:sz w:val="20"/>
          <w:szCs w:val="20"/>
          <w:lang w:val="fr-CA"/>
        </w:rPr>
        <w:t>6</w:t>
      </w:r>
      <w:r w:rsidRPr="00EA63C5">
        <w:rPr>
          <w:sz w:val="20"/>
          <w:szCs w:val="20"/>
          <w:lang w:val="fr-CA"/>
        </w:rPr>
        <w:t xml:space="preserve"> / </w:t>
      </w:r>
      <w:proofErr w:type="spellStart"/>
      <w:r w:rsidRPr="00EA63C5">
        <w:rPr>
          <w:sz w:val="20"/>
          <w:szCs w:val="20"/>
          <w:lang w:val="fr-CA"/>
        </w:rPr>
        <w:t>Judgment</w:t>
      </w:r>
      <w:proofErr w:type="spellEnd"/>
      <w:r w:rsidRPr="00EA63C5">
        <w:rPr>
          <w:sz w:val="20"/>
          <w:szCs w:val="20"/>
          <w:lang w:val="fr-CA"/>
        </w:rPr>
        <w:t xml:space="preserve">:  </w:t>
      </w:r>
      <w:proofErr w:type="spellStart"/>
      <w:r w:rsidR="00775843" w:rsidRPr="00EA63C5">
        <w:rPr>
          <w:sz w:val="20"/>
          <w:szCs w:val="20"/>
          <w:lang w:val="fr-CA"/>
        </w:rPr>
        <w:t>October</w:t>
      </w:r>
      <w:proofErr w:type="spellEnd"/>
      <w:r w:rsidRPr="00EA63C5">
        <w:rPr>
          <w:sz w:val="20"/>
          <w:szCs w:val="20"/>
          <w:lang w:val="fr-CA"/>
        </w:rPr>
        <w:t xml:space="preserve"> </w:t>
      </w:r>
      <w:r w:rsidR="00775843" w:rsidRPr="00EA63C5">
        <w:rPr>
          <w:sz w:val="20"/>
          <w:szCs w:val="20"/>
          <w:lang w:val="fr-CA"/>
        </w:rPr>
        <w:t>2</w:t>
      </w:r>
      <w:r w:rsidRPr="00EA63C5">
        <w:rPr>
          <w:sz w:val="20"/>
          <w:szCs w:val="20"/>
          <w:lang w:val="fr-CA"/>
        </w:rPr>
        <w:t xml:space="preserve">1, </w:t>
      </w:r>
      <w:r w:rsidR="0030050B" w:rsidRPr="00EA63C5">
        <w:rPr>
          <w:sz w:val="20"/>
          <w:szCs w:val="20"/>
          <w:lang w:val="fr-CA"/>
        </w:rPr>
        <w:t>2016</w:t>
      </w:r>
    </w:p>
    <w:p w:rsidR="0052229C" w:rsidRPr="00EA63C5" w:rsidRDefault="0052229C" w:rsidP="0052229C">
      <w:pPr>
        <w:rPr>
          <w:sz w:val="20"/>
          <w:szCs w:val="20"/>
          <w:lang w:val="fr-CA"/>
        </w:rPr>
      </w:pPr>
      <w:r w:rsidRPr="00EA63C5">
        <w:rPr>
          <w:sz w:val="20"/>
          <w:szCs w:val="20"/>
          <w:lang w:val="fr-CA"/>
        </w:rPr>
        <w:t>Audition : Le 3</w:t>
      </w:r>
      <w:r w:rsidR="00775843" w:rsidRPr="00EA63C5">
        <w:rPr>
          <w:sz w:val="20"/>
          <w:szCs w:val="20"/>
          <w:lang w:val="fr-CA"/>
        </w:rPr>
        <w:t>1</w:t>
      </w:r>
      <w:r w:rsidRPr="00EA63C5">
        <w:rPr>
          <w:sz w:val="20"/>
          <w:szCs w:val="20"/>
          <w:lang w:val="fr-CA"/>
        </w:rPr>
        <w:t xml:space="preserve"> ma</w:t>
      </w:r>
      <w:r w:rsidR="00775843" w:rsidRPr="00EA63C5">
        <w:rPr>
          <w:sz w:val="20"/>
          <w:szCs w:val="20"/>
          <w:lang w:val="fr-CA"/>
        </w:rPr>
        <w:t>rs</w:t>
      </w:r>
      <w:r w:rsidRPr="00EA63C5">
        <w:rPr>
          <w:sz w:val="20"/>
          <w:szCs w:val="20"/>
          <w:lang w:val="fr-CA"/>
        </w:rPr>
        <w:t xml:space="preserve"> 201</w:t>
      </w:r>
      <w:r w:rsidR="00775843" w:rsidRPr="00EA63C5">
        <w:rPr>
          <w:sz w:val="20"/>
          <w:szCs w:val="20"/>
          <w:lang w:val="fr-CA"/>
        </w:rPr>
        <w:t>6</w:t>
      </w:r>
      <w:r w:rsidRPr="00EA63C5">
        <w:rPr>
          <w:sz w:val="20"/>
          <w:szCs w:val="20"/>
          <w:lang w:val="fr-CA"/>
        </w:rPr>
        <w:t xml:space="preserve"> / Jugement : Le </w:t>
      </w:r>
      <w:r w:rsidR="00775843" w:rsidRPr="00EA63C5">
        <w:rPr>
          <w:sz w:val="20"/>
          <w:szCs w:val="20"/>
          <w:lang w:val="fr-CA"/>
        </w:rPr>
        <w:t>2</w:t>
      </w:r>
      <w:r w:rsidRPr="00EA63C5">
        <w:rPr>
          <w:sz w:val="20"/>
          <w:szCs w:val="20"/>
          <w:lang w:val="fr-CA"/>
        </w:rPr>
        <w:t xml:space="preserve">1 </w:t>
      </w:r>
      <w:r w:rsidR="00775843" w:rsidRPr="00EA63C5">
        <w:rPr>
          <w:sz w:val="20"/>
          <w:szCs w:val="20"/>
          <w:lang w:val="fr-CA"/>
        </w:rPr>
        <w:t>octobre</w:t>
      </w:r>
      <w:r w:rsidRPr="00EA63C5">
        <w:rPr>
          <w:sz w:val="20"/>
          <w:szCs w:val="20"/>
          <w:lang w:val="fr-CA"/>
        </w:rPr>
        <w:t xml:space="preserve"> </w:t>
      </w:r>
      <w:r w:rsidR="0030050B" w:rsidRPr="00EA63C5">
        <w:rPr>
          <w:sz w:val="20"/>
          <w:szCs w:val="20"/>
          <w:lang w:val="fr-CA"/>
        </w:rPr>
        <w:t>2016</w:t>
      </w:r>
    </w:p>
    <w:p w:rsidR="005C6840" w:rsidRPr="00EA63C5" w:rsidRDefault="007F6DC5" w:rsidP="005C6840">
      <w:pPr>
        <w:rPr>
          <w:sz w:val="20"/>
          <w:szCs w:val="20"/>
          <w:lang w:val="fr-CA"/>
        </w:rPr>
      </w:pPr>
      <w:r>
        <w:rPr>
          <w:i/>
          <w:sz w:val="20"/>
          <w:szCs w:val="20"/>
        </w:rPr>
        <w:pict>
          <v:rect id="_x0000_i1092" style="width:480.95pt;height:1pt" o:hralign="center" o:hrstd="t" o:hrnoshade="t" o:hr="t" fillcolor="black [3213]" stroked="f"/>
        </w:pict>
      </w:r>
    </w:p>
    <w:p w:rsidR="00555D9A" w:rsidRPr="00EA63C5" w:rsidRDefault="00555D9A" w:rsidP="00555D9A">
      <w:pPr>
        <w:rPr>
          <w:rFonts w:cs="Times New Roman"/>
          <w:sz w:val="20"/>
          <w:szCs w:val="20"/>
          <w:lang w:val="fr-CA"/>
        </w:rPr>
      </w:pPr>
    </w:p>
    <w:p w:rsidR="00555D9A" w:rsidRPr="00EA63C5" w:rsidRDefault="00555D9A" w:rsidP="00555D9A">
      <w:pPr>
        <w:jc w:val="both"/>
        <w:rPr>
          <w:sz w:val="20"/>
          <w:szCs w:val="20"/>
        </w:rPr>
      </w:pPr>
      <w:r w:rsidRPr="00EA63C5">
        <w:rPr>
          <w:sz w:val="20"/>
          <w:szCs w:val="20"/>
        </w:rPr>
        <w:t>Present: Abella, Moldaver, Karakatsanis, Wagner, Gascon, Côté and Brown JJ.</w:t>
      </w:r>
    </w:p>
    <w:p w:rsidR="00555D9A" w:rsidRPr="00EA63C5" w:rsidRDefault="00555D9A" w:rsidP="00307922">
      <w:pPr>
        <w:pStyle w:val="SCCNormalDoubleSpacing"/>
        <w:spacing w:line="240" w:lineRule="auto"/>
        <w:rPr>
          <w:i/>
          <w:sz w:val="20"/>
          <w:lang w:val="en-US"/>
        </w:rPr>
      </w:pPr>
    </w:p>
    <w:p w:rsidR="00307922" w:rsidRPr="00EA63C5"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eastAsia="en-CA"/>
        </w:rPr>
        <w:tab/>
        <w:t>Criminal law — Sentencing — Sentencing procedure — Guilty plea — Joint submission on sentence from Crown and defence counsel — Whether trial judge erred in departing from joint submission — Proper legal test trial judges should apply in deciding whether it is appropriate in a particular case to depart from joint submission.</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A</w:t>
      </w:r>
      <w:r w:rsidRPr="00307922">
        <w:rPr>
          <w:rFonts w:eastAsia="Times New Roman" w:cs="Times New Roman"/>
          <w:sz w:val="20"/>
          <w:szCs w:val="20"/>
          <w:lang w:eastAsia="en-CA"/>
        </w:rPr>
        <w:noBreakHyphen/>
        <w:t>C attended a drop</w:t>
      </w:r>
      <w:r w:rsidRPr="00307922">
        <w:rPr>
          <w:rFonts w:eastAsia="Times New Roman" w:cs="Times New Roman"/>
          <w:sz w:val="20"/>
          <w:szCs w:val="20"/>
          <w:lang w:eastAsia="en-CA"/>
        </w:rPr>
        <w:noBreakHyphen/>
        <w:t>in centre which provided assistance to people suffering from mental health and addiction problems. He had a long</w:t>
      </w:r>
      <w:r w:rsidRPr="00307922">
        <w:rPr>
          <w:rFonts w:eastAsia="Times New Roman" w:cs="Times New Roman"/>
          <w:sz w:val="20"/>
          <w:szCs w:val="20"/>
          <w:lang w:eastAsia="en-CA"/>
        </w:rPr>
        <w:noBreakHyphen/>
        <w:t>standing mental health disorder and substance abuse issues. On February 9, 2013, A</w:t>
      </w:r>
      <w:r w:rsidRPr="00307922">
        <w:rPr>
          <w:rFonts w:eastAsia="Times New Roman" w:cs="Times New Roman"/>
          <w:sz w:val="20"/>
          <w:szCs w:val="20"/>
          <w:lang w:eastAsia="en-CA"/>
        </w:rPr>
        <w:noBreakHyphen/>
        <w:t>C punched a regular volunteer at the drop</w:t>
      </w:r>
      <w:r w:rsidRPr="00307922">
        <w:rPr>
          <w:rFonts w:eastAsia="Times New Roman" w:cs="Times New Roman"/>
          <w:sz w:val="20"/>
          <w:szCs w:val="20"/>
          <w:lang w:eastAsia="en-CA"/>
        </w:rPr>
        <w:noBreakHyphen/>
        <w:t>in centre, G, who fell, hit his head on the pavement, and died. A</w:t>
      </w:r>
      <w:r w:rsidRPr="00307922">
        <w:rPr>
          <w:rFonts w:eastAsia="Times New Roman" w:cs="Times New Roman"/>
          <w:sz w:val="20"/>
          <w:szCs w:val="20"/>
          <w:lang w:eastAsia="en-CA"/>
        </w:rPr>
        <w:noBreakHyphen/>
        <w:t>C was 28 years old and had a prior criminal record. After his arrest, he was taken to a mental health facility. Following his discharge, A</w:t>
      </w:r>
      <w:r w:rsidRPr="00307922">
        <w:rPr>
          <w:rFonts w:eastAsia="Times New Roman" w:cs="Times New Roman"/>
          <w:sz w:val="20"/>
          <w:szCs w:val="20"/>
          <w:lang w:eastAsia="en-CA"/>
        </w:rPr>
        <w:noBreakHyphen/>
        <w:t>C breached his bail conditions and was held in custody thereafter until his sentencing hearing, a period of approximately 11 months. After several days of trial, A</w:t>
      </w:r>
      <w:r w:rsidRPr="00307922">
        <w:rPr>
          <w:rFonts w:eastAsia="Times New Roman" w:cs="Times New Roman"/>
          <w:sz w:val="20"/>
          <w:szCs w:val="20"/>
          <w:lang w:eastAsia="en-CA"/>
        </w:rPr>
        <w:noBreakHyphen/>
        <w:t>C pleaded guilty to manslaughter for his role in the death of G. The Crown and the defence made a joint submission on sentence, proposing a further 18 months’ in custody with no period of probation to follow. The trial judge applied a “fitness test” to the joint submission and rejected it. He concluded that an appropriate sentence was two years less a day, factoring in deductions for pre</w:t>
      </w:r>
      <w:r w:rsidRPr="00307922">
        <w:rPr>
          <w:rFonts w:eastAsia="Times New Roman" w:cs="Times New Roman"/>
          <w:sz w:val="20"/>
          <w:szCs w:val="20"/>
          <w:lang w:eastAsia="en-CA"/>
        </w:rPr>
        <w:noBreakHyphen/>
        <w:t>sentence custody, and added a three year probation order. The Court of Appeal unanimously dismissed A</w:t>
      </w:r>
      <w:r w:rsidRPr="00307922">
        <w:rPr>
          <w:rFonts w:eastAsia="Times New Roman" w:cs="Times New Roman"/>
          <w:sz w:val="20"/>
          <w:szCs w:val="20"/>
          <w:lang w:eastAsia="en-CA"/>
        </w:rPr>
        <w:noBreakHyphen/>
        <w:t>C’s sentence appeal on the basis that the sentence imposed was fit in the circumstances.</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r>
      <w:r w:rsidRPr="00307922">
        <w:rPr>
          <w:rFonts w:eastAsia="Times New Roman" w:cs="Times New Roman"/>
          <w:i/>
          <w:sz w:val="20"/>
          <w:szCs w:val="20"/>
          <w:lang w:eastAsia="en-CA"/>
        </w:rPr>
        <w:t>Held</w:t>
      </w:r>
      <w:r w:rsidRPr="00307922">
        <w:rPr>
          <w:rFonts w:eastAsia="Times New Roman" w:cs="Times New Roman"/>
          <w:sz w:val="20"/>
          <w:szCs w:val="20"/>
          <w:lang w:eastAsia="en-CA"/>
        </w:rPr>
        <w:t>: The appeal should be allowed and the sentence varied to bring it into conformity with the joint submission.</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Joint submissions on sentence — that is, when Crown and defence counsel agree to recommend a particular sentence to the trial judge, in exchange for the accused entering a plea of guilty — are vitally important to the well</w:t>
      </w:r>
      <w:r w:rsidRPr="00307922">
        <w:rPr>
          <w:rFonts w:eastAsia="Times New Roman" w:cs="Times New Roman"/>
          <w:sz w:val="20"/>
          <w:szCs w:val="20"/>
          <w:lang w:eastAsia="en-CA"/>
        </w:rPr>
        <w:noBreakHyphen/>
        <w:t>being of the criminal justice system, as well as the justice system at large. Generally, such agreements are unexceptional and they are readily approved by trial judges without any difficulty. Occasionally, however, a joint submission may appear to be unduly lenient, or perhaps unduly harsh, and trial judges are not obliged to go along with them (</w:t>
      </w:r>
      <w:r w:rsidRPr="00307922">
        <w:rPr>
          <w:rFonts w:eastAsia="Times New Roman" w:cs="Times New Roman"/>
          <w:i/>
          <w:sz w:val="20"/>
          <w:szCs w:val="20"/>
          <w:lang w:eastAsia="en-CA"/>
        </w:rPr>
        <w:t>Criminal Code</w:t>
      </w:r>
      <w:r w:rsidRPr="00307922">
        <w:rPr>
          <w:rFonts w:eastAsia="Times New Roman" w:cs="Times New Roman"/>
          <w:sz w:val="20"/>
          <w:szCs w:val="20"/>
          <w:lang w:eastAsia="en-CA"/>
        </w:rPr>
        <w:t>, s. 606(1.1</w:t>
      </w:r>
      <w:proofErr w:type="gramStart"/>
      <w:r w:rsidRPr="00307922">
        <w:rPr>
          <w:rFonts w:eastAsia="Times New Roman" w:cs="Times New Roman"/>
          <w:sz w:val="20"/>
          <w:szCs w:val="20"/>
          <w:lang w:eastAsia="en-CA"/>
        </w:rPr>
        <w:t>)(</w:t>
      </w:r>
      <w:proofErr w:type="gramEnd"/>
      <w:r w:rsidRPr="00307922">
        <w:rPr>
          <w:rFonts w:eastAsia="Times New Roman" w:cs="Times New Roman"/>
          <w:sz w:val="20"/>
          <w:szCs w:val="20"/>
          <w:lang w:eastAsia="en-CA"/>
        </w:rPr>
        <w:t xml:space="preserve">b)(iii)). </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 xml:space="preserve">There is a lack of consensus regarding the legal test trial judges should apply in deciding whether it is appropriate in a particular case to depart from a joint submission. </w:t>
      </w:r>
      <w:r w:rsidRPr="00EA63C5">
        <w:rPr>
          <w:rFonts w:eastAsia="Times New Roman" w:cs="Times New Roman"/>
          <w:sz w:val="20"/>
          <w:szCs w:val="20"/>
          <w:lang w:eastAsia="en-CA"/>
        </w:rPr>
        <w:t xml:space="preserve">There are four possible approaches: the fitness test; the demonstrably unfit test; the public interest test; and, the approach that treats the fitness and public interest tests as essentially the same. The public interest test is the proper legal test that </w:t>
      </w:r>
      <w:r w:rsidRPr="00307922">
        <w:rPr>
          <w:rFonts w:eastAsia="Times New Roman" w:cs="Times New Roman"/>
          <w:sz w:val="20"/>
          <w:szCs w:val="20"/>
          <w:lang w:eastAsia="en-CA"/>
        </w:rPr>
        <w:t>trial judges should apply. Under the public interest test, a trial judge should not depart from a joint submission on sentence unless the proposed sentence would bring the administration of justice into disrepute or would otherwise be contrary to the public interest. For joint submissions to be possible, the parties must have a high degree of confidence that they will be accepted.</w:t>
      </w:r>
      <w:r w:rsidRPr="00EA63C5">
        <w:rPr>
          <w:rFonts w:eastAsia="Times New Roman" w:cs="Times New Roman"/>
          <w:sz w:val="20"/>
          <w:szCs w:val="20"/>
          <w:lang w:eastAsia="en-CA"/>
        </w:rPr>
        <w:t xml:space="preserve"> </w:t>
      </w:r>
      <w:r w:rsidRPr="00307922">
        <w:rPr>
          <w:rFonts w:eastAsia="Times New Roman" w:cs="Times New Roman"/>
          <w:sz w:val="20"/>
          <w:szCs w:val="20"/>
          <w:lang w:eastAsia="en-CA"/>
        </w:rPr>
        <w:t xml:space="preserve">The public interest test, by being </w:t>
      </w:r>
      <w:r w:rsidRPr="00EA63C5">
        <w:rPr>
          <w:rFonts w:eastAsia="Times New Roman" w:cs="Times New Roman"/>
          <w:sz w:val="20"/>
          <w:szCs w:val="20"/>
          <w:lang w:eastAsia="en-CA"/>
        </w:rPr>
        <w:t xml:space="preserve">more stringent than the other tests proposed, best reflects the many benefits that joint submissions bring to the criminal justice system and the corresponding need for a high degree of certainty in them. </w:t>
      </w:r>
    </w:p>
    <w:p w:rsidR="00307922" w:rsidRPr="00EA63C5"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 xml:space="preserve">Crown and defence counsel are well placed to arrive at a joint submission that addresses the interests of both the public and the accused. Trial judges should not reject a joint submission lightly. They should only do so where the proposed sentence would be viewed by reasonable and informed persons as a breakdown in the proper functioning of the justice system. A lower threshold than this would cast the efficacy of resolution agreements into too great a degree of uncertainty. </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Where the joint submission is contentious and raises concerns with the trial judge, the following procedures should be followed. First, the trial judge should approach the joint submission on an “as</w:t>
      </w:r>
      <w:r w:rsidRPr="00307922">
        <w:rPr>
          <w:rFonts w:eastAsia="Times New Roman" w:cs="Times New Roman"/>
          <w:sz w:val="20"/>
          <w:szCs w:val="20"/>
          <w:lang w:eastAsia="en-CA"/>
        </w:rPr>
        <w:noBreakHyphen/>
        <w:t xml:space="preserve">is” basis. Second, the public </w:t>
      </w:r>
      <w:r w:rsidRPr="00307922">
        <w:rPr>
          <w:rFonts w:eastAsia="Times New Roman" w:cs="Times New Roman"/>
          <w:sz w:val="20"/>
          <w:szCs w:val="20"/>
          <w:lang w:eastAsia="en-CA"/>
        </w:rPr>
        <w:lastRenderedPageBreak/>
        <w:t>interest test should be applied when a trial judge is considering going above or below the sentence proposed in the joint submission, although different considerations may inform the public interest in each context. Third, the trial judge may inquire about the circumstances leading to the joint submission — and, in particular, any benefits obtained by the Crown or concessions made by the accused. Fourth, the trial judge should notify counsel of any concerns and invite further submissions on those concerns, including the possibility of allowing the accused to withdraw his or her guilty plea. Fifth, if the trial judge’s concerns are not alleviated, the judge may allow the accused to withdraw his or her guilty plea. Finally, if the trial judge remains unsatisfied by counsel’s submissions, he or she should provide clear and cogent reasons for departing from the joint submission.</w:t>
      </w:r>
    </w:p>
    <w:p w:rsidR="00307922" w:rsidRPr="00307922" w:rsidRDefault="00307922" w:rsidP="00307922">
      <w:pPr>
        <w:tabs>
          <w:tab w:val="left" w:pos="1168"/>
        </w:tabs>
        <w:jc w:val="both"/>
        <w:rPr>
          <w:rFonts w:eastAsia="Times New Roman" w:cs="Times New Roman"/>
          <w:sz w:val="20"/>
          <w:szCs w:val="20"/>
          <w:lang w:eastAsia="en-CA"/>
        </w:rPr>
      </w:pPr>
    </w:p>
    <w:p w:rsidR="00307922" w:rsidRPr="00307922"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In the present case, the trial judge applied the fitness test, a less stringent test than he should have applied, and in doing so, he erred in principle. In view of the trial judge’s error, deference is not owed. Applying the proper legal test — the public interest test — the sentence proposed by the parties did not, in the circumstances, warrant a departure from the joint submission. Indeed, it was close to the range of sentence identified by the trial judge. Moreover, A</w:t>
      </w:r>
      <w:r w:rsidRPr="00307922">
        <w:rPr>
          <w:rFonts w:eastAsia="Times New Roman" w:cs="Times New Roman"/>
          <w:sz w:val="20"/>
          <w:szCs w:val="20"/>
          <w:lang w:eastAsia="en-CA"/>
        </w:rPr>
        <w:noBreakHyphen/>
        <w:t>C gave up his right to a trial and any self</w:t>
      </w:r>
      <w:r w:rsidRPr="00307922">
        <w:rPr>
          <w:rFonts w:eastAsia="Times New Roman" w:cs="Times New Roman"/>
          <w:sz w:val="20"/>
          <w:szCs w:val="20"/>
          <w:lang w:eastAsia="en-CA"/>
        </w:rPr>
        <w:noBreakHyphen/>
        <w:t xml:space="preserve">defence argument he may have had. In the end, the trial judge’s deviation from the recommended custodial sentence — by only six months — amounts to little more than tinkering. In addition, the probation order should not have been made. Counsel’s view that the probation order was duplicative and therefore unnecessary to protect the public was reasonable in the circumstances. </w:t>
      </w:r>
    </w:p>
    <w:p w:rsidR="00555D9A" w:rsidRPr="00EA63C5" w:rsidRDefault="00555D9A" w:rsidP="00307922">
      <w:pPr>
        <w:pStyle w:val="SCCNormalDoubleSpacing"/>
        <w:spacing w:line="240" w:lineRule="auto"/>
        <w:rPr>
          <w:sz w:val="20"/>
        </w:rPr>
      </w:pPr>
    </w:p>
    <w:p w:rsidR="00307922" w:rsidRPr="00EA63C5" w:rsidRDefault="00307922" w:rsidP="00307922">
      <w:pPr>
        <w:tabs>
          <w:tab w:val="left" w:pos="1168"/>
        </w:tabs>
        <w:jc w:val="both"/>
        <w:rPr>
          <w:rFonts w:eastAsia="Times New Roman" w:cs="Times New Roman"/>
          <w:sz w:val="20"/>
          <w:szCs w:val="20"/>
          <w:lang w:eastAsia="en-CA"/>
        </w:rPr>
      </w:pPr>
      <w:r w:rsidRPr="00307922">
        <w:rPr>
          <w:rFonts w:eastAsia="Times New Roman" w:cs="Times New Roman"/>
          <w:sz w:val="20"/>
          <w:szCs w:val="20"/>
          <w:lang w:eastAsia="en-CA"/>
        </w:rPr>
        <w:tab/>
        <w:t xml:space="preserve">APPEAL from a judgment of the British Columbia Court of Appeal (Neilson, Bennett and Garson JJ.A.), 2015 BCCA 22, 367 B.C.A.C. 96, 631 W.A.C. 96, [2015] B.C.J. No. 63 (QL), 2015 </w:t>
      </w:r>
      <w:proofErr w:type="spellStart"/>
      <w:r w:rsidRPr="00307922">
        <w:rPr>
          <w:rFonts w:eastAsia="Times New Roman" w:cs="Times New Roman"/>
          <w:sz w:val="20"/>
          <w:szCs w:val="20"/>
          <w:lang w:eastAsia="en-CA"/>
        </w:rPr>
        <w:t>CarswellBC</w:t>
      </w:r>
      <w:proofErr w:type="spellEnd"/>
      <w:r w:rsidRPr="00307922">
        <w:rPr>
          <w:rFonts w:eastAsia="Times New Roman" w:cs="Times New Roman"/>
          <w:sz w:val="20"/>
          <w:szCs w:val="20"/>
          <w:lang w:eastAsia="en-CA"/>
        </w:rPr>
        <w:t xml:space="preserve"> 79 (WL Can.), affirming a sentencing decision of </w:t>
      </w:r>
      <w:proofErr w:type="spellStart"/>
      <w:r w:rsidRPr="00307922">
        <w:rPr>
          <w:rFonts w:eastAsia="Times New Roman" w:cs="Times New Roman"/>
          <w:sz w:val="20"/>
          <w:szCs w:val="20"/>
          <w:lang w:eastAsia="en-CA"/>
        </w:rPr>
        <w:t>Ehrcke</w:t>
      </w:r>
      <w:proofErr w:type="spellEnd"/>
      <w:r w:rsidRPr="00307922">
        <w:rPr>
          <w:rFonts w:eastAsia="Times New Roman" w:cs="Times New Roman"/>
          <w:sz w:val="20"/>
          <w:szCs w:val="20"/>
          <w:lang w:eastAsia="en-CA"/>
        </w:rPr>
        <w:t xml:space="preserve"> J., 2014 BCSC 1503, [2014] B.C.J. No. 2055 (QL), 2014 </w:t>
      </w:r>
      <w:proofErr w:type="spellStart"/>
      <w:r w:rsidRPr="00307922">
        <w:rPr>
          <w:rFonts w:eastAsia="Times New Roman" w:cs="Times New Roman"/>
          <w:sz w:val="20"/>
          <w:szCs w:val="20"/>
          <w:lang w:eastAsia="en-CA"/>
        </w:rPr>
        <w:t>CarswellBC</w:t>
      </w:r>
      <w:proofErr w:type="spellEnd"/>
      <w:r w:rsidRPr="00307922">
        <w:rPr>
          <w:rFonts w:eastAsia="Times New Roman" w:cs="Times New Roman"/>
          <w:sz w:val="20"/>
          <w:szCs w:val="20"/>
          <w:lang w:eastAsia="en-CA"/>
        </w:rPr>
        <w:t xml:space="preserve"> 2353 (WL Can.). Appeal allowed.</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EA63C5">
        <w:rPr>
          <w:rFonts w:eastAsia="Times New Roman" w:cs="Times New Roman"/>
          <w:sz w:val="20"/>
          <w:szCs w:val="20"/>
          <w:lang w:eastAsia="en-CA"/>
        </w:rPr>
        <w:tab/>
      </w:r>
      <w:r w:rsidRPr="00EA63C5">
        <w:rPr>
          <w:rFonts w:eastAsia="Times New Roman" w:cs="Times New Roman"/>
          <w:i/>
          <w:sz w:val="20"/>
          <w:szCs w:val="20"/>
          <w:lang w:eastAsia="en-CA"/>
        </w:rPr>
        <w:t>Micah B. Rankin</w:t>
      </w:r>
      <w:r w:rsidRPr="00EA63C5">
        <w:rPr>
          <w:rFonts w:eastAsia="Times New Roman" w:cs="Times New Roman"/>
          <w:sz w:val="20"/>
          <w:szCs w:val="20"/>
          <w:lang w:eastAsia="en-CA"/>
        </w:rPr>
        <w:t xml:space="preserve">, </w:t>
      </w:r>
      <w:r w:rsidRPr="00EA63C5">
        <w:rPr>
          <w:rFonts w:eastAsia="Times New Roman" w:cs="Times New Roman"/>
          <w:i/>
          <w:sz w:val="20"/>
          <w:szCs w:val="20"/>
          <w:lang w:eastAsia="en-CA"/>
        </w:rPr>
        <w:t xml:space="preserve">Michael </w:t>
      </w:r>
      <w:proofErr w:type="spellStart"/>
      <w:r w:rsidRPr="00EA63C5">
        <w:rPr>
          <w:rFonts w:eastAsia="Times New Roman" w:cs="Times New Roman"/>
          <w:i/>
          <w:sz w:val="20"/>
          <w:szCs w:val="20"/>
          <w:lang w:eastAsia="en-CA"/>
        </w:rPr>
        <w:t>Sobkin</w:t>
      </w:r>
      <w:proofErr w:type="spellEnd"/>
      <w:r w:rsidRPr="00EA63C5">
        <w:rPr>
          <w:rFonts w:eastAsia="Times New Roman" w:cs="Times New Roman"/>
          <w:sz w:val="20"/>
          <w:szCs w:val="20"/>
          <w:lang w:eastAsia="en-CA"/>
        </w:rPr>
        <w:t xml:space="preserve"> and </w:t>
      </w:r>
      <w:r w:rsidRPr="00EA63C5">
        <w:rPr>
          <w:rFonts w:eastAsia="Times New Roman" w:cs="Times New Roman"/>
          <w:i/>
          <w:sz w:val="20"/>
          <w:szCs w:val="20"/>
          <w:lang w:eastAsia="en-CA"/>
        </w:rPr>
        <w:t>Jeremy G. Jensen</w:t>
      </w:r>
      <w:r w:rsidRPr="00EA63C5">
        <w:rPr>
          <w:rFonts w:eastAsia="Times New Roman" w:cs="Times New Roman"/>
          <w:sz w:val="20"/>
          <w:szCs w:val="20"/>
          <w:lang w:eastAsia="en-CA"/>
        </w:rPr>
        <w:t>, for the appellant.</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EA63C5">
        <w:rPr>
          <w:rFonts w:eastAsia="Times New Roman" w:cs="Times New Roman"/>
          <w:sz w:val="20"/>
          <w:szCs w:val="20"/>
          <w:lang w:eastAsia="en-CA"/>
        </w:rPr>
        <w:tab/>
      </w:r>
      <w:r w:rsidRPr="00EA63C5">
        <w:rPr>
          <w:rFonts w:eastAsia="Times New Roman" w:cs="Times New Roman"/>
          <w:i/>
          <w:sz w:val="20"/>
          <w:szCs w:val="20"/>
          <w:lang w:eastAsia="en-CA"/>
        </w:rPr>
        <w:t>Mary T. Ainslie</w:t>
      </w:r>
      <w:r w:rsidRPr="00EA63C5">
        <w:rPr>
          <w:rFonts w:eastAsia="Times New Roman" w:cs="Times New Roman"/>
          <w:sz w:val="20"/>
          <w:szCs w:val="20"/>
          <w:lang w:eastAsia="en-CA"/>
        </w:rPr>
        <w:t xml:space="preserve">, </w:t>
      </w:r>
      <w:r w:rsidRPr="00EA63C5">
        <w:rPr>
          <w:rFonts w:eastAsia="Times New Roman" w:cs="Times New Roman"/>
          <w:i/>
          <w:sz w:val="20"/>
          <w:szCs w:val="20"/>
          <w:lang w:eastAsia="en-CA"/>
        </w:rPr>
        <w:t>Q.C.</w:t>
      </w:r>
      <w:r w:rsidRPr="00EA63C5">
        <w:rPr>
          <w:rFonts w:eastAsia="Times New Roman" w:cs="Times New Roman"/>
          <w:sz w:val="20"/>
          <w:szCs w:val="20"/>
          <w:lang w:eastAsia="en-CA"/>
        </w:rPr>
        <w:t xml:space="preserve">, and </w:t>
      </w:r>
      <w:r w:rsidRPr="00EA63C5">
        <w:rPr>
          <w:rFonts w:eastAsia="Times New Roman" w:cs="Times New Roman"/>
          <w:i/>
          <w:sz w:val="20"/>
          <w:szCs w:val="20"/>
          <w:lang w:eastAsia="en-CA"/>
        </w:rPr>
        <w:t>Megan A. Street</w:t>
      </w:r>
      <w:r w:rsidRPr="00EA63C5">
        <w:rPr>
          <w:rFonts w:eastAsia="Times New Roman" w:cs="Times New Roman"/>
          <w:sz w:val="20"/>
          <w:szCs w:val="20"/>
          <w:lang w:eastAsia="en-CA"/>
        </w:rPr>
        <w:t>, for the respondent.</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EA63C5">
        <w:rPr>
          <w:rFonts w:eastAsia="Times New Roman" w:cs="Times New Roman"/>
          <w:sz w:val="20"/>
          <w:szCs w:val="20"/>
          <w:lang w:eastAsia="en-CA"/>
        </w:rPr>
        <w:tab/>
      </w:r>
      <w:r w:rsidRPr="00EA63C5">
        <w:rPr>
          <w:rFonts w:eastAsia="Times New Roman" w:cs="Times New Roman"/>
          <w:i/>
          <w:sz w:val="20"/>
          <w:szCs w:val="20"/>
          <w:lang w:eastAsia="en-CA"/>
        </w:rPr>
        <w:t xml:space="preserve">David W. </w:t>
      </w:r>
      <w:proofErr w:type="spellStart"/>
      <w:r w:rsidRPr="00EA63C5">
        <w:rPr>
          <w:rFonts w:eastAsia="Times New Roman" w:cs="Times New Roman"/>
          <w:i/>
          <w:sz w:val="20"/>
          <w:szCs w:val="20"/>
          <w:lang w:eastAsia="en-CA"/>
        </w:rPr>
        <w:t>Schermbrucker</w:t>
      </w:r>
      <w:proofErr w:type="spellEnd"/>
      <w:r w:rsidRPr="00EA63C5">
        <w:rPr>
          <w:rFonts w:eastAsia="Times New Roman" w:cs="Times New Roman"/>
          <w:sz w:val="20"/>
          <w:szCs w:val="20"/>
          <w:lang w:eastAsia="en-CA"/>
        </w:rPr>
        <w:t xml:space="preserve"> and </w:t>
      </w:r>
      <w:r w:rsidRPr="00EA63C5">
        <w:rPr>
          <w:rFonts w:eastAsia="Times New Roman" w:cs="Times New Roman"/>
          <w:i/>
          <w:sz w:val="20"/>
          <w:szCs w:val="20"/>
          <w:lang w:eastAsia="en-CA"/>
        </w:rPr>
        <w:t>Monica McQueen</w:t>
      </w:r>
      <w:r w:rsidRPr="00EA63C5">
        <w:rPr>
          <w:rFonts w:eastAsia="Times New Roman" w:cs="Times New Roman"/>
          <w:sz w:val="20"/>
          <w:szCs w:val="20"/>
          <w:lang w:eastAsia="en-CA"/>
        </w:rPr>
        <w:t>, for the intervener the Director of Public Prosecutions of Canada.</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EA63C5">
        <w:rPr>
          <w:rFonts w:eastAsia="Times New Roman" w:cs="Times New Roman"/>
          <w:sz w:val="20"/>
          <w:szCs w:val="20"/>
          <w:lang w:eastAsia="en-CA"/>
        </w:rPr>
        <w:tab/>
      </w:r>
      <w:r w:rsidRPr="00EA63C5">
        <w:rPr>
          <w:rFonts w:eastAsia="Times New Roman" w:cs="Times New Roman"/>
          <w:i/>
          <w:sz w:val="20"/>
          <w:szCs w:val="20"/>
          <w:lang w:eastAsia="en-CA"/>
        </w:rPr>
        <w:t xml:space="preserve">Elise </w:t>
      </w:r>
      <w:proofErr w:type="spellStart"/>
      <w:r w:rsidRPr="00EA63C5">
        <w:rPr>
          <w:rFonts w:eastAsia="Times New Roman" w:cs="Times New Roman"/>
          <w:i/>
          <w:sz w:val="20"/>
          <w:szCs w:val="20"/>
          <w:lang w:eastAsia="en-CA"/>
        </w:rPr>
        <w:t>Nakelsky</w:t>
      </w:r>
      <w:proofErr w:type="spellEnd"/>
      <w:r w:rsidRPr="00EA63C5">
        <w:rPr>
          <w:rFonts w:eastAsia="Times New Roman" w:cs="Times New Roman"/>
          <w:sz w:val="20"/>
          <w:szCs w:val="20"/>
          <w:lang w:eastAsia="en-CA"/>
        </w:rPr>
        <w:t>, for the intervener the Attorney General of Ontario.</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eastAsia="en-CA"/>
        </w:rPr>
      </w:pPr>
      <w:r w:rsidRPr="00EA63C5">
        <w:rPr>
          <w:rFonts w:eastAsia="Times New Roman" w:cs="Times New Roman"/>
          <w:sz w:val="20"/>
          <w:szCs w:val="20"/>
          <w:lang w:eastAsia="en-CA"/>
        </w:rPr>
        <w:tab/>
      </w:r>
      <w:r w:rsidRPr="00EA63C5">
        <w:rPr>
          <w:rFonts w:eastAsia="Times New Roman" w:cs="Times New Roman"/>
          <w:i/>
          <w:sz w:val="20"/>
          <w:szCs w:val="20"/>
          <w:lang w:eastAsia="en-CA"/>
        </w:rPr>
        <w:t>Joseph Di Luca</w:t>
      </w:r>
      <w:r w:rsidRPr="00EA63C5">
        <w:rPr>
          <w:rFonts w:eastAsia="Times New Roman" w:cs="Times New Roman"/>
          <w:sz w:val="20"/>
          <w:szCs w:val="20"/>
          <w:lang w:eastAsia="en-CA"/>
        </w:rPr>
        <w:t xml:space="preserve"> and </w:t>
      </w:r>
      <w:r w:rsidRPr="00EA63C5">
        <w:rPr>
          <w:rFonts w:eastAsia="Times New Roman" w:cs="Times New Roman"/>
          <w:i/>
          <w:sz w:val="20"/>
          <w:szCs w:val="20"/>
          <w:lang w:eastAsia="en-CA"/>
        </w:rPr>
        <w:t>Erin Dann</w:t>
      </w:r>
      <w:r w:rsidRPr="00EA63C5">
        <w:rPr>
          <w:rFonts w:eastAsia="Times New Roman" w:cs="Times New Roman"/>
          <w:sz w:val="20"/>
          <w:szCs w:val="20"/>
          <w:lang w:eastAsia="en-CA"/>
        </w:rPr>
        <w:t>, for the intervener the Criminal Lawyers’ Association (Ontario).</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eastAsia="en-CA"/>
        </w:rPr>
        <w:tab/>
      </w:r>
      <w:r w:rsidRPr="00EA63C5">
        <w:rPr>
          <w:rFonts w:eastAsia="Times New Roman" w:cs="Times New Roman"/>
          <w:i/>
          <w:sz w:val="20"/>
          <w:szCs w:val="20"/>
          <w:lang w:val="fr-CA" w:eastAsia="en-CA"/>
        </w:rPr>
        <w:t>Nicholas St</w:t>
      </w:r>
      <w:r w:rsidRPr="00EA63C5">
        <w:rPr>
          <w:rFonts w:eastAsia="Times New Roman" w:cs="Times New Roman"/>
          <w:i/>
          <w:sz w:val="20"/>
          <w:szCs w:val="20"/>
          <w:lang w:val="fr-CA" w:eastAsia="en-CA"/>
        </w:rPr>
        <w:noBreakHyphen/>
        <w:t>Jacques</w:t>
      </w:r>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 xml:space="preserve">Lida Sara </w:t>
      </w:r>
      <w:proofErr w:type="spellStart"/>
      <w:r w:rsidRPr="00EA63C5">
        <w:rPr>
          <w:rFonts w:eastAsia="Times New Roman" w:cs="Times New Roman"/>
          <w:i/>
          <w:sz w:val="20"/>
          <w:szCs w:val="20"/>
          <w:lang w:val="fr-CA" w:eastAsia="en-CA"/>
        </w:rPr>
        <w:t>Nouraie</w:t>
      </w:r>
      <w:proofErr w:type="spellEnd"/>
      <w:r w:rsidRPr="00EA63C5">
        <w:rPr>
          <w:rFonts w:eastAsia="Times New Roman" w:cs="Times New Roman"/>
          <w:sz w:val="20"/>
          <w:szCs w:val="20"/>
          <w:lang w:val="fr-CA" w:eastAsia="en-CA"/>
        </w:rPr>
        <w:t xml:space="preserve"> and </w:t>
      </w:r>
      <w:r w:rsidRPr="00EA63C5">
        <w:rPr>
          <w:rFonts w:eastAsia="Times New Roman" w:cs="Times New Roman"/>
          <w:i/>
          <w:sz w:val="20"/>
          <w:szCs w:val="20"/>
          <w:lang w:val="fr-CA" w:eastAsia="en-CA"/>
        </w:rPr>
        <w:t xml:space="preserve">Walid </w:t>
      </w:r>
      <w:proofErr w:type="spellStart"/>
      <w:r w:rsidRPr="00EA63C5">
        <w:rPr>
          <w:rFonts w:eastAsia="Times New Roman" w:cs="Times New Roman"/>
          <w:i/>
          <w:sz w:val="20"/>
          <w:szCs w:val="20"/>
          <w:lang w:val="fr-CA" w:eastAsia="en-CA"/>
        </w:rPr>
        <w:t>Hijazi</w:t>
      </w:r>
      <w:proofErr w:type="spellEnd"/>
      <w:r w:rsidRPr="00EA63C5">
        <w:rPr>
          <w:rFonts w:eastAsia="Times New Roman" w:cs="Times New Roman"/>
          <w:sz w:val="20"/>
          <w:szCs w:val="20"/>
          <w:lang w:val="fr-CA" w:eastAsia="en-CA"/>
        </w:rPr>
        <w:t xml:space="preserve">, for the </w:t>
      </w:r>
      <w:proofErr w:type="spellStart"/>
      <w:r w:rsidRPr="00EA63C5">
        <w:rPr>
          <w:rFonts w:eastAsia="Times New Roman" w:cs="Times New Roman"/>
          <w:sz w:val="20"/>
          <w:szCs w:val="20"/>
          <w:lang w:val="fr-CA" w:eastAsia="en-CA"/>
        </w:rPr>
        <w:t>intervener</w:t>
      </w:r>
      <w:proofErr w:type="spellEnd"/>
      <w:r w:rsidRPr="00EA63C5">
        <w:rPr>
          <w:rFonts w:eastAsia="Times New Roman" w:cs="Times New Roman"/>
          <w:sz w:val="20"/>
          <w:szCs w:val="20"/>
          <w:lang w:val="fr-CA" w:eastAsia="en-CA"/>
        </w:rPr>
        <w:t xml:space="preserve"> Association des avocats de la défense de Montréal.</w:t>
      </w:r>
    </w:p>
    <w:p w:rsidR="00307922" w:rsidRPr="00307922" w:rsidRDefault="00307922" w:rsidP="00307922">
      <w:pPr>
        <w:tabs>
          <w:tab w:val="left" w:pos="1168"/>
        </w:tabs>
        <w:jc w:val="both"/>
        <w:rPr>
          <w:rFonts w:eastAsia="Times New Roman" w:cs="Times New Roman"/>
          <w:sz w:val="20"/>
          <w:szCs w:val="20"/>
          <w:lang w:val="fr-CA" w:eastAsia="en-CA"/>
        </w:rPr>
      </w:pPr>
    </w:p>
    <w:p w:rsidR="00307922" w:rsidRPr="00EA63C5" w:rsidRDefault="00307922" w:rsidP="00307922">
      <w:pPr>
        <w:tabs>
          <w:tab w:val="left" w:pos="1168"/>
        </w:tabs>
        <w:jc w:val="both"/>
        <w:rPr>
          <w:rFonts w:eastAsia="Times New Roman" w:cs="Times New Roman"/>
          <w:sz w:val="20"/>
          <w:szCs w:val="20"/>
          <w:lang w:eastAsia="en-CA"/>
        </w:rPr>
      </w:pPr>
      <w:r w:rsidRPr="00EA63C5">
        <w:rPr>
          <w:rFonts w:eastAsia="Times New Roman" w:cs="Times New Roman"/>
          <w:sz w:val="20"/>
          <w:szCs w:val="20"/>
          <w:lang w:val="fr-CA" w:eastAsia="en-CA"/>
        </w:rPr>
        <w:tab/>
      </w:r>
      <w:r w:rsidRPr="00EA63C5">
        <w:rPr>
          <w:rFonts w:eastAsia="Times New Roman" w:cs="Times New Roman"/>
          <w:i/>
          <w:sz w:val="20"/>
          <w:szCs w:val="20"/>
          <w:lang w:eastAsia="en-CA"/>
        </w:rPr>
        <w:t>Emily Lapper</w:t>
      </w:r>
      <w:r w:rsidRPr="00EA63C5">
        <w:rPr>
          <w:rFonts w:eastAsia="Times New Roman" w:cs="Times New Roman"/>
          <w:sz w:val="20"/>
          <w:szCs w:val="20"/>
          <w:lang w:eastAsia="en-CA"/>
        </w:rPr>
        <w:t xml:space="preserve"> and </w:t>
      </w:r>
      <w:r w:rsidRPr="00EA63C5">
        <w:rPr>
          <w:rFonts w:eastAsia="Times New Roman" w:cs="Times New Roman"/>
          <w:i/>
          <w:sz w:val="20"/>
          <w:szCs w:val="20"/>
          <w:lang w:eastAsia="en-CA"/>
        </w:rPr>
        <w:t>Ryan D. W. Dalziel</w:t>
      </w:r>
      <w:r w:rsidRPr="00EA63C5">
        <w:rPr>
          <w:rFonts w:eastAsia="Times New Roman" w:cs="Times New Roman"/>
          <w:sz w:val="20"/>
          <w:szCs w:val="20"/>
          <w:lang w:eastAsia="en-CA"/>
        </w:rPr>
        <w:t>, for the intervener the British Columbia Civil Liberties Association.</w:t>
      </w:r>
    </w:p>
    <w:p w:rsidR="00307922" w:rsidRPr="00307922" w:rsidRDefault="00307922" w:rsidP="00307922">
      <w:pPr>
        <w:tabs>
          <w:tab w:val="left" w:pos="1168"/>
        </w:tabs>
        <w:jc w:val="both"/>
        <w:rPr>
          <w:rFonts w:eastAsia="Times New Roman" w:cs="Times New Roman"/>
          <w:sz w:val="20"/>
          <w:szCs w:val="20"/>
          <w:lang w:eastAsia="en-CA"/>
        </w:rPr>
      </w:pPr>
    </w:p>
    <w:p w:rsidR="00307922" w:rsidRPr="00EA63C5"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eastAsia="en-CA"/>
        </w:rPr>
        <w:tab/>
        <w:t xml:space="preserve">Solicitors for the appellant: Jensen Law Corporation, Kamloops; Michael </w:t>
      </w:r>
      <w:proofErr w:type="spellStart"/>
      <w:r w:rsidRPr="00307922">
        <w:rPr>
          <w:rFonts w:eastAsia="Times New Roman" w:cs="Times New Roman"/>
          <w:i/>
          <w:sz w:val="20"/>
          <w:szCs w:val="20"/>
          <w:lang w:eastAsia="en-CA"/>
        </w:rPr>
        <w:t>Sobkin</w:t>
      </w:r>
      <w:proofErr w:type="spellEnd"/>
      <w:r w:rsidRPr="00307922">
        <w:rPr>
          <w:rFonts w:eastAsia="Times New Roman" w:cs="Times New Roman"/>
          <w:i/>
          <w:sz w:val="20"/>
          <w:szCs w:val="20"/>
          <w:lang w:eastAsia="en-CA"/>
        </w:rPr>
        <w:t>, Ottawa.</w:t>
      </w:r>
    </w:p>
    <w:p w:rsidR="00307922" w:rsidRPr="00307922" w:rsidRDefault="00307922" w:rsidP="00307922">
      <w:pPr>
        <w:tabs>
          <w:tab w:val="left" w:pos="1168"/>
        </w:tabs>
        <w:jc w:val="both"/>
        <w:rPr>
          <w:rFonts w:eastAsia="Times New Roman" w:cs="Times New Roman"/>
          <w:i/>
          <w:sz w:val="20"/>
          <w:szCs w:val="20"/>
          <w:lang w:eastAsia="en-CA"/>
        </w:rPr>
      </w:pPr>
    </w:p>
    <w:p w:rsidR="00307922" w:rsidRPr="00EA63C5"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eastAsia="en-CA"/>
        </w:rPr>
        <w:tab/>
        <w:t>Solicitor for the respondent: Attorney General of British Columbia, Vancouver.</w:t>
      </w:r>
    </w:p>
    <w:p w:rsidR="00307922" w:rsidRPr="00307922" w:rsidRDefault="00307922" w:rsidP="00307922">
      <w:pPr>
        <w:tabs>
          <w:tab w:val="left" w:pos="1168"/>
        </w:tabs>
        <w:jc w:val="both"/>
        <w:rPr>
          <w:rFonts w:eastAsia="Times New Roman" w:cs="Times New Roman"/>
          <w:i/>
          <w:sz w:val="20"/>
          <w:szCs w:val="20"/>
          <w:lang w:eastAsia="en-CA"/>
        </w:rPr>
      </w:pPr>
    </w:p>
    <w:p w:rsidR="00307922" w:rsidRPr="00EA63C5"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eastAsia="en-CA"/>
        </w:rPr>
        <w:tab/>
        <w:t>Solicitor for the intervener the Director of Public Prosecutions of Canada: Public Prosecution Service of Canada, Halifax.</w:t>
      </w:r>
    </w:p>
    <w:p w:rsidR="00307922" w:rsidRPr="00307922" w:rsidRDefault="00307922" w:rsidP="00307922">
      <w:pPr>
        <w:tabs>
          <w:tab w:val="left" w:pos="1168"/>
        </w:tabs>
        <w:jc w:val="both"/>
        <w:rPr>
          <w:rFonts w:eastAsia="Times New Roman" w:cs="Times New Roman"/>
          <w:i/>
          <w:sz w:val="20"/>
          <w:szCs w:val="20"/>
          <w:lang w:eastAsia="en-CA"/>
        </w:rPr>
      </w:pPr>
    </w:p>
    <w:p w:rsidR="00307922" w:rsidRPr="00EA63C5"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eastAsia="en-CA"/>
        </w:rPr>
        <w:tab/>
        <w:t>Solicitor for the intervener the Attorney General of Ontario: Attorney General of Ontario, Toronto.</w:t>
      </w:r>
    </w:p>
    <w:p w:rsidR="00307922" w:rsidRPr="00307922" w:rsidRDefault="00307922" w:rsidP="00307922">
      <w:pPr>
        <w:tabs>
          <w:tab w:val="left" w:pos="1168"/>
        </w:tabs>
        <w:jc w:val="both"/>
        <w:rPr>
          <w:rFonts w:eastAsia="Times New Roman" w:cs="Times New Roman"/>
          <w:i/>
          <w:sz w:val="20"/>
          <w:szCs w:val="20"/>
          <w:lang w:eastAsia="en-CA"/>
        </w:rPr>
      </w:pPr>
    </w:p>
    <w:p w:rsidR="00307922" w:rsidRPr="00EA63C5"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eastAsia="en-CA"/>
        </w:rPr>
        <w:tab/>
        <w:t>Solicitors for the intervener the Criminal Lawyers’ Association (Ontario): Di Luca Barristers, Toronto.</w:t>
      </w:r>
    </w:p>
    <w:p w:rsidR="00307922" w:rsidRPr="00307922" w:rsidRDefault="00307922" w:rsidP="00307922">
      <w:pPr>
        <w:tabs>
          <w:tab w:val="left" w:pos="1168"/>
        </w:tabs>
        <w:jc w:val="both"/>
        <w:rPr>
          <w:rFonts w:eastAsia="Times New Roman" w:cs="Times New Roman"/>
          <w:i/>
          <w:sz w:val="20"/>
          <w:szCs w:val="20"/>
          <w:lang w:eastAsia="en-CA"/>
        </w:rPr>
      </w:pPr>
    </w:p>
    <w:p w:rsidR="00307922" w:rsidRPr="00EA63C5" w:rsidRDefault="00307922" w:rsidP="00307922">
      <w:pPr>
        <w:tabs>
          <w:tab w:val="left" w:pos="1168"/>
        </w:tabs>
        <w:jc w:val="both"/>
        <w:rPr>
          <w:rFonts w:eastAsia="Times New Roman" w:cs="Times New Roman"/>
          <w:i/>
          <w:sz w:val="20"/>
          <w:szCs w:val="20"/>
          <w:lang w:val="fr-CA" w:eastAsia="en-CA"/>
        </w:rPr>
      </w:pPr>
      <w:r w:rsidRPr="00307922">
        <w:rPr>
          <w:rFonts w:eastAsia="Times New Roman" w:cs="Times New Roman"/>
          <w:i/>
          <w:sz w:val="20"/>
          <w:szCs w:val="20"/>
          <w:lang w:eastAsia="en-CA"/>
        </w:rPr>
        <w:tab/>
      </w:r>
      <w:r w:rsidRPr="00307922">
        <w:rPr>
          <w:rFonts w:eastAsia="Times New Roman" w:cs="Times New Roman"/>
          <w:i/>
          <w:sz w:val="20"/>
          <w:szCs w:val="20"/>
          <w:lang w:val="fr-CA" w:eastAsia="en-CA"/>
        </w:rPr>
        <w:t xml:space="preserve">Solicitors for the </w:t>
      </w:r>
      <w:proofErr w:type="spellStart"/>
      <w:r w:rsidRPr="00307922">
        <w:rPr>
          <w:rFonts w:eastAsia="Times New Roman" w:cs="Times New Roman"/>
          <w:i/>
          <w:sz w:val="20"/>
          <w:szCs w:val="20"/>
          <w:lang w:val="fr-CA" w:eastAsia="en-CA"/>
        </w:rPr>
        <w:t>intervener</w:t>
      </w:r>
      <w:proofErr w:type="spellEnd"/>
      <w:r w:rsidRPr="00307922">
        <w:rPr>
          <w:rFonts w:eastAsia="Times New Roman" w:cs="Times New Roman"/>
          <w:i/>
          <w:sz w:val="20"/>
          <w:szCs w:val="20"/>
          <w:lang w:val="fr-CA" w:eastAsia="en-CA"/>
        </w:rPr>
        <w:t xml:space="preserve"> Association des avocats de la défense de Montréal: Desrosiers, </w:t>
      </w:r>
      <w:proofErr w:type="spellStart"/>
      <w:r w:rsidRPr="00307922">
        <w:rPr>
          <w:rFonts w:eastAsia="Times New Roman" w:cs="Times New Roman"/>
          <w:i/>
          <w:sz w:val="20"/>
          <w:szCs w:val="20"/>
          <w:lang w:val="fr-CA" w:eastAsia="en-CA"/>
        </w:rPr>
        <w:t>Joncas</w:t>
      </w:r>
      <w:proofErr w:type="spellEnd"/>
      <w:r w:rsidRPr="00307922">
        <w:rPr>
          <w:rFonts w:eastAsia="Times New Roman" w:cs="Times New Roman"/>
          <w:i/>
          <w:sz w:val="20"/>
          <w:szCs w:val="20"/>
          <w:lang w:val="fr-CA" w:eastAsia="en-CA"/>
        </w:rPr>
        <w:t xml:space="preserve">, </w:t>
      </w:r>
      <w:proofErr w:type="spellStart"/>
      <w:r w:rsidRPr="00307922">
        <w:rPr>
          <w:rFonts w:eastAsia="Times New Roman" w:cs="Times New Roman"/>
          <w:i/>
          <w:sz w:val="20"/>
          <w:szCs w:val="20"/>
          <w:lang w:val="fr-CA" w:eastAsia="en-CA"/>
        </w:rPr>
        <w:t>Nouraie</w:t>
      </w:r>
      <w:proofErr w:type="spellEnd"/>
      <w:r w:rsidRPr="00307922">
        <w:rPr>
          <w:rFonts w:eastAsia="Times New Roman" w:cs="Times New Roman"/>
          <w:i/>
          <w:sz w:val="20"/>
          <w:szCs w:val="20"/>
          <w:lang w:val="fr-CA" w:eastAsia="en-CA"/>
        </w:rPr>
        <w:t xml:space="preserve">, </w:t>
      </w:r>
      <w:proofErr w:type="spellStart"/>
      <w:r w:rsidRPr="00307922">
        <w:rPr>
          <w:rFonts w:eastAsia="Times New Roman" w:cs="Times New Roman"/>
          <w:i/>
          <w:sz w:val="20"/>
          <w:szCs w:val="20"/>
          <w:lang w:val="fr-CA" w:eastAsia="en-CA"/>
        </w:rPr>
        <w:t>Massicotte</w:t>
      </w:r>
      <w:proofErr w:type="spellEnd"/>
      <w:r w:rsidRPr="00307922">
        <w:rPr>
          <w:rFonts w:eastAsia="Times New Roman" w:cs="Times New Roman"/>
          <w:i/>
          <w:sz w:val="20"/>
          <w:szCs w:val="20"/>
          <w:lang w:val="fr-CA" w:eastAsia="en-CA"/>
        </w:rPr>
        <w:t>, Montréal; Association des avocats de la défense de Montréal, Montréal.</w:t>
      </w:r>
    </w:p>
    <w:p w:rsidR="00307922" w:rsidRPr="00307922" w:rsidRDefault="00307922" w:rsidP="00307922">
      <w:pPr>
        <w:tabs>
          <w:tab w:val="left" w:pos="1168"/>
        </w:tabs>
        <w:jc w:val="both"/>
        <w:rPr>
          <w:rFonts w:eastAsia="Times New Roman" w:cs="Times New Roman"/>
          <w:i/>
          <w:sz w:val="20"/>
          <w:szCs w:val="20"/>
          <w:lang w:val="fr-CA" w:eastAsia="en-CA"/>
        </w:rPr>
      </w:pPr>
    </w:p>
    <w:p w:rsidR="00307922" w:rsidRPr="00307922" w:rsidRDefault="00307922" w:rsidP="00307922">
      <w:pPr>
        <w:tabs>
          <w:tab w:val="left" w:pos="1168"/>
        </w:tabs>
        <w:jc w:val="both"/>
        <w:rPr>
          <w:rFonts w:eastAsia="Times New Roman" w:cs="Times New Roman"/>
          <w:i/>
          <w:sz w:val="20"/>
          <w:szCs w:val="20"/>
          <w:lang w:eastAsia="en-CA"/>
        </w:rPr>
      </w:pPr>
      <w:r w:rsidRPr="00307922">
        <w:rPr>
          <w:rFonts w:eastAsia="Times New Roman" w:cs="Times New Roman"/>
          <w:i/>
          <w:sz w:val="20"/>
          <w:szCs w:val="20"/>
          <w:lang w:val="fr-CA" w:eastAsia="en-CA"/>
        </w:rPr>
        <w:lastRenderedPageBreak/>
        <w:tab/>
      </w:r>
      <w:r w:rsidRPr="00307922">
        <w:rPr>
          <w:rFonts w:eastAsia="Times New Roman" w:cs="Times New Roman"/>
          <w:i/>
          <w:sz w:val="20"/>
          <w:szCs w:val="20"/>
          <w:lang w:eastAsia="en-CA"/>
        </w:rPr>
        <w:t xml:space="preserve">Solicitors for the intervener the British Columbia Civil Liberties Association: Bull, </w:t>
      </w:r>
      <w:proofErr w:type="spellStart"/>
      <w:r w:rsidRPr="00307922">
        <w:rPr>
          <w:rFonts w:eastAsia="Times New Roman" w:cs="Times New Roman"/>
          <w:i/>
          <w:sz w:val="20"/>
          <w:szCs w:val="20"/>
          <w:lang w:eastAsia="en-CA"/>
        </w:rPr>
        <w:t>Housser</w:t>
      </w:r>
      <w:proofErr w:type="spellEnd"/>
      <w:r w:rsidRPr="00307922">
        <w:rPr>
          <w:rFonts w:eastAsia="Times New Roman" w:cs="Times New Roman"/>
          <w:i/>
          <w:sz w:val="20"/>
          <w:szCs w:val="20"/>
          <w:lang w:eastAsia="en-CA"/>
        </w:rPr>
        <w:t xml:space="preserve"> &amp; Tupper, Vancouver.</w:t>
      </w:r>
    </w:p>
    <w:p w:rsidR="00DC09FC" w:rsidRPr="009849E0" w:rsidRDefault="00DC09FC" w:rsidP="0052229C">
      <w:pPr>
        <w:rPr>
          <w:sz w:val="20"/>
          <w:szCs w:val="20"/>
          <w:lang w:val="en-US"/>
        </w:rPr>
      </w:pPr>
    </w:p>
    <w:p w:rsidR="0052229C" w:rsidRPr="00EA63C5" w:rsidRDefault="0052229C" w:rsidP="0052229C">
      <w:pPr>
        <w:rPr>
          <w:sz w:val="20"/>
          <w:szCs w:val="20"/>
          <w:lang w:val="fr-CA"/>
        </w:rPr>
      </w:pPr>
      <w:r w:rsidRPr="00EA63C5">
        <w:rPr>
          <w:sz w:val="20"/>
          <w:szCs w:val="20"/>
          <w:lang w:val="fr-CA"/>
        </w:rPr>
        <w:t>________________________</w:t>
      </w:r>
    </w:p>
    <w:p w:rsidR="0052229C" w:rsidRPr="00EA63C5" w:rsidRDefault="0052229C" w:rsidP="0052229C">
      <w:pPr>
        <w:rPr>
          <w:sz w:val="20"/>
          <w:szCs w:val="20"/>
          <w:lang w:val="fr-CA"/>
        </w:rPr>
      </w:pPr>
    </w:p>
    <w:p w:rsidR="00555D9A" w:rsidRPr="00EA63C5" w:rsidRDefault="00555D9A" w:rsidP="00555D9A">
      <w:pPr>
        <w:jc w:val="both"/>
        <w:rPr>
          <w:sz w:val="20"/>
          <w:szCs w:val="20"/>
          <w:lang w:val="fr-CA"/>
        </w:rPr>
      </w:pPr>
      <w:r w:rsidRPr="00EA63C5">
        <w:rPr>
          <w:sz w:val="20"/>
          <w:szCs w:val="20"/>
          <w:lang w:val="fr-CA"/>
        </w:rPr>
        <w:t>Présents : Les juges Abella, Moldaver, Karakatsanis, Wagner, Gascon, Côté et Brown.</w:t>
      </w:r>
    </w:p>
    <w:p w:rsidR="00555D9A" w:rsidRPr="00EA63C5" w:rsidRDefault="00555D9A" w:rsidP="006B31CB">
      <w:pPr>
        <w:jc w:val="both"/>
        <w:rPr>
          <w:smallCaps/>
          <w:sz w:val="20"/>
          <w:szCs w:val="20"/>
          <w:lang w:val="fr-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sz w:val="20"/>
          <w:szCs w:val="20"/>
          <w:lang w:val="fr-CA" w:eastAsia="en-CA"/>
        </w:rPr>
        <w:tab/>
      </w:r>
      <w:r w:rsidRPr="006B31CB">
        <w:rPr>
          <w:rFonts w:eastAsia="Times New Roman" w:cs="Times New Roman"/>
          <w:i/>
          <w:sz w:val="20"/>
          <w:szCs w:val="20"/>
          <w:lang w:val="fr-CA" w:eastAsia="en-CA"/>
        </w:rPr>
        <w:t xml:space="preserve">Droit criminel — Détermination de la peine — Procédure de détermination de la peine — Plaidoyer de culpabilité — Recommandation conjointe relative à la peine présentée par les avocats du ministère public et de la défense — Le juge du procès </w:t>
      </w:r>
      <w:proofErr w:type="spellStart"/>
      <w:r w:rsidRPr="006B31CB">
        <w:rPr>
          <w:rFonts w:eastAsia="Times New Roman" w:cs="Times New Roman"/>
          <w:i/>
          <w:sz w:val="20"/>
          <w:szCs w:val="20"/>
          <w:lang w:val="fr-CA" w:eastAsia="en-CA"/>
        </w:rPr>
        <w:t>a</w:t>
      </w:r>
      <w:r w:rsidRPr="006B31CB">
        <w:rPr>
          <w:rFonts w:eastAsia="Times New Roman" w:cs="Times New Roman"/>
          <w:i/>
          <w:sz w:val="20"/>
          <w:szCs w:val="20"/>
          <w:lang w:val="fr-CA" w:eastAsia="en-CA"/>
        </w:rPr>
        <w:noBreakHyphen/>
        <w:t>t</w:t>
      </w:r>
      <w:r w:rsidRPr="006B31CB">
        <w:rPr>
          <w:rFonts w:eastAsia="Times New Roman" w:cs="Times New Roman"/>
          <w:i/>
          <w:sz w:val="20"/>
          <w:szCs w:val="20"/>
          <w:lang w:val="fr-CA" w:eastAsia="en-CA"/>
        </w:rPr>
        <w:noBreakHyphen/>
        <w:t>il</w:t>
      </w:r>
      <w:proofErr w:type="spellEnd"/>
      <w:r w:rsidRPr="006B31CB">
        <w:rPr>
          <w:rFonts w:eastAsia="Times New Roman" w:cs="Times New Roman"/>
          <w:i/>
          <w:sz w:val="20"/>
          <w:szCs w:val="20"/>
          <w:lang w:val="fr-CA" w:eastAsia="en-CA"/>
        </w:rPr>
        <w:t xml:space="preserve"> commis une erreur en écartant la recommandation conjointe? — Critère juridique que les juges du procès devraient appliquer pour décider s’il est approprié, dans une affaire donnée, d’écarter une recommandation conjointe.</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6B31CB">
        <w:rPr>
          <w:rFonts w:eastAsia="Times New Roman" w:cs="Times New Roman"/>
          <w:sz w:val="20"/>
          <w:szCs w:val="20"/>
          <w:lang w:val="fr-CA" w:eastAsia="en-CA"/>
        </w:rPr>
        <w:tab/>
        <w:t>A</w:t>
      </w:r>
      <w:r w:rsidRPr="006B31CB">
        <w:rPr>
          <w:rFonts w:eastAsia="Times New Roman" w:cs="Times New Roman"/>
          <w:sz w:val="20"/>
          <w:szCs w:val="20"/>
          <w:lang w:val="fr-CA" w:eastAsia="en-CA"/>
        </w:rPr>
        <w:noBreakHyphen/>
        <w:t>C fréquentait une halte</w:t>
      </w:r>
      <w:r w:rsidRPr="006B31CB">
        <w:rPr>
          <w:rFonts w:eastAsia="Times New Roman" w:cs="Times New Roman"/>
          <w:sz w:val="20"/>
          <w:szCs w:val="20"/>
          <w:lang w:val="fr-CA" w:eastAsia="en-CA"/>
        </w:rPr>
        <w:noBreakHyphen/>
        <w:t>accueil offrant de l’aide aux personnes qui ont des problèmes de santé mentale et de dépendance. Il présentait depuis longtemps des troubles mentaux et des problèmes d’alcoolisme et de toxicomanie. Le 9 février 2013, A</w:t>
      </w:r>
      <w:r w:rsidRPr="006B31CB">
        <w:rPr>
          <w:rFonts w:eastAsia="Times New Roman" w:cs="Times New Roman"/>
          <w:sz w:val="20"/>
          <w:szCs w:val="20"/>
          <w:lang w:val="fr-CA" w:eastAsia="en-CA"/>
        </w:rPr>
        <w:noBreakHyphen/>
        <w:t>C a frappé un bénévole de la halte</w:t>
      </w:r>
      <w:r w:rsidRPr="006B31CB">
        <w:rPr>
          <w:rFonts w:eastAsia="Times New Roman" w:cs="Times New Roman"/>
          <w:sz w:val="20"/>
          <w:szCs w:val="20"/>
          <w:lang w:val="fr-CA" w:eastAsia="en-CA"/>
        </w:rPr>
        <w:noBreakHyphen/>
        <w:t>accueil, G, qui a fait une chute et est mort lorsque sa tête a heurté la chaussée. A</w:t>
      </w:r>
      <w:r w:rsidRPr="006B31CB">
        <w:rPr>
          <w:rFonts w:eastAsia="Times New Roman" w:cs="Times New Roman"/>
          <w:sz w:val="20"/>
          <w:szCs w:val="20"/>
          <w:lang w:val="fr-CA" w:eastAsia="en-CA"/>
        </w:rPr>
        <w:noBreakHyphen/>
        <w:t>C était âgé de 28 ans et avait un casier judiciaire. À la suite de son arrestation, on l’a amené dans un établissement psychiatrique. Après sa libération, A</w:t>
      </w:r>
      <w:r w:rsidRPr="006B31CB">
        <w:rPr>
          <w:rFonts w:eastAsia="Times New Roman" w:cs="Times New Roman"/>
          <w:sz w:val="20"/>
          <w:szCs w:val="20"/>
          <w:lang w:val="fr-CA" w:eastAsia="en-CA"/>
        </w:rPr>
        <w:noBreakHyphen/>
        <w:t xml:space="preserve">C a enfreint les conditions de sa libération sous caution et il a par la suite été détenu sur une période d’environ 11 mois, jusqu’à son audience de détermination de la peine. Après plusieurs jours de procès, il s’est reconnu coupable d’homicide involontaire coupable pour sa participation au décès de G. Le ministère public et la défense ont présenté une recommandation conjointe relative à la peine prévoyant une période de 18 mois de détention additionnels sans période de probation par la suite. Le juge du procès a appliqué un « critère de la justesse » pour rejeter la recommandation conjointe. Il a conclu qu’une peine de détention de deux ans moins un jour était appropriée, déduction faite de la période de détention </w:t>
      </w:r>
      <w:proofErr w:type="spellStart"/>
      <w:r w:rsidRPr="006B31CB">
        <w:rPr>
          <w:rFonts w:eastAsia="Times New Roman" w:cs="Times New Roman"/>
          <w:sz w:val="20"/>
          <w:szCs w:val="20"/>
          <w:lang w:val="fr-CA" w:eastAsia="en-CA"/>
        </w:rPr>
        <w:t>présentencielle</w:t>
      </w:r>
      <w:proofErr w:type="spellEnd"/>
      <w:r w:rsidRPr="006B31CB">
        <w:rPr>
          <w:rFonts w:eastAsia="Times New Roman" w:cs="Times New Roman"/>
          <w:sz w:val="20"/>
          <w:szCs w:val="20"/>
          <w:lang w:val="fr-CA" w:eastAsia="en-CA"/>
        </w:rPr>
        <w:t xml:space="preserve">, et il a ajouté une ordonnance de probation pour une période de trois ans. La Cour d’appel a unanimement rejeté l’appel </w:t>
      </w:r>
      <w:proofErr w:type="gramStart"/>
      <w:r w:rsidRPr="006B31CB">
        <w:rPr>
          <w:rFonts w:eastAsia="Times New Roman" w:cs="Times New Roman"/>
          <w:sz w:val="20"/>
          <w:szCs w:val="20"/>
          <w:lang w:val="fr-CA" w:eastAsia="en-CA"/>
        </w:rPr>
        <w:t>de A</w:t>
      </w:r>
      <w:r w:rsidRPr="006B31CB">
        <w:rPr>
          <w:rFonts w:eastAsia="Times New Roman" w:cs="Times New Roman"/>
          <w:sz w:val="20"/>
          <w:szCs w:val="20"/>
          <w:lang w:val="fr-CA" w:eastAsia="en-CA"/>
        </w:rPr>
        <w:noBreakHyphen/>
        <w:t>C</w:t>
      </w:r>
      <w:proofErr w:type="gramEnd"/>
      <w:r w:rsidRPr="006B31CB">
        <w:rPr>
          <w:rFonts w:eastAsia="Times New Roman" w:cs="Times New Roman"/>
          <w:sz w:val="20"/>
          <w:szCs w:val="20"/>
          <w:lang w:val="fr-CA" w:eastAsia="en-CA"/>
        </w:rPr>
        <w:t xml:space="preserve"> à l’encontre de la peine imposée puisque celle</w:t>
      </w:r>
      <w:r w:rsidRPr="006B31CB">
        <w:rPr>
          <w:rFonts w:eastAsia="Times New Roman" w:cs="Times New Roman"/>
          <w:sz w:val="20"/>
          <w:szCs w:val="20"/>
          <w:lang w:val="fr-CA" w:eastAsia="en-CA"/>
        </w:rPr>
        <w:noBreakHyphen/>
        <w:t>ci était juste dans les circonstances.</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6B31CB">
        <w:rPr>
          <w:rFonts w:eastAsia="Times New Roman" w:cs="Times New Roman"/>
          <w:sz w:val="20"/>
          <w:szCs w:val="20"/>
          <w:lang w:val="fr-CA" w:eastAsia="en-CA"/>
        </w:rPr>
        <w:tab/>
      </w:r>
      <w:r w:rsidRPr="006B31CB">
        <w:rPr>
          <w:rFonts w:eastAsia="Times New Roman" w:cs="Times New Roman"/>
          <w:i/>
          <w:sz w:val="20"/>
          <w:szCs w:val="20"/>
          <w:lang w:val="fr-CA" w:eastAsia="en-CA"/>
        </w:rPr>
        <w:t>Arrêt</w:t>
      </w:r>
      <w:r w:rsidRPr="006B31CB">
        <w:rPr>
          <w:rFonts w:eastAsia="Times New Roman" w:cs="Times New Roman"/>
          <w:sz w:val="20"/>
          <w:szCs w:val="20"/>
          <w:lang w:val="fr-CA" w:eastAsia="en-CA"/>
        </w:rPr>
        <w:t> : Le pourvoi est accueilli et la peine est modifiée pour qu’elle soit conforme à la recommandation conjointe.</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6B31CB">
        <w:rPr>
          <w:rFonts w:eastAsia="Times New Roman" w:cs="Times New Roman"/>
          <w:sz w:val="20"/>
          <w:szCs w:val="20"/>
          <w:lang w:val="fr-CA" w:eastAsia="en-CA"/>
        </w:rPr>
        <w:tab/>
        <w:t xml:space="preserve">Les recommandations conjointes relatives à la peine – lorsque les avocats du ministère public et de la défense recommandent au juge du procès une peine en particulier en échange d’un plaidoyer de culpabilité de la part de l’accusé </w:t>
      </w:r>
      <w:r w:rsidRPr="006B31CB">
        <w:rPr>
          <w:rFonts w:eastAsia="Times New Roman" w:cs="Times New Roman"/>
          <w:sz w:val="20"/>
          <w:szCs w:val="20"/>
          <w:lang w:val="fr-CA" w:eastAsia="en-CA"/>
        </w:rPr>
        <w:noBreakHyphen/>
        <w:t xml:space="preserve"> sont essentielles au bon fonctionnement du système de justice pénale et du système de justice en général. Habituellement, de telles ententes n’ont rien d’exceptionnel, et les juges du procès les acceptent d’emblée. À l’occasion cependant, une recommandation conjointe peut sembler trop clémente, ou peut</w:t>
      </w:r>
      <w:r w:rsidRPr="006B31CB">
        <w:rPr>
          <w:rFonts w:eastAsia="Times New Roman" w:cs="Times New Roman"/>
          <w:sz w:val="20"/>
          <w:szCs w:val="20"/>
          <w:lang w:val="fr-CA" w:eastAsia="en-CA"/>
        </w:rPr>
        <w:noBreakHyphen/>
        <w:t>être trop sévère, et le juge du procès n’est pas tenu de l’accepter (</w:t>
      </w:r>
      <w:r w:rsidRPr="006B31CB">
        <w:rPr>
          <w:rFonts w:eastAsia="Times New Roman" w:cs="Times New Roman"/>
          <w:i/>
          <w:sz w:val="20"/>
          <w:szCs w:val="20"/>
          <w:lang w:val="fr-CA" w:eastAsia="en-CA"/>
        </w:rPr>
        <w:t>Code criminel</w:t>
      </w:r>
      <w:r w:rsidRPr="006B31CB">
        <w:rPr>
          <w:rFonts w:eastAsia="Times New Roman" w:cs="Times New Roman"/>
          <w:sz w:val="20"/>
          <w:szCs w:val="20"/>
          <w:lang w:val="fr-CA" w:eastAsia="en-CA"/>
        </w:rPr>
        <w:t>, sous</w:t>
      </w:r>
      <w:r w:rsidRPr="006B31CB">
        <w:rPr>
          <w:rFonts w:eastAsia="Times New Roman" w:cs="Times New Roman"/>
          <w:sz w:val="20"/>
          <w:szCs w:val="20"/>
          <w:lang w:val="fr-CA" w:eastAsia="en-CA"/>
        </w:rPr>
        <w:noBreakHyphen/>
        <w:t>al. 606(1.1</w:t>
      </w:r>
      <w:proofErr w:type="gramStart"/>
      <w:r w:rsidRPr="006B31CB">
        <w:rPr>
          <w:rFonts w:eastAsia="Times New Roman" w:cs="Times New Roman"/>
          <w:sz w:val="20"/>
          <w:szCs w:val="20"/>
          <w:lang w:val="fr-CA" w:eastAsia="en-CA"/>
        </w:rPr>
        <w:t>)</w:t>
      </w:r>
      <w:r w:rsidRPr="006B31CB">
        <w:rPr>
          <w:rFonts w:eastAsia="Times New Roman" w:cs="Times New Roman"/>
          <w:i/>
          <w:sz w:val="20"/>
          <w:szCs w:val="20"/>
          <w:lang w:val="fr-CA" w:eastAsia="en-CA"/>
        </w:rPr>
        <w:t>b</w:t>
      </w:r>
      <w:proofErr w:type="gramEnd"/>
      <w:r w:rsidRPr="006B31CB">
        <w:rPr>
          <w:rFonts w:eastAsia="Times New Roman" w:cs="Times New Roman"/>
          <w:sz w:val="20"/>
          <w:szCs w:val="20"/>
          <w:lang w:val="fr-CA" w:eastAsia="en-CA"/>
        </w:rPr>
        <w:t>)(iii)).</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6B31CB">
        <w:rPr>
          <w:rFonts w:eastAsia="Times New Roman" w:cs="Times New Roman"/>
          <w:sz w:val="20"/>
          <w:szCs w:val="20"/>
          <w:lang w:val="fr-CA" w:eastAsia="en-CA"/>
        </w:rPr>
        <w:tab/>
        <w:t xml:space="preserve">Il n’y a pas de consensus au sujet du critère juridique que les juges du procès devraient appliquer pour décider s’il y a lieu d’écarter une recommandation conjointe dans un cas donné. Quatre critères peuvent être appliqués : celui de la justesse, celui de la peine manifestement non indiquée, celui de l’intérêt public, et celui pour lequel on considère que </w:t>
      </w:r>
      <w:r w:rsidRPr="00EA63C5">
        <w:rPr>
          <w:rFonts w:eastAsia="Times New Roman" w:cs="Times New Roman"/>
          <w:sz w:val="20"/>
          <w:szCs w:val="20"/>
          <w:lang w:val="fr-CA" w:eastAsia="en-CA"/>
        </w:rPr>
        <w:t xml:space="preserve">le critère de la justesse et celui de l’intérêt public sont essentiellement le même. Le critère de l’intérêt public est celui que les juges du procès devraient appliquer. </w:t>
      </w:r>
      <w:r w:rsidRPr="006B31CB">
        <w:rPr>
          <w:rFonts w:eastAsia="Times New Roman" w:cs="Times New Roman"/>
          <w:sz w:val="20"/>
          <w:szCs w:val="20"/>
          <w:lang w:val="fr-CA" w:eastAsia="en-CA"/>
        </w:rPr>
        <w:t>Selon ce critère, un juge du procès ne devrait pas écarter une recommandation conjointe relative à la peine, à moins que la peine proposée soit susceptible de déconsidérer l’administration de la justice ou qu’elle soit par ailleurs contraire à l’intérêt public. La présentation de recommandations conjointes ne reste possible que si les parties sont très confiantes qu’elles seront acceptées. Le critère de l’intérêt public</w:t>
      </w:r>
      <w:r w:rsidRPr="00EA63C5">
        <w:rPr>
          <w:rFonts w:eastAsia="Times New Roman" w:cs="Times New Roman"/>
          <w:sz w:val="20"/>
          <w:szCs w:val="20"/>
          <w:lang w:val="fr-CA" w:eastAsia="en-CA"/>
        </w:rPr>
        <w:t xml:space="preserve"> est plus </w:t>
      </w:r>
      <w:r w:rsidRPr="006B31CB">
        <w:rPr>
          <w:rFonts w:eastAsia="Times New Roman" w:cs="Times New Roman"/>
          <w:sz w:val="20"/>
          <w:szCs w:val="20"/>
          <w:lang w:val="fr-CA" w:eastAsia="en-CA"/>
        </w:rPr>
        <w:t>rigoureux</w:t>
      </w:r>
      <w:r w:rsidRPr="00EA63C5">
        <w:rPr>
          <w:rFonts w:eastAsia="Times New Roman" w:cs="Times New Roman"/>
          <w:sz w:val="20"/>
          <w:szCs w:val="20"/>
          <w:lang w:val="fr-CA" w:eastAsia="en-CA"/>
        </w:rPr>
        <w:t xml:space="preserve"> que les autres critères proposés et il reflète le mieux les nombreux avantages que les recommandations conjointes apportent au système de justice pénale ainsi que le besoin correspondant d’un degré de certitude élevé que ces recommandations seront acceptées.</w:t>
      </w:r>
    </w:p>
    <w:p w:rsidR="006B31CB" w:rsidRPr="00EA63C5"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6B31CB">
        <w:rPr>
          <w:rFonts w:eastAsia="Times New Roman" w:cs="Times New Roman"/>
          <w:sz w:val="20"/>
          <w:szCs w:val="20"/>
          <w:lang w:val="fr-CA" w:eastAsia="en-CA"/>
        </w:rPr>
        <w:t xml:space="preserve">Les avocats du ministère public et de la défense sont bien placés pour en arriver à une recommandation conjointe qui favorise tant les intérêts du public que ceux de l’accusé. Les juges du procès ne devraient pas rejeter trop facilement une recommandation conjointe; ils ne devraient le faire que lorsque des personnes renseignées et raisonnables </w:t>
      </w:r>
      <w:r w:rsidRPr="006B31CB">
        <w:rPr>
          <w:rFonts w:eastAsia="Times New Roman" w:cs="Times New Roman"/>
          <w:sz w:val="20"/>
          <w:szCs w:val="20"/>
          <w:lang w:val="fr-CA" w:eastAsia="en-CA"/>
        </w:rPr>
        <w:lastRenderedPageBreak/>
        <w:t>estimeraient que la peine proposée fait échec au bon fonctionnement du système de justice. Un seuil moins élevé que celui</w:t>
      </w:r>
      <w:r w:rsidRPr="006B31CB">
        <w:rPr>
          <w:rFonts w:eastAsia="Times New Roman" w:cs="Times New Roman"/>
          <w:sz w:val="20"/>
          <w:szCs w:val="20"/>
          <w:lang w:val="fr-CA" w:eastAsia="en-CA"/>
        </w:rPr>
        <w:noBreakHyphen/>
        <w:t>ci jetterait trop d’incertitude sur l’efficacité des ententes de règlement.</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6B31CB">
        <w:rPr>
          <w:rFonts w:eastAsia="Times New Roman" w:cs="Times New Roman"/>
          <w:sz w:val="20"/>
          <w:szCs w:val="20"/>
          <w:lang w:val="fr-CA" w:eastAsia="en-CA"/>
        </w:rPr>
        <w:tab/>
        <w:t>Il y a lieu d’appliquer les procédures suivantes lorsque la recommandation conjointe est controversée et soulève des préoccupations pour le juge du procès. Premièrement, les juges du procès devraient aborder la recommandation conjointe telle qu’elle leur est présentée. Deuxièmement, le juge du procès doit appliquer le critère de l’intérêt public lorsqu’il envisage d’infliger une peine plus lourde ou plus clémente que celle recommandée conjointement, bien que les considérations qui sous–tendent l’intérêt public puissent être différentes selon le contexte. Troisièmement, le juge du procès peut s’informer des circonstances à l’origine de la recommandation conjointe, en particulier tous les avantages obtenus par le ministère public ou toutes les concessions faites par l’accusé. Quatrièmement, le juge du procès devrait faire part aux avocats de ses préoccupations et les inviter à y répondre, en leur indiquant notamment la possibilité de permettre à l’accusé de retirer son plaidoyer de culpabilité. Cinquièmement, si les préoccupations du juge du procès ne sont pas atténuées, le juge peut permettre à l’accusé de retirer son plaidoyer de culpabilité. Enfin, si le juge du procès n’est pas convaincu par les observations des avocats, il devrait énoncer des motifs clairs et convaincants à l’appui de sa décision d’écarter la recommandation conjointe.</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6B31CB">
        <w:rPr>
          <w:rFonts w:eastAsia="Times New Roman" w:cs="Times New Roman"/>
          <w:sz w:val="20"/>
          <w:szCs w:val="20"/>
          <w:lang w:val="fr-CA" w:eastAsia="en-CA"/>
        </w:rPr>
        <w:tab/>
        <w:t>En l’espèce, le juge du procès a appliqué le critère de la justesse, un critère moins rigoureux que celui qu’il aurait dû appliquer et, ce faisant, il a commis une erreur de principe. En raison de l’erreur du juge du procès, il n’y a pas lieu de faire montre de déférence. En appliquant le critère juridique approprié — le critère de l’intérêt public, — la peine proposée par les parties ne justifiait pas, dans les circonstances, un rejet de la recommandation conjointe. En fait, elle s’approchait de la fourchette de peines indiquée par le juge du procès. De plus, A</w:t>
      </w:r>
      <w:r w:rsidRPr="006B31CB">
        <w:rPr>
          <w:rFonts w:eastAsia="Times New Roman" w:cs="Times New Roman"/>
          <w:sz w:val="20"/>
          <w:szCs w:val="20"/>
          <w:lang w:val="fr-CA" w:eastAsia="en-CA"/>
        </w:rPr>
        <w:noBreakHyphen/>
        <w:t>C a renoncé à son droit à un procès et à tout argument relatif à la légitime défense qu’il aurait pu invoquer. En fin de compte, en dérogeant — de seulement six mois — à la peine de détention recommandée, c’est tout juste si le juge ne l’a pas simplement remaniée. En outre, l’ordonnance de probation n’aurait pas dû être prononcée. L’opinion des avocats, selon laquelle l’ordonnance de probation était redondante et n’était donc pas nécessaire pour assurer la protection du public, était raisonnable dans les circonstances.</w:t>
      </w:r>
    </w:p>
    <w:p w:rsidR="006B31CB" w:rsidRPr="006B31CB" w:rsidRDefault="006B31CB" w:rsidP="006B31CB">
      <w:pPr>
        <w:tabs>
          <w:tab w:val="left" w:pos="1168"/>
        </w:tabs>
        <w:jc w:val="both"/>
        <w:rPr>
          <w:rFonts w:eastAsia="Times New Roman" w:cs="Times New Roman"/>
          <w:sz w:val="20"/>
          <w:szCs w:val="20"/>
          <w:lang w:val="fr-CA" w:eastAsia="en-CA"/>
        </w:rPr>
      </w:pPr>
    </w:p>
    <w:p w:rsidR="00555D9A" w:rsidRPr="00EA63C5" w:rsidRDefault="00555D9A" w:rsidP="006B31CB">
      <w:pPr>
        <w:pStyle w:val="SCCNormalDoubleSpacing"/>
        <w:spacing w:line="240" w:lineRule="auto"/>
        <w:rPr>
          <w:sz w:val="20"/>
          <w:lang w:val="fr-CA"/>
        </w:rPr>
      </w:pPr>
    </w:p>
    <w:p w:rsidR="006B31CB" w:rsidRPr="00EA63C5" w:rsidRDefault="006B31CB" w:rsidP="006B31CB">
      <w:pPr>
        <w:tabs>
          <w:tab w:val="left" w:pos="1168"/>
        </w:tabs>
        <w:jc w:val="both"/>
        <w:rPr>
          <w:rFonts w:eastAsia="Times New Roman" w:cs="Times New Roman"/>
          <w:sz w:val="20"/>
          <w:szCs w:val="20"/>
          <w:lang w:val="fr-CA" w:eastAsia="en-CA"/>
        </w:rPr>
      </w:pPr>
      <w:r w:rsidRPr="009849E0">
        <w:rPr>
          <w:rFonts w:eastAsia="Times New Roman" w:cs="Times New Roman"/>
          <w:sz w:val="20"/>
          <w:szCs w:val="20"/>
          <w:lang w:val="fr-CA" w:eastAsia="en-CA"/>
        </w:rPr>
        <w:tab/>
      </w:r>
      <w:r w:rsidRPr="006B31CB">
        <w:rPr>
          <w:rFonts w:eastAsia="Times New Roman" w:cs="Times New Roman"/>
          <w:sz w:val="20"/>
          <w:szCs w:val="20"/>
          <w:lang w:val="fr-CA" w:eastAsia="en-CA"/>
        </w:rPr>
        <w:t>POURVOI contre un arrêt de la Cour d’appel de la Colombie</w:t>
      </w:r>
      <w:r w:rsidRPr="006B31CB">
        <w:rPr>
          <w:rFonts w:eastAsia="Times New Roman" w:cs="Times New Roman"/>
          <w:sz w:val="20"/>
          <w:szCs w:val="20"/>
          <w:lang w:val="fr-CA" w:eastAsia="en-CA"/>
        </w:rPr>
        <w:noBreakHyphen/>
        <w:t xml:space="preserve">Britannique (les juges </w:t>
      </w:r>
      <w:proofErr w:type="spellStart"/>
      <w:r w:rsidRPr="006B31CB">
        <w:rPr>
          <w:rFonts w:eastAsia="Times New Roman" w:cs="Times New Roman"/>
          <w:sz w:val="20"/>
          <w:szCs w:val="20"/>
          <w:lang w:val="fr-CA" w:eastAsia="en-CA"/>
        </w:rPr>
        <w:t>Neilson</w:t>
      </w:r>
      <w:proofErr w:type="spellEnd"/>
      <w:r w:rsidRPr="006B31CB">
        <w:rPr>
          <w:rFonts w:eastAsia="Times New Roman" w:cs="Times New Roman"/>
          <w:sz w:val="20"/>
          <w:szCs w:val="20"/>
          <w:lang w:val="fr-CA" w:eastAsia="en-CA"/>
        </w:rPr>
        <w:t xml:space="preserve">, Bennett et </w:t>
      </w:r>
      <w:proofErr w:type="spellStart"/>
      <w:r w:rsidRPr="006B31CB">
        <w:rPr>
          <w:rFonts w:eastAsia="Times New Roman" w:cs="Times New Roman"/>
          <w:sz w:val="20"/>
          <w:szCs w:val="20"/>
          <w:lang w:val="fr-CA" w:eastAsia="en-CA"/>
        </w:rPr>
        <w:t>Garson</w:t>
      </w:r>
      <w:proofErr w:type="spellEnd"/>
      <w:r w:rsidRPr="006B31CB">
        <w:rPr>
          <w:rFonts w:eastAsia="Times New Roman" w:cs="Times New Roman"/>
          <w:sz w:val="20"/>
          <w:szCs w:val="20"/>
          <w:lang w:val="fr-CA" w:eastAsia="en-CA"/>
        </w:rPr>
        <w:t xml:space="preserve">), 2015 BCCA 22, 367 B.C.A.C. 96, 631 W.A.C. 96, [2015] B.C.J. No. 63 (QL), 2015 </w:t>
      </w:r>
      <w:proofErr w:type="spellStart"/>
      <w:r w:rsidRPr="006B31CB">
        <w:rPr>
          <w:rFonts w:eastAsia="Times New Roman" w:cs="Times New Roman"/>
          <w:sz w:val="20"/>
          <w:szCs w:val="20"/>
          <w:lang w:val="fr-CA" w:eastAsia="en-CA"/>
        </w:rPr>
        <w:t>CarswellBC</w:t>
      </w:r>
      <w:proofErr w:type="spellEnd"/>
      <w:r w:rsidRPr="006B31CB">
        <w:rPr>
          <w:rFonts w:eastAsia="Times New Roman" w:cs="Times New Roman"/>
          <w:sz w:val="20"/>
          <w:szCs w:val="20"/>
          <w:lang w:val="fr-CA" w:eastAsia="en-CA"/>
        </w:rPr>
        <w:t xml:space="preserve"> 79 (WL Can.), qui a confirmé une décision du juge </w:t>
      </w:r>
      <w:proofErr w:type="spellStart"/>
      <w:r w:rsidRPr="006B31CB">
        <w:rPr>
          <w:rFonts w:eastAsia="Times New Roman" w:cs="Times New Roman"/>
          <w:sz w:val="20"/>
          <w:szCs w:val="20"/>
          <w:lang w:val="fr-CA" w:eastAsia="en-CA"/>
        </w:rPr>
        <w:t>Ehrcke</w:t>
      </w:r>
      <w:proofErr w:type="spellEnd"/>
      <w:r w:rsidRPr="006B31CB">
        <w:rPr>
          <w:rFonts w:eastAsia="Times New Roman" w:cs="Times New Roman"/>
          <w:sz w:val="20"/>
          <w:szCs w:val="20"/>
          <w:lang w:val="fr-CA" w:eastAsia="en-CA"/>
        </w:rPr>
        <w:t xml:space="preserve"> relative à la détermination de la peine, 2014 BCSC 1503, [2014] B.C.J. No. 2055 (QL), 2014 </w:t>
      </w:r>
      <w:proofErr w:type="spellStart"/>
      <w:r w:rsidRPr="006B31CB">
        <w:rPr>
          <w:rFonts w:eastAsia="Times New Roman" w:cs="Times New Roman"/>
          <w:sz w:val="20"/>
          <w:szCs w:val="20"/>
          <w:lang w:val="fr-CA" w:eastAsia="en-CA"/>
        </w:rPr>
        <w:t>CarswellBC</w:t>
      </w:r>
      <w:proofErr w:type="spellEnd"/>
      <w:r w:rsidRPr="006B31CB">
        <w:rPr>
          <w:rFonts w:eastAsia="Times New Roman" w:cs="Times New Roman"/>
          <w:sz w:val="20"/>
          <w:szCs w:val="20"/>
          <w:lang w:val="fr-CA" w:eastAsia="en-CA"/>
        </w:rPr>
        <w:t xml:space="preserve"> 2353 (WL Can.). Pourvoi accueilli.</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proofErr w:type="spellStart"/>
      <w:r w:rsidRPr="00EA63C5">
        <w:rPr>
          <w:rFonts w:eastAsia="Times New Roman" w:cs="Times New Roman"/>
          <w:i/>
          <w:sz w:val="20"/>
          <w:szCs w:val="20"/>
          <w:lang w:val="fr-CA" w:eastAsia="en-CA"/>
        </w:rPr>
        <w:t>Micah</w:t>
      </w:r>
      <w:proofErr w:type="spellEnd"/>
      <w:r w:rsidRPr="00EA63C5">
        <w:rPr>
          <w:rFonts w:eastAsia="Times New Roman" w:cs="Times New Roman"/>
          <w:i/>
          <w:sz w:val="20"/>
          <w:szCs w:val="20"/>
          <w:lang w:val="fr-CA" w:eastAsia="en-CA"/>
        </w:rPr>
        <w:t xml:space="preserve"> B. </w:t>
      </w:r>
      <w:proofErr w:type="spellStart"/>
      <w:r w:rsidRPr="00EA63C5">
        <w:rPr>
          <w:rFonts w:eastAsia="Times New Roman" w:cs="Times New Roman"/>
          <w:i/>
          <w:sz w:val="20"/>
          <w:szCs w:val="20"/>
          <w:lang w:val="fr-CA" w:eastAsia="en-CA"/>
        </w:rPr>
        <w:t>Rankin</w:t>
      </w:r>
      <w:proofErr w:type="spellEnd"/>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 xml:space="preserve">Michael </w:t>
      </w:r>
      <w:proofErr w:type="spellStart"/>
      <w:r w:rsidRPr="00EA63C5">
        <w:rPr>
          <w:rFonts w:eastAsia="Times New Roman" w:cs="Times New Roman"/>
          <w:i/>
          <w:sz w:val="20"/>
          <w:szCs w:val="20"/>
          <w:lang w:val="fr-CA" w:eastAsia="en-CA"/>
        </w:rPr>
        <w:t>Sobkin</w:t>
      </w:r>
      <w:proofErr w:type="spell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Jeremy G. Jensen</w:t>
      </w:r>
      <w:r w:rsidRPr="00EA63C5">
        <w:rPr>
          <w:rFonts w:eastAsia="Times New Roman" w:cs="Times New Roman"/>
          <w:sz w:val="20"/>
          <w:szCs w:val="20"/>
          <w:lang w:val="fr-CA" w:eastAsia="en-CA"/>
        </w:rPr>
        <w:t>, pour l’appelant.</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Mary T. Ainslie</w:t>
      </w:r>
      <w:r w:rsidRPr="00EA63C5">
        <w:rPr>
          <w:rFonts w:eastAsia="Times New Roman" w:cs="Times New Roman"/>
          <w:sz w:val="20"/>
          <w:szCs w:val="20"/>
          <w:lang w:val="fr-CA" w:eastAsia="en-CA"/>
        </w:rPr>
        <w:t xml:space="preserve">, </w:t>
      </w:r>
      <w:proofErr w:type="spellStart"/>
      <w:proofErr w:type="gramStart"/>
      <w:r w:rsidRPr="00EA63C5">
        <w:rPr>
          <w:rFonts w:eastAsia="Times New Roman" w:cs="Times New Roman"/>
          <w:i/>
          <w:sz w:val="20"/>
          <w:szCs w:val="20"/>
          <w:lang w:val="fr-CA" w:eastAsia="en-CA"/>
        </w:rPr>
        <w:t>c.r</w:t>
      </w:r>
      <w:proofErr w:type="spellEnd"/>
      <w:r w:rsidRPr="00EA63C5">
        <w:rPr>
          <w:rFonts w:eastAsia="Times New Roman" w:cs="Times New Roman"/>
          <w:i/>
          <w:sz w:val="20"/>
          <w:szCs w:val="20"/>
          <w:lang w:val="fr-CA" w:eastAsia="en-CA"/>
        </w:rPr>
        <w:t>.</w:t>
      </w:r>
      <w:r w:rsidRPr="00EA63C5">
        <w:rPr>
          <w:rFonts w:eastAsia="Times New Roman" w:cs="Times New Roman"/>
          <w:sz w:val="20"/>
          <w:szCs w:val="20"/>
          <w:lang w:val="fr-CA" w:eastAsia="en-CA"/>
        </w:rPr>
        <w:t>,</w:t>
      </w:r>
      <w:proofErr w:type="gram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Megan A. Street</w:t>
      </w:r>
      <w:r w:rsidRPr="00EA63C5">
        <w:rPr>
          <w:rFonts w:eastAsia="Times New Roman" w:cs="Times New Roman"/>
          <w:sz w:val="20"/>
          <w:szCs w:val="20"/>
          <w:lang w:val="fr-CA" w:eastAsia="en-CA"/>
        </w:rPr>
        <w:t>, pour l’intimée.</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 xml:space="preserve">David W. </w:t>
      </w:r>
      <w:proofErr w:type="spellStart"/>
      <w:r w:rsidRPr="00EA63C5">
        <w:rPr>
          <w:rFonts w:eastAsia="Times New Roman" w:cs="Times New Roman"/>
          <w:i/>
          <w:sz w:val="20"/>
          <w:szCs w:val="20"/>
          <w:lang w:val="fr-CA" w:eastAsia="en-CA"/>
        </w:rPr>
        <w:t>Schermbrucker</w:t>
      </w:r>
      <w:proofErr w:type="spell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Monica McQueen</w:t>
      </w:r>
      <w:r w:rsidRPr="00EA63C5">
        <w:rPr>
          <w:rFonts w:eastAsia="Times New Roman" w:cs="Times New Roman"/>
          <w:sz w:val="20"/>
          <w:szCs w:val="20"/>
          <w:lang w:val="fr-CA" w:eastAsia="en-CA"/>
        </w:rPr>
        <w:t>, pour l’intervenant le directeur des poursuites pénales du Canada.</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proofErr w:type="spellStart"/>
      <w:r w:rsidRPr="00EA63C5">
        <w:rPr>
          <w:rFonts w:eastAsia="Times New Roman" w:cs="Times New Roman"/>
          <w:i/>
          <w:sz w:val="20"/>
          <w:szCs w:val="20"/>
          <w:lang w:val="fr-CA" w:eastAsia="en-CA"/>
        </w:rPr>
        <w:t>Elise</w:t>
      </w:r>
      <w:proofErr w:type="spellEnd"/>
      <w:r w:rsidRPr="00EA63C5">
        <w:rPr>
          <w:rFonts w:eastAsia="Times New Roman" w:cs="Times New Roman"/>
          <w:i/>
          <w:sz w:val="20"/>
          <w:szCs w:val="20"/>
          <w:lang w:val="fr-CA" w:eastAsia="en-CA"/>
        </w:rPr>
        <w:t xml:space="preserve"> </w:t>
      </w:r>
      <w:proofErr w:type="spellStart"/>
      <w:r w:rsidRPr="00EA63C5">
        <w:rPr>
          <w:rFonts w:eastAsia="Times New Roman" w:cs="Times New Roman"/>
          <w:i/>
          <w:sz w:val="20"/>
          <w:szCs w:val="20"/>
          <w:lang w:val="fr-CA" w:eastAsia="en-CA"/>
        </w:rPr>
        <w:t>Nakelsky</w:t>
      </w:r>
      <w:proofErr w:type="spellEnd"/>
      <w:r w:rsidRPr="00EA63C5">
        <w:rPr>
          <w:rFonts w:eastAsia="Times New Roman" w:cs="Times New Roman"/>
          <w:sz w:val="20"/>
          <w:szCs w:val="20"/>
          <w:lang w:val="fr-CA" w:eastAsia="en-CA"/>
        </w:rPr>
        <w:t>, pour l’intervenant le procureur général de l’Ontario.</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Joseph Di Luca</w:t>
      </w:r>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 xml:space="preserve">Erin </w:t>
      </w:r>
      <w:proofErr w:type="spellStart"/>
      <w:r w:rsidRPr="00EA63C5">
        <w:rPr>
          <w:rFonts w:eastAsia="Times New Roman" w:cs="Times New Roman"/>
          <w:i/>
          <w:sz w:val="20"/>
          <w:szCs w:val="20"/>
          <w:lang w:val="fr-CA" w:eastAsia="en-CA"/>
        </w:rPr>
        <w:t>Dann</w:t>
      </w:r>
      <w:proofErr w:type="spellEnd"/>
      <w:r w:rsidRPr="00EA63C5">
        <w:rPr>
          <w:rFonts w:eastAsia="Times New Roman" w:cs="Times New Roman"/>
          <w:sz w:val="20"/>
          <w:szCs w:val="20"/>
          <w:lang w:val="fr-CA" w:eastAsia="en-CA"/>
        </w:rPr>
        <w:t xml:space="preserve">, pour l’intervenante </w:t>
      </w:r>
      <w:proofErr w:type="spellStart"/>
      <w:r w:rsidRPr="00EA63C5">
        <w:rPr>
          <w:rFonts w:eastAsia="Times New Roman" w:cs="Times New Roman"/>
          <w:sz w:val="20"/>
          <w:szCs w:val="20"/>
          <w:lang w:val="fr-CA" w:eastAsia="en-CA"/>
        </w:rPr>
        <w:t>Criminal</w:t>
      </w:r>
      <w:proofErr w:type="spellEnd"/>
      <w:r w:rsidRPr="00EA63C5">
        <w:rPr>
          <w:rFonts w:eastAsia="Times New Roman" w:cs="Times New Roman"/>
          <w:sz w:val="20"/>
          <w:szCs w:val="20"/>
          <w:lang w:val="fr-CA" w:eastAsia="en-CA"/>
        </w:rPr>
        <w:t xml:space="preserve"> </w:t>
      </w:r>
      <w:proofErr w:type="spellStart"/>
      <w:r w:rsidRPr="00EA63C5">
        <w:rPr>
          <w:rFonts w:eastAsia="Times New Roman" w:cs="Times New Roman"/>
          <w:sz w:val="20"/>
          <w:szCs w:val="20"/>
          <w:lang w:val="fr-CA" w:eastAsia="en-CA"/>
        </w:rPr>
        <w:t>Lawyers</w:t>
      </w:r>
      <w:proofErr w:type="spellEnd"/>
      <w:r w:rsidRPr="00EA63C5">
        <w:rPr>
          <w:rFonts w:eastAsia="Times New Roman" w:cs="Times New Roman"/>
          <w:sz w:val="20"/>
          <w:szCs w:val="20"/>
          <w:lang w:val="fr-CA" w:eastAsia="en-CA"/>
        </w:rPr>
        <w:t>’ Association (Ontario).</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Nicholas St</w:t>
      </w:r>
      <w:r w:rsidRPr="00EA63C5">
        <w:rPr>
          <w:rFonts w:eastAsia="Times New Roman" w:cs="Times New Roman"/>
          <w:i/>
          <w:sz w:val="20"/>
          <w:szCs w:val="20"/>
          <w:lang w:val="fr-CA" w:eastAsia="en-CA"/>
        </w:rPr>
        <w:noBreakHyphen/>
        <w:t>Jacques</w:t>
      </w:r>
      <w:r w:rsidRPr="00EA63C5">
        <w:rPr>
          <w:rFonts w:eastAsia="Times New Roman" w:cs="Times New Roman"/>
          <w:sz w:val="20"/>
          <w:szCs w:val="20"/>
          <w:lang w:val="fr-CA" w:eastAsia="en-CA"/>
        </w:rPr>
        <w:t xml:space="preserve">, </w:t>
      </w:r>
      <w:r w:rsidRPr="00EA63C5">
        <w:rPr>
          <w:rFonts w:eastAsia="Times New Roman" w:cs="Times New Roman"/>
          <w:i/>
          <w:sz w:val="20"/>
          <w:szCs w:val="20"/>
          <w:lang w:val="fr-CA" w:eastAsia="en-CA"/>
        </w:rPr>
        <w:t xml:space="preserve">Lida Sara </w:t>
      </w:r>
      <w:proofErr w:type="spellStart"/>
      <w:r w:rsidRPr="00EA63C5">
        <w:rPr>
          <w:rFonts w:eastAsia="Times New Roman" w:cs="Times New Roman"/>
          <w:i/>
          <w:sz w:val="20"/>
          <w:szCs w:val="20"/>
          <w:lang w:val="fr-CA" w:eastAsia="en-CA"/>
        </w:rPr>
        <w:t>Nouraie</w:t>
      </w:r>
      <w:proofErr w:type="spell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 xml:space="preserve">Walid </w:t>
      </w:r>
      <w:proofErr w:type="spellStart"/>
      <w:r w:rsidRPr="00EA63C5">
        <w:rPr>
          <w:rFonts w:eastAsia="Times New Roman" w:cs="Times New Roman"/>
          <w:i/>
          <w:sz w:val="20"/>
          <w:szCs w:val="20"/>
          <w:lang w:val="fr-CA" w:eastAsia="en-CA"/>
        </w:rPr>
        <w:t>Hijazi</w:t>
      </w:r>
      <w:proofErr w:type="spellEnd"/>
      <w:r w:rsidRPr="00EA63C5">
        <w:rPr>
          <w:rFonts w:eastAsia="Times New Roman" w:cs="Times New Roman"/>
          <w:sz w:val="20"/>
          <w:szCs w:val="20"/>
          <w:lang w:val="fr-CA" w:eastAsia="en-CA"/>
        </w:rPr>
        <w:t>, pour l’intervenante l’Association des avocats de la défense de Montréal.</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sz w:val="20"/>
          <w:szCs w:val="20"/>
          <w:lang w:val="fr-CA" w:eastAsia="en-CA"/>
        </w:rPr>
      </w:pPr>
      <w:r w:rsidRPr="00EA63C5">
        <w:rPr>
          <w:rFonts w:eastAsia="Times New Roman" w:cs="Times New Roman"/>
          <w:sz w:val="20"/>
          <w:szCs w:val="20"/>
          <w:lang w:val="fr-CA" w:eastAsia="en-CA"/>
        </w:rPr>
        <w:tab/>
      </w:r>
      <w:r w:rsidRPr="00EA63C5">
        <w:rPr>
          <w:rFonts w:eastAsia="Times New Roman" w:cs="Times New Roman"/>
          <w:i/>
          <w:sz w:val="20"/>
          <w:szCs w:val="20"/>
          <w:lang w:val="fr-CA" w:eastAsia="en-CA"/>
        </w:rPr>
        <w:t xml:space="preserve">Emily </w:t>
      </w:r>
      <w:proofErr w:type="spellStart"/>
      <w:r w:rsidRPr="00EA63C5">
        <w:rPr>
          <w:rFonts w:eastAsia="Times New Roman" w:cs="Times New Roman"/>
          <w:i/>
          <w:sz w:val="20"/>
          <w:szCs w:val="20"/>
          <w:lang w:val="fr-CA" w:eastAsia="en-CA"/>
        </w:rPr>
        <w:t>Lapper</w:t>
      </w:r>
      <w:proofErr w:type="spellEnd"/>
      <w:r w:rsidRPr="00EA63C5">
        <w:rPr>
          <w:rFonts w:eastAsia="Times New Roman" w:cs="Times New Roman"/>
          <w:sz w:val="20"/>
          <w:szCs w:val="20"/>
          <w:lang w:val="fr-CA" w:eastAsia="en-CA"/>
        </w:rPr>
        <w:t xml:space="preserve"> et </w:t>
      </w:r>
      <w:r w:rsidRPr="00EA63C5">
        <w:rPr>
          <w:rFonts w:eastAsia="Times New Roman" w:cs="Times New Roman"/>
          <w:i/>
          <w:sz w:val="20"/>
          <w:szCs w:val="20"/>
          <w:lang w:val="fr-CA" w:eastAsia="en-CA"/>
        </w:rPr>
        <w:t>Ryan D. W. Dalziel</w:t>
      </w:r>
      <w:r w:rsidRPr="00EA63C5">
        <w:rPr>
          <w:rFonts w:eastAsia="Times New Roman" w:cs="Times New Roman"/>
          <w:sz w:val="20"/>
          <w:szCs w:val="20"/>
          <w:lang w:val="fr-CA" w:eastAsia="en-CA"/>
        </w:rPr>
        <w:t>, pour l’intervenante l’Association des libertés civiles de la Colombie</w:t>
      </w:r>
      <w:r w:rsidRPr="00EA63C5">
        <w:rPr>
          <w:rFonts w:eastAsia="Times New Roman" w:cs="Times New Roman"/>
          <w:sz w:val="20"/>
          <w:szCs w:val="20"/>
          <w:lang w:val="fr-CA" w:eastAsia="en-CA"/>
        </w:rPr>
        <w:noBreakHyphen/>
        <w:t>Britannique.</w:t>
      </w:r>
    </w:p>
    <w:p w:rsidR="006B31CB" w:rsidRPr="006B31CB" w:rsidRDefault="006B31CB" w:rsidP="006B31CB">
      <w:pPr>
        <w:tabs>
          <w:tab w:val="left" w:pos="1168"/>
        </w:tabs>
        <w:jc w:val="both"/>
        <w:rPr>
          <w:rFonts w:eastAsia="Times New Roman" w:cs="Times New Roman"/>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 xml:space="preserve">Procureurs de l’appelant : Jensen Law Corporation, Kamloops; Michael </w:t>
      </w:r>
      <w:proofErr w:type="spellStart"/>
      <w:r w:rsidRPr="006B31CB">
        <w:rPr>
          <w:rFonts w:eastAsia="Times New Roman" w:cs="Times New Roman"/>
          <w:i/>
          <w:sz w:val="20"/>
          <w:szCs w:val="20"/>
          <w:lang w:val="fr-CA" w:eastAsia="en-CA"/>
        </w:rPr>
        <w:t>Sobkin</w:t>
      </w:r>
      <w:proofErr w:type="spellEnd"/>
      <w:r w:rsidRPr="006B31CB">
        <w:rPr>
          <w:rFonts w:eastAsia="Times New Roman" w:cs="Times New Roman"/>
          <w:i/>
          <w:sz w:val="20"/>
          <w:szCs w:val="20"/>
          <w:lang w:val="fr-CA" w:eastAsia="en-CA"/>
        </w:rPr>
        <w:t>, Ottawa.</w:t>
      </w:r>
    </w:p>
    <w:p w:rsidR="006B31CB" w:rsidRPr="006B31CB" w:rsidRDefault="006B31CB" w:rsidP="006B31CB">
      <w:pPr>
        <w:tabs>
          <w:tab w:val="left" w:pos="1168"/>
        </w:tabs>
        <w:jc w:val="both"/>
        <w:rPr>
          <w:rFonts w:eastAsia="Times New Roman" w:cs="Times New Roman"/>
          <w:i/>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Procureur de l’intimée : Procureur général de la Colombie</w:t>
      </w:r>
      <w:r w:rsidRPr="006B31CB">
        <w:rPr>
          <w:rFonts w:eastAsia="Times New Roman" w:cs="Times New Roman"/>
          <w:i/>
          <w:sz w:val="20"/>
          <w:szCs w:val="20"/>
          <w:lang w:val="fr-CA" w:eastAsia="en-CA"/>
        </w:rPr>
        <w:noBreakHyphen/>
        <w:t>Britannique, Vancouver.</w:t>
      </w:r>
    </w:p>
    <w:p w:rsidR="006B31CB" w:rsidRPr="006B31CB" w:rsidRDefault="006B31CB" w:rsidP="006B31CB">
      <w:pPr>
        <w:tabs>
          <w:tab w:val="left" w:pos="1168"/>
        </w:tabs>
        <w:jc w:val="both"/>
        <w:rPr>
          <w:rFonts w:eastAsia="Times New Roman" w:cs="Times New Roman"/>
          <w:i/>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Procureur de l’intervenant le directeur des poursuites pénales du Canada : Service des poursuites pénales du Canada, Halifax.</w:t>
      </w:r>
    </w:p>
    <w:p w:rsidR="006B31CB" w:rsidRPr="006B31CB" w:rsidRDefault="006B31CB" w:rsidP="006B31CB">
      <w:pPr>
        <w:tabs>
          <w:tab w:val="left" w:pos="1168"/>
        </w:tabs>
        <w:jc w:val="both"/>
        <w:rPr>
          <w:rFonts w:eastAsia="Times New Roman" w:cs="Times New Roman"/>
          <w:i/>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Procureur de l’intervenant le procureur général de l’Ontario : Procureur général de l’Ontario, Toronto.</w:t>
      </w:r>
    </w:p>
    <w:p w:rsidR="006B31CB" w:rsidRPr="006B31CB" w:rsidRDefault="006B31CB" w:rsidP="006B31CB">
      <w:pPr>
        <w:tabs>
          <w:tab w:val="left" w:pos="1168"/>
        </w:tabs>
        <w:jc w:val="both"/>
        <w:rPr>
          <w:rFonts w:eastAsia="Times New Roman" w:cs="Times New Roman"/>
          <w:i/>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 xml:space="preserve">Procureurs de l’intervenante </w:t>
      </w:r>
      <w:proofErr w:type="spellStart"/>
      <w:r w:rsidRPr="006B31CB">
        <w:rPr>
          <w:rFonts w:eastAsia="Times New Roman" w:cs="Times New Roman"/>
          <w:i/>
          <w:sz w:val="20"/>
          <w:szCs w:val="20"/>
          <w:lang w:val="fr-CA" w:eastAsia="en-CA"/>
        </w:rPr>
        <w:t>Criminal</w:t>
      </w:r>
      <w:proofErr w:type="spellEnd"/>
      <w:r w:rsidRPr="006B31CB">
        <w:rPr>
          <w:rFonts w:eastAsia="Times New Roman" w:cs="Times New Roman"/>
          <w:i/>
          <w:sz w:val="20"/>
          <w:szCs w:val="20"/>
          <w:lang w:val="fr-CA" w:eastAsia="en-CA"/>
        </w:rPr>
        <w:t xml:space="preserve"> </w:t>
      </w:r>
      <w:proofErr w:type="spellStart"/>
      <w:r w:rsidRPr="006B31CB">
        <w:rPr>
          <w:rFonts w:eastAsia="Times New Roman" w:cs="Times New Roman"/>
          <w:i/>
          <w:sz w:val="20"/>
          <w:szCs w:val="20"/>
          <w:lang w:val="fr-CA" w:eastAsia="en-CA"/>
        </w:rPr>
        <w:t>Lawyers</w:t>
      </w:r>
      <w:proofErr w:type="spellEnd"/>
      <w:r w:rsidRPr="006B31CB">
        <w:rPr>
          <w:rFonts w:eastAsia="Times New Roman" w:cs="Times New Roman"/>
          <w:i/>
          <w:sz w:val="20"/>
          <w:szCs w:val="20"/>
          <w:lang w:val="fr-CA" w:eastAsia="en-CA"/>
        </w:rPr>
        <w:t xml:space="preserve">’ Association (Ontario) : Di Luca </w:t>
      </w:r>
      <w:proofErr w:type="spellStart"/>
      <w:r w:rsidRPr="006B31CB">
        <w:rPr>
          <w:rFonts w:eastAsia="Times New Roman" w:cs="Times New Roman"/>
          <w:i/>
          <w:sz w:val="20"/>
          <w:szCs w:val="20"/>
          <w:lang w:val="fr-CA" w:eastAsia="en-CA"/>
        </w:rPr>
        <w:t>Barristers</w:t>
      </w:r>
      <w:proofErr w:type="spellEnd"/>
      <w:r w:rsidRPr="006B31CB">
        <w:rPr>
          <w:rFonts w:eastAsia="Times New Roman" w:cs="Times New Roman"/>
          <w:i/>
          <w:sz w:val="20"/>
          <w:szCs w:val="20"/>
          <w:lang w:val="fr-CA" w:eastAsia="en-CA"/>
        </w:rPr>
        <w:t>, Toronto.</w:t>
      </w:r>
    </w:p>
    <w:p w:rsidR="006B31CB" w:rsidRPr="006B31CB" w:rsidRDefault="006B31CB" w:rsidP="006B31CB">
      <w:pPr>
        <w:tabs>
          <w:tab w:val="left" w:pos="1168"/>
        </w:tabs>
        <w:jc w:val="both"/>
        <w:rPr>
          <w:rFonts w:eastAsia="Times New Roman" w:cs="Times New Roman"/>
          <w:i/>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 xml:space="preserve">Procureurs de l’intervenante l’Association des avocats de la défense de Montréal : Desrosiers, </w:t>
      </w:r>
      <w:proofErr w:type="spellStart"/>
      <w:r w:rsidRPr="006B31CB">
        <w:rPr>
          <w:rFonts w:eastAsia="Times New Roman" w:cs="Times New Roman"/>
          <w:i/>
          <w:sz w:val="20"/>
          <w:szCs w:val="20"/>
          <w:lang w:val="fr-CA" w:eastAsia="en-CA"/>
        </w:rPr>
        <w:t>Joncas</w:t>
      </w:r>
      <w:proofErr w:type="spellEnd"/>
      <w:r w:rsidRPr="006B31CB">
        <w:rPr>
          <w:rFonts w:eastAsia="Times New Roman" w:cs="Times New Roman"/>
          <w:i/>
          <w:sz w:val="20"/>
          <w:szCs w:val="20"/>
          <w:lang w:val="fr-CA" w:eastAsia="en-CA"/>
        </w:rPr>
        <w:t xml:space="preserve">, </w:t>
      </w:r>
      <w:proofErr w:type="spellStart"/>
      <w:r w:rsidRPr="006B31CB">
        <w:rPr>
          <w:rFonts w:eastAsia="Times New Roman" w:cs="Times New Roman"/>
          <w:i/>
          <w:sz w:val="20"/>
          <w:szCs w:val="20"/>
          <w:lang w:val="fr-CA" w:eastAsia="en-CA"/>
        </w:rPr>
        <w:t>Nouraie</w:t>
      </w:r>
      <w:proofErr w:type="spellEnd"/>
      <w:r w:rsidRPr="006B31CB">
        <w:rPr>
          <w:rFonts w:eastAsia="Times New Roman" w:cs="Times New Roman"/>
          <w:i/>
          <w:sz w:val="20"/>
          <w:szCs w:val="20"/>
          <w:lang w:val="fr-CA" w:eastAsia="en-CA"/>
        </w:rPr>
        <w:t xml:space="preserve">, </w:t>
      </w:r>
      <w:proofErr w:type="spellStart"/>
      <w:r w:rsidRPr="006B31CB">
        <w:rPr>
          <w:rFonts w:eastAsia="Times New Roman" w:cs="Times New Roman"/>
          <w:i/>
          <w:sz w:val="20"/>
          <w:szCs w:val="20"/>
          <w:lang w:val="fr-CA" w:eastAsia="en-CA"/>
        </w:rPr>
        <w:t>Massicotte</w:t>
      </w:r>
      <w:proofErr w:type="spellEnd"/>
      <w:r w:rsidRPr="006B31CB">
        <w:rPr>
          <w:rFonts w:eastAsia="Times New Roman" w:cs="Times New Roman"/>
          <w:i/>
          <w:sz w:val="20"/>
          <w:szCs w:val="20"/>
          <w:lang w:val="fr-CA" w:eastAsia="en-CA"/>
        </w:rPr>
        <w:t>, Montréal; Association des avocats de la défense de Montréal, Montréal.</w:t>
      </w:r>
    </w:p>
    <w:p w:rsidR="006B31CB" w:rsidRPr="006B31CB" w:rsidRDefault="006B31CB" w:rsidP="006B31CB">
      <w:pPr>
        <w:tabs>
          <w:tab w:val="left" w:pos="1168"/>
        </w:tabs>
        <w:jc w:val="both"/>
        <w:rPr>
          <w:rFonts w:eastAsia="Times New Roman" w:cs="Times New Roman"/>
          <w:i/>
          <w:sz w:val="20"/>
          <w:szCs w:val="20"/>
          <w:lang w:val="fr-CA" w:eastAsia="en-CA"/>
        </w:rPr>
      </w:pPr>
    </w:p>
    <w:p w:rsidR="006B31CB" w:rsidRPr="00EA63C5" w:rsidRDefault="006B31CB" w:rsidP="006B31CB">
      <w:pPr>
        <w:tabs>
          <w:tab w:val="left" w:pos="1168"/>
        </w:tabs>
        <w:jc w:val="both"/>
        <w:rPr>
          <w:rFonts w:eastAsia="Times New Roman" w:cs="Times New Roman"/>
          <w:i/>
          <w:sz w:val="20"/>
          <w:szCs w:val="20"/>
          <w:lang w:val="fr-CA" w:eastAsia="en-CA"/>
        </w:rPr>
      </w:pPr>
      <w:r w:rsidRPr="006B31CB">
        <w:rPr>
          <w:rFonts w:eastAsia="Times New Roman" w:cs="Times New Roman"/>
          <w:i/>
          <w:sz w:val="20"/>
          <w:szCs w:val="20"/>
          <w:lang w:val="fr-CA" w:eastAsia="en-CA"/>
        </w:rPr>
        <w:tab/>
        <w:t xml:space="preserve">Procureurs de l’intervenante </w:t>
      </w:r>
      <w:r w:rsidRPr="00EA63C5">
        <w:rPr>
          <w:rFonts w:eastAsia="Times New Roman" w:cs="Times New Roman"/>
          <w:i/>
          <w:sz w:val="20"/>
          <w:szCs w:val="20"/>
          <w:lang w:val="fr-CA" w:eastAsia="en-CA"/>
        </w:rPr>
        <w:t>l’Association des libertés civiles de la Colombie</w:t>
      </w:r>
      <w:r w:rsidRPr="00EA63C5">
        <w:rPr>
          <w:rFonts w:eastAsia="Times New Roman" w:cs="Times New Roman"/>
          <w:i/>
          <w:sz w:val="20"/>
          <w:szCs w:val="20"/>
          <w:lang w:val="fr-CA" w:eastAsia="en-CA"/>
        </w:rPr>
        <w:noBreakHyphen/>
        <w:t>Britannique</w:t>
      </w:r>
      <w:r w:rsidRPr="006B31CB">
        <w:rPr>
          <w:rFonts w:eastAsia="Times New Roman" w:cs="Times New Roman"/>
          <w:i/>
          <w:sz w:val="20"/>
          <w:szCs w:val="20"/>
          <w:lang w:val="fr-CA" w:eastAsia="en-CA"/>
        </w:rPr>
        <w:t xml:space="preserve"> : Bull, Housser &amp; </w:t>
      </w:r>
      <w:proofErr w:type="spellStart"/>
      <w:r w:rsidRPr="006B31CB">
        <w:rPr>
          <w:rFonts w:eastAsia="Times New Roman" w:cs="Times New Roman"/>
          <w:i/>
          <w:sz w:val="20"/>
          <w:szCs w:val="20"/>
          <w:lang w:val="fr-CA" w:eastAsia="en-CA"/>
        </w:rPr>
        <w:t>Tupper</w:t>
      </w:r>
      <w:proofErr w:type="spellEnd"/>
      <w:r w:rsidRPr="006B31CB">
        <w:rPr>
          <w:rFonts w:eastAsia="Times New Roman" w:cs="Times New Roman"/>
          <w:i/>
          <w:sz w:val="20"/>
          <w:szCs w:val="20"/>
          <w:lang w:val="fr-CA" w:eastAsia="en-CA"/>
        </w:rPr>
        <w:t>, Vancouver.</w:t>
      </w:r>
    </w:p>
    <w:p w:rsidR="006B31CB" w:rsidRPr="006B31CB" w:rsidRDefault="006B31CB" w:rsidP="006B31CB">
      <w:pPr>
        <w:tabs>
          <w:tab w:val="left" w:pos="1168"/>
        </w:tabs>
        <w:jc w:val="both"/>
        <w:rPr>
          <w:rFonts w:eastAsia="Times New Roman" w:cs="Times New Roman"/>
          <w:i/>
          <w:sz w:val="20"/>
          <w:szCs w:val="20"/>
          <w:lang w:val="fr-CA" w:eastAsia="en-CA"/>
        </w:rPr>
      </w:pPr>
    </w:p>
    <w:p w:rsidR="00902E51" w:rsidRPr="00EA63C5" w:rsidRDefault="007F6DC5" w:rsidP="00902E51">
      <w:pPr>
        <w:rPr>
          <w:rFonts w:cs="Times New Roman"/>
          <w:sz w:val="20"/>
          <w:szCs w:val="20"/>
          <w:lang w:val="fr-CA"/>
        </w:rPr>
      </w:pPr>
      <w:r>
        <w:rPr>
          <w:rFonts w:cs="Times New Roman"/>
          <w:sz w:val="20"/>
          <w:szCs w:val="20"/>
          <w:lang w:val="fr-CA"/>
        </w:rPr>
        <w:pict>
          <v:rect id="_x0000_i1093" style="width:144.3pt;height:1pt" o:hrpct="300" o:hralign="center" o:hrstd="t" o:hrnoshade="t" o:hr="t" fillcolor="black [3213]" stroked="f"/>
        </w:pict>
      </w:r>
    </w:p>
    <w:p w:rsidR="005C6840" w:rsidRPr="00EA63C5" w:rsidRDefault="005C6840" w:rsidP="005C6840">
      <w:pPr>
        <w:jc w:val="both"/>
        <w:rPr>
          <w:sz w:val="20"/>
          <w:szCs w:val="20"/>
        </w:rPr>
      </w:pPr>
    </w:p>
    <w:p w:rsidR="006B31CB" w:rsidRPr="00EA63C5" w:rsidRDefault="006B31CB" w:rsidP="005C6840">
      <w:pPr>
        <w:jc w:val="both"/>
        <w:rPr>
          <w:sz w:val="20"/>
          <w:szCs w:val="20"/>
        </w:rPr>
      </w:pPr>
    </w:p>
    <w:p w:rsidR="006B31CB" w:rsidRPr="00EA63C5" w:rsidRDefault="006B31CB" w:rsidP="005C6840">
      <w:pPr>
        <w:jc w:val="both"/>
        <w:rPr>
          <w:sz w:val="20"/>
          <w:szCs w:val="20"/>
        </w:rPr>
      </w:pPr>
    </w:p>
    <w:p w:rsidR="00102926" w:rsidRPr="00EA63C5" w:rsidRDefault="00102926" w:rsidP="00782AE4">
      <w:pPr>
        <w:jc w:val="both"/>
        <w:rPr>
          <w:sz w:val="20"/>
          <w:szCs w:val="20"/>
        </w:rPr>
        <w:sectPr w:rsidR="00102926" w:rsidRPr="00EA63C5" w:rsidSect="00782AE4">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EA63C5" w:rsidTr="0085476B">
        <w:tc>
          <w:tcPr>
            <w:tcW w:w="4320" w:type="dxa"/>
            <w:shd w:val="clear" w:color="auto" w:fill="auto"/>
            <w:tcMar>
              <w:left w:w="0" w:type="dxa"/>
              <w:right w:w="0" w:type="dxa"/>
            </w:tcMar>
          </w:tcPr>
          <w:p w:rsidR="0022323B" w:rsidRPr="00EA63C5" w:rsidRDefault="0022323B" w:rsidP="00DC09FC">
            <w:pPr>
              <w:keepNext/>
              <w:keepLines/>
              <w:rPr>
                <w:b/>
                <w:szCs w:val="24"/>
              </w:rPr>
            </w:pPr>
            <w:r w:rsidRPr="00EA63C5">
              <w:rPr>
                <w:b/>
                <w:szCs w:val="24"/>
              </w:rPr>
              <w:lastRenderedPageBreak/>
              <w:t xml:space="preserve">AGENDA FOR </w:t>
            </w:r>
            <w:r w:rsidR="00DC09FC" w:rsidRPr="00EA63C5">
              <w:rPr>
                <w:b/>
                <w:szCs w:val="24"/>
              </w:rPr>
              <w:t>NOVEMBER</w:t>
            </w:r>
            <w:r w:rsidR="005F1ED8" w:rsidRPr="00EA63C5">
              <w:rPr>
                <w:b/>
                <w:szCs w:val="24"/>
              </w:rPr>
              <w:t xml:space="preserve"> 201</w:t>
            </w:r>
            <w:r w:rsidR="00E942C2" w:rsidRPr="00EA63C5">
              <w:rPr>
                <w:b/>
                <w:szCs w:val="24"/>
              </w:rPr>
              <w:t>6</w:t>
            </w:r>
          </w:p>
        </w:tc>
        <w:tc>
          <w:tcPr>
            <w:tcW w:w="840" w:type="dxa"/>
            <w:shd w:val="clear" w:color="auto" w:fill="auto"/>
            <w:tcMar>
              <w:left w:w="0" w:type="dxa"/>
              <w:right w:w="0" w:type="dxa"/>
            </w:tcMar>
          </w:tcPr>
          <w:p w:rsidR="0022323B" w:rsidRPr="00EA63C5" w:rsidRDefault="0022323B" w:rsidP="0022323B">
            <w:pPr>
              <w:keepNext/>
              <w:keepLines/>
              <w:jc w:val="center"/>
              <w:rPr>
                <w:b/>
                <w:szCs w:val="24"/>
              </w:rPr>
            </w:pPr>
          </w:p>
          <w:p w:rsidR="0022323B" w:rsidRPr="00EA63C5" w:rsidRDefault="0022323B" w:rsidP="0022323B">
            <w:pPr>
              <w:keepNext/>
              <w:keepLines/>
              <w:jc w:val="center"/>
              <w:rPr>
                <w:b/>
                <w:szCs w:val="24"/>
              </w:rPr>
            </w:pPr>
          </w:p>
        </w:tc>
        <w:tc>
          <w:tcPr>
            <w:tcW w:w="4320" w:type="dxa"/>
            <w:shd w:val="clear" w:color="auto" w:fill="auto"/>
            <w:tcMar>
              <w:left w:w="0" w:type="dxa"/>
              <w:right w:w="0" w:type="dxa"/>
            </w:tcMar>
          </w:tcPr>
          <w:p w:rsidR="0022323B" w:rsidRPr="00EA63C5" w:rsidRDefault="0022323B" w:rsidP="00DC09FC">
            <w:pPr>
              <w:keepNext/>
              <w:keepLines/>
              <w:rPr>
                <w:b/>
                <w:szCs w:val="24"/>
                <w:lang w:val="fr-CA"/>
              </w:rPr>
            </w:pPr>
            <w:r w:rsidRPr="00EA63C5">
              <w:rPr>
                <w:b/>
                <w:szCs w:val="24"/>
                <w:lang w:val="fr-CA"/>
              </w:rPr>
              <w:t>CALENDRIER D</w:t>
            </w:r>
            <w:r w:rsidR="00DC09FC" w:rsidRPr="00EA63C5">
              <w:rPr>
                <w:b/>
                <w:szCs w:val="24"/>
                <w:lang w:val="fr-CA"/>
              </w:rPr>
              <w:t>E NOVEMBRE</w:t>
            </w:r>
            <w:r w:rsidRPr="00EA63C5">
              <w:rPr>
                <w:b/>
                <w:szCs w:val="24"/>
                <w:lang w:val="fr-CA"/>
              </w:rPr>
              <w:t xml:space="preserve"> </w:t>
            </w:r>
            <w:r w:rsidR="005F1ED8" w:rsidRPr="00EA63C5">
              <w:rPr>
                <w:b/>
                <w:szCs w:val="24"/>
                <w:lang w:val="fr-CA"/>
              </w:rPr>
              <w:t>201</w:t>
            </w:r>
            <w:r w:rsidR="00E75CFD" w:rsidRPr="00EA63C5">
              <w:rPr>
                <w:b/>
                <w:szCs w:val="24"/>
                <w:lang w:val="fr-CA"/>
              </w:rPr>
              <w:t>6</w:t>
            </w:r>
          </w:p>
        </w:tc>
      </w:tr>
    </w:tbl>
    <w:p w:rsidR="004B66B4" w:rsidRPr="00EA63C5" w:rsidRDefault="004B66B4" w:rsidP="004B66B4">
      <w:pPr>
        <w:rPr>
          <w:b/>
          <w:sz w:val="20"/>
          <w:szCs w:val="20"/>
        </w:rPr>
      </w:pPr>
    </w:p>
    <w:p w:rsidR="005F1ED8" w:rsidRPr="00EA63C5" w:rsidRDefault="005F1ED8" w:rsidP="005F1ED8">
      <w:pPr>
        <w:rPr>
          <w:b/>
          <w:sz w:val="20"/>
          <w:szCs w:val="20"/>
        </w:rPr>
      </w:pPr>
      <w:r w:rsidRPr="00EA63C5">
        <w:rPr>
          <w:b/>
          <w:sz w:val="20"/>
          <w:szCs w:val="20"/>
        </w:rPr>
        <w:t xml:space="preserve">AGENDA for the weeks of </w:t>
      </w:r>
      <w:r w:rsidR="00DC09FC" w:rsidRPr="00EA63C5">
        <w:rPr>
          <w:b/>
          <w:sz w:val="20"/>
          <w:szCs w:val="20"/>
        </w:rPr>
        <w:t>October 31 and November 7</w:t>
      </w:r>
      <w:r w:rsidRPr="00EA63C5">
        <w:rPr>
          <w:b/>
          <w:sz w:val="20"/>
          <w:szCs w:val="20"/>
        </w:rPr>
        <w:t>, 201</w:t>
      </w:r>
      <w:r w:rsidR="00E75CFD" w:rsidRPr="00EA63C5">
        <w:rPr>
          <w:b/>
          <w:sz w:val="20"/>
          <w:szCs w:val="20"/>
        </w:rPr>
        <w:t>6</w:t>
      </w:r>
      <w:r w:rsidRPr="00EA63C5">
        <w:rPr>
          <w:b/>
          <w:sz w:val="20"/>
          <w:szCs w:val="20"/>
        </w:rPr>
        <w:t>.</w:t>
      </w:r>
    </w:p>
    <w:p w:rsidR="005F1ED8" w:rsidRPr="00EA63C5" w:rsidRDefault="005F1ED8" w:rsidP="005F1ED8">
      <w:pPr>
        <w:rPr>
          <w:sz w:val="20"/>
          <w:szCs w:val="20"/>
          <w:lang w:val="fr-CA"/>
        </w:rPr>
      </w:pPr>
      <w:r w:rsidRPr="00EA63C5">
        <w:rPr>
          <w:b/>
          <w:sz w:val="20"/>
          <w:szCs w:val="20"/>
          <w:lang w:val="fr-CA"/>
        </w:rPr>
        <w:t xml:space="preserve">CALENDRIER de la semaine du </w:t>
      </w:r>
      <w:r w:rsidR="00DC09FC" w:rsidRPr="00EA63C5">
        <w:rPr>
          <w:b/>
          <w:sz w:val="20"/>
          <w:szCs w:val="20"/>
          <w:lang w:val="fr-CA"/>
        </w:rPr>
        <w:t>31 octobre</w:t>
      </w:r>
      <w:r w:rsidRPr="00EA63C5">
        <w:rPr>
          <w:b/>
          <w:sz w:val="20"/>
          <w:szCs w:val="20"/>
          <w:lang w:val="fr-CA"/>
        </w:rPr>
        <w:t xml:space="preserve"> et celle du </w:t>
      </w:r>
      <w:r w:rsidR="00DC09FC" w:rsidRPr="00EA63C5">
        <w:rPr>
          <w:b/>
          <w:sz w:val="20"/>
          <w:szCs w:val="20"/>
          <w:lang w:val="fr-CA"/>
        </w:rPr>
        <w:t>7 novembre</w:t>
      </w:r>
      <w:r w:rsidRPr="00EA63C5">
        <w:rPr>
          <w:b/>
          <w:sz w:val="20"/>
          <w:szCs w:val="20"/>
          <w:lang w:val="fr-CA"/>
        </w:rPr>
        <w:t xml:space="preserve"> 201</w:t>
      </w:r>
      <w:r w:rsidR="00E75CFD" w:rsidRPr="00EA63C5">
        <w:rPr>
          <w:b/>
          <w:sz w:val="20"/>
          <w:szCs w:val="20"/>
          <w:lang w:val="fr-CA"/>
        </w:rPr>
        <w:t>6</w:t>
      </w:r>
      <w:r w:rsidRPr="00EA63C5">
        <w:rPr>
          <w:b/>
          <w:sz w:val="20"/>
          <w:szCs w:val="20"/>
          <w:lang w:val="fr-CA"/>
        </w:rPr>
        <w:t>.</w:t>
      </w:r>
    </w:p>
    <w:p w:rsidR="005F1ED8" w:rsidRPr="00EA63C5" w:rsidRDefault="005F1ED8" w:rsidP="005F1ED8">
      <w:pPr>
        <w:rPr>
          <w:sz w:val="20"/>
          <w:szCs w:val="20"/>
          <w:lang w:val="fr-CA"/>
        </w:rPr>
      </w:pPr>
    </w:p>
    <w:p w:rsidR="005F1ED8" w:rsidRPr="00EA63C5" w:rsidRDefault="005F1ED8" w:rsidP="005F1ED8">
      <w:pPr>
        <w:rPr>
          <w:sz w:val="20"/>
          <w:szCs w:val="20"/>
        </w:rPr>
      </w:pPr>
      <w:r w:rsidRPr="00EA63C5">
        <w:rPr>
          <w:sz w:val="20"/>
          <w:szCs w:val="20"/>
        </w:rPr>
        <w:t xml:space="preserve">The Court will not be sitting during the weeks of </w:t>
      </w:r>
      <w:r w:rsidR="00DC09FC" w:rsidRPr="00EA63C5">
        <w:rPr>
          <w:sz w:val="20"/>
          <w:szCs w:val="20"/>
        </w:rPr>
        <w:t>November 14</w:t>
      </w:r>
      <w:r w:rsidRPr="00EA63C5">
        <w:rPr>
          <w:sz w:val="20"/>
          <w:szCs w:val="20"/>
        </w:rPr>
        <w:t xml:space="preserve"> and </w:t>
      </w:r>
      <w:r w:rsidR="00DC09FC" w:rsidRPr="00EA63C5">
        <w:rPr>
          <w:sz w:val="20"/>
          <w:szCs w:val="20"/>
        </w:rPr>
        <w:t>21</w:t>
      </w:r>
      <w:r w:rsidRPr="00EA63C5">
        <w:rPr>
          <w:sz w:val="20"/>
          <w:szCs w:val="20"/>
        </w:rPr>
        <w:t>, 201</w:t>
      </w:r>
      <w:r w:rsidR="00E75CFD" w:rsidRPr="00EA63C5">
        <w:rPr>
          <w:sz w:val="20"/>
          <w:szCs w:val="20"/>
        </w:rPr>
        <w:t>6</w:t>
      </w:r>
      <w:r w:rsidRPr="00EA63C5">
        <w:rPr>
          <w:sz w:val="20"/>
          <w:szCs w:val="20"/>
        </w:rPr>
        <w:t>.</w:t>
      </w:r>
    </w:p>
    <w:p w:rsidR="005F1ED8" w:rsidRPr="00EA63C5" w:rsidRDefault="005F1ED8" w:rsidP="005F1ED8">
      <w:pPr>
        <w:rPr>
          <w:sz w:val="20"/>
          <w:szCs w:val="20"/>
          <w:lang w:val="fr-CA"/>
        </w:rPr>
      </w:pPr>
      <w:r w:rsidRPr="00EA63C5">
        <w:rPr>
          <w:sz w:val="20"/>
          <w:szCs w:val="20"/>
          <w:lang w:val="fr-CA"/>
        </w:rPr>
        <w:t xml:space="preserve">La Cour ne siègera pas pendant les semaines du </w:t>
      </w:r>
      <w:r w:rsidR="00DC09FC" w:rsidRPr="00EA63C5">
        <w:rPr>
          <w:sz w:val="20"/>
          <w:szCs w:val="20"/>
          <w:lang w:val="fr-CA"/>
        </w:rPr>
        <w:t>14</w:t>
      </w:r>
      <w:r w:rsidRPr="00EA63C5">
        <w:rPr>
          <w:sz w:val="20"/>
          <w:szCs w:val="20"/>
          <w:lang w:val="fr-CA"/>
        </w:rPr>
        <w:t xml:space="preserve"> et du 2</w:t>
      </w:r>
      <w:r w:rsidR="00DC09FC" w:rsidRPr="00EA63C5">
        <w:rPr>
          <w:sz w:val="20"/>
          <w:szCs w:val="20"/>
          <w:lang w:val="fr-CA"/>
        </w:rPr>
        <w:t>1</w:t>
      </w:r>
      <w:r w:rsidRPr="00EA63C5">
        <w:rPr>
          <w:sz w:val="20"/>
          <w:szCs w:val="20"/>
          <w:lang w:val="fr-CA"/>
        </w:rPr>
        <w:t xml:space="preserve"> </w:t>
      </w:r>
      <w:r w:rsidR="00DC09FC" w:rsidRPr="00EA63C5">
        <w:rPr>
          <w:sz w:val="20"/>
          <w:szCs w:val="20"/>
          <w:lang w:val="fr-CA"/>
        </w:rPr>
        <w:t>novembre</w:t>
      </w:r>
      <w:r w:rsidRPr="00EA63C5">
        <w:rPr>
          <w:sz w:val="20"/>
          <w:szCs w:val="20"/>
          <w:lang w:val="fr-CA"/>
        </w:rPr>
        <w:t xml:space="preserve"> 201</w:t>
      </w:r>
      <w:r w:rsidR="00E75CFD" w:rsidRPr="00EA63C5">
        <w:rPr>
          <w:sz w:val="20"/>
          <w:szCs w:val="20"/>
          <w:lang w:val="fr-CA"/>
        </w:rPr>
        <w:t>6</w:t>
      </w:r>
      <w:r w:rsidRPr="00EA63C5">
        <w:rPr>
          <w:sz w:val="20"/>
          <w:szCs w:val="20"/>
          <w:lang w:val="fr-CA"/>
        </w:rPr>
        <w:t>.</w:t>
      </w:r>
    </w:p>
    <w:p w:rsidR="004B66B4" w:rsidRPr="00EA63C5" w:rsidRDefault="007F6DC5" w:rsidP="004B66B4">
      <w:pPr>
        <w:rPr>
          <w:sz w:val="20"/>
          <w:szCs w:val="20"/>
        </w:rPr>
      </w:pPr>
      <w:r>
        <w:rPr>
          <w:sz w:val="20"/>
          <w:szCs w:val="20"/>
        </w:rPr>
        <w:pict>
          <v:rect id="_x0000_i1096" style="width:480.95pt;height:1pt" o:hralign="center" o:hrstd="t" o:hrnoshade="t" o:hr="t" fillcolor="black [3213]" stroked="f"/>
        </w:pict>
      </w:r>
    </w:p>
    <w:p w:rsidR="004B66B4" w:rsidRPr="00EA63C5" w:rsidRDefault="004B66B4" w:rsidP="004B66B4">
      <w:pPr>
        <w:rPr>
          <w:sz w:val="20"/>
          <w:szCs w:val="20"/>
          <w:lang w:val="fr-CA"/>
        </w:rPr>
      </w:pPr>
    </w:p>
    <w:tbl>
      <w:tblPr>
        <w:tblStyle w:val="TableGrid"/>
        <w:tblW w:w="9576" w:type="dxa"/>
        <w:tblBorders>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F74CAA" w:rsidRPr="007F6DC5" w:rsidTr="004B3AE0">
        <w:trPr>
          <w:cantSplit/>
        </w:trPr>
        <w:tc>
          <w:tcPr>
            <w:tcW w:w="2398" w:type="dxa"/>
          </w:tcPr>
          <w:p w:rsidR="00F74CAA" w:rsidRPr="00EA63C5" w:rsidRDefault="00F74CAA" w:rsidP="004B3AE0">
            <w:pPr>
              <w:rPr>
                <w:sz w:val="20"/>
                <w:szCs w:val="20"/>
              </w:rPr>
            </w:pPr>
            <w:r w:rsidRPr="00EA63C5">
              <w:rPr>
                <w:sz w:val="20"/>
                <w:szCs w:val="20"/>
              </w:rPr>
              <w:t>DATE OF HEARING /</w:t>
            </w:r>
          </w:p>
          <w:p w:rsidR="00F74CAA" w:rsidRPr="00EA63C5" w:rsidRDefault="00F74CAA" w:rsidP="004B3AE0">
            <w:pPr>
              <w:rPr>
                <w:sz w:val="20"/>
                <w:szCs w:val="20"/>
              </w:rPr>
            </w:pPr>
            <w:r w:rsidRPr="00EA63C5">
              <w:rPr>
                <w:sz w:val="20"/>
                <w:szCs w:val="20"/>
              </w:rPr>
              <w:t>DATE D’AUDITION</w:t>
            </w:r>
          </w:p>
        </w:tc>
        <w:tc>
          <w:tcPr>
            <w:tcW w:w="7178" w:type="dxa"/>
          </w:tcPr>
          <w:p w:rsidR="00F74CAA" w:rsidRPr="00EA63C5" w:rsidRDefault="00F74CAA" w:rsidP="004B3AE0">
            <w:pPr>
              <w:rPr>
                <w:sz w:val="20"/>
                <w:szCs w:val="20"/>
                <w:lang w:val="fr-CA"/>
              </w:rPr>
            </w:pPr>
            <w:r w:rsidRPr="00EA63C5">
              <w:rPr>
                <w:sz w:val="20"/>
                <w:szCs w:val="20"/>
                <w:lang w:val="fr-CA"/>
              </w:rPr>
              <w:t>NAME AND CASE NUMBER /</w:t>
            </w:r>
          </w:p>
          <w:p w:rsidR="00F74CAA" w:rsidRPr="00EA63C5" w:rsidRDefault="00F74CAA" w:rsidP="004B3AE0">
            <w:pPr>
              <w:rPr>
                <w:sz w:val="20"/>
                <w:szCs w:val="20"/>
                <w:lang w:val="fr-CA"/>
              </w:rPr>
            </w:pPr>
            <w:r w:rsidRPr="00EA63C5">
              <w:rPr>
                <w:sz w:val="20"/>
                <w:szCs w:val="20"/>
                <w:lang w:val="fr-CA"/>
              </w:rPr>
              <w:t>NOM DE LA CAUSE ET NUMÉRO</w:t>
            </w: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2016-10-31</w:t>
            </w:r>
          </w:p>
        </w:tc>
        <w:tc>
          <w:tcPr>
            <w:tcW w:w="7178" w:type="dxa"/>
          </w:tcPr>
          <w:p w:rsidR="00F74CAA" w:rsidRPr="00EA63C5" w:rsidRDefault="00F74CAA" w:rsidP="00F74CAA">
            <w:pPr>
              <w:jc w:val="both"/>
              <w:rPr>
                <w:sz w:val="20"/>
                <w:szCs w:val="20"/>
              </w:rPr>
            </w:pPr>
            <w:r w:rsidRPr="00EA63C5">
              <w:rPr>
                <w:rStyle w:val="SCCSsocChar"/>
              </w:rPr>
              <w:t>Dennis James Oland v. Her Majesty the Queen</w:t>
            </w:r>
            <w:r w:rsidRPr="00EA63C5">
              <w:rPr>
                <w:sz w:val="20"/>
                <w:szCs w:val="20"/>
              </w:rPr>
              <w:t xml:space="preserve"> (N.B.) (Criminal) (By Leave) (36986)</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2016-11-01</w:t>
            </w:r>
          </w:p>
        </w:tc>
        <w:tc>
          <w:tcPr>
            <w:tcW w:w="7178" w:type="dxa"/>
          </w:tcPr>
          <w:p w:rsidR="00F74CAA" w:rsidRPr="00EA63C5" w:rsidRDefault="00F74CAA" w:rsidP="00F74CAA">
            <w:pPr>
              <w:jc w:val="both"/>
              <w:rPr>
                <w:sz w:val="20"/>
                <w:szCs w:val="20"/>
              </w:rPr>
            </w:pPr>
            <w:r w:rsidRPr="00EA63C5">
              <w:rPr>
                <w:rStyle w:val="SCCSsocChar"/>
              </w:rPr>
              <w:t>Teal Cedar Products Ltd., et al. v. Her Majesty the Queen in Right of the Province of British Columbia, et al.</w:t>
            </w:r>
            <w:r w:rsidRPr="00EA63C5">
              <w:rPr>
                <w:sz w:val="20"/>
                <w:szCs w:val="20"/>
              </w:rPr>
              <w:t xml:space="preserve"> (B.C.) (Civil) (By Leave) (36595)</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2016-11-01</w:t>
            </w:r>
          </w:p>
        </w:tc>
        <w:tc>
          <w:tcPr>
            <w:tcW w:w="7178" w:type="dxa"/>
          </w:tcPr>
          <w:p w:rsidR="00F74CAA" w:rsidRPr="00EA63C5" w:rsidRDefault="00F74CAA" w:rsidP="00F74CAA">
            <w:pPr>
              <w:jc w:val="both"/>
              <w:rPr>
                <w:sz w:val="20"/>
                <w:szCs w:val="20"/>
              </w:rPr>
            </w:pPr>
            <w:r w:rsidRPr="00EA63C5">
              <w:rPr>
                <w:rStyle w:val="SCCSsocChar"/>
              </w:rPr>
              <w:t>Urban Communications Inc. v. BCNET Networking Society</w:t>
            </w:r>
            <w:r w:rsidRPr="00EA63C5">
              <w:rPr>
                <w:sz w:val="20"/>
                <w:szCs w:val="20"/>
              </w:rPr>
              <w:t xml:space="preserve"> (B.C.) (Civil) (By Leave) (36639)</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2016-11-02</w:t>
            </w:r>
          </w:p>
        </w:tc>
        <w:tc>
          <w:tcPr>
            <w:tcW w:w="7178" w:type="dxa"/>
          </w:tcPr>
          <w:p w:rsidR="00F74CAA" w:rsidRPr="00EA63C5" w:rsidRDefault="00F74CAA" w:rsidP="00F74CAA">
            <w:pPr>
              <w:jc w:val="both"/>
              <w:rPr>
                <w:sz w:val="20"/>
                <w:szCs w:val="20"/>
              </w:rPr>
            </w:pPr>
            <w:r w:rsidRPr="00EA63C5">
              <w:rPr>
                <w:rStyle w:val="SCCSsocChar"/>
              </w:rPr>
              <w:t>Brendan Paterson v. Her Majesty the Queen</w:t>
            </w:r>
            <w:r w:rsidRPr="00EA63C5">
              <w:rPr>
                <w:sz w:val="20"/>
                <w:szCs w:val="20"/>
              </w:rPr>
              <w:t xml:space="preserve"> (B.C.) (Criminal) (By Leave) (36472)</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2016-11-03</w:t>
            </w:r>
          </w:p>
        </w:tc>
        <w:tc>
          <w:tcPr>
            <w:tcW w:w="7178" w:type="dxa"/>
          </w:tcPr>
          <w:p w:rsidR="00F74CAA" w:rsidRPr="00EA63C5" w:rsidRDefault="00F74CAA" w:rsidP="00F74CAA">
            <w:pPr>
              <w:jc w:val="both"/>
              <w:rPr>
                <w:sz w:val="20"/>
                <w:szCs w:val="20"/>
              </w:rPr>
            </w:pPr>
            <w:r w:rsidRPr="00EA63C5">
              <w:rPr>
                <w:rStyle w:val="SCCSsocChar"/>
              </w:rPr>
              <w:t>Her Majesty the Queen v. Robert David Nicholas Bradshaw</w:t>
            </w:r>
            <w:r w:rsidRPr="00EA63C5">
              <w:rPr>
                <w:sz w:val="20"/>
                <w:szCs w:val="20"/>
              </w:rPr>
              <w:t xml:space="preserve"> (B.C.) (Criminal) (By Leave) (36537)</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2016-11-04</w:t>
            </w:r>
          </w:p>
        </w:tc>
        <w:tc>
          <w:tcPr>
            <w:tcW w:w="7178" w:type="dxa"/>
          </w:tcPr>
          <w:p w:rsidR="00F74CAA" w:rsidRPr="00EA63C5" w:rsidRDefault="00F74CAA" w:rsidP="00F74CAA">
            <w:pPr>
              <w:jc w:val="both"/>
              <w:rPr>
                <w:sz w:val="20"/>
                <w:szCs w:val="20"/>
              </w:rPr>
            </w:pPr>
            <w:r w:rsidRPr="00EA63C5">
              <w:rPr>
                <w:rStyle w:val="SCCSsocChar"/>
              </w:rPr>
              <w:t xml:space="preserve">Deborah Louise </w:t>
            </w:r>
            <w:proofErr w:type="spellStart"/>
            <w:r w:rsidRPr="00EA63C5">
              <w:rPr>
                <w:rStyle w:val="SCCSsocChar"/>
              </w:rPr>
              <w:t>Douez</w:t>
            </w:r>
            <w:proofErr w:type="spellEnd"/>
            <w:r w:rsidRPr="00EA63C5">
              <w:rPr>
                <w:rStyle w:val="SCCSsocChar"/>
              </w:rPr>
              <w:t xml:space="preserve"> v. Facebook, Inc.</w:t>
            </w:r>
            <w:r w:rsidRPr="00EA63C5">
              <w:rPr>
                <w:sz w:val="20"/>
                <w:szCs w:val="20"/>
              </w:rPr>
              <w:t xml:space="preserve"> (B.C.) (Civil) (By Leave) (36616)</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2016-11-08</w:t>
            </w:r>
          </w:p>
        </w:tc>
        <w:tc>
          <w:tcPr>
            <w:tcW w:w="7178" w:type="dxa"/>
          </w:tcPr>
          <w:p w:rsidR="00F74CAA" w:rsidRPr="00EA63C5" w:rsidRDefault="00F74CAA" w:rsidP="00F74CAA">
            <w:pPr>
              <w:jc w:val="both"/>
              <w:rPr>
                <w:sz w:val="20"/>
                <w:szCs w:val="20"/>
              </w:rPr>
            </w:pPr>
            <w:proofErr w:type="spellStart"/>
            <w:r w:rsidRPr="00EA63C5">
              <w:rPr>
                <w:rStyle w:val="SCCSsocChar"/>
                <w:lang w:val="fr-CA"/>
              </w:rPr>
              <w:t>AstraZeneca</w:t>
            </w:r>
            <w:proofErr w:type="spellEnd"/>
            <w:r w:rsidRPr="00EA63C5">
              <w:rPr>
                <w:rStyle w:val="SCCSsocChar"/>
                <w:lang w:val="fr-CA"/>
              </w:rPr>
              <w:t xml:space="preserve"> Canada Inc., et al. v. </w:t>
            </w:r>
            <w:proofErr w:type="spellStart"/>
            <w:r w:rsidRPr="00EA63C5">
              <w:rPr>
                <w:rStyle w:val="SCCSsocChar"/>
                <w:lang w:val="fr-CA"/>
              </w:rPr>
              <w:t>Apotex</w:t>
            </w:r>
            <w:proofErr w:type="spellEnd"/>
            <w:r w:rsidRPr="00EA63C5">
              <w:rPr>
                <w:rStyle w:val="SCCSsocChar"/>
                <w:lang w:val="fr-CA"/>
              </w:rPr>
              <w:t xml:space="preserve"> Inc., et al.</w:t>
            </w:r>
            <w:r w:rsidRPr="00EA63C5">
              <w:rPr>
                <w:sz w:val="20"/>
                <w:szCs w:val="20"/>
                <w:lang w:val="fr-CA"/>
              </w:rPr>
              <w:t xml:space="preserve"> </w:t>
            </w:r>
            <w:r w:rsidRPr="00EA63C5">
              <w:rPr>
                <w:sz w:val="20"/>
                <w:szCs w:val="20"/>
              </w:rPr>
              <w:t>(FC) (Civil) (By Leave) (36654)</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2016-11-09</w:t>
            </w:r>
          </w:p>
        </w:tc>
        <w:tc>
          <w:tcPr>
            <w:tcW w:w="7178" w:type="dxa"/>
          </w:tcPr>
          <w:p w:rsidR="00F74CAA" w:rsidRPr="00EA63C5" w:rsidRDefault="00F74CAA" w:rsidP="00F74CAA">
            <w:pPr>
              <w:jc w:val="both"/>
              <w:rPr>
                <w:sz w:val="20"/>
                <w:szCs w:val="20"/>
              </w:rPr>
            </w:pPr>
            <w:r w:rsidRPr="00EA63C5">
              <w:rPr>
                <w:rStyle w:val="SCCSsocChar"/>
              </w:rPr>
              <w:t>Sidney Green v. Law Society of Manitoba</w:t>
            </w:r>
            <w:r w:rsidRPr="00EA63C5">
              <w:rPr>
                <w:sz w:val="20"/>
                <w:szCs w:val="20"/>
              </w:rPr>
              <w:t xml:space="preserve"> (Man.) (Civil) (By Leave) (36583)</w:t>
            </w:r>
          </w:p>
          <w:p w:rsidR="00F74CAA" w:rsidRPr="00EA63C5" w:rsidRDefault="00F74CAA" w:rsidP="00F74CAA">
            <w:pPr>
              <w:jc w:val="both"/>
              <w:rPr>
                <w:sz w:val="20"/>
                <w:szCs w:val="20"/>
              </w:rPr>
            </w:pPr>
          </w:p>
        </w:tc>
      </w:tr>
      <w:tr w:rsidR="00F74CAA" w:rsidRPr="00EA63C5" w:rsidTr="004B3AE0">
        <w:trPr>
          <w:cantSplit/>
        </w:trPr>
        <w:tc>
          <w:tcPr>
            <w:tcW w:w="2398" w:type="dxa"/>
          </w:tcPr>
          <w:p w:rsidR="00F74CAA" w:rsidRPr="00EA63C5" w:rsidRDefault="00F74CAA" w:rsidP="00F74CAA">
            <w:pPr>
              <w:rPr>
                <w:sz w:val="20"/>
                <w:szCs w:val="20"/>
              </w:rPr>
            </w:pPr>
            <w:r w:rsidRPr="00EA63C5">
              <w:rPr>
                <w:sz w:val="20"/>
                <w:szCs w:val="20"/>
              </w:rPr>
              <w:t>2016-11-10</w:t>
            </w:r>
          </w:p>
        </w:tc>
        <w:tc>
          <w:tcPr>
            <w:tcW w:w="7178" w:type="dxa"/>
          </w:tcPr>
          <w:p w:rsidR="00F74CAA" w:rsidRPr="00EA63C5" w:rsidRDefault="00F74CAA" w:rsidP="00F74CAA">
            <w:pPr>
              <w:jc w:val="both"/>
              <w:rPr>
                <w:sz w:val="20"/>
                <w:szCs w:val="20"/>
              </w:rPr>
            </w:pPr>
            <w:r w:rsidRPr="00EA63C5">
              <w:rPr>
                <w:rStyle w:val="SCCSsocChar"/>
              </w:rPr>
              <w:t>British Columbia Teachers' Federation, on behalf of all members of the British Columbia Teachers' Federation v. Her Majesty the Queen in Right of the Province of British Columbia</w:t>
            </w:r>
            <w:r w:rsidRPr="00EA63C5">
              <w:rPr>
                <w:sz w:val="20"/>
                <w:szCs w:val="20"/>
              </w:rPr>
              <w:t xml:space="preserve"> (B.C.) (Civil) (By Leave) (36500)</w:t>
            </w:r>
          </w:p>
          <w:p w:rsidR="00F74CAA" w:rsidRPr="00EA63C5" w:rsidRDefault="00F74CAA" w:rsidP="00F74CAA">
            <w:pPr>
              <w:jc w:val="both"/>
              <w:rPr>
                <w:sz w:val="20"/>
                <w:szCs w:val="20"/>
              </w:rPr>
            </w:pPr>
          </w:p>
        </w:tc>
      </w:tr>
    </w:tbl>
    <w:p w:rsidR="005F1ED8" w:rsidRPr="00EA63C5" w:rsidRDefault="005F1ED8" w:rsidP="004B66B4">
      <w:pPr>
        <w:rPr>
          <w:sz w:val="20"/>
          <w:szCs w:val="20"/>
          <w:lang w:val="fr-CA"/>
        </w:rPr>
      </w:pPr>
    </w:p>
    <w:p w:rsidR="004B66B4" w:rsidRPr="00EA63C5" w:rsidRDefault="007F6DC5" w:rsidP="002868D0">
      <w:pPr>
        <w:jc w:val="both"/>
        <w:rPr>
          <w:sz w:val="20"/>
          <w:szCs w:val="20"/>
        </w:rPr>
      </w:pPr>
      <w:r>
        <w:rPr>
          <w:sz w:val="20"/>
          <w:szCs w:val="20"/>
          <w:lang w:val="fr-CA"/>
        </w:rPr>
        <w:pict>
          <v:rect id="_x0000_i1097" style="width:2in;height:1pt" o:hrpct="0" o:hralign="center" o:hrstd="t" o:hrnoshade="t" o:hr="t" fillcolor="black [3213]" stroked="f"/>
        </w:pict>
      </w:r>
    </w:p>
    <w:p w:rsidR="004B66B4" w:rsidRPr="00EA63C5" w:rsidRDefault="004B66B4" w:rsidP="004B66B4">
      <w:pPr>
        <w:tabs>
          <w:tab w:val="left" w:pos="1980"/>
        </w:tabs>
        <w:jc w:val="both"/>
        <w:rPr>
          <w:sz w:val="20"/>
          <w:szCs w:val="20"/>
        </w:rPr>
      </w:pPr>
    </w:p>
    <w:p w:rsidR="004B66B4" w:rsidRPr="00EA63C5" w:rsidRDefault="004B66B4" w:rsidP="004B66B4">
      <w:pPr>
        <w:jc w:val="both"/>
        <w:rPr>
          <w:sz w:val="20"/>
          <w:szCs w:val="20"/>
        </w:rPr>
      </w:pPr>
      <w:r w:rsidRPr="00EA63C5">
        <w:rPr>
          <w:b/>
          <w:sz w:val="20"/>
          <w:szCs w:val="20"/>
        </w:rPr>
        <w:t>NOTE:</w:t>
      </w:r>
      <w:r w:rsidRPr="00EA63C5">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EA63C5">
        <w:rPr>
          <w:sz w:val="20"/>
          <w:szCs w:val="20"/>
        </w:rPr>
        <w:t>-</w:t>
      </w:r>
      <w:r w:rsidRPr="00EA63C5">
        <w:rPr>
          <w:sz w:val="20"/>
          <w:szCs w:val="20"/>
        </w:rPr>
        <w:t xml:space="preserve"> 996-8666.</w:t>
      </w:r>
    </w:p>
    <w:p w:rsidR="004B66B4" w:rsidRPr="00EA63C5" w:rsidRDefault="004B66B4" w:rsidP="004B66B4">
      <w:pPr>
        <w:jc w:val="both"/>
        <w:rPr>
          <w:sz w:val="20"/>
          <w:szCs w:val="20"/>
        </w:rPr>
      </w:pPr>
    </w:p>
    <w:p w:rsidR="004B66B4" w:rsidRPr="00EA63C5" w:rsidRDefault="004B66B4" w:rsidP="004B66B4">
      <w:pPr>
        <w:jc w:val="both"/>
        <w:rPr>
          <w:sz w:val="20"/>
          <w:szCs w:val="20"/>
          <w:lang w:val="fr-CA"/>
        </w:rPr>
      </w:pPr>
      <w:r w:rsidRPr="00EA63C5">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EA63C5" w:rsidRDefault="00C50A5C" w:rsidP="0022323B">
      <w:pPr>
        <w:rPr>
          <w:sz w:val="20"/>
          <w:szCs w:val="20"/>
          <w:lang w:val="fr-CA"/>
        </w:rPr>
      </w:pPr>
    </w:p>
    <w:p w:rsidR="00102926" w:rsidRPr="00EA63C5" w:rsidRDefault="00102926" w:rsidP="00782AE4">
      <w:pPr>
        <w:jc w:val="both"/>
        <w:rPr>
          <w:sz w:val="20"/>
          <w:szCs w:val="20"/>
          <w:lang w:val="fr-CA"/>
        </w:rPr>
      </w:pPr>
    </w:p>
    <w:p w:rsidR="0022323B" w:rsidRPr="00EA63C5" w:rsidRDefault="0022323B" w:rsidP="00782AE4">
      <w:pPr>
        <w:jc w:val="both"/>
        <w:rPr>
          <w:sz w:val="20"/>
          <w:szCs w:val="20"/>
          <w:lang w:val="fr-CA"/>
        </w:rPr>
        <w:sectPr w:rsidR="0022323B" w:rsidRPr="00EA63C5" w:rsidSect="0022323B">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EA63C5" w:rsidTr="0085476B">
        <w:tc>
          <w:tcPr>
            <w:tcW w:w="4200" w:type="dxa"/>
            <w:shd w:val="clear" w:color="auto" w:fill="auto"/>
            <w:tcMar>
              <w:left w:w="0" w:type="dxa"/>
              <w:right w:w="0" w:type="dxa"/>
            </w:tcMar>
          </w:tcPr>
          <w:p w:rsidR="005F263E" w:rsidRPr="00EA63C5" w:rsidRDefault="005F263E" w:rsidP="006B6926">
            <w:pPr>
              <w:keepNext/>
              <w:keepLines/>
              <w:rPr>
                <w:b/>
                <w:szCs w:val="24"/>
              </w:rPr>
            </w:pPr>
            <w:r w:rsidRPr="00EA63C5">
              <w:rPr>
                <w:b/>
                <w:szCs w:val="24"/>
              </w:rPr>
              <w:lastRenderedPageBreak/>
              <w:t>SUMMARIES OF THE CASES</w:t>
            </w:r>
          </w:p>
        </w:tc>
        <w:tc>
          <w:tcPr>
            <w:tcW w:w="1200" w:type="dxa"/>
            <w:shd w:val="clear" w:color="auto" w:fill="auto"/>
            <w:tcMar>
              <w:left w:w="0" w:type="dxa"/>
              <w:right w:w="0" w:type="dxa"/>
            </w:tcMar>
          </w:tcPr>
          <w:p w:rsidR="005F263E" w:rsidRPr="00EA63C5"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EA63C5"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EA63C5"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EA63C5">
              <w:rPr>
                <w:b/>
                <w:szCs w:val="24"/>
                <w:lang w:val="fr-CA"/>
              </w:rPr>
              <w:t>RÉSUMÉS DES AFFAIRES</w:t>
            </w:r>
          </w:p>
        </w:tc>
      </w:tr>
    </w:tbl>
    <w:p w:rsidR="005F263E" w:rsidRPr="00EA63C5" w:rsidRDefault="005F263E" w:rsidP="005F263E">
      <w:pPr>
        <w:tabs>
          <w:tab w:val="left" w:pos="-1440"/>
          <w:tab w:val="left" w:pos="-720"/>
        </w:tabs>
        <w:ind w:left="720" w:hanging="720"/>
        <w:jc w:val="both"/>
        <w:rPr>
          <w:b/>
          <w:sz w:val="20"/>
          <w:szCs w:val="20"/>
        </w:rPr>
      </w:pPr>
    </w:p>
    <w:bookmarkStart w:id="2" w:name="1"/>
    <w:bookmarkEnd w:id="2"/>
    <w:p w:rsidR="00F74CAA" w:rsidRPr="00EA63C5" w:rsidRDefault="00F74CAA" w:rsidP="00F74CAA">
      <w:pPr>
        <w:widowControl w:val="0"/>
        <w:ind w:left="720" w:hanging="720"/>
        <w:jc w:val="both"/>
        <w:rPr>
          <w:sz w:val="20"/>
          <w:szCs w:val="20"/>
        </w:rPr>
      </w:pPr>
      <w:r w:rsidRPr="00EA63C5">
        <w:rPr>
          <w:b/>
          <w:sz w:val="20"/>
          <w:szCs w:val="20"/>
        </w:rPr>
        <w:fldChar w:fldCharType="begin"/>
      </w:r>
      <w:r w:rsidRPr="00EA63C5">
        <w:rPr>
          <w:b/>
          <w:sz w:val="20"/>
          <w:szCs w:val="20"/>
        </w:rPr>
        <w:instrText xml:space="preserve"> SEQ CHAPTER \h \r 1</w:instrText>
      </w:r>
      <w:r w:rsidRPr="00EA63C5">
        <w:rPr>
          <w:b/>
          <w:sz w:val="20"/>
          <w:szCs w:val="20"/>
        </w:rPr>
        <w:fldChar w:fldCharType="end"/>
      </w:r>
      <w:r w:rsidRPr="00EA63C5">
        <w:rPr>
          <w:b/>
          <w:sz w:val="20"/>
          <w:szCs w:val="20"/>
        </w:rPr>
        <w:t>3</w:t>
      </w:r>
      <w:bookmarkStart w:id="3" w:name="3"/>
      <w:bookmarkEnd w:id="3"/>
      <w:r w:rsidRPr="00EA63C5">
        <w:rPr>
          <w:b/>
          <w:sz w:val="20"/>
          <w:szCs w:val="20"/>
        </w:rPr>
        <w:t>6986</w:t>
      </w:r>
      <w:r w:rsidRPr="00EA63C5">
        <w:rPr>
          <w:sz w:val="20"/>
          <w:szCs w:val="20"/>
        </w:rPr>
        <w:tab/>
      </w:r>
      <w:r w:rsidRPr="00EA63C5">
        <w:rPr>
          <w:b/>
          <w:i/>
          <w:sz w:val="20"/>
          <w:szCs w:val="20"/>
        </w:rPr>
        <w:t xml:space="preserve">Dennis James Oland v. Her Majesty the Queen </w:t>
      </w:r>
      <w:r w:rsidRPr="00EA63C5">
        <w:rPr>
          <w:sz w:val="20"/>
          <w:szCs w:val="20"/>
        </w:rPr>
        <w:t>(N.B.) (Criminal) (By Leave)</w:t>
      </w:r>
    </w:p>
    <w:p w:rsidR="00F74CAA" w:rsidRPr="00EA63C5" w:rsidRDefault="00F74CAA" w:rsidP="00F74CAA">
      <w:pPr>
        <w:widowControl w:val="0"/>
        <w:jc w:val="both"/>
        <w:rPr>
          <w:sz w:val="20"/>
          <w:szCs w:val="20"/>
        </w:rPr>
      </w:pPr>
    </w:p>
    <w:p w:rsidR="00F74CAA" w:rsidRPr="00EA63C5" w:rsidRDefault="00F74CAA" w:rsidP="00F74CAA">
      <w:pPr>
        <w:jc w:val="both"/>
        <w:rPr>
          <w:sz w:val="20"/>
          <w:szCs w:val="20"/>
        </w:rPr>
      </w:pPr>
      <w:r w:rsidRPr="00EA63C5">
        <w:rPr>
          <w:sz w:val="20"/>
          <w:szCs w:val="20"/>
        </w:rPr>
        <w:t xml:space="preserve">Criminal law - Judicial interim release or bail - Release after trial, pending appeal - Grounds for denial - Judge and jury convicted appellant of second degree murder of father - Appellant sentenced to life imprisonment without parole eligibility for 10 years - Motion by appellant for release pending appeal dismissed - Review of release pending appeal decision also dismissed - What is proper test for determining release pending appeal under s. 679(3) of </w:t>
      </w:r>
      <w:r w:rsidRPr="00EA63C5">
        <w:rPr>
          <w:i/>
          <w:sz w:val="20"/>
          <w:szCs w:val="20"/>
        </w:rPr>
        <w:t>Criminal Code</w:t>
      </w:r>
      <w:r w:rsidRPr="00EA63C5">
        <w:rPr>
          <w:sz w:val="20"/>
          <w:szCs w:val="20"/>
        </w:rPr>
        <w:t xml:space="preserve">? - What is standard applicable to review of release pending appeal decision under s. 680(1)? - </w:t>
      </w:r>
      <w:r w:rsidRPr="00EA63C5">
        <w:rPr>
          <w:i/>
          <w:sz w:val="20"/>
          <w:szCs w:val="20"/>
        </w:rPr>
        <w:t>Criminal Code</w:t>
      </w:r>
      <w:r w:rsidRPr="00EA63C5">
        <w:rPr>
          <w:sz w:val="20"/>
          <w:szCs w:val="20"/>
        </w:rPr>
        <w:t>, R.S.C., 1985, c. C-46, ss. 679(3) and 680(1).</w:t>
      </w:r>
    </w:p>
    <w:p w:rsidR="00F74CAA" w:rsidRPr="00EA63C5" w:rsidRDefault="00F74CAA" w:rsidP="00F74CAA">
      <w:pPr>
        <w:widowControl w:val="0"/>
        <w:jc w:val="both"/>
        <w:rPr>
          <w:sz w:val="20"/>
          <w:szCs w:val="20"/>
        </w:rPr>
      </w:pPr>
    </w:p>
    <w:p w:rsidR="00F74CAA" w:rsidRPr="00EA63C5" w:rsidRDefault="00F74CAA" w:rsidP="00F74CAA">
      <w:pPr>
        <w:jc w:val="both"/>
        <w:rPr>
          <w:sz w:val="20"/>
          <w:szCs w:val="20"/>
        </w:rPr>
      </w:pPr>
      <w:r w:rsidRPr="00EA63C5">
        <w:rPr>
          <w:sz w:val="20"/>
          <w:szCs w:val="20"/>
        </w:rPr>
        <w:t>The appellant, Mr. Oland, was tried for the second degree murder of his father by a judge sitting with a jury. Mr. Oland was convicted and sentenced to life imprisonment without eligibility for parole for 10 years. Mr. Oland filed a Notice of Appeal against his conviction in the New Brunswick Court of Appeal on January 20, 2016. On that same date, Mr. Oland filed a motion for release pending his appeal. The motion was dismissed by Richard J.A. and later, a three-member panel of the Court of Appeal confirmed that decision. Mr. Oland’s appeal against conviction is scheduled to be heard (before the New Brunswick Court of Appeal), in October 2016. In the meantime, Mr. Oland is appealing to this Court the release pending appeal decision only.</w:t>
      </w:r>
    </w:p>
    <w:p w:rsidR="000B3C9A" w:rsidRPr="00EA63C5" w:rsidRDefault="000B3C9A" w:rsidP="000B3C9A">
      <w:pPr>
        <w:tabs>
          <w:tab w:val="left" w:pos="-1440"/>
          <w:tab w:val="left" w:pos="-720"/>
        </w:tabs>
        <w:ind w:left="720" w:hanging="720"/>
        <w:jc w:val="both"/>
        <w:rPr>
          <w:b/>
          <w:sz w:val="20"/>
          <w:szCs w:val="20"/>
        </w:rPr>
      </w:pPr>
    </w:p>
    <w:p w:rsidR="000B3C9A" w:rsidRPr="00EA63C5" w:rsidRDefault="007F6DC5" w:rsidP="000B3C9A">
      <w:pPr>
        <w:tabs>
          <w:tab w:val="left" w:pos="-1440"/>
          <w:tab w:val="left" w:pos="-720"/>
        </w:tabs>
        <w:ind w:left="720" w:hanging="720"/>
        <w:jc w:val="both"/>
        <w:rPr>
          <w:sz w:val="20"/>
          <w:szCs w:val="20"/>
          <w:lang w:val="fr-CA"/>
        </w:rPr>
      </w:pPr>
      <w:r>
        <w:rPr>
          <w:sz w:val="20"/>
          <w:szCs w:val="20"/>
          <w:lang w:val="fr-CA"/>
        </w:rPr>
        <w:pict>
          <v:rect id="_x0000_i1100" style="width:2in;height:1pt" o:hrpct="0" o:hralign="center" o:hrstd="t" o:hrnoshade="t" o:hr="t" fillcolor="black [3213]" stroked="f"/>
        </w:pict>
      </w:r>
    </w:p>
    <w:p w:rsidR="00F74CAA" w:rsidRPr="00EA63C5" w:rsidRDefault="00F74CAA" w:rsidP="000B3C9A">
      <w:pPr>
        <w:tabs>
          <w:tab w:val="left" w:pos="-1440"/>
          <w:tab w:val="left" w:pos="-720"/>
        </w:tabs>
        <w:ind w:left="720" w:hanging="720"/>
        <w:jc w:val="both"/>
        <w:rPr>
          <w:sz w:val="20"/>
          <w:szCs w:val="20"/>
          <w:lang w:val="fr-CA"/>
        </w:rPr>
      </w:pPr>
    </w:p>
    <w:p w:rsidR="00F74CAA" w:rsidRPr="00EA63C5" w:rsidRDefault="00F74CAA" w:rsidP="00F74CAA">
      <w:pPr>
        <w:pStyle w:val="SCCLsocParty"/>
        <w:rPr>
          <w:sz w:val="20"/>
          <w:szCs w:val="20"/>
          <w:lang w:val="fr-CA"/>
        </w:rPr>
      </w:pPr>
      <w:r w:rsidRPr="00EA63C5">
        <w:rPr>
          <w:rStyle w:val="SCCFileNumberChar"/>
          <w:b/>
          <w:sz w:val="20"/>
          <w:szCs w:val="20"/>
          <w:lang w:val="fr-CA"/>
        </w:rPr>
        <w:t>36986</w:t>
      </w:r>
      <w:r w:rsidRPr="00EA63C5">
        <w:rPr>
          <w:rStyle w:val="SCCFileNumberChar"/>
          <w:sz w:val="20"/>
          <w:szCs w:val="20"/>
          <w:lang w:val="fr-CA"/>
        </w:rPr>
        <w:tab/>
      </w:r>
      <w:r w:rsidRPr="00EA63C5">
        <w:rPr>
          <w:i/>
          <w:sz w:val="20"/>
          <w:szCs w:val="20"/>
          <w:lang w:val="fr-CA"/>
        </w:rPr>
        <w:t xml:space="preserve">Dennis James </w:t>
      </w:r>
      <w:proofErr w:type="spellStart"/>
      <w:r w:rsidRPr="00EA63C5">
        <w:rPr>
          <w:i/>
          <w:sz w:val="20"/>
          <w:szCs w:val="20"/>
          <w:lang w:val="fr-CA"/>
        </w:rPr>
        <w:t>Oland</w:t>
      </w:r>
      <w:proofErr w:type="spellEnd"/>
      <w:r w:rsidRPr="00EA63C5">
        <w:rPr>
          <w:i/>
          <w:sz w:val="20"/>
          <w:szCs w:val="20"/>
          <w:lang w:val="fr-CA"/>
        </w:rPr>
        <w:t xml:space="preserve"> c. Sa Majesté la Reine </w:t>
      </w:r>
      <w:r w:rsidRPr="00EA63C5">
        <w:rPr>
          <w:b w:val="0"/>
          <w:sz w:val="20"/>
          <w:szCs w:val="20"/>
          <w:lang w:val="fr-CA"/>
        </w:rPr>
        <w:t>(N.-B.) (Criminelle) (Sur autorisation)</w:t>
      </w:r>
    </w:p>
    <w:p w:rsidR="00F74CAA" w:rsidRPr="00EA63C5" w:rsidRDefault="00F74CAA" w:rsidP="000B3C9A">
      <w:pPr>
        <w:tabs>
          <w:tab w:val="left" w:pos="-1440"/>
          <w:tab w:val="left" w:pos="-720"/>
        </w:tabs>
        <w:ind w:left="720" w:hanging="720"/>
        <w:jc w:val="both"/>
        <w:rPr>
          <w:sz w:val="20"/>
          <w:szCs w:val="20"/>
          <w:lang w:val="fr-CA"/>
        </w:rPr>
      </w:pPr>
    </w:p>
    <w:p w:rsidR="00F74CAA" w:rsidRPr="00EA63C5" w:rsidRDefault="00F74CAA" w:rsidP="00F74CAA">
      <w:pPr>
        <w:jc w:val="both"/>
        <w:rPr>
          <w:sz w:val="20"/>
          <w:szCs w:val="20"/>
          <w:lang w:val="fr-CA"/>
        </w:rPr>
      </w:pPr>
      <w:r w:rsidRPr="00EA63C5">
        <w:rPr>
          <w:sz w:val="20"/>
          <w:szCs w:val="20"/>
          <w:lang w:val="fr-CA"/>
        </w:rPr>
        <w:t xml:space="preserve">Droit criminel - Mise en liberté provisoire ou sous caution - Mise en liberté après le procès en attendant l’appel - Motifs de refus - Un juge et un jury ont déclaré l’appelant coupable du meurtre au deuxième degré de son père - L’appelant a été condamné à une peine d’emprisonnement à perpétuité sans possibilité de libération conditionnelle avant dix ans - Rejet de la requête de l’appelant en mise en liberté en attendant l’appel - Rejet de la demande de révision de la décision de refuser la mise en liberté provisoire - Quel critère permet de statuer sur la demande de mise en liberté en attendant l’appel en application du par. 679(3) du </w:t>
      </w:r>
      <w:r w:rsidRPr="00EA63C5">
        <w:rPr>
          <w:i/>
          <w:sz w:val="20"/>
          <w:szCs w:val="20"/>
          <w:lang w:val="fr-CA"/>
        </w:rPr>
        <w:t>Code criminel</w:t>
      </w:r>
      <w:r w:rsidRPr="00EA63C5">
        <w:rPr>
          <w:sz w:val="20"/>
          <w:szCs w:val="20"/>
          <w:lang w:val="fr-CA"/>
        </w:rPr>
        <w:t xml:space="preserve">? - Quelle norme s’applique à la révision de la décision de refuser la mise en liberté en attendant l’appel en application du par. 680(1)? - </w:t>
      </w:r>
      <w:r w:rsidRPr="00EA63C5">
        <w:rPr>
          <w:i/>
          <w:sz w:val="20"/>
          <w:szCs w:val="20"/>
          <w:lang w:val="fr-CA"/>
        </w:rPr>
        <w:t>Code criminel</w:t>
      </w:r>
      <w:r w:rsidRPr="00EA63C5">
        <w:rPr>
          <w:sz w:val="20"/>
          <w:szCs w:val="20"/>
          <w:lang w:val="fr-CA"/>
        </w:rPr>
        <w:t>, L.R.C., 1985, ch. C-46, par. 679(3) et 680(1).</w:t>
      </w:r>
    </w:p>
    <w:p w:rsidR="00F74CAA" w:rsidRPr="00EA63C5" w:rsidRDefault="00F74CAA" w:rsidP="000B3C9A">
      <w:pPr>
        <w:tabs>
          <w:tab w:val="left" w:pos="-1440"/>
          <w:tab w:val="left" w:pos="-720"/>
        </w:tabs>
        <w:ind w:left="720" w:hanging="720"/>
        <w:jc w:val="both"/>
        <w:rPr>
          <w:sz w:val="20"/>
          <w:szCs w:val="20"/>
          <w:lang w:val="fr-CA"/>
        </w:rPr>
      </w:pPr>
    </w:p>
    <w:p w:rsidR="00F74CAA" w:rsidRPr="00EA63C5" w:rsidRDefault="00F74CAA" w:rsidP="00F74CAA">
      <w:pPr>
        <w:tabs>
          <w:tab w:val="left" w:pos="-1440"/>
          <w:tab w:val="left" w:pos="-720"/>
        </w:tabs>
        <w:jc w:val="both"/>
        <w:rPr>
          <w:sz w:val="20"/>
          <w:szCs w:val="20"/>
          <w:lang w:val="fr-CA"/>
        </w:rPr>
      </w:pPr>
      <w:r w:rsidRPr="00EA63C5">
        <w:rPr>
          <w:sz w:val="20"/>
          <w:szCs w:val="20"/>
          <w:lang w:val="fr-CA"/>
        </w:rPr>
        <w:t>L’appelant, M. </w:t>
      </w:r>
      <w:proofErr w:type="spellStart"/>
      <w:r w:rsidRPr="00EA63C5">
        <w:rPr>
          <w:sz w:val="20"/>
          <w:szCs w:val="20"/>
          <w:lang w:val="fr-CA"/>
        </w:rPr>
        <w:t>Oland</w:t>
      </w:r>
      <w:proofErr w:type="spellEnd"/>
      <w:r w:rsidRPr="00EA63C5">
        <w:rPr>
          <w:sz w:val="20"/>
          <w:szCs w:val="20"/>
          <w:lang w:val="fr-CA"/>
        </w:rPr>
        <w:t>, a subi son procès pour le meurtre au deuxième degré de son père devant un juge siégeant avec un jury. Monsieur </w:t>
      </w:r>
      <w:proofErr w:type="spellStart"/>
      <w:r w:rsidRPr="00EA63C5">
        <w:rPr>
          <w:sz w:val="20"/>
          <w:szCs w:val="20"/>
          <w:lang w:val="fr-CA"/>
        </w:rPr>
        <w:t>Oland</w:t>
      </w:r>
      <w:proofErr w:type="spellEnd"/>
      <w:r w:rsidRPr="00EA63C5">
        <w:rPr>
          <w:sz w:val="20"/>
          <w:szCs w:val="20"/>
          <w:lang w:val="fr-CA"/>
        </w:rPr>
        <w:t xml:space="preserve"> a été déclaré coupable et condamné à une peine d’emprisonnement à perpétuité sans possibilité de libération conditionnelle avant dix ans. Le 20 janvier 2016, M. </w:t>
      </w:r>
      <w:proofErr w:type="spellStart"/>
      <w:r w:rsidRPr="00EA63C5">
        <w:rPr>
          <w:sz w:val="20"/>
          <w:szCs w:val="20"/>
          <w:lang w:val="fr-CA"/>
        </w:rPr>
        <w:t>Oland</w:t>
      </w:r>
      <w:proofErr w:type="spellEnd"/>
      <w:r w:rsidRPr="00EA63C5">
        <w:rPr>
          <w:sz w:val="20"/>
          <w:szCs w:val="20"/>
          <w:lang w:val="fr-CA"/>
        </w:rPr>
        <w:t xml:space="preserve"> a déposé un avis d’appel de sa déclaration de culpabilité en Cour d’appel du Nouveau-Brunswick. À la même date, M. </w:t>
      </w:r>
      <w:proofErr w:type="spellStart"/>
      <w:r w:rsidRPr="00EA63C5">
        <w:rPr>
          <w:sz w:val="20"/>
          <w:szCs w:val="20"/>
          <w:lang w:val="fr-CA"/>
        </w:rPr>
        <w:t>Oland</w:t>
      </w:r>
      <w:proofErr w:type="spellEnd"/>
      <w:r w:rsidRPr="00EA63C5">
        <w:rPr>
          <w:sz w:val="20"/>
          <w:szCs w:val="20"/>
          <w:lang w:val="fr-CA"/>
        </w:rPr>
        <w:t xml:space="preserve"> a déposé une requête de mise en liberté en attendant son appel. Le juge Richard a rejeté la requête et une formation de trois juges de la Cour d’appel a confirmé cette décision par la suite. L’appel formé par M. </w:t>
      </w:r>
      <w:proofErr w:type="spellStart"/>
      <w:r w:rsidRPr="00EA63C5">
        <w:rPr>
          <w:sz w:val="20"/>
          <w:szCs w:val="20"/>
          <w:lang w:val="fr-CA"/>
        </w:rPr>
        <w:t>Oland</w:t>
      </w:r>
      <w:proofErr w:type="spellEnd"/>
      <w:r w:rsidRPr="00EA63C5">
        <w:rPr>
          <w:sz w:val="20"/>
          <w:szCs w:val="20"/>
          <w:lang w:val="fr-CA"/>
        </w:rPr>
        <w:t xml:space="preserve"> contre sa déclaration de culpabilité doit être entendu (devant la Cour d’appel du Nouveau-Brunswick) en octobre 2016. Entre-temps, M. </w:t>
      </w:r>
      <w:proofErr w:type="spellStart"/>
      <w:r w:rsidRPr="00EA63C5">
        <w:rPr>
          <w:sz w:val="20"/>
          <w:szCs w:val="20"/>
          <w:lang w:val="fr-CA"/>
        </w:rPr>
        <w:t>Oland</w:t>
      </w:r>
      <w:proofErr w:type="spellEnd"/>
      <w:r w:rsidRPr="00EA63C5">
        <w:rPr>
          <w:sz w:val="20"/>
          <w:szCs w:val="20"/>
          <w:lang w:val="fr-CA"/>
        </w:rPr>
        <w:t xml:space="preserve"> se pourvoit devant notre Cour seulement à l’encontre de la décision de refuser la mise en liberté en attendant l’appel.</w:t>
      </w:r>
    </w:p>
    <w:p w:rsidR="00F74CAA" w:rsidRPr="00EA63C5" w:rsidRDefault="00F74CAA" w:rsidP="000B3C9A">
      <w:pPr>
        <w:tabs>
          <w:tab w:val="left" w:pos="-1440"/>
          <w:tab w:val="left" w:pos="-720"/>
        </w:tabs>
        <w:ind w:left="720" w:hanging="720"/>
        <w:jc w:val="both"/>
        <w:rPr>
          <w:sz w:val="20"/>
          <w:szCs w:val="20"/>
          <w:lang w:val="fr-CA"/>
        </w:rPr>
      </w:pPr>
    </w:p>
    <w:p w:rsidR="00F74CAA" w:rsidRPr="00EA63C5" w:rsidRDefault="007F6DC5" w:rsidP="000B3C9A">
      <w:pPr>
        <w:tabs>
          <w:tab w:val="left" w:pos="-1440"/>
          <w:tab w:val="left" w:pos="-720"/>
        </w:tabs>
        <w:ind w:left="720" w:hanging="720"/>
        <w:jc w:val="both"/>
        <w:rPr>
          <w:sz w:val="20"/>
          <w:szCs w:val="20"/>
          <w:lang w:val="fr-CA"/>
        </w:rPr>
      </w:pPr>
      <w:r>
        <w:rPr>
          <w:sz w:val="20"/>
          <w:szCs w:val="20"/>
          <w:lang w:val="fr-CA"/>
        </w:rPr>
        <w:pict>
          <v:rect id="_x0000_i1101" style="width:2in;height:1pt" o:hrpct="0" o:hralign="center" o:hrstd="t" o:hrnoshade="t" o:hr="t" fillcolor="black [3213]" stroked="f"/>
        </w:pict>
      </w:r>
    </w:p>
    <w:p w:rsidR="000B3C9A" w:rsidRPr="00EA63C5" w:rsidRDefault="000B3C9A" w:rsidP="000B3C9A">
      <w:pPr>
        <w:tabs>
          <w:tab w:val="left" w:pos="-1440"/>
          <w:tab w:val="left" w:pos="-720"/>
        </w:tabs>
        <w:ind w:left="720" w:hanging="720"/>
        <w:jc w:val="both"/>
        <w:rPr>
          <w:lang w:val="fr-CA"/>
        </w:rPr>
      </w:pPr>
      <w:r w:rsidRPr="00EA63C5">
        <w:rPr>
          <w:lang w:val="fr-CA"/>
        </w:rPr>
        <w:br w:type="page"/>
      </w:r>
    </w:p>
    <w:p w:rsidR="000B3C9A" w:rsidRPr="00EA63C5" w:rsidRDefault="000B3C9A" w:rsidP="000B3C9A">
      <w:pPr>
        <w:tabs>
          <w:tab w:val="left" w:pos="-1440"/>
          <w:tab w:val="left" w:pos="-720"/>
        </w:tabs>
        <w:jc w:val="both"/>
        <w:rPr>
          <w:b/>
          <w:sz w:val="20"/>
          <w:szCs w:val="20"/>
          <w:lang w:val="fr-CA"/>
        </w:rPr>
      </w:pPr>
    </w:p>
    <w:p w:rsidR="00F74CAA" w:rsidRPr="00EA63C5" w:rsidRDefault="00F74CAA" w:rsidP="00F74CAA">
      <w:pPr>
        <w:widowControl w:val="0"/>
        <w:ind w:left="720" w:hanging="720"/>
        <w:jc w:val="both"/>
        <w:rPr>
          <w:sz w:val="20"/>
          <w:szCs w:val="20"/>
        </w:rPr>
      </w:pPr>
      <w:r w:rsidRPr="00EA63C5">
        <w:rPr>
          <w:b/>
          <w:i/>
          <w:sz w:val="20"/>
          <w:szCs w:val="20"/>
        </w:rPr>
        <w:fldChar w:fldCharType="begin"/>
      </w:r>
      <w:r w:rsidRPr="00EA63C5">
        <w:rPr>
          <w:b/>
          <w:sz w:val="20"/>
          <w:szCs w:val="20"/>
        </w:rPr>
        <w:instrText xml:space="preserve"> SEQ CHAPTER \h \r 1</w:instrText>
      </w:r>
      <w:r w:rsidRPr="00EA63C5">
        <w:rPr>
          <w:b/>
          <w:i/>
          <w:sz w:val="20"/>
          <w:szCs w:val="20"/>
        </w:rPr>
        <w:fldChar w:fldCharType="end"/>
      </w:r>
      <w:r w:rsidRPr="00EA63C5">
        <w:rPr>
          <w:b/>
          <w:sz w:val="20"/>
          <w:szCs w:val="20"/>
        </w:rPr>
        <w:t>36595</w:t>
      </w:r>
      <w:r w:rsidRPr="00EA63C5">
        <w:rPr>
          <w:sz w:val="20"/>
          <w:szCs w:val="20"/>
        </w:rPr>
        <w:tab/>
      </w:r>
      <w:r w:rsidRPr="00EA63C5">
        <w:rPr>
          <w:b/>
          <w:i/>
          <w:sz w:val="20"/>
          <w:szCs w:val="20"/>
        </w:rPr>
        <w:t>Teal Cedar Products Ltd. v. Her Majesty the Queen in Right of the Province of British Columbia - and between -</w:t>
      </w:r>
      <w:r w:rsidRPr="00EA63C5">
        <w:rPr>
          <w:b/>
          <w:i/>
          <w:sz w:val="20"/>
        </w:rPr>
        <w:t xml:space="preserve"> </w:t>
      </w:r>
      <w:r w:rsidRPr="00EA63C5">
        <w:rPr>
          <w:b/>
          <w:i/>
          <w:sz w:val="20"/>
          <w:szCs w:val="20"/>
        </w:rPr>
        <w:t>Teal Cedar Products Ltd. v. Her Majesty the Queen in Right of the Province of British Columbia</w:t>
      </w:r>
      <w:r w:rsidRPr="00EA63C5">
        <w:rPr>
          <w:b/>
          <w:i/>
          <w:sz w:val="20"/>
        </w:rPr>
        <w:t xml:space="preserve"> </w:t>
      </w:r>
      <w:r w:rsidRPr="00EA63C5">
        <w:rPr>
          <w:sz w:val="20"/>
          <w:szCs w:val="20"/>
        </w:rPr>
        <w:t>(B.C.) (Civil) (By Leave)</w:t>
      </w:r>
    </w:p>
    <w:p w:rsidR="00F74CAA" w:rsidRPr="00EA63C5" w:rsidRDefault="00F74CAA" w:rsidP="00F74CAA">
      <w:pPr>
        <w:widowControl w:val="0"/>
        <w:jc w:val="both"/>
        <w:rPr>
          <w:sz w:val="20"/>
          <w:szCs w:val="20"/>
        </w:rPr>
      </w:pPr>
    </w:p>
    <w:p w:rsidR="00F74CAA" w:rsidRPr="00EA63C5" w:rsidRDefault="00F74CAA" w:rsidP="00F74CAA">
      <w:pPr>
        <w:jc w:val="both"/>
        <w:rPr>
          <w:sz w:val="20"/>
          <w:szCs w:val="20"/>
        </w:rPr>
      </w:pPr>
      <w:r w:rsidRPr="00EA63C5">
        <w:rPr>
          <w:sz w:val="20"/>
          <w:szCs w:val="20"/>
        </w:rPr>
        <w:t xml:space="preserve">Arbitration - Appeals - Commercial arbitration awards - Standard of review - </w:t>
      </w:r>
      <w:r w:rsidRPr="00EA63C5">
        <w:rPr>
          <w:i/>
          <w:sz w:val="20"/>
          <w:szCs w:val="20"/>
        </w:rPr>
        <w:t>Forestry Revitalization Act</w:t>
      </w:r>
      <w:r w:rsidRPr="00EA63C5">
        <w:rPr>
          <w:sz w:val="20"/>
          <w:szCs w:val="20"/>
        </w:rPr>
        <w:t>, S.B.C. 2003, c. 17,</w:t>
      </w:r>
      <w:r w:rsidRPr="00EA63C5">
        <w:rPr>
          <w:i/>
          <w:sz w:val="20"/>
          <w:szCs w:val="20"/>
        </w:rPr>
        <w:t xml:space="preserve"> </w:t>
      </w:r>
      <w:r w:rsidRPr="00EA63C5">
        <w:rPr>
          <w:sz w:val="20"/>
          <w:szCs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EA63C5">
        <w:rPr>
          <w:i/>
          <w:sz w:val="20"/>
          <w:szCs w:val="20"/>
        </w:rPr>
        <w:t>Forestry Revitalization Act</w:t>
      </w:r>
      <w:r w:rsidRPr="00EA63C5">
        <w:rPr>
          <w:sz w:val="20"/>
          <w:szCs w:val="20"/>
        </w:rPr>
        <w:t xml:space="preserve"> - Arbitrator relying on expert evidence and choosing “cost savings approach” to valuation -</w:t>
      </w:r>
      <w:r w:rsidRPr="00EA63C5">
        <w:rPr>
          <w:i/>
          <w:sz w:val="20"/>
          <w:szCs w:val="20"/>
        </w:rPr>
        <w:t xml:space="preserve"> </w:t>
      </w:r>
      <w:r w:rsidRPr="00EA63C5">
        <w:rPr>
          <w:sz w:val="20"/>
          <w:szCs w:val="20"/>
        </w:rPr>
        <w:t>Extent to which an appellate court is permitted to interfere with or disregard an arbitrator’s assessment of the evidence when considering an appeal on a question or point of law</w:t>
      </w:r>
      <w:r w:rsidRPr="00EA63C5">
        <w:rPr>
          <w:i/>
          <w:sz w:val="20"/>
          <w:szCs w:val="20"/>
        </w:rPr>
        <w:t xml:space="preserve"> </w:t>
      </w:r>
      <w:r w:rsidRPr="00EA63C5">
        <w:rPr>
          <w:sz w:val="20"/>
          <w:szCs w:val="20"/>
        </w:rPr>
        <w:t>- Circumstances in which the interpretation of a contractual provision constitutes a question of law as opposed to a question of mixed fact and law</w:t>
      </w:r>
      <w:r w:rsidRPr="00EA63C5">
        <w:rPr>
          <w:i/>
          <w:sz w:val="20"/>
          <w:szCs w:val="20"/>
        </w:rPr>
        <w:t xml:space="preserve"> </w:t>
      </w:r>
      <w:r w:rsidRPr="00EA63C5">
        <w:rPr>
          <w:sz w:val="20"/>
          <w:szCs w:val="20"/>
        </w:rPr>
        <w:t xml:space="preserve">- Case remanded to Court of Appeal of British Columbia for disposition in accordance with </w:t>
      </w:r>
      <w:r w:rsidRPr="00EA63C5">
        <w:rPr>
          <w:i/>
          <w:sz w:val="20"/>
          <w:szCs w:val="20"/>
        </w:rPr>
        <w:t xml:space="preserve">Sattva Capital Corp. </w:t>
      </w:r>
      <w:r w:rsidRPr="00EA63C5">
        <w:rPr>
          <w:i/>
          <w:iCs/>
          <w:sz w:val="20"/>
          <w:szCs w:val="20"/>
        </w:rPr>
        <w:t>v.</w:t>
      </w:r>
      <w:r w:rsidRPr="00EA63C5">
        <w:rPr>
          <w:i/>
          <w:sz w:val="20"/>
          <w:szCs w:val="20"/>
        </w:rPr>
        <w:t xml:space="preserve"> Creston Moly Corp.</w:t>
      </w:r>
      <w:r w:rsidRPr="00EA63C5">
        <w:rPr>
          <w:sz w:val="20"/>
          <w:szCs w:val="20"/>
        </w:rPr>
        <w:t xml:space="preserve">, </w:t>
      </w:r>
      <w:r w:rsidRPr="00EA63C5">
        <w:rPr>
          <w:sz w:val="20"/>
          <w:szCs w:val="20"/>
          <w:lang w:val="en"/>
        </w:rPr>
        <w:t xml:space="preserve">2014 SCC 53 </w:t>
      </w:r>
      <w:r w:rsidRPr="00EA63C5">
        <w:rPr>
          <w:sz w:val="20"/>
          <w:szCs w:val="20"/>
        </w:rPr>
        <w:t xml:space="preserve">- How should compensation for the value of improvements made to Crown land be valued under s. 6(4) of the </w:t>
      </w:r>
      <w:r w:rsidRPr="00EA63C5">
        <w:rPr>
          <w:i/>
          <w:sz w:val="20"/>
          <w:szCs w:val="20"/>
        </w:rPr>
        <w:t>Forestry Revitalization Act</w:t>
      </w:r>
      <w:r w:rsidRPr="00EA63C5">
        <w:rPr>
          <w:sz w:val="20"/>
          <w:szCs w:val="20"/>
        </w:rPr>
        <w:t xml:space="preserve">? - Is it open to an arbitrator assessing compensation under s. 6(4) of the </w:t>
      </w:r>
      <w:r w:rsidRPr="00EA63C5">
        <w:rPr>
          <w:i/>
          <w:sz w:val="20"/>
          <w:szCs w:val="20"/>
        </w:rPr>
        <w:t>Forestry Revitalization Act</w:t>
      </w:r>
      <w:r w:rsidRPr="00EA63C5">
        <w:rPr>
          <w:sz w:val="20"/>
          <w:szCs w:val="20"/>
        </w:rPr>
        <w:t xml:space="preserve"> for the value of improvements to utilize a depreciated replacement cost methodology to assess value? - Did the judge err in dismissing the Province’s application for leave to appeal the arbitrator’s interest award in light of s. 31 of the </w:t>
      </w:r>
      <w:r w:rsidRPr="00EA63C5">
        <w:rPr>
          <w:i/>
          <w:sz w:val="20"/>
          <w:szCs w:val="20"/>
        </w:rPr>
        <w:t>Commercial Arbitration Act</w:t>
      </w:r>
      <w:r w:rsidRPr="00EA63C5">
        <w:rPr>
          <w:sz w:val="20"/>
          <w:szCs w:val="20"/>
        </w:rPr>
        <w:t xml:space="preserve">, R.S.B.C. 1996, </w:t>
      </w:r>
      <w:proofErr w:type="gramStart"/>
      <w:r w:rsidRPr="00EA63C5">
        <w:rPr>
          <w:sz w:val="20"/>
          <w:szCs w:val="20"/>
        </w:rPr>
        <w:t>c</w:t>
      </w:r>
      <w:proofErr w:type="gramEnd"/>
      <w:r w:rsidRPr="00EA63C5">
        <w:rPr>
          <w:sz w:val="20"/>
          <w:szCs w:val="20"/>
        </w:rPr>
        <w:t>. 55?</w:t>
      </w:r>
    </w:p>
    <w:p w:rsidR="00F74CAA" w:rsidRPr="00EA63C5" w:rsidRDefault="00F74CAA" w:rsidP="00F74CAA">
      <w:pPr>
        <w:widowControl w:val="0"/>
        <w:jc w:val="both"/>
        <w:rPr>
          <w:sz w:val="20"/>
          <w:szCs w:val="20"/>
        </w:rPr>
      </w:pPr>
    </w:p>
    <w:p w:rsidR="00F74CAA" w:rsidRPr="00EA63C5" w:rsidRDefault="00F74CAA" w:rsidP="00F74CAA">
      <w:pPr>
        <w:jc w:val="both"/>
        <w:rPr>
          <w:sz w:val="20"/>
          <w:szCs w:val="20"/>
        </w:rPr>
      </w:pPr>
      <w:r w:rsidRPr="00EA63C5">
        <w:rPr>
          <w:sz w:val="20"/>
          <w:szCs w:val="20"/>
        </w:rPr>
        <w:t xml:space="preserve">The </w:t>
      </w:r>
      <w:r w:rsidRPr="00EA63C5">
        <w:rPr>
          <w:i/>
          <w:sz w:val="20"/>
          <w:szCs w:val="20"/>
        </w:rPr>
        <w:t>Forestry Revitalization Act</w:t>
      </w:r>
      <w:r w:rsidRPr="00EA63C5">
        <w:rPr>
          <w:sz w:val="20"/>
          <w:szCs w:val="20"/>
        </w:rPr>
        <w:t>, S.B.C. 2003, c. 17 (the “</w:t>
      </w:r>
      <w:r w:rsidRPr="00EA63C5">
        <w:rPr>
          <w:i/>
          <w:sz w:val="20"/>
          <w:szCs w:val="20"/>
        </w:rPr>
        <w:t>Revitalization Act</w:t>
      </w:r>
      <w:r w:rsidRPr="00EA63C5">
        <w:rPr>
          <w:sz w:val="20"/>
          <w:szCs w:val="20"/>
        </w:rPr>
        <w:t xml:space="preserve">” or the “Act”), permitted the Province of British Columbia (the “Province” or “Respondent”) to reduce by 20% the land base and allowable annual cut of forest tenures held by British Columbia forestry companies, including the Appellant, Teal Cedar Products Ltd. (“Teal”). A dispute arose regarding compensation the Province must pay Teal for the “value of improvements made to Crown land” under s. 6(4) of the </w:t>
      </w:r>
      <w:r w:rsidRPr="00EA63C5">
        <w:rPr>
          <w:i/>
          <w:sz w:val="20"/>
          <w:szCs w:val="20"/>
        </w:rPr>
        <w:t>Revitalization Act</w:t>
      </w:r>
      <w:r w:rsidRPr="00EA63C5">
        <w:rPr>
          <w:sz w:val="20"/>
          <w:szCs w:val="20"/>
        </w:rPr>
        <w:t xml:space="preserve">. The parties settled Teal’s compensation under the </w:t>
      </w:r>
      <w:r w:rsidRPr="00EA63C5">
        <w:rPr>
          <w:i/>
          <w:sz w:val="20"/>
          <w:szCs w:val="20"/>
        </w:rPr>
        <w:t>Revitalization Act</w:t>
      </w:r>
      <w:r w:rsidRPr="00EA63C5">
        <w:rPr>
          <w:sz w:val="20"/>
          <w:szCs w:val="20"/>
        </w:rPr>
        <w:t xml:space="preserve"> for the value of the lost harvesting rights. Although the Province had advanced a total of $4 million, the parties did not agree on the final compensation for the value of the related improvements. This dispute went to arbitration under the </w:t>
      </w:r>
      <w:r w:rsidRPr="00EA63C5">
        <w:rPr>
          <w:i/>
          <w:sz w:val="20"/>
          <w:szCs w:val="20"/>
        </w:rPr>
        <w:t>Commercial Arbitration Act</w:t>
      </w:r>
      <w:r w:rsidRPr="00EA63C5">
        <w:rPr>
          <w:sz w:val="20"/>
          <w:szCs w:val="20"/>
        </w:rPr>
        <w:t xml:space="preserve">, R.S.B.C. 1996, c. 55 (renamed the </w:t>
      </w:r>
      <w:r w:rsidRPr="00EA63C5">
        <w:rPr>
          <w:i/>
          <w:sz w:val="20"/>
          <w:szCs w:val="20"/>
        </w:rPr>
        <w:t>Arbitration Act</w:t>
      </w:r>
      <w:r w:rsidRPr="00EA63C5">
        <w:rPr>
          <w:sz w:val="20"/>
          <w:szCs w:val="20"/>
        </w:rPr>
        <w:t xml:space="preserve">, effective March 18, 2013), as required by the </w:t>
      </w:r>
      <w:r w:rsidRPr="00EA63C5">
        <w:rPr>
          <w:i/>
          <w:sz w:val="20"/>
          <w:szCs w:val="20"/>
        </w:rPr>
        <w:t>Revitalization Act</w:t>
      </w:r>
      <w:r w:rsidRPr="00EA63C5">
        <w:rPr>
          <w:sz w:val="20"/>
          <w:szCs w:val="20"/>
        </w:rPr>
        <w:t xml:space="preserve">. The </w:t>
      </w:r>
      <w:r w:rsidRPr="00EA63C5">
        <w:rPr>
          <w:i/>
          <w:sz w:val="20"/>
          <w:szCs w:val="20"/>
        </w:rPr>
        <w:t>Revitalization Act</w:t>
      </w:r>
      <w:r w:rsidRPr="00EA63C5">
        <w:rPr>
          <w:sz w:val="20"/>
          <w:szCs w:val="20"/>
        </w:rPr>
        <w:t xml:space="preserve"> does not specify a methodology for valuing the improvements so the arbitrator relied on expert evidence and chose a “cost savings approach” to valuation. On April 27, 2011, the arbitrator awarded Teal $5,150,000 (as shown in the calculations in the corrigenda issued June 30, 2011 by the arbitrator), plus compound interest, in addition to the $4 million the Province had already advanced to Teal as compensation for the improvements. The arbitrator denied compensation for improvements relating to one of Teal’s forest licences.</w:t>
      </w:r>
    </w:p>
    <w:p w:rsidR="00F74CAA" w:rsidRPr="00EA63C5" w:rsidRDefault="00F74CAA" w:rsidP="00F74CAA">
      <w:pPr>
        <w:rPr>
          <w:sz w:val="20"/>
          <w:szCs w:val="20"/>
        </w:rPr>
      </w:pPr>
    </w:p>
    <w:p w:rsidR="00F74CAA" w:rsidRPr="00EA63C5" w:rsidRDefault="00F74CAA" w:rsidP="00F74CAA">
      <w:pPr>
        <w:jc w:val="both"/>
        <w:rPr>
          <w:sz w:val="20"/>
          <w:szCs w:val="20"/>
        </w:rPr>
      </w:pPr>
      <w:r w:rsidRPr="00EA63C5">
        <w:rPr>
          <w:sz w:val="20"/>
          <w:szCs w:val="20"/>
        </w:rPr>
        <w:t>Both parties applied to the Supreme Court of British Columbia for leave to appeal the arbitrator’s award.</w:t>
      </w:r>
    </w:p>
    <w:p w:rsidR="008037C7" w:rsidRPr="00EA63C5" w:rsidRDefault="008037C7" w:rsidP="000B3C9A">
      <w:pPr>
        <w:tabs>
          <w:tab w:val="left" w:pos="-1440"/>
          <w:tab w:val="left" w:pos="-720"/>
        </w:tabs>
        <w:jc w:val="both"/>
        <w:rPr>
          <w:b/>
          <w:sz w:val="20"/>
          <w:szCs w:val="20"/>
        </w:rPr>
      </w:pPr>
    </w:p>
    <w:p w:rsidR="000B3C9A" w:rsidRPr="00EA63C5" w:rsidRDefault="007F6DC5" w:rsidP="000B3C9A">
      <w:pPr>
        <w:tabs>
          <w:tab w:val="left" w:pos="-1440"/>
          <w:tab w:val="left" w:pos="-720"/>
        </w:tabs>
        <w:jc w:val="both"/>
        <w:rPr>
          <w:sz w:val="20"/>
          <w:szCs w:val="20"/>
          <w:lang w:val="fr-CA"/>
        </w:rPr>
      </w:pPr>
      <w:r>
        <w:rPr>
          <w:sz w:val="20"/>
          <w:szCs w:val="20"/>
          <w:lang w:val="fr-CA"/>
        </w:rPr>
        <w:pict>
          <v:rect id="_x0000_i1102" style="width:2in;height:1pt" o:hrpct="0" o:hralign="center" o:hrstd="t" o:hrnoshade="t" o:hr="t" fillcolor="black [3213]" stroked="f"/>
        </w:pict>
      </w:r>
    </w:p>
    <w:p w:rsidR="00F74CAA" w:rsidRPr="00EA63C5" w:rsidRDefault="00F74CAA" w:rsidP="000B3C9A">
      <w:pPr>
        <w:tabs>
          <w:tab w:val="left" w:pos="-1440"/>
          <w:tab w:val="left" w:pos="-720"/>
        </w:tabs>
        <w:jc w:val="both"/>
        <w:rPr>
          <w:sz w:val="20"/>
          <w:szCs w:val="20"/>
          <w:lang w:val="fr-CA"/>
        </w:rPr>
      </w:pPr>
    </w:p>
    <w:p w:rsidR="00F74CAA" w:rsidRPr="00EA63C5" w:rsidRDefault="00F74CAA" w:rsidP="000B3C9A">
      <w:pPr>
        <w:tabs>
          <w:tab w:val="left" w:pos="-1440"/>
          <w:tab w:val="left" w:pos="-720"/>
        </w:tabs>
        <w:jc w:val="both"/>
        <w:rPr>
          <w:sz w:val="20"/>
          <w:szCs w:val="20"/>
          <w:lang w:val="fr-CA"/>
        </w:rPr>
      </w:pPr>
    </w:p>
    <w:p w:rsidR="00F74CAA" w:rsidRPr="00EA63C5" w:rsidRDefault="00F74CAA">
      <w:pPr>
        <w:rPr>
          <w:sz w:val="20"/>
          <w:szCs w:val="20"/>
          <w:lang w:val="fr-CA"/>
        </w:rPr>
      </w:pPr>
      <w:r w:rsidRPr="00EA63C5">
        <w:rPr>
          <w:sz w:val="20"/>
          <w:szCs w:val="20"/>
          <w:lang w:val="fr-CA"/>
        </w:rPr>
        <w:br w:type="page"/>
      </w:r>
    </w:p>
    <w:p w:rsidR="00F74CAA" w:rsidRPr="00EA63C5" w:rsidRDefault="00F74CAA" w:rsidP="000B3C9A">
      <w:pPr>
        <w:tabs>
          <w:tab w:val="left" w:pos="-1440"/>
          <w:tab w:val="left" w:pos="-720"/>
        </w:tabs>
        <w:jc w:val="both"/>
        <w:rPr>
          <w:sz w:val="20"/>
          <w:szCs w:val="20"/>
          <w:lang w:val="fr-CA"/>
        </w:rPr>
      </w:pPr>
    </w:p>
    <w:p w:rsidR="00F74CAA" w:rsidRPr="00EA63C5" w:rsidRDefault="00F74CAA" w:rsidP="00F74CAA">
      <w:pPr>
        <w:widowControl w:val="0"/>
        <w:ind w:left="720" w:hanging="720"/>
        <w:jc w:val="both"/>
        <w:rPr>
          <w:sz w:val="20"/>
          <w:szCs w:val="20"/>
          <w:lang w:val="fr-CA"/>
        </w:rPr>
      </w:pPr>
      <w:r w:rsidRPr="00EA63C5">
        <w:rPr>
          <w:b/>
          <w:i/>
          <w:sz w:val="20"/>
          <w:szCs w:val="20"/>
          <w:lang w:val="fr-CA"/>
        </w:rPr>
        <w:fldChar w:fldCharType="begin"/>
      </w:r>
      <w:r w:rsidRPr="00EA63C5">
        <w:rPr>
          <w:b/>
          <w:sz w:val="20"/>
          <w:szCs w:val="20"/>
          <w:lang w:val="fr-CA"/>
        </w:rPr>
        <w:instrText xml:space="preserve"> SEQ CHAPTER \h \r 1</w:instrText>
      </w:r>
      <w:r w:rsidRPr="00EA63C5">
        <w:rPr>
          <w:b/>
          <w:i/>
          <w:sz w:val="20"/>
          <w:szCs w:val="20"/>
          <w:lang w:val="fr-CA"/>
        </w:rPr>
        <w:fldChar w:fldCharType="end"/>
      </w:r>
      <w:r w:rsidRPr="00EA63C5">
        <w:rPr>
          <w:b/>
          <w:sz w:val="20"/>
          <w:szCs w:val="20"/>
          <w:lang w:val="fr-CA"/>
        </w:rPr>
        <w:t>36595</w:t>
      </w:r>
      <w:r w:rsidRPr="00EA63C5">
        <w:rPr>
          <w:sz w:val="20"/>
          <w:szCs w:val="20"/>
          <w:lang w:val="fr-CA"/>
        </w:rPr>
        <w:tab/>
      </w:r>
      <w:proofErr w:type="spellStart"/>
      <w:r w:rsidRPr="00EA63C5">
        <w:rPr>
          <w:b/>
          <w:i/>
          <w:sz w:val="20"/>
          <w:szCs w:val="20"/>
          <w:lang w:val="fr-CA"/>
        </w:rPr>
        <w:t>Teal</w:t>
      </w:r>
      <w:proofErr w:type="spellEnd"/>
      <w:r w:rsidRPr="00EA63C5">
        <w:rPr>
          <w:b/>
          <w:i/>
          <w:sz w:val="20"/>
          <w:szCs w:val="20"/>
          <w:lang w:val="fr-CA"/>
        </w:rPr>
        <w:t xml:space="preserve"> Cedar </w:t>
      </w:r>
      <w:proofErr w:type="spellStart"/>
      <w:r w:rsidRPr="00EA63C5">
        <w:rPr>
          <w:b/>
          <w:i/>
          <w:sz w:val="20"/>
          <w:szCs w:val="20"/>
          <w:lang w:val="fr-CA"/>
        </w:rPr>
        <w:t>Products</w:t>
      </w:r>
      <w:proofErr w:type="spellEnd"/>
      <w:r w:rsidRPr="00EA63C5">
        <w:rPr>
          <w:b/>
          <w:i/>
          <w:sz w:val="20"/>
          <w:szCs w:val="20"/>
          <w:lang w:val="fr-CA"/>
        </w:rPr>
        <w:t xml:space="preserve"> Ltd. c. Sa Majesté la Reine du chef de la Province de Colombie-Britannique - et entre - </w:t>
      </w:r>
      <w:proofErr w:type="spellStart"/>
      <w:r w:rsidRPr="00EA63C5">
        <w:rPr>
          <w:b/>
          <w:i/>
          <w:sz w:val="20"/>
          <w:szCs w:val="20"/>
          <w:lang w:val="fr-CA"/>
        </w:rPr>
        <w:t>Teal</w:t>
      </w:r>
      <w:proofErr w:type="spellEnd"/>
      <w:r w:rsidRPr="00EA63C5">
        <w:rPr>
          <w:b/>
          <w:i/>
          <w:sz w:val="20"/>
          <w:szCs w:val="20"/>
          <w:lang w:val="fr-CA"/>
        </w:rPr>
        <w:t xml:space="preserve"> Cedar </w:t>
      </w:r>
      <w:proofErr w:type="spellStart"/>
      <w:r w:rsidRPr="00EA63C5">
        <w:rPr>
          <w:b/>
          <w:i/>
          <w:sz w:val="20"/>
          <w:szCs w:val="20"/>
          <w:lang w:val="fr-CA"/>
        </w:rPr>
        <w:t>Products</w:t>
      </w:r>
      <w:proofErr w:type="spellEnd"/>
      <w:r w:rsidRPr="00EA63C5">
        <w:rPr>
          <w:b/>
          <w:i/>
          <w:sz w:val="20"/>
          <w:szCs w:val="20"/>
          <w:lang w:val="fr-CA"/>
        </w:rPr>
        <w:t xml:space="preserve"> Ltd. c. Sa Majesté la Reine du chef de la Province de Colombie-Britannique </w:t>
      </w:r>
      <w:r w:rsidRPr="00EA63C5">
        <w:rPr>
          <w:sz w:val="20"/>
          <w:szCs w:val="20"/>
          <w:lang w:val="fr-CA"/>
        </w:rPr>
        <w:t>(C.-B.) (Civile) (Sur autorisation)</w:t>
      </w:r>
    </w:p>
    <w:p w:rsidR="00F74CAA" w:rsidRPr="00EA63C5" w:rsidRDefault="00F74CAA" w:rsidP="00F74CAA">
      <w:pPr>
        <w:widowControl w:val="0"/>
        <w:jc w:val="both"/>
        <w:rPr>
          <w:sz w:val="20"/>
          <w:szCs w:val="20"/>
          <w:lang w:val="fr-CA"/>
        </w:rPr>
      </w:pPr>
    </w:p>
    <w:p w:rsidR="00F74CAA" w:rsidRPr="00EA63C5" w:rsidRDefault="00F74CAA" w:rsidP="00F74CAA">
      <w:pPr>
        <w:jc w:val="both"/>
        <w:rPr>
          <w:sz w:val="20"/>
          <w:szCs w:val="20"/>
          <w:lang w:val="fr-CA"/>
        </w:rPr>
      </w:pPr>
      <w:r w:rsidRPr="00EA63C5">
        <w:rPr>
          <w:sz w:val="20"/>
          <w:szCs w:val="20"/>
          <w:lang w:val="fr-CA"/>
        </w:rPr>
        <w:t xml:space="preserve">Arbitrage - Appels - Sentences arbitrales commerciales - Norme de contrôle - La </w:t>
      </w:r>
      <w:proofErr w:type="spellStart"/>
      <w:r w:rsidRPr="00EA63C5">
        <w:rPr>
          <w:i/>
          <w:sz w:val="20"/>
          <w:szCs w:val="20"/>
          <w:lang w:val="fr-CA"/>
        </w:rPr>
        <w:t>Forestry</w:t>
      </w:r>
      <w:proofErr w:type="spellEnd"/>
      <w:r w:rsidRPr="00EA63C5">
        <w:rPr>
          <w:i/>
          <w:sz w:val="20"/>
          <w:szCs w:val="20"/>
          <w:lang w:val="fr-CA"/>
        </w:rPr>
        <w:t xml:space="preserve">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S.B.C. 2003, ch. 17,</w:t>
      </w:r>
      <w:r w:rsidRPr="00EA63C5">
        <w:rPr>
          <w:i/>
          <w:sz w:val="20"/>
          <w:szCs w:val="20"/>
          <w:lang w:val="fr-CA"/>
        </w:rPr>
        <w:t xml:space="preserve"> </w:t>
      </w:r>
      <w:r w:rsidRPr="00EA63C5">
        <w:rPr>
          <w:sz w:val="20"/>
          <w:szCs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EA63C5">
        <w:rPr>
          <w:smallCaps/>
          <w:sz w:val="20"/>
          <w:szCs w:val="20"/>
          <w:lang w:val="fr-CA"/>
        </w:rPr>
        <w:t>traduction</w:t>
      </w:r>
      <w:r w:rsidRPr="00EA63C5">
        <w:rPr>
          <w:sz w:val="20"/>
          <w:szCs w:val="20"/>
          <w:lang w:val="fr-CA"/>
        </w:rPr>
        <w:t xml:space="preserve">] « valeur des améliorations apportées aux terres publiques » en application du par. 6(4) de la </w:t>
      </w:r>
      <w:proofErr w:type="spellStart"/>
      <w:r w:rsidRPr="00EA63C5">
        <w:rPr>
          <w:i/>
          <w:sz w:val="20"/>
          <w:szCs w:val="20"/>
          <w:lang w:val="fr-CA"/>
        </w:rPr>
        <w:t>Forestry</w:t>
      </w:r>
      <w:proofErr w:type="spellEnd"/>
      <w:r w:rsidRPr="00EA63C5">
        <w:rPr>
          <w:i/>
          <w:sz w:val="20"/>
          <w:szCs w:val="20"/>
          <w:lang w:val="fr-CA"/>
        </w:rPr>
        <w:t xml:space="preserve">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 L’arbitre s’est appuyé sur une preuve d’expert et a choisi la méthode d’évaluation dite « de l’économie de coûts » -</w:t>
      </w:r>
      <w:r w:rsidRPr="00EA63C5">
        <w:rPr>
          <w:i/>
          <w:sz w:val="20"/>
          <w:szCs w:val="20"/>
          <w:lang w:val="fr-CA"/>
        </w:rPr>
        <w:t xml:space="preserve"> </w:t>
      </w:r>
      <w:r w:rsidRPr="00EA63C5">
        <w:rPr>
          <w:sz w:val="20"/>
          <w:szCs w:val="20"/>
          <w:lang w:val="fr-CA"/>
        </w:rPr>
        <w:t xml:space="preserve">Mesure dans laquelle un tribunal d’appel peut intervenir dans l’appréciation de la preuve par un arbitre, ou faire abstraction de cette appréciation,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EA63C5">
        <w:rPr>
          <w:i/>
          <w:sz w:val="20"/>
          <w:szCs w:val="20"/>
          <w:lang w:val="fr-CA"/>
        </w:rPr>
        <w:t xml:space="preserve">Sattva Capital Corp. </w:t>
      </w:r>
      <w:r w:rsidRPr="00EA63C5">
        <w:rPr>
          <w:i/>
          <w:iCs/>
          <w:sz w:val="20"/>
          <w:szCs w:val="20"/>
          <w:lang w:val="fr-CA"/>
        </w:rPr>
        <w:t>c.</w:t>
      </w:r>
      <w:r w:rsidRPr="00EA63C5">
        <w:rPr>
          <w:i/>
          <w:sz w:val="20"/>
          <w:szCs w:val="20"/>
          <w:lang w:val="fr-CA"/>
        </w:rPr>
        <w:t xml:space="preserve"> Creston Moly Corp.</w:t>
      </w:r>
      <w:r w:rsidRPr="00EA63C5">
        <w:rPr>
          <w:sz w:val="20"/>
          <w:szCs w:val="20"/>
          <w:lang w:val="fr-CA"/>
        </w:rPr>
        <w:t xml:space="preserve">, 2014 CSC 53 - Comment faut-il évaluer l’indemnité à verser pour la valeur des améliorations apportées à des terres publiques en application du par. 6(4) de la </w:t>
      </w:r>
      <w:proofErr w:type="spellStart"/>
      <w:r w:rsidRPr="00EA63C5">
        <w:rPr>
          <w:i/>
          <w:sz w:val="20"/>
          <w:szCs w:val="20"/>
          <w:lang w:val="fr-CA"/>
        </w:rPr>
        <w:t>Forestry</w:t>
      </w:r>
      <w:proofErr w:type="spellEnd"/>
      <w:r w:rsidRPr="00EA63C5">
        <w:rPr>
          <w:i/>
          <w:sz w:val="20"/>
          <w:szCs w:val="20"/>
          <w:lang w:val="fr-CA"/>
        </w:rPr>
        <w:t xml:space="preserve">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 Est-il loisible à un arbitre d’utiliser la méthode du coût de remplacement net d’amortissement pour évaluer l’indemnité à verser en application du par. 6(4) de la </w:t>
      </w:r>
      <w:proofErr w:type="spellStart"/>
      <w:r w:rsidRPr="00EA63C5">
        <w:rPr>
          <w:i/>
          <w:sz w:val="20"/>
          <w:szCs w:val="20"/>
          <w:lang w:val="fr-CA"/>
        </w:rPr>
        <w:t>Forestry</w:t>
      </w:r>
      <w:proofErr w:type="spellEnd"/>
      <w:r w:rsidRPr="00EA63C5">
        <w:rPr>
          <w:i/>
          <w:sz w:val="20"/>
          <w:szCs w:val="20"/>
          <w:lang w:val="fr-CA"/>
        </w:rPr>
        <w:t xml:space="preserve">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au titre de la valeur des améliorations? - Le juge </w:t>
      </w:r>
      <w:proofErr w:type="spellStart"/>
      <w:r w:rsidRPr="00EA63C5">
        <w:rPr>
          <w:sz w:val="20"/>
          <w:szCs w:val="20"/>
          <w:lang w:val="fr-CA"/>
        </w:rPr>
        <w:t>a-t-il</w:t>
      </w:r>
      <w:proofErr w:type="spellEnd"/>
      <w:r w:rsidRPr="00EA63C5">
        <w:rPr>
          <w:sz w:val="20"/>
          <w:szCs w:val="20"/>
          <w:lang w:val="fr-CA"/>
        </w:rPr>
        <w:t xml:space="preserve"> eu tort de rejeter la demande de la Province en autorisation d’appel de la sentence de l’arbitre quant aux intérêts eu égard à l’art. 31 de la </w:t>
      </w:r>
      <w:r w:rsidRPr="00EA63C5">
        <w:rPr>
          <w:i/>
          <w:sz w:val="20"/>
          <w:szCs w:val="20"/>
          <w:lang w:val="fr-CA"/>
        </w:rPr>
        <w:t xml:space="preserve">Commercial Arbitration </w:t>
      </w:r>
      <w:proofErr w:type="spellStart"/>
      <w:r w:rsidRPr="00EA63C5">
        <w:rPr>
          <w:i/>
          <w:sz w:val="20"/>
          <w:szCs w:val="20"/>
          <w:lang w:val="fr-CA"/>
        </w:rPr>
        <w:t>Act</w:t>
      </w:r>
      <w:proofErr w:type="spellEnd"/>
      <w:r w:rsidRPr="00EA63C5">
        <w:rPr>
          <w:sz w:val="20"/>
          <w:szCs w:val="20"/>
          <w:lang w:val="fr-CA"/>
        </w:rPr>
        <w:t>, R.S.B.C. 1996, ch. 55?</w:t>
      </w:r>
    </w:p>
    <w:p w:rsidR="00F74CAA" w:rsidRPr="00EA63C5" w:rsidRDefault="00F74CAA" w:rsidP="00F74CAA">
      <w:pPr>
        <w:widowControl w:val="0"/>
        <w:jc w:val="both"/>
        <w:rPr>
          <w:sz w:val="20"/>
          <w:szCs w:val="20"/>
          <w:lang w:val="fr-CA"/>
        </w:rPr>
      </w:pPr>
    </w:p>
    <w:p w:rsidR="00F74CAA" w:rsidRPr="00EA63C5" w:rsidRDefault="00F74CAA" w:rsidP="00F74CAA">
      <w:pPr>
        <w:jc w:val="both"/>
        <w:rPr>
          <w:sz w:val="20"/>
          <w:szCs w:val="20"/>
          <w:lang w:val="fr-CA"/>
        </w:rPr>
      </w:pPr>
      <w:r w:rsidRPr="00EA63C5">
        <w:rPr>
          <w:sz w:val="20"/>
          <w:szCs w:val="20"/>
          <w:lang w:val="fr-CA"/>
        </w:rPr>
        <w:t xml:space="preserve">La </w:t>
      </w:r>
      <w:proofErr w:type="spellStart"/>
      <w:r w:rsidRPr="00EA63C5">
        <w:rPr>
          <w:i/>
          <w:sz w:val="20"/>
          <w:szCs w:val="20"/>
          <w:lang w:val="fr-CA"/>
        </w:rPr>
        <w:t>Forestry</w:t>
      </w:r>
      <w:proofErr w:type="spellEnd"/>
      <w:r w:rsidRPr="00EA63C5">
        <w:rPr>
          <w:i/>
          <w:sz w:val="20"/>
          <w:szCs w:val="20"/>
          <w:lang w:val="fr-CA"/>
        </w:rPr>
        <w:t xml:space="preserve">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S.B.C. 2003, ch. 17 (la «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 or la « Loi »), permettait à la Province de Colombie-Britannique (la « Province » ou l’« intimée ») de réduire de 20 % l’assise territoriale et la coupe annuelle autorisée de tenures détenues par les entreprises forestières de la Colombie-Britannique, notamment l’appelante, </w:t>
      </w:r>
      <w:proofErr w:type="spellStart"/>
      <w:r w:rsidRPr="00EA63C5">
        <w:rPr>
          <w:sz w:val="20"/>
          <w:szCs w:val="20"/>
          <w:lang w:val="fr-CA"/>
        </w:rPr>
        <w:t>Teal</w:t>
      </w:r>
      <w:proofErr w:type="spellEnd"/>
      <w:r w:rsidRPr="00EA63C5">
        <w:rPr>
          <w:sz w:val="20"/>
          <w:szCs w:val="20"/>
          <w:lang w:val="fr-CA"/>
        </w:rPr>
        <w:t xml:space="preserve"> Cedar </w:t>
      </w:r>
      <w:proofErr w:type="spellStart"/>
      <w:r w:rsidRPr="00EA63C5">
        <w:rPr>
          <w:sz w:val="20"/>
          <w:szCs w:val="20"/>
          <w:lang w:val="fr-CA"/>
        </w:rPr>
        <w:t>Products</w:t>
      </w:r>
      <w:proofErr w:type="spellEnd"/>
      <w:r w:rsidRPr="00EA63C5">
        <w:rPr>
          <w:sz w:val="20"/>
          <w:szCs w:val="20"/>
          <w:lang w:val="fr-CA"/>
        </w:rPr>
        <w:t xml:space="preserve"> Ltd. (« </w:t>
      </w:r>
      <w:proofErr w:type="spellStart"/>
      <w:r w:rsidRPr="00EA63C5">
        <w:rPr>
          <w:sz w:val="20"/>
          <w:szCs w:val="20"/>
          <w:lang w:val="fr-CA"/>
        </w:rPr>
        <w:t>Teal</w:t>
      </w:r>
      <w:proofErr w:type="spellEnd"/>
      <w:r w:rsidRPr="00EA63C5">
        <w:rPr>
          <w:sz w:val="20"/>
          <w:szCs w:val="20"/>
          <w:lang w:val="fr-CA"/>
        </w:rPr>
        <w:t xml:space="preserve"> »). Un différend est survenu concernant l’indemnité que la Province doit payer à </w:t>
      </w:r>
      <w:proofErr w:type="spellStart"/>
      <w:r w:rsidRPr="00EA63C5">
        <w:rPr>
          <w:sz w:val="20"/>
          <w:szCs w:val="20"/>
          <w:lang w:val="fr-CA"/>
        </w:rPr>
        <w:t>Teal</w:t>
      </w:r>
      <w:proofErr w:type="spellEnd"/>
      <w:r w:rsidRPr="00EA63C5">
        <w:rPr>
          <w:sz w:val="20"/>
          <w:szCs w:val="20"/>
          <w:lang w:val="fr-CA"/>
        </w:rPr>
        <w:t xml:space="preserve"> pour la [</w:t>
      </w:r>
      <w:r w:rsidRPr="00EA63C5">
        <w:rPr>
          <w:smallCaps/>
          <w:sz w:val="20"/>
          <w:szCs w:val="20"/>
          <w:lang w:val="fr-CA"/>
        </w:rPr>
        <w:t>traduction</w:t>
      </w:r>
      <w:r w:rsidRPr="00EA63C5">
        <w:rPr>
          <w:sz w:val="20"/>
          <w:szCs w:val="20"/>
          <w:lang w:val="fr-CA"/>
        </w:rPr>
        <w:t xml:space="preserve">] « valeur des améliorations apportées aux terres publiques » en application du par. 6(4) de la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Les parties ont réglé à l’amiable la question de l’indemnité due à </w:t>
      </w:r>
      <w:proofErr w:type="spellStart"/>
      <w:r w:rsidRPr="00EA63C5">
        <w:rPr>
          <w:sz w:val="20"/>
          <w:szCs w:val="20"/>
          <w:lang w:val="fr-CA"/>
        </w:rPr>
        <w:t>Teal</w:t>
      </w:r>
      <w:proofErr w:type="spellEnd"/>
      <w:r w:rsidRPr="00EA63C5">
        <w:rPr>
          <w:sz w:val="20"/>
          <w:szCs w:val="20"/>
          <w:lang w:val="fr-CA"/>
        </w:rPr>
        <w:t xml:space="preserve"> en application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pour la valeur des droits de récolte perdus. Même si la Province avait avancé la somme de quatre millions de dollars au total, les parties ne se sont pas entendues sur l’indemnité finale au titre de la valeur des améliorations connexes. Ce différend est allé en arbitrage sous le régime de la </w:t>
      </w:r>
      <w:r w:rsidRPr="00EA63C5">
        <w:rPr>
          <w:i/>
          <w:sz w:val="20"/>
          <w:szCs w:val="20"/>
          <w:lang w:val="fr-CA"/>
        </w:rPr>
        <w:t xml:space="preserve">Commercial Arbitration </w:t>
      </w:r>
      <w:proofErr w:type="spellStart"/>
      <w:r w:rsidRPr="00EA63C5">
        <w:rPr>
          <w:i/>
          <w:sz w:val="20"/>
          <w:szCs w:val="20"/>
          <w:lang w:val="fr-CA"/>
        </w:rPr>
        <w:t>Act</w:t>
      </w:r>
      <w:proofErr w:type="spellEnd"/>
      <w:r w:rsidRPr="00EA63C5">
        <w:rPr>
          <w:sz w:val="20"/>
          <w:szCs w:val="20"/>
          <w:lang w:val="fr-CA"/>
        </w:rPr>
        <w:t xml:space="preserve">, R.S.B.C. 1996, ch. 55 (renommée </w:t>
      </w:r>
      <w:r w:rsidRPr="00EA63C5">
        <w:rPr>
          <w:i/>
          <w:sz w:val="20"/>
          <w:szCs w:val="20"/>
          <w:lang w:val="fr-CA"/>
        </w:rPr>
        <w:t xml:space="preserve">Arbitration </w:t>
      </w:r>
      <w:proofErr w:type="spellStart"/>
      <w:r w:rsidRPr="00EA63C5">
        <w:rPr>
          <w:i/>
          <w:sz w:val="20"/>
          <w:szCs w:val="20"/>
          <w:lang w:val="fr-CA"/>
        </w:rPr>
        <w:t>Act</w:t>
      </w:r>
      <w:proofErr w:type="spellEnd"/>
      <w:r w:rsidRPr="00EA63C5">
        <w:rPr>
          <w:sz w:val="20"/>
          <w:szCs w:val="20"/>
          <w:lang w:val="fr-CA"/>
        </w:rPr>
        <w:t xml:space="preserve">, à compter du 18 mars 2013), comme le prescrivait la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Puisque la </w:t>
      </w:r>
      <w:proofErr w:type="spellStart"/>
      <w:r w:rsidRPr="00EA63C5">
        <w:rPr>
          <w:i/>
          <w:sz w:val="20"/>
          <w:szCs w:val="20"/>
          <w:lang w:val="fr-CA"/>
        </w:rPr>
        <w:t>Revitalization</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ne précise pas de méthode d’évaluation des améliorations, l’arbitre s’est appuyé sur une preuve d’expert et a choisi la méthode d’évaluation dite « de l’économie de coûts ». Le 27 avril 2011, l’arbitre a accordé à </w:t>
      </w:r>
      <w:proofErr w:type="spellStart"/>
      <w:r w:rsidRPr="00EA63C5">
        <w:rPr>
          <w:sz w:val="20"/>
          <w:szCs w:val="20"/>
          <w:lang w:val="fr-CA"/>
        </w:rPr>
        <w:t>Teal</w:t>
      </w:r>
      <w:proofErr w:type="spellEnd"/>
      <w:r w:rsidRPr="00EA63C5">
        <w:rPr>
          <w:sz w:val="20"/>
          <w:szCs w:val="20"/>
          <w:lang w:val="fr-CA"/>
        </w:rPr>
        <w:t xml:space="preserve"> la somme de 5 150 000 $ (comme l’indiquent les calculs dans le rectificatif publié le 30 juin 2011 par l’arbitre), plus l’intérêt composé, en plus de la somme de quatre millions de dollars que la Province avait déjà avancée à </w:t>
      </w:r>
      <w:proofErr w:type="spellStart"/>
      <w:r w:rsidRPr="00EA63C5">
        <w:rPr>
          <w:sz w:val="20"/>
          <w:szCs w:val="20"/>
          <w:lang w:val="fr-CA"/>
        </w:rPr>
        <w:t>Teal</w:t>
      </w:r>
      <w:proofErr w:type="spellEnd"/>
      <w:r w:rsidRPr="00EA63C5">
        <w:rPr>
          <w:sz w:val="20"/>
          <w:szCs w:val="20"/>
          <w:lang w:val="fr-CA"/>
        </w:rPr>
        <w:t xml:space="preserve"> à titre d’indemnité pour les améliorations. L’arbitre a refusé d’accorder une indemnité au titre des améliorations relatives à un des permis d’exploitation forestière de </w:t>
      </w:r>
      <w:proofErr w:type="spellStart"/>
      <w:r w:rsidRPr="00EA63C5">
        <w:rPr>
          <w:sz w:val="20"/>
          <w:szCs w:val="20"/>
          <w:lang w:val="fr-CA"/>
        </w:rPr>
        <w:t>Teal</w:t>
      </w:r>
      <w:proofErr w:type="spellEnd"/>
      <w:r w:rsidRPr="00EA63C5">
        <w:rPr>
          <w:sz w:val="20"/>
          <w:szCs w:val="20"/>
          <w:lang w:val="fr-CA"/>
        </w:rPr>
        <w:t>.</w:t>
      </w:r>
    </w:p>
    <w:p w:rsidR="00F74CAA" w:rsidRPr="00EA63C5" w:rsidRDefault="00F74CAA" w:rsidP="00F74CAA">
      <w:pPr>
        <w:rPr>
          <w:sz w:val="20"/>
          <w:szCs w:val="20"/>
          <w:lang w:val="fr-CA"/>
        </w:rPr>
      </w:pPr>
    </w:p>
    <w:p w:rsidR="00F74CAA" w:rsidRPr="00EA63C5" w:rsidRDefault="00F74CAA" w:rsidP="00F74CAA">
      <w:pPr>
        <w:jc w:val="both"/>
        <w:rPr>
          <w:sz w:val="20"/>
          <w:szCs w:val="20"/>
          <w:lang w:val="fr-CA"/>
        </w:rPr>
      </w:pPr>
      <w:r w:rsidRPr="00EA63C5">
        <w:rPr>
          <w:sz w:val="20"/>
          <w:szCs w:val="20"/>
          <w:lang w:val="fr-CA"/>
        </w:rPr>
        <w:t>Les deux parties ont demandé à la Cour suprême de la Colombie-Britannique l’autorisation d’en appeler de la sentence de l’arbitre.</w:t>
      </w:r>
    </w:p>
    <w:p w:rsidR="00F74CAA" w:rsidRPr="00EA63C5" w:rsidRDefault="00F74CAA" w:rsidP="000B3C9A">
      <w:pPr>
        <w:tabs>
          <w:tab w:val="left" w:pos="-1440"/>
          <w:tab w:val="left" w:pos="-720"/>
        </w:tabs>
        <w:jc w:val="both"/>
        <w:rPr>
          <w:sz w:val="20"/>
          <w:szCs w:val="20"/>
          <w:lang w:val="fr-CA"/>
        </w:rPr>
      </w:pPr>
    </w:p>
    <w:p w:rsidR="00F74CAA" w:rsidRPr="00EA63C5" w:rsidRDefault="007F6DC5" w:rsidP="000B3C9A">
      <w:pPr>
        <w:tabs>
          <w:tab w:val="left" w:pos="-1440"/>
          <w:tab w:val="left" w:pos="-720"/>
        </w:tabs>
        <w:jc w:val="both"/>
        <w:rPr>
          <w:sz w:val="20"/>
          <w:szCs w:val="20"/>
          <w:lang w:val="fr-CA"/>
        </w:rPr>
      </w:pPr>
      <w:r>
        <w:rPr>
          <w:sz w:val="20"/>
          <w:szCs w:val="20"/>
          <w:lang w:val="fr-CA"/>
        </w:rPr>
        <w:pict>
          <v:rect id="_x0000_i1103" style="width:2in;height:1pt" o:hrpct="0" o:hralign="center" o:hrstd="t" o:hrnoshade="t" o:hr="t" fillcolor="black [3213]" stroked="f"/>
        </w:pict>
      </w:r>
    </w:p>
    <w:p w:rsidR="00F74CAA" w:rsidRPr="00EA63C5" w:rsidRDefault="00F74CAA" w:rsidP="000B3C9A">
      <w:pPr>
        <w:tabs>
          <w:tab w:val="left" w:pos="-1440"/>
          <w:tab w:val="left" w:pos="-720"/>
        </w:tabs>
        <w:jc w:val="both"/>
        <w:rPr>
          <w:sz w:val="20"/>
          <w:szCs w:val="20"/>
          <w:lang w:val="fr-CA"/>
        </w:rPr>
      </w:pPr>
    </w:p>
    <w:p w:rsidR="00F74CAA" w:rsidRPr="00EA63C5" w:rsidRDefault="00F74CAA">
      <w:pPr>
        <w:rPr>
          <w:sz w:val="20"/>
          <w:szCs w:val="20"/>
          <w:lang w:val="fr-CA"/>
        </w:rPr>
      </w:pPr>
      <w:r w:rsidRPr="00EA63C5">
        <w:rPr>
          <w:sz w:val="20"/>
          <w:szCs w:val="20"/>
          <w:lang w:val="fr-CA"/>
        </w:rPr>
        <w:br w:type="page"/>
      </w:r>
    </w:p>
    <w:p w:rsidR="00F74CAA" w:rsidRPr="00EA63C5" w:rsidRDefault="00F74CAA" w:rsidP="000B3C9A">
      <w:pPr>
        <w:tabs>
          <w:tab w:val="left" w:pos="-1440"/>
          <w:tab w:val="left" w:pos="-720"/>
        </w:tabs>
        <w:jc w:val="both"/>
        <w:rPr>
          <w:sz w:val="20"/>
          <w:szCs w:val="20"/>
          <w:lang w:val="fr-CA"/>
        </w:rPr>
      </w:pPr>
    </w:p>
    <w:p w:rsidR="00F74CAA" w:rsidRPr="00EA63C5" w:rsidRDefault="00F74CAA" w:rsidP="00F74CAA">
      <w:pPr>
        <w:widowControl w:val="0"/>
        <w:tabs>
          <w:tab w:val="left" w:pos="540"/>
        </w:tabs>
        <w:ind w:left="720" w:hanging="720"/>
        <w:jc w:val="both"/>
        <w:rPr>
          <w:sz w:val="20"/>
          <w:szCs w:val="20"/>
        </w:rPr>
      </w:pPr>
      <w:r w:rsidRPr="00EA63C5">
        <w:rPr>
          <w:b/>
          <w:sz w:val="20"/>
          <w:szCs w:val="20"/>
        </w:rPr>
        <w:t>36639</w:t>
      </w:r>
      <w:r w:rsidRPr="00EA63C5">
        <w:rPr>
          <w:sz w:val="20"/>
          <w:szCs w:val="20"/>
        </w:rPr>
        <w:fldChar w:fldCharType="begin"/>
      </w:r>
      <w:r w:rsidRPr="00EA63C5">
        <w:rPr>
          <w:sz w:val="20"/>
          <w:szCs w:val="20"/>
        </w:rPr>
        <w:instrText xml:space="preserve"> SEQ CHAPTER \h \r 1</w:instrText>
      </w:r>
      <w:r w:rsidRPr="00EA63C5">
        <w:rPr>
          <w:sz w:val="20"/>
          <w:szCs w:val="20"/>
        </w:rPr>
        <w:fldChar w:fldCharType="end"/>
      </w:r>
      <w:r w:rsidRPr="00EA63C5">
        <w:rPr>
          <w:sz w:val="20"/>
          <w:szCs w:val="20"/>
        </w:rPr>
        <w:tab/>
      </w:r>
      <w:r w:rsidRPr="00EA63C5">
        <w:rPr>
          <w:sz w:val="20"/>
          <w:szCs w:val="20"/>
        </w:rPr>
        <w:tab/>
      </w:r>
      <w:r w:rsidRPr="00EA63C5">
        <w:rPr>
          <w:b/>
          <w:i/>
          <w:sz w:val="20"/>
          <w:szCs w:val="20"/>
        </w:rPr>
        <w:t xml:space="preserve">Urban Communications Inc. v. BCNET Networking Society </w:t>
      </w:r>
      <w:r w:rsidRPr="00EA63C5">
        <w:rPr>
          <w:sz w:val="20"/>
          <w:szCs w:val="20"/>
        </w:rPr>
        <w:t>(B.C.) (Civil) (By Leave)</w:t>
      </w:r>
    </w:p>
    <w:p w:rsidR="00F74CAA" w:rsidRPr="00EA63C5" w:rsidRDefault="00F74CAA" w:rsidP="00F74CAA">
      <w:pPr>
        <w:widowControl w:val="0"/>
        <w:jc w:val="both"/>
        <w:rPr>
          <w:sz w:val="20"/>
          <w:szCs w:val="20"/>
        </w:rPr>
      </w:pPr>
    </w:p>
    <w:p w:rsidR="00F74CAA" w:rsidRPr="00EA63C5" w:rsidRDefault="00F74CAA" w:rsidP="00F74CAA">
      <w:pPr>
        <w:widowControl w:val="0"/>
        <w:jc w:val="both"/>
        <w:rPr>
          <w:sz w:val="20"/>
          <w:szCs w:val="20"/>
        </w:rPr>
      </w:pPr>
      <w:r w:rsidRPr="00EA63C5">
        <w:rPr>
          <w:sz w:val="20"/>
          <w:szCs w:val="20"/>
        </w:rPr>
        <w:t xml:space="preserve">Arbitration - Appeals - Commercial arbitration award - Exercising of options under agreement between parties - Arbitrator ruling option exercised - Chambers judge granting leave to appeal and amending arbitrator’s award - Court of Appeal reinstating arbitrator’s award - Whether Court of Appeal erred by applying </w:t>
      </w:r>
      <w:r w:rsidRPr="00EA63C5">
        <w:rPr>
          <w:i/>
          <w:sz w:val="20"/>
          <w:szCs w:val="20"/>
        </w:rPr>
        <w:t>Sattva Capital Corp. v. Creston Moly Corp.</w:t>
      </w:r>
      <w:r w:rsidRPr="00EA63C5">
        <w:rPr>
          <w:sz w:val="20"/>
          <w:szCs w:val="20"/>
        </w:rPr>
        <w:t xml:space="preserve">, 2014 SCC 53, [2014] 2 S.C.R. 633 to an issue of contract formation - Whether validity of exercise of an option is a question of mixed fact and law because it requires a determination of objective intent of </w:t>
      </w:r>
      <w:proofErr w:type="spellStart"/>
      <w:r w:rsidRPr="00EA63C5">
        <w:rPr>
          <w:sz w:val="20"/>
          <w:szCs w:val="20"/>
        </w:rPr>
        <w:t>optionee</w:t>
      </w:r>
      <w:proofErr w:type="spellEnd"/>
      <w:r w:rsidRPr="00EA63C5">
        <w:rPr>
          <w:sz w:val="20"/>
          <w:szCs w:val="20"/>
        </w:rPr>
        <w:t xml:space="preserve"> - What is standard for reviewing errors of law involving principles of general application - </w:t>
      </w:r>
      <w:r w:rsidRPr="00EA63C5">
        <w:rPr>
          <w:i/>
          <w:sz w:val="20"/>
          <w:szCs w:val="20"/>
        </w:rPr>
        <w:t>Arbitration Act</w:t>
      </w:r>
      <w:r w:rsidRPr="00EA63C5">
        <w:rPr>
          <w:sz w:val="20"/>
          <w:szCs w:val="20"/>
        </w:rPr>
        <w:t>, R.S.B.C. 1996, c. 55, s. 31.</w:t>
      </w:r>
    </w:p>
    <w:p w:rsidR="00F74CAA" w:rsidRPr="00EA63C5" w:rsidRDefault="00F74CAA" w:rsidP="00F74CAA">
      <w:pPr>
        <w:jc w:val="both"/>
        <w:rPr>
          <w:sz w:val="20"/>
          <w:szCs w:val="20"/>
        </w:rPr>
      </w:pPr>
    </w:p>
    <w:p w:rsidR="00F74CAA" w:rsidRPr="00EA63C5" w:rsidRDefault="00F74CAA" w:rsidP="00F74CAA">
      <w:pPr>
        <w:jc w:val="both"/>
        <w:rPr>
          <w:sz w:val="20"/>
          <w:szCs w:val="20"/>
        </w:rPr>
      </w:pPr>
      <w:r w:rsidRPr="00EA63C5">
        <w:rPr>
          <w:sz w:val="20"/>
          <w:szCs w:val="20"/>
        </w:rPr>
        <w:t xml:space="preserve">Under s. 31 of the </w:t>
      </w:r>
      <w:r w:rsidRPr="00EA63C5">
        <w:rPr>
          <w:i/>
          <w:sz w:val="20"/>
          <w:szCs w:val="20"/>
        </w:rPr>
        <w:t>Arbitration Act</w:t>
      </w:r>
      <w:r w:rsidRPr="00EA63C5">
        <w:rPr>
          <w:sz w:val="20"/>
          <w:szCs w:val="20"/>
        </w:rPr>
        <w:t>, R.S.B.C. 1996, c. 55, the arbitrator had to determine whether the respondent BCNET Networking Society properly and validly exercised its options under the existing agreement between itself and the appellant Urban Communications Inc., under which Urban leased certain fibre optic strands to BCNET for a period of years. In the arbitration, BCNET sought a declaration that it had validly exercised the option under the agreement. Urban took the position that BCNET’s attempt to exercise the option was invalid.</w:t>
      </w:r>
    </w:p>
    <w:p w:rsidR="00F74CAA" w:rsidRPr="00EA63C5" w:rsidRDefault="00F74CAA" w:rsidP="00F74CAA">
      <w:pPr>
        <w:jc w:val="both"/>
        <w:rPr>
          <w:sz w:val="20"/>
          <w:szCs w:val="20"/>
        </w:rPr>
      </w:pPr>
    </w:p>
    <w:p w:rsidR="00F74CAA" w:rsidRPr="00EA63C5" w:rsidRDefault="00F74CAA" w:rsidP="00F74CAA">
      <w:pPr>
        <w:jc w:val="both"/>
        <w:rPr>
          <w:sz w:val="20"/>
          <w:szCs w:val="20"/>
        </w:rPr>
      </w:pPr>
      <w:r w:rsidRPr="00EA63C5">
        <w:rPr>
          <w:sz w:val="20"/>
          <w:szCs w:val="20"/>
        </w:rPr>
        <w:t xml:space="preserve">The arbitrator ruled in favour of BCNET finding all of the options had been properly exercised by a letter written by BCNET on July 18, 2011 and Urban was estopped from relying on any defects in that option exercise. The chambers judge found the arbitrator had erred. It granted leave to appeal and amended the arbitrator’s award finding the agreement required $1.00 as consideration for the exercise of the option and BCNET’s July 18, 2011 letter was a qualified acceptance of the option offer and thus constituted a counter-offer that extinguished the original offer. The Court of Appeal applied the reasoning in the newly released </w:t>
      </w:r>
      <w:r w:rsidRPr="00EA63C5">
        <w:rPr>
          <w:i/>
          <w:sz w:val="20"/>
          <w:szCs w:val="20"/>
        </w:rPr>
        <w:t>Sattva Capital Corp. v. Creston Moly Corp.</w:t>
      </w:r>
      <w:r w:rsidRPr="00EA63C5">
        <w:rPr>
          <w:sz w:val="20"/>
          <w:szCs w:val="20"/>
        </w:rPr>
        <w:t>, 2014 SCC 53, [2014] 2 S.C.R. 633 decision and set aside the chamber judge’s decision and reinstated the arbitrator’s award.</w:t>
      </w:r>
    </w:p>
    <w:p w:rsidR="00F74CAA" w:rsidRPr="00EA63C5" w:rsidRDefault="00F74CAA" w:rsidP="000B3C9A">
      <w:pPr>
        <w:tabs>
          <w:tab w:val="left" w:pos="-1440"/>
          <w:tab w:val="left" w:pos="-720"/>
        </w:tabs>
        <w:jc w:val="both"/>
        <w:rPr>
          <w:sz w:val="20"/>
          <w:szCs w:val="20"/>
        </w:rPr>
      </w:pPr>
    </w:p>
    <w:p w:rsidR="00F74CAA" w:rsidRPr="00EA63C5" w:rsidRDefault="007F6DC5" w:rsidP="000B3C9A">
      <w:pPr>
        <w:tabs>
          <w:tab w:val="left" w:pos="-1440"/>
          <w:tab w:val="left" w:pos="-720"/>
        </w:tabs>
        <w:jc w:val="both"/>
        <w:rPr>
          <w:sz w:val="20"/>
          <w:szCs w:val="20"/>
          <w:lang w:val="en-US"/>
        </w:rPr>
      </w:pPr>
      <w:r>
        <w:rPr>
          <w:sz w:val="20"/>
          <w:szCs w:val="20"/>
          <w:lang w:val="fr-CA"/>
        </w:rPr>
        <w:pict>
          <v:rect id="_x0000_i1104" style="width:2in;height:1pt" o:hrpct="0" o:hralign="center" o:hrstd="t" o:hrnoshade="t" o:hr="t" fillcolor="black [3213]" stroked="f"/>
        </w:pict>
      </w:r>
    </w:p>
    <w:p w:rsidR="00F74CAA" w:rsidRPr="00EA63C5" w:rsidRDefault="00F74CAA" w:rsidP="000B3C9A">
      <w:pPr>
        <w:tabs>
          <w:tab w:val="left" w:pos="-1440"/>
          <w:tab w:val="left" w:pos="-720"/>
        </w:tabs>
        <w:jc w:val="both"/>
        <w:rPr>
          <w:sz w:val="20"/>
          <w:szCs w:val="20"/>
          <w:lang w:val="en-US"/>
        </w:rPr>
      </w:pPr>
    </w:p>
    <w:p w:rsidR="00F74CAA" w:rsidRPr="00EA63C5" w:rsidRDefault="00F74CAA" w:rsidP="00F74CAA">
      <w:pPr>
        <w:widowControl w:val="0"/>
        <w:ind w:left="720" w:hanging="720"/>
        <w:rPr>
          <w:sz w:val="20"/>
          <w:szCs w:val="20"/>
          <w:lang w:val="fr-CA"/>
        </w:rPr>
      </w:pPr>
      <w:r w:rsidRPr="00EA63C5">
        <w:rPr>
          <w:rStyle w:val="SCCFileNumberChar"/>
          <w:sz w:val="20"/>
          <w:szCs w:val="20"/>
        </w:rPr>
        <w:t>36639</w:t>
      </w:r>
      <w:r w:rsidRPr="00EA63C5">
        <w:rPr>
          <w:rStyle w:val="SCCFileNumberChar"/>
          <w:sz w:val="20"/>
          <w:szCs w:val="20"/>
        </w:rPr>
        <w:tab/>
      </w:r>
      <w:r w:rsidRPr="00EA63C5">
        <w:rPr>
          <w:rFonts w:eastAsia="Times New Roman" w:cs="Times New Roman"/>
          <w:b/>
          <w:i/>
          <w:sz w:val="20"/>
          <w:szCs w:val="20"/>
          <w:lang w:val="en-US" w:eastAsia="en-CA"/>
        </w:rPr>
        <w:t xml:space="preserve">Urban Communications Inc. c. BCNET Networking Society </w:t>
      </w:r>
      <w:r w:rsidRPr="00EA63C5">
        <w:rPr>
          <w:sz w:val="20"/>
          <w:szCs w:val="20"/>
          <w:lang w:val="en-US"/>
        </w:rPr>
        <w:t xml:space="preserve">(C.-B.) </w:t>
      </w:r>
      <w:r w:rsidRPr="00EA63C5">
        <w:rPr>
          <w:sz w:val="20"/>
          <w:szCs w:val="20"/>
          <w:lang w:val="fr-CA"/>
        </w:rPr>
        <w:t>(Civile) (Sur autorisation)</w:t>
      </w:r>
    </w:p>
    <w:p w:rsidR="00F74CAA" w:rsidRPr="00EA63C5" w:rsidRDefault="00F74CAA" w:rsidP="000B3C9A">
      <w:pPr>
        <w:tabs>
          <w:tab w:val="left" w:pos="-1440"/>
          <w:tab w:val="left" w:pos="-720"/>
        </w:tabs>
        <w:jc w:val="both"/>
        <w:rPr>
          <w:sz w:val="20"/>
          <w:szCs w:val="20"/>
          <w:lang w:val="fr-CA"/>
        </w:rPr>
      </w:pPr>
    </w:p>
    <w:p w:rsidR="00F74CAA" w:rsidRPr="00EA63C5" w:rsidRDefault="00F74CAA" w:rsidP="000B3C9A">
      <w:pPr>
        <w:tabs>
          <w:tab w:val="left" w:pos="-1440"/>
          <w:tab w:val="left" w:pos="-720"/>
        </w:tabs>
        <w:jc w:val="both"/>
        <w:rPr>
          <w:rFonts w:eastAsia="Times New Roman" w:cs="Times New Roman"/>
          <w:sz w:val="20"/>
          <w:szCs w:val="20"/>
          <w:lang w:val="fr-CA" w:eastAsia="en-CA"/>
        </w:rPr>
      </w:pPr>
      <w:r w:rsidRPr="00EA63C5">
        <w:rPr>
          <w:rFonts w:eastAsia="Times New Roman" w:cs="Times New Roman"/>
          <w:sz w:val="20"/>
          <w:szCs w:val="20"/>
          <w:lang w:val="fr-CA" w:eastAsia="en-CA"/>
        </w:rPr>
        <w:t xml:space="preserve">Arbitrage - Appels - Sentence en arbitrage commercial - Exercice des options prévues par la convention entre les parties - Décision de l’arbitre que l’option a été exercée - Juge en cabinet accordant l’autorisation d’appel et modifiant la sentence de l’arbitre - Rétablissement de la sentence par la Cour d’appel - La Cour d’appel a-t-elle commis une erreur en appliquant </w:t>
      </w:r>
      <w:r w:rsidRPr="00EA63C5">
        <w:rPr>
          <w:rFonts w:eastAsia="Times New Roman" w:cs="Times New Roman"/>
          <w:i/>
          <w:sz w:val="20"/>
          <w:szCs w:val="20"/>
          <w:lang w:val="fr-CA" w:eastAsia="en-CA"/>
        </w:rPr>
        <w:t>Sattva Capital Corp. c. Creston Moly Corp.</w:t>
      </w:r>
      <w:r w:rsidRPr="00EA63C5">
        <w:rPr>
          <w:rFonts w:eastAsia="Times New Roman" w:cs="Times New Roman"/>
          <w:sz w:val="20"/>
          <w:szCs w:val="20"/>
          <w:lang w:val="fr-CA" w:eastAsia="en-CA"/>
        </w:rPr>
        <w:t>, 2014 CSC 53, [2014] 2 R.C.S. 633, à une question de formation d’un contrat?</w:t>
      </w:r>
      <w:r w:rsidRPr="00EA63C5">
        <w:rPr>
          <w:rFonts w:eastAsia="Times New Roman" w:cs="Times New Roman"/>
          <w:i/>
          <w:sz w:val="20"/>
          <w:szCs w:val="20"/>
          <w:lang w:val="fr-CA" w:eastAsia="en-CA"/>
        </w:rPr>
        <w:t xml:space="preserve"> </w:t>
      </w:r>
      <w:r w:rsidRPr="00EA63C5">
        <w:rPr>
          <w:rFonts w:eastAsia="Times New Roman" w:cs="Times New Roman"/>
          <w:sz w:val="20"/>
          <w:szCs w:val="20"/>
          <w:lang w:val="fr-CA" w:eastAsia="en-CA"/>
        </w:rPr>
        <w:t xml:space="preserve">La validité de l’exercice d’une option est-elle une question mixte de fait et de droit parce qu’elle exige que l’on cerne l’intention objective du bénéficiaire de l’option? - Quelle est la norme applicable pour contrôler les erreurs de droit touchant des principes d’application générale? - </w:t>
      </w:r>
      <w:r w:rsidRPr="00EA63C5">
        <w:rPr>
          <w:rFonts w:eastAsia="Times New Roman" w:cs="Times New Roman"/>
          <w:i/>
          <w:sz w:val="20"/>
          <w:szCs w:val="20"/>
          <w:lang w:val="fr-CA" w:eastAsia="en-CA"/>
        </w:rPr>
        <w:t xml:space="preserve">Arbitration </w:t>
      </w:r>
      <w:proofErr w:type="spellStart"/>
      <w:r w:rsidRPr="00EA63C5">
        <w:rPr>
          <w:rFonts w:eastAsia="Times New Roman" w:cs="Times New Roman"/>
          <w:i/>
          <w:sz w:val="20"/>
          <w:szCs w:val="20"/>
          <w:lang w:val="fr-CA" w:eastAsia="en-CA"/>
        </w:rPr>
        <w:t>Act</w:t>
      </w:r>
      <w:proofErr w:type="spellEnd"/>
      <w:r w:rsidRPr="00EA63C5">
        <w:rPr>
          <w:rFonts w:eastAsia="Times New Roman" w:cs="Times New Roman"/>
          <w:sz w:val="20"/>
          <w:szCs w:val="20"/>
          <w:lang w:val="fr-CA" w:eastAsia="en-CA"/>
        </w:rPr>
        <w:t>, R.S.B.C. 1996, c. 55, s. 31.</w:t>
      </w:r>
    </w:p>
    <w:p w:rsidR="00F74CAA" w:rsidRPr="00EA63C5" w:rsidRDefault="00F74CAA" w:rsidP="000B3C9A">
      <w:pPr>
        <w:tabs>
          <w:tab w:val="left" w:pos="-1440"/>
          <w:tab w:val="left" w:pos="-720"/>
        </w:tabs>
        <w:jc w:val="both"/>
        <w:rPr>
          <w:rFonts w:eastAsia="Times New Roman" w:cs="Times New Roman"/>
          <w:sz w:val="20"/>
          <w:szCs w:val="20"/>
          <w:lang w:val="fr-CA" w:eastAsia="en-CA"/>
        </w:rPr>
      </w:pPr>
    </w:p>
    <w:p w:rsidR="00F74CAA" w:rsidRPr="00EA63C5" w:rsidRDefault="00F74CAA" w:rsidP="00F74CAA">
      <w:pPr>
        <w:jc w:val="both"/>
        <w:rPr>
          <w:sz w:val="20"/>
          <w:szCs w:val="20"/>
          <w:lang w:val="fr-CA"/>
        </w:rPr>
      </w:pPr>
      <w:r w:rsidRPr="00EA63C5">
        <w:rPr>
          <w:sz w:val="20"/>
          <w:szCs w:val="20"/>
          <w:lang w:val="fr-CA"/>
        </w:rPr>
        <w:t xml:space="preserve">Selon l’art. 31 de la </w:t>
      </w:r>
      <w:r w:rsidRPr="00EA63C5">
        <w:rPr>
          <w:i/>
          <w:sz w:val="20"/>
          <w:szCs w:val="20"/>
          <w:lang w:val="fr-CA"/>
        </w:rPr>
        <w:t xml:space="preserve">Arbitration </w:t>
      </w:r>
      <w:proofErr w:type="spellStart"/>
      <w:r w:rsidRPr="00EA63C5">
        <w:rPr>
          <w:i/>
          <w:sz w:val="20"/>
          <w:szCs w:val="20"/>
          <w:lang w:val="fr-CA"/>
        </w:rPr>
        <w:t>Act</w:t>
      </w:r>
      <w:proofErr w:type="spellEnd"/>
      <w:r w:rsidRPr="00EA63C5">
        <w:rPr>
          <w:sz w:val="20"/>
          <w:szCs w:val="20"/>
          <w:lang w:val="fr-CA"/>
        </w:rPr>
        <w:t xml:space="preserve">, R.S.B.C. 1996, c. 55, l’arbitre devait décider si l’intimée BCNET Networking Society avait exercé correctement et à bon droit les options que lui offre la convention conclue entre elle et l’appelante </w:t>
      </w:r>
      <w:proofErr w:type="spellStart"/>
      <w:r w:rsidRPr="00EA63C5">
        <w:rPr>
          <w:sz w:val="20"/>
          <w:szCs w:val="20"/>
          <w:lang w:val="fr-CA"/>
        </w:rPr>
        <w:t>Urban</w:t>
      </w:r>
      <w:proofErr w:type="spellEnd"/>
      <w:r w:rsidRPr="00EA63C5">
        <w:rPr>
          <w:sz w:val="20"/>
          <w:szCs w:val="20"/>
          <w:lang w:val="fr-CA"/>
        </w:rPr>
        <w:t xml:space="preserve"> Communications Inc. Aux termes de cette convention, </w:t>
      </w:r>
      <w:proofErr w:type="spellStart"/>
      <w:r w:rsidRPr="00EA63C5">
        <w:rPr>
          <w:sz w:val="20"/>
          <w:szCs w:val="20"/>
          <w:lang w:val="fr-CA"/>
        </w:rPr>
        <w:t>Urban</w:t>
      </w:r>
      <w:proofErr w:type="spellEnd"/>
      <w:r w:rsidRPr="00EA63C5">
        <w:rPr>
          <w:sz w:val="20"/>
          <w:szCs w:val="20"/>
          <w:lang w:val="fr-CA"/>
        </w:rPr>
        <w:t xml:space="preserve"> a loué certains fils de fibre optique à BCNET pour plusieurs années. Au cours de l’arbitrage, BCNET a demandé à l’arbitre de rendre une sentence déclarant qu’elle avait exercé à bon droit l’option que lui offrait la convention. </w:t>
      </w:r>
      <w:proofErr w:type="spellStart"/>
      <w:r w:rsidRPr="00EA63C5">
        <w:rPr>
          <w:sz w:val="20"/>
          <w:szCs w:val="20"/>
          <w:lang w:val="fr-CA"/>
        </w:rPr>
        <w:t>Urban</w:t>
      </w:r>
      <w:proofErr w:type="spellEnd"/>
      <w:r w:rsidRPr="00EA63C5">
        <w:rPr>
          <w:sz w:val="20"/>
          <w:szCs w:val="20"/>
          <w:lang w:val="fr-CA"/>
        </w:rPr>
        <w:t xml:space="preserve"> a soutenu que la tentative de BCNET d’exercer l’option était mal fondée. </w:t>
      </w:r>
    </w:p>
    <w:p w:rsidR="00F74CAA" w:rsidRPr="00EA63C5" w:rsidRDefault="00F74CAA" w:rsidP="000B3C9A">
      <w:pPr>
        <w:tabs>
          <w:tab w:val="left" w:pos="-1440"/>
          <w:tab w:val="left" w:pos="-720"/>
        </w:tabs>
        <w:jc w:val="both"/>
        <w:rPr>
          <w:rFonts w:eastAsia="Times New Roman" w:cs="Times New Roman"/>
          <w:sz w:val="20"/>
          <w:szCs w:val="20"/>
          <w:lang w:val="fr-CA" w:eastAsia="en-CA"/>
        </w:rPr>
      </w:pPr>
    </w:p>
    <w:p w:rsidR="00F74CAA" w:rsidRPr="00EA63C5" w:rsidRDefault="00F74CAA" w:rsidP="000B3C9A">
      <w:pPr>
        <w:tabs>
          <w:tab w:val="left" w:pos="-1440"/>
          <w:tab w:val="left" w:pos="-720"/>
        </w:tabs>
        <w:jc w:val="both"/>
        <w:rPr>
          <w:sz w:val="20"/>
          <w:szCs w:val="20"/>
          <w:lang w:val="fr-CA"/>
        </w:rPr>
      </w:pPr>
      <w:r w:rsidRPr="00EA63C5">
        <w:rPr>
          <w:sz w:val="20"/>
          <w:szCs w:val="20"/>
          <w:lang w:val="fr-CA"/>
        </w:rPr>
        <w:t>L’arbitre a tranché en faveur de BCNET, estimant que cette dernière avait exercé correctement toutes les options par lettre le 18 juillet 2011 et qu’</w:t>
      </w:r>
      <w:proofErr w:type="spellStart"/>
      <w:r w:rsidRPr="00EA63C5">
        <w:rPr>
          <w:sz w:val="20"/>
          <w:szCs w:val="20"/>
          <w:lang w:val="fr-CA"/>
        </w:rPr>
        <w:t>Urban</w:t>
      </w:r>
      <w:proofErr w:type="spellEnd"/>
      <w:r w:rsidRPr="00EA63C5">
        <w:rPr>
          <w:sz w:val="20"/>
          <w:szCs w:val="20"/>
          <w:lang w:val="fr-CA"/>
        </w:rPr>
        <w:t xml:space="preserve"> était </w:t>
      </w:r>
      <w:proofErr w:type="spellStart"/>
      <w:r w:rsidRPr="00EA63C5">
        <w:rPr>
          <w:sz w:val="20"/>
          <w:szCs w:val="20"/>
          <w:lang w:val="fr-CA"/>
        </w:rPr>
        <w:t>précluse</w:t>
      </w:r>
      <w:proofErr w:type="spellEnd"/>
      <w:r w:rsidRPr="00EA63C5">
        <w:rPr>
          <w:sz w:val="20"/>
          <w:szCs w:val="20"/>
          <w:lang w:val="fr-CA"/>
        </w:rPr>
        <w:t xml:space="preserve"> de se fonder sur un vice de l’exercice de ces options. Le juge en cabinet a conclu que l’arbitre avait fait erreur. Il a octroyé l’autorisation d’appel et modifié la sentence de l’arbitre. Selon lui, la convention exigeait le versement d’un dollar en contrepartie de l’exercice de l’option et la lettre du 18 juillet 2011 de BCNET constituait une acceptation limitée de l’offre d’option. Il s’agissait donc d’une contre-offre qui éteignait l’offre initiale. La Cour d’appel a appliqué le raisonnement du récent arrêt </w:t>
      </w:r>
      <w:r w:rsidRPr="00EA63C5">
        <w:rPr>
          <w:i/>
          <w:sz w:val="20"/>
          <w:szCs w:val="20"/>
          <w:lang w:val="fr-CA"/>
        </w:rPr>
        <w:t>Sattva Capital Corp. c. Creston Moly Corp.</w:t>
      </w:r>
      <w:r w:rsidRPr="00EA63C5">
        <w:rPr>
          <w:sz w:val="20"/>
          <w:szCs w:val="20"/>
          <w:lang w:val="fr-CA"/>
        </w:rPr>
        <w:t>, 2014 CSC 53, [2014] 2 R.C.S. 633, annulé la décision du juge en cabinet et rétabli la sentence de l’arbitre.</w:t>
      </w:r>
    </w:p>
    <w:p w:rsidR="00F74CAA" w:rsidRPr="00EA63C5" w:rsidRDefault="00F74CAA" w:rsidP="000B3C9A">
      <w:pPr>
        <w:tabs>
          <w:tab w:val="left" w:pos="-1440"/>
          <w:tab w:val="left" w:pos="-720"/>
        </w:tabs>
        <w:jc w:val="both"/>
        <w:rPr>
          <w:sz w:val="20"/>
          <w:szCs w:val="20"/>
          <w:lang w:val="fr-CA"/>
        </w:rPr>
      </w:pPr>
    </w:p>
    <w:p w:rsidR="00F74CAA" w:rsidRPr="00EA63C5" w:rsidRDefault="007F6DC5" w:rsidP="000B3C9A">
      <w:pPr>
        <w:tabs>
          <w:tab w:val="left" w:pos="-1440"/>
          <w:tab w:val="left" w:pos="-720"/>
        </w:tabs>
        <w:jc w:val="both"/>
        <w:rPr>
          <w:sz w:val="20"/>
          <w:szCs w:val="20"/>
          <w:lang w:val="fr-CA"/>
        </w:rPr>
      </w:pPr>
      <w:r>
        <w:rPr>
          <w:sz w:val="20"/>
          <w:szCs w:val="20"/>
          <w:lang w:val="fr-CA"/>
        </w:rPr>
        <w:pict>
          <v:rect id="_x0000_i1105" style="width:2in;height:1pt" o:hrpct="0" o:hralign="center" o:hrstd="t" o:hrnoshade="t" o:hr="t" fillcolor="black [3213]" stroked="f"/>
        </w:pict>
      </w:r>
    </w:p>
    <w:p w:rsidR="00F74CAA" w:rsidRPr="00EA63C5" w:rsidRDefault="00F74CAA" w:rsidP="000B3C9A">
      <w:pPr>
        <w:tabs>
          <w:tab w:val="left" w:pos="-1440"/>
          <w:tab w:val="left" w:pos="-720"/>
        </w:tabs>
        <w:jc w:val="both"/>
        <w:rPr>
          <w:sz w:val="20"/>
          <w:szCs w:val="20"/>
          <w:lang w:val="fr-CA"/>
        </w:rPr>
      </w:pPr>
    </w:p>
    <w:p w:rsidR="00F74CAA" w:rsidRPr="00EA63C5" w:rsidRDefault="00F74CAA">
      <w:pPr>
        <w:rPr>
          <w:sz w:val="20"/>
          <w:szCs w:val="20"/>
          <w:lang w:val="fr-CA"/>
        </w:rPr>
      </w:pPr>
      <w:r w:rsidRPr="00EA63C5">
        <w:rPr>
          <w:sz w:val="20"/>
          <w:szCs w:val="20"/>
          <w:lang w:val="fr-CA"/>
        </w:rPr>
        <w:br w:type="page"/>
      </w:r>
    </w:p>
    <w:p w:rsidR="00F74CAA" w:rsidRPr="00EA63C5" w:rsidRDefault="00F74CAA" w:rsidP="000B3C9A">
      <w:pPr>
        <w:tabs>
          <w:tab w:val="left" w:pos="-1440"/>
          <w:tab w:val="left" w:pos="-720"/>
        </w:tabs>
        <w:jc w:val="both"/>
        <w:rPr>
          <w:sz w:val="20"/>
          <w:szCs w:val="20"/>
          <w:lang w:val="fr-CA"/>
        </w:rPr>
      </w:pPr>
    </w:p>
    <w:p w:rsidR="00704530" w:rsidRPr="00EA63C5" w:rsidRDefault="00704530" w:rsidP="00704530">
      <w:pPr>
        <w:widowControl w:val="0"/>
        <w:ind w:left="720" w:hanging="720"/>
        <w:jc w:val="both"/>
        <w:rPr>
          <w:sz w:val="20"/>
          <w:szCs w:val="20"/>
        </w:rPr>
      </w:pPr>
      <w:r w:rsidRPr="00EA63C5">
        <w:rPr>
          <w:b/>
          <w:sz w:val="20"/>
          <w:szCs w:val="20"/>
        </w:rPr>
        <w:fldChar w:fldCharType="begin"/>
      </w:r>
      <w:r w:rsidRPr="00EA63C5">
        <w:rPr>
          <w:b/>
          <w:sz w:val="20"/>
          <w:szCs w:val="20"/>
        </w:rPr>
        <w:instrText xml:space="preserve"> SEQ CHAPTER \h \r 1</w:instrText>
      </w:r>
      <w:r w:rsidRPr="00EA63C5">
        <w:rPr>
          <w:b/>
          <w:sz w:val="20"/>
          <w:szCs w:val="20"/>
        </w:rPr>
        <w:fldChar w:fldCharType="end"/>
      </w:r>
      <w:r w:rsidRPr="00EA63C5">
        <w:rPr>
          <w:b/>
          <w:sz w:val="20"/>
          <w:szCs w:val="20"/>
        </w:rPr>
        <w:t>36472</w:t>
      </w:r>
      <w:r w:rsidRPr="00EA63C5">
        <w:rPr>
          <w:sz w:val="20"/>
          <w:szCs w:val="20"/>
        </w:rPr>
        <w:tab/>
      </w:r>
      <w:r w:rsidRPr="00EA63C5">
        <w:rPr>
          <w:b/>
          <w:i/>
          <w:sz w:val="20"/>
          <w:szCs w:val="20"/>
        </w:rPr>
        <w:t xml:space="preserve">Brendan Paterson v. Her Majesty the Queen </w:t>
      </w:r>
      <w:r w:rsidRPr="00EA63C5">
        <w:rPr>
          <w:sz w:val="20"/>
          <w:szCs w:val="20"/>
        </w:rPr>
        <w:t>(B.C.) (Criminal) (By Leave)</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i/>
          <w:sz w:val="20"/>
          <w:szCs w:val="20"/>
        </w:rPr>
        <w:t xml:space="preserve">Canadian Charter of Rights and Freedoms </w:t>
      </w:r>
      <w:r w:rsidRPr="00EA63C5">
        <w:rPr>
          <w:sz w:val="20"/>
          <w:szCs w:val="20"/>
        </w:rPr>
        <w:t>-</w:t>
      </w:r>
      <w:r w:rsidRPr="00EA63C5">
        <w:rPr>
          <w:i/>
          <w:sz w:val="20"/>
          <w:szCs w:val="20"/>
        </w:rPr>
        <w:t xml:space="preserve"> </w:t>
      </w:r>
      <w:r w:rsidRPr="00EA63C5">
        <w:rPr>
          <w:sz w:val="20"/>
          <w:szCs w:val="20"/>
        </w:rPr>
        <w:t xml:space="preserve">Criminal law - Evidence - Admissibility - Confessions - Voluntariness - </w:t>
      </w:r>
      <w:proofErr w:type="spellStart"/>
      <w:r w:rsidRPr="00EA63C5">
        <w:rPr>
          <w:i/>
          <w:sz w:val="20"/>
          <w:szCs w:val="20"/>
        </w:rPr>
        <w:t>Voir</w:t>
      </w:r>
      <w:proofErr w:type="spellEnd"/>
      <w:r w:rsidRPr="00EA63C5">
        <w:rPr>
          <w:i/>
          <w:sz w:val="20"/>
          <w:szCs w:val="20"/>
        </w:rPr>
        <w:t xml:space="preserve"> dire</w:t>
      </w:r>
      <w:r w:rsidRPr="00EA63C5">
        <w:rPr>
          <w:sz w:val="20"/>
          <w:szCs w:val="20"/>
        </w:rPr>
        <w:t xml:space="preserve"> - Unreasonable search and seizure - Whether police had reasonable grounds to believe there were exigent circumstances to conduct warrantless search of appellant’s residence under s. 11 (7) of </w:t>
      </w:r>
      <w:r w:rsidRPr="00EA63C5">
        <w:rPr>
          <w:i/>
          <w:iCs/>
          <w:sz w:val="20"/>
          <w:szCs w:val="20"/>
        </w:rPr>
        <w:t xml:space="preserve">Controlled Drugs and Substances Act </w:t>
      </w:r>
      <w:r w:rsidRPr="00EA63C5">
        <w:rPr>
          <w:sz w:val="20"/>
          <w:szCs w:val="20"/>
        </w:rPr>
        <w:t xml:space="preserve">- Whether trial judge erred by failing to conduct </w:t>
      </w:r>
      <w:proofErr w:type="spellStart"/>
      <w:r w:rsidRPr="00EA63C5">
        <w:rPr>
          <w:i/>
          <w:iCs/>
          <w:sz w:val="20"/>
          <w:szCs w:val="20"/>
        </w:rPr>
        <w:t>voir</w:t>
      </w:r>
      <w:proofErr w:type="spellEnd"/>
      <w:r w:rsidRPr="00EA63C5">
        <w:rPr>
          <w:i/>
          <w:iCs/>
          <w:sz w:val="20"/>
          <w:szCs w:val="20"/>
        </w:rPr>
        <w:t xml:space="preserve"> dire </w:t>
      </w:r>
      <w:r w:rsidRPr="00EA63C5">
        <w:rPr>
          <w:sz w:val="20"/>
          <w:szCs w:val="20"/>
        </w:rPr>
        <w:t xml:space="preserve">to determine voluntariness of appellant’s statement to police before Crown could rely on it to establish reasonable and probable grounds for a warrantless search - Whether trial judge erred in finding late filing of Form 5.2 report to justice did not go to “the root of the police authority” to seize items not authorized by </w:t>
      </w:r>
      <w:proofErr w:type="spellStart"/>
      <w:r w:rsidRPr="00EA63C5">
        <w:rPr>
          <w:sz w:val="20"/>
          <w:szCs w:val="20"/>
        </w:rPr>
        <w:t>telewarrant</w:t>
      </w:r>
      <w:proofErr w:type="spellEnd"/>
      <w:r w:rsidRPr="00EA63C5">
        <w:rPr>
          <w:sz w:val="20"/>
          <w:szCs w:val="20"/>
        </w:rPr>
        <w:t xml:space="preserve"> in this case - </w:t>
      </w:r>
      <w:r w:rsidRPr="00EA63C5">
        <w:rPr>
          <w:i/>
          <w:sz w:val="20"/>
          <w:szCs w:val="20"/>
        </w:rPr>
        <w:t>Canadian Charter of Rights and Freedoms</w:t>
      </w:r>
      <w:r w:rsidRPr="00EA63C5">
        <w:rPr>
          <w:sz w:val="20"/>
          <w:szCs w:val="20"/>
        </w:rPr>
        <w:t xml:space="preserve">, ss. 8 and 24 - </w:t>
      </w:r>
      <w:r w:rsidRPr="00EA63C5">
        <w:rPr>
          <w:i/>
          <w:sz w:val="20"/>
          <w:szCs w:val="20"/>
        </w:rPr>
        <w:t>Controlled Drugs and Substances Act</w:t>
      </w:r>
      <w:r w:rsidRPr="00EA63C5">
        <w:rPr>
          <w:sz w:val="20"/>
          <w:szCs w:val="20"/>
        </w:rPr>
        <w:t xml:space="preserve">, S.C. 1996, c. 19, s. 11(7) - </w:t>
      </w:r>
      <w:r w:rsidRPr="00EA63C5">
        <w:rPr>
          <w:i/>
          <w:sz w:val="20"/>
          <w:szCs w:val="20"/>
        </w:rPr>
        <w:t>Criminal Code</w:t>
      </w:r>
      <w:r w:rsidRPr="00EA63C5">
        <w:rPr>
          <w:sz w:val="20"/>
          <w:szCs w:val="20"/>
        </w:rPr>
        <w:t>, R.S.C. 1985, c. C-46, ss. 117.02, 487.1, 489, 489.1 and 529.3.</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sz w:val="20"/>
          <w:szCs w:val="20"/>
        </w:rPr>
        <w:t xml:space="preserve">The appellant, Brendan Paterson was convicted of nine offences: two counts of possession of illicit drugs, three counts of possession of illicit drugs for the purpose of trafficking and four counts of unlawful possession of firearms. He was sentenced to four-and-a half years in jail.  </w:t>
      </w:r>
    </w:p>
    <w:p w:rsidR="00704530" w:rsidRPr="00EA63C5" w:rsidRDefault="00704530" w:rsidP="00704530">
      <w:pPr>
        <w:jc w:val="both"/>
        <w:rPr>
          <w:sz w:val="20"/>
          <w:szCs w:val="20"/>
        </w:rPr>
      </w:pPr>
    </w:p>
    <w:p w:rsidR="00704530" w:rsidRPr="00EA63C5" w:rsidRDefault="00704530" w:rsidP="00704530">
      <w:pPr>
        <w:jc w:val="both"/>
        <w:rPr>
          <w:sz w:val="20"/>
          <w:szCs w:val="20"/>
        </w:rPr>
      </w:pPr>
      <w:r w:rsidRPr="00EA63C5">
        <w:rPr>
          <w:sz w:val="20"/>
          <w:szCs w:val="20"/>
        </w:rPr>
        <w:t xml:space="preserve">At the trial, a </w:t>
      </w:r>
      <w:r w:rsidRPr="00EA63C5">
        <w:rPr>
          <w:i/>
          <w:sz w:val="20"/>
          <w:szCs w:val="20"/>
        </w:rPr>
        <w:t>Charter</w:t>
      </w:r>
      <w:r w:rsidRPr="00EA63C5">
        <w:rPr>
          <w:sz w:val="20"/>
          <w:szCs w:val="20"/>
        </w:rPr>
        <w:t xml:space="preserve"> </w:t>
      </w:r>
      <w:proofErr w:type="spellStart"/>
      <w:r w:rsidRPr="00EA63C5">
        <w:rPr>
          <w:i/>
          <w:sz w:val="20"/>
          <w:szCs w:val="20"/>
        </w:rPr>
        <w:t>voir</w:t>
      </w:r>
      <w:proofErr w:type="spellEnd"/>
      <w:r w:rsidRPr="00EA63C5">
        <w:rPr>
          <w:i/>
          <w:sz w:val="20"/>
          <w:szCs w:val="20"/>
        </w:rPr>
        <w:t xml:space="preserve"> dire</w:t>
      </w:r>
      <w:r w:rsidRPr="00EA63C5">
        <w:rPr>
          <w:sz w:val="20"/>
          <w:szCs w:val="20"/>
        </w:rPr>
        <w:t xml:space="preserve"> was held to address Mr. Paterson’s objection to the admission of the evidence seized by police as a result of their entry into and search of his apartment. The trial judge dismissed the application to exclude evidence. </w:t>
      </w:r>
    </w:p>
    <w:p w:rsidR="00704530" w:rsidRPr="00EA63C5" w:rsidRDefault="00704530" w:rsidP="00704530">
      <w:pPr>
        <w:jc w:val="both"/>
        <w:rPr>
          <w:sz w:val="20"/>
          <w:szCs w:val="20"/>
        </w:rPr>
      </w:pPr>
    </w:p>
    <w:p w:rsidR="00704530" w:rsidRPr="00EA63C5" w:rsidRDefault="00704530" w:rsidP="00704530">
      <w:pPr>
        <w:jc w:val="both"/>
        <w:rPr>
          <w:sz w:val="20"/>
          <w:szCs w:val="20"/>
        </w:rPr>
      </w:pPr>
      <w:r w:rsidRPr="00EA63C5">
        <w:rPr>
          <w:sz w:val="20"/>
          <w:szCs w:val="20"/>
        </w:rPr>
        <w:t>On appeal, the Court of Appeal found no reason to interfere with the findings of the trial judge. It dismissed the appeal from conviction.</w:t>
      </w:r>
    </w:p>
    <w:p w:rsidR="00F74CAA" w:rsidRPr="00EA63C5" w:rsidRDefault="00F74CAA" w:rsidP="000B3C9A">
      <w:pPr>
        <w:tabs>
          <w:tab w:val="left" w:pos="-1440"/>
          <w:tab w:val="left" w:pos="-720"/>
        </w:tabs>
        <w:jc w:val="both"/>
        <w:rPr>
          <w:sz w:val="20"/>
          <w:szCs w:val="20"/>
          <w:lang w:val="fr-CA"/>
        </w:rPr>
      </w:pPr>
    </w:p>
    <w:p w:rsidR="00F74CAA" w:rsidRPr="00EA63C5" w:rsidRDefault="007F6DC5" w:rsidP="000B3C9A">
      <w:pPr>
        <w:tabs>
          <w:tab w:val="left" w:pos="-1440"/>
          <w:tab w:val="left" w:pos="-720"/>
        </w:tabs>
        <w:jc w:val="both"/>
        <w:rPr>
          <w:sz w:val="20"/>
          <w:szCs w:val="20"/>
          <w:lang w:val="fr-CA"/>
        </w:rPr>
      </w:pPr>
      <w:r>
        <w:rPr>
          <w:sz w:val="20"/>
          <w:szCs w:val="20"/>
          <w:lang w:val="fr-CA"/>
        </w:rPr>
        <w:pict>
          <v:rect id="_x0000_i1106" style="width:2in;height:1pt" o:hrpct="0" o:hralign="center" o:hrstd="t" o:hrnoshade="t" o:hr="t" fillcolor="black [3213]" stroked="f"/>
        </w:pict>
      </w:r>
    </w:p>
    <w:p w:rsidR="00F74CAA" w:rsidRPr="00EA63C5" w:rsidRDefault="00F74CAA" w:rsidP="000B3C9A">
      <w:pPr>
        <w:tabs>
          <w:tab w:val="left" w:pos="-1440"/>
          <w:tab w:val="left" w:pos="-720"/>
        </w:tabs>
        <w:jc w:val="both"/>
        <w:rPr>
          <w:sz w:val="20"/>
          <w:szCs w:val="20"/>
          <w:lang w:val="fr-CA"/>
        </w:rPr>
      </w:pPr>
    </w:p>
    <w:p w:rsidR="00F74CAA" w:rsidRPr="00EA63C5" w:rsidRDefault="00704530" w:rsidP="00704530">
      <w:pPr>
        <w:widowControl w:val="0"/>
        <w:ind w:left="703" w:hanging="720"/>
        <w:rPr>
          <w:sz w:val="20"/>
          <w:szCs w:val="20"/>
          <w:lang w:val="fr-CA"/>
        </w:rPr>
      </w:pPr>
      <w:r w:rsidRPr="00EA63C5">
        <w:rPr>
          <w:rStyle w:val="SCCFileNumberChar"/>
          <w:sz w:val="20"/>
          <w:szCs w:val="20"/>
          <w:lang w:val="fr-CA"/>
        </w:rPr>
        <w:t>36472</w:t>
      </w:r>
      <w:r w:rsidRPr="00EA63C5">
        <w:rPr>
          <w:rStyle w:val="SCCFileNumberChar"/>
          <w:sz w:val="20"/>
          <w:szCs w:val="20"/>
          <w:lang w:val="fr-CA"/>
        </w:rPr>
        <w:tab/>
      </w:r>
      <w:r w:rsidRPr="00EA63C5">
        <w:rPr>
          <w:rFonts w:eastAsia="Times New Roman" w:cs="Times New Roman"/>
          <w:b/>
          <w:i/>
          <w:sz w:val="20"/>
          <w:szCs w:val="20"/>
          <w:lang w:val="fr-CA" w:eastAsia="en-CA"/>
        </w:rPr>
        <w:t xml:space="preserve">Brendan Paterson c. Sa Majesté la Reine </w:t>
      </w:r>
      <w:r w:rsidRPr="00EA63C5">
        <w:rPr>
          <w:sz w:val="20"/>
          <w:szCs w:val="20"/>
          <w:lang w:val="fr-CA"/>
        </w:rPr>
        <w:t>(C.-B.) (Criminelle) (Sur autorisation)</w:t>
      </w:r>
    </w:p>
    <w:p w:rsidR="00F74CAA" w:rsidRPr="00EA63C5" w:rsidRDefault="00F74CAA" w:rsidP="000B3C9A">
      <w:pPr>
        <w:tabs>
          <w:tab w:val="left" w:pos="-1440"/>
          <w:tab w:val="left" w:pos="-720"/>
        </w:tabs>
        <w:jc w:val="both"/>
        <w:rPr>
          <w:sz w:val="20"/>
          <w:szCs w:val="20"/>
          <w:lang w:val="fr-CA"/>
        </w:rPr>
      </w:pPr>
    </w:p>
    <w:p w:rsidR="00704530" w:rsidRPr="00EA63C5" w:rsidRDefault="00704530" w:rsidP="00704530">
      <w:pPr>
        <w:pStyle w:val="SCCBanSummary"/>
        <w:rPr>
          <w:smallCaps w:val="0"/>
          <w:sz w:val="20"/>
          <w:szCs w:val="20"/>
        </w:rPr>
      </w:pPr>
      <w:r w:rsidRPr="00EA63C5">
        <w:rPr>
          <w:i/>
          <w:smallCaps w:val="0"/>
          <w:sz w:val="20"/>
          <w:szCs w:val="20"/>
        </w:rPr>
        <w:t xml:space="preserve">Charte canadienne des droits et libertés </w:t>
      </w:r>
      <w:r w:rsidRPr="00EA63C5">
        <w:rPr>
          <w:smallCaps w:val="0"/>
          <w:sz w:val="20"/>
          <w:szCs w:val="20"/>
        </w:rPr>
        <w:t xml:space="preserve">- Droit criminel - Preuve - Admissibilité - Confessions - Caractère volontaire - Voir-dire - Fouilles, perquisitions et saisies abusives - La police avait-elle des motifs raisonnables de croire qu’une situation d’urgence justifiait la perquisition sans mandat de la résidence de l’appelant en vertu du par. 11(7) de la </w:t>
      </w:r>
      <w:r w:rsidRPr="00EA63C5">
        <w:rPr>
          <w:i/>
          <w:smallCaps w:val="0"/>
          <w:sz w:val="20"/>
          <w:szCs w:val="20"/>
        </w:rPr>
        <w:t>Loi réglementant certaines drogues et autres substances</w:t>
      </w:r>
      <w:r w:rsidRPr="00EA63C5">
        <w:rPr>
          <w:smallCaps w:val="0"/>
          <w:sz w:val="20"/>
          <w:szCs w:val="20"/>
        </w:rPr>
        <w:t xml:space="preserve">? Le juge du procès </w:t>
      </w:r>
      <w:proofErr w:type="spellStart"/>
      <w:r w:rsidRPr="00EA63C5">
        <w:rPr>
          <w:smallCaps w:val="0"/>
          <w:sz w:val="20"/>
          <w:szCs w:val="20"/>
        </w:rPr>
        <w:t>a-t-il</w:t>
      </w:r>
      <w:proofErr w:type="spellEnd"/>
      <w:r w:rsidRPr="00EA63C5">
        <w:rPr>
          <w:smallCaps w:val="0"/>
          <w:sz w:val="20"/>
          <w:szCs w:val="20"/>
        </w:rPr>
        <w:t xml:space="preserve"> commis une erreur en ne tenant pas de voir-dire pour déterminer le caractère volontaire de la déclaration faite par l’appelant à la police avant que le ministère public puisse s’appuyer sur cette déclaration pour établir l’existence de motifs raisonnables et probables de procéder à une perquisition sans mandat? - Le juge du procès </w:t>
      </w:r>
      <w:proofErr w:type="spellStart"/>
      <w:r w:rsidRPr="00EA63C5">
        <w:rPr>
          <w:smallCaps w:val="0"/>
          <w:sz w:val="20"/>
          <w:szCs w:val="20"/>
        </w:rPr>
        <w:t>a-t-il</w:t>
      </w:r>
      <w:proofErr w:type="spellEnd"/>
      <w:r w:rsidRPr="00EA63C5">
        <w:rPr>
          <w:smallCaps w:val="0"/>
          <w:sz w:val="20"/>
          <w:szCs w:val="20"/>
        </w:rPr>
        <w:t xml:space="preserve"> conclu à tort que le dépôt tardif de la formule 5.2 auprès du juge de paix touche à « l’essence même du pouvoir de la police » de saisir des objets non autorisés par </w:t>
      </w:r>
      <w:proofErr w:type="spellStart"/>
      <w:r w:rsidRPr="00EA63C5">
        <w:rPr>
          <w:smallCaps w:val="0"/>
          <w:sz w:val="20"/>
          <w:szCs w:val="20"/>
        </w:rPr>
        <w:t>télémandat</w:t>
      </w:r>
      <w:proofErr w:type="spellEnd"/>
      <w:r w:rsidRPr="00EA63C5">
        <w:rPr>
          <w:smallCaps w:val="0"/>
          <w:sz w:val="20"/>
          <w:szCs w:val="20"/>
        </w:rPr>
        <w:t xml:space="preserve"> en l’espèce? - </w:t>
      </w:r>
      <w:r w:rsidRPr="00EA63C5">
        <w:rPr>
          <w:i/>
          <w:smallCaps w:val="0"/>
          <w:sz w:val="20"/>
          <w:szCs w:val="20"/>
        </w:rPr>
        <w:t>Charte canadienne des droits et libertés</w:t>
      </w:r>
      <w:r w:rsidRPr="00EA63C5">
        <w:rPr>
          <w:smallCaps w:val="0"/>
          <w:sz w:val="20"/>
          <w:szCs w:val="20"/>
        </w:rPr>
        <w:t xml:space="preserve">, art. 8 et 24 - </w:t>
      </w:r>
      <w:r w:rsidRPr="00EA63C5">
        <w:rPr>
          <w:i/>
          <w:smallCaps w:val="0"/>
          <w:sz w:val="20"/>
          <w:szCs w:val="20"/>
        </w:rPr>
        <w:t>Loi réglementant certaines drogues et autres substances</w:t>
      </w:r>
      <w:r w:rsidRPr="00EA63C5">
        <w:rPr>
          <w:smallCaps w:val="0"/>
          <w:sz w:val="20"/>
          <w:szCs w:val="20"/>
        </w:rPr>
        <w:t xml:space="preserve">, L.C. 1996, c. 19, par. 11(7) - </w:t>
      </w:r>
      <w:r w:rsidRPr="00EA63C5">
        <w:rPr>
          <w:i/>
          <w:smallCaps w:val="0"/>
          <w:sz w:val="20"/>
          <w:szCs w:val="20"/>
        </w:rPr>
        <w:t>Code criminel</w:t>
      </w:r>
      <w:r w:rsidRPr="00EA63C5">
        <w:rPr>
          <w:smallCaps w:val="0"/>
          <w:sz w:val="20"/>
          <w:szCs w:val="20"/>
        </w:rPr>
        <w:t>, L.R.C. 1985, c. C-46, art. 117.02, 487.1, 489, 489.1 et 529.3.</w:t>
      </w:r>
    </w:p>
    <w:p w:rsidR="00F74CAA" w:rsidRPr="00EA63C5" w:rsidRDefault="00F74CAA" w:rsidP="000B3C9A">
      <w:pPr>
        <w:tabs>
          <w:tab w:val="left" w:pos="-1440"/>
          <w:tab w:val="left" w:pos="-720"/>
        </w:tabs>
        <w:jc w:val="both"/>
        <w:rPr>
          <w:sz w:val="20"/>
          <w:szCs w:val="20"/>
          <w:lang w:val="fr-CA"/>
        </w:rPr>
      </w:pPr>
    </w:p>
    <w:p w:rsidR="00704530" w:rsidRPr="00EA63C5" w:rsidRDefault="00704530" w:rsidP="00704530">
      <w:pPr>
        <w:rPr>
          <w:rFonts w:eastAsia="Times New Roman" w:cs="Times New Roman"/>
          <w:sz w:val="20"/>
          <w:szCs w:val="20"/>
          <w:lang w:val="fr-CA" w:eastAsia="en-CA"/>
        </w:rPr>
      </w:pPr>
      <w:r w:rsidRPr="00EA63C5">
        <w:rPr>
          <w:rFonts w:eastAsia="Times New Roman" w:cs="Times New Roman"/>
          <w:sz w:val="20"/>
          <w:szCs w:val="20"/>
          <w:lang w:val="fr-CA" w:eastAsia="en-CA"/>
        </w:rPr>
        <w:t xml:space="preserve">L’appelant Brendan Paterson a été déclaré coupable de neuf infractions : deux chefs de possession de drogues illicites, trois chefs de possession de drogues illicites en vue d’en faire le trafic et quatre chefs de possession illégale d’armes à feu. Il a été condamné à une peine de quatre ans et </w:t>
      </w:r>
      <w:proofErr w:type="gramStart"/>
      <w:r w:rsidRPr="00EA63C5">
        <w:rPr>
          <w:rFonts w:eastAsia="Times New Roman" w:cs="Times New Roman"/>
          <w:sz w:val="20"/>
          <w:szCs w:val="20"/>
          <w:lang w:val="fr-CA" w:eastAsia="en-CA"/>
        </w:rPr>
        <w:t>demi</w:t>
      </w:r>
      <w:proofErr w:type="gramEnd"/>
      <w:r w:rsidRPr="00EA63C5">
        <w:rPr>
          <w:rFonts w:eastAsia="Times New Roman" w:cs="Times New Roman"/>
          <w:sz w:val="20"/>
          <w:szCs w:val="20"/>
          <w:lang w:val="fr-CA" w:eastAsia="en-CA"/>
        </w:rPr>
        <w:t xml:space="preserve"> d’emprisonnement.</w:t>
      </w:r>
    </w:p>
    <w:p w:rsidR="00704530" w:rsidRPr="00EA63C5" w:rsidRDefault="00704530" w:rsidP="00704530">
      <w:pPr>
        <w:rPr>
          <w:rFonts w:eastAsia="Times New Roman" w:cs="Times New Roman"/>
          <w:sz w:val="20"/>
          <w:szCs w:val="20"/>
          <w:lang w:val="fr-CA" w:eastAsia="en-CA"/>
        </w:rPr>
      </w:pPr>
    </w:p>
    <w:p w:rsidR="00704530" w:rsidRPr="00EA63C5" w:rsidRDefault="00704530" w:rsidP="00704530">
      <w:pPr>
        <w:rPr>
          <w:rFonts w:eastAsia="Times New Roman" w:cs="Times New Roman"/>
          <w:sz w:val="20"/>
          <w:szCs w:val="20"/>
          <w:lang w:val="fr-CA" w:eastAsia="en-CA"/>
        </w:rPr>
      </w:pPr>
      <w:r w:rsidRPr="00EA63C5">
        <w:rPr>
          <w:rFonts w:eastAsia="Times New Roman" w:cs="Times New Roman"/>
          <w:sz w:val="20"/>
          <w:szCs w:val="20"/>
          <w:lang w:val="fr-CA" w:eastAsia="en-CA"/>
        </w:rPr>
        <w:t xml:space="preserve">Au procès, le juge a tenu un voir-dire fondé sur la </w:t>
      </w:r>
      <w:r w:rsidRPr="00EA63C5">
        <w:rPr>
          <w:rFonts w:eastAsia="Times New Roman" w:cs="Times New Roman"/>
          <w:i/>
          <w:sz w:val="20"/>
          <w:szCs w:val="20"/>
          <w:lang w:val="fr-CA" w:eastAsia="en-CA"/>
        </w:rPr>
        <w:t xml:space="preserve">Charte </w:t>
      </w:r>
      <w:r w:rsidRPr="00EA63C5">
        <w:rPr>
          <w:rFonts w:eastAsia="Times New Roman" w:cs="Times New Roman"/>
          <w:sz w:val="20"/>
          <w:szCs w:val="20"/>
          <w:lang w:val="fr-CA" w:eastAsia="en-CA"/>
        </w:rPr>
        <w:t xml:space="preserve">pour statuer sur l’objection soulevée par M. Paterson relativement à l’admission de la preuve saisie par la police lors de la perquisition de son appartement. Le juge du procès a rejeté la demande d’exclusion de la preuve. </w:t>
      </w:r>
    </w:p>
    <w:p w:rsidR="00704530" w:rsidRPr="00EA63C5" w:rsidRDefault="00704530" w:rsidP="00704530">
      <w:pPr>
        <w:rPr>
          <w:rFonts w:eastAsia="Times New Roman" w:cs="Times New Roman"/>
          <w:sz w:val="20"/>
          <w:szCs w:val="20"/>
          <w:lang w:val="fr-CA" w:eastAsia="en-CA"/>
        </w:rPr>
      </w:pPr>
    </w:p>
    <w:p w:rsidR="00704530" w:rsidRPr="00EA63C5" w:rsidRDefault="00704530" w:rsidP="00704530">
      <w:pPr>
        <w:tabs>
          <w:tab w:val="left" w:pos="-1440"/>
          <w:tab w:val="left" w:pos="-720"/>
        </w:tabs>
        <w:jc w:val="both"/>
        <w:rPr>
          <w:sz w:val="20"/>
          <w:szCs w:val="20"/>
          <w:lang w:val="fr-CA"/>
        </w:rPr>
      </w:pPr>
      <w:r w:rsidRPr="00EA63C5">
        <w:rPr>
          <w:rFonts w:eastAsia="Times New Roman" w:cs="Times New Roman"/>
          <w:sz w:val="20"/>
          <w:szCs w:val="20"/>
          <w:lang w:val="fr-CA" w:eastAsia="en-CA"/>
        </w:rPr>
        <w:t>En appel, la Cour d’appel a conclu qu’il n’y avait pas lieu de modifier les conclusions du juge du procès. Elle a rejeté l’appel de la déclaration de culpabilité.</w:t>
      </w:r>
    </w:p>
    <w:p w:rsidR="00F74CAA" w:rsidRPr="00EA63C5" w:rsidRDefault="00F74CAA" w:rsidP="000B3C9A">
      <w:pPr>
        <w:tabs>
          <w:tab w:val="left" w:pos="-1440"/>
          <w:tab w:val="left" w:pos="-720"/>
        </w:tabs>
        <w:jc w:val="both"/>
        <w:rPr>
          <w:sz w:val="20"/>
          <w:szCs w:val="20"/>
          <w:lang w:val="fr-CA"/>
        </w:rPr>
      </w:pPr>
    </w:p>
    <w:p w:rsidR="00F74CAA" w:rsidRPr="00EA63C5" w:rsidRDefault="007F6DC5" w:rsidP="000B3C9A">
      <w:pPr>
        <w:tabs>
          <w:tab w:val="left" w:pos="-1440"/>
          <w:tab w:val="left" w:pos="-720"/>
        </w:tabs>
        <w:jc w:val="both"/>
        <w:rPr>
          <w:sz w:val="20"/>
          <w:szCs w:val="20"/>
          <w:lang w:val="fr-CA"/>
        </w:rPr>
      </w:pPr>
      <w:r>
        <w:rPr>
          <w:sz w:val="20"/>
          <w:szCs w:val="20"/>
          <w:lang w:val="fr-CA"/>
        </w:rPr>
        <w:pict>
          <v:rect id="_x0000_i1107" style="width:2in;height:1pt" o:hrpct="0" o:hralign="center" o:hrstd="t" o:hrnoshade="t" o:hr="t" fillcolor="black [3213]" stroked="f"/>
        </w:pict>
      </w:r>
    </w:p>
    <w:p w:rsidR="005F263E" w:rsidRPr="00EA63C5" w:rsidRDefault="005F263E" w:rsidP="00782AE4">
      <w:pPr>
        <w:jc w:val="both"/>
        <w:rPr>
          <w:sz w:val="20"/>
          <w:szCs w:val="20"/>
          <w:lang w:val="fr-CA"/>
        </w:rPr>
      </w:pPr>
    </w:p>
    <w:p w:rsidR="00704530" w:rsidRPr="00EA63C5" w:rsidRDefault="00704530" w:rsidP="00782AE4">
      <w:pPr>
        <w:jc w:val="both"/>
        <w:rPr>
          <w:sz w:val="20"/>
          <w:szCs w:val="20"/>
          <w:lang w:val="fr-CA"/>
        </w:rPr>
      </w:pPr>
    </w:p>
    <w:p w:rsidR="00704530" w:rsidRPr="00EA63C5" w:rsidRDefault="00704530">
      <w:pPr>
        <w:rPr>
          <w:sz w:val="20"/>
          <w:szCs w:val="20"/>
          <w:lang w:val="fr-CA"/>
        </w:rPr>
      </w:pPr>
      <w:r w:rsidRPr="00EA63C5">
        <w:rPr>
          <w:sz w:val="20"/>
          <w:szCs w:val="20"/>
          <w:lang w:val="fr-CA"/>
        </w:rPr>
        <w:br w:type="page"/>
      </w:r>
    </w:p>
    <w:p w:rsidR="00704530" w:rsidRPr="00EA63C5" w:rsidRDefault="00704530" w:rsidP="00704530">
      <w:pPr>
        <w:widowControl w:val="0"/>
        <w:ind w:left="720" w:hanging="720"/>
        <w:jc w:val="both"/>
        <w:rPr>
          <w:b/>
          <w:sz w:val="20"/>
          <w:szCs w:val="20"/>
        </w:rPr>
      </w:pPr>
    </w:p>
    <w:p w:rsidR="00704530" w:rsidRPr="00EA63C5" w:rsidRDefault="00704530" w:rsidP="00704530">
      <w:pPr>
        <w:widowControl w:val="0"/>
        <w:ind w:left="720" w:hanging="720"/>
        <w:jc w:val="both"/>
        <w:rPr>
          <w:sz w:val="20"/>
          <w:szCs w:val="20"/>
        </w:rPr>
      </w:pPr>
      <w:r w:rsidRPr="00EA63C5">
        <w:rPr>
          <w:b/>
          <w:sz w:val="20"/>
          <w:szCs w:val="20"/>
        </w:rPr>
        <w:fldChar w:fldCharType="begin"/>
      </w:r>
      <w:r w:rsidRPr="00EA63C5">
        <w:rPr>
          <w:b/>
          <w:sz w:val="20"/>
          <w:szCs w:val="20"/>
        </w:rPr>
        <w:instrText xml:space="preserve"> SEQ CHAPTER \h \r 1</w:instrText>
      </w:r>
      <w:r w:rsidRPr="00EA63C5">
        <w:rPr>
          <w:b/>
          <w:sz w:val="20"/>
          <w:szCs w:val="20"/>
        </w:rPr>
        <w:fldChar w:fldCharType="end"/>
      </w:r>
      <w:r w:rsidRPr="00EA63C5">
        <w:rPr>
          <w:b/>
          <w:sz w:val="20"/>
          <w:szCs w:val="20"/>
        </w:rPr>
        <w:t>36537</w:t>
      </w:r>
      <w:r w:rsidRPr="00EA63C5">
        <w:rPr>
          <w:sz w:val="20"/>
          <w:szCs w:val="20"/>
        </w:rPr>
        <w:tab/>
      </w:r>
      <w:r w:rsidRPr="00EA63C5">
        <w:rPr>
          <w:b/>
          <w:i/>
          <w:sz w:val="20"/>
          <w:szCs w:val="20"/>
        </w:rPr>
        <w:t xml:space="preserve">Her Majesty the Queen v. Robert David Nicholas Bradshaw </w:t>
      </w:r>
      <w:r w:rsidRPr="00EA63C5">
        <w:rPr>
          <w:sz w:val="20"/>
          <w:szCs w:val="20"/>
        </w:rPr>
        <w:t>(B.C.) (Criminal) (By Leave)</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sz w:val="20"/>
          <w:szCs w:val="20"/>
        </w:rPr>
        <w:t>Criminal Law - Evidence - Hearsay - Threshold reliability - Whether video-recording of former co-accused’s re-enactment of two murders properly admitted at accused’s trial - Whether Court of Appeal erred with respect to corroborative evidence in its review of threshold reliability of re-enactment evidence - Whether Court of Appeal elevated test for threshold reliability - Whether Court of Appeal erred with respect to safeguards relevant to admissibility of hearsay?</w:t>
      </w:r>
    </w:p>
    <w:p w:rsidR="00704530" w:rsidRPr="00EA63C5" w:rsidRDefault="00704530" w:rsidP="00704530">
      <w:pPr>
        <w:widowControl w:val="0"/>
        <w:jc w:val="both"/>
        <w:rPr>
          <w:sz w:val="20"/>
          <w:szCs w:val="20"/>
        </w:rPr>
      </w:pPr>
    </w:p>
    <w:p w:rsidR="00704530" w:rsidRPr="00EA63C5" w:rsidRDefault="00704530" w:rsidP="00704530">
      <w:pPr>
        <w:pStyle w:val="Factum"/>
        <w:numPr>
          <w:ilvl w:val="0"/>
          <w:numId w:val="0"/>
        </w:numPr>
        <w:spacing w:after="0" w:line="240" w:lineRule="auto"/>
        <w:rPr>
          <w:sz w:val="20"/>
          <w:szCs w:val="20"/>
        </w:rPr>
      </w:pPr>
      <w:r w:rsidRPr="00EA63C5">
        <w:rPr>
          <w:rFonts w:ascii="Arial (W1)" w:hAnsi="Arial (W1)"/>
          <w:sz w:val="20"/>
          <w:szCs w:val="20"/>
          <w:lang w:val="en-US"/>
        </w:rPr>
        <w:t xml:space="preserve">Two people were shot to death five days apart. </w:t>
      </w:r>
      <w:r w:rsidRPr="00EA63C5">
        <w:rPr>
          <w:rFonts w:ascii="Arial (W1)" w:hAnsi="Arial (W1)"/>
          <w:sz w:val="20"/>
          <w:szCs w:val="20"/>
        </w:rPr>
        <w:t xml:space="preserve">The police targeted an associate of the accused in a Mr. Big operation </w:t>
      </w:r>
      <w:r w:rsidRPr="00EA63C5">
        <w:rPr>
          <w:rFonts w:cs="Times New Roman"/>
          <w:sz w:val="20"/>
          <w:szCs w:val="20"/>
        </w:rPr>
        <w:t>and obtained both a confession claiming sole responsibility and a confession naming the accused as a participant in the first murder and the shooter in the second murder. The accused’s associate was arrested. At first, he denied any involvement</w:t>
      </w:r>
      <w:r w:rsidRPr="00EA63C5">
        <w:rPr>
          <w:sz w:val="20"/>
          <w:szCs w:val="20"/>
        </w:rPr>
        <w:t xml:space="preserve"> in the murders. After learning of the Mr. Big operation, he described the murders to the police without naming any accomplices. The next day he confessed. He then performed a re-enactment of the murders in which he named the accused. He was called as a witness for the Crown at the accused’s trial but refused to testify. The Crown applied to admit a videotaped recording of the re-enactment under the principled exception to the rule against hearsay. The trial judge admitted the videotape for the truth of its contents. He held that defence counsel could enter the associate’s prior inconsistent statements into evidence and cross-examine the police officers who heard the statements. A jury convicted the accused on two counts of first degree murder. The Court of Appeal held that it was an error to admit the videotape of the re-enactment into evidence. It set aside the convictions and ordered a new trial.</w:t>
      </w:r>
    </w:p>
    <w:p w:rsidR="00704530" w:rsidRPr="00EA63C5" w:rsidRDefault="00704530" w:rsidP="00782AE4">
      <w:pPr>
        <w:jc w:val="both"/>
        <w:rPr>
          <w:sz w:val="20"/>
          <w:szCs w:val="20"/>
          <w:lang w:val="en-GB"/>
        </w:rPr>
      </w:pPr>
    </w:p>
    <w:p w:rsidR="00704530" w:rsidRPr="00EA63C5" w:rsidRDefault="007F6DC5" w:rsidP="00782AE4">
      <w:pPr>
        <w:jc w:val="both"/>
        <w:rPr>
          <w:sz w:val="20"/>
          <w:szCs w:val="20"/>
          <w:lang w:val="en-US"/>
        </w:rPr>
      </w:pPr>
      <w:r>
        <w:rPr>
          <w:sz w:val="20"/>
          <w:szCs w:val="20"/>
          <w:lang w:val="fr-CA"/>
        </w:rPr>
        <w:pict>
          <v:rect id="_x0000_i1108" style="width:2in;height:1pt" o:hrpct="0" o:hralign="center" o:hrstd="t" o:hrnoshade="t" o:hr="t" fillcolor="black [3213]" stroked="f"/>
        </w:pict>
      </w:r>
    </w:p>
    <w:p w:rsidR="00704530" w:rsidRPr="00EA63C5" w:rsidRDefault="00704530" w:rsidP="00782AE4">
      <w:pPr>
        <w:jc w:val="both"/>
        <w:rPr>
          <w:sz w:val="20"/>
          <w:szCs w:val="20"/>
          <w:lang w:val="en-US"/>
        </w:rPr>
      </w:pPr>
    </w:p>
    <w:p w:rsidR="00704530" w:rsidRPr="00EA63C5" w:rsidRDefault="00704530" w:rsidP="00704530">
      <w:pPr>
        <w:widowControl w:val="0"/>
        <w:ind w:left="720" w:hanging="720"/>
        <w:jc w:val="both"/>
        <w:rPr>
          <w:rFonts w:cs="Times New Roman"/>
          <w:sz w:val="20"/>
          <w:szCs w:val="20"/>
          <w:lang w:val="fr-CA"/>
        </w:rPr>
      </w:pPr>
      <w:r w:rsidRPr="00EA63C5">
        <w:rPr>
          <w:rFonts w:cs="Times New Roman"/>
          <w:b/>
          <w:sz w:val="20"/>
          <w:szCs w:val="20"/>
          <w:lang w:val="fr-CA"/>
        </w:rPr>
        <w:fldChar w:fldCharType="begin"/>
      </w:r>
      <w:r w:rsidRPr="00EA63C5">
        <w:rPr>
          <w:rFonts w:cs="Times New Roman"/>
          <w:b/>
          <w:sz w:val="20"/>
          <w:szCs w:val="20"/>
          <w:lang w:val="fr-CA"/>
        </w:rPr>
        <w:instrText xml:space="preserve"> SEQ CHAPTER \h \r 1</w:instrText>
      </w:r>
      <w:r w:rsidRPr="00EA63C5">
        <w:rPr>
          <w:rFonts w:cs="Times New Roman"/>
          <w:b/>
          <w:sz w:val="20"/>
          <w:szCs w:val="20"/>
          <w:lang w:val="fr-CA"/>
        </w:rPr>
        <w:fldChar w:fldCharType="end"/>
      </w:r>
      <w:r w:rsidRPr="00EA63C5">
        <w:rPr>
          <w:rFonts w:cs="Times New Roman"/>
          <w:b/>
          <w:sz w:val="20"/>
          <w:szCs w:val="20"/>
          <w:lang w:val="fr-CA"/>
        </w:rPr>
        <w:t>36537</w:t>
      </w:r>
      <w:r w:rsidRPr="00EA63C5">
        <w:rPr>
          <w:rFonts w:cs="Times New Roman"/>
          <w:sz w:val="20"/>
          <w:szCs w:val="20"/>
          <w:lang w:val="fr-CA"/>
        </w:rPr>
        <w:tab/>
      </w:r>
      <w:r w:rsidRPr="00EA63C5">
        <w:rPr>
          <w:rFonts w:cs="Times New Roman"/>
          <w:b/>
          <w:i/>
          <w:sz w:val="20"/>
          <w:szCs w:val="20"/>
          <w:lang w:val="fr-CA"/>
        </w:rPr>
        <w:t xml:space="preserve">Sa Majesté la Reine c. Robert David Nicholas Bradshaw </w:t>
      </w:r>
      <w:r w:rsidRPr="00EA63C5">
        <w:rPr>
          <w:rFonts w:cs="Times New Roman"/>
          <w:sz w:val="20"/>
          <w:szCs w:val="20"/>
          <w:lang w:val="fr-CA"/>
        </w:rPr>
        <w:t>(C.-B.) (Criminelle) (Sur autorisation)</w:t>
      </w:r>
    </w:p>
    <w:p w:rsidR="00704530" w:rsidRPr="00EA63C5" w:rsidRDefault="00704530" w:rsidP="00704530">
      <w:pPr>
        <w:widowControl w:val="0"/>
        <w:jc w:val="both"/>
        <w:rPr>
          <w:rFonts w:cs="Times New Roman"/>
          <w:sz w:val="20"/>
          <w:szCs w:val="20"/>
          <w:lang w:val="fr-CA"/>
        </w:rPr>
      </w:pPr>
    </w:p>
    <w:p w:rsidR="00704530" w:rsidRPr="00EA63C5" w:rsidRDefault="00704530" w:rsidP="00704530">
      <w:pPr>
        <w:jc w:val="both"/>
        <w:rPr>
          <w:rFonts w:cs="Times New Roman"/>
          <w:sz w:val="20"/>
          <w:szCs w:val="20"/>
          <w:lang w:val="fr-CA"/>
        </w:rPr>
      </w:pPr>
      <w:r w:rsidRPr="00EA63C5">
        <w:rPr>
          <w:rFonts w:cs="Times New Roman"/>
          <w:sz w:val="20"/>
          <w:szCs w:val="20"/>
          <w:lang w:val="fr-CA"/>
        </w:rPr>
        <w:t xml:space="preserve">Droit criminel - Preuve - Ouï-dire - Seuil de fiabilité - L’enregistrement vidéo de la reconstitution, par un ancien coaccusé, de deux meurtres </w:t>
      </w:r>
      <w:proofErr w:type="spellStart"/>
      <w:r w:rsidRPr="00EA63C5">
        <w:rPr>
          <w:rFonts w:cs="Times New Roman"/>
          <w:sz w:val="20"/>
          <w:szCs w:val="20"/>
          <w:lang w:val="fr-CA"/>
        </w:rPr>
        <w:t>a-t-il</w:t>
      </w:r>
      <w:proofErr w:type="spellEnd"/>
      <w:r w:rsidRPr="00EA63C5">
        <w:rPr>
          <w:rFonts w:cs="Times New Roman"/>
          <w:sz w:val="20"/>
          <w:szCs w:val="20"/>
          <w:lang w:val="fr-CA"/>
        </w:rPr>
        <w:t xml:space="preserve"> été admis à bon droit au procès de l’accusé? - La Cour d’appel a-t-elle commis une erreur en ce qui concerne la preuve de corroboration dans son examen du critère du seuil de fiabilité d’une preuve relative à reconstitution? - La Cour d’appel a-t-elle rendu plus rigoureux le critère du seuil de fiabilité? - La Cour d’appel a-t-elle commis une erreur en ce qui concerne les mesures de protection ayant trait à l’admissibilité du ouï-dire?</w:t>
      </w:r>
    </w:p>
    <w:p w:rsidR="00704530" w:rsidRPr="00EA63C5" w:rsidRDefault="00704530" w:rsidP="00704530">
      <w:pPr>
        <w:widowControl w:val="0"/>
        <w:jc w:val="both"/>
        <w:rPr>
          <w:rFonts w:cs="Times New Roman"/>
          <w:sz w:val="20"/>
          <w:szCs w:val="20"/>
          <w:lang w:val="fr-CA"/>
        </w:rPr>
      </w:pPr>
    </w:p>
    <w:p w:rsidR="00704530" w:rsidRPr="00EA63C5" w:rsidRDefault="00704530" w:rsidP="00704530">
      <w:pPr>
        <w:pStyle w:val="Factum"/>
        <w:numPr>
          <w:ilvl w:val="0"/>
          <w:numId w:val="0"/>
        </w:numPr>
        <w:spacing w:after="0" w:line="240" w:lineRule="auto"/>
        <w:rPr>
          <w:rFonts w:cs="Times New Roman"/>
          <w:sz w:val="20"/>
          <w:szCs w:val="20"/>
          <w:lang w:val="fr-CA"/>
        </w:rPr>
      </w:pPr>
      <w:r w:rsidRPr="00EA63C5">
        <w:rPr>
          <w:rFonts w:cs="Times New Roman"/>
          <w:sz w:val="20"/>
          <w:szCs w:val="20"/>
          <w:lang w:val="fr-CA"/>
        </w:rPr>
        <w:t xml:space="preserve">Deux personnes ont été tuées par balles à cinq jours d’intervalle. La police a ciblé un associé de l’accusé dans une opération « Monsieur </w:t>
      </w:r>
      <w:proofErr w:type="spellStart"/>
      <w:r w:rsidRPr="00EA63C5">
        <w:rPr>
          <w:rFonts w:cs="Times New Roman"/>
          <w:sz w:val="20"/>
          <w:szCs w:val="20"/>
          <w:lang w:val="fr-CA"/>
        </w:rPr>
        <w:t>Big</w:t>
      </w:r>
      <w:proofErr w:type="spellEnd"/>
      <w:r w:rsidRPr="00EA63C5">
        <w:rPr>
          <w:rFonts w:cs="Times New Roman"/>
          <w:sz w:val="20"/>
          <w:szCs w:val="20"/>
          <w:lang w:val="fr-CA"/>
        </w:rPr>
        <w:t xml:space="preserve"> » et a obtenu un aveu revendiquant la responsabilité exclusive et un aveu nommant l’accusé comme participant au premier meurtre et comme le tireur dans le deuxième meurtre. L’associé de l’accusé a été arrêté. Il a tout d’abord nié toute participation aux meurtres. Après avoir pris connaissance de l’opération « Monsieur </w:t>
      </w:r>
      <w:proofErr w:type="spellStart"/>
      <w:r w:rsidRPr="00EA63C5">
        <w:rPr>
          <w:rFonts w:cs="Times New Roman"/>
          <w:sz w:val="20"/>
          <w:szCs w:val="20"/>
          <w:lang w:val="fr-CA"/>
        </w:rPr>
        <w:t>Big</w:t>
      </w:r>
      <w:proofErr w:type="spellEnd"/>
      <w:r w:rsidRPr="00EA63C5">
        <w:rPr>
          <w:rFonts w:cs="Times New Roman"/>
          <w:sz w:val="20"/>
          <w:szCs w:val="20"/>
          <w:lang w:val="fr-CA"/>
        </w:rPr>
        <w:t> », il a décrit les meurtres à la police sans nommer de complices. Le lendemain, il est passé aux aveux. Il a ensuite joué une reconstitution des meurtres où il a nommé l’accusé. Il a été assigné comme témoin du ministère public au procès de l’accusé, mais il a refusé de témoigner. Le ministère public a demandé de faire admettre un enregistrement vidéo de la reconstitution conformément à l’exception raisonnée à la règle interdisant le ouï-dire. Le juge du procès a admis la bande vidéo comme preuve de la véracité de son contenu. Il a statué que l’avocat de la défense pouvait mettre en preuve les déclarations incompatibles antérieures de l’associé et contre-interroger les policiers qui avaient entendu les déclarations. Un jury a déclaré l’accusé coupable de deux chefs de meurtre au premier degré. La Cour d’appel a conclu que le juge du procès avait eu tort d’admettre en preuve la bande vidéo. Elle a annulé les déclarations de culpabilité et ordonné un nouveau procès.</w:t>
      </w:r>
    </w:p>
    <w:p w:rsidR="00704530" w:rsidRPr="00EA63C5" w:rsidRDefault="00704530" w:rsidP="00782AE4">
      <w:pPr>
        <w:jc w:val="both"/>
        <w:rPr>
          <w:sz w:val="20"/>
          <w:szCs w:val="20"/>
          <w:lang w:val="fr-CA"/>
        </w:rPr>
      </w:pPr>
    </w:p>
    <w:p w:rsidR="00704530" w:rsidRPr="00EA63C5" w:rsidRDefault="007F6DC5" w:rsidP="00782AE4">
      <w:pPr>
        <w:jc w:val="both"/>
        <w:rPr>
          <w:sz w:val="20"/>
          <w:szCs w:val="20"/>
          <w:lang w:val="fr-CA"/>
        </w:rPr>
      </w:pPr>
      <w:r>
        <w:rPr>
          <w:sz w:val="20"/>
          <w:szCs w:val="20"/>
          <w:lang w:val="fr-CA"/>
        </w:rPr>
        <w:pict>
          <v:rect id="_x0000_i1109" style="width:2in;height:1pt" o:hrpct="0" o:hralign="center" o:hrstd="t" o:hrnoshade="t" o:hr="t" fillcolor="black [3213]" stroked="f"/>
        </w:pict>
      </w:r>
    </w:p>
    <w:p w:rsidR="00704530" w:rsidRPr="00EA63C5" w:rsidRDefault="00704530" w:rsidP="00782AE4">
      <w:pPr>
        <w:jc w:val="both"/>
        <w:rPr>
          <w:sz w:val="20"/>
          <w:szCs w:val="20"/>
          <w:lang w:val="fr-CA"/>
        </w:rPr>
      </w:pPr>
    </w:p>
    <w:p w:rsidR="00704530" w:rsidRPr="00EA63C5" w:rsidRDefault="00704530">
      <w:pPr>
        <w:rPr>
          <w:sz w:val="20"/>
          <w:szCs w:val="20"/>
          <w:lang w:val="fr-CA"/>
        </w:rPr>
      </w:pPr>
      <w:r w:rsidRPr="00EA63C5">
        <w:rPr>
          <w:sz w:val="20"/>
          <w:szCs w:val="20"/>
          <w:lang w:val="fr-CA"/>
        </w:rPr>
        <w:br w:type="page"/>
      </w:r>
    </w:p>
    <w:p w:rsidR="00704530" w:rsidRPr="00EA63C5" w:rsidRDefault="00704530" w:rsidP="00782AE4">
      <w:pPr>
        <w:jc w:val="both"/>
        <w:rPr>
          <w:sz w:val="20"/>
          <w:szCs w:val="20"/>
          <w:lang w:val="fr-CA"/>
        </w:rPr>
      </w:pPr>
    </w:p>
    <w:p w:rsidR="00704530" w:rsidRPr="00EA63C5" w:rsidRDefault="00704530" w:rsidP="00704530">
      <w:pPr>
        <w:widowControl w:val="0"/>
        <w:ind w:left="720" w:hanging="720"/>
        <w:jc w:val="both"/>
        <w:rPr>
          <w:sz w:val="20"/>
          <w:szCs w:val="20"/>
        </w:rPr>
      </w:pPr>
      <w:r w:rsidRPr="00EA63C5">
        <w:rPr>
          <w:b/>
          <w:sz w:val="20"/>
          <w:szCs w:val="20"/>
        </w:rPr>
        <w:fldChar w:fldCharType="begin"/>
      </w:r>
      <w:r w:rsidRPr="00EA63C5">
        <w:rPr>
          <w:b/>
          <w:sz w:val="20"/>
          <w:szCs w:val="20"/>
        </w:rPr>
        <w:instrText xml:space="preserve"> SEQ CHAPTER \h \r 1</w:instrText>
      </w:r>
      <w:r w:rsidRPr="00EA63C5">
        <w:rPr>
          <w:b/>
          <w:sz w:val="20"/>
          <w:szCs w:val="20"/>
        </w:rPr>
        <w:fldChar w:fldCharType="end"/>
      </w:r>
      <w:r w:rsidRPr="00EA63C5">
        <w:rPr>
          <w:b/>
          <w:sz w:val="20"/>
          <w:szCs w:val="20"/>
        </w:rPr>
        <w:t>36616</w:t>
      </w:r>
      <w:r w:rsidRPr="00EA63C5">
        <w:rPr>
          <w:sz w:val="20"/>
          <w:szCs w:val="20"/>
        </w:rPr>
        <w:tab/>
      </w:r>
      <w:r w:rsidRPr="00EA63C5">
        <w:rPr>
          <w:b/>
          <w:i/>
          <w:sz w:val="20"/>
          <w:szCs w:val="20"/>
        </w:rPr>
        <w:t xml:space="preserve">Deborah Louise </w:t>
      </w:r>
      <w:proofErr w:type="spellStart"/>
      <w:r w:rsidRPr="00EA63C5">
        <w:rPr>
          <w:b/>
          <w:i/>
          <w:sz w:val="20"/>
          <w:szCs w:val="20"/>
        </w:rPr>
        <w:t>Douez</w:t>
      </w:r>
      <w:proofErr w:type="spellEnd"/>
      <w:r w:rsidRPr="00EA63C5">
        <w:rPr>
          <w:b/>
          <w:i/>
          <w:sz w:val="20"/>
          <w:szCs w:val="20"/>
        </w:rPr>
        <w:t xml:space="preserve"> v. Facebook Inc. </w:t>
      </w:r>
      <w:r w:rsidRPr="00EA63C5">
        <w:rPr>
          <w:sz w:val="20"/>
          <w:szCs w:val="20"/>
        </w:rPr>
        <w:t>(B.C.) (Civil) (By Leave)</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sz w:val="20"/>
          <w:szCs w:val="20"/>
        </w:rPr>
        <w:t xml:space="preserve">Private International Law - Choice of Forum - Contracts - Courts - Jurisdiction - Privacy - Statutory torts - Effect of a forum selection clause in the online terms of use of a social media networking website - In what circumstances should online contract of adhesion forum selection clauses be found valid, clear, enforceable and applicable to the dispute - To what extent should the “strong cause” test described by this Court in </w:t>
      </w:r>
      <w:r w:rsidRPr="00EA63C5">
        <w:rPr>
          <w:i/>
          <w:sz w:val="20"/>
          <w:szCs w:val="20"/>
        </w:rPr>
        <w:t xml:space="preserve">Z.I. Pompey </w:t>
      </w:r>
      <w:proofErr w:type="spellStart"/>
      <w:r w:rsidRPr="00EA63C5">
        <w:rPr>
          <w:i/>
          <w:sz w:val="20"/>
          <w:szCs w:val="20"/>
        </w:rPr>
        <w:t>Industrie</w:t>
      </w:r>
      <w:proofErr w:type="spellEnd"/>
      <w:r w:rsidRPr="00EA63C5">
        <w:rPr>
          <w:i/>
          <w:sz w:val="20"/>
          <w:szCs w:val="20"/>
        </w:rPr>
        <w:t xml:space="preserve"> v. ECU-Line N.V</w:t>
      </w:r>
      <w:r w:rsidRPr="00EA63C5">
        <w:rPr>
          <w:sz w:val="20"/>
          <w:szCs w:val="20"/>
        </w:rPr>
        <w:t xml:space="preserve">., [2003] 1 S.C.R. 450, </w:t>
      </w:r>
      <w:hyperlink r:id="rId91" w:history="1">
        <w:r w:rsidRPr="00EA63C5">
          <w:rPr>
            <w:sz w:val="20"/>
            <w:szCs w:val="20"/>
          </w:rPr>
          <w:t>2003 SCC 27</w:t>
        </w:r>
      </w:hyperlink>
      <w:r w:rsidRPr="00EA63C5">
        <w:rPr>
          <w:sz w:val="20"/>
          <w:szCs w:val="20"/>
        </w:rPr>
        <w:t xml:space="preserve">, apply to online consumer contracts of adhesion - To what extent do statutes requiring local courts to hear and determine disputes under such statutes constitute “strong cause” to avoid contractual forum selection clauses - Is the forum selection clause considered as part of the statutory </w:t>
      </w:r>
      <w:r w:rsidRPr="00EA63C5">
        <w:rPr>
          <w:i/>
          <w:sz w:val="20"/>
          <w:szCs w:val="20"/>
        </w:rPr>
        <w:t>forum</w:t>
      </w:r>
      <w:r w:rsidRPr="00EA63C5">
        <w:rPr>
          <w:sz w:val="20"/>
          <w:szCs w:val="20"/>
        </w:rPr>
        <w:t xml:space="preserve"> </w:t>
      </w:r>
      <w:r w:rsidRPr="00EA63C5">
        <w:rPr>
          <w:i/>
          <w:sz w:val="20"/>
          <w:szCs w:val="20"/>
        </w:rPr>
        <w:t xml:space="preserve">non </w:t>
      </w:r>
      <w:proofErr w:type="spellStart"/>
      <w:r w:rsidRPr="00EA63C5">
        <w:rPr>
          <w:i/>
          <w:sz w:val="20"/>
          <w:szCs w:val="20"/>
        </w:rPr>
        <w:t>conveniens</w:t>
      </w:r>
      <w:proofErr w:type="spellEnd"/>
      <w:r w:rsidRPr="00EA63C5">
        <w:rPr>
          <w:sz w:val="20"/>
          <w:szCs w:val="20"/>
        </w:rPr>
        <w:t xml:space="preserve"> analysis under the </w:t>
      </w:r>
      <w:hyperlink r:id="rId92" w:history="1">
        <w:r w:rsidRPr="00EA63C5">
          <w:rPr>
            <w:i/>
            <w:sz w:val="20"/>
            <w:szCs w:val="20"/>
          </w:rPr>
          <w:t>Court Jurisdiction and Proceedings Transfer Act</w:t>
        </w:r>
        <w:r w:rsidRPr="00EA63C5">
          <w:rPr>
            <w:sz w:val="20"/>
            <w:szCs w:val="20"/>
          </w:rPr>
          <w:t>, S.B.C. 2003, c. 28</w:t>
        </w:r>
      </w:hyperlink>
      <w:r w:rsidRPr="00EA63C5">
        <w:rPr>
          <w:sz w:val="20"/>
          <w:szCs w:val="20"/>
        </w:rPr>
        <w:t xml:space="preserve"> (“</w:t>
      </w:r>
      <w:r w:rsidRPr="00EA63C5">
        <w:rPr>
          <w:i/>
          <w:sz w:val="20"/>
          <w:szCs w:val="20"/>
        </w:rPr>
        <w:t>CJPTA</w:t>
      </w:r>
      <w:r w:rsidRPr="00EA63C5">
        <w:rPr>
          <w:sz w:val="20"/>
          <w:szCs w:val="20"/>
        </w:rPr>
        <w:t xml:space="preserve">”), or must a plaintiff first demonstrate a “strong cause” not to enforce the forum selection clause before receiving the benefits of the </w:t>
      </w:r>
      <w:r w:rsidRPr="00EA63C5">
        <w:rPr>
          <w:i/>
          <w:sz w:val="20"/>
          <w:szCs w:val="20"/>
        </w:rPr>
        <w:t>CJPTA</w:t>
      </w:r>
      <w:r w:rsidRPr="00EA63C5">
        <w:rPr>
          <w:sz w:val="20"/>
          <w:szCs w:val="20"/>
        </w:rPr>
        <w:t>.</w:t>
      </w:r>
    </w:p>
    <w:p w:rsidR="00704530" w:rsidRPr="00EA63C5" w:rsidRDefault="00704530" w:rsidP="00704530">
      <w:pPr>
        <w:widowControl w:val="0"/>
        <w:jc w:val="both"/>
        <w:rPr>
          <w:sz w:val="20"/>
          <w:szCs w:val="20"/>
        </w:rPr>
      </w:pPr>
    </w:p>
    <w:p w:rsidR="00704530" w:rsidRPr="00EA63C5" w:rsidRDefault="00704530" w:rsidP="00704530">
      <w:pPr>
        <w:widowControl w:val="0"/>
        <w:jc w:val="both"/>
        <w:rPr>
          <w:sz w:val="20"/>
          <w:szCs w:val="20"/>
        </w:rPr>
      </w:pPr>
      <w:r w:rsidRPr="00EA63C5">
        <w:rPr>
          <w:sz w:val="20"/>
          <w:szCs w:val="20"/>
        </w:rPr>
        <w:t xml:space="preserve">The appellant commenced an action and sought certification as a class action against the respondent. She alleged it used her name and portrait in an advertisement product known as “Sponsored Stories” without her consent, contrary to the statutory tort created by subsection 3(2) of the </w:t>
      </w:r>
      <w:r w:rsidRPr="00EA63C5">
        <w:rPr>
          <w:i/>
          <w:sz w:val="20"/>
          <w:szCs w:val="20"/>
        </w:rPr>
        <w:t>Privacy Act,</w:t>
      </w:r>
      <w:r w:rsidRPr="00EA63C5">
        <w:rPr>
          <w:sz w:val="20"/>
          <w:szCs w:val="20"/>
        </w:rPr>
        <w:t xml:space="preserve"> R.S.B.C. 1996, </w:t>
      </w:r>
      <w:proofErr w:type="gramStart"/>
      <w:r w:rsidRPr="00EA63C5">
        <w:rPr>
          <w:sz w:val="20"/>
          <w:szCs w:val="20"/>
        </w:rPr>
        <w:t>c</w:t>
      </w:r>
      <w:proofErr w:type="gramEnd"/>
      <w:r w:rsidRPr="00EA63C5">
        <w:rPr>
          <w:sz w:val="20"/>
          <w:szCs w:val="20"/>
        </w:rPr>
        <w:t>. 373. When a Facebook member “likes” a post on Facebook that relates to an entity that has purchased an advertising service, the respondent sometimes features the name and/or likeness of that member, together with the advertising logo and other product or service information of that entity, in a Sponsored Story sent to the member’s Facebook contacts. The member is not notified about the Sponsored Story. The respondent argued that it had obtained either the express or implied consent of its users through its terms of use, other disclosure on its website, and through a user’s actions such as their privacy settings. It also submitted the court should decline jurisdiction on the basis that California was the designated choice of jurisdiction and applicable law in the terms of use.</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sz w:val="20"/>
          <w:szCs w:val="20"/>
        </w:rPr>
        <w:t>The Supreme Court of British Columbia dismissed the respondent’s application to have the court decline jurisdiction and certified the appellant’s action as a class action. The Court of Appeal for British Columbia allowed the appeal, holding that the respondent’s forum selection clause should be enforced and granting a stay of proceedings.</w:t>
      </w:r>
    </w:p>
    <w:p w:rsidR="00704530" w:rsidRPr="00EA63C5" w:rsidRDefault="00704530" w:rsidP="00782AE4">
      <w:pPr>
        <w:jc w:val="both"/>
        <w:rPr>
          <w:sz w:val="20"/>
          <w:szCs w:val="20"/>
        </w:rPr>
      </w:pPr>
    </w:p>
    <w:p w:rsidR="00704530" w:rsidRPr="00EA63C5" w:rsidRDefault="007F6DC5" w:rsidP="00782AE4">
      <w:pPr>
        <w:jc w:val="both"/>
        <w:rPr>
          <w:sz w:val="20"/>
          <w:szCs w:val="20"/>
          <w:lang w:val="fr-CA"/>
        </w:rPr>
      </w:pPr>
      <w:r>
        <w:rPr>
          <w:sz w:val="20"/>
          <w:szCs w:val="20"/>
          <w:lang w:val="fr-CA"/>
        </w:rPr>
        <w:pict>
          <v:rect id="_x0000_i1110" style="width:2in;height:1pt" o:hrpct="0" o:hralign="center" o:hrstd="t" o:hrnoshade="t" o:hr="t" fillcolor="black [3213]" stroked="f"/>
        </w:pict>
      </w:r>
    </w:p>
    <w:p w:rsidR="00704530" w:rsidRPr="00EA63C5" w:rsidRDefault="00704530" w:rsidP="00782AE4">
      <w:pPr>
        <w:jc w:val="both"/>
        <w:rPr>
          <w:sz w:val="20"/>
          <w:szCs w:val="20"/>
          <w:lang w:val="fr-CA"/>
        </w:rPr>
      </w:pPr>
    </w:p>
    <w:p w:rsidR="00704530" w:rsidRPr="00EA63C5" w:rsidRDefault="00704530">
      <w:pPr>
        <w:rPr>
          <w:rStyle w:val="SCCFileNumberChar"/>
          <w:sz w:val="20"/>
          <w:szCs w:val="20"/>
        </w:rPr>
      </w:pPr>
      <w:r w:rsidRPr="00EA63C5">
        <w:rPr>
          <w:rStyle w:val="SCCFileNumberChar"/>
          <w:sz w:val="20"/>
          <w:szCs w:val="20"/>
        </w:rPr>
        <w:br w:type="page"/>
      </w:r>
    </w:p>
    <w:p w:rsidR="00704530" w:rsidRPr="00EA63C5" w:rsidRDefault="00704530" w:rsidP="00704530">
      <w:pPr>
        <w:widowControl w:val="0"/>
        <w:ind w:left="720" w:hanging="735"/>
        <w:rPr>
          <w:rStyle w:val="SCCFileNumberChar"/>
          <w:sz w:val="20"/>
          <w:szCs w:val="20"/>
        </w:rPr>
      </w:pPr>
    </w:p>
    <w:p w:rsidR="00704530" w:rsidRPr="00EA63C5" w:rsidRDefault="00704530" w:rsidP="00704530">
      <w:pPr>
        <w:widowControl w:val="0"/>
        <w:ind w:left="720" w:hanging="735"/>
        <w:rPr>
          <w:sz w:val="20"/>
          <w:szCs w:val="20"/>
          <w:lang w:val="fr-CA"/>
        </w:rPr>
      </w:pPr>
      <w:r w:rsidRPr="00EA63C5">
        <w:rPr>
          <w:rStyle w:val="SCCFileNumberChar"/>
          <w:sz w:val="20"/>
          <w:szCs w:val="20"/>
        </w:rPr>
        <w:t>36616</w:t>
      </w:r>
      <w:r w:rsidRPr="00EA63C5">
        <w:rPr>
          <w:rStyle w:val="SCCFileNumberChar"/>
          <w:sz w:val="20"/>
          <w:szCs w:val="20"/>
        </w:rPr>
        <w:tab/>
      </w:r>
      <w:r w:rsidRPr="00EA63C5">
        <w:rPr>
          <w:rFonts w:eastAsia="Times New Roman" w:cs="Times New Roman"/>
          <w:b/>
          <w:i/>
          <w:sz w:val="20"/>
          <w:szCs w:val="20"/>
          <w:lang w:val="en-US" w:eastAsia="en-CA"/>
        </w:rPr>
        <w:t>Deborah</w:t>
      </w:r>
      <w:r w:rsidRPr="00EA63C5">
        <w:rPr>
          <w:b/>
          <w:i/>
          <w:sz w:val="20"/>
          <w:szCs w:val="20"/>
        </w:rPr>
        <w:t xml:space="preserve"> Louise </w:t>
      </w:r>
      <w:proofErr w:type="spellStart"/>
      <w:r w:rsidRPr="00EA63C5">
        <w:rPr>
          <w:b/>
          <w:i/>
          <w:sz w:val="20"/>
          <w:szCs w:val="20"/>
        </w:rPr>
        <w:t>Douez</w:t>
      </w:r>
      <w:proofErr w:type="spellEnd"/>
      <w:r w:rsidRPr="00EA63C5">
        <w:rPr>
          <w:b/>
          <w:i/>
          <w:sz w:val="20"/>
          <w:szCs w:val="20"/>
        </w:rPr>
        <w:t xml:space="preserve"> c. Facebook, Inc. </w:t>
      </w:r>
      <w:r w:rsidRPr="009849E0">
        <w:rPr>
          <w:sz w:val="20"/>
          <w:szCs w:val="20"/>
          <w:lang w:val="fr-CA"/>
        </w:rPr>
        <w:t xml:space="preserve">(C.-B.) </w:t>
      </w:r>
      <w:r w:rsidRPr="00EA63C5">
        <w:rPr>
          <w:sz w:val="20"/>
          <w:szCs w:val="20"/>
          <w:lang w:val="fr-CA"/>
        </w:rPr>
        <w:t>(Civile) (Sur autorisation)</w:t>
      </w:r>
    </w:p>
    <w:p w:rsidR="00704530" w:rsidRPr="00EA63C5" w:rsidRDefault="00704530" w:rsidP="00704530">
      <w:pPr>
        <w:widowControl w:val="0"/>
        <w:ind w:left="720" w:hanging="735"/>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Droit international privé - Choix du tribunal - Contrats - Tribunaux - Compétence - Protection des renseignements personnels - Délits civils d’origine législative - Effet d’une clause d’élection de for parmi les conditions d’utilisation en ligne d’un site Web de réseautage social - Dans quelles circonstances y </w:t>
      </w:r>
      <w:proofErr w:type="spellStart"/>
      <w:r w:rsidRPr="00EA63C5">
        <w:rPr>
          <w:sz w:val="20"/>
          <w:szCs w:val="20"/>
          <w:lang w:val="fr-CA"/>
        </w:rPr>
        <w:t>a-t-il</w:t>
      </w:r>
      <w:proofErr w:type="spellEnd"/>
      <w:r w:rsidRPr="00EA63C5">
        <w:rPr>
          <w:sz w:val="20"/>
          <w:szCs w:val="20"/>
          <w:lang w:val="fr-CA"/>
        </w:rPr>
        <w:t xml:space="preserve"> lieu de conclure que des clauses d’élection de for contenues dans un contrat d’adhésion en ligne sont valides, claires, exécutoires et applicables au litige? - Dans quelle mesure le critère des « motifs sérieux » exposé par la Cour dans </w:t>
      </w:r>
      <w:r w:rsidRPr="00EA63C5">
        <w:rPr>
          <w:i/>
          <w:sz w:val="20"/>
          <w:szCs w:val="20"/>
          <w:lang w:val="fr-CA"/>
        </w:rPr>
        <w:t>Z.I. Pompey Industrie c. ECU-Line N.V</w:t>
      </w:r>
      <w:r w:rsidRPr="00EA63C5">
        <w:rPr>
          <w:sz w:val="20"/>
          <w:szCs w:val="20"/>
          <w:lang w:val="fr-CA"/>
        </w:rPr>
        <w:t xml:space="preserve">., 2003 CSC 27, [2003] 1 R.C.S. 450, s’applique-t-il aux contrats d’adhésion en ligne conclus avec des consommateurs? - Dans quelle mesure les lois obligeant les tribunaux internes à instruire et à trancher les litiges qu’elles visent constituent-elles des « motifs sérieux » d’éviter l’application des clauses d’élection de for? - Considère-t-on qu’une clause d’élection de for fait partie de l’analyse liée au </w:t>
      </w:r>
      <w:r w:rsidRPr="00EA63C5">
        <w:rPr>
          <w:i/>
          <w:sz w:val="20"/>
          <w:szCs w:val="20"/>
          <w:lang w:val="fr-CA"/>
        </w:rPr>
        <w:t>forum</w:t>
      </w:r>
      <w:r w:rsidRPr="00EA63C5">
        <w:rPr>
          <w:sz w:val="20"/>
          <w:szCs w:val="20"/>
          <w:lang w:val="fr-CA"/>
        </w:rPr>
        <w:t xml:space="preserve"> </w:t>
      </w:r>
      <w:r w:rsidRPr="00EA63C5">
        <w:rPr>
          <w:i/>
          <w:sz w:val="20"/>
          <w:szCs w:val="20"/>
          <w:lang w:val="fr-CA"/>
        </w:rPr>
        <w:t xml:space="preserve">non </w:t>
      </w:r>
      <w:proofErr w:type="spellStart"/>
      <w:r w:rsidRPr="00EA63C5">
        <w:rPr>
          <w:i/>
          <w:sz w:val="20"/>
          <w:szCs w:val="20"/>
          <w:lang w:val="fr-CA"/>
        </w:rPr>
        <w:t>conveniens</w:t>
      </w:r>
      <w:proofErr w:type="spellEnd"/>
      <w:r w:rsidRPr="00EA63C5">
        <w:rPr>
          <w:sz w:val="20"/>
          <w:szCs w:val="20"/>
          <w:lang w:val="fr-CA"/>
        </w:rPr>
        <w:t xml:space="preserve"> qui relève de la </w:t>
      </w:r>
      <w:hyperlink r:id="rId93" w:history="1">
        <w:proofErr w:type="spellStart"/>
        <w:r w:rsidRPr="00EA63C5">
          <w:rPr>
            <w:i/>
            <w:sz w:val="20"/>
            <w:szCs w:val="20"/>
            <w:lang w:val="fr-CA"/>
          </w:rPr>
          <w:t>Court</w:t>
        </w:r>
        <w:proofErr w:type="spellEnd"/>
        <w:r w:rsidRPr="00EA63C5">
          <w:rPr>
            <w:i/>
            <w:sz w:val="20"/>
            <w:szCs w:val="20"/>
            <w:lang w:val="fr-CA"/>
          </w:rPr>
          <w:t xml:space="preserve"> </w:t>
        </w:r>
        <w:proofErr w:type="spellStart"/>
        <w:r w:rsidRPr="00EA63C5">
          <w:rPr>
            <w:i/>
            <w:sz w:val="20"/>
            <w:szCs w:val="20"/>
            <w:lang w:val="fr-CA"/>
          </w:rPr>
          <w:t>Jurisdiction</w:t>
        </w:r>
        <w:proofErr w:type="spellEnd"/>
        <w:r w:rsidRPr="00EA63C5">
          <w:rPr>
            <w:i/>
            <w:sz w:val="20"/>
            <w:szCs w:val="20"/>
            <w:lang w:val="fr-CA"/>
          </w:rPr>
          <w:t xml:space="preserve"> and </w:t>
        </w:r>
        <w:proofErr w:type="spellStart"/>
        <w:r w:rsidRPr="00EA63C5">
          <w:rPr>
            <w:i/>
            <w:sz w:val="20"/>
            <w:szCs w:val="20"/>
            <w:lang w:val="fr-CA"/>
          </w:rPr>
          <w:t>Proceedings</w:t>
        </w:r>
        <w:proofErr w:type="spellEnd"/>
        <w:r w:rsidRPr="00EA63C5">
          <w:rPr>
            <w:i/>
            <w:sz w:val="20"/>
            <w:szCs w:val="20"/>
            <w:lang w:val="fr-CA"/>
          </w:rPr>
          <w:t xml:space="preserve"> Transfer </w:t>
        </w:r>
        <w:proofErr w:type="spellStart"/>
        <w:r w:rsidRPr="00EA63C5">
          <w:rPr>
            <w:i/>
            <w:sz w:val="20"/>
            <w:szCs w:val="20"/>
            <w:lang w:val="fr-CA"/>
          </w:rPr>
          <w:t>Act</w:t>
        </w:r>
        <w:proofErr w:type="spellEnd"/>
        <w:r w:rsidRPr="00EA63C5">
          <w:rPr>
            <w:sz w:val="20"/>
            <w:szCs w:val="20"/>
            <w:lang w:val="fr-CA"/>
          </w:rPr>
          <w:t>, S.B.C. 2003, c. 28</w:t>
        </w:r>
      </w:hyperlink>
      <w:r w:rsidRPr="00EA63C5">
        <w:rPr>
          <w:sz w:val="20"/>
          <w:szCs w:val="20"/>
          <w:lang w:val="fr-CA"/>
        </w:rPr>
        <w:t xml:space="preserve"> (« </w:t>
      </w:r>
      <w:r w:rsidRPr="00EA63C5">
        <w:rPr>
          <w:i/>
          <w:sz w:val="20"/>
          <w:szCs w:val="20"/>
          <w:lang w:val="fr-CA"/>
        </w:rPr>
        <w:t>CJPTA </w:t>
      </w:r>
      <w:r w:rsidRPr="00EA63C5">
        <w:rPr>
          <w:sz w:val="20"/>
          <w:szCs w:val="20"/>
          <w:lang w:val="fr-CA"/>
        </w:rPr>
        <w:t xml:space="preserve">»), ou le demandeur doit-il démontrer l’existence d’un « motif convaincant » de ne pas appliquer la clause d’élection de for avant de bénéficier des avantages de la </w:t>
      </w:r>
      <w:r w:rsidRPr="00EA63C5">
        <w:rPr>
          <w:i/>
          <w:sz w:val="20"/>
          <w:szCs w:val="20"/>
          <w:lang w:val="fr-CA"/>
        </w:rPr>
        <w:t>CJPTA</w:t>
      </w:r>
      <w:r w:rsidRPr="00EA63C5">
        <w:rPr>
          <w:sz w:val="20"/>
          <w:szCs w:val="20"/>
          <w:lang w:val="fr-CA"/>
        </w:rPr>
        <w:t>?</w:t>
      </w:r>
    </w:p>
    <w:p w:rsidR="00704530" w:rsidRPr="00EA63C5" w:rsidRDefault="00704530" w:rsidP="00704530">
      <w:pPr>
        <w:widowControl w:val="0"/>
        <w:ind w:left="720" w:hanging="735"/>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L’appelante a intenté une action et en a demandé la certification comme recours collectif contre l’intimée. Selon elle, l’intimée s’est servie de son nom et de son portrait dans un produit publicitaire appelé « récits commandités » sans son consentement, ce qui répond à la définition du délit créé par le par. 3(2) de la </w:t>
      </w:r>
      <w:proofErr w:type="spellStart"/>
      <w:r w:rsidRPr="00EA63C5">
        <w:rPr>
          <w:i/>
          <w:sz w:val="20"/>
          <w:szCs w:val="20"/>
          <w:lang w:val="fr-CA"/>
        </w:rPr>
        <w:t>Privacy</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i/>
          <w:sz w:val="20"/>
          <w:szCs w:val="20"/>
          <w:lang w:val="fr-CA"/>
        </w:rPr>
        <w:t>,</w:t>
      </w:r>
      <w:r w:rsidRPr="00EA63C5">
        <w:rPr>
          <w:sz w:val="20"/>
          <w:szCs w:val="20"/>
          <w:lang w:val="fr-CA"/>
        </w:rPr>
        <w:t xml:space="preserve"> R.S.B.C. 1996, c. 373. Lorsqu’un membre de Facebook « aime » un message sur Facebook qui porte sur une entité ayant acquis un service de publicité, l’intimée met parfois en relief le nom ou la mention « j’aime » de ce membre, ainsi que le logo de publicité et d’autres renseignements sur le produit ou le service de cette entité, dans un récit commandité transmis aux contacts du membre de Facebook. Ce membre n’est pas avisé de l’existence du récit commandité. L’intimée a prétendu avoir obtenu le consentement exprès ou tacite de ses usagers par l’entremise de ses conditions d’utilisation, d’autres renseignements contenus dans son site Web et des mesures prises par l’usager tels ses paramètres de confidentialité. Elle a ajouté que la cour devrait décliner compétence car la Californie était le ressort choisi et le droit californien s’appliquait aux conditions d’utilisation.</w:t>
      </w: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jc w:val="both"/>
        <w:rPr>
          <w:sz w:val="20"/>
          <w:szCs w:val="20"/>
          <w:lang w:val="fr-CA"/>
        </w:rPr>
      </w:pPr>
      <w:r w:rsidRPr="00EA63C5">
        <w:rPr>
          <w:sz w:val="20"/>
          <w:szCs w:val="20"/>
          <w:lang w:val="fr-CA"/>
        </w:rPr>
        <w:t>La Cour suprême de Colombie-Britannique a rejeté la demande présentée par l’intimée pour que la cour décline compétence et a certifié l’action de l’appelante en tant que recours collectif. La Cour d’appel de la Colombie-Britannique a accueilli l’appel, jugeant qu’il y a lieu d’appliquer la clause d’élection de for concernant l’intimée, et prononcé l’arrêt des procédures.</w:t>
      </w:r>
    </w:p>
    <w:p w:rsidR="00704530" w:rsidRPr="00EA63C5" w:rsidRDefault="00704530" w:rsidP="00704530">
      <w:pPr>
        <w:widowControl w:val="0"/>
        <w:ind w:left="720" w:hanging="735"/>
        <w:rPr>
          <w:sz w:val="20"/>
          <w:szCs w:val="20"/>
          <w:lang w:val="fr-CA"/>
        </w:rPr>
      </w:pPr>
    </w:p>
    <w:p w:rsidR="00704530" w:rsidRPr="00EA63C5" w:rsidRDefault="007F6DC5" w:rsidP="00704530">
      <w:pPr>
        <w:widowControl w:val="0"/>
        <w:ind w:left="720" w:hanging="735"/>
        <w:rPr>
          <w:sz w:val="20"/>
          <w:szCs w:val="20"/>
          <w:lang w:val="fr-CA"/>
        </w:rPr>
      </w:pPr>
      <w:r>
        <w:rPr>
          <w:sz w:val="20"/>
          <w:szCs w:val="20"/>
          <w:lang w:val="fr-CA"/>
        </w:rPr>
        <w:pict>
          <v:rect id="_x0000_i1111" style="width:2in;height:1pt" o:hrpct="0" o:hralign="center" o:hrstd="t" o:hrnoshade="t" o:hr="t" fillcolor="black [3213]" stroked="f"/>
        </w:pict>
      </w: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pPr>
        <w:rPr>
          <w:sz w:val="20"/>
          <w:szCs w:val="20"/>
          <w:lang w:val="fr-CA"/>
        </w:rPr>
      </w:pPr>
      <w:r w:rsidRPr="00EA63C5">
        <w:rPr>
          <w:sz w:val="20"/>
          <w:szCs w:val="20"/>
          <w:lang w:val="fr-CA"/>
        </w:rPr>
        <w:br w:type="page"/>
      </w:r>
    </w:p>
    <w:p w:rsidR="005E7D40" w:rsidRPr="00EA63C5" w:rsidRDefault="005E7D40" w:rsidP="005E7D40">
      <w:pPr>
        <w:jc w:val="both"/>
        <w:rPr>
          <w:sz w:val="20"/>
          <w:lang w:val="fr-CA"/>
        </w:rPr>
      </w:pPr>
    </w:p>
    <w:p w:rsidR="005E7D40" w:rsidRPr="00EA63C5" w:rsidRDefault="005E7D40" w:rsidP="005E7D40">
      <w:pPr>
        <w:widowControl w:val="0"/>
        <w:ind w:left="720" w:hanging="720"/>
        <w:jc w:val="both"/>
        <w:rPr>
          <w:b/>
          <w:i/>
          <w:sz w:val="20"/>
        </w:rPr>
      </w:pPr>
      <w:r w:rsidRPr="00EA63C5">
        <w:rPr>
          <w:b/>
          <w:sz w:val="20"/>
        </w:rPr>
        <w:fldChar w:fldCharType="begin"/>
      </w:r>
      <w:r w:rsidRPr="00EA63C5">
        <w:rPr>
          <w:b/>
          <w:sz w:val="20"/>
        </w:rPr>
        <w:instrText xml:space="preserve"> SEQ CHAPTER \h \r 1</w:instrText>
      </w:r>
      <w:r w:rsidRPr="00EA63C5">
        <w:rPr>
          <w:b/>
          <w:sz w:val="20"/>
        </w:rPr>
        <w:fldChar w:fldCharType="end"/>
      </w:r>
      <w:r w:rsidRPr="00EA63C5">
        <w:rPr>
          <w:b/>
          <w:sz w:val="20"/>
        </w:rPr>
        <w:t>36654</w:t>
      </w:r>
      <w:r w:rsidRPr="00EA63C5">
        <w:rPr>
          <w:sz w:val="20"/>
        </w:rPr>
        <w:tab/>
      </w:r>
      <w:r w:rsidRPr="00EA63C5">
        <w:rPr>
          <w:b/>
          <w:i/>
          <w:sz w:val="20"/>
        </w:rPr>
        <w:t xml:space="preserve">AstraZeneca Canada Inc., AstraZeneca </w:t>
      </w:r>
      <w:proofErr w:type="spellStart"/>
      <w:r w:rsidRPr="00EA63C5">
        <w:rPr>
          <w:b/>
          <w:i/>
          <w:sz w:val="20"/>
        </w:rPr>
        <w:t>Aktiebolag</w:t>
      </w:r>
      <w:proofErr w:type="spellEnd"/>
      <w:r w:rsidRPr="00EA63C5">
        <w:rPr>
          <w:b/>
          <w:i/>
          <w:sz w:val="20"/>
        </w:rPr>
        <w:t xml:space="preserve">, AstraZeneca UK Limited v. Apotex Inc., </w:t>
      </w:r>
      <w:proofErr w:type="spellStart"/>
      <w:r w:rsidRPr="00EA63C5">
        <w:rPr>
          <w:b/>
          <w:i/>
          <w:sz w:val="20"/>
        </w:rPr>
        <w:t>Apotex</w:t>
      </w:r>
      <w:proofErr w:type="spellEnd"/>
      <w:r w:rsidRPr="00EA63C5">
        <w:rPr>
          <w:b/>
          <w:i/>
          <w:sz w:val="20"/>
        </w:rPr>
        <w:t xml:space="preserve"> </w:t>
      </w:r>
      <w:proofErr w:type="spellStart"/>
      <w:r w:rsidRPr="00EA63C5">
        <w:rPr>
          <w:b/>
          <w:i/>
          <w:sz w:val="20"/>
        </w:rPr>
        <w:t>Pharmachem</w:t>
      </w:r>
      <w:proofErr w:type="spellEnd"/>
      <w:r w:rsidRPr="00EA63C5">
        <w:rPr>
          <w:b/>
          <w:i/>
          <w:sz w:val="20"/>
        </w:rPr>
        <w:t xml:space="preserve"> Inc.</w:t>
      </w:r>
    </w:p>
    <w:p w:rsidR="005E7D40" w:rsidRPr="00EA63C5" w:rsidRDefault="005E7D40" w:rsidP="005E7D40">
      <w:pPr>
        <w:widowControl w:val="0"/>
        <w:ind w:left="1440" w:hanging="720"/>
        <w:jc w:val="both"/>
        <w:rPr>
          <w:sz w:val="20"/>
        </w:rPr>
      </w:pPr>
      <w:r w:rsidRPr="00EA63C5">
        <w:rPr>
          <w:sz w:val="20"/>
        </w:rPr>
        <w:t>(Federal Court of Appeal) (Civil) (By leave)</w:t>
      </w:r>
    </w:p>
    <w:p w:rsidR="005E7D40" w:rsidRPr="00EA63C5" w:rsidRDefault="005E7D40" w:rsidP="005E7D40">
      <w:pPr>
        <w:widowControl w:val="0"/>
        <w:ind w:left="1440" w:hanging="1440"/>
        <w:jc w:val="both"/>
        <w:rPr>
          <w:sz w:val="20"/>
        </w:rPr>
      </w:pPr>
    </w:p>
    <w:p w:rsidR="005E7D40" w:rsidRPr="00EA63C5" w:rsidRDefault="005E7D40" w:rsidP="005E7D40">
      <w:pPr>
        <w:jc w:val="both"/>
        <w:rPr>
          <w:sz w:val="20"/>
        </w:rPr>
      </w:pPr>
      <w:r w:rsidRPr="00EA63C5">
        <w:rPr>
          <w:sz w:val="20"/>
        </w:rPr>
        <w:t>Intellectual property - Patents - Medicines - Utility - Validity of patent for drug used in treatment of gastric acid conditions challenged in infringement and impeachment action - Whether</w:t>
      </w:r>
      <w:r w:rsidRPr="00EA63C5">
        <w:rPr>
          <w:spacing w:val="40"/>
          <w:sz w:val="20"/>
        </w:rPr>
        <w:t xml:space="preserve"> </w:t>
      </w:r>
      <w:r w:rsidRPr="00EA63C5">
        <w:rPr>
          <w:sz w:val="20"/>
        </w:rPr>
        <w:t>a</w:t>
      </w:r>
      <w:r w:rsidRPr="00EA63C5">
        <w:rPr>
          <w:spacing w:val="5"/>
          <w:sz w:val="20"/>
        </w:rPr>
        <w:t xml:space="preserve"> </w:t>
      </w:r>
      <w:r w:rsidRPr="00EA63C5">
        <w:rPr>
          <w:sz w:val="20"/>
        </w:rPr>
        <w:t>promised</w:t>
      </w:r>
      <w:r w:rsidRPr="00EA63C5">
        <w:rPr>
          <w:spacing w:val="35"/>
          <w:sz w:val="20"/>
        </w:rPr>
        <w:t xml:space="preserve"> </w:t>
      </w:r>
      <w:r w:rsidRPr="00EA63C5">
        <w:rPr>
          <w:sz w:val="20"/>
        </w:rPr>
        <w:t>utility</w:t>
      </w:r>
      <w:r w:rsidRPr="00EA63C5">
        <w:rPr>
          <w:spacing w:val="29"/>
          <w:sz w:val="20"/>
        </w:rPr>
        <w:t xml:space="preserve"> </w:t>
      </w:r>
      <w:r w:rsidRPr="00EA63C5">
        <w:rPr>
          <w:sz w:val="20"/>
        </w:rPr>
        <w:t>doctrine</w:t>
      </w:r>
      <w:r w:rsidRPr="00EA63C5">
        <w:rPr>
          <w:spacing w:val="16"/>
          <w:sz w:val="20"/>
        </w:rPr>
        <w:t xml:space="preserve"> </w:t>
      </w:r>
      <w:r w:rsidRPr="00EA63C5">
        <w:rPr>
          <w:sz w:val="20"/>
        </w:rPr>
        <w:t>properly</w:t>
      </w:r>
      <w:r w:rsidRPr="00EA63C5">
        <w:rPr>
          <w:spacing w:val="37"/>
          <w:sz w:val="20"/>
        </w:rPr>
        <w:t xml:space="preserve"> </w:t>
      </w:r>
      <w:r w:rsidRPr="00EA63C5">
        <w:rPr>
          <w:sz w:val="20"/>
        </w:rPr>
        <w:t>exists - Whether lower courts erred in law in finding that the 653 patent invalid: (</w:t>
      </w:r>
      <w:proofErr w:type="spellStart"/>
      <w:r w:rsidRPr="00EA63C5">
        <w:rPr>
          <w:sz w:val="20"/>
        </w:rPr>
        <w:t>i</w:t>
      </w:r>
      <w:proofErr w:type="spellEnd"/>
      <w:r w:rsidRPr="00EA63C5">
        <w:rPr>
          <w:sz w:val="20"/>
        </w:rPr>
        <w:t>) on the basis of a “promise of the patent” utility doctrine; and/or (ii) by applying an incorrect standard for patent utility.</w:t>
      </w:r>
    </w:p>
    <w:p w:rsidR="005E7D40" w:rsidRPr="00EA63C5" w:rsidRDefault="005E7D40" w:rsidP="005E7D40">
      <w:pPr>
        <w:widowControl w:val="0"/>
        <w:ind w:left="1440" w:hanging="1440"/>
        <w:jc w:val="both"/>
        <w:rPr>
          <w:sz w:val="20"/>
        </w:rPr>
      </w:pPr>
    </w:p>
    <w:p w:rsidR="005E7D40" w:rsidRPr="00EA63C5" w:rsidRDefault="005E7D40" w:rsidP="005E7D40">
      <w:pPr>
        <w:jc w:val="both"/>
        <w:rPr>
          <w:sz w:val="20"/>
        </w:rPr>
      </w:pPr>
      <w:r w:rsidRPr="00EA63C5">
        <w:rPr>
          <w:sz w:val="20"/>
        </w:rPr>
        <w:t xml:space="preserve">The appellants, (collectively, “AstraZeneca”) owned the Canadian ‘653 patent for the compound, esomeprazole, a proton pump inhibitor used in the reduction of gastric acid, reflux esophagitis and related conditions. It was sold under the name Nexium, and was a very successful drug for AstraZeneca. The respondents (collectively, “Apotex”) applied to the Minister of Health to obtain a Notice of Compliance which would allow it to sell its generic version of the drug. In response, AstraZeneca brought a prohibition application under the </w:t>
      </w:r>
      <w:r w:rsidRPr="00EA63C5">
        <w:rPr>
          <w:i/>
          <w:sz w:val="20"/>
        </w:rPr>
        <w:t>Patented Medicines (Notice of Compliance) Regulations</w:t>
      </w:r>
      <w:r w:rsidRPr="00EA63C5">
        <w:rPr>
          <w:sz w:val="20"/>
        </w:rPr>
        <w:t>, SOR/93-133 to prevent Apotex from entering the market until after the expiry of the ‘653 patent. In 2010, that application was dismissed and Apotex received its Notice of Compliance and commenced sales of its generic esomeprazole. AstraZeneca brought an action against Apotex for patent infringement. Apotex counter-claimed to impeach the ‘653 patent on several grounds.</w:t>
      </w:r>
    </w:p>
    <w:p w:rsidR="005E7D40" w:rsidRPr="00EA63C5" w:rsidRDefault="005E7D40" w:rsidP="005E7D40">
      <w:pPr>
        <w:jc w:val="both"/>
        <w:rPr>
          <w:sz w:val="20"/>
        </w:rPr>
      </w:pPr>
    </w:p>
    <w:p w:rsidR="005E7D40" w:rsidRPr="00EA63C5" w:rsidRDefault="007F6DC5" w:rsidP="005E7D40">
      <w:pPr>
        <w:jc w:val="both"/>
        <w:rPr>
          <w:sz w:val="20"/>
        </w:rPr>
      </w:pPr>
      <w:r>
        <w:rPr>
          <w:sz w:val="20"/>
          <w:szCs w:val="20"/>
          <w:lang w:val="fr-CA"/>
        </w:rPr>
        <w:pict>
          <v:rect id="_x0000_i1112" style="width:2in;height:1pt" o:hrpct="0" o:hralign="center" o:hrstd="t" o:hrnoshade="t" o:hr="t" fillcolor="black [3213]" stroked="f"/>
        </w:pict>
      </w:r>
    </w:p>
    <w:p w:rsidR="005E7D40" w:rsidRPr="00EA63C5" w:rsidRDefault="005E7D40" w:rsidP="005E7D40">
      <w:pPr>
        <w:jc w:val="both"/>
        <w:rPr>
          <w:sz w:val="20"/>
        </w:rPr>
      </w:pPr>
    </w:p>
    <w:p w:rsidR="003F33E4" w:rsidRPr="00EA63C5" w:rsidRDefault="003F33E4" w:rsidP="005E7D40">
      <w:pPr>
        <w:jc w:val="both"/>
        <w:rPr>
          <w:sz w:val="20"/>
        </w:rPr>
      </w:pPr>
    </w:p>
    <w:p w:rsidR="005E7D40" w:rsidRPr="00EA63C5" w:rsidRDefault="005E7D40" w:rsidP="005E7D40">
      <w:pPr>
        <w:widowControl w:val="0"/>
        <w:ind w:left="713" w:hanging="735"/>
        <w:jc w:val="both"/>
        <w:rPr>
          <w:b/>
          <w:i/>
          <w:sz w:val="20"/>
        </w:rPr>
      </w:pPr>
      <w:r w:rsidRPr="00EA63C5">
        <w:rPr>
          <w:b/>
          <w:sz w:val="20"/>
          <w:lang w:val="fr-CA"/>
        </w:rPr>
        <w:fldChar w:fldCharType="begin"/>
      </w:r>
      <w:r w:rsidRPr="00EA63C5">
        <w:rPr>
          <w:b/>
          <w:sz w:val="20"/>
        </w:rPr>
        <w:instrText xml:space="preserve"> SEQ CHAPTER \h \r 1</w:instrText>
      </w:r>
      <w:r w:rsidRPr="00EA63C5">
        <w:rPr>
          <w:b/>
          <w:sz w:val="20"/>
          <w:lang w:val="fr-CA"/>
        </w:rPr>
        <w:fldChar w:fldCharType="end"/>
      </w:r>
      <w:r w:rsidRPr="00EA63C5">
        <w:rPr>
          <w:b/>
          <w:sz w:val="20"/>
        </w:rPr>
        <w:t>36654</w:t>
      </w:r>
      <w:r w:rsidRPr="00EA63C5">
        <w:rPr>
          <w:sz w:val="20"/>
        </w:rPr>
        <w:tab/>
      </w:r>
      <w:r w:rsidRPr="00EA63C5">
        <w:rPr>
          <w:b/>
          <w:i/>
          <w:sz w:val="20"/>
        </w:rPr>
        <w:t xml:space="preserve">AstraZeneca Canada Inc., AstraZeneca </w:t>
      </w:r>
      <w:proofErr w:type="spellStart"/>
      <w:r w:rsidRPr="00EA63C5">
        <w:rPr>
          <w:b/>
          <w:i/>
          <w:sz w:val="20"/>
        </w:rPr>
        <w:t>Aktiebolag</w:t>
      </w:r>
      <w:proofErr w:type="spellEnd"/>
      <w:r w:rsidRPr="00EA63C5">
        <w:rPr>
          <w:b/>
          <w:i/>
          <w:sz w:val="20"/>
        </w:rPr>
        <w:t xml:space="preserve">, AstraZeneca UK Limited c. Apotex Inc., </w:t>
      </w:r>
      <w:proofErr w:type="spellStart"/>
      <w:r w:rsidRPr="00EA63C5">
        <w:rPr>
          <w:b/>
          <w:i/>
          <w:sz w:val="20"/>
        </w:rPr>
        <w:t>Apotex</w:t>
      </w:r>
      <w:proofErr w:type="spellEnd"/>
      <w:r w:rsidRPr="00EA63C5">
        <w:rPr>
          <w:b/>
          <w:i/>
          <w:sz w:val="20"/>
        </w:rPr>
        <w:t xml:space="preserve"> </w:t>
      </w:r>
      <w:proofErr w:type="spellStart"/>
      <w:r w:rsidRPr="00EA63C5">
        <w:rPr>
          <w:b/>
          <w:i/>
          <w:sz w:val="20"/>
        </w:rPr>
        <w:t>Pharmachem</w:t>
      </w:r>
      <w:proofErr w:type="spellEnd"/>
      <w:r w:rsidRPr="00EA63C5">
        <w:rPr>
          <w:b/>
          <w:i/>
          <w:sz w:val="20"/>
        </w:rPr>
        <w:t xml:space="preserve"> Inc.</w:t>
      </w:r>
    </w:p>
    <w:p w:rsidR="005E7D40" w:rsidRPr="00EA63C5" w:rsidRDefault="005E7D40" w:rsidP="005E7D40">
      <w:pPr>
        <w:widowControl w:val="0"/>
        <w:ind w:left="1440" w:hanging="727"/>
        <w:jc w:val="both"/>
        <w:rPr>
          <w:sz w:val="20"/>
          <w:lang w:val="fr-CA"/>
        </w:rPr>
      </w:pPr>
      <w:r w:rsidRPr="00EA63C5">
        <w:rPr>
          <w:sz w:val="20"/>
          <w:lang w:val="fr-CA"/>
        </w:rPr>
        <w:t>(Cour d’appel fédérale) (Civile) (Sur autorisation)</w:t>
      </w:r>
    </w:p>
    <w:p w:rsidR="005E7D40" w:rsidRPr="00EA63C5" w:rsidRDefault="005E7D40" w:rsidP="005E7D40">
      <w:pPr>
        <w:widowControl w:val="0"/>
        <w:ind w:left="1440" w:hanging="1440"/>
        <w:jc w:val="both"/>
        <w:rPr>
          <w:sz w:val="20"/>
          <w:lang w:val="fr-CA"/>
        </w:rPr>
      </w:pPr>
    </w:p>
    <w:p w:rsidR="005E7D40" w:rsidRPr="00EA63C5" w:rsidRDefault="005E7D40" w:rsidP="005E7D40">
      <w:pPr>
        <w:jc w:val="both"/>
        <w:rPr>
          <w:sz w:val="20"/>
          <w:lang w:val="fr-CA"/>
        </w:rPr>
      </w:pPr>
      <w:r w:rsidRPr="00EA63C5">
        <w:rPr>
          <w:sz w:val="20"/>
          <w:lang w:val="fr-CA"/>
        </w:rPr>
        <w:t xml:space="preserve">Propriété intellectuelle - Brevets - Médicaments - Utilité - Propriété intellectuelle - Brevets - Médicaments - Utilité - Brevet portant sur un médicament utilisé pour traiter des problèmes d’acide gastrique faisant l’objet d’une action en contrefaçon et d’une demande reconventionnelle d’invalidation - Existe-t-il à bon droit un principe de l’utilité promise? - Les juridictions inférieures </w:t>
      </w:r>
      <w:proofErr w:type="spellStart"/>
      <w:r w:rsidRPr="00EA63C5">
        <w:rPr>
          <w:sz w:val="20"/>
          <w:lang w:val="fr-CA"/>
        </w:rPr>
        <w:t>ont-elles</w:t>
      </w:r>
      <w:proofErr w:type="spellEnd"/>
      <w:r w:rsidRPr="00EA63C5">
        <w:rPr>
          <w:sz w:val="20"/>
          <w:lang w:val="fr-CA"/>
        </w:rPr>
        <w:t xml:space="preserve"> commis une erreur de droit en concluant à l’invalidité du brevet 653 (i) en s’appuyant sur un principe de l’utilité au regard de la « promesse du brevet » et/ou (ii) en appliquant une norme incorrecte d’utilité du brevet?</w:t>
      </w:r>
    </w:p>
    <w:p w:rsidR="005E7D40" w:rsidRPr="00EA63C5" w:rsidRDefault="005E7D40" w:rsidP="005E7D40">
      <w:pPr>
        <w:widowControl w:val="0"/>
        <w:ind w:left="1440" w:hanging="1440"/>
        <w:jc w:val="both"/>
        <w:rPr>
          <w:sz w:val="20"/>
          <w:lang w:val="fr-CA"/>
        </w:rPr>
      </w:pPr>
    </w:p>
    <w:p w:rsidR="005E7D40" w:rsidRPr="00EA63C5" w:rsidRDefault="005E7D40" w:rsidP="005E7D40">
      <w:pPr>
        <w:jc w:val="both"/>
        <w:rPr>
          <w:sz w:val="20"/>
          <w:lang w:val="fr-CA"/>
        </w:rPr>
      </w:pPr>
      <w:r w:rsidRPr="00EA63C5">
        <w:rPr>
          <w:sz w:val="20"/>
          <w:lang w:val="fr-CA"/>
        </w:rPr>
        <w:t>Les appelantes (collectivement « </w:t>
      </w:r>
      <w:proofErr w:type="spellStart"/>
      <w:r w:rsidRPr="00EA63C5">
        <w:rPr>
          <w:sz w:val="20"/>
          <w:lang w:val="fr-CA"/>
        </w:rPr>
        <w:t>AstraZeneca</w:t>
      </w:r>
      <w:proofErr w:type="spellEnd"/>
      <w:r w:rsidRPr="00EA63C5">
        <w:rPr>
          <w:sz w:val="20"/>
          <w:lang w:val="fr-CA"/>
        </w:rPr>
        <w:t> ») sont titulaires du brevet canadien 653 portant sur le composé connu sous le nom d’</w:t>
      </w:r>
      <w:proofErr w:type="spellStart"/>
      <w:r w:rsidRPr="00EA63C5">
        <w:rPr>
          <w:sz w:val="20"/>
          <w:lang w:val="fr-CA"/>
        </w:rPr>
        <w:t>ésoméprazole</w:t>
      </w:r>
      <w:proofErr w:type="spellEnd"/>
      <w:r w:rsidRPr="00EA63C5">
        <w:rPr>
          <w:sz w:val="20"/>
          <w:lang w:val="fr-CA"/>
        </w:rPr>
        <w:t xml:space="preserve">, un inhibiteur de pompe à protons utilisé pour réduire l’acide gastrique, le reflux gastro-œsophagien et les troubles de santé connexes. Ce composé a été vendu sous le nom de </w:t>
      </w:r>
      <w:proofErr w:type="spellStart"/>
      <w:r w:rsidRPr="00EA63C5">
        <w:rPr>
          <w:sz w:val="20"/>
          <w:lang w:val="fr-CA"/>
        </w:rPr>
        <w:t>Nexium</w:t>
      </w:r>
      <w:proofErr w:type="spellEnd"/>
      <w:r w:rsidRPr="00EA63C5">
        <w:rPr>
          <w:sz w:val="20"/>
          <w:lang w:val="fr-CA"/>
        </w:rPr>
        <w:t>, un médicament qui a fait la fortune d’</w:t>
      </w:r>
      <w:proofErr w:type="spellStart"/>
      <w:r w:rsidRPr="00EA63C5">
        <w:rPr>
          <w:sz w:val="20"/>
          <w:lang w:val="fr-CA"/>
        </w:rPr>
        <w:t>AstraZeneca</w:t>
      </w:r>
      <w:proofErr w:type="spellEnd"/>
      <w:r w:rsidRPr="00EA63C5">
        <w:rPr>
          <w:sz w:val="20"/>
          <w:lang w:val="fr-CA"/>
        </w:rPr>
        <w:t>. Les intimées (collectivement « </w:t>
      </w:r>
      <w:proofErr w:type="spellStart"/>
      <w:r w:rsidRPr="00EA63C5">
        <w:rPr>
          <w:sz w:val="20"/>
          <w:lang w:val="fr-CA"/>
        </w:rPr>
        <w:t>Apotex</w:t>
      </w:r>
      <w:proofErr w:type="spellEnd"/>
      <w:r w:rsidRPr="00EA63C5">
        <w:rPr>
          <w:sz w:val="20"/>
          <w:lang w:val="fr-CA"/>
        </w:rPr>
        <w:t xml:space="preserve"> ») ont demandé au ministre de la Santé un avis de conformité qui lui permettrait de vendre sa version générique du médicament. </w:t>
      </w:r>
      <w:proofErr w:type="spellStart"/>
      <w:r w:rsidRPr="00EA63C5">
        <w:rPr>
          <w:sz w:val="20"/>
          <w:lang w:val="fr-CA"/>
        </w:rPr>
        <w:t>AstraZeneca</w:t>
      </w:r>
      <w:proofErr w:type="spellEnd"/>
      <w:r w:rsidRPr="00EA63C5">
        <w:rPr>
          <w:sz w:val="20"/>
          <w:lang w:val="fr-CA"/>
        </w:rPr>
        <w:t xml:space="preserve"> a répliqué en présentant une demande d’interdiction en vertu du </w:t>
      </w:r>
      <w:r w:rsidRPr="00EA63C5">
        <w:rPr>
          <w:i/>
          <w:sz w:val="20"/>
          <w:lang w:val="fr-CA"/>
        </w:rPr>
        <w:t>Règlement sur les médicaments brevetés (avis de conformité)</w:t>
      </w:r>
      <w:r w:rsidRPr="00EA63C5">
        <w:rPr>
          <w:sz w:val="20"/>
          <w:lang w:val="fr-CA"/>
        </w:rPr>
        <w:t xml:space="preserve">, DORS/93-133, pour empêcher </w:t>
      </w:r>
      <w:proofErr w:type="spellStart"/>
      <w:r w:rsidRPr="00EA63C5">
        <w:rPr>
          <w:sz w:val="20"/>
          <w:lang w:val="fr-CA"/>
        </w:rPr>
        <w:t>Apotex</w:t>
      </w:r>
      <w:proofErr w:type="spellEnd"/>
      <w:r w:rsidRPr="00EA63C5">
        <w:rPr>
          <w:sz w:val="20"/>
          <w:lang w:val="fr-CA"/>
        </w:rPr>
        <w:t xml:space="preserve"> de percer le marché avant l’expiration du brevet 653. Cette demande a été rejetée en 2010 et </w:t>
      </w:r>
      <w:proofErr w:type="spellStart"/>
      <w:r w:rsidRPr="00EA63C5">
        <w:rPr>
          <w:sz w:val="20"/>
          <w:lang w:val="fr-CA"/>
        </w:rPr>
        <w:t>Apotex</w:t>
      </w:r>
      <w:proofErr w:type="spellEnd"/>
      <w:r w:rsidRPr="00EA63C5">
        <w:rPr>
          <w:sz w:val="20"/>
          <w:lang w:val="fr-CA"/>
        </w:rPr>
        <w:t xml:space="preserve"> a reçu son avis de conformité et s’est mise à vendre sa version générique de l’</w:t>
      </w:r>
      <w:proofErr w:type="spellStart"/>
      <w:r w:rsidRPr="00EA63C5">
        <w:rPr>
          <w:sz w:val="20"/>
          <w:lang w:val="fr-CA"/>
        </w:rPr>
        <w:t>ésoméprazole</w:t>
      </w:r>
      <w:proofErr w:type="spellEnd"/>
      <w:r w:rsidRPr="00EA63C5">
        <w:rPr>
          <w:sz w:val="20"/>
          <w:lang w:val="fr-CA"/>
        </w:rPr>
        <w:t xml:space="preserve">. </w:t>
      </w:r>
      <w:proofErr w:type="spellStart"/>
      <w:r w:rsidRPr="00EA63C5">
        <w:rPr>
          <w:sz w:val="20"/>
          <w:lang w:val="fr-CA"/>
        </w:rPr>
        <w:t>AstraZeneca</w:t>
      </w:r>
      <w:proofErr w:type="spellEnd"/>
      <w:r w:rsidRPr="00EA63C5">
        <w:rPr>
          <w:sz w:val="20"/>
          <w:lang w:val="fr-CA"/>
        </w:rPr>
        <w:t xml:space="preserve"> a poursuivi </w:t>
      </w:r>
      <w:proofErr w:type="spellStart"/>
      <w:r w:rsidRPr="00EA63C5">
        <w:rPr>
          <w:sz w:val="20"/>
          <w:lang w:val="fr-CA"/>
        </w:rPr>
        <w:t>Apotex</w:t>
      </w:r>
      <w:proofErr w:type="spellEnd"/>
      <w:r w:rsidRPr="00EA63C5">
        <w:rPr>
          <w:sz w:val="20"/>
          <w:lang w:val="fr-CA"/>
        </w:rPr>
        <w:t xml:space="preserve"> pour contrefaçon de brevet. </w:t>
      </w:r>
      <w:proofErr w:type="spellStart"/>
      <w:r w:rsidRPr="00EA63C5">
        <w:rPr>
          <w:sz w:val="20"/>
          <w:lang w:val="fr-CA"/>
        </w:rPr>
        <w:t>Apotex</w:t>
      </w:r>
      <w:proofErr w:type="spellEnd"/>
      <w:r w:rsidRPr="00EA63C5">
        <w:rPr>
          <w:sz w:val="20"/>
          <w:lang w:val="fr-CA"/>
        </w:rPr>
        <w:t xml:space="preserve"> a déposé une demande reconventionnelle visant à faire invalider le brevet 653 pour plusieurs motifs.</w:t>
      </w:r>
    </w:p>
    <w:p w:rsidR="005E7D40" w:rsidRPr="00EA63C5" w:rsidRDefault="005E7D40" w:rsidP="005E7D40">
      <w:pPr>
        <w:widowControl w:val="0"/>
        <w:outlineLvl w:val="0"/>
        <w:rPr>
          <w:sz w:val="20"/>
          <w:lang w:val="fr-CA"/>
        </w:rPr>
      </w:pPr>
    </w:p>
    <w:p w:rsidR="005E7D40" w:rsidRPr="00EA63C5" w:rsidRDefault="007F6DC5">
      <w:pPr>
        <w:rPr>
          <w:sz w:val="20"/>
          <w:szCs w:val="20"/>
          <w:lang w:val="fr-CA"/>
        </w:rPr>
      </w:pPr>
      <w:r>
        <w:rPr>
          <w:sz w:val="20"/>
          <w:szCs w:val="20"/>
          <w:lang w:val="fr-CA"/>
        </w:rPr>
        <w:pict>
          <v:rect id="_x0000_i1113" style="width:2in;height:1pt" o:hrpct="0" o:hralign="center" o:hrstd="t" o:hrnoshade="t" o:hr="t" fillcolor="black [3213]" stroked="f"/>
        </w:pict>
      </w:r>
    </w:p>
    <w:p w:rsidR="005E7D40" w:rsidRPr="00EA63C5" w:rsidRDefault="005E7D40">
      <w:pPr>
        <w:rPr>
          <w:sz w:val="20"/>
          <w:szCs w:val="20"/>
          <w:lang w:val="fr-CA"/>
        </w:rPr>
      </w:pPr>
    </w:p>
    <w:p w:rsidR="005E7D40" w:rsidRPr="00EA63C5" w:rsidRDefault="005E7D40">
      <w:pPr>
        <w:rPr>
          <w:sz w:val="20"/>
          <w:szCs w:val="20"/>
          <w:lang w:val="fr-CA"/>
        </w:rPr>
      </w:pPr>
      <w:r w:rsidRPr="00EA63C5">
        <w:rPr>
          <w:sz w:val="20"/>
          <w:szCs w:val="20"/>
          <w:lang w:val="fr-CA"/>
        </w:rPr>
        <w:br w:type="page"/>
      </w: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20"/>
        <w:jc w:val="both"/>
        <w:rPr>
          <w:sz w:val="20"/>
          <w:szCs w:val="20"/>
        </w:rPr>
      </w:pPr>
      <w:r w:rsidRPr="00EA63C5">
        <w:rPr>
          <w:b/>
          <w:sz w:val="20"/>
          <w:szCs w:val="20"/>
        </w:rPr>
        <w:fldChar w:fldCharType="begin"/>
      </w:r>
      <w:r w:rsidRPr="00EA63C5">
        <w:rPr>
          <w:b/>
          <w:sz w:val="20"/>
          <w:szCs w:val="20"/>
        </w:rPr>
        <w:instrText xml:space="preserve"> SEQ CHAPTER \h \r 1</w:instrText>
      </w:r>
      <w:r w:rsidRPr="00EA63C5">
        <w:rPr>
          <w:b/>
          <w:sz w:val="20"/>
          <w:szCs w:val="20"/>
        </w:rPr>
        <w:fldChar w:fldCharType="end"/>
      </w:r>
      <w:r w:rsidRPr="00EA63C5">
        <w:rPr>
          <w:b/>
          <w:sz w:val="20"/>
          <w:szCs w:val="20"/>
        </w:rPr>
        <w:t>36583</w:t>
      </w:r>
      <w:r w:rsidRPr="00EA63C5">
        <w:rPr>
          <w:sz w:val="20"/>
          <w:szCs w:val="20"/>
        </w:rPr>
        <w:tab/>
      </w:r>
      <w:r w:rsidRPr="00EA63C5">
        <w:rPr>
          <w:b/>
          <w:i/>
          <w:sz w:val="20"/>
          <w:szCs w:val="20"/>
        </w:rPr>
        <w:t xml:space="preserve">Sidney Green v. Law Society of Manitoba </w:t>
      </w:r>
      <w:r w:rsidRPr="00EA63C5">
        <w:rPr>
          <w:sz w:val="20"/>
          <w:szCs w:val="20"/>
        </w:rPr>
        <w:t>(Manitoba) (Civil) (By leave)</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sz w:val="20"/>
          <w:szCs w:val="20"/>
        </w:rPr>
        <w:t xml:space="preserve">Law of professions </w:t>
      </w:r>
      <w:r w:rsidR="009849E0">
        <w:rPr>
          <w:sz w:val="20"/>
          <w:szCs w:val="20"/>
        </w:rPr>
        <w:t>-</w:t>
      </w:r>
      <w:r w:rsidRPr="00EA63C5">
        <w:rPr>
          <w:sz w:val="20"/>
          <w:szCs w:val="20"/>
        </w:rPr>
        <w:t xml:space="preserve"> Barristers and solicitors </w:t>
      </w:r>
      <w:r w:rsidR="009849E0">
        <w:rPr>
          <w:sz w:val="20"/>
          <w:szCs w:val="20"/>
        </w:rPr>
        <w:t>-</w:t>
      </w:r>
      <w:r w:rsidRPr="00EA63C5">
        <w:rPr>
          <w:sz w:val="20"/>
          <w:szCs w:val="20"/>
        </w:rPr>
        <w:t xml:space="preserve"> Discipline </w:t>
      </w:r>
      <w:r w:rsidR="009849E0">
        <w:rPr>
          <w:sz w:val="20"/>
          <w:szCs w:val="20"/>
        </w:rPr>
        <w:t>-</w:t>
      </w:r>
      <w:r w:rsidRPr="00EA63C5">
        <w:rPr>
          <w:sz w:val="20"/>
          <w:szCs w:val="20"/>
        </w:rPr>
        <w:t xml:space="preserve"> Appellant lawyer challenging validity of Law Society mandatory continuing professional development regulations and administrative suspension sanction </w:t>
      </w:r>
      <w:r w:rsidR="009849E0">
        <w:rPr>
          <w:sz w:val="20"/>
          <w:szCs w:val="20"/>
        </w:rPr>
        <w:t>-</w:t>
      </w:r>
      <w:r w:rsidRPr="00EA63C5">
        <w:rPr>
          <w:sz w:val="20"/>
          <w:szCs w:val="20"/>
        </w:rPr>
        <w:t xml:space="preserve"> Do the Rules of the Law Society, requiring attendance at and recording of the necessary hours of continuing professional development, be enforced by suspension when the </w:t>
      </w:r>
      <w:proofErr w:type="spellStart"/>
      <w:r w:rsidRPr="00EA63C5">
        <w:rPr>
          <w:i/>
          <w:sz w:val="20"/>
          <w:szCs w:val="20"/>
        </w:rPr>
        <w:t>The</w:t>
      </w:r>
      <w:proofErr w:type="spellEnd"/>
      <w:r w:rsidRPr="00EA63C5">
        <w:rPr>
          <w:i/>
          <w:sz w:val="20"/>
          <w:szCs w:val="20"/>
        </w:rPr>
        <w:t xml:space="preserve"> Legal Profession Act</w:t>
      </w:r>
      <w:r w:rsidRPr="00EA63C5">
        <w:rPr>
          <w:sz w:val="20"/>
          <w:szCs w:val="20"/>
        </w:rPr>
        <w:t>, C.C.S.M., c. L107 contains no specific authority for such a suspension?</w:t>
      </w:r>
    </w:p>
    <w:p w:rsidR="00704530" w:rsidRPr="00EA63C5" w:rsidRDefault="00704530" w:rsidP="00704530">
      <w:pPr>
        <w:jc w:val="both"/>
        <w:rPr>
          <w:sz w:val="20"/>
          <w:szCs w:val="20"/>
        </w:rPr>
      </w:pPr>
    </w:p>
    <w:p w:rsidR="00704530" w:rsidRPr="00EA63C5" w:rsidRDefault="00704530" w:rsidP="00704530">
      <w:pPr>
        <w:jc w:val="both"/>
        <w:rPr>
          <w:sz w:val="20"/>
          <w:szCs w:val="20"/>
        </w:rPr>
      </w:pPr>
      <w:r w:rsidRPr="00EA63C5">
        <w:rPr>
          <w:sz w:val="20"/>
          <w:szCs w:val="20"/>
        </w:rPr>
        <w:t xml:space="preserve">Mr. Green is a lawyer, called to the Bar of Manitoba in 1955, who did not comply with the requirement prescribed by the Law Society of Manitoba (“LSM”) to complete a minimum of twelve hours of annual continuing professional development (“CPD”) activities.  He challenged the validity of those rules under which the LSM had suspended his practicing certificate on two grounds.  First, he argued that </w:t>
      </w:r>
      <w:r w:rsidRPr="00EA63C5">
        <w:rPr>
          <w:i/>
          <w:sz w:val="20"/>
          <w:szCs w:val="20"/>
        </w:rPr>
        <w:t>The Legal Profession Act</w:t>
      </w:r>
      <w:r w:rsidRPr="00EA63C5">
        <w:rPr>
          <w:sz w:val="20"/>
          <w:szCs w:val="20"/>
        </w:rPr>
        <w:t xml:space="preserve">, C.C.S.M., c. L107 (“Act”) did not explicitly permit the LSM to enact mandatory CPD rules and to enforce those rules with the imposition of a suspension. Secondly, he argued that the rules violated the principles of natural justice because they gave the LSM authority to impose a suspension without a right of hearing or appeal.  </w:t>
      </w:r>
    </w:p>
    <w:p w:rsidR="00704530" w:rsidRPr="00EA63C5" w:rsidRDefault="00704530" w:rsidP="00704530">
      <w:pPr>
        <w:widowControl w:val="0"/>
        <w:ind w:left="720" w:hanging="735"/>
        <w:rPr>
          <w:sz w:val="20"/>
          <w:szCs w:val="20"/>
        </w:rPr>
      </w:pPr>
    </w:p>
    <w:p w:rsidR="00704530" w:rsidRPr="00EA63C5" w:rsidRDefault="007F6DC5" w:rsidP="00704530">
      <w:pPr>
        <w:widowControl w:val="0"/>
        <w:ind w:left="720" w:hanging="735"/>
        <w:rPr>
          <w:sz w:val="20"/>
          <w:szCs w:val="20"/>
          <w:lang w:val="en-US"/>
        </w:rPr>
      </w:pPr>
      <w:r>
        <w:rPr>
          <w:sz w:val="20"/>
          <w:szCs w:val="20"/>
          <w:lang w:val="fr-CA"/>
        </w:rPr>
        <w:pict>
          <v:rect id="_x0000_i1114" style="width:2in;height:1pt" o:hrpct="0" o:hralign="center" o:hrstd="t" o:hrnoshade="t" o:hr="t" fillcolor="black [3213]" stroked="f"/>
        </w:pict>
      </w:r>
    </w:p>
    <w:p w:rsidR="00704530" w:rsidRPr="00EA63C5" w:rsidRDefault="00704530" w:rsidP="00704530">
      <w:pPr>
        <w:widowControl w:val="0"/>
        <w:ind w:left="720" w:hanging="735"/>
        <w:rPr>
          <w:sz w:val="20"/>
          <w:szCs w:val="20"/>
          <w:lang w:val="en-US"/>
        </w:rPr>
      </w:pPr>
    </w:p>
    <w:p w:rsidR="00704530" w:rsidRPr="00EA63C5" w:rsidRDefault="00704530" w:rsidP="00704530">
      <w:pPr>
        <w:widowControl w:val="0"/>
        <w:ind w:left="720" w:hanging="735"/>
        <w:rPr>
          <w:sz w:val="20"/>
          <w:szCs w:val="20"/>
          <w:lang w:val="en-US"/>
        </w:rPr>
      </w:pPr>
    </w:p>
    <w:p w:rsidR="00704530" w:rsidRPr="00EA63C5" w:rsidRDefault="00704530" w:rsidP="00704530">
      <w:pPr>
        <w:widowControl w:val="0"/>
        <w:ind w:left="720" w:hanging="720"/>
        <w:jc w:val="both"/>
        <w:rPr>
          <w:sz w:val="20"/>
          <w:szCs w:val="20"/>
          <w:lang w:val="fr-CA"/>
        </w:rPr>
      </w:pPr>
      <w:r w:rsidRPr="00EA63C5">
        <w:rPr>
          <w:b/>
          <w:sz w:val="20"/>
          <w:szCs w:val="20"/>
          <w:lang w:val="fr-CA"/>
        </w:rPr>
        <w:fldChar w:fldCharType="begin"/>
      </w:r>
      <w:r w:rsidRPr="00EA63C5">
        <w:rPr>
          <w:b/>
          <w:sz w:val="20"/>
          <w:szCs w:val="20"/>
          <w:lang w:val="fr-CA"/>
        </w:rPr>
        <w:instrText xml:space="preserve"> SEQ CHAPTER \h \r 1</w:instrText>
      </w:r>
      <w:r w:rsidRPr="00EA63C5">
        <w:rPr>
          <w:b/>
          <w:sz w:val="20"/>
          <w:szCs w:val="20"/>
          <w:lang w:val="fr-CA"/>
        </w:rPr>
        <w:fldChar w:fldCharType="end"/>
      </w:r>
      <w:r w:rsidRPr="00EA63C5">
        <w:rPr>
          <w:b/>
          <w:sz w:val="20"/>
          <w:szCs w:val="20"/>
          <w:lang w:val="fr-CA"/>
        </w:rPr>
        <w:t>36583</w:t>
      </w:r>
      <w:r w:rsidRPr="00EA63C5">
        <w:rPr>
          <w:sz w:val="20"/>
          <w:szCs w:val="20"/>
          <w:lang w:val="fr-CA"/>
        </w:rPr>
        <w:tab/>
      </w:r>
      <w:r w:rsidRPr="00EA63C5">
        <w:rPr>
          <w:b/>
          <w:i/>
          <w:sz w:val="20"/>
          <w:szCs w:val="20"/>
          <w:lang w:val="fr-CA"/>
        </w:rPr>
        <w:t>Sidney Green c. Société du Barreau du Manitoba</w:t>
      </w:r>
      <w:r w:rsidRPr="00EA63C5">
        <w:rPr>
          <w:b/>
          <w:i/>
          <w:sz w:val="20"/>
          <w:lang w:val="fr-CA"/>
        </w:rPr>
        <w:t xml:space="preserve"> </w:t>
      </w:r>
      <w:r w:rsidRPr="00EA63C5">
        <w:rPr>
          <w:sz w:val="20"/>
          <w:szCs w:val="20"/>
          <w:lang w:val="fr-CA"/>
        </w:rPr>
        <w:t>(Manitoba) (Civile) (Sur autorisation)</w:t>
      </w:r>
    </w:p>
    <w:p w:rsidR="00704530" w:rsidRPr="00EA63C5" w:rsidRDefault="00704530" w:rsidP="00704530">
      <w:pPr>
        <w:widowControl w:val="0"/>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Droit des professions - Avocats et procureurs - Discipline - L’avocat appelant conteste la validité du règlement sur le perfectionnement professionnel permanent obligatoire de la Société du Barreau et la suspension qui lui a été imposée à titre de sanction administrative - La suspension peut-elle être imposée pour assurer l’observation des règles de la Société du Barreau, qui imposent l’obligation d’assister à un nombre d’heures prescrit de perfectionnement professionnel permanent et de consigner ces heures, alors que la </w:t>
      </w:r>
      <w:r w:rsidRPr="00EA63C5">
        <w:rPr>
          <w:i/>
          <w:sz w:val="20"/>
          <w:szCs w:val="20"/>
          <w:lang w:val="fr-CA"/>
        </w:rPr>
        <w:t>Loi sur la profession d’avocat</w:t>
      </w:r>
      <w:r w:rsidRPr="00EA63C5">
        <w:rPr>
          <w:sz w:val="20"/>
          <w:szCs w:val="20"/>
          <w:lang w:val="fr-CA"/>
        </w:rPr>
        <w:t>, C.P.L.M., ch. L107, ne prévoit pas expressément le pouvoir d’imposer une telle sanction?</w:t>
      </w:r>
    </w:p>
    <w:p w:rsidR="00704530" w:rsidRPr="00EA63C5" w:rsidRDefault="00704530" w:rsidP="00704530">
      <w:pPr>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Maître Green est un avocat, admis au Barreau du Manitoba en 1955, qui ne s’est pas conformé à l’obligation prescrite par la Société du Barreau du Manitoba (« SBM ») d’effectuer annuellement au moins douze heures d’activités de perfectionnement professionnel permanent (« PPP »). Il a contesté la validité de ces règles en vertu desquelles la SBM avait suspendu son certificat d’exercice, invoquant deux motifs. Premièrement, il a plaidé que </w:t>
      </w:r>
      <w:r w:rsidRPr="00EA63C5">
        <w:rPr>
          <w:i/>
          <w:sz w:val="20"/>
          <w:szCs w:val="20"/>
          <w:lang w:val="fr-CA"/>
        </w:rPr>
        <w:t>Loi sur la profession d’avocat</w:t>
      </w:r>
      <w:r w:rsidRPr="00EA63C5">
        <w:rPr>
          <w:sz w:val="20"/>
          <w:szCs w:val="20"/>
          <w:lang w:val="fr-CA"/>
        </w:rPr>
        <w:t>, C.P.L.M., ch. L107 ne permettait pas expressément à la SBM d’adopter des règles de PPP obligatoire et de faire respecter ces règles par l’imposition d’une suspension. Deuxièmement, il a plaidé que les règles violaient les principes de justice naturelle, puisqu’elles donnaient à la SBM le pouvoir d’imposer une suspension sans droit d’audience ou d’appel.</w:t>
      </w:r>
    </w:p>
    <w:p w:rsidR="00704530" w:rsidRPr="00EA63C5" w:rsidRDefault="00704530" w:rsidP="00704530">
      <w:pPr>
        <w:widowControl w:val="0"/>
        <w:ind w:left="720" w:hanging="735"/>
        <w:rPr>
          <w:sz w:val="20"/>
          <w:szCs w:val="20"/>
          <w:lang w:val="fr-CA"/>
        </w:rPr>
      </w:pPr>
    </w:p>
    <w:p w:rsidR="00704530" w:rsidRPr="00EA63C5" w:rsidRDefault="007F6DC5" w:rsidP="00704530">
      <w:pPr>
        <w:widowControl w:val="0"/>
        <w:ind w:left="720" w:hanging="735"/>
        <w:rPr>
          <w:sz w:val="20"/>
          <w:szCs w:val="20"/>
          <w:lang w:val="fr-CA"/>
        </w:rPr>
      </w:pPr>
      <w:r>
        <w:rPr>
          <w:sz w:val="20"/>
          <w:szCs w:val="20"/>
          <w:lang w:val="fr-CA"/>
        </w:rPr>
        <w:pict>
          <v:rect id="_x0000_i1115" style="width:2in;height:1pt" o:hrpct="0" o:hralign="center" o:hrstd="t" o:hrnoshade="t" o:hr="t" fillcolor="black [3213]" stroked="f"/>
        </w:pict>
      </w:r>
    </w:p>
    <w:p w:rsidR="00704530" w:rsidRPr="00EA63C5" w:rsidRDefault="00704530" w:rsidP="00704530">
      <w:pPr>
        <w:widowControl w:val="0"/>
        <w:ind w:left="720" w:hanging="735"/>
        <w:rPr>
          <w:sz w:val="20"/>
          <w:szCs w:val="20"/>
          <w:lang w:val="fr-CA"/>
        </w:rPr>
      </w:pPr>
    </w:p>
    <w:p w:rsidR="00704530" w:rsidRPr="00EA63C5" w:rsidRDefault="00704530" w:rsidP="00704530">
      <w:pPr>
        <w:widowControl w:val="0"/>
        <w:ind w:left="720" w:hanging="735"/>
        <w:rPr>
          <w:sz w:val="20"/>
          <w:szCs w:val="20"/>
          <w:lang w:val="fr-CA"/>
        </w:rPr>
      </w:pPr>
    </w:p>
    <w:p w:rsidR="00704530" w:rsidRPr="00EA63C5" w:rsidRDefault="00704530">
      <w:pPr>
        <w:rPr>
          <w:sz w:val="20"/>
          <w:szCs w:val="20"/>
          <w:lang w:val="fr-CA"/>
        </w:rPr>
      </w:pPr>
      <w:r w:rsidRPr="00EA63C5">
        <w:rPr>
          <w:sz w:val="20"/>
          <w:szCs w:val="20"/>
          <w:lang w:val="fr-CA"/>
        </w:rPr>
        <w:br w:type="page"/>
      </w:r>
    </w:p>
    <w:p w:rsidR="00704530" w:rsidRPr="00EA63C5" w:rsidRDefault="00704530" w:rsidP="00782AE4">
      <w:pPr>
        <w:jc w:val="both"/>
        <w:rPr>
          <w:sz w:val="20"/>
          <w:szCs w:val="20"/>
          <w:lang w:val="fr-CA"/>
        </w:rPr>
      </w:pPr>
    </w:p>
    <w:p w:rsidR="00704530" w:rsidRPr="00EA63C5" w:rsidRDefault="00704530" w:rsidP="00704530">
      <w:pPr>
        <w:pStyle w:val="SCCLsocParty"/>
        <w:ind w:left="713" w:hanging="735"/>
        <w:rPr>
          <w:sz w:val="20"/>
          <w:szCs w:val="20"/>
        </w:rPr>
      </w:pPr>
      <w:r w:rsidRPr="00EA63C5">
        <w:rPr>
          <w:sz w:val="20"/>
          <w:szCs w:val="20"/>
        </w:rPr>
        <w:fldChar w:fldCharType="begin"/>
      </w:r>
      <w:r w:rsidRPr="00EA63C5">
        <w:rPr>
          <w:sz w:val="20"/>
          <w:szCs w:val="20"/>
        </w:rPr>
        <w:instrText xml:space="preserve"> SEQ CHAPTER \h \r 1</w:instrText>
      </w:r>
      <w:r w:rsidRPr="00EA63C5">
        <w:rPr>
          <w:sz w:val="20"/>
          <w:szCs w:val="20"/>
        </w:rPr>
        <w:fldChar w:fldCharType="end"/>
      </w:r>
      <w:r w:rsidRPr="00EA63C5">
        <w:rPr>
          <w:sz w:val="20"/>
          <w:szCs w:val="20"/>
        </w:rPr>
        <w:t>36500</w:t>
      </w:r>
      <w:r w:rsidRPr="00EA63C5">
        <w:rPr>
          <w:sz w:val="20"/>
          <w:szCs w:val="20"/>
        </w:rPr>
        <w:tab/>
      </w:r>
      <w:r w:rsidRPr="00EA63C5">
        <w:rPr>
          <w:i/>
          <w:sz w:val="20"/>
          <w:szCs w:val="20"/>
        </w:rPr>
        <w:t>British Columbia Teachers' Federation, on behalf of all members of the British Columbia Teachers' Federation v. Her Majesty the Queen in Right of the Province of British Columbia</w:t>
      </w:r>
    </w:p>
    <w:p w:rsidR="00704530" w:rsidRPr="00EA63C5" w:rsidRDefault="00704530" w:rsidP="00704530">
      <w:pPr>
        <w:widowControl w:val="0"/>
        <w:ind w:firstLine="713"/>
        <w:jc w:val="both"/>
        <w:rPr>
          <w:b/>
          <w:i/>
          <w:sz w:val="20"/>
          <w:szCs w:val="20"/>
        </w:rPr>
      </w:pPr>
      <w:r w:rsidRPr="00EA63C5">
        <w:rPr>
          <w:sz w:val="20"/>
          <w:szCs w:val="20"/>
        </w:rPr>
        <w:t>(B.C.) (Civil) (By Leave)</w:t>
      </w:r>
      <w:r w:rsidRPr="00EA63C5">
        <w:rPr>
          <w:b/>
          <w:i/>
          <w:sz w:val="20"/>
          <w:szCs w:val="20"/>
        </w:rPr>
        <w:t xml:space="preserve"> </w:t>
      </w:r>
    </w:p>
    <w:p w:rsidR="00704530" w:rsidRPr="00EA63C5" w:rsidRDefault="00704530" w:rsidP="00704530">
      <w:pPr>
        <w:widowControl w:val="0"/>
        <w:ind w:firstLine="713"/>
        <w:jc w:val="both"/>
        <w:rPr>
          <w:sz w:val="20"/>
          <w:szCs w:val="20"/>
        </w:rPr>
      </w:pPr>
      <w:r w:rsidRPr="00EA63C5">
        <w:rPr>
          <w:sz w:val="20"/>
          <w:szCs w:val="20"/>
        </w:rPr>
        <w:t>(Sealing order)</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i/>
          <w:sz w:val="20"/>
          <w:szCs w:val="20"/>
        </w:rPr>
        <w:t>Charter of Rights</w:t>
      </w:r>
      <w:r w:rsidRPr="00EA63C5">
        <w:rPr>
          <w:sz w:val="20"/>
          <w:szCs w:val="20"/>
        </w:rPr>
        <w:t xml:space="preserve"> - Constitutional law - Freedom of association - Right to collective bargaining - Prohibition of collective bargaining on certain topic - Law declared unconstitutional and invalid - The provincial government held pre-legislative consultation with the Federation on the remedial legislation - Do sections 8, 13 and 24 of the Education Improvement Act, S.B.C. 2012, c. 3 infringe s. 2(d) of the </w:t>
      </w:r>
      <w:r w:rsidRPr="00EA63C5">
        <w:rPr>
          <w:i/>
          <w:sz w:val="20"/>
          <w:szCs w:val="20"/>
        </w:rPr>
        <w:t>Canadian Charter of Rights and Freedoms</w:t>
      </w:r>
      <w:r w:rsidRPr="00EA63C5">
        <w:rPr>
          <w:sz w:val="20"/>
          <w:szCs w:val="20"/>
        </w:rPr>
        <w:t xml:space="preserve">? -  If so, are the infringements reasonable limits prescribed by law as can be demonstrably justified in a free and democratic society under s. 1 of the </w:t>
      </w:r>
      <w:r w:rsidRPr="00EA63C5">
        <w:rPr>
          <w:i/>
          <w:sz w:val="20"/>
          <w:szCs w:val="20"/>
        </w:rPr>
        <w:t>Canadian Charter of Rights and Freedoms</w:t>
      </w:r>
      <w:r w:rsidRPr="00EA63C5">
        <w:rPr>
          <w:sz w:val="20"/>
          <w:szCs w:val="20"/>
        </w:rPr>
        <w:t xml:space="preserve">? - </w:t>
      </w:r>
      <w:r w:rsidRPr="00EA63C5">
        <w:rPr>
          <w:i/>
          <w:sz w:val="20"/>
          <w:szCs w:val="20"/>
        </w:rPr>
        <w:t>Education Improvement Act</w:t>
      </w:r>
      <w:r w:rsidRPr="00EA63C5">
        <w:rPr>
          <w:sz w:val="20"/>
          <w:szCs w:val="20"/>
        </w:rPr>
        <w:t xml:space="preserve">, S.B.C. 2012, c.3 - </w:t>
      </w:r>
      <w:r w:rsidRPr="00EA63C5">
        <w:rPr>
          <w:i/>
          <w:sz w:val="20"/>
          <w:szCs w:val="20"/>
        </w:rPr>
        <w:t>Canadian Charter of Rights and Freedoms</w:t>
      </w:r>
      <w:r w:rsidRPr="00EA63C5">
        <w:rPr>
          <w:sz w:val="20"/>
          <w:szCs w:val="20"/>
        </w:rPr>
        <w:t>, ss. 1, 2</w:t>
      </w:r>
      <w:r w:rsidRPr="00EA63C5">
        <w:rPr>
          <w:i/>
          <w:sz w:val="20"/>
          <w:szCs w:val="20"/>
        </w:rPr>
        <w:t>(d)</w:t>
      </w:r>
    </w:p>
    <w:p w:rsidR="00704530" w:rsidRPr="00EA63C5" w:rsidRDefault="00704530" w:rsidP="00704530">
      <w:pPr>
        <w:widowControl w:val="0"/>
        <w:jc w:val="both"/>
        <w:rPr>
          <w:sz w:val="20"/>
          <w:szCs w:val="20"/>
        </w:rPr>
      </w:pPr>
    </w:p>
    <w:p w:rsidR="00704530" w:rsidRPr="00EA63C5" w:rsidRDefault="00704530" w:rsidP="00704530">
      <w:pPr>
        <w:jc w:val="both"/>
        <w:rPr>
          <w:sz w:val="20"/>
          <w:szCs w:val="20"/>
        </w:rPr>
      </w:pPr>
      <w:r w:rsidRPr="00EA63C5">
        <w:rPr>
          <w:sz w:val="20"/>
          <w:szCs w:val="20"/>
        </w:rPr>
        <w:t xml:space="preserve">In 2002, the Province of British Columbia (the “Province”) passed statutes dealing with collective agreements for public sector workers in fields of education, namely the </w:t>
      </w:r>
      <w:r w:rsidRPr="00EA63C5">
        <w:rPr>
          <w:i/>
          <w:sz w:val="20"/>
          <w:szCs w:val="20"/>
        </w:rPr>
        <w:t>Public Education Flexibility and Choice Act</w:t>
      </w:r>
      <w:r w:rsidRPr="00EA63C5">
        <w:rPr>
          <w:sz w:val="20"/>
          <w:szCs w:val="20"/>
        </w:rPr>
        <w:t xml:space="preserve">, S.B.C. 2002 c. 3 and the </w:t>
      </w:r>
      <w:r w:rsidRPr="00EA63C5">
        <w:rPr>
          <w:i/>
          <w:sz w:val="20"/>
          <w:szCs w:val="20"/>
        </w:rPr>
        <w:t>Education Services Collective Agreement Amendment Act</w:t>
      </w:r>
      <w:r w:rsidRPr="00EA63C5">
        <w:rPr>
          <w:sz w:val="20"/>
          <w:szCs w:val="20"/>
        </w:rPr>
        <w:t xml:space="preserve">, 2004, S.B.C. 2004, c.16 (also referred to as Bill 27 and Bill 28) and health services (also referred to as Bill 29). The Bills deleted collective agreement terms and prohibited future bargaining on certain issues. A challenge to the constitutionality of Bill 27 and 28 brought by appellant, the British Columbia Teachers’ Federation (the “BCTF”) was held in abeyance while Bill 29 made its way to the Supreme Court in the decision  </w:t>
      </w:r>
      <w:r w:rsidRPr="00EA63C5">
        <w:rPr>
          <w:i/>
          <w:sz w:val="20"/>
          <w:szCs w:val="20"/>
        </w:rPr>
        <w:t>Health Services and Support - Facilities Subsector Bargaining Assn. v. British Columbia</w:t>
      </w:r>
      <w:r w:rsidRPr="00EA63C5">
        <w:rPr>
          <w:sz w:val="20"/>
          <w:szCs w:val="20"/>
        </w:rPr>
        <w:t>, 2007 SCC 27.</w:t>
      </w:r>
    </w:p>
    <w:p w:rsidR="00704530" w:rsidRPr="00EA63C5" w:rsidRDefault="00704530" w:rsidP="00704530">
      <w:pPr>
        <w:jc w:val="both"/>
        <w:rPr>
          <w:sz w:val="20"/>
          <w:szCs w:val="20"/>
        </w:rPr>
      </w:pPr>
    </w:p>
    <w:p w:rsidR="00704530" w:rsidRPr="00EA63C5" w:rsidRDefault="00704530" w:rsidP="00704530">
      <w:pPr>
        <w:jc w:val="both"/>
        <w:rPr>
          <w:sz w:val="20"/>
          <w:szCs w:val="20"/>
        </w:rPr>
      </w:pPr>
      <w:r w:rsidRPr="00EA63C5">
        <w:rPr>
          <w:sz w:val="20"/>
          <w:szCs w:val="20"/>
        </w:rPr>
        <w:t xml:space="preserve">In 2011, the Supreme Court of British Columbia found that the statutes were unconstitutional because they infringed s. 2 (d) of the </w:t>
      </w:r>
      <w:r w:rsidRPr="00EA63C5">
        <w:rPr>
          <w:i/>
          <w:sz w:val="20"/>
          <w:szCs w:val="20"/>
        </w:rPr>
        <w:t xml:space="preserve">Charter </w:t>
      </w:r>
      <w:r w:rsidRPr="00EA63C5">
        <w:rPr>
          <w:sz w:val="20"/>
          <w:szCs w:val="20"/>
        </w:rPr>
        <w:t>and that</w:t>
      </w:r>
      <w:r w:rsidRPr="00EA63C5">
        <w:rPr>
          <w:i/>
          <w:sz w:val="20"/>
          <w:szCs w:val="20"/>
        </w:rPr>
        <w:t xml:space="preserve"> </w:t>
      </w:r>
      <w:r w:rsidRPr="00EA63C5">
        <w:rPr>
          <w:sz w:val="20"/>
          <w:szCs w:val="20"/>
        </w:rPr>
        <w:t xml:space="preserve">the infringement was not justified under s. 1 of the </w:t>
      </w:r>
      <w:r w:rsidRPr="00EA63C5">
        <w:rPr>
          <w:i/>
          <w:sz w:val="20"/>
          <w:szCs w:val="20"/>
        </w:rPr>
        <w:t xml:space="preserve">Charter. </w:t>
      </w:r>
      <w:r w:rsidRPr="00EA63C5">
        <w:rPr>
          <w:sz w:val="20"/>
          <w:szCs w:val="20"/>
        </w:rPr>
        <w:t xml:space="preserve">The declaration of invalidity was suspended the order for 12 months to grant the Province time to address the decision. </w:t>
      </w:r>
    </w:p>
    <w:p w:rsidR="00704530" w:rsidRPr="00EA63C5" w:rsidRDefault="00704530" w:rsidP="00704530">
      <w:pPr>
        <w:jc w:val="both"/>
        <w:rPr>
          <w:sz w:val="20"/>
          <w:szCs w:val="20"/>
        </w:rPr>
      </w:pPr>
    </w:p>
    <w:p w:rsidR="00704530" w:rsidRPr="00EA63C5" w:rsidRDefault="00704530" w:rsidP="00704530">
      <w:pPr>
        <w:jc w:val="both"/>
        <w:rPr>
          <w:sz w:val="20"/>
          <w:szCs w:val="20"/>
        </w:rPr>
      </w:pPr>
      <w:r w:rsidRPr="00EA63C5">
        <w:rPr>
          <w:sz w:val="20"/>
          <w:szCs w:val="20"/>
        </w:rPr>
        <w:t>There were simultaneous consultations between the Province and the BCTF, and collective bargaining between the BCTF and the British Columbia Public School Employers’ Association (“BCPSEA”), the exclusive employer bargaining agent for the Province of British Columbia. The Province was following a “net zero mandate”, under which any increase in compensation had to be balanced by savings in other areas of the collective agreement, making the conclusion of a collective agreement unsuccessful. The Province declared an impasse.</w:t>
      </w:r>
    </w:p>
    <w:p w:rsidR="00704530" w:rsidRPr="00EA63C5" w:rsidRDefault="00704530" w:rsidP="00704530">
      <w:pPr>
        <w:jc w:val="both"/>
        <w:rPr>
          <w:sz w:val="20"/>
          <w:szCs w:val="20"/>
        </w:rPr>
      </w:pPr>
    </w:p>
    <w:p w:rsidR="00704530" w:rsidRPr="00EA63C5" w:rsidRDefault="00704530" w:rsidP="00704530">
      <w:pPr>
        <w:jc w:val="both"/>
        <w:rPr>
          <w:sz w:val="20"/>
          <w:szCs w:val="20"/>
        </w:rPr>
      </w:pPr>
      <w:r w:rsidRPr="00EA63C5">
        <w:rPr>
          <w:sz w:val="20"/>
          <w:szCs w:val="20"/>
        </w:rPr>
        <w:t xml:space="preserve">Upon expiration of the suspension order, the Province enacted a new statute, </w:t>
      </w:r>
      <w:r w:rsidRPr="00EA63C5">
        <w:rPr>
          <w:i/>
          <w:sz w:val="20"/>
          <w:szCs w:val="20"/>
        </w:rPr>
        <w:t>The Education Improvement Act</w:t>
      </w:r>
      <w:r w:rsidRPr="00EA63C5">
        <w:rPr>
          <w:sz w:val="20"/>
          <w:szCs w:val="20"/>
        </w:rPr>
        <w:t xml:space="preserve">, S.B.C. 2012, c. 3, also referred to as “Bill 22”. The BCTF brought an application to strike down Bill 22 and for additional remedies, namely, </w:t>
      </w:r>
      <w:r w:rsidRPr="00EA63C5">
        <w:rPr>
          <w:i/>
          <w:sz w:val="20"/>
          <w:szCs w:val="20"/>
        </w:rPr>
        <w:t>Charter</w:t>
      </w:r>
      <w:r w:rsidRPr="00EA63C5">
        <w:rPr>
          <w:sz w:val="20"/>
          <w:szCs w:val="20"/>
        </w:rPr>
        <w:t xml:space="preserve"> damages. </w:t>
      </w:r>
    </w:p>
    <w:p w:rsidR="00704530" w:rsidRPr="00EA63C5" w:rsidRDefault="00704530" w:rsidP="00782AE4">
      <w:pPr>
        <w:jc w:val="both"/>
        <w:rPr>
          <w:sz w:val="20"/>
          <w:szCs w:val="20"/>
        </w:rPr>
      </w:pPr>
    </w:p>
    <w:p w:rsidR="00704530" w:rsidRPr="00EA63C5" w:rsidRDefault="007F6DC5" w:rsidP="00782AE4">
      <w:pPr>
        <w:jc w:val="both"/>
        <w:rPr>
          <w:sz w:val="20"/>
          <w:szCs w:val="20"/>
          <w:lang w:val="en-US"/>
        </w:rPr>
      </w:pPr>
      <w:r>
        <w:rPr>
          <w:sz w:val="20"/>
          <w:szCs w:val="20"/>
          <w:lang w:val="fr-CA"/>
        </w:rPr>
        <w:pict>
          <v:rect id="_x0000_i1116" style="width:2in;height:1pt" o:hrpct="0" o:hralign="center" o:hrstd="t" o:hrnoshade="t" o:hr="t" fillcolor="black [3213]" stroked="f"/>
        </w:pict>
      </w:r>
    </w:p>
    <w:p w:rsidR="00704530" w:rsidRPr="00EA63C5" w:rsidRDefault="00704530" w:rsidP="00782AE4">
      <w:pPr>
        <w:jc w:val="both"/>
        <w:rPr>
          <w:sz w:val="20"/>
          <w:szCs w:val="20"/>
          <w:lang w:val="en-US"/>
        </w:rPr>
      </w:pPr>
    </w:p>
    <w:p w:rsidR="00704530" w:rsidRPr="00EA63C5" w:rsidRDefault="00704530">
      <w:pPr>
        <w:rPr>
          <w:sz w:val="20"/>
          <w:szCs w:val="20"/>
          <w:lang w:val="en-US"/>
        </w:rPr>
      </w:pPr>
      <w:r w:rsidRPr="00EA63C5">
        <w:rPr>
          <w:sz w:val="20"/>
          <w:szCs w:val="20"/>
          <w:lang w:val="en-US"/>
        </w:rPr>
        <w:br w:type="page"/>
      </w:r>
    </w:p>
    <w:p w:rsidR="00704530" w:rsidRPr="00EA63C5" w:rsidRDefault="00704530" w:rsidP="00782AE4">
      <w:pPr>
        <w:jc w:val="both"/>
        <w:rPr>
          <w:sz w:val="20"/>
          <w:szCs w:val="20"/>
          <w:lang w:val="en-US"/>
        </w:rPr>
      </w:pPr>
    </w:p>
    <w:p w:rsidR="00704530" w:rsidRPr="00EA63C5" w:rsidRDefault="00704530" w:rsidP="00704530">
      <w:pPr>
        <w:pStyle w:val="SCCLsocParty"/>
        <w:ind w:left="720" w:hanging="720"/>
        <w:rPr>
          <w:sz w:val="20"/>
          <w:szCs w:val="20"/>
          <w:lang w:val="fr-CA"/>
        </w:rPr>
      </w:pPr>
      <w:r w:rsidRPr="00EA63C5">
        <w:rPr>
          <w:sz w:val="20"/>
          <w:szCs w:val="20"/>
          <w:lang w:val="fr-CA"/>
        </w:rPr>
        <w:fldChar w:fldCharType="begin"/>
      </w:r>
      <w:r w:rsidRPr="00EA63C5">
        <w:rPr>
          <w:sz w:val="20"/>
          <w:szCs w:val="20"/>
          <w:lang w:val="fr-CA"/>
        </w:rPr>
        <w:instrText xml:space="preserve"> SEQ CHAPTER \h \r 1</w:instrText>
      </w:r>
      <w:r w:rsidRPr="00EA63C5">
        <w:rPr>
          <w:sz w:val="20"/>
          <w:szCs w:val="20"/>
          <w:lang w:val="fr-CA"/>
        </w:rPr>
        <w:fldChar w:fldCharType="end"/>
      </w:r>
      <w:r w:rsidRPr="00EA63C5">
        <w:rPr>
          <w:sz w:val="20"/>
          <w:szCs w:val="20"/>
          <w:lang w:val="fr-CA"/>
        </w:rPr>
        <w:t>36500</w:t>
      </w:r>
      <w:r w:rsidRPr="00EA63C5">
        <w:rPr>
          <w:sz w:val="20"/>
          <w:szCs w:val="20"/>
          <w:lang w:val="fr-CA"/>
        </w:rPr>
        <w:tab/>
      </w:r>
      <w:r w:rsidRPr="00EA63C5">
        <w:rPr>
          <w:i/>
          <w:sz w:val="20"/>
          <w:szCs w:val="20"/>
          <w:lang w:val="fr-CA"/>
        </w:rPr>
        <w:t xml:space="preserve">British Columbia </w:t>
      </w:r>
      <w:proofErr w:type="spellStart"/>
      <w:r w:rsidRPr="00EA63C5">
        <w:rPr>
          <w:i/>
          <w:sz w:val="20"/>
          <w:szCs w:val="20"/>
          <w:lang w:val="fr-CA"/>
        </w:rPr>
        <w:t>Teachers</w:t>
      </w:r>
      <w:proofErr w:type="spellEnd"/>
      <w:r w:rsidRPr="00EA63C5">
        <w:rPr>
          <w:i/>
          <w:sz w:val="20"/>
          <w:szCs w:val="20"/>
          <w:lang w:val="fr-CA"/>
        </w:rPr>
        <w:t xml:space="preserve">’ </w:t>
      </w:r>
      <w:proofErr w:type="spellStart"/>
      <w:r w:rsidRPr="00EA63C5">
        <w:rPr>
          <w:i/>
          <w:sz w:val="20"/>
          <w:szCs w:val="20"/>
          <w:lang w:val="fr-CA"/>
        </w:rPr>
        <w:t>Federation</w:t>
      </w:r>
      <w:proofErr w:type="spellEnd"/>
      <w:r w:rsidRPr="00EA63C5">
        <w:rPr>
          <w:i/>
          <w:sz w:val="20"/>
          <w:szCs w:val="20"/>
          <w:lang w:val="fr-CA"/>
        </w:rPr>
        <w:t xml:space="preserve">, au nom de tous les membres de la British Columbia </w:t>
      </w:r>
      <w:proofErr w:type="spellStart"/>
      <w:r w:rsidRPr="00EA63C5">
        <w:rPr>
          <w:i/>
          <w:sz w:val="20"/>
          <w:szCs w:val="20"/>
          <w:lang w:val="fr-CA"/>
        </w:rPr>
        <w:t>Teachers</w:t>
      </w:r>
      <w:proofErr w:type="spellEnd"/>
      <w:r w:rsidRPr="00EA63C5">
        <w:rPr>
          <w:i/>
          <w:sz w:val="20"/>
          <w:szCs w:val="20"/>
          <w:lang w:val="fr-CA"/>
        </w:rPr>
        <w:t xml:space="preserve">’ </w:t>
      </w:r>
      <w:proofErr w:type="spellStart"/>
      <w:r w:rsidRPr="00EA63C5">
        <w:rPr>
          <w:i/>
          <w:sz w:val="20"/>
          <w:szCs w:val="20"/>
          <w:lang w:val="fr-CA"/>
        </w:rPr>
        <w:t>Federation</w:t>
      </w:r>
      <w:proofErr w:type="spellEnd"/>
      <w:r w:rsidRPr="00EA63C5">
        <w:rPr>
          <w:i/>
          <w:sz w:val="20"/>
          <w:szCs w:val="20"/>
          <w:lang w:val="fr-CA"/>
        </w:rPr>
        <w:t xml:space="preserve"> c. Sa Majesté la Reine du chef de la province de la Colombie-Britannique</w:t>
      </w:r>
    </w:p>
    <w:p w:rsidR="00704530" w:rsidRPr="00EA63C5" w:rsidRDefault="00704530" w:rsidP="00704530">
      <w:pPr>
        <w:widowControl w:val="0"/>
        <w:ind w:firstLine="720"/>
        <w:jc w:val="both"/>
        <w:rPr>
          <w:b/>
          <w:i/>
          <w:sz w:val="20"/>
          <w:szCs w:val="20"/>
          <w:lang w:val="fr-CA"/>
        </w:rPr>
      </w:pPr>
      <w:r w:rsidRPr="00EA63C5">
        <w:rPr>
          <w:sz w:val="20"/>
          <w:szCs w:val="20"/>
          <w:lang w:val="fr-CA"/>
        </w:rPr>
        <w:t>(C.-B.) (Civile) (Sur autorisation)</w:t>
      </w:r>
      <w:r w:rsidRPr="00EA63C5">
        <w:rPr>
          <w:b/>
          <w:i/>
          <w:sz w:val="20"/>
          <w:szCs w:val="20"/>
          <w:lang w:val="fr-CA"/>
        </w:rPr>
        <w:t xml:space="preserve"> </w:t>
      </w:r>
    </w:p>
    <w:p w:rsidR="00704530" w:rsidRPr="00EA63C5" w:rsidRDefault="00704530" w:rsidP="00704530">
      <w:pPr>
        <w:widowControl w:val="0"/>
        <w:ind w:firstLine="720"/>
        <w:jc w:val="both"/>
        <w:rPr>
          <w:sz w:val="20"/>
          <w:szCs w:val="20"/>
          <w:lang w:val="fr-CA"/>
        </w:rPr>
      </w:pPr>
      <w:r w:rsidRPr="00EA63C5">
        <w:rPr>
          <w:sz w:val="20"/>
          <w:szCs w:val="20"/>
          <w:lang w:val="fr-CA"/>
        </w:rPr>
        <w:t>(Ordonnance de mise sous scellés)</w:t>
      </w:r>
    </w:p>
    <w:p w:rsidR="00704530" w:rsidRPr="00EA63C5" w:rsidRDefault="00704530" w:rsidP="00704530">
      <w:pPr>
        <w:widowControl w:val="0"/>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Charte des droits - Droit constitutionnel - Liberté d’association - Droit à la négociation collective - Interdiction de la négociation collective sur certains points - Déclaration d’inconstitutionnalité et d’invalidité d’une loi - Le gouvernement provincial a consulté la fédération sur la mesure législative corrective avant de l’adopter - Les articles 8, 13 et 24 de la </w:t>
      </w:r>
      <w:proofErr w:type="spellStart"/>
      <w:r w:rsidRPr="00EA63C5">
        <w:rPr>
          <w:i/>
          <w:sz w:val="20"/>
          <w:szCs w:val="20"/>
          <w:lang w:val="fr-CA"/>
        </w:rPr>
        <w:t>Education</w:t>
      </w:r>
      <w:proofErr w:type="spellEnd"/>
      <w:r w:rsidRPr="00EA63C5">
        <w:rPr>
          <w:i/>
          <w:sz w:val="20"/>
          <w:szCs w:val="20"/>
          <w:lang w:val="fr-CA"/>
        </w:rPr>
        <w:t xml:space="preserve"> </w:t>
      </w:r>
      <w:proofErr w:type="spellStart"/>
      <w:r w:rsidRPr="00EA63C5">
        <w:rPr>
          <w:i/>
          <w:sz w:val="20"/>
          <w:szCs w:val="20"/>
          <w:lang w:val="fr-CA"/>
        </w:rPr>
        <w:t>Improvement</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S.B.C. 2012, ch. 3 violent-ils l’al. 2d) de la </w:t>
      </w:r>
      <w:r w:rsidRPr="00EA63C5">
        <w:rPr>
          <w:i/>
          <w:sz w:val="20"/>
          <w:szCs w:val="20"/>
          <w:lang w:val="fr-CA"/>
        </w:rPr>
        <w:t>Charte canadienne des droits et libertés</w:t>
      </w:r>
      <w:r w:rsidRPr="00EA63C5">
        <w:rPr>
          <w:sz w:val="20"/>
          <w:szCs w:val="20"/>
          <w:lang w:val="fr-CA"/>
        </w:rPr>
        <w:t xml:space="preserve">? - Dans l’affirmative, s’agit-il de violations constituant des limites raisonnables prescrites par une règle de droit et dont la justification peut se démontrer dans le cadre d’une société libre et démocratique au sens de l’article premier de la </w:t>
      </w:r>
      <w:r w:rsidRPr="00EA63C5">
        <w:rPr>
          <w:i/>
          <w:sz w:val="20"/>
          <w:szCs w:val="20"/>
          <w:lang w:val="fr-CA"/>
        </w:rPr>
        <w:t>Charte canadienne des droits et libertés</w:t>
      </w:r>
      <w:r w:rsidRPr="00EA63C5">
        <w:rPr>
          <w:sz w:val="20"/>
          <w:szCs w:val="20"/>
          <w:lang w:val="fr-CA"/>
        </w:rPr>
        <w:t xml:space="preserve">? - </w:t>
      </w:r>
      <w:proofErr w:type="spellStart"/>
      <w:r w:rsidRPr="00EA63C5">
        <w:rPr>
          <w:i/>
          <w:sz w:val="20"/>
          <w:szCs w:val="20"/>
          <w:lang w:val="fr-CA"/>
        </w:rPr>
        <w:t>Education</w:t>
      </w:r>
      <w:proofErr w:type="spellEnd"/>
      <w:r w:rsidRPr="00EA63C5">
        <w:rPr>
          <w:i/>
          <w:sz w:val="20"/>
          <w:szCs w:val="20"/>
          <w:lang w:val="fr-CA"/>
        </w:rPr>
        <w:t xml:space="preserve"> </w:t>
      </w:r>
      <w:proofErr w:type="spellStart"/>
      <w:r w:rsidRPr="00EA63C5">
        <w:rPr>
          <w:i/>
          <w:sz w:val="20"/>
          <w:szCs w:val="20"/>
          <w:lang w:val="fr-CA"/>
        </w:rPr>
        <w:t>Improvement</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S.B.C. 2012, ch. 3 - </w:t>
      </w:r>
      <w:r w:rsidRPr="00EA63C5">
        <w:rPr>
          <w:i/>
          <w:sz w:val="20"/>
          <w:szCs w:val="20"/>
          <w:lang w:val="fr-CA"/>
        </w:rPr>
        <w:t>Charte canadienne des droits et libertés</w:t>
      </w:r>
      <w:r w:rsidRPr="00EA63C5">
        <w:rPr>
          <w:sz w:val="20"/>
          <w:szCs w:val="20"/>
          <w:lang w:val="fr-CA"/>
        </w:rPr>
        <w:t>, art. 1, 2d)</w:t>
      </w:r>
    </w:p>
    <w:p w:rsidR="00704530" w:rsidRPr="00EA63C5" w:rsidRDefault="00704530" w:rsidP="00704530">
      <w:pPr>
        <w:widowControl w:val="0"/>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En 2002, la Province de la Colombie-Britannique (la « Province ») a adopté des lois portant sur les conventions collectives des employés du secteur public dans les domaines de l’éducation, soit la </w:t>
      </w:r>
      <w:r w:rsidRPr="00EA63C5">
        <w:rPr>
          <w:i/>
          <w:sz w:val="20"/>
          <w:szCs w:val="20"/>
          <w:lang w:val="fr-CA"/>
        </w:rPr>
        <w:t xml:space="preserve">Public </w:t>
      </w:r>
      <w:proofErr w:type="spellStart"/>
      <w:r w:rsidRPr="00EA63C5">
        <w:rPr>
          <w:i/>
          <w:sz w:val="20"/>
          <w:szCs w:val="20"/>
          <w:lang w:val="fr-CA"/>
        </w:rPr>
        <w:t>Education</w:t>
      </w:r>
      <w:proofErr w:type="spellEnd"/>
      <w:r w:rsidRPr="00EA63C5">
        <w:rPr>
          <w:i/>
          <w:sz w:val="20"/>
          <w:szCs w:val="20"/>
          <w:lang w:val="fr-CA"/>
        </w:rPr>
        <w:t xml:space="preserve"> </w:t>
      </w:r>
      <w:proofErr w:type="spellStart"/>
      <w:r w:rsidRPr="00EA63C5">
        <w:rPr>
          <w:i/>
          <w:sz w:val="20"/>
          <w:szCs w:val="20"/>
          <w:lang w:val="fr-CA"/>
        </w:rPr>
        <w:t>Flexibility</w:t>
      </w:r>
      <w:proofErr w:type="spellEnd"/>
      <w:r w:rsidRPr="00EA63C5">
        <w:rPr>
          <w:i/>
          <w:sz w:val="20"/>
          <w:szCs w:val="20"/>
          <w:lang w:val="fr-CA"/>
        </w:rPr>
        <w:t xml:space="preserve"> and </w:t>
      </w:r>
      <w:proofErr w:type="spellStart"/>
      <w:r w:rsidRPr="00EA63C5">
        <w:rPr>
          <w:i/>
          <w:sz w:val="20"/>
          <w:szCs w:val="20"/>
          <w:lang w:val="fr-CA"/>
        </w:rPr>
        <w:t>Choice</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S.B.C. 2002 ch. 3 et l’</w:t>
      </w:r>
      <w:proofErr w:type="spellStart"/>
      <w:r w:rsidRPr="00EA63C5">
        <w:rPr>
          <w:i/>
          <w:sz w:val="20"/>
          <w:szCs w:val="20"/>
          <w:lang w:val="fr-CA"/>
        </w:rPr>
        <w:t>Education</w:t>
      </w:r>
      <w:proofErr w:type="spellEnd"/>
      <w:r w:rsidRPr="00EA63C5">
        <w:rPr>
          <w:i/>
          <w:sz w:val="20"/>
          <w:szCs w:val="20"/>
          <w:lang w:val="fr-CA"/>
        </w:rPr>
        <w:t xml:space="preserve"> Services Collective Agreement </w:t>
      </w:r>
      <w:proofErr w:type="spellStart"/>
      <w:r w:rsidRPr="00EA63C5">
        <w:rPr>
          <w:i/>
          <w:sz w:val="20"/>
          <w:szCs w:val="20"/>
          <w:lang w:val="fr-CA"/>
        </w:rPr>
        <w:t>Amendment</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2004, S.B.C. 2004, ch. 16. (</w:t>
      </w:r>
      <w:proofErr w:type="gramStart"/>
      <w:r w:rsidRPr="00EA63C5">
        <w:rPr>
          <w:sz w:val="20"/>
          <w:szCs w:val="20"/>
          <w:lang w:val="fr-CA"/>
        </w:rPr>
        <w:t>également</w:t>
      </w:r>
      <w:proofErr w:type="gramEnd"/>
      <w:r w:rsidRPr="00EA63C5">
        <w:rPr>
          <w:sz w:val="20"/>
          <w:szCs w:val="20"/>
          <w:lang w:val="fr-CA"/>
        </w:rPr>
        <w:t xml:space="preserve"> appelées le projet de loi 27 et le projet de loi 28) et des services de santé (également appelée le projet de loi 29). Les projets de loi supprimaient des clauses de conventions collectives et interdisaient toute négociation ultérieure sur certaines questions. Une contestation de la constitutionnalité des projets de loi 27 et 28 par l’appelante, la British Columbia </w:t>
      </w:r>
      <w:proofErr w:type="spellStart"/>
      <w:r w:rsidRPr="00EA63C5">
        <w:rPr>
          <w:sz w:val="20"/>
          <w:szCs w:val="20"/>
          <w:lang w:val="fr-CA"/>
        </w:rPr>
        <w:t>Teachers</w:t>
      </w:r>
      <w:proofErr w:type="spellEnd"/>
      <w:r w:rsidRPr="00EA63C5">
        <w:rPr>
          <w:sz w:val="20"/>
          <w:szCs w:val="20"/>
          <w:lang w:val="fr-CA"/>
        </w:rPr>
        <w:t xml:space="preserve">’ </w:t>
      </w:r>
      <w:proofErr w:type="spellStart"/>
      <w:r w:rsidRPr="00EA63C5">
        <w:rPr>
          <w:sz w:val="20"/>
          <w:szCs w:val="20"/>
          <w:lang w:val="fr-CA"/>
        </w:rPr>
        <w:t>Federation</w:t>
      </w:r>
      <w:proofErr w:type="spellEnd"/>
      <w:r w:rsidRPr="00EA63C5">
        <w:rPr>
          <w:sz w:val="20"/>
          <w:szCs w:val="20"/>
          <w:lang w:val="fr-CA"/>
        </w:rPr>
        <w:t xml:space="preserve"> (la « BCTF ») a été suspendue en attendant que notre Cour se prononce sur le projet de loi 29, ce qu’elle a fait dans l’arrêt </w:t>
      </w:r>
      <w:proofErr w:type="spellStart"/>
      <w:r w:rsidRPr="00EA63C5">
        <w:rPr>
          <w:i/>
          <w:sz w:val="20"/>
          <w:szCs w:val="20"/>
          <w:lang w:val="fr-CA"/>
        </w:rPr>
        <w:t>Health</w:t>
      </w:r>
      <w:proofErr w:type="spellEnd"/>
      <w:r w:rsidRPr="00EA63C5">
        <w:rPr>
          <w:i/>
          <w:sz w:val="20"/>
          <w:szCs w:val="20"/>
          <w:lang w:val="fr-CA"/>
        </w:rPr>
        <w:t xml:space="preserve"> Services and Support - </w:t>
      </w:r>
      <w:proofErr w:type="spellStart"/>
      <w:r w:rsidRPr="00EA63C5">
        <w:rPr>
          <w:i/>
          <w:sz w:val="20"/>
          <w:szCs w:val="20"/>
          <w:lang w:val="fr-CA"/>
        </w:rPr>
        <w:t>Facilities</w:t>
      </w:r>
      <w:proofErr w:type="spellEnd"/>
      <w:r w:rsidRPr="00EA63C5">
        <w:rPr>
          <w:i/>
          <w:sz w:val="20"/>
          <w:szCs w:val="20"/>
          <w:lang w:val="fr-CA"/>
        </w:rPr>
        <w:t xml:space="preserve"> </w:t>
      </w:r>
      <w:proofErr w:type="spellStart"/>
      <w:r w:rsidRPr="00EA63C5">
        <w:rPr>
          <w:i/>
          <w:sz w:val="20"/>
          <w:szCs w:val="20"/>
          <w:lang w:val="fr-CA"/>
        </w:rPr>
        <w:t>Subsector</w:t>
      </w:r>
      <w:proofErr w:type="spellEnd"/>
      <w:r w:rsidRPr="00EA63C5">
        <w:rPr>
          <w:i/>
          <w:sz w:val="20"/>
          <w:szCs w:val="20"/>
          <w:lang w:val="fr-CA"/>
        </w:rPr>
        <w:t xml:space="preserve"> </w:t>
      </w:r>
      <w:proofErr w:type="spellStart"/>
      <w:r w:rsidRPr="00EA63C5">
        <w:rPr>
          <w:i/>
          <w:sz w:val="20"/>
          <w:szCs w:val="20"/>
          <w:lang w:val="fr-CA"/>
        </w:rPr>
        <w:t>Bargaining</w:t>
      </w:r>
      <w:proofErr w:type="spellEnd"/>
      <w:r w:rsidRPr="00EA63C5">
        <w:rPr>
          <w:i/>
          <w:sz w:val="20"/>
          <w:szCs w:val="20"/>
          <w:lang w:val="fr-CA"/>
        </w:rPr>
        <w:t xml:space="preserve"> </w:t>
      </w:r>
      <w:proofErr w:type="spellStart"/>
      <w:r w:rsidRPr="00EA63C5">
        <w:rPr>
          <w:i/>
          <w:sz w:val="20"/>
          <w:szCs w:val="20"/>
          <w:lang w:val="fr-CA"/>
        </w:rPr>
        <w:t>Assn</w:t>
      </w:r>
      <w:proofErr w:type="spellEnd"/>
      <w:r w:rsidRPr="00EA63C5">
        <w:rPr>
          <w:i/>
          <w:sz w:val="20"/>
          <w:szCs w:val="20"/>
          <w:lang w:val="fr-CA"/>
        </w:rPr>
        <w:t>. c. Colombie-Britannique</w:t>
      </w:r>
      <w:r w:rsidRPr="00EA63C5">
        <w:rPr>
          <w:sz w:val="20"/>
          <w:szCs w:val="20"/>
          <w:lang w:val="fr-CA"/>
        </w:rPr>
        <w:t>, 2007 CSC 27.</w:t>
      </w:r>
    </w:p>
    <w:p w:rsidR="00704530" w:rsidRPr="00EA63C5" w:rsidRDefault="00704530" w:rsidP="00704530">
      <w:pPr>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En 2011, la Cour suprême de la Colombie-Britannique a conclu à l’inconstitutionnalité des lois au motif qu’elles portaient atteinte à l’al. 2</w:t>
      </w:r>
      <w:r w:rsidRPr="00EA63C5">
        <w:rPr>
          <w:i/>
          <w:sz w:val="20"/>
          <w:szCs w:val="20"/>
          <w:lang w:val="fr-CA"/>
        </w:rPr>
        <w:t>d</w:t>
      </w:r>
      <w:r w:rsidRPr="00EA63C5">
        <w:rPr>
          <w:sz w:val="20"/>
          <w:szCs w:val="20"/>
          <w:lang w:val="fr-CA"/>
        </w:rPr>
        <w:t xml:space="preserve">) de la </w:t>
      </w:r>
      <w:r w:rsidRPr="00EA63C5">
        <w:rPr>
          <w:i/>
          <w:sz w:val="20"/>
          <w:szCs w:val="20"/>
          <w:lang w:val="fr-CA"/>
        </w:rPr>
        <w:t>Charte</w:t>
      </w:r>
      <w:r w:rsidRPr="00EA63C5">
        <w:rPr>
          <w:sz w:val="20"/>
          <w:szCs w:val="20"/>
          <w:lang w:val="fr-CA"/>
        </w:rPr>
        <w:t xml:space="preserve"> et que l’atteinte n’était pas justifiée suivant l’article premier de la </w:t>
      </w:r>
      <w:r w:rsidRPr="00EA63C5">
        <w:rPr>
          <w:i/>
          <w:sz w:val="20"/>
          <w:szCs w:val="20"/>
          <w:lang w:val="fr-CA"/>
        </w:rPr>
        <w:t>Charte</w:t>
      </w:r>
      <w:r w:rsidRPr="00EA63C5">
        <w:rPr>
          <w:sz w:val="20"/>
          <w:szCs w:val="20"/>
          <w:lang w:val="fr-CA"/>
        </w:rPr>
        <w:t xml:space="preserve">. La déclaration d’invalidité a été suspendue pour 12 mois pour permettre à la Province de se conformer au jugement. </w:t>
      </w:r>
    </w:p>
    <w:p w:rsidR="00704530" w:rsidRPr="00EA63C5" w:rsidRDefault="00704530" w:rsidP="00704530">
      <w:pPr>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Il y a eu des consultations simultanées entre la province et la BCTF et une négociation collective entre la BCTF et la British Columbia Public </w:t>
      </w:r>
      <w:proofErr w:type="spellStart"/>
      <w:r w:rsidRPr="00EA63C5">
        <w:rPr>
          <w:sz w:val="20"/>
          <w:szCs w:val="20"/>
          <w:lang w:val="fr-CA"/>
        </w:rPr>
        <w:t>Schools</w:t>
      </w:r>
      <w:proofErr w:type="spellEnd"/>
      <w:r w:rsidRPr="00EA63C5">
        <w:rPr>
          <w:sz w:val="20"/>
          <w:szCs w:val="20"/>
          <w:lang w:val="fr-CA"/>
        </w:rPr>
        <w:t xml:space="preserve"> </w:t>
      </w:r>
      <w:proofErr w:type="spellStart"/>
      <w:r w:rsidRPr="00EA63C5">
        <w:rPr>
          <w:sz w:val="20"/>
          <w:szCs w:val="20"/>
          <w:lang w:val="fr-CA"/>
        </w:rPr>
        <w:t>Employers</w:t>
      </w:r>
      <w:proofErr w:type="spellEnd"/>
      <w:r w:rsidRPr="00EA63C5">
        <w:rPr>
          <w:sz w:val="20"/>
          <w:szCs w:val="20"/>
          <w:lang w:val="fr-CA"/>
        </w:rPr>
        <w:t>’ Association (« BCPSEA »), l’unique agent de négociation pour la partie patronale, la Province de la Colombie-Britannique. La Province avait un [</w:t>
      </w:r>
      <w:r w:rsidRPr="00EA63C5">
        <w:rPr>
          <w:smallCaps/>
          <w:sz w:val="20"/>
          <w:szCs w:val="20"/>
          <w:lang w:val="fr-CA"/>
        </w:rPr>
        <w:t>traduction</w:t>
      </w:r>
      <w:r w:rsidRPr="00EA63C5">
        <w:rPr>
          <w:sz w:val="20"/>
          <w:szCs w:val="20"/>
          <w:lang w:val="fr-CA"/>
        </w:rPr>
        <w:t xml:space="preserve">] « mandat net zéro », en vertu duquel toute augmentation de la rémunération devait être compensée par des économies réalisées à d’autres chapitres de la convention collective, ce qui a empêché la conclusion d’une telle convention. La Province a déclaré qu’il y avait impasse. </w:t>
      </w:r>
    </w:p>
    <w:p w:rsidR="00704530" w:rsidRPr="00EA63C5" w:rsidRDefault="00704530" w:rsidP="00704530">
      <w:pPr>
        <w:jc w:val="both"/>
        <w:rPr>
          <w:sz w:val="20"/>
          <w:szCs w:val="20"/>
          <w:lang w:val="fr-CA"/>
        </w:rPr>
      </w:pPr>
    </w:p>
    <w:p w:rsidR="00704530" w:rsidRPr="00EA63C5" w:rsidRDefault="00704530" w:rsidP="00704530">
      <w:pPr>
        <w:jc w:val="both"/>
        <w:rPr>
          <w:sz w:val="20"/>
          <w:szCs w:val="20"/>
          <w:lang w:val="fr-CA"/>
        </w:rPr>
      </w:pPr>
      <w:r w:rsidRPr="00EA63C5">
        <w:rPr>
          <w:sz w:val="20"/>
          <w:szCs w:val="20"/>
          <w:lang w:val="fr-CA"/>
        </w:rPr>
        <w:t xml:space="preserve">À l’expiration de l’ordonnance de suspension, la Province a adopté une nouvelle loi, </w:t>
      </w:r>
      <w:r w:rsidRPr="00EA63C5">
        <w:rPr>
          <w:i/>
          <w:sz w:val="20"/>
          <w:szCs w:val="20"/>
          <w:lang w:val="fr-CA"/>
        </w:rPr>
        <w:t xml:space="preserve">The </w:t>
      </w:r>
      <w:proofErr w:type="spellStart"/>
      <w:r w:rsidRPr="00EA63C5">
        <w:rPr>
          <w:i/>
          <w:sz w:val="20"/>
          <w:szCs w:val="20"/>
          <w:lang w:val="fr-CA"/>
        </w:rPr>
        <w:t>Education</w:t>
      </w:r>
      <w:proofErr w:type="spellEnd"/>
      <w:r w:rsidRPr="00EA63C5">
        <w:rPr>
          <w:i/>
          <w:sz w:val="20"/>
          <w:szCs w:val="20"/>
          <w:lang w:val="fr-CA"/>
        </w:rPr>
        <w:t xml:space="preserve"> </w:t>
      </w:r>
      <w:proofErr w:type="spellStart"/>
      <w:r w:rsidRPr="00EA63C5">
        <w:rPr>
          <w:i/>
          <w:sz w:val="20"/>
          <w:szCs w:val="20"/>
          <w:lang w:val="fr-CA"/>
        </w:rPr>
        <w:t>Improvement</w:t>
      </w:r>
      <w:proofErr w:type="spellEnd"/>
      <w:r w:rsidRPr="00EA63C5">
        <w:rPr>
          <w:i/>
          <w:sz w:val="20"/>
          <w:szCs w:val="20"/>
          <w:lang w:val="fr-CA"/>
        </w:rPr>
        <w:t xml:space="preserve"> </w:t>
      </w:r>
      <w:proofErr w:type="spellStart"/>
      <w:r w:rsidRPr="00EA63C5">
        <w:rPr>
          <w:i/>
          <w:sz w:val="20"/>
          <w:szCs w:val="20"/>
          <w:lang w:val="fr-CA"/>
        </w:rPr>
        <w:t>Act</w:t>
      </w:r>
      <w:proofErr w:type="spellEnd"/>
      <w:r w:rsidRPr="00EA63C5">
        <w:rPr>
          <w:sz w:val="20"/>
          <w:szCs w:val="20"/>
          <w:lang w:val="fr-CA"/>
        </w:rPr>
        <w:t xml:space="preserve">, S.B.C. 2012, ch. 3, également appelée le « projet de loi 22 ».  La BCTF a présenté une demande en vue d’annuler projet de la loi 22 et d’obtenir d’autres réparations, notamment des dommages-intérêts en vertu de la </w:t>
      </w:r>
      <w:r w:rsidRPr="00EA63C5">
        <w:rPr>
          <w:i/>
          <w:sz w:val="20"/>
          <w:szCs w:val="20"/>
          <w:lang w:val="fr-CA"/>
        </w:rPr>
        <w:t>Charte</w:t>
      </w:r>
      <w:r w:rsidRPr="00EA63C5">
        <w:rPr>
          <w:sz w:val="20"/>
          <w:szCs w:val="20"/>
          <w:lang w:val="fr-CA"/>
        </w:rPr>
        <w:t>.</w:t>
      </w:r>
    </w:p>
    <w:p w:rsidR="00704530" w:rsidRPr="00EA63C5" w:rsidRDefault="00704530" w:rsidP="00782AE4">
      <w:pPr>
        <w:jc w:val="both"/>
        <w:rPr>
          <w:sz w:val="20"/>
          <w:szCs w:val="20"/>
          <w:lang w:val="fr-CA"/>
        </w:rPr>
      </w:pPr>
    </w:p>
    <w:p w:rsidR="00704530" w:rsidRPr="00EA63C5" w:rsidRDefault="007F6DC5" w:rsidP="00782AE4">
      <w:pPr>
        <w:jc w:val="both"/>
        <w:rPr>
          <w:sz w:val="20"/>
          <w:szCs w:val="20"/>
          <w:lang w:val="fr-CA"/>
        </w:rPr>
      </w:pPr>
      <w:r>
        <w:rPr>
          <w:sz w:val="20"/>
          <w:szCs w:val="20"/>
          <w:lang w:val="fr-CA"/>
        </w:rPr>
        <w:pict>
          <v:rect id="_x0000_i1117" style="width:2in;height:1pt" o:hrpct="0" o:hralign="center" o:hrstd="t" o:hrnoshade="t" o:hr="t" fillcolor="black [3213]" stroked="f"/>
        </w:pict>
      </w:r>
    </w:p>
    <w:p w:rsidR="00704530" w:rsidRPr="00EA63C5" w:rsidRDefault="00704530" w:rsidP="00782AE4">
      <w:pPr>
        <w:jc w:val="both"/>
        <w:rPr>
          <w:sz w:val="20"/>
          <w:szCs w:val="20"/>
          <w:lang w:val="fr-CA"/>
        </w:rPr>
      </w:pPr>
    </w:p>
    <w:p w:rsidR="00704530" w:rsidRPr="00EA63C5" w:rsidRDefault="00704530" w:rsidP="00782AE4">
      <w:pPr>
        <w:jc w:val="both"/>
        <w:rPr>
          <w:sz w:val="20"/>
          <w:szCs w:val="20"/>
          <w:lang w:val="fr-CA"/>
        </w:rPr>
      </w:pPr>
    </w:p>
    <w:p w:rsidR="00704530" w:rsidRPr="00EA63C5" w:rsidRDefault="00704530" w:rsidP="00782AE4">
      <w:pPr>
        <w:jc w:val="both"/>
        <w:rPr>
          <w:sz w:val="20"/>
          <w:szCs w:val="20"/>
          <w:lang w:val="fr-CA"/>
        </w:rPr>
      </w:pPr>
    </w:p>
    <w:p w:rsidR="00704530" w:rsidRPr="00EA63C5" w:rsidRDefault="00704530" w:rsidP="00782AE4">
      <w:pPr>
        <w:jc w:val="both"/>
        <w:rPr>
          <w:sz w:val="20"/>
          <w:szCs w:val="20"/>
          <w:lang w:val="fr-CA"/>
        </w:rPr>
      </w:pPr>
    </w:p>
    <w:p w:rsidR="00704530" w:rsidRPr="00EA63C5" w:rsidRDefault="00704530" w:rsidP="00782AE4">
      <w:pPr>
        <w:jc w:val="both"/>
        <w:rPr>
          <w:sz w:val="20"/>
          <w:szCs w:val="20"/>
          <w:lang w:val="fr-CA"/>
        </w:rPr>
      </w:pPr>
    </w:p>
    <w:p w:rsidR="00704530" w:rsidRPr="00EA63C5" w:rsidRDefault="00704530" w:rsidP="00782AE4">
      <w:pPr>
        <w:jc w:val="both"/>
        <w:rPr>
          <w:sz w:val="20"/>
          <w:szCs w:val="20"/>
          <w:lang w:val="fr-CA"/>
        </w:rPr>
      </w:pPr>
    </w:p>
    <w:p w:rsidR="005F263E" w:rsidRPr="00EA63C5" w:rsidRDefault="005F263E" w:rsidP="00782AE4">
      <w:pPr>
        <w:jc w:val="both"/>
        <w:rPr>
          <w:sz w:val="20"/>
          <w:szCs w:val="20"/>
          <w:lang w:val="fr-CA"/>
        </w:rPr>
        <w:sectPr w:rsidR="005F263E" w:rsidRPr="00EA63C5" w:rsidSect="005F263E">
          <w:headerReference w:type="default"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bookmarkStart w:id="4" w:name="QuickMark"/>
    <w:bookmarkEnd w:id="4"/>
    <w:p w:rsidR="008902B1" w:rsidRPr="00EA63C5" w:rsidRDefault="008902B1" w:rsidP="008902B1">
      <w:pPr>
        <w:widowControl w:val="0"/>
        <w:spacing w:line="180" w:lineRule="auto"/>
        <w:jc w:val="center"/>
        <w:rPr>
          <w:rFonts w:asciiTheme="minorHAnsi" w:hAnsiTheme="minorHAnsi" w:cstheme="minorHAnsi"/>
          <w:b/>
          <w:szCs w:val="24"/>
        </w:rPr>
      </w:pPr>
      <w:r w:rsidRPr="00EA63C5">
        <w:rPr>
          <w:rFonts w:asciiTheme="minorHAnsi" w:hAnsiTheme="minorHAnsi" w:cstheme="minorHAnsi"/>
          <w:b/>
          <w:szCs w:val="24"/>
        </w:rPr>
        <w:lastRenderedPageBreak/>
        <w:fldChar w:fldCharType="begin"/>
      </w:r>
      <w:r w:rsidRPr="00EA63C5">
        <w:rPr>
          <w:rFonts w:asciiTheme="minorHAnsi" w:hAnsiTheme="minorHAnsi" w:cstheme="minorHAnsi"/>
          <w:b/>
          <w:szCs w:val="24"/>
        </w:rPr>
        <w:instrText xml:space="preserve"> SEQ CHAPTER \h \r 1</w:instrText>
      </w:r>
      <w:r w:rsidRPr="00EA63C5">
        <w:rPr>
          <w:rFonts w:asciiTheme="minorHAnsi" w:hAnsiTheme="minorHAnsi" w:cstheme="minorHAnsi"/>
          <w:b/>
          <w:szCs w:val="24"/>
        </w:rPr>
        <w:fldChar w:fldCharType="end"/>
      </w:r>
      <w:r w:rsidRPr="00EA63C5">
        <w:rPr>
          <w:rFonts w:asciiTheme="minorHAnsi" w:hAnsiTheme="minorHAnsi" w:cstheme="minorHAnsi"/>
          <w:b/>
          <w:szCs w:val="24"/>
        </w:rPr>
        <w:t>SUPREME COURT OF CANADA SCHEDULE / CALENDRIER DE LA COUR SUPREME</w:t>
      </w:r>
    </w:p>
    <w:p w:rsidR="0013595D" w:rsidRPr="00EA63C5" w:rsidRDefault="0013595D" w:rsidP="0013595D">
      <w:pPr>
        <w:widowControl w:val="0"/>
        <w:spacing w:line="180" w:lineRule="auto"/>
        <w:rPr>
          <w:rFonts w:asciiTheme="minorHAnsi" w:hAnsiTheme="minorHAnsi" w:cstheme="minorHAnsi"/>
          <w:szCs w:val="24"/>
        </w:rPr>
      </w:pPr>
    </w:p>
    <w:p w:rsidR="0013595D" w:rsidRPr="00EA63C5" w:rsidRDefault="0013595D" w:rsidP="0013595D">
      <w:pPr>
        <w:widowControl w:val="0"/>
        <w:tabs>
          <w:tab w:val="center" w:pos="5400"/>
          <w:tab w:val="right" w:pos="10440"/>
        </w:tabs>
        <w:rPr>
          <w:rFonts w:ascii="Arial" w:hAnsi="Arial"/>
          <w:sz w:val="18"/>
        </w:rPr>
      </w:pPr>
      <w:r w:rsidRPr="00EA63C5">
        <w:rPr>
          <w:rFonts w:ascii="Arial" w:hAnsi="Arial"/>
          <w:sz w:val="18"/>
        </w:rPr>
        <w:tab/>
      </w:r>
      <w:r w:rsidRPr="00EA63C5">
        <w:rPr>
          <w:rFonts w:ascii="Arial" w:hAnsi="Arial"/>
          <w:i/>
          <w:sz w:val="36"/>
        </w:rPr>
        <w:t xml:space="preserve">- </w:t>
      </w:r>
      <w:r w:rsidRPr="00EA63C5">
        <w:rPr>
          <w:rFonts w:ascii="Arial" w:hAnsi="Arial"/>
          <w:b/>
          <w:i/>
          <w:sz w:val="36"/>
        </w:rPr>
        <w:t>2016</w:t>
      </w:r>
      <w:r w:rsidRPr="00EA63C5">
        <w:rPr>
          <w:rFonts w:ascii="Arial" w:hAnsi="Arial"/>
          <w:i/>
          <w:sz w:val="36"/>
        </w:rPr>
        <w:t xml:space="preserve"> -</w:t>
      </w:r>
      <w:r w:rsidRPr="00EA63C5">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EA63C5"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DECEMBER - DÉCEMBRE</w:t>
            </w:r>
          </w:p>
        </w:tc>
      </w:tr>
      <w:tr w:rsidR="0013595D" w:rsidRPr="00EA63C5"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4"/>
                <w:szCs w:val="14"/>
                <w:lang w:val="fr-FR"/>
              </w:rPr>
            </w:pPr>
            <w:r w:rsidRPr="00EA63C5">
              <w:rPr>
                <w:rFonts w:ascii="Arial" w:hAnsi="Arial" w:cs="Arial"/>
                <w:b/>
                <w:sz w:val="14"/>
                <w:szCs w:val="14"/>
                <w:lang w:val="fr-FR"/>
              </w:rPr>
              <w:t>S</w:t>
            </w:r>
          </w:p>
          <w:p w:rsidR="0013595D" w:rsidRPr="00EA63C5" w:rsidRDefault="0013595D" w:rsidP="00E942C2">
            <w:pPr>
              <w:tabs>
                <w:tab w:val="center" w:pos="5220"/>
                <w:tab w:val="right" w:pos="10440"/>
              </w:tabs>
              <w:jc w:val="center"/>
              <w:rPr>
                <w:rFonts w:ascii="Arial" w:hAnsi="Arial" w:cs="Arial"/>
                <w:b/>
                <w:sz w:val="14"/>
                <w:szCs w:val="14"/>
                <w:lang w:val="fr-FR"/>
              </w:rPr>
            </w:pPr>
            <w:r w:rsidRPr="00EA63C5">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T</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W</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T</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F</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S</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S</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T</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W</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T</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F</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S</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S</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M</w:t>
            </w:r>
          </w:p>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lang w:val="fr-FR"/>
              </w:rPr>
            </w:pPr>
            <w:r w:rsidRPr="00EA63C5">
              <w:rPr>
                <w:rFonts w:ascii="Arial" w:hAnsi="Arial" w:cs="Arial"/>
                <w:b/>
                <w:sz w:val="13"/>
                <w:szCs w:val="13"/>
                <w:lang w:val="fr-FR"/>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r>
      <w:tr w:rsidR="0013595D" w:rsidRPr="00EA63C5"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r>
      <w:tr w:rsidR="0013595D" w:rsidRPr="00EA63C5"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EA63C5" w:rsidRDefault="0013595D" w:rsidP="00E942C2">
            <w:pPr>
              <w:jc w:val="center"/>
              <w:rPr>
                <w:rFonts w:ascii="Arial" w:hAnsi="Arial" w:cs="Arial"/>
                <w:b/>
                <w:sz w:val="12"/>
                <w:szCs w:val="12"/>
              </w:rPr>
            </w:pPr>
          </w:p>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 xml:space="preserve">H </w:t>
            </w:r>
          </w:p>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r>
      <w:tr w:rsidR="0013595D" w:rsidRPr="00EA63C5"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b/>
                <w:sz w:val="13"/>
                <w:szCs w:val="13"/>
              </w:rPr>
              <w:t xml:space="preserve">H </w:t>
            </w:r>
          </w:p>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09" w:type="pct"/>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51" w:type="pct"/>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10" w:type="pct"/>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17" w:type="pct"/>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18" w:type="pct"/>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18" w:type="pct"/>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r>
      <w:tr w:rsidR="0013595D" w:rsidRPr="00EA63C5"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67" w:type="pct"/>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09" w:type="pct"/>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10" w:type="pct"/>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r>
      <w:tr w:rsidR="0013595D" w:rsidRPr="00EA63C5"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EA63C5" w:rsidRDefault="0013595D" w:rsidP="00E942C2">
            <w:pPr>
              <w:rPr>
                <w:rFonts w:ascii="Arial" w:hAnsi="Arial" w:cs="Arial"/>
                <w:sz w:val="13"/>
                <w:szCs w:val="13"/>
              </w:rPr>
            </w:pPr>
            <w:r w:rsidRPr="00EA63C5">
              <w:rPr>
                <w:rFonts w:ascii="Arial" w:hAnsi="Arial" w:cs="Arial"/>
                <w:sz w:val="13"/>
                <w:szCs w:val="13"/>
              </w:rPr>
              <w:t>23</w:t>
            </w:r>
          </w:p>
          <w:p w:rsidR="0013595D" w:rsidRPr="00EA63C5" w:rsidRDefault="0013595D" w:rsidP="00E942C2">
            <w:pPr>
              <w:jc w:val="center"/>
              <w:rPr>
                <w:rFonts w:ascii="Arial" w:hAnsi="Arial" w:cs="Arial"/>
                <w:sz w:val="13"/>
                <w:szCs w:val="13"/>
              </w:rPr>
            </w:pPr>
            <w:r w:rsidRPr="00EA63C5">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EA63C5" w:rsidRDefault="0013595D" w:rsidP="00E942C2">
            <w:pPr>
              <w:rPr>
                <w:rFonts w:ascii="Arial" w:hAnsi="Arial" w:cs="Arial"/>
                <w:sz w:val="13"/>
                <w:szCs w:val="13"/>
              </w:rPr>
            </w:pPr>
            <w:r w:rsidRPr="00EA63C5">
              <w:rPr>
                <w:rFonts w:ascii="Arial" w:hAnsi="Arial" w:cs="Arial"/>
                <w:sz w:val="13"/>
                <w:szCs w:val="13"/>
              </w:rPr>
              <w:t>24</w:t>
            </w:r>
          </w:p>
          <w:p w:rsidR="0013595D" w:rsidRPr="00EA63C5" w:rsidRDefault="0013595D" w:rsidP="00E942C2">
            <w:pPr>
              <w:rPr>
                <w:rFonts w:ascii="Arial" w:hAnsi="Arial" w:cs="Arial"/>
                <w:sz w:val="13"/>
                <w:szCs w:val="13"/>
              </w:rPr>
            </w:pPr>
            <w:r w:rsidRPr="00EA63C5">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b/>
                <w:sz w:val="13"/>
                <w:szCs w:val="13"/>
              </w:rPr>
            </w:pPr>
          </w:p>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H</w:t>
            </w:r>
          </w:p>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H</w:t>
            </w:r>
          </w:p>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31</w:t>
            </w:r>
          </w:p>
        </w:tc>
      </w:tr>
    </w:tbl>
    <w:p w:rsidR="0013595D" w:rsidRPr="00EA63C5" w:rsidRDefault="0013595D" w:rsidP="0013595D">
      <w:pPr>
        <w:tabs>
          <w:tab w:val="center" w:pos="5220"/>
          <w:tab w:val="right" w:pos="10440"/>
        </w:tabs>
        <w:jc w:val="center"/>
        <w:rPr>
          <w:rFonts w:ascii="Arial" w:hAnsi="Arial" w:cs="Arial"/>
          <w:sz w:val="36"/>
          <w:szCs w:val="36"/>
        </w:rPr>
      </w:pPr>
      <w:r w:rsidRPr="00EA63C5">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EA63C5"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MARCH - MARS</w:t>
            </w:r>
          </w:p>
        </w:tc>
      </w:tr>
      <w:tr w:rsidR="0013595D" w:rsidRPr="00EA63C5"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L</w:t>
            </w:r>
          </w:p>
        </w:tc>
        <w:tc>
          <w:tcPr>
            <w:tcW w:w="217"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D</w:t>
            </w:r>
          </w:p>
        </w:tc>
        <w:tc>
          <w:tcPr>
            <w:tcW w:w="208"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L</w:t>
            </w:r>
          </w:p>
        </w:tc>
        <w:tc>
          <w:tcPr>
            <w:tcW w:w="249"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50"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16"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17"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D</w:t>
            </w:r>
          </w:p>
        </w:tc>
        <w:tc>
          <w:tcPr>
            <w:tcW w:w="223"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L</w:t>
            </w:r>
          </w:p>
        </w:tc>
        <w:tc>
          <w:tcPr>
            <w:tcW w:w="208"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08"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08"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08"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r>
      <w:tr w:rsidR="0013595D" w:rsidRPr="00EA63C5"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EA63C5" w:rsidRDefault="0013595D" w:rsidP="00E942C2">
            <w:pPr>
              <w:jc w:val="center"/>
              <w:rPr>
                <w:rFonts w:ascii="Arial" w:hAnsi="Arial" w:cs="Arial"/>
                <w:b/>
                <w:sz w:val="13"/>
                <w:szCs w:val="13"/>
              </w:rPr>
            </w:pPr>
          </w:p>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H</w:t>
            </w:r>
          </w:p>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25"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23" w:type="pct"/>
            <w:tcMar>
              <w:bottom w:w="43" w:type="dxa"/>
            </w:tcMar>
            <w:vAlign w:val="bottom"/>
          </w:tcPr>
          <w:p w:rsidR="0013595D" w:rsidRPr="00EA63C5" w:rsidRDefault="0013595D" w:rsidP="00E942C2">
            <w:pPr>
              <w:jc w:val="center"/>
              <w:rPr>
                <w:rFonts w:ascii="Arial" w:hAnsi="Arial" w:cs="Arial"/>
                <w:sz w:val="13"/>
                <w:szCs w:val="13"/>
              </w:rPr>
            </w:pPr>
          </w:p>
        </w:tc>
        <w:tc>
          <w:tcPr>
            <w:tcW w:w="208" w:type="pct"/>
            <w:tcMar>
              <w:bottom w:w="43" w:type="dxa"/>
            </w:tcMar>
            <w:vAlign w:val="bottom"/>
          </w:tcPr>
          <w:p w:rsidR="0013595D" w:rsidRPr="00EA63C5" w:rsidRDefault="0013595D" w:rsidP="00E942C2">
            <w:pPr>
              <w:jc w:val="center"/>
              <w:rPr>
                <w:rFonts w:ascii="Arial" w:hAnsi="Arial" w:cs="Arial"/>
                <w:sz w:val="13"/>
                <w:szCs w:val="13"/>
              </w:rPr>
            </w:pPr>
          </w:p>
        </w:tc>
        <w:tc>
          <w:tcPr>
            <w:tcW w:w="208" w:type="pct"/>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08" w:type="pct"/>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08" w:type="pct"/>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18"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r>
      <w:tr w:rsidR="0013595D" w:rsidRPr="00EA63C5"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47"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25"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23" w:type="pct"/>
            <w:tcBorders>
              <w:bottom w:val="single" w:sz="4"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18"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r>
      <w:tr w:rsidR="0013595D" w:rsidRPr="00EA63C5"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25"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18"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r>
      <w:tr w:rsidR="0013595D" w:rsidRPr="00EA63C5" w:rsidTr="00E942C2">
        <w:trPr>
          <w:trHeight w:val="288"/>
        </w:trPr>
        <w:tc>
          <w:tcPr>
            <w:tcW w:w="217" w:type="pct"/>
            <w:tcBorders>
              <w:lef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49"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50"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16"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217"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c>
          <w:tcPr>
            <w:tcW w:w="225" w:type="pct"/>
            <w:tcBorders>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r>
      <w:tr w:rsidR="0013595D" w:rsidRPr="00EA63C5" w:rsidTr="00E942C2">
        <w:trPr>
          <w:trHeight w:val="288"/>
        </w:trPr>
        <w:tc>
          <w:tcPr>
            <w:tcW w:w="217" w:type="pct"/>
            <w:tcBorders>
              <w:left w:val="double" w:sz="6" w:space="0" w:color="auto"/>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217"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30</w:t>
            </w:r>
          </w:p>
        </w:tc>
        <w:tc>
          <w:tcPr>
            <w:tcW w:w="217"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31</w:t>
            </w:r>
          </w:p>
        </w:tc>
        <w:tc>
          <w:tcPr>
            <w:tcW w:w="233"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08"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49"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50" w:type="pct"/>
            <w:tcBorders>
              <w:bottom w:val="double" w:sz="6" w:space="0" w:color="auto"/>
            </w:tcBorders>
            <w:tcMar>
              <w:bottom w:w="43" w:type="dxa"/>
            </w:tcMar>
            <w:vAlign w:val="bottom"/>
          </w:tcPr>
          <w:p w:rsidR="0013595D" w:rsidRPr="00EA63C5"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r>
      <w:tr w:rsidR="0013595D" w:rsidRPr="00EA63C5"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JUNE – JUIN</w:t>
            </w:r>
          </w:p>
        </w:tc>
      </w:tr>
      <w:tr w:rsidR="0013595D" w:rsidRPr="00EA63C5" w:rsidTr="00E942C2">
        <w:trPr>
          <w:trHeight w:val="270"/>
        </w:trPr>
        <w:tc>
          <w:tcPr>
            <w:tcW w:w="217" w:type="pct"/>
            <w:tcBorders>
              <w:top w:val="double" w:sz="6" w:space="0" w:color="auto"/>
              <w:lef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D</w:t>
            </w:r>
          </w:p>
        </w:tc>
        <w:tc>
          <w:tcPr>
            <w:tcW w:w="217"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L</w:t>
            </w:r>
          </w:p>
        </w:tc>
        <w:tc>
          <w:tcPr>
            <w:tcW w:w="217"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33"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21"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D</w:t>
            </w:r>
          </w:p>
        </w:tc>
        <w:tc>
          <w:tcPr>
            <w:tcW w:w="208"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L</w:t>
            </w:r>
          </w:p>
        </w:tc>
        <w:tc>
          <w:tcPr>
            <w:tcW w:w="249"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50"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16"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17" w:type="pct"/>
            <w:tcBorders>
              <w:top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W</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T</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F</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p w:rsidR="0013595D" w:rsidRPr="00EA63C5" w:rsidRDefault="0013595D" w:rsidP="00E942C2">
            <w:pPr>
              <w:tabs>
                <w:tab w:val="center" w:pos="5220"/>
                <w:tab w:val="right" w:pos="10440"/>
              </w:tabs>
              <w:jc w:val="center"/>
              <w:rPr>
                <w:rFonts w:ascii="Arial" w:hAnsi="Arial" w:cs="Arial"/>
                <w:b/>
                <w:sz w:val="13"/>
                <w:szCs w:val="13"/>
              </w:rPr>
            </w:pPr>
            <w:r w:rsidRPr="00EA63C5">
              <w:rPr>
                <w:rFonts w:ascii="Arial" w:hAnsi="Arial" w:cs="Arial"/>
                <w:b/>
                <w:sz w:val="13"/>
                <w:szCs w:val="13"/>
              </w:rPr>
              <w:t>S</w:t>
            </w:r>
          </w:p>
        </w:tc>
      </w:tr>
      <w:tr w:rsidR="0013595D" w:rsidRPr="00EA63C5" w:rsidTr="00E942C2">
        <w:trPr>
          <w:trHeight w:val="288"/>
        </w:trPr>
        <w:tc>
          <w:tcPr>
            <w:tcW w:w="217" w:type="pct"/>
            <w:tcBorders>
              <w:lef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r>
      <w:tr w:rsidR="0013595D" w:rsidRPr="00EA63C5"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r>
      <w:tr w:rsidR="0013595D" w:rsidRPr="00EA63C5"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H</w:t>
            </w:r>
          </w:p>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r>
      <w:tr w:rsidR="0013595D" w:rsidRPr="00EA63C5"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b/>
                <w:sz w:val="13"/>
                <w:szCs w:val="13"/>
              </w:rPr>
            </w:pPr>
          </w:p>
          <w:p w:rsidR="0013595D" w:rsidRPr="00EA63C5" w:rsidRDefault="0013595D" w:rsidP="00E942C2">
            <w:pPr>
              <w:jc w:val="center"/>
              <w:rPr>
                <w:rFonts w:ascii="Arial" w:hAnsi="Arial" w:cs="Arial"/>
                <w:sz w:val="13"/>
                <w:szCs w:val="13"/>
              </w:rPr>
            </w:pPr>
            <w:r w:rsidRPr="00EA63C5">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H</w:t>
            </w:r>
          </w:p>
          <w:p w:rsidR="0013595D" w:rsidRPr="00EA63C5" w:rsidRDefault="0013595D" w:rsidP="00E942C2">
            <w:pPr>
              <w:jc w:val="center"/>
              <w:rPr>
                <w:rFonts w:ascii="Arial" w:hAnsi="Arial" w:cs="Arial"/>
                <w:sz w:val="13"/>
                <w:szCs w:val="13"/>
              </w:rPr>
            </w:pPr>
            <w:r w:rsidRPr="00EA63C5">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A63C5" w:rsidRDefault="0013595D" w:rsidP="00E942C2">
            <w:pPr>
              <w:jc w:val="center"/>
              <w:rPr>
                <w:rFonts w:ascii="Arial" w:hAnsi="Arial" w:cs="Arial"/>
                <w:b/>
                <w:sz w:val="13"/>
                <w:szCs w:val="13"/>
              </w:rPr>
            </w:pPr>
            <w:r w:rsidRPr="00EA63C5">
              <w:rPr>
                <w:rFonts w:ascii="Arial" w:hAnsi="Arial" w:cs="Arial"/>
                <w:b/>
                <w:sz w:val="13"/>
                <w:szCs w:val="13"/>
              </w:rPr>
              <w:t>H</w:t>
            </w:r>
          </w:p>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250"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c>
          <w:tcPr>
            <w:tcW w:w="216"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17"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19</w:t>
            </w:r>
          </w:p>
        </w:tc>
        <w:tc>
          <w:tcPr>
            <w:tcW w:w="208"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20</w:t>
            </w:r>
          </w:p>
        </w:tc>
        <w:tc>
          <w:tcPr>
            <w:tcW w:w="208"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21</w:t>
            </w:r>
          </w:p>
        </w:tc>
        <w:tc>
          <w:tcPr>
            <w:tcW w:w="208"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22</w:t>
            </w:r>
          </w:p>
        </w:tc>
        <w:tc>
          <w:tcPr>
            <w:tcW w:w="208" w:type="pct"/>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r>
      <w:tr w:rsidR="0013595D" w:rsidRPr="00EA63C5"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EA63C5" w:rsidRDefault="0013595D" w:rsidP="00E942C2">
            <w:pPr>
              <w:rPr>
                <w:rFonts w:ascii="Arial" w:hAnsi="Arial" w:cs="Arial"/>
                <w:sz w:val="13"/>
                <w:szCs w:val="13"/>
              </w:rPr>
            </w:pPr>
            <w:r w:rsidRPr="00EA63C5">
              <w:rPr>
                <w:rFonts w:ascii="Arial" w:hAnsi="Arial" w:cs="Arial"/>
                <w:sz w:val="13"/>
                <w:szCs w:val="13"/>
              </w:rPr>
              <w:t>23</w:t>
            </w:r>
          </w:p>
          <w:p w:rsidR="0013595D" w:rsidRPr="00EA63C5" w:rsidRDefault="0013595D" w:rsidP="00E942C2">
            <w:pPr>
              <w:jc w:val="center"/>
              <w:rPr>
                <w:rFonts w:ascii="Arial" w:hAnsi="Arial" w:cs="Arial"/>
                <w:sz w:val="13"/>
                <w:szCs w:val="13"/>
              </w:rPr>
            </w:pPr>
            <w:r w:rsidRPr="00EA63C5">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249"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30</w:t>
            </w:r>
          </w:p>
        </w:tc>
        <w:tc>
          <w:tcPr>
            <w:tcW w:w="250"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31</w:t>
            </w:r>
          </w:p>
        </w:tc>
        <w:tc>
          <w:tcPr>
            <w:tcW w:w="216"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A63C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25</w:t>
            </w:r>
          </w:p>
        </w:tc>
        <w:tc>
          <w:tcPr>
            <w:tcW w:w="223"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26</w:t>
            </w:r>
          </w:p>
        </w:tc>
        <w:tc>
          <w:tcPr>
            <w:tcW w:w="208"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27</w:t>
            </w:r>
          </w:p>
        </w:tc>
        <w:tc>
          <w:tcPr>
            <w:tcW w:w="208"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28</w:t>
            </w:r>
          </w:p>
        </w:tc>
        <w:tc>
          <w:tcPr>
            <w:tcW w:w="208"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29</w:t>
            </w:r>
          </w:p>
        </w:tc>
        <w:tc>
          <w:tcPr>
            <w:tcW w:w="208" w:type="pct"/>
            <w:tcBorders>
              <w:bottom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r w:rsidRPr="00EA63C5">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EA63C5" w:rsidRDefault="0013595D" w:rsidP="00E942C2">
            <w:pPr>
              <w:jc w:val="center"/>
              <w:rPr>
                <w:rFonts w:ascii="Arial" w:hAnsi="Arial" w:cs="Arial"/>
                <w:sz w:val="13"/>
                <w:szCs w:val="13"/>
              </w:rPr>
            </w:pPr>
          </w:p>
        </w:tc>
      </w:tr>
    </w:tbl>
    <w:p w:rsidR="0013595D" w:rsidRPr="00EA63C5" w:rsidRDefault="0013595D" w:rsidP="0013595D">
      <w:pPr>
        <w:widowControl w:val="0"/>
        <w:tabs>
          <w:tab w:val="center" w:pos="5400"/>
          <w:tab w:val="right" w:pos="10440"/>
        </w:tabs>
        <w:rPr>
          <w:rFonts w:ascii="Arial" w:hAnsi="Arial"/>
          <w:sz w:val="18"/>
        </w:rPr>
      </w:pPr>
    </w:p>
    <w:p w:rsidR="0013595D" w:rsidRPr="00EA63C5"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EA63C5"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EA63C5" w:rsidRDefault="0013595D" w:rsidP="00E942C2">
            <w:pPr>
              <w:widowControl w:val="0"/>
              <w:rPr>
                <w:rFonts w:ascii="Arial" w:hAnsi="Arial"/>
                <w:sz w:val="16"/>
              </w:rPr>
            </w:pPr>
            <w:r w:rsidRPr="00EA63C5">
              <w:rPr>
                <w:rFonts w:ascii="Arial" w:hAnsi="Arial"/>
                <w:sz w:val="16"/>
              </w:rPr>
              <w:t>Sittings of the Court:</w:t>
            </w:r>
          </w:p>
          <w:p w:rsidR="0013595D" w:rsidRPr="00EA63C5" w:rsidRDefault="0013595D" w:rsidP="00E942C2">
            <w:pPr>
              <w:widowControl w:val="0"/>
              <w:rPr>
                <w:rFonts w:ascii="Arial" w:hAnsi="Arial"/>
                <w:sz w:val="16"/>
              </w:rPr>
            </w:pPr>
            <w:r w:rsidRPr="00EA63C5">
              <w:rPr>
                <w:rFonts w:ascii="Arial" w:hAnsi="Arial"/>
                <w:sz w:val="16"/>
              </w:rPr>
              <w:t xml:space="preserve">Séances de la </w:t>
            </w:r>
            <w:proofErr w:type="spellStart"/>
            <w:r w:rsidRPr="00EA63C5">
              <w:rPr>
                <w:rFonts w:ascii="Arial" w:hAnsi="Arial"/>
                <w:sz w:val="16"/>
              </w:rPr>
              <w:t>Cour</w:t>
            </w:r>
            <w:proofErr w:type="spellEnd"/>
            <w:r w:rsidRPr="00EA63C5">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EA63C5" w:rsidRDefault="0013595D" w:rsidP="00E942C2">
            <w:pPr>
              <w:widowControl w:val="0"/>
              <w:rPr>
                <w:rFonts w:ascii="Arial" w:hAnsi="Arial"/>
                <w:sz w:val="16"/>
              </w:rPr>
            </w:pPr>
          </w:p>
          <w:p w:rsidR="0013595D" w:rsidRPr="00EA63C5"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EA63C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A63C5">
              <w:rPr>
                <w:rFonts w:ascii="Arial" w:hAnsi="Arial"/>
                <w:b/>
                <w:sz w:val="16"/>
                <w:lang w:val="fr-CA"/>
              </w:rPr>
              <w:t xml:space="preserve">18  </w:t>
            </w:r>
            <w:proofErr w:type="spellStart"/>
            <w:r w:rsidRPr="00EA63C5">
              <w:rPr>
                <w:rFonts w:ascii="Arial" w:hAnsi="Arial"/>
                <w:b/>
                <w:sz w:val="16"/>
                <w:lang w:val="fr-CA"/>
              </w:rPr>
              <w:t>sitting</w:t>
            </w:r>
            <w:proofErr w:type="spellEnd"/>
            <w:r w:rsidRPr="00EA63C5">
              <w:rPr>
                <w:rFonts w:ascii="Arial" w:hAnsi="Arial"/>
                <w:b/>
                <w:sz w:val="16"/>
                <w:lang w:val="fr-CA"/>
              </w:rPr>
              <w:t xml:space="preserve"> </w:t>
            </w:r>
            <w:proofErr w:type="spellStart"/>
            <w:r w:rsidRPr="00EA63C5">
              <w:rPr>
                <w:rFonts w:ascii="Arial" w:hAnsi="Arial"/>
                <w:b/>
                <w:sz w:val="16"/>
                <w:lang w:val="fr-CA"/>
              </w:rPr>
              <w:t>weeks</w:t>
            </w:r>
            <w:proofErr w:type="spellEnd"/>
            <w:r w:rsidRPr="00EA63C5">
              <w:rPr>
                <w:rFonts w:ascii="Arial" w:hAnsi="Arial"/>
                <w:b/>
                <w:sz w:val="16"/>
                <w:lang w:val="fr-CA"/>
              </w:rPr>
              <w:t xml:space="preserve"> / semaines séances de la cour</w:t>
            </w:r>
          </w:p>
          <w:p w:rsidR="0013595D" w:rsidRPr="00EA63C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A63C5">
              <w:rPr>
                <w:rFonts w:ascii="Arial" w:hAnsi="Arial"/>
                <w:b/>
                <w:sz w:val="16"/>
                <w:lang w:val="fr-CA"/>
              </w:rPr>
              <w:t xml:space="preserve">86  </w:t>
            </w:r>
            <w:proofErr w:type="spellStart"/>
            <w:r w:rsidRPr="00EA63C5">
              <w:rPr>
                <w:rFonts w:ascii="Arial" w:hAnsi="Arial"/>
                <w:b/>
                <w:sz w:val="16"/>
                <w:lang w:val="fr-CA"/>
              </w:rPr>
              <w:t>sitting</w:t>
            </w:r>
            <w:proofErr w:type="spellEnd"/>
            <w:r w:rsidRPr="00EA63C5">
              <w:rPr>
                <w:rFonts w:ascii="Arial" w:hAnsi="Arial"/>
                <w:b/>
                <w:sz w:val="16"/>
                <w:lang w:val="fr-CA"/>
              </w:rPr>
              <w:t xml:space="preserve"> </w:t>
            </w:r>
            <w:proofErr w:type="spellStart"/>
            <w:r w:rsidRPr="00EA63C5">
              <w:rPr>
                <w:rFonts w:ascii="Arial" w:hAnsi="Arial"/>
                <w:b/>
                <w:sz w:val="16"/>
                <w:lang w:val="fr-CA"/>
              </w:rPr>
              <w:t>days</w:t>
            </w:r>
            <w:proofErr w:type="spellEnd"/>
            <w:r w:rsidRPr="00EA63C5">
              <w:rPr>
                <w:rFonts w:ascii="Arial" w:hAnsi="Arial"/>
                <w:b/>
                <w:sz w:val="16"/>
                <w:lang w:val="fr-CA"/>
              </w:rPr>
              <w:t xml:space="preserve"> / journées séances de la cour</w:t>
            </w:r>
          </w:p>
          <w:p w:rsidR="0013595D" w:rsidRPr="00EA63C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EA63C5">
              <w:rPr>
                <w:rFonts w:ascii="Arial" w:hAnsi="Arial"/>
                <w:b/>
                <w:sz w:val="16"/>
                <w:lang w:val="fr-CA"/>
              </w:rPr>
              <w:t>4</w:t>
            </w:r>
            <w:r w:rsidRPr="00EA63C5">
              <w:rPr>
                <w:rFonts w:ascii="Arial" w:hAnsi="Arial"/>
                <w:b/>
                <w:sz w:val="16"/>
              </w:rPr>
              <w:t xml:space="preserve">    holidays during sitting days / </w:t>
            </w:r>
            <w:proofErr w:type="spellStart"/>
            <w:r w:rsidRPr="00EA63C5">
              <w:rPr>
                <w:rFonts w:ascii="Arial" w:hAnsi="Arial"/>
                <w:b/>
                <w:sz w:val="16"/>
              </w:rPr>
              <w:t>jours</w:t>
            </w:r>
            <w:proofErr w:type="spellEnd"/>
            <w:r w:rsidRPr="00EA63C5">
              <w:rPr>
                <w:rFonts w:ascii="Arial" w:hAnsi="Arial"/>
                <w:b/>
                <w:sz w:val="16"/>
              </w:rPr>
              <w:t xml:space="preserve"> </w:t>
            </w:r>
            <w:proofErr w:type="spellStart"/>
            <w:r w:rsidRPr="00EA63C5">
              <w:rPr>
                <w:rFonts w:ascii="Arial" w:hAnsi="Arial"/>
                <w:b/>
                <w:sz w:val="16"/>
              </w:rPr>
              <w:t>fériés</w:t>
            </w:r>
            <w:proofErr w:type="spellEnd"/>
            <w:r w:rsidRPr="00EA63C5">
              <w:rPr>
                <w:rFonts w:ascii="Arial" w:hAnsi="Arial"/>
                <w:b/>
                <w:sz w:val="16"/>
              </w:rPr>
              <w:t xml:space="preserve"> </w:t>
            </w:r>
            <w:proofErr w:type="spellStart"/>
            <w:r w:rsidRPr="00EA63C5">
              <w:rPr>
                <w:rFonts w:ascii="Arial" w:hAnsi="Arial"/>
                <w:b/>
                <w:sz w:val="16"/>
              </w:rPr>
              <w:t>durant</w:t>
            </w:r>
            <w:proofErr w:type="spellEnd"/>
            <w:r w:rsidRPr="00EA63C5">
              <w:rPr>
                <w:rFonts w:ascii="Arial" w:hAnsi="Arial"/>
                <w:b/>
                <w:sz w:val="16"/>
              </w:rPr>
              <w:t xml:space="preserve"> les sessions</w:t>
            </w:r>
          </w:p>
          <w:p w:rsidR="0013595D" w:rsidRPr="00EA63C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EA63C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A63C5">
              <w:rPr>
                <w:rFonts w:ascii="Arial" w:hAnsi="Arial"/>
                <w:sz w:val="16"/>
              </w:rPr>
              <w:t>Holidays:</w:t>
            </w:r>
          </w:p>
          <w:p w:rsidR="0013595D" w:rsidRPr="00EA63C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EA63C5">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EA63C5">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bookmarkStart w:id="5" w:name="_GoBack"/>
      <w:bookmarkEnd w:id="5"/>
    </w:p>
    <w:sectPr w:rsidR="002410B8" w:rsidRPr="0022323B" w:rsidSect="00924065">
      <w:headerReference w:type="default" r:id="rId98"/>
      <w:footerReference w:type="default" r:id="rId9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E0" w:rsidRDefault="004B3AE0" w:rsidP="00A87207">
      <w:r>
        <w:separator/>
      </w:r>
    </w:p>
  </w:endnote>
  <w:endnote w:type="continuationSeparator" w:id="0">
    <w:p w:rsidR="004B3AE0" w:rsidRDefault="004B3AE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A87207">
    <w:pPr>
      <w:pStyle w:val="Footer"/>
    </w:pPr>
    <w:r>
      <w:pict>
        <v:rect id="_x0000_i1049" style="width:480.95pt;height:1pt" o:hralign="center" o:hrstd="t" o:hrnoshade="t" o:hr="t" fillcolor="black [3213]" stroked="f"/>
      </w:pict>
    </w:r>
  </w:p>
  <w:p w:rsidR="004B3AE0" w:rsidRPr="00B7374B" w:rsidRDefault="004B3A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F6DC5">
      <w:rPr>
        <w:noProof/>
        <w:szCs w:val="24"/>
      </w:rPr>
      <w:t>1457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EB2B90">
    <w:pPr>
      <w:tabs>
        <w:tab w:val="center" w:pos="4680"/>
      </w:tabs>
    </w:pPr>
    <w:r>
      <w:pict>
        <v:rect id="_x0000_i1080" style="width:480.95pt;height:1pt" o:hralign="center" o:hrstd="t" o:hrnoshade="t" o:hr="t" fillcolor="black [3213]" stroked="f"/>
      </w:pict>
    </w:r>
  </w:p>
  <w:p w:rsidR="004B3AE0" w:rsidRPr="0031432F" w:rsidRDefault="004B3AE0" w:rsidP="00EB2B90">
    <w:pPr>
      <w:tabs>
        <w:tab w:val="center" w:pos="4680"/>
      </w:tabs>
    </w:pPr>
    <w:r>
      <w:tab/>
      <w:t xml:space="preserve">- </w:t>
    </w:r>
    <w:r>
      <w:fldChar w:fldCharType="begin"/>
    </w:r>
    <w:r>
      <w:instrText xml:space="preserve"> PAGE   \* MERGEFORMAT </w:instrText>
    </w:r>
    <w:r>
      <w:fldChar w:fldCharType="separate"/>
    </w:r>
    <w:r w:rsidR="007F6DC5">
      <w:rPr>
        <w:noProof/>
      </w:rPr>
      <w:t>1479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AE0" w:rsidRDefault="004B3AE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732DB7">
    <w:r>
      <w:pict>
        <v:rect id="_x0000_i1083" style="width:480.95pt;height:1pt" o:hralign="center" o:hrstd="t" o:hrnoshade="t" o:hr="t" fillcolor="black" stroked="f"/>
      </w:pict>
    </w:r>
  </w:p>
  <w:p w:rsidR="004B3AE0" w:rsidRDefault="004B3AE0">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pPr>
      <w:pStyle w:val="Footer"/>
    </w:pPr>
    <w:r>
      <w:pict>
        <v:rect id="_x0000_i1084" style="width:480.95pt;height:1pt" o:hralign="center" o:hrstd="t" o:hrnoshade="t" o:hr="t" fillcolor="black" stroked="f"/>
      </w:pict>
    </w:r>
  </w:p>
  <w:p w:rsidR="004B3AE0" w:rsidRPr="00283C52" w:rsidRDefault="004B3AE0">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AE0" w:rsidRDefault="004B3AE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732DB7">
    <w:r>
      <w:pict>
        <v:rect id="_x0000_i1088" style="width:480.95pt;height:1pt" o:hralign="center" o:hrstd="t" o:hrnoshade="t" o:hr="t" fillcolor="black" stroked="f"/>
      </w:pict>
    </w:r>
  </w:p>
  <w:p w:rsidR="004B3AE0" w:rsidRDefault="004B3AE0">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pPr>
      <w:pStyle w:val="Footer"/>
    </w:pPr>
    <w:r>
      <w:pict>
        <v:rect id="_x0000_i1089" style="width:480.95pt;height:1pt" o:hralign="center" o:hrstd="t" o:hrnoshade="t" o:hr="t" fillcolor="black [3213]" stroked="f"/>
      </w:pict>
    </w:r>
  </w:p>
  <w:p w:rsidR="004B3AE0" w:rsidRPr="003C2C0F" w:rsidRDefault="004B3AE0" w:rsidP="00697C62">
    <w:pPr>
      <w:tabs>
        <w:tab w:val="center" w:pos="4680"/>
      </w:tabs>
    </w:pPr>
    <w:r>
      <w:tab/>
      <w:t xml:space="preserve">- </w:t>
    </w:r>
    <w:r>
      <w:fldChar w:fldCharType="begin"/>
    </w:r>
    <w:r>
      <w:instrText xml:space="preserve"> PAGE   \* MERGEFORMAT </w:instrText>
    </w:r>
    <w:r>
      <w:fldChar w:fldCharType="separate"/>
    </w:r>
    <w:r w:rsidR="007F6DC5">
      <w:rPr>
        <w:noProof/>
      </w:rPr>
      <w:t>1482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AE0" w:rsidRDefault="004B3AE0">
    <w:pPr>
      <w:tabs>
        <w:tab w:val="center" w:pos="4740"/>
      </w:tabs>
    </w:pPr>
    <w:r>
      <w:tab/>
      <w:t xml:space="preserve">- </w:t>
    </w:r>
    <w:r>
      <w:pgNum/>
    </w:r>
    <w:r>
      <w:t xml:space="preserve"> -</w:t>
    </w:r>
  </w:p>
  <w:p w:rsidR="004B3AE0" w:rsidRDefault="004B3AE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AE0" w:rsidRDefault="007F6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4B3AE0" w:rsidRDefault="004B3AE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F6DC5">
      <w:rPr>
        <w:noProof/>
        <w:szCs w:val="24"/>
      </w:rPr>
      <w:t>1492</w:t>
    </w:r>
    <w:r w:rsidRPr="001775C1">
      <w:rPr>
        <w:szCs w:val="24"/>
      </w:rPr>
      <w:fldChar w:fldCharType="end"/>
    </w:r>
    <w:r>
      <w:t xml:space="preserve"> -</w:t>
    </w:r>
  </w:p>
  <w:p w:rsidR="004B3AE0" w:rsidRDefault="004B3AE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782AE4">
    <w:pPr>
      <w:tabs>
        <w:tab w:val="center" w:pos="4680"/>
      </w:tabs>
    </w:pPr>
    <w:r>
      <w:pict>
        <v:rect id="_x0000_i1095" style="width:480.95pt;height:1pt" o:hralign="center" o:hrstd="t" o:hrnoshade="t" o:hr="t" fillcolor="black [3213]" stroked="f"/>
      </w:pict>
    </w:r>
  </w:p>
  <w:p w:rsidR="004B3AE0" w:rsidRDefault="004B3AE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F6DC5">
      <w:rPr>
        <w:noProof/>
        <w:szCs w:val="24"/>
      </w:rPr>
      <w:t>1484</w:t>
    </w:r>
    <w:r w:rsidRPr="001775C1">
      <w:rPr>
        <w:szCs w:val="24"/>
      </w:rPr>
      <w:fldChar w:fldCharType="end"/>
    </w:r>
    <w:r>
      <w:t xml:space="preserve"> -</w:t>
    </w:r>
  </w:p>
  <w:p w:rsidR="004B3AE0" w:rsidRDefault="004B3A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755F22">
    <w:pPr>
      <w:tabs>
        <w:tab w:val="left" w:pos="-1440"/>
        <w:tab w:val="left" w:pos="-720"/>
      </w:tabs>
    </w:pPr>
    <w:r>
      <w:pict>
        <v:rect id="_x0000_i1050" style="width:480.95pt;height:1pt" o:hralign="center" o:hrstd="t" o:hrnoshade="t" o:hr="t" fillcolor="black [3213]" stroked="f"/>
      </w:pict>
    </w:r>
  </w:p>
  <w:p w:rsidR="004B3AE0" w:rsidRPr="00954D22" w:rsidRDefault="004B3AE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F6DC5">
      <w:rPr>
        <w:noProof/>
        <w:szCs w:val="24"/>
      </w:rPr>
      <w:t>1454</w:t>
    </w:r>
    <w:r>
      <w:rPr>
        <w:szCs w:val="24"/>
      </w:rPr>
      <w:fldChar w:fldCharType="end"/>
    </w:r>
    <w:r w:rsidRPr="00954D22">
      <w:rPr>
        <w:szCs w:val="24"/>
      </w:rPr>
      <w:t xml:space="preserve"> -</w:t>
    </w:r>
  </w:p>
  <w:p w:rsidR="004B3AE0" w:rsidRDefault="004B3AE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4B3AE0" w:rsidRDefault="004B3AE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4B3AE0" w:rsidRDefault="004B3AE0">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22323B">
    <w:r>
      <w:pict>
        <v:rect id="_x0000_i1098" style="width:480.95pt;height:1pt" o:hralign="center" o:hrstd="t" o:hrnoshade="t" o:hr="t" fillcolor="black [3213]" stroked="f"/>
      </w:pict>
    </w:r>
  </w:p>
  <w:p w:rsidR="004B3AE0" w:rsidRDefault="004B3AE0">
    <w:pPr>
      <w:tabs>
        <w:tab w:val="center" w:pos="4740"/>
      </w:tabs>
      <w:spacing w:line="0" w:lineRule="atLeast"/>
    </w:pPr>
    <w:r>
      <w:tab/>
      <w:t xml:space="preserve">- </w:t>
    </w:r>
    <w:r>
      <w:fldChar w:fldCharType="begin"/>
    </w:r>
    <w:r>
      <w:instrText xml:space="preserve"> PAGE   \* MERGEFORMAT </w:instrText>
    </w:r>
    <w:r>
      <w:fldChar w:fldCharType="separate"/>
    </w:r>
    <w:r>
      <w:rPr>
        <w:noProof/>
      </w:rPr>
      <w:t>1486</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22323B">
    <w:r>
      <w:pict>
        <v:rect id="_x0000_i1099" style="width:480.95pt;height:1pt" o:hralign="center" o:hrstd="t" o:hrnoshade="t" o:hr="t" fillcolor="black [3213]" stroked="f"/>
      </w:pict>
    </w:r>
  </w:p>
  <w:p w:rsidR="004B3AE0" w:rsidRDefault="004B3AE0" w:rsidP="0022323B">
    <w:pPr>
      <w:tabs>
        <w:tab w:val="center" w:pos="4740"/>
      </w:tabs>
      <w:spacing w:line="0" w:lineRule="atLeast"/>
    </w:pPr>
    <w:r>
      <w:tab/>
      <w:t xml:space="preserve">- </w:t>
    </w:r>
    <w:r>
      <w:fldChar w:fldCharType="begin"/>
    </w:r>
    <w:r>
      <w:instrText xml:space="preserve"> PAGE   \* MERGEFORMAT </w:instrText>
    </w:r>
    <w:r>
      <w:fldChar w:fldCharType="separate"/>
    </w:r>
    <w:r w:rsidR="007F6DC5">
      <w:rPr>
        <w:noProof/>
      </w:rPr>
      <w:t>1496</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22323B">
    <w:r>
      <w:pict>
        <v:rect id="_x0000_i1118" style="width:480.95pt;height:1pt" o:hralign="center" o:hrstd="t" o:hrnoshade="t" o:hr="t" fillcolor="black [3213]" stroked="f"/>
      </w:pict>
    </w:r>
  </w:p>
  <w:p w:rsidR="004B3AE0" w:rsidRDefault="004B3AE0">
    <w:pPr>
      <w:tabs>
        <w:tab w:val="center" w:pos="4740"/>
      </w:tabs>
      <w:spacing w:line="0" w:lineRule="atLeast"/>
    </w:pPr>
    <w:r>
      <w:tab/>
      <w:t xml:space="preserve">- </w:t>
    </w:r>
    <w:r>
      <w:fldChar w:fldCharType="begin"/>
    </w:r>
    <w:r>
      <w:instrText xml:space="preserve"> PAGE   \* MERGEFORMAT </w:instrText>
    </w:r>
    <w:r>
      <w:fldChar w:fldCharType="separate"/>
    </w:r>
    <w:r w:rsidR="007F6DC5">
      <w:rPr>
        <w:noProof/>
      </w:rPr>
      <w:t>1508</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22323B">
    <w:r>
      <w:pict>
        <v:rect id="_x0000_i1119" style="width:480.95pt;height:1pt" o:hralign="center" o:hrstd="t" o:hrnoshade="t" o:hr="t" fillcolor="black [3213]" stroked="f"/>
      </w:pict>
    </w:r>
  </w:p>
  <w:p w:rsidR="004B3AE0" w:rsidRDefault="004B3AE0" w:rsidP="0022323B">
    <w:pPr>
      <w:tabs>
        <w:tab w:val="center" w:pos="4740"/>
      </w:tabs>
      <w:spacing w:line="0" w:lineRule="atLeast"/>
    </w:pPr>
    <w:r>
      <w:tab/>
      <w:t xml:space="preserve">- </w:t>
    </w:r>
    <w:r>
      <w:fldChar w:fldCharType="begin"/>
    </w:r>
    <w:r>
      <w:instrText xml:space="preserve"> PAGE   \* MERGEFORMAT </w:instrText>
    </w:r>
    <w:r>
      <w:fldChar w:fldCharType="separate"/>
    </w:r>
    <w:r w:rsidR="007F6DC5">
      <w:rPr>
        <w:noProof/>
      </w:rPr>
      <w:t>1497</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Pr="00924065" w:rsidRDefault="004B3AE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A87207">
    <w:pPr>
      <w:pStyle w:val="Footer"/>
    </w:pPr>
    <w:r>
      <w:pict>
        <v:rect id="_x0000_i1052" style="width:480.95pt;height:1pt" o:hralign="center" o:hrstd="t" o:hrnoshade="t" o:hr="t" fillcolor="black [3213]" stroked="f"/>
      </w:pict>
    </w:r>
  </w:p>
  <w:p w:rsidR="004B3AE0" w:rsidRPr="00B7374B" w:rsidRDefault="004B3A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4B3AE0" w:rsidRPr="00954D22" w:rsidRDefault="004B3A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F6DC5">
      <w:rPr>
        <w:noProof/>
        <w:szCs w:val="24"/>
      </w:rPr>
      <w:t>1458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AE0" w:rsidRDefault="004B3AE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4B3AE0" w:rsidRPr="0009648D" w:rsidRDefault="004B3AE0" w:rsidP="00ED7E83">
    <w:pPr>
      <w:tabs>
        <w:tab w:val="center" w:pos="4680"/>
      </w:tabs>
    </w:pPr>
    <w:r>
      <w:tab/>
    </w:r>
    <w:r w:rsidRPr="0009648D">
      <w:t xml:space="preserve">- </w:t>
    </w:r>
    <w:r>
      <w:fldChar w:fldCharType="begin"/>
    </w:r>
    <w:r>
      <w:instrText xml:space="preserve"> PAGE   \* MERGEFORMAT </w:instrText>
    </w:r>
    <w:r>
      <w:fldChar w:fldCharType="separate"/>
    </w:r>
    <w:r w:rsidR="007F6DC5">
      <w:rPr>
        <w:noProof/>
      </w:rPr>
      <w:t>1478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pPr>
      <w:pStyle w:val="Footer"/>
      <w:rPr>
        <w:lang w:val="fr-CA"/>
      </w:rPr>
    </w:pPr>
    <w:r>
      <w:rPr>
        <w:lang w:val="fr-CA"/>
      </w:rPr>
      <w:pict>
        <v:rect id="_x0000_i1077" style="width:480.95pt;height:1pt" o:hralign="center" o:hrstd="t" o:hrnoshade="t" o:hr="t" fillcolor="black [3213]" stroked="f"/>
      </w:pict>
    </w:r>
  </w:p>
  <w:p w:rsidR="004B3AE0" w:rsidRDefault="004B3AE0" w:rsidP="00245129">
    <w:pPr>
      <w:tabs>
        <w:tab w:val="center" w:pos="4680"/>
      </w:tabs>
    </w:pPr>
    <w:r>
      <w:tab/>
    </w:r>
    <w:r w:rsidRPr="0009648D">
      <w:t xml:space="preserve">- </w:t>
    </w:r>
    <w:r>
      <w:fldChar w:fldCharType="begin"/>
    </w:r>
    <w:r>
      <w:instrText xml:space="preserve"> PAGE   \* MERGEFORMAT </w:instrText>
    </w:r>
    <w:r>
      <w:fldChar w:fldCharType="separate"/>
    </w:r>
    <w:r w:rsidR="007F6DC5">
      <w:rPr>
        <w:noProof/>
      </w:rPr>
      <w:t>1459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3AE0" w:rsidRDefault="004B3AE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7F6DC5" w:rsidP="00755F22">
    <w:pPr>
      <w:tabs>
        <w:tab w:val="left" w:pos="-1440"/>
        <w:tab w:val="left" w:pos="-720"/>
      </w:tabs>
    </w:pPr>
    <w:r>
      <w:pict>
        <v:rect id="_x0000_i1079" style="width:480.95pt;height:1pt" o:hralign="center" o:hrstd="t" o:hrnoshade="t" o:hr="t" fillcolor="black [3213]" stroked="f"/>
      </w:pict>
    </w:r>
  </w:p>
  <w:p w:rsidR="004B3AE0" w:rsidRDefault="004B3AE0" w:rsidP="00EB2B90">
    <w:pPr>
      <w:tabs>
        <w:tab w:val="center" w:pos="4680"/>
      </w:tabs>
    </w:pPr>
    <w:r>
      <w:tab/>
      <w:t xml:space="preserve">- </w:t>
    </w:r>
    <w:r>
      <w:fldChar w:fldCharType="begin"/>
    </w:r>
    <w:r>
      <w:instrText xml:space="preserve"> PAGE   \* MERGEFORMAT </w:instrText>
    </w:r>
    <w:r>
      <w:fldChar w:fldCharType="separate"/>
    </w:r>
    <w:r>
      <w:rPr>
        <w:noProof/>
      </w:rPr>
      <w:t>1480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E0" w:rsidRDefault="004B3AE0" w:rsidP="00A87207">
      <w:r>
        <w:separator/>
      </w:r>
    </w:p>
  </w:footnote>
  <w:footnote w:type="continuationSeparator" w:id="0">
    <w:p w:rsidR="004B3AE0" w:rsidRDefault="004B3AE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B3AE0" w:rsidRPr="0044776A" w:rsidTr="00245129">
      <w:tc>
        <w:tcPr>
          <w:tcW w:w="4290" w:type="dxa"/>
          <w:tcMar>
            <w:left w:w="0" w:type="dxa"/>
            <w:right w:w="0" w:type="dxa"/>
          </w:tcMar>
        </w:tcPr>
        <w:p w:rsidR="004B3AE0" w:rsidRPr="0044776A" w:rsidRDefault="004B3AE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B3AE0" w:rsidRPr="0044776A" w:rsidRDefault="004B3AE0" w:rsidP="002E2327">
          <w:pPr>
            <w:keepNext/>
            <w:keepLines/>
            <w:tabs>
              <w:tab w:val="left" w:pos="-1440"/>
              <w:tab w:val="left" w:pos="-720"/>
            </w:tabs>
            <w:jc w:val="center"/>
            <w:rPr>
              <w:sz w:val="20"/>
              <w:szCs w:val="20"/>
            </w:rPr>
          </w:pPr>
        </w:p>
        <w:p w:rsidR="004B3AE0" w:rsidRPr="0044776A" w:rsidRDefault="004B3AE0" w:rsidP="002E2327">
          <w:pPr>
            <w:keepNext/>
            <w:keepLines/>
            <w:tabs>
              <w:tab w:val="left" w:pos="-1440"/>
              <w:tab w:val="left" w:pos="-720"/>
            </w:tabs>
            <w:jc w:val="center"/>
            <w:rPr>
              <w:sz w:val="20"/>
              <w:szCs w:val="20"/>
            </w:rPr>
          </w:pPr>
        </w:p>
        <w:p w:rsidR="004B3AE0" w:rsidRPr="0044776A" w:rsidRDefault="004B3AE0" w:rsidP="002E2327">
          <w:pPr>
            <w:keepNext/>
            <w:keepLines/>
            <w:tabs>
              <w:tab w:val="left" w:pos="-1440"/>
              <w:tab w:val="left" w:pos="-720"/>
            </w:tabs>
            <w:jc w:val="center"/>
            <w:rPr>
              <w:sz w:val="20"/>
              <w:szCs w:val="20"/>
            </w:rPr>
          </w:pPr>
        </w:p>
      </w:tc>
      <w:tc>
        <w:tcPr>
          <w:tcW w:w="4320" w:type="dxa"/>
          <w:tcMar>
            <w:left w:w="0" w:type="dxa"/>
            <w:right w:w="0" w:type="dxa"/>
          </w:tcMar>
        </w:tcPr>
        <w:p w:rsidR="004B3AE0" w:rsidRPr="0044776A" w:rsidRDefault="004B3AE0" w:rsidP="002E2327">
          <w:pPr>
            <w:keepLines/>
            <w:rPr>
              <w:sz w:val="20"/>
              <w:szCs w:val="20"/>
              <w:lang w:val="fr-CA"/>
            </w:rPr>
          </w:pPr>
          <w:r w:rsidRPr="0044776A">
            <w:rPr>
              <w:sz w:val="20"/>
              <w:szCs w:val="20"/>
              <w:lang w:val="fr-CA"/>
            </w:rPr>
            <w:t>DEMANDES D'AUTORISATION D'APPEL DÉPOSÉES</w:t>
          </w:r>
        </w:p>
      </w:tc>
    </w:tr>
  </w:tbl>
  <w:p w:rsidR="004B3AE0" w:rsidRDefault="004B3A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tc>
        <w:tcPr>
          <w:tcW w:w="420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AE0" w:rsidRPr="00283C52"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B3AE0" w:rsidRPr="00283C52"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3AE0" w:rsidRPr="00283C52"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rsidTr="00245129">
      <w:tc>
        <w:tcPr>
          <w:tcW w:w="4200" w:type="dxa"/>
          <w:tcMar>
            <w:left w:w="0" w:type="dxa"/>
            <w:right w:w="0" w:type="dxa"/>
          </w:tcMar>
        </w:tcPr>
        <w:p w:rsidR="004B3AE0" w:rsidRPr="00732DB7" w:rsidRDefault="004B3AE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B3AE0" w:rsidRPr="00732DB7" w:rsidRDefault="004B3AE0" w:rsidP="00732DB7">
          <w:pPr>
            <w:keepNext/>
            <w:keepLines/>
            <w:tabs>
              <w:tab w:val="left" w:pos="-1440"/>
              <w:tab w:val="left" w:pos="-720"/>
            </w:tabs>
            <w:jc w:val="center"/>
            <w:rPr>
              <w:sz w:val="20"/>
              <w:szCs w:val="20"/>
            </w:rPr>
          </w:pPr>
        </w:p>
        <w:p w:rsidR="004B3AE0" w:rsidRPr="00732DB7" w:rsidRDefault="004B3AE0" w:rsidP="00732DB7">
          <w:pPr>
            <w:keepNext/>
            <w:keepLines/>
            <w:tabs>
              <w:tab w:val="left" w:pos="-1440"/>
              <w:tab w:val="left" w:pos="-720"/>
            </w:tabs>
            <w:jc w:val="center"/>
            <w:rPr>
              <w:sz w:val="20"/>
              <w:szCs w:val="20"/>
            </w:rPr>
          </w:pPr>
        </w:p>
        <w:p w:rsidR="004B3AE0" w:rsidRPr="00732DB7" w:rsidRDefault="004B3AE0" w:rsidP="00732DB7">
          <w:pPr>
            <w:keepNext/>
            <w:keepLines/>
            <w:tabs>
              <w:tab w:val="left" w:pos="-1440"/>
              <w:tab w:val="left" w:pos="-720"/>
            </w:tabs>
            <w:jc w:val="center"/>
            <w:rPr>
              <w:sz w:val="20"/>
              <w:szCs w:val="20"/>
            </w:rPr>
          </w:pPr>
        </w:p>
      </w:tc>
      <w:tc>
        <w:tcPr>
          <w:tcW w:w="4080" w:type="dxa"/>
          <w:tcMar>
            <w:left w:w="0" w:type="dxa"/>
            <w:right w:w="0" w:type="dxa"/>
          </w:tcMar>
        </w:tcPr>
        <w:p w:rsidR="004B3AE0" w:rsidRPr="00732DB7" w:rsidRDefault="004B3AE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B3AE0" w:rsidRPr="00283C52" w:rsidRDefault="004B3AE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tc>
        <w:tcPr>
          <w:tcW w:w="420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B3AE0" w:rsidRPr="003C2C0F"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B3AE0" w:rsidRPr="003C2C0F"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B3AE0" w:rsidRPr="003C2C0F"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rsidTr="00245129">
      <w:tc>
        <w:tcPr>
          <w:tcW w:w="4200" w:type="dxa"/>
          <w:tcMar>
            <w:left w:w="0" w:type="dxa"/>
            <w:right w:w="0" w:type="dxa"/>
          </w:tcMar>
        </w:tcPr>
        <w:p w:rsidR="004B3AE0" w:rsidRPr="00FF6EEC" w:rsidRDefault="004B3AE0" w:rsidP="00FF6EEC">
          <w:pPr>
            <w:rPr>
              <w:sz w:val="20"/>
              <w:szCs w:val="20"/>
            </w:rPr>
          </w:pPr>
          <w:r w:rsidRPr="00FF6EEC">
            <w:rPr>
              <w:sz w:val="20"/>
              <w:szCs w:val="20"/>
            </w:rPr>
            <w:t>PRONOUNCEMENTS OF APPEALS RESERVED</w:t>
          </w:r>
        </w:p>
      </w:tc>
      <w:tc>
        <w:tcPr>
          <w:tcW w:w="1200" w:type="dxa"/>
          <w:tcMar>
            <w:left w:w="0" w:type="dxa"/>
            <w:right w:w="0" w:type="dxa"/>
          </w:tcMar>
        </w:tcPr>
        <w:p w:rsidR="004B3AE0" w:rsidRPr="00FF6EEC" w:rsidRDefault="004B3AE0" w:rsidP="00FF6EEC">
          <w:pPr>
            <w:jc w:val="center"/>
            <w:rPr>
              <w:sz w:val="20"/>
              <w:szCs w:val="20"/>
            </w:rPr>
          </w:pPr>
        </w:p>
        <w:p w:rsidR="004B3AE0" w:rsidRPr="00FF6EEC" w:rsidRDefault="004B3AE0" w:rsidP="00FF6EEC">
          <w:pPr>
            <w:jc w:val="center"/>
            <w:rPr>
              <w:sz w:val="20"/>
              <w:szCs w:val="20"/>
            </w:rPr>
          </w:pPr>
        </w:p>
        <w:p w:rsidR="004B3AE0" w:rsidRPr="00FF6EEC" w:rsidRDefault="004B3AE0" w:rsidP="00FF6EEC">
          <w:pPr>
            <w:jc w:val="center"/>
            <w:rPr>
              <w:sz w:val="20"/>
              <w:szCs w:val="20"/>
            </w:rPr>
          </w:pPr>
        </w:p>
      </w:tc>
      <w:tc>
        <w:tcPr>
          <w:tcW w:w="4080" w:type="dxa"/>
          <w:tcMar>
            <w:left w:w="0" w:type="dxa"/>
            <w:right w:w="0" w:type="dxa"/>
          </w:tcMar>
        </w:tcPr>
        <w:p w:rsidR="004B3AE0" w:rsidRPr="00FF6EEC" w:rsidRDefault="004B3AE0" w:rsidP="00FF6EEC">
          <w:pPr>
            <w:rPr>
              <w:sz w:val="20"/>
              <w:szCs w:val="20"/>
              <w:lang w:val="fr-CA"/>
            </w:rPr>
          </w:pPr>
          <w:r w:rsidRPr="00FF6EEC">
            <w:rPr>
              <w:sz w:val="20"/>
              <w:szCs w:val="20"/>
              <w:lang w:val="fr-CA"/>
            </w:rPr>
            <w:t>JUGEMENTS RENDUS SUR LES APPELS EN DÉLIBÉRÉ</w:t>
          </w:r>
        </w:p>
      </w:tc>
    </w:tr>
  </w:tbl>
  <w:p w:rsidR="004B3AE0" w:rsidRPr="003C2C0F" w:rsidRDefault="004B3AE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B3AE0">
      <w:tc>
        <w:tcPr>
          <w:tcW w:w="423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3AE0"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4B3AE0" w:rsidRDefault="004B3AE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B3AE0" w:rsidRPr="00782AE4" w:rsidTr="00245129">
      <w:tc>
        <w:tcPr>
          <w:tcW w:w="4230" w:type="dxa"/>
          <w:tcMar>
            <w:left w:w="0" w:type="dxa"/>
            <w:right w:w="0" w:type="dxa"/>
          </w:tcMar>
        </w:tcPr>
        <w:p w:rsidR="004B3AE0" w:rsidRPr="00782AE4" w:rsidRDefault="004B3AE0" w:rsidP="00102926">
          <w:pPr>
            <w:keepNext/>
            <w:keepLines/>
            <w:tabs>
              <w:tab w:val="left" w:pos="-1440"/>
              <w:tab w:val="left" w:pos="-720"/>
            </w:tabs>
            <w:rPr>
              <w:sz w:val="20"/>
              <w:szCs w:val="20"/>
            </w:rPr>
          </w:pPr>
          <w:r w:rsidRPr="00782AE4">
            <w:rPr>
              <w:sz w:val="20"/>
              <w:szCs w:val="20"/>
            </w:rPr>
            <w:t xml:space="preserve">HEADNOTES OF RECENT </w:t>
          </w:r>
        </w:p>
        <w:p w:rsidR="004B3AE0" w:rsidRPr="00782AE4"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3AE0" w:rsidRDefault="004B3AE0" w:rsidP="00102926">
          <w:pPr>
            <w:keepNext/>
            <w:keepLines/>
            <w:tabs>
              <w:tab w:val="left" w:pos="-1440"/>
              <w:tab w:val="left" w:pos="-720"/>
            </w:tabs>
            <w:jc w:val="center"/>
            <w:rPr>
              <w:sz w:val="20"/>
              <w:szCs w:val="20"/>
            </w:rPr>
          </w:pPr>
        </w:p>
        <w:p w:rsidR="004B3AE0" w:rsidRDefault="004B3AE0" w:rsidP="00102926">
          <w:pPr>
            <w:keepNext/>
            <w:keepLines/>
            <w:tabs>
              <w:tab w:val="left" w:pos="-1440"/>
              <w:tab w:val="left" w:pos="-720"/>
            </w:tabs>
            <w:jc w:val="center"/>
            <w:rPr>
              <w:sz w:val="20"/>
              <w:szCs w:val="20"/>
            </w:rPr>
          </w:pPr>
        </w:p>
        <w:p w:rsidR="004B3AE0" w:rsidRPr="00782AE4" w:rsidRDefault="004B3AE0" w:rsidP="00102926">
          <w:pPr>
            <w:keepNext/>
            <w:keepLines/>
            <w:tabs>
              <w:tab w:val="left" w:pos="-1440"/>
              <w:tab w:val="left" w:pos="-720"/>
            </w:tabs>
            <w:jc w:val="center"/>
            <w:rPr>
              <w:sz w:val="20"/>
              <w:szCs w:val="20"/>
            </w:rPr>
          </w:pPr>
        </w:p>
      </w:tc>
      <w:tc>
        <w:tcPr>
          <w:tcW w:w="4080" w:type="dxa"/>
          <w:tcMar>
            <w:left w:w="0" w:type="dxa"/>
            <w:right w:w="0" w:type="dxa"/>
          </w:tcMar>
        </w:tcPr>
        <w:p w:rsidR="004B3AE0" w:rsidRPr="00102926"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3AE0" w:rsidRPr="00782AE4" w:rsidRDefault="004B3AE0" w:rsidP="00102926">
          <w:pPr>
            <w:keepLines/>
            <w:tabs>
              <w:tab w:val="left" w:pos="-1440"/>
              <w:tab w:val="left" w:pos="-720"/>
            </w:tabs>
            <w:rPr>
              <w:sz w:val="20"/>
              <w:szCs w:val="20"/>
            </w:rPr>
          </w:pPr>
          <w:r w:rsidRPr="00102926">
            <w:rPr>
              <w:sz w:val="20"/>
              <w:szCs w:val="20"/>
              <w:lang w:val="fr-CA"/>
            </w:rPr>
            <w:t>RÉCENTS</w:t>
          </w:r>
        </w:p>
      </w:tc>
    </w:tr>
  </w:tbl>
  <w:p w:rsidR="004B3AE0" w:rsidRDefault="004B3AE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B3AE0" w:rsidRDefault="004B3AE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p w:rsidR="004B3AE0" w:rsidRDefault="004B3A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AE0">
      <w:tc>
        <w:tcPr>
          <w:tcW w:w="4200" w:type="dxa"/>
          <w:tcMar>
            <w:left w:w="0" w:type="dxa"/>
            <w:right w:w="0" w:type="dxa"/>
          </w:tcMar>
        </w:tcPr>
        <w:p w:rsidR="004B3AE0" w:rsidRDefault="004B3AE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4B3AE0" w:rsidRDefault="004B3AE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4B3AE0" w:rsidRDefault="004B3AE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4B3AE0" w:rsidRDefault="004B3AE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4B3AE0" w:rsidRDefault="004B3AE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4B3AE0" w:rsidRDefault="004B3AE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AE0" w:rsidRPr="00C50A5C" w:rsidTr="00245129">
      <w:tc>
        <w:tcPr>
          <w:tcW w:w="4200" w:type="dxa"/>
          <w:tcMar>
            <w:left w:w="0" w:type="dxa"/>
            <w:right w:w="0" w:type="dxa"/>
          </w:tcMar>
        </w:tcPr>
        <w:p w:rsidR="004B3AE0" w:rsidRPr="00C50A5C" w:rsidRDefault="004B3AE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4B3AE0" w:rsidRPr="00C50A5C" w:rsidRDefault="004B3AE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4B3AE0" w:rsidRPr="00C50A5C" w:rsidRDefault="004B3AE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4B3AE0" w:rsidRPr="00C50A5C" w:rsidRDefault="004B3AE0"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4B3AE0" w:rsidRDefault="004B3AE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AE0" w:rsidRPr="005F263E" w:rsidTr="00245129">
      <w:tc>
        <w:tcPr>
          <w:tcW w:w="4200" w:type="dxa"/>
          <w:tcMar>
            <w:left w:w="0" w:type="dxa"/>
            <w:right w:w="0" w:type="dxa"/>
          </w:tcMar>
        </w:tcPr>
        <w:p w:rsidR="004B3AE0" w:rsidRPr="005F263E" w:rsidRDefault="004B3AE0"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4B3AE0" w:rsidRPr="005F263E" w:rsidRDefault="004B3AE0" w:rsidP="00245129">
          <w:pPr>
            <w:keepNext/>
            <w:keepLines/>
            <w:tabs>
              <w:tab w:val="left" w:pos="-1440"/>
              <w:tab w:val="left" w:pos="-720"/>
            </w:tabs>
            <w:jc w:val="center"/>
            <w:rPr>
              <w:sz w:val="20"/>
              <w:szCs w:val="20"/>
            </w:rPr>
          </w:pPr>
        </w:p>
        <w:p w:rsidR="004B3AE0" w:rsidRPr="005F263E" w:rsidRDefault="004B3AE0" w:rsidP="00245129">
          <w:pPr>
            <w:keepNext/>
            <w:keepLines/>
            <w:tabs>
              <w:tab w:val="left" w:pos="-1440"/>
              <w:tab w:val="left" w:pos="-720"/>
            </w:tabs>
            <w:jc w:val="center"/>
            <w:rPr>
              <w:sz w:val="20"/>
              <w:szCs w:val="20"/>
            </w:rPr>
          </w:pPr>
        </w:p>
      </w:tc>
      <w:tc>
        <w:tcPr>
          <w:tcW w:w="4080" w:type="dxa"/>
          <w:tcMar>
            <w:left w:w="0" w:type="dxa"/>
            <w:right w:w="0" w:type="dxa"/>
          </w:tcMar>
        </w:tcPr>
        <w:p w:rsidR="004B3AE0" w:rsidRPr="005F263E" w:rsidRDefault="004B3AE0" w:rsidP="00245129">
          <w:pPr>
            <w:keepLines/>
            <w:tabs>
              <w:tab w:val="left" w:pos="-1440"/>
              <w:tab w:val="left" w:pos="-720"/>
            </w:tabs>
            <w:rPr>
              <w:sz w:val="20"/>
              <w:szCs w:val="20"/>
            </w:rPr>
          </w:pPr>
          <w:r w:rsidRPr="005F263E">
            <w:rPr>
              <w:sz w:val="20"/>
              <w:szCs w:val="20"/>
            </w:rPr>
            <w:t>RÉSUMÉS DES AFFAIRES</w:t>
          </w:r>
        </w:p>
      </w:tc>
    </w:tr>
  </w:tbl>
  <w:p w:rsidR="004B3AE0" w:rsidRDefault="004B3AE0" w:rsidP="005F263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rsidTr="00245129">
      <w:tc>
        <w:tcPr>
          <w:tcW w:w="4200" w:type="dxa"/>
          <w:tcMar>
            <w:left w:w="0" w:type="dxa"/>
            <w:right w:w="0" w:type="dxa"/>
          </w:tcMar>
        </w:tcPr>
        <w:p w:rsidR="004B3AE0" w:rsidRPr="0044776A" w:rsidRDefault="004B3AE0" w:rsidP="0044776A">
          <w:pPr>
            <w:keepNext/>
            <w:keepLines/>
            <w:widowControl w:val="0"/>
            <w:rPr>
              <w:sz w:val="20"/>
              <w:szCs w:val="20"/>
            </w:rPr>
          </w:pPr>
          <w:r>
            <w:rPr>
              <w:sz w:val="20"/>
              <w:szCs w:val="20"/>
            </w:rPr>
            <w:t>APPLICATIONS FOR LEAVE</w:t>
          </w:r>
        </w:p>
        <w:p w:rsidR="004B3AE0" w:rsidRPr="0044776A" w:rsidRDefault="004B3AE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B3AE0" w:rsidRPr="0044776A" w:rsidRDefault="004B3AE0" w:rsidP="0044776A">
          <w:pPr>
            <w:keepNext/>
            <w:keepLines/>
            <w:widowControl w:val="0"/>
            <w:jc w:val="center"/>
            <w:rPr>
              <w:sz w:val="20"/>
              <w:szCs w:val="20"/>
            </w:rPr>
          </w:pPr>
        </w:p>
        <w:p w:rsidR="004B3AE0" w:rsidRPr="0044776A" w:rsidRDefault="004B3AE0" w:rsidP="0044776A">
          <w:pPr>
            <w:keepNext/>
            <w:keepLines/>
            <w:widowControl w:val="0"/>
            <w:jc w:val="center"/>
            <w:rPr>
              <w:sz w:val="20"/>
              <w:szCs w:val="20"/>
            </w:rPr>
          </w:pPr>
        </w:p>
        <w:p w:rsidR="004B3AE0" w:rsidRPr="0044776A" w:rsidRDefault="004B3AE0" w:rsidP="0044776A">
          <w:pPr>
            <w:keepNext/>
            <w:keepLines/>
            <w:widowControl w:val="0"/>
            <w:jc w:val="center"/>
            <w:rPr>
              <w:sz w:val="20"/>
              <w:szCs w:val="20"/>
            </w:rPr>
          </w:pPr>
        </w:p>
      </w:tc>
      <w:tc>
        <w:tcPr>
          <w:tcW w:w="4080" w:type="dxa"/>
          <w:tcMar>
            <w:left w:w="0" w:type="dxa"/>
            <w:right w:w="0" w:type="dxa"/>
          </w:tcMar>
        </w:tcPr>
        <w:p w:rsidR="004B3AE0" w:rsidRPr="0044776A" w:rsidRDefault="004B3AE0" w:rsidP="0044776A">
          <w:pPr>
            <w:keepLines/>
            <w:widowControl w:val="0"/>
            <w:rPr>
              <w:sz w:val="20"/>
              <w:szCs w:val="20"/>
              <w:lang w:val="fr-CA"/>
            </w:rPr>
          </w:pPr>
          <w:r w:rsidRPr="0044776A">
            <w:rPr>
              <w:sz w:val="20"/>
              <w:szCs w:val="20"/>
              <w:lang w:val="fr-CA"/>
            </w:rPr>
            <w:t>DEMANDES SOUMISES À LA COUR DEPUIS LA DERNIÈRE PARUTION</w:t>
          </w:r>
        </w:p>
        <w:p w:rsidR="004B3AE0" w:rsidRPr="0044776A" w:rsidRDefault="004B3AE0" w:rsidP="0044776A">
          <w:pPr>
            <w:widowControl w:val="0"/>
            <w:rPr>
              <w:sz w:val="20"/>
              <w:szCs w:val="20"/>
              <w:lang w:val="fr-CA"/>
            </w:rPr>
          </w:pPr>
        </w:p>
      </w:tc>
    </w:tr>
  </w:tbl>
  <w:p w:rsidR="004B3AE0" w:rsidRPr="002E2327" w:rsidRDefault="004B3AE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tc>
        <w:tcPr>
          <w:tcW w:w="420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3AE0"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AE0" w:rsidRPr="00FF6BA5"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3AE0" w:rsidRPr="00FF6BA5"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3AE0" w:rsidRPr="00FF6BA5"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3AE0" w:rsidRPr="00FF6BA5"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3AE0" w:rsidRPr="007F6DC5" w:rsidTr="00245129">
      <w:tc>
        <w:tcPr>
          <w:tcW w:w="4200" w:type="dxa"/>
          <w:tcMar>
            <w:left w:w="0" w:type="dxa"/>
            <w:right w:w="0" w:type="dxa"/>
          </w:tcMar>
        </w:tcPr>
        <w:p w:rsidR="004B3AE0" w:rsidRPr="00755F22"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B3AE0" w:rsidRPr="00755F22"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B3AE0" w:rsidRPr="00755F22" w:rsidRDefault="004B3A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3AE0" w:rsidRPr="00755F22" w:rsidRDefault="004B3A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3AE0" w:rsidRPr="00755F22" w:rsidRDefault="004B3A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3AE0" w:rsidRPr="00755F22"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B3AE0" w:rsidRPr="00FF6BA5" w:rsidRDefault="004B3AE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E0" w:rsidRDefault="004B3A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B3AE0">
      <w:tc>
        <w:tcPr>
          <w:tcW w:w="4230" w:type="dxa"/>
          <w:tcMar>
            <w:left w:w="0" w:type="dxa"/>
            <w:right w:w="0" w:type="dxa"/>
          </w:tcMar>
        </w:tcPr>
        <w:p w:rsidR="004B3AE0" w:rsidRDefault="004B3A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B3AE0"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3AE0" w:rsidRDefault="004B3A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B3AE0">
      <w:trPr>
        <w:gridAfter w:val="2"/>
        <w:wAfter w:w="5250" w:type="dxa"/>
      </w:trPr>
      <w:tc>
        <w:tcPr>
          <w:tcW w:w="4230" w:type="dxa"/>
          <w:tcMar>
            <w:left w:w="0" w:type="dxa"/>
            <w:right w:w="0" w:type="dxa"/>
          </w:tcMar>
        </w:tcPr>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3AE0" w:rsidRDefault="004B3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B3AE0" w:rsidRPr="00755F22" w:rsidTr="00245129">
      <w:tc>
        <w:tcPr>
          <w:tcW w:w="4230" w:type="dxa"/>
          <w:tcMar>
            <w:left w:w="0" w:type="dxa"/>
            <w:right w:w="0" w:type="dxa"/>
          </w:tcMar>
        </w:tcPr>
        <w:p w:rsidR="004B3AE0" w:rsidRPr="00755F22" w:rsidRDefault="004B3AE0" w:rsidP="00831CA9">
          <w:pPr>
            <w:keepNext/>
            <w:keepLines/>
            <w:rPr>
              <w:sz w:val="20"/>
              <w:szCs w:val="20"/>
            </w:rPr>
          </w:pPr>
          <w:r w:rsidRPr="00755F22">
            <w:rPr>
              <w:sz w:val="20"/>
              <w:szCs w:val="20"/>
            </w:rPr>
            <w:t>MOTIONS</w:t>
          </w:r>
        </w:p>
      </w:tc>
      <w:tc>
        <w:tcPr>
          <w:tcW w:w="1170" w:type="dxa"/>
          <w:tcMar>
            <w:left w:w="0" w:type="dxa"/>
            <w:right w:w="0" w:type="dxa"/>
          </w:tcMar>
        </w:tcPr>
        <w:p w:rsidR="004B3AE0" w:rsidRPr="00755F22" w:rsidRDefault="004B3AE0" w:rsidP="00831CA9">
          <w:pPr>
            <w:keepLines/>
            <w:jc w:val="center"/>
            <w:rPr>
              <w:sz w:val="20"/>
              <w:szCs w:val="20"/>
            </w:rPr>
          </w:pPr>
        </w:p>
        <w:p w:rsidR="004B3AE0" w:rsidRPr="00755F22" w:rsidRDefault="004B3AE0" w:rsidP="00831CA9">
          <w:pPr>
            <w:keepLines/>
            <w:tabs>
              <w:tab w:val="left" w:pos="-1440"/>
              <w:tab w:val="left" w:pos="-720"/>
            </w:tabs>
            <w:jc w:val="center"/>
            <w:rPr>
              <w:sz w:val="20"/>
              <w:szCs w:val="20"/>
            </w:rPr>
          </w:pPr>
        </w:p>
      </w:tc>
      <w:tc>
        <w:tcPr>
          <w:tcW w:w="4080" w:type="dxa"/>
          <w:tcMar>
            <w:left w:w="0" w:type="dxa"/>
            <w:right w:w="0" w:type="dxa"/>
          </w:tcMar>
        </w:tcPr>
        <w:p w:rsidR="004B3AE0" w:rsidRPr="00BA6468" w:rsidRDefault="004B3AE0" w:rsidP="00BA6468">
          <w:pPr>
            <w:keepLines/>
            <w:rPr>
              <w:sz w:val="20"/>
              <w:szCs w:val="20"/>
              <w:lang w:val="fr-CA"/>
            </w:rPr>
          </w:pPr>
          <w:r w:rsidRPr="00BA6468">
            <w:rPr>
              <w:sz w:val="20"/>
              <w:szCs w:val="20"/>
              <w:lang w:val="fr-CA"/>
            </w:rPr>
            <w:t>REQUÊTES</w:t>
          </w:r>
        </w:p>
      </w:tc>
    </w:tr>
  </w:tbl>
  <w:p w:rsidR="004B3AE0" w:rsidRDefault="004B3AE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D87CF9"/>
    <w:multiLevelType w:val="hybridMultilevel"/>
    <w:tmpl w:val="A56C8EBA"/>
    <w:lvl w:ilvl="0" w:tplc="E92E1F52">
      <w:start w:val="1"/>
      <w:numFmt w:val="decimal"/>
      <w:pStyle w:val="Factum"/>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6F76D6"/>
    <w:multiLevelType w:val="hybridMultilevel"/>
    <w:tmpl w:val="D0724F82"/>
    <w:lvl w:ilvl="0" w:tplc="37FE88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71"/>
    <w:rsid w:val="00002704"/>
    <w:rsid w:val="00012727"/>
    <w:rsid w:val="00020DC3"/>
    <w:rsid w:val="0003223B"/>
    <w:rsid w:val="000327B2"/>
    <w:rsid w:val="0004528B"/>
    <w:rsid w:val="00064FBA"/>
    <w:rsid w:val="000743E2"/>
    <w:rsid w:val="00091159"/>
    <w:rsid w:val="00091FA6"/>
    <w:rsid w:val="00096BD9"/>
    <w:rsid w:val="000B3C9A"/>
    <w:rsid w:val="000B40A2"/>
    <w:rsid w:val="000B4624"/>
    <w:rsid w:val="000C0ACD"/>
    <w:rsid w:val="000C0D2A"/>
    <w:rsid w:val="000C5CE8"/>
    <w:rsid w:val="000E0C03"/>
    <w:rsid w:val="000E27A5"/>
    <w:rsid w:val="000E2959"/>
    <w:rsid w:val="000F0B60"/>
    <w:rsid w:val="00102926"/>
    <w:rsid w:val="0010587F"/>
    <w:rsid w:val="00111C6B"/>
    <w:rsid w:val="0012102B"/>
    <w:rsid w:val="00124AEA"/>
    <w:rsid w:val="0013369E"/>
    <w:rsid w:val="0013595D"/>
    <w:rsid w:val="001448AB"/>
    <w:rsid w:val="00164E6D"/>
    <w:rsid w:val="00183454"/>
    <w:rsid w:val="001B157C"/>
    <w:rsid w:val="001B4006"/>
    <w:rsid w:val="001B5C23"/>
    <w:rsid w:val="001D0D5F"/>
    <w:rsid w:val="001D68AE"/>
    <w:rsid w:val="001D6B35"/>
    <w:rsid w:val="001D6B8C"/>
    <w:rsid w:val="001F1F83"/>
    <w:rsid w:val="001F40DF"/>
    <w:rsid w:val="001F6B2D"/>
    <w:rsid w:val="001F7BE5"/>
    <w:rsid w:val="002021A9"/>
    <w:rsid w:val="002139A7"/>
    <w:rsid w:val="00215F7C"/>
    <w:rsid w:val="0022323B"/>
    <w:rsid w:val="002309FB"/>
    <w:rsid w:val="002410B8"/>
    <w:rsid w:val="00242AEE"/>
    <w:rsid w:val="00245129"/>
    <w:rsid w:val="00245879"/>
    <w:rsid w:val="00245A59"/>
    <w:rsid w:val="00253236"/>
    <w:rsid w:val="00267FD5"/>
    <w:rsid w:val="00274D34"/>
    <w:rsid w:val="00280F42"/>
    <w:rsid w:val="00283ED8"/>
    <w:rsid w:val="002868D0"/>
    <w:rsid w:val="002A008C"/>
    <w:rsid w:val="002A26C0"/>
    <w:rsid w:val="002A27D1"/>
    <w:rsid w:val="002A4AFA"/>
    <w:rsid w:val="002B089C"/>
    <w:rsid w:val="002B516C"/>
    <w:rsid w:val="002C3B6B"/>
    <w:rsid w:val="002D72EB"/>
    <w:rsid w:val="002E2327"/>
    <w:rsid w:val="002E3583"/>
    <w:rsid w:val="002E5576"/>
    <w:rsid w:val="0030050B"/>
    <w:rsid w:val="00307922"/>
    <w:rsid w:val="003104F9"/>
    <w:rsid w:val="00331B52"/>
    <w:rsid w:val="003359D3"/>
    <w:rsid w:val="00355967"/>
    <w:rsid w:val="00382C47"/>
    <w:rsid w:val="00384384"/>
    <w:rsid w:val="003866AE"/>
    <w:rsid w:val="003B3977"/>
    <w:rsid w:val="003E1D4C"/>
    <w:rsid w:val="003F33E4"/>
    <w:rsid w:val="0040091B"/>
    <w:rsid w:val="004027B0"/>
    <w:rsid w:val="004137A0"/>
    <w:rsid w:val="00422D9A"/>
    <w:rsid w:val="00432989"/>
    <w:rsid w:val="00440E24"/>
    <w:rsid w:val="0044776A"/>
    <w:rsid w:val="00460AFC"/>
    <w:rsid w:val="0047471F"/>
    <w:rsid w:val="004B195E"/>
    <w:rsid w:val="004B3AE0"/>
    <w:rsid w:val="004B66B4"/>
    <w:rsid w:val="004B7F60"/>
    <w:rsid w:val="004C18EE"/>
    <w:rsid w:val="004C1AAC"/>
    <w:rsid w:val="004E1E0A"/>
    <w:rsid w:val="004F090E"/>
    <w:rsid w:val="00501F3C"/>
    <w:rsid w:val="00504A45"/>
    <w:rsid w:val="0052229C"/>
    <w:rsid w:val="00526C95"/>
    <w:rsid w:val="00527CC7"/>
    <w:rsid w:val="00555D9A"/>
    <w:rsid w:val="00571CA4"/>
    <w:rsid w:val="00582136"/>
    <w:rsid w:val="005C6840"/>
    <w:rsid w:val="005E1164"/>
    <w:rsid w:val="005E7D40"/>
    <w:rsid w:val="005F1ED8"/>
    <w:rsid w:val="005F263E"/>
    <w:rsid w:val="00600252"/>
    <w:rsid w:val="00612A40"/>
    <w:rsid w:val="00613837"/>
    <w:rsid w:val="0062714A"/>
    <w:rsid w:val="00647E9D"/>
    <w:rsid w:val="00673B74"/>
    <w:rsid w:val="00675479"/>
    <w:rsid w:val="00680709"/>
    <w:rsid w:val="00681F61"/>
    <w:rsid w:val="0069179D"/>
    <w:rsid w:val="00696BF9"/>
    <w:rsid w:val="00697C62"/>
    <w:rsid w:val="006A329B"/>
    <w:rsid w:val="006A7EB8"/>
    <w:rsid w:val="006B31CB"/>
    <w:rsid w:val="006B6926"/>
    <w:rsid w:val="006C3F47"/>
    <w:rsid w:val="006C5F7A"/>
    <w:rsid w:val="006E06AF"/>
    <w:rsid w:val="006F143E"/>
    <w:rsid w:val="006F350F"/>
    <w:rsid w:val="00704530"/>
    <w:rsid w:val="00732DB7"/>
    <w:rsid w:val="0074238B"/>
    <w:rsid w:val="00745EF7"/>
    <w:rsid w:val="00753B71"/>
    <w:rsid w:val="00755F22"/>
    <w:rsid w:val="00766E4A"/>
    <w:rsid w:val="00775843"/>
    <w:rsid w:val="007820CE"/>
    <w:rsid w:val="00782AE4"/>
    <w:rsid w:val="00793E99"/>
    <w:rsid w:val="0079724F"/>
    <w:rsid w:val="00797827"/>
    <w:rsid w:val="007A10F0"/>
    <w:rsid w:val="007A3EAE"/>
    <w:rsid w:val="007C04FC"/>
    <w:rsid w:val="007C3DB0"/>
    <w:rsid w:val="007C47C2"/>
    <w:rsid w:val="007D3E0F"/>
    <w:rsid w:val="007E4282"/>
    <w:rsid w:val="007F387B"/>
    <w:rsid w:val="007F6DC5"/>
    <w:rsid w:val="00802863"/>
    <w:rsid w:val="008037C7"/>
    <w:rsid w:val="008112A9"/>
    <w:rsid w:val="00813871"/>
    <w:rsid w:val="0081473A"/>
    <w:rsid w:val="00815B3C"/>
    <w:rsid w:val="0081610A"/>
    <w:rsid w:val="00824616"/>
    <w:rsid w:val="0082783A"/>
    <w:rsid w:val="00831CA9"/>
    <w:rsid w:val="00850E1F"/>
    <w:rsid w:val="0085476B"/>
    <w:rsid w:val="0086340B"/>
    <w:rsid w:val="008902B1"/>
    <w:rsid w:val="00890FEB"/>
    <w:rsid w:val="00895E7E"/>
    <w:rsid w:val="008A1B8A"/>
    <w:rsid w:val="008A5C1A"/>
    <w:rsid w:val="008A6A30"/>
    <w:rsid w:val="008B0F67"/>
    <w:rsid w:val="008D292F"/>
    <w:rsid w:val="008D6E1C"/>
    <w:rsid w:val="008E03DC"/>
    <w:rsid w:val="008E1F61"/>
    <w:rsid w:val="008F7FB3"/>
    <w:rsid w:val="00902E51"/>
    <w:rsid w:val="00913864"/>
    <w:rsid w:val="009168CB"/>
    <w:rsid w:val="00924065"/>
    <w:rsid w:val="00930D68"/>
    <w:rsid w:val="00932DB4"/>
    <w:rsid w:val="00936CCF"/>
    <w:rsid w:val="00941A4B"/>
    <w:rsid w:val="00946242"/>
    <w:rsid w:val="0095096B"/>
    <w:rsid w:val="00970CD3"/>
    <w:rsid w:val="009723FA"/>
    <w:rsid w:val="00972A00"/>
    <w:rsid w:val="00984546"/>
    <w:rsid w:val="009849E0"/>
    <w:rsid w:val="00996510"/>
    <w:rsid w:val="009D1F15"/>
    <w:rsid w:val="009D555E"/>
    <w:rsid w:val="009F3024"/>
    <w:rsid w:val="009F39BA"/>
    <w:rsid w:val="00A0355E"/>
    <w:rsid w:val="00A3752F"/>
    <w:rsid w:val="00A375D1"/>
    <w:rsid w:val="00A51D10"/>
    <w:rsid w:val="00A52A83"/>
    <w:rsid w:val="00A61A20"/>
    <w:rsid w:val="00A6552C"/>
    <w:rsid w:val="00A87207"/>
    <w:rsid w:val="00A87309"/>
    <w:rsid w:val="00A935AA"/>
    <w:rsid w:val="00A956D3"/>
    <w:rsid w:val="00AA43E5"/>
    <w:rsid w:val="00AB2201"/>
    <w:rsid w:val="00AC3656"/>
    <w:rsid w:val="00AC775A"/>
    <w:rsid w:val="00AD1D34"/>
    <w:rsid w:val="00AD3259"/>
    <w:rsid w:val="00AF1715"/>
    <w:rsid w:val="00AF3904"/>
    <w:rsid w:val="00B010C0"/>
    <w:rsid w:val="00B165DB"/>
    <w:rsid w:val="00B22687"/>
    <w:rsid w:val="00B4740D"/>
    <w:rsid w:val="00B61629"/>
    <w:rsid w:val="00B7374B"/>
    <w:rsid w:val="00B90DC0"/>
    <w:rsid w:val="00B971A9"/>
    <w:rsid w:val="00BA116A"/>
    <w:rsid w:val="00BA5582"/>
    <w:rsid w:val="00BA6468"/>
    <w:rsid w:val="00BB1D44"/>
    <w:rsid w:val="00BC1A15"/>
    <w:rsid w:val="00BD06DA"/>
    <w:rsid w:val="00BD4217"/>
    <w:rsid w:val="00BF25F3"/>
    <w:rsid w:val="00BF2CCE"/>
    <w:rsid w:val="00C1045C"/>
    <w:rsid w:val="00C1697B"/>
    <w:rsid w:val="00C21644"/>
    <w:rsid w:val="00C21CB5"/>
    <w:rsid w:val="00C46376"/>
    <w:rsid w:val="00C50A5C"/>
    <w:rsid w:val="00C50FDF"/>
    <w:rsid w:val="00C63381"/>
    <w:rsid w:val="00C73D06"/>
    <w:rsid w:val="00C73E1B"/>
    <w:rsid w:val="00C759B4"/>
    <w:rsid w:val="00C77713"/>
    <w:rsid w:val="00C83A0F"/>
    <w:rsid w:val="00C85BB7"/>
    <w:rsid w:val="00CA2DEA"/>
    <w:rsid w:val="00CB2288"/>
    <w:rsid w:val="00CB3520"/>
    <w:rsid w:val="00CB43D5"/>
    <w:rsid w:val="00CC4D84"/>
    <w:rsid w:val="00CE198A"/>
    <w:rsid w:val="00CF08C8"/>
    <w:rsid w:val="00D004FC"/>
    <w:rsid w:val="00D43EAF"/>
    <w:rsid w:val="00D57FAC"/>
    <w:rsid w:val="00D60C77"/>
    <w:rsid w:val="00D64901"/>
    <w:rsid w:val="00D64B34"/>
    <w:rsid w:val="00D76BDF"/>
    <w:rsid w:val="00D802C7"/>
    <w:rsid w:val="00D818B6"/>
    <w:rsid w:val="00D862C1"/>
    <w:rsid w:val="00D904AC"/>
    <w:rsid w:val="00D91156"/>
    <w:rsid w:val="00D93B50"/>
    <w:rsid w:val="00D94028"/>
    <w:rsid w:val="00D94670"/>
    <w:rsid w:val="00D95DF7"/>
    <w:rsid w:val="00DA405E"/>
    <w:rsid w:val="00DA46F6"/>
    <w:rsid w:val="00DA756F"/>
    <w:rsid w:val="00DC09FC"/>
    <w:rsid w:val="00DD0B49"/>
    <w:rsid w:val="00DD0EE8"/>
    <w:rsid w:val="00DE0502"/>
    <w:rsid w:val="00DE349D"/>
    <w:rsid w:val="00E06DFA"/>
    <w:rsid w:val="00E20A0A"/>
    <w:rsid w:val="00E240C2"/>
    <w:rsid w:val="00E356C7"/>
    <w:rsid w:val="00E414CA"/>
    <w:rsid w:val="00E41A5A"/>
    <w:rsid w:val="00E45FE4"/>
    <w:rsid w:val="00E64FA7"/>
    <w:rsid w:val="00E75CFD"/>
    <w:rsid w:val="00E770CB"/>
    <w:rsid w:val="00E903A1"/>
    <w:rsid w:val="00E940EB"/>
    <w:rsid w:val="00E942C2"/>
    <w:rsid w:val="00E9703F"/>
    <w:rsid w:val="00EA63C5"/>
    <w:rsid w:val="00EB2B90"/>
    <w:rsid w:val="00ED7E83"/>
    <w:rsid w:val="00EE091F"/>
    <w:rsid w:val="00EF4B63"/>
    <w:rsid w:val="00F0068D"/>
    <w:rsid w:val="00F0576D"/>
    <w:rsid w:val="00F0666D"/>
    <w:rsid w:val="00F1186C"/>
    <w:rsid w:val="00F14E6D"/>
    <w:rsid w:val="00F15EA8"/>
    <w:rsid w:val="00F16C8D"/>
    <w:rsid w:val="00F26C61"/>
    <w:rsid w:val="00F33CCE"/>
    <w:rsid w:val="00F40249"/>
    <w:rsid w:val="00F466F1"/>
    <w:rsid w:val="00F526C8"/>
    <w:rsid w:val="00F74CAA"/>
    <w:rsid w:val="00F761A3"/>
    <w:rsid w:val="00F90D29"/>
    <w:rsid w:val="00F9272D"/>
    <w:rsid w:val="00F9518C"/>
    <w:rsid w:val="00FA316E"/>
    <w:rsid w:val="00FA3373"/>
    <w:rsid w:val="00FA59EF"/>
    <w:rsid w:val="00FB19A2"/>
    <w:rsid w:val="00FB4A2E"/>
    <w:rsid w:val="00FB57D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FB57D6"/>
    <w:pPr>
      <w:jc w:val="both"/>
    </w:pPr>
    <w:rPr>
      <w:smallCaps/>
      <w:lang w:val="fr-CA"/>
    </w:rPr>
  </w:style>
  <w:style w:type="character" w:customStyle="1" w:styleId="SCCBanSummaryChar">
    <w:name w:val="SCC.BanSummary Char"/>
    <w:basedOn w:val="DefaultParagraphFont"/>
    <w:link w:val="SCCBanSummary"/>
    <w:rsid w:val="00FB57D6"/>
    <w:rPr>
      <w:smallCaps/>
      <w:lang w:val="fr-CA"/>
    </w:rPr>
  </w:style>
  <w:style w:type="paragraph" w:customStyle="1" w:styleId="SCCSsoc">
    <w:name w:val="SCC.Ssoc"/>
    <w:basedOn w:val="Normal"/>
    <w:next w:val="Normal"/>
    <w:link w:val="SCCSsocChar"/>
    <w:rsid w:val="00F74CAA"/>
    <w:rPr>
      <w:i/>
      <w:sz w:val="20"/>
      <w:szCs w:val="20"/>
    </w:rPr>
  </w:style>
  <w:style w:type="character" w:customStyle="1" w:styleId="SCCSsocChar">
    <w:name w:val="SCC.Ssoc Char"/>
    <w:basedOn w:val="DefaultParagraphFont"/>
    <w:link w:val="SCCSsoc"/>
    <w:rsid w:val="00F74CAA"/>
    <w:rPr>
      <w:i/>
      <w:sz w:val="20"/>
      <w:szCs w:val="20"/>
      <w:lang w:val="en-CA"/>
    </w:rPr>
  </w:style>
  <w:style w:type="paragraph" w:customStyle="1" w:styleId="SCCLsocParty">
    <w:name w:val="SCC.Lsoc.Party"/>
    <w:basedOn w:val="Normal"/>
    <w:next w:val="Normal"/>
    <w:link w:val="SCCLsocPartyChar"/>
    <w:rsid w:val="00F74CAA"/>
    <w:pPr>
      <w:jc w:val="both"/>
    </w:pPr>
    <w:rPr>
      <w:b/>
    </w:rPr>
  </w:style>
  <w:style w:type="character" w:customStyle="1" w:styleId="SCCLsocPartyChar">
    <w:name w:val="SCC.Lsoc.Party Char"/>
    <w:basedOn w:val="DefaultParagraphFont"/>
    <w:link w:val="SCCLsocParty"/>
    <w:rsid w:val="00F74CAA"/>
    <w:rPr>
      <w:b/>
      <w:lang w:val="en-CA"/>
    </w:rPr>
  </w:style>
  <w:style w:type="paragraph" w:customStyle="1" w:styleId="Factum">
    <w:name w:val="Factum"/>
    <w:basedOn w:val="ListParagraph"/>
    <w:link w:val="FactumChar"/>
    <w:qFormat/>
    <w:rsid w:val="00704530"/>
    <w:pPr>
      <w:numPr>
        <w:numId w:val="8"/>
      </w:numPr>
      <w:spacing w:after="240" w:line="360" w:lineRule="auto"/>
      <w:ind w:left="0" w:firstLine="0"/>
      <w:contextualSpacing w:val="0"/>
      <w:jc w:val="both"/>
    </w:pPr>
    <w:rPr>
      <w:rFonts w:cs="Arial"/>
      <w:szCs w:val="24"/>
      <w:lang w:val="en-GB"/>
    </w:rPr>
  </w:style>
  <w:style w:type="character" w:customStyle="1" w:styleId="FactumChar">
    <w:name w:val="Factum Char"/>
    <w:basedOn w:val="DefaultParagraphFont"/>
    <w:link w:val="Factum"/>
    <w:rsid w:val="00704530"/>
    <w:rPr>
      <w:rFonts w:cs="Arial"/>
      <w:szCs w:val="24"/>
      <w:lang w:val="en-GB"/>
    </w:rPr>
  </w:style>
  <w:style w:type="paragraph" w:styleId="BalloonText">
    <w:name w:val="Balloon Text"/>
    <w:basedOn w:val="Normal"/>
    <w:link w:val="BalloonTextChar"/>
    <w:uiPriority w:val="99"/>
    <w:semiHidden/>
    <w:unhideWhenUsed/>
    <w:rsid w:val="004B3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E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4/2014qccs5580/2014qccs5580.html?autocompleteStr=2014%20QCCS%205580&amp;autocompletePos=1" TargetMode="External"/><Relationship Id="rId21" Type="http://schemas.openxmlformats.org/officeDocument/2006/relationships/hyperlink" Target="http://www.canlii.org/en/bc/bcca/doc/2015/2015bcca347/2015bcca347.html?autocompleteStr=2015%20BCCA%20347&amp;autocompletePos=1" TargetMode="External"/><Relationship Id="rId34" Type="http://schemas.openxmlformats.org/officeDocument/2006/relationships/hyperlink" Target="http://www.canlii.org/fr/qc/qccs/doc/2016/2016qccs1468/2016qccs1468.html?autocompleteStr=500-12-325501-157&amp;autocompletePos=1" TargetMode="External"/><Relationship Id="rId42" Type="http://schemas.openxmlformats.org/officeDocument/2006/relationships/hyperlink" Target="http://www.canlii.org/en/on/onca/doc/2016/2016onca242/2016onca242.html?autocompleteStr=2016%20ONCA%20242&amp;autocompletePos=1" TargetMode="External"/><Relationship Id="rId47" Type="http://schemas.openxmlformats.org/officeDocument/2006/relationships/hyperlink" Target="http://canlii.ca/t/gn564" TargetMode="External"/><Relationship Id="rId50" Type="http://schemas.openxmlformats.org/officeDocument/2006/relationships/header" Target="header5.xml"/><Relationship Id="rId55" Type="http://schemas.openxmlformats.org/officeDocument/2006/relationships/footer" Target="footer7.xml"/><Relationship Id="rId63" Type="http://schemas.openxmlformats.org/officeDocument/2006/relationships/hyperlink" Target="http://www.scc-csc.ca/case-dossier/info/sum-som-eng.aspx?cas=36877" TargetMode="External"/><Relationship Id="rId68" Type="http://schemas.openxmlformats.org/officeDocument/2006/relationships/header" Target="header13.xml"/><Relationship Id="rId76" Type="http://schemas.openxmlformats.org/officeDocument/2006/relationships/hyperlink" Target="http://www.scc-csc.ca/case-dossier/info/sum-som-eng.aspx?cas=35843" TargetMode="External"/><Relationship Id="rId84" Type="http://schemas.openxmlformats.org/officeDocument/2006/relationships/footer" Target="footer19.xml"/><Relationship Id="rId89" Type="http://schemas.openxmlformats.org/officeDocument/2006/relationships/header" Target="header22.xml"/><Relationship Id="rId97" Type="http://schemas.openxmlformats.org/officeDocument/2006/relationships/footer" Target="footer24.xml"/><Relationship Id="rId7" Type="http://schemas.openxmlformats.org/officeDocument/2006/relationships/image" Target="media/image1.wmf"/><Relationship Id="rId71" Type="http://schemas.openxmlformats.org/officeDocument/2006/relationships/header" Target="header15.xml"/><Relationship Id="rId92" Type="http://schemas.openxmlformats.org/officeDocument/2006/relationships/hyperlink" Target="http://www.canlii.org/en/bc/laws/stat/sbc-2003-c-28/latest/sbc-2003-c-28.html"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6/2016qcca308/2016qcca308.html" TargetMode="External"/><Relationship Id="rId11" Type="http://schemas.openxmlformats.org/officeDocument/2006/relationships/footer" Target="footer1.xml"/><Relationship Id="rId24" Type="http://schemas.openxmlformats.org/officeDocument/2006/relationships/hyperlink" Target="http://c-doc.domain.scc-csc.gc.ca/L25/01/05/%3chttp:/canlii.ca/t/gfrq8%3e," TargetMode="External"/><Relationship Id="rId32" Type="http://schemas.openxmlformats.org/officeDocument/2006/relationships/hyperlink" Target="http://www.canlii.org/fr/qc/qccs/doc/2016/2016qccs1468/2016qccs1468.html?autocompleteStr=500-12-325501-157&amp;autocompletePos=1" TargetMode="External"/><Relationship Id="rId37" Type="http://schemas.openxmlformats.org/officeDocument/2006/relationships/hyperlink" Target="http://www.canlii.org/en/on/onca/doc/2016/2016onca246/2016onca246.html?autocompleteStr=2016%20ONCA%20246&amp;autocompletePos=1" TargetMode="External"/><Relationship Id="rId40" Type="http://schemas.openxmlformats.org/officeDocument/2006/relationships/hyperlink" Target="http://www.canlii.org/en/on/onsc/doc/2013/2013onsc5916/2013onsc5916.html" TargetMode="External"/><Relationship Id="rId45" Type="http://schemas.openxmlformats.org/officeDocument/2006/relationships/hyperlink" Target="http://www.canlii.org/en/on/onca/doc/2016/2016onca242/2016onca242.html?autocompleteStr=2016%20ONCA%20242&amp;autocompletePos=1" TargetMode="External"/><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footer" Target="footer11.xml"/><Relationship Id="rId74" Type="http://schemas.openxmlformats.org/officeDocument/2006/relationships/header" Target="header16.xml"/><Relationship Id="rId79" Type="http://schemas.openxmlformats.org/officeDocument/2006/relationships/header" Target="header17.xml"/><Relationship Id="rId87"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footer" Target="footer10.xml"/><Relationship Id="rId82" Type="http://schemas.openxmlformats.org/officeDocument/2006/relationships/footer" Target="footer18.xml"/><Relationship Id="rId90" Type="http://schemas.openxmlformats.org/officeDocument/2006/relationships/footer" Target="footer22.xml"/><Relationship Id="rId95" Type="http://schemas.openxmlformats.org/officeDocument/2006/relationships/footer" Target="footer23.xml"/><Relationship Id="rId19" Type="http://schemas.openxmlformats.org/officeDocument/2006/relationships/hyperlink" Target="http://www.canlii.org/en/bc/bcca/doc/2015/2015bcca347/2015bcca347.html?autocompleteStr=2015%20BCCA%20347&amp;autocompletePos=1" TargetMode="External"/><Relationship Id="rId14" Type="http://schemas.openxmlformats.org/officeDocument/2006/relationships/header" Target="header3.xml"/><Relationship Id="rId22" Type="http://schemas.openxmlformats.org/officeDocument/2006/relationships/hyperlink" Target="http://c-doc.domain.scc-csc.gc.ca/L25/01/05/%3chttp:/canlii.ca/t/gfrq8%3e," TargetMode="External"/><Relationship Id="rId27" Type="http://schemas.openxmlformats.org/officeDocument/2006/relationships/hyperlink" Target="http://www.canlii.org/fr/qc/qcca/doc/2016/2016qcca308/2016qcca308.html" TargetMode="External"/><Relationship Id="rId30" Type="http://schemas.openxmlformats.org/officeDocument/2006/relationships/hyperlink" Target="http://www.canlii.org/en/on/onscdc/doc/2015/2015onsc7273/2015onsc7273.html?autocompleteStr=2015%20ONSC%207273&amp;autocompletePos=1" TargetMode="External"/><Relationship Id="rId35" Type="http://schemas.openxmlformats.org/officeDocument/2006/relationships/hyperlink" Target="http://www.canlii.org/fr/qc/qcca/doc/2016/2016qcca551/2016qcca551.html" TargetMode="External"/><Relationship Id="rId43" Type="http://schemas.openxmlformats.org/officeDocument/2006/relationships/hyperlink" Target="http://www.canlii.org/en/on/onsc/doc/2013/2013onsc5916/2013onsc5916.html" TargetMode="External"/><Relationship Id="rId48" Type="http://schemas.openxmlformats.org/officeDocument/2006/relationships/hyperlink" Target="http://canlii.ca/t/gn564" TargetMode="External"/><Relationship Id="rId56" Type="http://schemas.openxmlformats.org/officeDocument/2006/relationships/header" Target="header8.xml"/><Relationship Id="rId64" Type="http://schemas.openxmlformats.org/officeDocument/2006/relationships/header" Target="header11.xml"/><Relationship Id="rId69" Type="http://schemas.openxmlformats.org/officeDocument/2006/relationships/footer" Target="footer13.xml"/><Relationship Id="rId77" Type="http://schemas.openxmlformats.org/officeDocument/2006/relationships/hyperlink" Target="http://www.scc-csc.ca/case-dossier/info/sum-som-eng.aspx?cas=36456" TargetMode="External"/><Relationship Id="rId100"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eader" Target="header6.xml"/><Relationship Id="rId72" Type="http://schemas.openxmlformats.org/officeDocument/2006/relationships/footer" Target="footer14.xml"/><Relationship Id="rId80" Type="http://schemas.openxmlformats.org/officeDocument/2006/relationships/header" Target="header18.xml"/><Relationship Id="rId85" Type="http://schemas.openxmlformats.org/officeDocument/2006/relationships/header" Target="header20.xml"/><Relationship Id="rId93" Type="http://schemas.openxmlformats.org/officeDocument/2006/relationships/hyperlink" Target="http://www.canlii.org/en/bc/laws/stat/sbc-2003-c-28/latest/sbc-2003-c-28.html" TargetMode="External"/><Relationship Id="rId98" Type="http://schemas.openxmlformats.org/officeDocument/2006/relationships/header" Target="header2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gmc53" TargetMode="External"/><Relationship Id="rId33" Type="http://schemas.openxmlformats.org/officeDocument/2006/relationships/hyperlink" Target="http://www.canlii.org/fr/qc/qcca/doc/2016/2016qcca551/2016qcca551.html" TargetMode="External"/><Relationship Id="rId38" Type="http://schemas.openxmlformats.org/officeDocument/2006/relationships/hyperlink" Target="http://www.canlii.org/en/on/onsc/doc/2014/2014onsc5148/2014onsc5148.html?autocompleteStr=2014%20ONSC%205148&amp;autocompletePos=1" TargetMode="External"/><Relationship Id="rId46" Type="http://schemas.openxmlformats.org/officeDocument/2006/relationships/hyperlink" Target="http://canlii.ca/t/gn564" TargetMode="Externa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www.canlii.org/en/bc/bcsc/doc/2014/2014bcsc1568/2014bcsc1568.html" TargetMode="External"/><Relationship Id="rId41" Type="http://schemas.openxmlformats.org/officeDocument/2006/relationships/hyperlink" Target="http://www.canlii.org/en/on/onsc/doc/2015/2015onsc632/2015onsc632.html?autocompleteStr=2015%20ONSC%20632&amp;autocompletePos=1" TargetMode="External"/><Relationship Id="rId54" Type="http://schemas.openxmlformats.org/officeDocument/2006/relationships/header" Target="header7.xml"/><Relationship Id="rId62" Type="http://schemas.openxmlformats.org/officeDocument/2006/relationships/hyperlink" Target="http://www.scc-csc.ca/case-dossier/info/sum-som-eng.aspx?cas=36777" TargetMode="External"/><Relationship Id="rId70" Type="http://schemas.openxmlformats.org/officeDocument/2006/relationships/header" Target="header14.xml"/><Relationship Id="rId75" Type="http://schemas.openxmlformats.org/officeDocument/2006/relationships/footer" Target="footer16.xml"/><Relationship Id="rId83" Type="http://schemas.openxmlformats.org/officeDocument/2006/relationships/header" Target="header19.xml"/><Relationship Id="rId88" Type="http://schemas.openxmlformats.org/officeDocument/2006/relationships/footer" Target="footer21.xml"/><Relationship Id="rId91" Type="http://schemas.openxmlformats.org/officeDocument/2006/relationships/hyperlink" Target="http://www.canlii.org/en/ca/scc/doc/2003/2003scc27/2003scc27.html" TargetMode="External"/><Relationship Id="rId96"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anlii.ca/t/gmc53" TargetMode="External"/><Relationship Id="rId28" Type="http://schemas.openxmlformats.org/officeDocument/2006/relationships/hyperlink" Target="http://www.canlii.org/fr/qc/qccs/doc/2014/2014qccs5580/2014qccs5580.html?autocompleteStr=2014%20QCCS%205580&amp;autocompletePos=1" TargetMode="External"/><Relationship Id="rId36" Type="http://schemas.openxmlformats.org/officeDocument/2006/relationships/hyperlink" Target="http://www.canlii.org/en/on/onsc/doc/2014/2014onsc5148/2014onsc5148.html?autocompleteStr=2014%20ONSC%205148&amp;autocompletePos=1" TargetMode="External"/><Relationship Id="rId49" Type="http://schemas.openxmlformats.org/officeDocument/2006/relationships/hyperlink" Target="http://canlii.ca/t/gn564" TargetMode="External"/><Relationship Id="rId57" Type="http://schemas.openxmlformats.org/officeDocument/2006/relationships/header" Target="header9.xml"/><Relationship Id="rId10" Type="http://schemas.openxmlformats.org/officeDocument/2006/relationships/header" Target="header1.xml"/><Relationship Id="rId31" Type="http://schemas.openxmlformats.org/officeDocument/2006/relationships/hyperlink" Target="http://www.canlii.org/en/on/onscdc/doc/2015/2015onsc7273/2015onsc7273.html?autocompleteStr=2015%20ONSC%207273&amp;autocompletePos=1" TargetMode="External"/><Relationship Id="rId44" Type="http://schemas.openxmlformats.org/officeDocument/2006/relationships/hyperlink" Target="http://www.canlii.org/en/on/onsc/doc/2015/2015onsc632/2015onsc632.html?autocompleteStr=2015%20ONSC%20632&amp;autocompletePos=1"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header" Target="header12.xml"/><Relationship Id="rId73" Type="http://schemas.openxmlformats.org/officeDocument/2006/relationships/footer" Target="footer15.xml"/><Relationship Id="rId78" Type="http://schemas.openxmlformats.org/officeDocument/2006/relationships/hyperlink" Target="http://www.scc-csc.ca/case-dossier/info/sum-som-eng.aspx?cas=36410" TargetMode="External"/><Relationship Id="rId81" Type="http://schemas.openxmlformats.org/officeDocument/2006/relationships/footer" Target="footer17.xml"/><Relationship Id="rId86" Type="http://schemas.openxmlformats.org/officeDocument/2006/relationships/header" Target="header21.xml"/><Relationship Id="rId94" Type="http://schemas.openxmlformats.org/officeDocument/2006/relationships/header" Target="header23.xml"/><Relationship Id="rId99" Type="http://schemas.openxmlformats.org/officeDocument/2006/relationships/footer" Target="footer25.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bc/bcsc/doc/2014/2014bcsc1568/2014bcsc1568.html" TargetMode="External"/><Relationship Id="rId39" Type="http://schemas.openxmlformats.org/officeDocument/2006/relationships/hyperlink" Target="http://www.canlii.org/en/on/onca/doc/2016/2016onca246/2016onca246.html?autocompleteStr=2016%20ONCA%20246&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24862</Words>
  <Characters>141718</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2016-10-14T15:19:00Z</dcterms:created>
  <dcterms:modified xsi:type="dcterms:W3CDTF">2017-09-19T14:43:00Z</dcterms:modified>
</cp:coreProperties>
</file>