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E54F41" w:rsidRDefault="00382C47" w:rsidP="00C7556C">
      <w:pPr>
        <w:jc w:val="center"/>
      </w:pPr>
      <w:r w:rsidRPr="00E54F41">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E54F41"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E54F41" w:rsidTr="002E5576">
        <w:tc>
          <w:tcPr>
            <w:tcW w:w="4518" w:type="dxa"/>
          </w:tcPr>
          <w:p w:rsidR="00BF25F3" w:rsidRPr="00E54F41" w:rsidRDefault="00BF25F3" w:rsidP="00BF25F3">
            <w:pPr>
              <w:tabs>
                <w:tab w:val="left" w:pos="6075"/>
              </w:tabs>
              <w:jc w:val="center"/>
              <w:rPr>
                <w:b/>
                <w:sz w:val="32"/>
                <w:szCs w:val="32"/>
              </w:rPr>
            </w:pPr>
            <w:r w:rsidRPr="00E54F41">
              <w:rPr>
                <w:b/>
                <w:sz w:val="32"/>
                <w:szCs w:val="32"/>
              </w:rPr>
              <w:t>SUPREME COURT OF CANADA</w:t>
            </w:r>
          </w:p>
        </w:tc>
        <w:tc>
          <w:tcPr>
            <w:tcW w:w="630" w:type="dxa"/>
          </w:tcPr>
          <w:p w:rsidR="00BF25F3" w:rsidRPr="00E54F41" w:rsidRDefault="00BF25F3" w:rsidP="00BF25F3">
            <w:pPr>
              <w:tabs>
                <w:tab w:val="left" w:pos="6075"/>
              </w:tabs>
              <w:jc w:val="center"/>
              <w:rPr>
                <w:sz w:val="32"/>
                <w:szCs w:val="32"/>
              </w:rPr>
            </w:pPr>
          </w:p>
        </w:tc>
        <w:tc>
          <w:tcPr>
            <w:tcW w:w="4428" w:type="dxa"/>
          </w:tcPr>
          <w:p w:rsidR="00BF25F3" w:rsidRPr="00E54F41" w:rsidRDefault="00BF25F3" w:rsidP="00BF25F3">
            <w:pPr>
              <w:tabs>
                <w:tab w:val="left" w:pos="6075"/>
              </w:tabs>
              <w:jc w:val="center"/>
              <w:rPr>
                <w:b/>
                <w:sz w:val="32"/>
                <w:szCs w:val="32"/>
                <w:lang w:val="fr-CA"/>
              </w:rPr>
            </w:pPr>
            <w:r w:rsidRPr="00E54F41">
              <w:rPr>
                <w:b/>
                <w:sz w:val="32"/>
                <w:szCs w:val="32"/>
                <w:lang w:val="fr-CA"/>
              </w:rPr>
              <w:t>COUR SUPRÊME DU CANADA</w:t>
            </w:r>
          </w:p>
        </w:tc>
      </w:tr>
      <w:tr w:rsidR="00BF25F3" w:rsidRPr="00E54F41" w:rsidTr="002E5576">
        <w:tc>
          <w:tcPr>
            <w:tcW w:w="4518" w:type="dxa"/>
          </w:tcPr>
          <w:p w:rsidR="00BF25F3" w:rsidRPr="00E54F41" w:rsidRDefault="00BF25F3" w:rsidP="00BF25F3">
            <w:pPr>
              <w:tabs>
                <w:tab w:val="left" w:pos="6075"/>
              </w:tabs>
            </w:pPr>
          </w:p>
          <w:p w:rsidR="001B5C23" w:rsidRPr="00E54F41" w:rsidRDefault="001B5C23" w:rsidP="00BF25F3">
            <w:pPr>
              <w:tabs>
                <w:tab w:val="left" w:pos="6075"/>
              </w:tabs>
            </w:pPr>
          </w:p>
          <w:p w:rsidR="001B5C23" w:rsidRPr="00E54F41" w:rsidRDefault="001B5C23" w:rsidP="00BF25F3">
            <w:pPr>
              <w:tabs>
                <w:tab w:val="left" w:pos="6075"/>
              </w:tabs>
            </w:pPr>
          </w:p>
        </w:tc>
        <w:tc>
          <w:tcPr>
            <w:tcW w:w="630" w:type="dxa"/>
          </w:tcPr>
          <w:p w:rsidR="00BF25F3" w:rsidRPr="00E54F41" w:rsidRDefault="00BF25F3" w:rsidP="00BF25F3">
            <w:pPr>
              <w:tabs>
                <w:tab w:val="left" w:pos="6075"/>
              </w:tabs>
            </w:pPr>
          </w:p>
        </w:tc>
        <w:tc>
          <w:tcPr>
            <w:tcW w:w="4428" w:type="dxa"/>
          </w:tcPr>
          <w:p w:rsidR="00BF25F3" w:rsidRPr="00E54F41" w:rsidRDefault="00BF25F3" w:rsidP="00BF25F3">
            <w:pPr>
              <w:tabs>
                <w:tab w:val="left" w:pos="6075"/>
              </w:tabs>
              <w:rPr>
                <w:lang w:val="fr-CA"/>
              </w:rPr>
            </w:pPr>
          </w:p>
        </w:tc>
      </w:tr>
      <w:tr w:rsidR="00BF25F3" w:rsidRPr="00E54F41" w:rsidTr="002E5576">
        <w:tc>
          <w:tcPr>
            <w:tcW w:w="4518" w:type="dxa"/>
          </w:tcPr>
          <w:p w:rsidR="001B5C23" w:rsidRPr="00E54F41" w:rsidRDefault="00BF25F3" w:rsidP="00BF25F3">
            <w:pPr>
              <w:tabs>
                <w:tab w:val="left" w:pos="6075"/>
              </w:tabs>
              <w:jc w:val="center"/>
              <w:rPr>
                <w:sz w:val="28"/>
                <w:szCs w:val="28"/>
              </w:rPr>
            </w:pPr>
            <w:r w:rsidRPr="00E54F41">
              <w:rPr>
                <w:sz w:val="28"/>
                <w:szCs w:val="28"/>
              </w:rPr>
              <w:t>BULLETIN OF</w:t>
            </w:r>
          </w:p>
          <w:p w:rsidR="00BF25F3" w:rsidRPr="00E54F41" w:rsidRDefault="00BF25F3" w:rsidP="00BF25F3">
            <w:pPr>
              <w:tabs>
                <w:tab w:val="left" w:pos="6075"/>
              </w:tabs>
              <w:jc w:val="center"/>
              <w:rPr>
                <w:sz w:val="28"/>
                <w:szCs w:val="28"/>
              </w:rPr>
            </w:pPr>
            <w:r w:rsidRPr="00E54F41">
              <w:rPr>
                <w:sz w:val="28"/>
                <w:szCs w:val="28"/>
              </w:rPr>
              <w:t xml:space="preserve"> PROCEEDINGS</w:t>
            </w:r>
          </w:p>
        </w:tc>
        <w:tc>
          <w:tcPr>
            <w:tcW w:w="630" w:type="dxa"/>
          </w:tcPr>
          <w:p w:rsidR="00BF25F3" w:rsidRPr="00E54F41" w:rsidRDefault="00BF25F3" w:rsidP="00BF25F3">
            <w:pPr>
              <w:tabs>
                <w:tab w:val="left" w:pos="6075"/>
              </w:tabs>
            </w:pPr>
          </w:p>
        </w:tc>
        <w:tc>
          <w:tcPr>
            <w:tcW w:w="4428" w:type="dxa"/>
          </w:tcPr>
          <w:p w:rsidR="001B5C23" w:rsidRPr="00E54F41" w:rsidRDefault="00BF25F3" w:rsidP="00BF25F3">
            <w:pPr>
              <w:tabs>
                <w:tab w:val="left" w:pos="6075"/>
              </w:tabs>
              <w:jc w:val="center"/>
              <w:rPr>
                <w:sz w:val="28"/>
                <w:szCs w:val="28"/>
                <w:lang w:val="fr-CA"/>
              </w:rPr>
            </w:pPr>
            <w:r w:rsidRPr="00E54F41">
              <w:rPr>
                <w:sz w:val="28"/>
                <w:szCs w:val="28"/>
                <w:lang w:val="fr-CA"/>
              </w:rPr>
              <w:t>BULLETIN DES</w:t>
            </w:r>
          </w:p>
          <w:p w:rsidR="00BF25F3" w:rsidRPr="00E54F41" w:rsidRDefault="00BF25F3" w:rsidP="00BF25F3">
            <w:pPr>
              <w:tabs>
                <w:tab w:val="left" w:pos="6075"/>
              </w:tabs>
              <w:jc w:val="center"/>
              <w:rPr>
                <w:sz w:val="28"/>
                <w:szCs w:val="28"/>
                <w:lang w:val="fr-CA"/>
              </w:rPr>
            </w:pPr>
            <w:r w:rsidRPr="00E54F41">
              <w:rPr>
                <w:sz w:val="28"/>
                <w:szCs w:val="28"/>
                <w:lang w:val="fr-CA"/>
              </w:rPr>
              <w:t xml:space="preserve"> PROCÉDURES</w:t>
            </w:r>
          </w:p>
        </w:tc>
      </w:tr>
      <w:tr w:rsidR="00BF25F3" w:rsidRPr="00E54F41" w:rsidTr="002E5576">
        <w:tc>
          <w:tcPr>
            <w:tcW w:w="4518" w:type="dxa"/>
          </w:tcPr>
          <w:p w:rsidR="00BF25F3" w:rsidRPr="00E54F41" w:rsidRDefault="00BF25F3" w:rsidP="00BF25F3">
            <w:pPr>
              <w:tabs>
                <w:tab w:val="left" w:pos="6075"/>
              </w:tabs>
            </w:pPr>
          </w:p>
          <w:p w:rsidR="001B5C23" w:rsidRPr="00E54F41" w:rsidRDefault="001B5C23" w:rsidP="00BF25F3">
            <w:pPr>
              <w:tabs>
                <w:tab w:val="left" w:pos="6075"/>
              </w:tabs>
            </w:pPr>
          </w:p>
        </w:tc>
        <w:tc>
          <w:tcPr>
            <w:tcW w:w="630" w:type="dxa"/>
          </w:tcPr>
          <w:p w:rsidR="00BF25F3" w:rsidRPr="00E54F41" w:rsidRDefault="00BF25F3" w:rsidP="00BF25F3">
            <w:pPr>
              <w:tabs>
                <w:tab w:val="left" w:pos="6075"/>
              </w:tabs>
            </w:pPr>
          </w:p>
        </w:tc>
        <w:tc>
          <w:tcPr>
            <w:tcW w:w="4428" w:type="dxa"/>
          </w:tcPr>
          <w:p w:rsidR="00BF25F3" w:rsidRPr="00E54F41" w:rsidRDefault="00BF25F3" w:rsidP="00BF25F3">
            <w:pPr>
              <w:tabs>
                <w:tab w:val="left" w:pos="6075"/>
              </w:tabs>
              <w:rPr>
                <w:lang w:val="fr-CA"/>
              </w:rPr>
            </w:pPr>
          </w:p>
        </w:tc>
      </w:tr>
      <w:tr w:rsidR="00BF25F3" w:rsidRPr="00B904CB" w:rsidTr="002E5576">
        <w:tc>
          <w:tcPr>
            <w:tcW w:w="4518" w:type="dxa"/>
          </w:tcPr>
          <w:p w:rsidR="00BF25F3" w:rsidRPr="00E54F41" w:rsidRDefault="00BF25F3" w:rsidP="00BF25F3">
            <w:pPr>
              <w:tabs>
                <w:tab w:val="left" w:pos="6075"/>
              </w:tabs>
              <w:jc w:val="both"/>
              <w:rPr>
                <w:rFonts w:ascii="Arial" w:hAnsi="Arial" w:cs="Arial"/>
                <w:i/>
                <w:sz w:val="20"/>
                <w:szCs w:val="20"/>
              </w:rPr>
            </w:pPr>
            <w:r w:rsidRPr="00E54F4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54F41" w:rsidRDefault="00BF25F3" w:rsidP="00BF25F3">
            <w:pPr>
              <w:tabs>
                <w:tab w:val="left" w:pos="6075"/>
              </w:tabs>
              <w:jc w:val="both"/>
              <w:rPr>
                <w:rFonts w:ascii="Arial" w:hAnsi="Arial" w:cs="Arial"/>
                <w:i/>
                <w:sz w:val="20"/>
                <w:szCs w:val="20"/>
              </w:rPr>
            </w:pPr>
          </w:p>
        </w:tc>
        <w:tc>
          <w:tcPr>
            <w:tcW w:w="4428" w:type="dxa"/>
          </w:tcPr>
          <w:p w:rsidR="00BF25F3" w:rsidRPr="00E54F41" w:rsidRDefault="00BF25F3" w:rsidP="00BF25F3">
            <w:pPr>
              <w:tabs>
                <w:tab w:val="left" w:pos="6075"/>
              </w:tabs>
              <w:jc w:val="both"/>
              <w:rPr>
                <w:rFonts w:ascii="Arial" w:hAnsi="Arial" w:cs="Arial"/>
                <w:i/>
                <w:sz w:val="20"/>
                <w:szCs w:val="20"/>
                <w:lang w:val="fr-CA"/>
              </w:rPr>
            </w:pPr>
            <w:r w:rsidRPr="00E54F4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904CB" w:rsidTr="002E5576">
        <w:tc>
          <w:tcPr>
            <w:tcW w:w="4518" w:type="dxa"/>
          </w:tcPr>
          <w:p w:rsidR="00BF25F3" w:rsidRPr="00E54F41" w:rsidRDefault="00BF25F3" w:rsidP="00BF25F3">
            <w:pPr>
              <w:tabs>
                <w:tab w:val="left" w:pos="6075"/>
              </w:tabs>
              <w:rPr>
                <w:lang w:val="fr-CA"/>
              </w:rPr>
            </w:pPr>
          </w:p>
          <w:p w:rsidR="00D862C1" w:rsidRPr="00E54F41" w:rsidRDefault="00D862C1" w:rsidP="00BF25F3">
            <w:pPr>
              <w:tabs>
                <w:tab w:val="left" w:pos="6075"/>
              </w:tabs>
              <w:rPr>
                <w:lang w:val="fr-CA"/>
              </w:rPr>
            </w:pPr>
          </w:p>
        </w:tc>
        <w:tc>
          <w:tcPr>
            <w:tcW w:w="630" w:type="dxa"/>
          </w:tcPr>
          <w:p w:rsidR="00BF25F3" w:rsidRPr="00E54F41" w:rsidRDefault="00BF25F3" w:rsidP="00BF25F3">
            <w:pPr>
              <w:tabs>
                <w:tab w:val="left" w:pos="6075"/>
              </w:tabs>
              <w:rPr>
                <w:lang w:val="fr-CA"/>
              </w:rPr>
            </w:pPr>
          </w:p>
        </w:tc>
        <w:tc>
          <w:tcPr>
            <w:tcW w:w="4428" w:type="dxa"/>
          </w:tcPr>
          <w:p w:rsidR="00BF25F3" w:rsidRPr="00E54F41" w:rsidRDefault="00BF25F3" w:rsidP="00BF25F3">
            <w:pPr>
              <w:tabs>
                <w:tab w:val="left" w:pos="6075"/>
              </w:tabs>
              <w:rPr>
                <w:lang w:val="fr-CA"/>
              </w:rPr>
            </w:pPr>
          </w:p>
        </w:tc>
      </w:tr>
      <w:tr w:rsidR="00BF25F3" w:rsidRPr="00B904CB" w:rsidTr="002E5576">
        <w:tc>
          <w:tcPr>
            <w:tcW w:w="4518" w:type="dxa"/>
          </w:tcPr>
          <w:p w:rsidR="00BF25F3" w:rsidRPr="00E54F41" w:rsidRDefault="00BF25F3" w:rsidP="009F3024">
            <w:pPr>
              <w:tabs>
                <w:tab w:val="left" w:pos="6075"/>
              </w:tabs>
              <w:jc w:val="both"/>
              <w:rPr>
                <w:rFonts w:ascii="Arial" w:hAnsi="Arial" w:cs="Arial"/>
                <w:i/>
                <w:sz w:val="20"/>
                <w:szCs w:val="20"/>
              </w:rPr>
            </w:pPr>
            <w:r w:rsidRPr="00E54F41">
              <w:rPr>
                <w:rFonts w:ascii="Arial" w:hAnsi="Arial" w:cs="Arial"/>
                <w:i/>
                <w:sz w:val="20"/>
                <w:szCs w:val="20"/>
              </w:rPr>
              <w:t xml:space="preserve">During Court sessions </w:t>
            </w:r>
            <w:r w:rsidR="009F3024" w:rsidRPr="00E54F41">
              <w:rPr>
                <w:rFonts w:ascii="Arial" w:hAnsi="Arial" w:cs="Arial"/>
                <w:i/>
                <w:sz w:val="20"/>
                <w:szCs w:val="20"/>
              </w:rPr>
              <w:t xml:space="preserve">the Bulletin </w:t>
            </w:r>
            <w:r w:rsidRPr="00E54F41">
              <w:rPr>
                <w:rFonts w:ascii="Arial" w:hAnsi="Arial" w:cs="Arial"/>
                <w:i/>
                <w:sz w:val="20"/>
                <w:szCs w:val="20"/>
              </w:rPr>
              <w:t>is usually issued weekly.</w:t>
            </w:r>
          </w:p>
        </w:tc>
        <w:tc>
          <w:tcPr>
            <w:tcW w:w="630" w:type="dxa"/>
          </w:tcPr>
          <w:p w:rsidR="00BF25F3" w:rsidRPr="00E54F41" w:rsidRDefault="00BF25F3" w:rsidP="00BF25F3">
            <w:pPr>
              <w:tabs>
                <w:tab w:val="left" w:pos="6075"/>
              </w:tabs>
              <w:jc w:val="both"/>
              <w:rPr>
                <w:rFonts w:ascii="Arial" w:hAnsi="Arial" w:cs="Arial"/>
                <w:i/>
                <w:sz w:val="20"/>
                <w:szCs w:val="20"/>
              </w:rPr>
            </w:pPr>
          </w:p>
        </w:tc>
        <w:tc>
          <w:tcPr>
            <w:tcW w:w="4428" w:type="dxa"/>
          </w:tcPr>
          <w:p w:rsidR="00BF25F3" w:rsidRPr="00E54F41" w:rsidRDefault="00BF25F3" w:rsidP="00BF25F3">
            <w:pPr>
              <w:tabs>
                <w:tab w:val="left" w:pos="6075"/>
              </w:tabs>
              <w:jc w:val="both"/>
              <w:rPr>
                <w:rFonts w:ascii="Arial" w:hAnsi="Arial" w:cs="Arial"/>
                <w:i/>
                <w:sz w:val="20"/>
                <w:szCs w:val="20"/>
                <w:lang w:val="fr-CA"/>
              </w:rPr>
            </w:pPr>
            <w:r w:rsidRPr="00E54F41">
              <w:rPr>
                <w:rFonts w:ascii="Arial" w:hAnsi="Arial" w:cs="Arial"/>
                <w:i/>
                <w:sz w:val="20"/>
                <w:szCs w:val="20"/>
                <w:lang w:val="fr-CA"/>
              </w:rPr>
              <w:t>Le Bulletin paraît en principe toutes les semaines pendant les sessions de la Cour.</w:t>
            </w:r>
          </w:p>
        </w:tc>
      </w:tr>
      <w:tr w:rsidR="00BF25F3" w:rsidRPr="00B904CB" w:rsidTr="002E5576">
        <w:tc>
          <w:tcPr>
            <w:tcW w:w="4518" w:type="dxa"/>
          </w:tcPr>
          <w:p w:rsidR="00BF25F3" w:rsidRPr="00E54F41" w:rsidRDefault="00BF25F3" w:rsidP="00BF25F3">
            <w:pPr>
              <w:tabs>
                <w:tab w:val="left" w:pos="6075"/>
              </w:tabs>
              <w:rPr>
                <w:lang w:val="fr-CA"/>
              </w:rPr>
            </w:pPr>
          </w:p>
          <w:p w:rsidR="00D862C1" w:rsidRPr="00E54F41" w:rsidRDefault="00D862C1" w:rsidP="00BF25F3">
            <w:pPr>
              <w:tabs>
                <w:tab w:val="left" w:pos="6075"/>
              </w:tabs>
              <w:rPr>
                <w:lang w:val="fr-CA"/>
              </w:rPr>
            </w:pPr>
          </w:p>
        </w:tc>
        <w:tc>
          <w:tcPr>
            <w:tcW w:w="630" w:type="dxa"/>
          </w:tcPr>
          <w:p w:rsidR="00BF25F3" w:rsidRPr="00E54F41" w:rsidRDefault="00BF25F3" w:rsidP="00BF25F3">
            <w:pPr>
              <w:tabs>
                <w:tab w:val="left" w:pos="6075"/>
              </w:tabs>
              <w:rPr>
                <w:lang w:val="fr-CA"/>
              </w:rPr>
            </w:pPr>
          </w:p>
        </w:tc>
        <w:tc>
          <w:tcPr>
            <w:tcW w:w="4428" w:type="dxa"/>
          </w:tcPr>
          <w:p w:rsidR="00BF25F3" w:rsidRPr="00E54F41" w:rsidRDefault="00BF25F3" w:rsidP="00BF25F3">
            <w:pPr>
              <w:tabs>
                <w:tab w:val="left" w:pos="6075"/>
              </w:tabs>
              <w:rPr>
                <w:lang w:val="fr-CA"/>
              </w:rPr>
            </w:pPr>
          </w:p>
        </w:tc>
      </w:tr>
      <w:tr w:rsidR="00BF25F3" w:rsidRPr="00B904CB" w:rsidTr="002E5576">
        <w:tc>
          <w:tcPr>
            <w:tcW w:w="4518" w:type="dxa"/>
          </w:tcPr>
          <w:p w:rsidR="00BF25F3" w:rsidRPr="00E54F41" w:rsidRDefault="000E27A5" w:rsidP="00BF25F3">
            <w:pPr>
              <w:tabs>
                <w:tab w:val="left" w:pos="6075"/>
              </w:tabs>
              <w:jc w:val="both"/>
              <w:rPr>
                <w:rFonts w:ascii="Arial" w:hAnsi="Arial" w:cs="Arial"/>
                <w:i/>
                <w:sz w:val="20"/>
                <w:szCs w:val="20"/>
              </w:rPr>
            </w:pPr>
            <w:r w:rsidRPr="00E54F41">
              <w:rPr>
                <w:rFonts w:ascii="Arial" w:hAnsi="Arial" w:cs="Arial"/>
                <w:i/>
                <w:sz w:val="20"/>
                <w:szCs w:val="20"/>
              </w:rPr>
              <w:fldChar w:fldCharType="begin"/>
            </w:r>
            <w:r w:rsidR="00BF25F3" w:rsidRPr="00E54F41">
              <w:rPr>
                <w:rFonts w:ascii="Arial" w:hAnsi="Arial" w:cs="Arial"/>
                <w:i/>
                <w:sz w:val="20"/>
                <w:szCs w:val="20"/>
              </w:rPr>
              <w:instrText xml:space="preserve"> SEQ CHAPTER \h \r 1</w:instrText>
            </w:r>
            <w:r w:rsidRPr="00E54F41">
              <w:rPr>
                <w:rFonts w:ascii="Arial" w:hAnsi="Arial" w:cs="Arial"/>
                <w:i/>
                <w:sz w:val="20"/>
                <w:szCs w:val="20"/>
              </w:rPr>
              <w:fldChar w:fldCharType="end"/>
            </w:r>
            <w:r w:rsidR="00BF25F3" w:rsidRPr="00E54F4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E54F41" w:rsidRDefault="00BF25F3" w:rsidP="00BF25F3">
            <w:pPr>
              <w:tabs>
                <w:tab w:val="left" w:pos="6075"/>
              </w:tabs>
              <w:jc w:val="both"/>
              <w:rPr>
                <w:rFonts w:ascii="Arial" w:hAnsi="Arial" w:cs="Arial"/>
                <w:i/>
                <w:sz w:val="20"/>
                <w:szCs w:val="20"/>
              </w:rPr>
            </w:pPr>
          </w:p>
        </w:tc>
        <w:tc>
          <w:tcPr>
            <w:tcW w:w="4428" w:type="dxa"/>
          </w:tcPr>
          <w:p w:rsidR="00BF25F3" w:rsidRPr="00E54F41" w:rsidRDefault="000E27A5" w:rsidP="00BF25F3">
            <w:pPr>
              <w:tabs>
                <w:tab w:val="left" w:pos="6075"/>
              </w:tabs>
              <w:jc w:val="both"/>
              <w:rPr>
                <w:rFonts w:ascii="Arial" w:hAnsi="Arial" w:cs="Arial"/>
                <w:i/>
                <w:sz w:val="20"/>
                <w:szCs w:val="20"/>
                <w:lang w:val="fr-CA"/>
              </w:rPr>
            </w:pPr>
            <w:r w:rsidRPr="00E54F41">
              <w:rPr>
                <w:rFonts w:ascii="Arial" w:hAnsi="Arial" w:cs="Arial"/>
                <w:i/>
                <w:sz w:val="20"/>
                <w:szCs w:val="20"/>
                <w:lang w:val="fr-CA"/>
              </w:rPr>
              <w:fldChar w:fldCharType="begin"/>
            </w:r>
            <w:r w:rsidR="00BF25F3" w:rsidRPr="00E54F41">
              <w:rPr>
                <w:rFonts w:ascii="Arial" w:hAnsi="Arial" w:cs="Arial"/>
                <w:i/>
                <w:sz w:val="20"/>
                <w:szCs w:val="20"/>
                <w:lang w:val="fr-CA"/>
              </w:rPr>
              <w:instrText xml:space="preserve"> SEQ CHAPTER \h \r 1</w:instrText>
            </w:r>
            <w:r w:rsidRPr="00E54F41">
              <w:rPr>
                <w:rFonts w:ascii="Arial" w:hAnsi="Arial" w:cs="Arial"/>
                <w:i/>
                <w:sz w:val="20"/>
                <w:szCs w:val="20"/>
                <w:lang w:val="fr-CA"/>
              </w:rPr>
              <w:fldChar w:fldCharType="end"/>
            </w:r>
            <w:r w:rsidR="00BF25F3" w:rsidRPr="00E54F4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904CB" w:rsidTr="002E5576">
        <w:tc>
          <w:tcPr>
            <w:tcW w:w="4518" w:type="dxa"/>
          </w:tcPr>
          <w:p w:rsidR="009F3024" w:rsidRPr="00E54F41" w:rsidRDefault="009F3024" w:rsidP="009F3024">
            <w:pPr>
              <w:tabs>
                <w:tab w:val="left" w:pos="6075"/>
              </w:tabs>
              <w:rPr>
                <w:rFonts w:cs="Times New Roman"/>
                <w:szCs w:val="24"/>
                <w:lang w:val="fr-CA"/>
              </w:rPr>
            </w:pPr>
          </w:p>
          <w:p w:rsidR="009F3024" w:rsidRPr="00E54F41" w:rsidRDefault="009F3024" w:rsidP="009F3024">
            <w:pPr>
              <w:tabs>
                <w:tab w:val="left" w:pos="6075"/>
              </w:tabs>
              <w:rPr>
                <w:rFonts w:cs="Times New Roman"/>
                <w:szCs w:val="24"/>
                <w:lang w:val="fr-CA"/>
              </w:rPr>
            </w:pPr>
          </w:p>
        </w:tc>
        <w:tc>
          <w:tcPr>
            <w:tcW w:w="630" w:type="dxa"/>
          </w:tcPr>
          <w:p w:rsidR="009F3024" w:rsidRPr="00E54F41" w:rsidRDefault="009F3024" w:rsidP="009F3024">
            <w:pPr>
              <w:tabs>
                <w:tab w:val="left" w:pos="6075"/>
              </w:tabs>
              <w:rPr>
                <w:rFonts w:cs="Times New Roman"/>
                <w:szCs w:val="24"/>
                <w:lang w:val="fr-CA"/>
              </w:rPr>
            </w:pPr>
          </w:p>
        </w:tc>
        <w:tc>
          <w:tcPr>
            <w:tcW w:w="4428" w:type="dxa"/>
          </w:tcPr>
          <w:p w:rsidR="009F3024" w:rsidRPr="00E54F41" w:rsidRDefault="009F3024" w:rsidP="009F3024">
            <w:pPr>
              <w:tabs>
                <w:tab w:val="left" w:pos="6075"/>
              </w:tabs>
              <w:rPr>
                <w:rFonts w:cs="Times New Roman"/>
                <w:szCs w:val="24"/>
                <w:lang w:val="fr-CA"/>
              </w:rPr>
            </w:pPr>
          </w:p>
        </w:tc>
      </w:tr>
      <w:tr w:rsidR="009F3024" w:rsidRPr="00B904CB" w:rsidTr="002E5576">
        <w:tc>
          <w:tcPr>
            <w:tcW w:w="4518" w:type="dxa"/>
          </w:tcPr>
          <w:p w:rsidR="009F3024" w:rsidRPr="00E54F41" w:rsidRDefault="009F3024" w:rsidP="00E414CA">
            <w:pPr>
              <w:tabs>
                <w:tab w:val="left" w:pos="6075"/>
              </w:tabs>
              <w:jc w:val="both"/>
              <w:rPr>
                <w:rFonts w:ascii="Arial" w:hAnsi="Arial" w:cs="Arial"/>
                <w:i/>
                <w:sz w:val="20"/>
                <w:szCs w:val="20"/>
              </w:rPr>
            </w:pPr>
            <w:r w:rsidRPr="00E54F41">
              <w:rPr>
                <w:rFonts w:ascii="Arial" w:hAnsi="Arial" w:cs="Arial"/>
                <w:i/>
                <w:sz w:val="20"/>
                <w:szCs w:val="20"/>
              </w:rPr>
              <w:t xml:space="preserve">Consult the Supreme Court of Canada website at </w:t>
            </w:r>
            <w:hyperlink r:id="rId8" w:history="1">
              <w:r w:rsidR="00E414CA" w:rsidRPr="00E54F41">
                <w:rPr>
                  <w:rStyle w:val="Hyperlink"/>
                  <w:rFonts w:ascii="Arial" w:hAnsi="Arial" w:cs="Arial"/>
                  <w:i/>
                  <w:sz w:val="20"/>
                  <w:szCs w:val="20"/>
                </w:rPr>
                <w:t>www.scc-csc.ca</w:t>
              </w:r>
            </w:hyperlink>
            <w:r w:rsidRPr="00E54F41">
              <w:rPr>
                <w:rFonts w:ascii="Arial" w:hAnsi="Arial" w:cs="Arial"/>
                <w:i/>
                <w:sz w:val="20"/>
                <w:szCs w:val="20"/>
              </w:rPr>
              <w:t xml:space="preserve"> for more information.</w:t>
            </w:r>
          </w:p>
        </w:tc>
        <w:tc>
          <w:tcPr>
            <w:tcW w:w="630" w:type="dxa"/>
          </w:tcPr>
          <w:p w:rsidR="009F3024" w:rsidRPr="00E54F41" w:rsidRDefault="009F3024" w:rsidP="00BF25F3">
            <w:pPr>
              <w:tabs>
                <w:tab w:val="left" w:pos="6075"/>
              </w:tabs>
              <w:jc w:val="both"/>
              <w:rPr>
                <w:rFonts w:ascii="Arial" w:hAnsi="Arial" w:cs="Arial"/>
                <w:i/>
                <w:sz w:val="20"/>
                <w:szCs w:val="20"/>
              </w:rPr>
            </w:pPr>
          </w:p>
        </w:tc>
        <w:tc>
          <w:tcPr>
            <w:tcW w:w="4428" w:type="dxa"/>
          </w:tcPr>
          <w:p w:rsidR="009F3024" w:rsidRPr="00E54F41" w:rsidRDefault="009F3024" w:rsidP="00E414CA">
            <w:pPr>
              <w:tabs>
                <w:tab w:val="left" w:pos="6075"/>
              </w:tabs>
              <w:jc w:val="both"/>
              <w:rPr>
                <w:rFonts w:ascii="Arial" w:hAnsi="Arial" w:cs="Arial"/>
                <w:i/>
                <w:sz w:val="20"/>
                <w:szCs w:val="20"/>
                <w:lang w:val="fr-CA"/>
              </w:rPr>
            </w:pPr>
            <w:r w:rsidRPr="00E54F41">
              <w:rPr>
                <w:rFonts w:ascii="Arial" w:hAnsi="Arial" w:cs="Arial"/>
                <w:i/>
                <w:sz w:val="20"/>
                <w:szCs w:val="20"/>
                <w:lang w:val="fr-CA"/>
              </w:rPr>
              <w:t xml:space="preserve">Pour de plus amples informations, consulter le site Web de la Cour suprême du Canada à l’adresse suivante : </w:t>
            </w:r>
            <w:r w:rsidR="00B904CB">
              <w:fldChar w:fldCharType="begin"/>
            </w:r>
            <w:r w:rsidR="00B904CB" w:rsidRPr="00B904CB">
              <w:rPr>
                <w:lang w:val="fr-CA"/>
              </w:rPr>
              <w:instrText xml:space="preserve"> HYPERLINK "http://www.scc-csc.ca" </w:instrText>
            </w:r>
            <w:r w:rsidR="00B904CB">
              <w:fldChar w:fldCharType="separate"/>
            </w:r>
            <w:r w:rsidR="0081473A" w:rsidRPr="00E54F41">
              <w:rPr>
                <w:rStyle w:val="Hyperlink"/>
                <w:rFonts w:ascii="Arial" w:hAnsi="Arial" w:cs="Arial"/>
                <w:i/>
                <w:sz w:val="20"/>
                <w:szCs w:val="20"/>
                <w:lang w:val="fr-CA"/>
              </w:rPr>
              <w:t>www.scc-csc.ca</w:t>
            </w:r>
            <w:r w:rsidR="00B904CB">
              <w:rPr>
                <w:rStyle w:val="Hyperlink"/>
                <w:rFonts w:ascii="Arial" w:hAnsi="Arial" w:cs="Arial"/>
                <w:i/>
                <w:sz w:val="20"/>
                <w:szCs w:val="20"/>
                <w:lang w:val="fr-CA"/>
              </w:rPr>
              <w:fldChar w:fldCharType="end"/>
            </w:r>
            <w:r w:rsidRPr="00E54F41">
              <w:rPr>
                <w:rFonts w:ascii="Arial" w:hAnsi="Arial" w:cs="Arial"/>
                <w:i/>
                <w:sz w:val="20"/>
                <w:szCs w:val="20"/>
                <w:lang w:val="fr-CA"/>
              </w:rPr>
              <w:t xml:space="preserve"> </w:t>
            </w:r>
          </w:p>
        </w:tc>
      </w:tr>
    </w:tbl>
    <w:p w:rsidR="00BF25F3" w:rsidRPr="00E54F41" w:rsidRDefault="00BF25F3" w:rsidP="00BF25F3">
      <w:pPr>
        <w:tabs>
          <w:tab w:val="left" w:pos="6075"/>
        </w:tabs>
        <w:rPr>
          <w:lang w:val="fr-CA"/>
        </w:rPr>
      </w:pPr>
    </w:p>
    <w:p w:rsidR="00440E24" w:rsidRPr="00E54F41" w:rsidRDefault="00440E24" w:rsidP="00440E24">
      <w:pPr>
        <w:pBdr>
          <w:bottom w:val="single" w:sz="6" w:space="1" w:color="auto"/>
        </w:pBdr>
        <w:tabs>
          <w:tab w:val="left" w:pos="6075"/>
        </w:tabs>
        <w:rPr>
          <w:lang w:val="fr-CA"/>
        </w:rPr>
      </w:pPr>
    </w:p>
    <w:p w:rsidR="00440E24" w:rsidRPr="00E54F41" w:rsidRDefault="00440E24" w:rsidP="00440E24">
      <w:pPr>
        <w:rPr>
          <w:lang w:val="fr-CA"/>
        </w:rPr>
      </w:pPr>
    </w:p>
    <w:p w:rsidR="00600252" w:rsidRPr="00E54F41" w:rsidRDefault="00B43CAE" w:rsidP="00F0068D">
      <w:pPr>
        <w:pBdr>
          <w:bottom w:val="single" w:sz="6" w:space="1" w:color="auto"/>
        </w:pBdr>
        <w:tabs>
          <w:tab w:val="center" w:pos="4680"/>
          <w:tab w:val="right" w:pos="9360"/>
        </w:tabs>
        <w:rPr>
          <w:lang w:val="fr-CA"/>
        </w:rPr>
      </w:pPr>
      <w:r w:rsidRPr="00E54F41">
        <w:rPr>
          <w:lang w:val="fr-CA"/>
        </w:rPr>
        <w:t>November 25</w:t>
      </w:r>
      <w:r w:rsidR="00440E24" w:rsidRPr="00E54F41">
        <w:rPr>
          <w:lang w:val="fr-CA"/>
        </w:rPr>
        <w:t>, 201</w:t>
      </w:r>
      <w:r w:rsidR="0030050B" w:rsidRPr="00E54F41">
        <w:rPr>
          <w:lang w:val="fr-CA"/>
        </w:rPr>
        <w:t>6</w:t>
      </w:r>
      <w:r w:rsidR="00F0068D" w:rsidRPr="00E54F41">
        <w:rPr>
          <w:lang w:val="fr-CA"/>
        </w:rPr>
        <w:tab/>
      </w:r>
      <w:r w:rsidR="00FA78B3" w:rsidRPr="00E54F41">
        <w:rPr>
          <w:lang w:val="fr-CA"/>
        </w:rPr>
        <w:t>16</w:t>
      </w:r>
      <w:r w:rsidRPr="00E54F41">
        <w:rPr>
          <w:lang w:val="fr-CA"/>
        </w:rPr>
        <w:t>76</w:t>
      </w:r>
      <w:r w:rsidR="00F0068D" w:rsidRPr="00E54F41">
        <w:rPr>
          <w:lang w:val="fr-CA"/>
        </w:rPr>
        <w:t xml:space="preserve"> - </w:t>
      </w:r>
      <w:r w:rsidR="00380BCA" w:rsidRPr="00E54F41">
        <w:rPr>
          <w:lang w:val="fr-CA"/>
        </w:rPr>
        <w:t>1707</w:t>
      </w:r>
      <w:r w:rsidR="00440E24" w:rsidRPr="00E54F41">
        <w:rPr>
          <w:lang w:val="fr-CA"/>
        </w:rPr>
        <w:tab/>
        <w:t>Le</w:t>
      </w:r>
      <w:r w:rsidR="00C73D06" w:rsidRPr="00E54F41">
        <w:rPr>
          <w:lang w:val="fr-CA"/>
        </w:rPr>
        <w:t xml:space="preserve"> </w:t>
      </w:r>
      <w:r w:rsidRPr="00E54F41">
        <w:rPr>
          <w:lang w:val="fr-CA"/>
        </w:rPr>
        <w:t>25</w:t>
      </w:r>
      <w:r w:rsidR="00406C0B" w:rsidRPr="00E54F41">
        <w:rPr>
          <w:lang w:val="fr-CA"/>
        </w:rPr>
        <w:t xml:space="preserve"> novembre</w:t>
      </w:r>
      <w:r w:rsidR="00440E24" w:rsidRPr="00E54F41">
        <w:rPr>
          <w:lang w:val="fr-CA"/>
        </w:rPr>
        <w:t xml:space="preserve"> 201</w:t>
      </w:r>
      <w:r w:rsidR="0030050B" w:rsidRPr="00E54F41">
        <w:rPr>
          <w:lang w:val="fr-CA"/>
        </w:rPr>
        <w:t>6</w:t>
      </w:r>
    </w:p>
    <w:p w:rsidR="00440E24" w:rsidRPr="00E54F41" w:rsidRDefault="00440E24" w:rsidP="00440E24">
      <w:pPr>
        <w:pBdr>
          <w:bottom w:val="single" w:sz="6" w:space="1" w:color="auto"/>
        </w:pBdr>
        <w:tabs>
          <w:tab w:val="right" w:pos="9360"/>
        </w:tabs>
        <w:rPr>
          <w:lang w:val="fr-CA"/>
        </w:rPr>
      </w:pPr>
    </w:p>
    <w:p w:rsidR="00440E24" w:rsidRPr="00E54F41" w:rsidRDefault="00440E24" w:rsidP="00440E24">
      <w:pPr>
        <w:pBdr>
          <w:bottom w:val="single" w:sz="6" w:space="1" w:color="auto"/>
        </w:pBdr>
        <w:tabs>
          <w:tab w:val="right" w:pos="9360"/>
        </w:tabs>
        <w:rPr>
          <w:sz w:val="18"/>
          <w:szCs w:val="18"/>
          <w:lang w:val="fr-CA"/>
        </w:rPr>
      </w:pPr>
      <w:r w:rsidRPr="00E54F41">
        <w:rPr>
          <w:sz w:val="18"/>
          <w:szCs w:val="18"/>
          <w:lang w:val="fr-CA"/>
        </w:rPr>
        <w:t xml:space="preserve">© </w:t>
      </w:r>
      <w:proofErr w:type="spellStart"/>
      <w:r w:rsidRPr="00E54F41">
        <w:rPr>
          <w:sz w:val="18"/>
          <w:szCs w:val="18"/>
          <w:lang w:val="fr-CA"/>
        </w:rPr>
        <w:t>Supreme</w:t>
      </w:r>
      <w:proofErr w:type="spellEnd"/>
      <w:r w:rsidRPr="00E54F41">
        <w:rPr>
          <w:sz w:val="18"/>
          <w:szCs w:val="18"/>
          <w:lang w:val="fr-CA"/>
        </w:rPr>
        <w:t xml:space="preserve"> Court of Canada (</w:t>
      </w:r>
      <w:r w:rsidR="0030050B" w:rsidRPr="00E54F41">
        <w:rPr>
          <w:sz w:val="18"/>
          <w:szCs w:val="18"/>
          <w:lang w:val="fr-CA"/>
        </w:rPr>
        <w:t>2016</w:t>
      </w:r>
      <w:r w:rsidRPr="00E54F41">
        <w:rPr>
          <w:sz w:val="18"/>
          <w:szCs w:val="18"/>
          <w:lang w:val="fr-CA"/>
        </w:rPr>
        <w:t>)</w:t>
      </w:r>
      <w:r w:rsidRPr="00E54F41">
        <w:rPr>
          <w:sz w:val="18"/>
          <w:szCs w:val="18"/>
          <w:lang w:val="fr-CA"/>
        </w:rPr>
        <w:tab/>
        <w:t>© Cour suprême du Canada (</w:t>
      </w:r>
      <w:r w:rsidR="0030050B" w:rsidRPr="00E54F41">
        <w:rPr>
          <w:sz w:val="18"/>
          <w:szCs w:val="18"/>
          <w:lang w:val="fr-CA"/>
        </w:rPr>
        <w:t>2016</w:t>
      </w:r>
      <w:r w:rsidRPr="00E54F41">
        <w:rPr>
          <w:sz w:val="18"/>
          <w:szCs w:val="18"/>
          <w:lang w:val="fr-CA"/>
        </w:rPr>
        <w:t>)</w:t>
      </w:r>
    </w:p>
    <w:p w:rsidR="00440E24" w:rsidRPr="00E54F41" w:rsidRDefault="00440E24" w:rsidP="00440E24">
      <w:pPr>
        <w:pBdr>
          <w:bottom w:val="single" w:sz="6" w:space="1" w:color="auto"/>
        </w:pBdr>
        <w:tabs>
          <w:tab w:val="right" w:pos="9360"/>
        </w:tabs>
        <w:rPr>
          <w:sz w:val="18"/>
          <w:szCs w:val="18"/>
          <w:lang w:val="fr-CA"/>
        </w:rPr>
      </w:pPr>
      <w:r w:rsidRPr="00E54F41">
        <w:rPr>
          <w:sz w:val="18"/>
          <w:szCs w:val="18"/>
          <w:lang w:val="fr-CA"/>
        </w:rPr>
        <w:t>ISSN 1918-8358 (Online)</w:t>
      </w:r>
      <w:r w:rsidRPr="00E54F41">
        <w:rPr>
          <w:sz w:val="18"/>
          <w:szCs w:val="18"/>
          <w:lang w:val="fr-CA"/>
        </w:rPr>
        <w:tab/>
        <w:t>ISSN 1918-8358 (En ligne)</w:t>
      </w:r>
    </w:p>
    <w:p w:rsidR="00600252" w:rsidRPr="00E54F41" w:rsidRDefault="00600252" w:rsidP="00BF25F3">
      <w:pPr>
        <w:pBdr>
          <w:bottom w:val="single" w:sz="6" w:space="1" w:color="auto"/>
        </w:pBdr>
        <w:tabs>
          <w:tab w:val="left" w:pos="6075"/>
        </w:tabs>
        <w:rPr>
          <w:lang w:val="fr-CA"/>
        </w:rPr>
      </w:pPr>
    </w:p>
    <w:p w:rsidR="0030050B" w:rsidRPr="00E54F41"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E54F41" w:rsidTr="00245129">
        <w:tc>
          <w:tcPr>
            <w:tcW w:w="4290" w:type="dxa"/>
            <w:shd w:val="clear" w:color="auto" w:fill="auto"/>
            <w:tcMar>
              <w:left w:w="0" w:type="dxa"/>
              <w:right w:w="0" w:type="dxa"/>
            </w:tcMar>
          </w:tcPr>
          <w:p w:rsidR="00245129" w:rsidRPr="00E54F41" w:rsidRDefault="00245129" w:rsidP="00245129">
            <w:pPr>
              <w:jc w:val="both"/>
              <w:rPr>
                <w:rFonts w:eastAsia="Times New Roman" w:cs="Times New Roman"/>
                <w:b/>
                <w:sz w:val="20"/>
                <w:szCs w:val="20"/>
                <w:lang w:eastAsia="en-CA"/>
              </w:rPr>
            </w:pPr>
            <w:r w:rsidRPr="00E54F41">
              <w:rPr>
                <w:b/>
              </w:rPr>
              <w:t>CONTENTS</w:t>
            </w:r>
          </w:p>
        </w:tc>
        <w:tc>
          <w:tcPr>
            <w:tcW w:w="1200" w:type="dxa"/>
            <w:shd w:val="clear" w:color="auto" w:fill="auto"/>
            <w:tcMar>
              <w:left w:w="0" w:type="dxa"/>
              <w:right w:w="0" w:type="dxa"/>
            </w:tcMar>
          </w:tcPr>
          <w:p w:rsidR="00245129" w:rsidRPr="00E54F41" w:rsidRDefault="00245129" w:rsidP="00245129">
            <w:pPr>
              <w:jc w:val="center"/>
              <w:rPr>
                <w:rFonts w:eastAsia="Times New Roman" w:cs="Times New Roman"/>
                <w:b/>
                <w:sz w:val="20"/>
                <w:szCs w:val="20"/>
                <w:lang w:eastAsia="en-CA"/>
              </w:rPr>
            </w:pPr>
          </w:p>
          <w:p w:rsidR="00245129" w:rsidRPr="00E54F41"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E54F41" w:rsidRDefault="00245129" w:rsidP="00245129">
            <w:pPr>
              <w:rPr>
                <w:rFonts w:eastAsia="Times New Roman" w:cs="Times New Roman"/>
                <w:b/>
                <w:sz w:val="20"/>
                <w:szCs w:val="20"/>
                <w:lang w:val="fr-CA" w:eastAsia="en-CA"/>
              </w:rPr>
            </w:pPr>
            <w:r w:rsidRPr="00E54F41">
              <w:rPr>
                <w:b/>
                <w:lang w:val="fr-CA"/>
              </w:rPr>
              <w:t>TABLE DES MATIÈRES</w:t>
            </w:r>
          </w:p>
        </w:tc>
      </w:tr>
    </w:tbl>
    <w:p w:rsidR="0095096B" w:rsidRPr="00E54F41"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54F41" w:rsidTr="00164E6D">
        <w:tc>
          <w:tcPr>
            <w:tcW w:w="3708" w:type="dxa"/>
          </w:tcPr>
          <w:p w:rsidR="0095096B" w:rsidRPr="00E54F41" w:rsidRDefault="0095096B" w:rsidP="0095096B">
            <w:pPr>
              <w:tabs>
                <w:tab w:val="right" w:pos="9360"/>
              </w:tabs>
              <w:rPr>
                <w:rFonts w:cs="Times New Roman"/>
                <w:sz w:val="20"/>
                <w:szCs w:val="20"/>
              </w:rPr>
            </w:pPr>
            <w:r w:rsidRPr="00E54F41">
              <w:rPr>
                <w:rFonts w:cs="Times New Roman"/>
                <w:sz w:val="20"/>
                <w:szCs w:val="20"/>
              </w:rPr>
              <w:t xml:space="preserve">Applications for leave to appeal </w:t>
            </w:r>
          </w:p>
          <w:p w:rsidR="0095096B" w:rsidRPr="00E54F41" w:rsidRDefault="0095096B" w:rsidP="0095096B">
            <w:pPr>
              <w:tabs>
                <w:tab w:val="right" w:pos="9360"/>
              </w:tabs>
              <w:rPr>
                <w:rFonts w:cs="Times New Roman"/>
                <w:sz w:val="20"/>
                <w:szCs w:val="20"/>
              </w:rPr>
            </w:pPr>
            <w:r w:rsidRPr="00E54F41">
              <w:rPr>
                <w:rFonts w:cs="Times New Roman"/>
                <w:sz w:val="20"/>
                <w:szCs w:val="20"/>
              </w:rPr>
              <w:t>filed</w:t>
            </w:r>
          </w:p>
          <w:p w:rsidR="0095096B" w:rsidRPr="00E54F41" w:rsidRDefault="0095096B" w:rsidP="0095096B">
            <w:pPr>
              <w:tabs>
                <w:tab w:val="right" w:pos="9360"/>
              </w:tabs>
              <w:rPr>
                <w:rFonts w:cs="Times New Roman"/>
                <w:sz w:val="20"/>
                <w:szCs w:val="20"/>
              </w:rPr>
            </w:pPr>
          </w:p>
          <w:p w:rsidR="0095096B" w:rsidRPr="00E54F41" w:rsidRDefault="0095096B" w:rsidP="0095096B">
            <w:pPr>
              <w:tabs>
                <w:tab w:val="right" w:pos="9360"/>
              </w:tabs>
              <w:rPr>
                <w:rFonts w:cs="Times New Roman"/>
                <w:sz w:val="20"/>
                <w:szCs w:val="20"/>
              </w:rPr>
            </w:pPr>
            <w:r w:rsidRPr="00E54F41">
              <w:rPr>
                <w:rFonts w:cs="Times New Roman"/>
                <w:sz w:val="20"/>
                <w:szCs w:val="20"/>
              </w:rPr>
              <w:t xml:space="preserve">Applications for leave submitted </w:t>
            </w:r>
          </w:p>
          <w:p w:rsidR="0095096B" w:rsidRPr="00E54F41" w:rsidRDefault="0095096B" w:rsidP="0095096B">
            <w:pPr>
              <w:tabs>
                <w:tab w:val="right" w:pos="9360"/>
              </w:tabs>
              <w:rPr>
                <w:rFonts w:cs="Times New Roman"/>
                <w:sz w:val="20"/>
                <w:szCs w:val="20"/>
              </w:rPr>
            </w:pPr>
            <w:r w:rsidRPr="00E54F41">
              <w:rPr>
                <w:rFonts w:cs="Times New Roman"/>
                <w:sz w:val="20"/>
                <w:szCs w:val="20"/>
              </w:rPr>
              <w:t>to Court since last issue</w:t>
            </w:r>
          </w:p>
          <w:p w:rsidR="0095096B" w:rsidRPr="00E54F41" w:rsidRDefault="0095096B" w:rsidP="0095096B">
            <w:pPr>
              <w:tabs>
                <w:tab w:val="right" w:pos="9360"/>
              </w:tabs>
              <w:rPr>
                <w:rFonts w:cs="Times New Roman"/>
                <w:sz w:val="20"/>
                <w:szCs w:val="20"/>
              </w:rPr>
            </w:pPr>
          </w:p>
          <w:p w:rsidR="0095096B" w:rsidRPr="00E54F41" w:rsidRDefault="0095096B" w:rsidP="0095096B">
            <w:pPr>
              <w:tabs>
                <w:tab w:val="right" w:pos="9360"/>
              </w:tabs>
              <w:rPr>
                <w:rFonts w:cs="Times New Roman"/>
                <w:sz w:val="20"/>
                <w:szCs w:val="20"/>
              </w:rPr>
            </w:pPr>
            <w:r w:rsidRPr="00E54F41">
              <w:rPr>
                <w:rFonts w:cs="Times New Roman"/>
                <w:sz w:val="20"/>
                <w:szCs w:val="20"/>
              </w:rPr>
              <w:t xml:space="preserve">Judgments on applications for </w:t>
            </w:r>
          </w:p>
          <w:p w:rsidR="0095096B" w:rsidRPr="00E54F41" w:rsidRDefault="0095096B" w:rsidP="0095096B">
            <w:pPr>
              <w:tabs>
                <w:tab w:val="right" w:pos="9360"/>
              </w:tabs>
              <w:rPr>
                <w:rFonts w:cs="Times New Roman"/>
                <w:sz w:val="20"/>
                <w:szCs w:val="20"/>
              </w:rPr>
            </w:pPr>
            <w:r w:rsidRPr="00E54F41">
              <w:rPr>
                <w:rFonts w:cs="Times New Roman"/>
                <w:sz w:val="20"/>
                <w:szCs w:val="20"/>
              </w:rPr>
              <w:t>leave</w:t>
            </w:r>
          </w:p>
          <w:p w:rsidR="0095096B" w:rsidRPr="00E54F41" w:rsidRDefault="0095096B" w:rsidP="0095096B">
            <w:pPr>
              <w:tabs>
                <w:tab w:val="right" w:pos="9360"/>
              </w:tabs>
              <w:rPr>
                <w:rFonts w:cs="Times New Roman"/>
                <w:sz w:val="20"/>
                <w:szCs w:val="20"/>
              </w:rPr>
            </w:pPr>
          </w:p>
          <w:p w:rsidR="0095096B" w:rsidRPr="00E54F41" w:rsidRDefault="0095096B" w:rsidP="0095096B">
            <w:pPr>
              <w:tabs>
                <w:tab w:val="right" w:pos="9360"/>
              </w:tabs>
              <w:rPr>
                <w:rFonts w:cs="Times New Roman"/>
                <w:sz w:val="20"/>
                <w:szCs w:val="20"/>
              </w:rPr>
            </w:pPr>
            <w:r w:rsidRPr="00E54F41">
              <w:rPr>
                <w:rFonts w:cs="Times New Roman"/>
                <w:sz w:val="20"/>
                <w:szCs w:val="20"/>
              </w:rPr>
              <w:t>Motions</w:t>
            </w:r>
          </w:p>
          <w:p w:rsidR="0095096B" w:rsidRPr="00E54F41" w:rsidRDefault="0095096B" w:rsidP="0095096B">
            <w:pPr>
              <w:tabs>
                <w:tab w:val="right" w:pos="9360"/>
              </w:tabs>
              <w:rPr>
                <w:rFonts w:cs="Times New Roman"/>
                <w:sz w:val="20"/>
                <w:szCs w:val="20"/>
              </w:rPr>
            </w:pPr>
          </w:p>
          <w:p w:rsidR="0095096B" w:rsidRPr="00E54F41" w:rsidRDefault="0095096B" w:rsidP="0095096B">
            <w:pPr>
              <w:tabs>
                <w:tab w:val="right" w:pos="9360"/>
              </w:tabs>
              <w:rPr>
                <w:rFonts w:cs="Times New Roman"/>
                <w:sz w:val="20"/>
                <w:szCs w:val="20"/>
              </w:rPr>
            </w:pPr>
            <w:r w:rsidRPr="00E54F41">
              <w:rPr>
                <w:rFonts w:cs="Times New Roman"/>
                <w:sz w:val="20"/>
                <w:szCs w:val="20"/>
              </w:rPr>
              <w:t xml:space="preserve">Notices of appeal filed since last </w:t>
            </w:r>
          </w:p>
          <w:p w:rsidR="0095096B" w:rsidRPr="00E54F41" w:rsidRDefault="0095096B" w:rsidP="0095096B">
            <w:pPr>
              <w:tabs>
                <w:tab w:val="right" w:pos="9360"/>
              </w:tabs>
              <w:rPr>
                <w:rFonts w:cs="Times New Roman"/>
                <w:sz w:val="20"/>
                <w:szCs w:val="20"/>
              </w:rPr>
            </w:pPr>
            <w:r w:rsidRPr="00E54F41">
              <w:rPr>
                <w:rFonts w:cs="Times New Roman"/>
                <w:sz w:val="20"/>
                <w:szCs w:val="20"/>
              </w:rPr>
              <w:t>issue</w:t>
            </w:r>
          </w:p>
          <w:p w:rsidR="0095096B" w:rsidRPr="00E54F41" w:rsidRDefault="0095096B" w:rsidP="0095096B">
            <w:pPr>
              <w:tabs>
                <w:tab w:val="right" w:pos="9360"/>
              </w:tabs>
              <w:rPr>
                <w:rFonts w:cs="Times New Roman"/>
                <w:sz w:val="20"/>
                <w:szCs w:val="20"/>
              </w:rPr>
            </w:pPr>
          </w:p>
          <w:p w:rsidR="0095096B" w:rsidRPr="00E54F41" w:rsidRDefault="0095096B" w:rsidP="0095096B">
            <w:pPr>
              <w:tabs>
                <w:tab w:val="right" w:pos="9360"/>
              </w:tabs>
              <w:rPr>
                <w:rFonts w:cs="Times New Roman"/>
                <w:sz w:val="20"/>
                <w:szCs w:val="20"/>
              </w:rPr>
            </w:pPr>
            <w:r w:rsidRPr="00E54F41">
              <w:rPr>
                <w:rFonts w:cs="Times New Roman"/>
                <w:sz w:val="20"/>
                <w:szCs w:val="20"/>
              </w:rPr>
              <w:t>Pronouncements of appeals reserved</w:t>
            </w:r>
          </w:p>
          <w:p w:rsidR="0095096B" w:rsidRPr="00E54F41" w:rsidRDefault="0095096B" w:rsidP="0095096B">
            <w:pPr>
              <w:tabs>
                <w:tab w:val="right" w:pos="9360"/>
              </w:tabs>
              <w:rPr>
                <w:rFonts w:cs="Times New Roman"/>
                <w:sz w:val="20"/>
                <w:szCs w:val="20"/>
              </w:rPr>
            </w:pPr>
          </w:p>
          <w:p w:rsidR="0095096B" w:rsidRPr="00E54F41" w:rsidRDefault="0095096B" w:rsidP="0095096B">
            <w:pPr>
              <w:tabs>
                <w:tab w:val="right" w:pos="9360"/>
              </w:tabs>
              <w:rPr>
                <w:rFonts w:cs="Times New Roman"/>
                <w:sz w:val="20"/>
                <w:szCs w:val="20"/>
              </w:rPr>
            </w:pPr>
          </w:p>
          <w:p w:rsidR="0095096B" w:rsidRPr="00E54F41" w:rsidRDefault="0095096B" w:rsidP="0095096B">
            <w:pPr>
              <w:tabs>
                <w:tab w:val="right" w:pos="9360"/>
              </w:tabs>
              <w:rPr>
                <w:rFonts w:cs="Times New Roman"/>
                <w:sz w:val="20"/>
                <w:szCs w:val="20"/>
              </w:rPr>
            </w:pPr>
            <w:r w:rsidRPr="00E54F41">
              <w:rPr>
                <w:rFonts w:cs="Times New Roman"/>
                <w:sz w:val="20"/>
                <w:szCs w:val="20"/>
              </w:rPr>
              <w:t>Headnotes of recent judgments</w:t>
            </w:r>
          </w:p>
          <w:p w:rsidR="0095096B" w:rsidRPr="00E54F41" w:rsidRDefault="0095096B" w:rsidP="0095096B">
            <w:pPr>
              <w:tabs>
                <w:tab w:val="right" w:pos="9360"/>
              </w:tabs>
              <w:rPr>
                <w:rFonts w:cs="Times New Roman"/>
                <w:sz w:val="20"/>
                <w:szCs w:val="20"/>
              </w:rPr>
            </w:pPr>
          </w:p>
          <w:p w:rsidR="00A87207" w:rsidRPr="00E54F41" w:rsidRDefault="00A87207" w:rsidP="00423E44">
            <w:pPr>
              <w:tabs>
                <w:tab w:val="right" w:pos="9360"/>
              </w:tabs>
              <w:rPr>
                <w:rFonts w:cs="Times New Roman"/>
                <w:sz w:val="20"/>
                <w:szCs w:val="20"/>
              </w:rPr>
            </w:pPr>
          </w:p>
        </w:tc>
        <w:tc>
          <w:tcPr>
            <w:tcW w:w="1980" w:type="dxa"/>
          </w:tcPr>
          <w:p w:rsidR="0095096B" w:rsidRPr="00E54F41" w:rsidRDefault="00C15F38" w:rsidP="0095096B">
            <w:pPr>
              <w:jc w:val="center"/>
              <w:rPr>
                <w:rFonts w:cs="Times New Roman"/>
                <w:sz w:val="20"/>
                <w:szCs w:val="20"/>
              </w:rPr>
            </w:pPr>
            <w:r w:rsidRPr="00E54F41">
              <w:rPr>
                <w:rFonts w:cs="Times New Roman"/>
                <w:sz w:val="20"/>
                <w:szCs w:val="20"/>
              </w:rPr>
              <w:t>1676-1678</w:t>
            </w:r>
            <w:r w:rsidR="000E27A5" w:rsidRPr="00E54F41">
              <w:rPr>
                <w:rFonts w:cs="Times New Roman"/>
                <w:sz w:val="20"/>
                <w:szCs w:val="20"/>
              </w:rPr>
              <w:fldChar w:fldCharType="begin"/>
            </w:r>
            <w:r w:rsidR="0095096B" w:rsidRPr="00E54F41">
              <w:rPr>
                <w:rFonts w:cs="Times New Roman"/>
                <w:sz w:val="20"/>
                <w:szCs w:val="20"/>
              </w:rPr>
              <w:instrText xml:space="preserve"> SEQ CHAPTER \h \r 1</w:instrText>
            </w:r>
            <w:r w:rsidR="000E27A5" w:rsidRPr="00E54F41">
              <w:rPr>
                <w:rFonts w:cs="Times New Roman"/>
                <w:sz w:val="20"/>
                <w:szCs w:val="20"/>
              </w:rPr>
              <w:fldChar w:fldCharType="end"/>
            </w:r>
          </w:p>
          <w:p w:rsidR="0095096B" w:rsidRPr="00E54F41" w:rsidRDefault="0095096B" w:rsidP="0095096B">
            <w:pPr>
              <w:jc w:val="center"/>
              <w:rPr>
                <w:rFonts w:cs="Times New Roman"/>
                <w:sz w:val="20"/>
                <w:szCs w:val="20"/>
              </w:rPr>
            </w:pPr>
          </w:p>
          <w:p w:rsidR="0095096B" w:rsidRPr="00E54F41" w:rsidRDefault="0095096B" w:rsidP="0095096B">
            <w:pPr>
              <w:jc w:val="center"/>
              <w:rPr>
                <w:rFonts w:cs="Times New Roman"/>
                <w:sz w:val="20"/>
                <w:szCs w:val="20"/>
              </w:rPr>
            </w:pPr>
          </w:p>
          <w:p w:rsidR="0095096B" w:rsidRPr="00E54F41" w:rsidRDefault="00C15F38" w:rsidP="0095096B">
            <w:pPr>
              <w:jc w:val="center"/>
              <w:rPr>
                <w:rFonts w:cs="Times New Roman"/>
                <w:sz w:val="20"/>
                <w:szCs w:val="20"/>
              </w:rPr>
            </w:pPr>
            <w:r w:rsidRPr="00E54F41">
              <w:rPr>
                <w:rFonts w:cs="Times New Roman"/>
                <w:sz w:val="20"/>
                <w:szCs w:val="20"/>
              </w:rPr>
              <w:t>16</w:t>
            </w:r>
            <w:r w:rsidR="003921BB" w:rsidRPr="00E54F41">
              <w:rPr>
                <w:rFonts w:cs="Times New Roman"/>
                <w:sz w:val="20"/>
                <w:szCs w:val="20"/>
              </w:rPr>
              <w:t>7</w:t>
            </w:r>
            <w:r w:rsidRPr="00E54F41">
              <w:rPr>
                <w:rFonts w:cs="Times New Roman"/>
                <w:sz w:val="20"/>
                <w:szCs w:val="20"/>
              </w:rPr>
              <w:t>9</w:t>
            </w:r>
          </w:p>
          <w:p w:rsidR="003921BB" w:rsidRPr="00E54F41" w:rsidRDefault="003921BB" w:rsidP="0095096B">
            <w:pPr>
              <w:jc w:val="center"/>
              <w:rPr>
                <w:rFonts w:cs="Times New Roman"/>
                <w:sz w:val="20"/>
                <w:szCs w:val="20"/>
              </w:rPr>
            </w:pPr>
          </w:p>
          <w:p w:rsidR="0095096B" w:rsidRPr="00E54F41" w:rsidRDefault="0095096B" w:rsidP="0095096B">
            <w:pPr>
              <w:jc w:val="center"/>
              <w:rPr>
                <w:rFonts w:cs="Times New Roman"/>
                <w:sz w:val="20"/>
                <w:szCs w:val="20"/>
              </w:rPr>
            </w:pPr>
          </w:p>
          <w:p w:rsidR="0095096B" w:rsidRPr="00E54F41" w:rsidRDefault="00C15F38" w:rsidP="0095096B">
            <w:pPr>
              <w:jc w:val="center"/>
              <w:rPr>
                <w:rFonts w:cs="Times New Roman"/>
                <w:sz w:val="20"/>
                <w:szCs w:val="20"/>
              </w:rPr>
            </w:pPr>
            <w:r w:rsidRPr="00E54F41">
              <w:rPr>
                <w:rFonts w:cs="Times New Roman"/>
                <w:sz w:val="20"/>
                <w:szCs w:val="20"/>
              </w:rPr>
              <w:t>1680-1683</w:t>
            </w:r>
          </w:p>
          <w:p w:rsidR="0095096B" w:rsidRPr="00E54F41" w:rsidRDefault="0095096B" w:rsidP="0095096B">
            <w:pPr>
              <w:jc w:val="center"/>
              <w:rPr>
                <w:rFonts w:cs="Times New Roman"/>
                <w:sz w:val="20"/>
                <w:szCs w:val="20"/>
              </w:rPr>
            </w:pPr>
          </w:p>
          <w:p w:rsidR="00BD40FD" w:rsidRPr="00E54F41" w:rsidRDefault="00BD40FD" w:rsidP="0095096B">
            <w:pPr>
              <w:jc w:val="center"/>
              <w:rPr>
                <w:rFonts w:cs="Times New Roman"/>
                <w:sz w:val="20"/>
                <w:szCs w:val="20"/>
              </w:rPr>
            </w:pPr>
          </w:p>
          <w:p w:rsidR="0095096B" w:rsidRPr="00E54F41" w:rsidRDefault="008A7DA0" w:rsidP="0095096B">
            <w:pPr>
              <w:jc w:val="center"/>
              <w:rPr>
                <w:rFonts w:cs="Times New Roman"/>
                <w:sz w:val="20"/>
                <w:szCs w:val="20"/>
              </w:rPr>
            </w:pPr>
            <w:r w:rsidRPr="00E54F41">
              <w:rPr>
                <w:rFonts w:cs="Times New Roman"/>
                <w:sz w:val="20"/>
                <w:szCs w:val="20"/>
              </w:rPr>
              <w:t>1684-169</w:t>
            </w:r>
            <w:r w:rsidR="007F7EE8" w:rsidRPr="00E54F41">
              <w:rPr>
                <w:rFonts w:cs="Times New Roman"/>
                <w:sz w:val="20"/>
                <w:szCs w:val="20"/>
              </w:rPr>
              <w:t>1</w:t>
            </w:r>
          </w:p>
          <w:p w:rsidR="0095096B" w:rsidRPr="00E54F41" w:rsidRDefault="0095096B" w:rsidP="0095096B">
            <w:pPr>
              <w:jc w:val="center"/>
              <w:rPr>
                <w:rFonts w:cs="Times New Roman"/>
                <w:sz w:val="20"/>
                <w:szCs w:val="20"/>
              </w:rPr>
            </w:pPr>
          </w:p>
          <w:p w:rsidR="0095096B" w:rsidRPr="00E54F41" w:rsidRDefault="008A7DA0" w:rsidP="0095096B">
            <w:pPr>
              <w:jc w:val="center"/>
              <w:rPr>
                <w:rFonts w:cs="Times New Roman"/>
                <w:sz w:val="20"/>
                <w:szCs w:val="20"/>
              </w:rPr>
            </w:pPr>
            <w:r w:rsidRPr="00E54F41">
              <w:rPr>
                <w:rFonts w:cs="Times New Roman"/>
                <w:sz w:val="20"/>
                <w:szCs w:val="20"/>
              </w:rPr>
              <w:t>169</w:t>
            </w:r>
            <w:r w:rsidR="00151FF2" w:rsidRPr="00E54F41">
              <w:rPr>
                <w:rFonts w:cs="Times New Roman"/>
                <w:sz w:val="20"/>
                <w:szCs w:val="20"/>
              </w:rPr>
              <w:t>2</w:t>
            </w:r>
          </w:p>
          <w:p w:rsidR="0095096B" w:rsidRPr="00E54F41" w:rsidRDefault="0095096B" w:rsidP="0095096B">
            <w:pPr>
              <w:jc w:val="center"/>
              <w:rPr>
                <w:rFonts w:cs="Times New Roman"/>
                <w:sz w:val="20"/>
                <w:szCs w:val="20"/>
              </w:rPr>
            </w:pPr>
          </w:p>
          <w:p w:rsidR="0095096B" w:rsidRPr="00E54F41" w:rsidRDefault="0095096B" w:rsidP="004D6983">
            <w:pPr>
              <w:rPr>
                <w:rFonts w:cs="Times New Roman"/>
                <w:sz w:val="20"/>
                <w:szCs w:val="20"/>
              </w:rPr>
            </w:pPr>
          </w:p>
          <w:p w:rsidR="0095096B" w:rsidRPr="00E54F41" w:rsidRDefault="008A7DA0" w:rsidP="005E3A4E">
            <w:pPr>
              <w:tabs>
                <w:tab w:val="left" w:pos="829"/>
                <w:tab w:val="center" w:pos="882"/>
              </w:tabs>
              <w:jc w:val="center"/>
              <w:rPr>
                <w:rFonts w:cs="Times New Roman"/>
                <w:sz w:val="20"/>
                <w:szCs w:val="20"/>
              </w:rPr>
            </w:pPr>
            <w:r w:rsidRPr="00E54F41">
              <w:rPr>
                <w:rFonts w:cs="Times New Roman"/>
                <w:sz w:val="20"/>
                <w:szCs w:val="20"/>
              </w:rPr>
              <w:t>169</w:t>
            </w:r>
            <w:r w:rsidR="00151FF2" w:rsidRPr="00E54F41">
              <w:rPr>
                <w:rFonts w:cs="Times New Roman"/>
                <w:sz w:val="20"/>
                <w:szCs w:val="20"/>
              </w:rPr>
              <w:t>3</w:t>
            </w:r>
          </w:p>
          <w:p w:rsidR="0095096B" w:rsidRPr="00E54F41" w:rsidRDefault="0095096B" w:rsidP="0095096B">
            <w:pPr>
              <w:jc w:val="center"/>
              <w:rPr>
                <w:rFonts w:cs="Times New Roman"/>
                <w:sz w:val="20"/>
                <w:szCs w:val="20"/>
              </w:rPr>
            </w:pPr>
          </w:p>
          <w:p w:rsidR="00BD40FD" w:rsidRPr="00E54F41" w:rsidRDefault="00BD40FD" w:rsidP="0095096B">
            <w:pPr>
              <w:jc w:val="center"/>
              <w:rPr>
                <w:rFonts w:cs="Times New Roman"/>
                <w:sz w:val="20"/>
                <w:szCs w:val="20"/>
              </w:rPr>
            </w:pPr>
          </w:p>
          <w:p w:rsidR="0095096B" w:rsidRPr="00E54F41" w:rsidRDefault="008A7DA0" w:rsidP="0095096B">
            <w:pPr>
              <w:jc w:val="center"/>
              <w:rPr>
                <w:rFonts w:cs="Times New Roman"/>
                <w:sz w:val="20"/>
                <w:szCs w:val="20"/>
              </w:rPr>
            </w:pPr>
            <w:r w:rsidRPr="00E54F41">
              <w:rPr>
                <w:rFonts w:cs="Times New Roman"/>
                <w:sz w:val="20"/>
                <w:szCs w:val="20"/>
              </w:rPr>
              <w:t>169</w:t>
            </w:r>
            <w:r w:rsidR="00151FF2" w:rsidRPr="00E54F41">
              <w:rPr>
                <w:rFonts w:cs="Times New Roman"/>
                <w:sz w:val="20"/>
                <w:szCs w:val="20"/>
              </w:rPr>
              <w:t>4</w:t>
            </w:r>
            <w:r w:rsidRPr="00E54F41">
              <w:rPr>
                <w:rFonts w:cs="Times New Roman"/>
                <w:sz w:val="20"/>
                <w:szCs w:val="20"/>
              </w:rPr>
              <w:t>-170</w:t>
            </w:r>
            <w:r w:rsidR="00AC1877" w:rsidRPr="00E54F41">
              <w:rPr>
                <w:rFonts w:cs="Times New Roman"/>
                <w:sz w:val="20"/>
                <w:szCs w:val="20"/>
              </w:rPr>
              <w:t>7</w:t>
            </w:r>
          </w:p>
          <w:p w:rsidR="0095096B" w:rsidRPr="00E54F41" w:rsidRDefault="0095096B" w:rsidP="0095096B">
            <w:pPr>
              <w:jc w:val="center"/>
              <w:rPr>
                <w:rFonts w:cs="Times New Roman"/>
                <w:sz w:val="20"/>
                <w:szCs w:val="20"/>
              </w:rPr>
            </w:pPr>
          </w:p>
          <w:p w:rsidR="00A87207" w:rsidRPr="00E54F41" w:rsidRDefault="00A87207" w:rsidP="00D82FCF">
            <w:pPr>
              <w:tabs>
                <w:tab w:val="right" w:pos="9360"/>
              </w:tabs>
              <w:jc w:val="center"/>
              <w:rPr>
                <w:rFonts w:cs="Times New Roman"/>
                <w:sz w:val="20"/>
                <w:szCs w:val="20"/>
              </w:rPr>
            </w:pPr>
          </w:p>
        </w:tc>
        <w:tc>
          <w:tcPr>
            <w:tcW w:w="3888" w:type="dxa"/>
          </w:tcPr>
          <w:p w:rsidR="0095096B" w:rsidRPr="00E54F41" w:rsidRDefault="000E27A5" w:rsidP="0095096B">
            <w:pPr>
              <w:rPr>
                <w:rFonts w:cs="Times New Roman"/>
                <w:sz w:val="20"/>
                <w:szCs w:val="20"/>
                <w:lang w:val="fr-CA"/>
              </w:rPr>
            </w:pPr>
            <w:r w:rsidRPr="00E54F41">
              <w:rPr>
                <w:rFonts w:cs="Times New Roman"/>
                <w:sz w:val="20"/>
                <w:szCs w:val="20"/>
                <w:lang w:val="fr-CA"/>
              </w:rPr>
              <w:fldChar w:fldCharType="begin"/>
            </w:r>
            <w:r w:rsidR="0095096B" w:rsidRPr="00E54F41">
              <w:rPr>
                <w:rFonts w:cs="Times New Roman"/>
                <w:sz w:val="20"/>
                <w:szCs w:val="20"/>
                <w:lang w:val="fr-CA"/>
              </w:rPr>
              <w:instrText xml:space="preserve"> SEQ CHAPTER \h \r 1</w:instrText>
            </w:r>
            <w:r w:rsidRPr="00E54F41">
              <w:rPr>
                <w:rFonts w:cs="Times New Roman"/>
                <w:sz w:val="20"/>
                <w:szCs w:val="20"/>
                <w:lang w:val="fr-CA"/>
              </w:rPr>
              <w:fldChar w:fldCharType="end"/>
            </w:r>
            <w:r w:rsidR="0095096B" w:rsidRPr="00E54F41">
              <w:rPr>
                <w:rFonts w:cs="Times New Roman"/>
                <w:sz w:val="20"/>
                <w:szCs w:val="20"/>
                <w:lang w:val="fr-CA"/>
              </w:rPr>
              <w:t>Demandes d</w:t>
            </w:r>
            <w:r w:rsidR="004137A0" w:rsidRPr="00E54F41">
              <w:rPr>
                <w:rFonts w:cs="Times New Roman"/>
                <w:sz w:val="20"/>
                <w:szCs w:val="20"/>
                <w:lang w:val="fr-CA"/>
              </w:rPr>
              <w:t>’</w:t>
            </w:r>
            <w:r w:rsidR="0095096B" w:rsidRPr="00E54F41">
              <w:rPr>
                <w:rFonts w:cs="Times New Roman"/>
                <w:sz w:val="20"/>
                <w:szCs w:val="20"/>
                <w:lang w:val="fr-CA"/>
              </w:rPr>
              <w:t>autorisation d</w:t>
            </w:r>
            <w:r w:rsidR="004137A0" w:rsidRPr="00E54F41">
              <w:rPr>
                <w:rFonts w:cs="Times New Roman"/>
                <w:sz w:val="20"/>
                <w:szCs w:val="20"/>
                <w:lang w:val="fr-CA"/>
              </w:rPr>
              <w:t>’</w:t>
            </w:r>
            <w:r w:rsidR="0095096B" w:rsidRPr="00E54F41">
              <w:rPr>
                <w:rFonts w:cs="Times New Roman"/>
                <w:sz w:val="20"/>
                <w:szCs w:val="20"/>
                <w:lang w:val="fr-CA"/>
              </w:rPr>
              <w:t xml:space="preserve">appel </w:t>
            </w:r>
          </w:p>
          <w:p w:rsidR="0095096B" w:rsidRPr="00E54F41" w:rsidRDefault="0095096B" w:rsidP="0095096B">
            <w:pPr>
              <w:rPr>
                <w:rFonts w:cs="Times New Roman"/>
                <w:sz w:val="20"/>
                <w:szCs w:val="20"/>
                <w:lang w:val="fr-CA"/>
              </w:rPr>
            </w:pPr>
            <w:r w:rsidRPr="00E54F41">
              <w:rPr>
                <w:rFonts w:cs="Times New Roman"/>
                <w:sz w:val="20"/>
                <w:szCs w:val="20"/>
                <w:lang w:val="fr-CA"/>
              </w:rPr>
              <w:t>déposées</w:t>
            </w:r>
          </w:p>
          <w:p w:rsidR="0095096B" w:rsidRPr="00E54F41" w:rsidRDefault="0095096B" w:rsidP="0095096B">
            <w:pPr>
              <w:rPr>
                <w:rFonts w:cs="Times New Roman"/>
                <w:sz w:val="20"/>
                <w:szCs w:val="20"/>
                <w:lang w:val="fr-CA"/>
              </w:rPr>
            </w:pPr>
          </w:p>
          <w:p w:rsidR="0095096B" w:rsidRPr="00E54F41" w:rsidRDefault="0095096B" w:rsidP="0095096B">
            <w:pPr>
              <w:rPr>
                <w:rFonts w:cs="Times New Roman"/>
                <w:sz w:val="20"/>
                <w:szCs w:val="20"/>
                <w:lang w:val="fr-CA"/>
              </w:rPr>
            </w:pPr>
            <w:r w:rsidRPr="00E54F41">
              <w:rPr>
                <w:rFonts w:cs="Times New Roman"/>
                <w:sz w:val="20"/>
                <w:szCs w:val="20"/>
                <w:lang w:val="fr-CA"/>
              </w:rPr>
              <w:t xml:space="preserve">Demandes soumises à la Cour depuis la </w:t>
            </w:r>
          </w:p>
          <w:p w:rsidR="0095096B" w:rsidRPr="00E54F41" w:rsidRDefault="0095096B" w:rsidP="0095096B">
            <w:pPr>
              <w:rPr>
                <w:rFonts w:cs="Times New Roman"/>
                <w:sz w:val="20"/>
                <w:szCs w:val="20"/>
                <w:lang w:val="fr-CA"/>
              </w:rPr>
            </w:pPr>
            <w:r w:rsidRPr="00E54F41">
              <w:rPr>
                <w:rFonts w:cs="Times New Roman"/>
                <w:sz w:val="20"/>
                <w:szCs w:val="20"/>
                <w:lang w:val="fr-CA"/>
              </w:rPr>
              <w:t>dernière parution</w:t>
            </w:r>
          </w:p>
          <w:p w:rsidR="0095096B" w:rsidRPr="00E54F41" w:rsidRDefault="0095096B" w:rsidP="0095096B">
            <w:pPr>
              <w:rPr>
                <w:rFonts w:cs="Times New Roman"/>
                <w:sz w:val="20"/>
                <w:szCs w:val="20"/>
                <w:lang w:val="fr-CA"/>
              </w:rPr>
            </w:pPr>
          </w:p>
          <w:p w:rsidR="0095096B" w:rsidRPr="00E54F41" w:rsidRDefault="0095096B" w:rsidP="0095096B">
            <w:pPr>
              <w:rPr>
                <w:rFonts w:cs="Times New Roman"/>
                <w:sz w:val="20"/>
                <w:szCs w:val="20"/>
                <w:lang w:val="fr-CA"/>
              </w:rPr>
            </w:pPr>
            <w:r w:rsidRPr="00E54F41">
              <w:rPr>
                <w:rFonts w:cs="Times New Roman"/>
                <w:sz w:val="20"/>
                <w:szCs w:val="20"/>
                <w:lang w:val="fr-CA"/>
              </w:rPr>
              <w:t xml:space="preserve">Jugements rendus sur les demandes </w:t>
            </w:r>
          </w:p>
          <w:p w:rsidR="0095096B" w:rsidRPr="00E54F41" w:rsidRDefault="004137A0" w:rsidP="0095096B">
            <w:pPr>
              <w:rPr>
                <w:rFonts w:cs="Times New Roman"/>
                <w:sz w:val="20"/>
                <w:szCs w:val="20"/>
                <w:lang w:val="fr-CA"/>
              </w:rPr>
            </w:pPr>
            <w:r w:rsidRPr="00E54F41">
              <w:rPr>
                <w:rFonts w:cs="Times New Roman"/>
                <w:sz w:val="20"/>
                <w:szCs w:val="20"/>
                <w:lang w:val="fr-CA"/>
              </w:rPr>
              <w:t>d’</w:t>
            </w:r>
            <w:r w:rsidR="0095096B" w:rsidRPr="00E54F41">
              <w:rPr>
                <w:rFonts w:cs="Times New Roman"/>
                <w:sz w:val="20"/>
                <w:szCs w:val="20"/>
                <w:lang w:val="fr-CA"/>
              </w:rPr>
              <w:t>autorisation</w:t>
            </w:r>
          </w:p>
          <w:p w:rsidR="0095096B" w:rsidRPr="00E54F41" w:rsidRDefault="0095096B" w:rsidP="0095096B">
            <w:pPr>
              <w:rPr>
                <w:rFonts w:cs="Times New Roman"/>
                <w:sz w:val="20"/>
                <w:szCs w:val="20"/>
                <w:lang w:val="fr-CA"/>
              </w:rPr>
            </w:pPr>
          </w:p>
          <w:p w:rsidR="0095096B" w:rsidRPr="00E54F41" w:rsidRDefault="0095096B" w:rsidP="0095096B">
            <w:pPr>
              <w:rPr>
                <w:rFonts w:cs="Times New Roman"/>
                <w:sz w:val="20"/>
                <w:szCs w:val="20"/>
                <w:lang w:val="fr-CA"/>
              </w:rPr>
            </w:pPr>
            <w:r w:rsidRPr="00E54F41">
              <w:rPr>
                <w:rFonts w:cs="Times New Roman"/>
                <w:sz w:val="20"/>
                <w:szCs w:val="20"/>
                <w:lang w:val="fr-CA"/>
              </w:rPr>
              <w:t>Requêtes</w:t>
            </w:r>
          </w:p>
          <w:p w:rsidR="0095096B" w:rsidRPr="00E54F41" w:rsidRDefault="0095096B" w:rsidP="0095096B">
            <w:pPr>
              <w:rPr>
                <w:rFonts w:cs="Times New Roman"/>
                <w:sz w:val="20"/>
                <w:szCs w:val="20"/>
                <w:lang w:val="fr-CA"/>
              </w:rPr>
            </w:pPr>
          </w:p>
          <w:p w:rsidR="0095096B" w:rsidRPr="00E54F41" w:rsidRDefault="0095096B" w:rsidP="0095096B">
            <w:pPr>
              <w:rPr>
                <w:rFonts w:cs="Times New Roman"/>
                <w:sz w:val="20"/>
                <w:szCs w:val="20"/>
                <w:lang w:val="fr-CA"/>
              </w:rPr>
            </w:pPr>
            <w:r w:rsidRPr="00E54F41">
              <w:rPr>
                <w:rFonts w:cs="Times New Roman"/>
                <w:sz w:val="20"/>
                <w:szCs w:val="20"/>
                <w:lang w:val="fr-CA"/>
              </w:rPr>
              <w:t>Avis d</w:t>
            </w:r>
            <w:r w:rsidR="004137A0" w:rsidRPr="00E54F41">
              <w:rPr>
                <w:rFonts w:cs="Times New Roman"/>
                <w:sz w:val="20"/>
                <w:szCs w:val="20"/>
                <w:lang w:val="fr-CA"/>
              </w:rPr>
              <w:t>’</w:t>
            </w:r>
            <w:r w:rsidRPr="00E54F41">
              <w:rPr>
                <w:rFonts w:cs="Times New Roman"/>
                <w:sz w:val="20"/>
                <w:szCs w:val="20"/>
                <w:lang w:val="fr-CA"/>
              </w:rPr>
              <w:t xml:space="preserve">appel déposés depuis la dernière </w:t>
            </w:r>
          </w:p>
          <w:p w:rsidR="0095096B" w:rsidRPr="00E54F41" w:rsidRDefault="0095096B" w:rsidP="0095096B">
            <w:pPr>
              <w:rPr>
                <w:rFonts w:cs="Times New Roman"/>
                <w:sz w:val="20"/>
                <w:szCs w:val="20"/>
                <w:lang w:val="fr-CA"/>
              </w:rPr>
            </w:pPr>
            <w:r w:rsidRPr="00E54F41">
              <w:rPr>
                <w:rFonts w:cs="Times New Roman"/>
                <w:sz w:val="20"/>
                <w:szCs w:val="20"/>
                <w:lang w:val="fr-CA"/>
              </w:rPr>
              <w:t>parution</w:t>
            </w:r>
          </w:p>
          <w:p w:rsidR="0095096B" w:rsidRPr="00E54F41" w:rsidRDefault="0095096B" w:rsidP="0095096B">
            <w:pPr>
              <w:rPr>
                <w:rFonts w:cs="Times New Roman"/>
                <w:sz w:val="20"/>
                <w:szCs w:val="20"/>
                <w:lang w:val="fr-CA"/>
              </w:rPr>
            </w:pPr>
          </w:p>
          <w:p w:rsidR="0095096B" w:rsidRPr="00E54F41" w:rsidRDefault="0095096B" w:rsidP="0095096B">
            <w:pPr>
              <w:rPr>
                <w:rFonts w:cs="Times New Roman"/>
                <w:sz w:val="20"/>
                <w:szCs w:val="20"/>
                <w:lang w:val="fr-CA"/>
              </w:rPr>
            </w:pPr>
            <w:r w:rsidRPr="00E54F41">
              <w:rPr>
                <w:rFonts w:cs="Times New Roman"/>
                <w:sz w:val="20"/>
                <w:szCs w:val="20"/>
                <w:lang w:val="fr-CA"/>
              </w:rPr>
              <w:t xml:space="preserve">Jugements rendus sur les appels en </w:t>
            </w:r>
          </w:p>
          <w:p w:rsidR="0095096B" w:rsidRPr="00E54F41" w:rsidRDefault="0095096B" w:rsidP="0095096B">
            <w:pPr>
              <w:rPr>
                <w:rFonts w:cs="Times New Roman"/>
                <w:sz w:val="20"/>
                <w:szCs w:val="20"/>
                <w:lang w:val="fr-CA"/>
              </w:rPr>
            </w:pPr>
            <w:r w:rsidRPr="00E54F41">
              <w:rPr>
                <w:rFonts w:cs="Times New Roman"/>
                <w:sz w:val="20"/>
                <w:szCs w:val="20"/>
                <w:lang w:val="fr-CA"/>
              </w:rPr>
              <w:t>délibéré</w:t>
            </w:r>
          </w:p>
          <w:p w:rsidR="0095096B" w:rsidRPr="00E54F41" w:rsidRDefault="0095096B" w:rsidP="0095096B">
            <w:pPr>
              <w:rPr>
                <w:rFonts w:cs="Times New Roman"/>
                <w:sz w:val="20"/>
                <w:szCs w:val="20"/>
                <w:lang w:val="fr-CA"/>
              </w:rPr>
            </w:pPr>
          </w:p>
          <w:p w:rsidR="0095096B" w:rsidRPr="00E54F41" w:rsidRDefault="0095096B" w:rsidP="0095096B">
            <w:pPr>
              <w:rPr>
                <w:rFonts w:cs="Times New Roman"/>
                <w:sz w:val="20"/>
                <w:szCs w:val="20"/>
                <w:lang w:val="fr-CA"/>
              </w:rPr>
            </w:pPr>
            <w:r w:rsidRPr="00E54F41">
              <w:rPr>
                <w:rFonts w:cs="Times New Roman"/>
                <w:sz w:val="20"/>
                <w:szCs w:val="20"/>
                <w:lang w:val="fr-CA"/>
              </w:rPr>
              <w:t xml:space="preserve">Sommaires de </w:t>
            </w:r>
            <w:r w:rsidR="00C50A5C" w:rsidRPr="00E54F41">
              <w:rPr>
                <w:rFonts w:cs="Times New Roman"/>
                <w:sz w:val="20"/>
                <w:szCs w:val="20"/>
                <w:lang w:val="fr-CA"/>
              </w:rPr>
              <w:t>jugements récents</w:t>
            </w:r>
          </w:p>
          <w:p w:rsidR="00A87207" w:rsidRPr="00E54F41" w:rsidRDefault="00A87207" w:rsidP="003B0DAD">
            <w:pPr>
              <w:rPr>
                <w:rFonts w:cs="Times New Roman"/>
                <w:sz w:val="20"/>
                <w:szCs w:val="20"/>
                <w:lang w:val="fr-CA"/>
              </w:rPr>
            </w:pPr>
          </w:p>
        </w:tc>
      </w:tr>
      <w:tr w:rsidR="0079724F" w:rsidRPr="00B904CB" w:rsidTr="007972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6" w:type="dxa"/>
            <w:gridSpan w:val="3"/>
          </w:tcPr>
          <w:p w:rsidR="0079724F" w:rsidRPr="00E54F41" w:rsidRDefault="0079724F" w:rsidP="00215F7C">
            <w:pPr>
              <w:keepNext/>
              <w:tabs>
                <w:tab w:val="right" w:pos="9360"/>
              </w:tabs>
              <w:jc w:val="center"/>
              <w:rPr>
                <w:szCs w:val="24"/>
              </w:rPr>
            </w:pPr>
            <w:r w:rsidRPr="00E54F41">
              <w:rPr>
                <w:szCs w:val="24"/>
              </w:rPr>
              <w:t>NOTICE</w:t>
            </w:r>
          </w:p>
          <w:p w:rsidR="0079724F" w:rsidRPr="00E54F41" w:rsidRDefault="0079724F" w:rsidP="00215F7C">
            <w:pPr>
              <w:keepNext/>
              <w:tabs>
                <w:tab w:val="right" w:pos="9360"/>
              </w:tabs>
              <w:rPr>
                <w:szCs w:val="24"/>
              </w:rPr>
            </w:pPr>
          </w:p>
          <w:p w:rsidR="0079724F" w:rsidRPr="00E54F41" w:rsidRDefault="0079724F" w:rsidP="00215F7C">
            <w:pPr>
              <w:keepNext/>
              <w:tabs>
                <w:tab w:val="right" w:pos="9360"/>
              </w:tabs>
              <w:jc w:val="both"/>
              <w:rPr>
                <w:szCs w:val="24"/>
              </w:rPr>
            </w:pPr>
            <w:r w:rsidRPr="00E54F41">
              <w:rPr>
                <w:szCs w:val="24"/>
              </w:rPr>
              <w:t>Case summaries included in the Bulletin are prepared by the Office of the Registrar of the Supreme Court of Canada (Law Branch) for information purposes only.</w:t>
            </w:r>
          </w:p>
          <w:p w:rsidR="0079724F" w:rsidRPr="00E54F41" w:rsidRDefault="0079724F" w:rsidP="00215F7C">
            <w:pPr>
              <w:keepNext/>
              <w:tabs>
                <w:tab w:val="right" w:pos="9360"/>
              </w:tabs>
              <w:rPr>
                <w:szCs w:val="24"/>
              </w:rPr>
            </w:pPr>
          </w:p>
          <w:p w:rsidR="0079724F" w:rsidRPr="00E54F41" w:rsidRDefault="0079724F" w:rsidP="00215F7C">
            <w:pPr>
              <w:keepNext/>
              <w:tabs>
                <w:tab w:val="right" w:pos="9360"/>
              </w:tabs>
              <w:rPr>
                <w:szCs w:val="24"/>
              </w:rPr>
            </w:pPr>
          </w:p>
          <w:p w:rsidR="0079724F" w:rsidRPr="00E54F41" w:rsidRDefault="0079724F" w:rsidP="00215F7C">
            <w:pPr>
              <w:keepNext/>
              <w:tabs>
                <w:tab w:val="right" w:pos="9360"/>
              </w:tabs>
              <w:jc w:val="center"/>
              <w:rPr>
                <w:szCs w:val="24"/>
                <w:lang w:val="fr-CA"/>
              </w:rPr>
            </w:pPr>
            <w:r w:rsidRPr="00E54F41">
              <w:rPr>
                <w:szCs w:val="24"/>
                <w:lang w:val="fr-CA"/>
              </w:rPr>
              <w:t>AVIS</w:t>
            </w:r>
          </w:p>
          <w:p w:rsidR="0079724F" w:rsidRPr="00E54F41" w:rsidRDefault="0079724F" w:rsidP="00215F7C">
            <w:pPr>
              <w:keepNext/>
              <w:tabs>
                <w:tab w:val="right" w:pos="9360"/>
              </w:tabs>
              <w:rPr>
                <w:szCs w:val="24"/>
                <w:lang w:val="fr-CA"/>
              </w:rPr>
            </w:pPr>
          </w:p>
          <w:p w:rsidR="0079724F" w:rsidRPr="00E54F41" w:rsidRDefault="0079724F" w:rsidP="00215F7C">
            <w:pPr>
              <w:keepNext/>
              <w:tabs>
                <w:tab w:val="right" w:pos="9360"/>
              </w:tabs>
              <w:jc w:val="both"/>
              <w:rPr>
                <w:sz w:val="20"/>
                <w:szCs w:val="20"/>
                <w:lang w:val="fr-CA"/>
              </w:rPr>
            </w:pPr>
            <w:r w:rsidRPr="00E54F41">
              <w:rPr>
                <w:szCs w:val="24"/>
                <w:lang w:val="fr-CA"/>
              </w:rPr>
              <w:t>Les résumés de dossiers publiés dans le bulletin sont préparés par le Bureau du registraire (Direction générale du droit) uniquement à titre d’information.</w:t>
            </w:r>
          </w:p>
        </w:tc>
      </w:tr>
    </w:tbl>
    <w:p w:rsidR="0095096B" w:rsidRPr="00E54F41" w:rsidRDefault="0095096B" w:rsidP="0095096B">
      <w:pPr>
        <w:tabs>
          <w:tab w:val="right" w:pos="9360"/>
        </w:tabs>
        <w:rPr>
          <w:lang w:val="fr-CA"/>
        </w:rPr>
      </w:pPr>
    </w:p>
    <w:p w:rsidR="00A87207" w:rsidRPr="00E54F41" w:rsidRDefault="00A87207" w:rsidP="0095096B">
      <w:pPr>
        <w:tabs>
          <w:tab w:val="right" w:pos="9360"/>
        </w:tabs>
        <w:rPr>
          <w:lang w:val="fr-CA"/>
        </w:rPr>
        <w:sectPr w:rsidR="00A87207" w:rsidRPr="00E54F41"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E54F41" w:rsidTr="00245129">
        <w:tc>
          <w:tcPr>
            <w:tcW w:w="4200" w:type="dxa"/>
            <w:shd w:val="clear" w:color="auto" w:fill="auto"/>
            <w:tcMar>
              <w:left w:w="0" w:type="dxa"/>
              <w:right w:w="0" w:type="dxa"/>
            </w:tcMar>
          </w:tcPr>
          <w:p w:rsidR="00A87207" w:rsidRPr="00E54F41" w:rsidRDefault="00A87207" w:rsidP="00BA6468">
            <w:pPr>
              <w:rPr>
                <w:rFonts w:eastAsia="Times New Roman" w:cs="Times New Roman"/>
                <w:b/>
                <w:sz w:val="20"/>
                <w:szCs w:val="20"/>
                <w:lang w:eastAsia="en-CA"/>
              </w:rPr>
            </w:pPr>
            <w:r w:rsidRPr="00E54F41">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E54F41" w:rsidRDefault="00A87207" w:rsidP="002E2327">
            <w:pPr>
              <w:jc w:val="center"/>
              <w:rPr>
                <w:rFonts w:eastAsia="Times New Roman" w:cs="Times New Roman"/>
                <w:b/>
                <w:sz w:val="20"/>
                <w:szCs w:val="20"/>
                <w:lang w:eastAsia="en-CA"/>
              </w:rPr>
            </w:pPr>
          </w:p>
          <w:p w:rsidR="00A87207" w:rsidRPr="00E54F41" w:rsidRDefault="00A87207" w:rsidP="002E2327">
            <w:pPr>
              <w:jc w:val="center"/>
              <w:rPr>
                <w:rFonts w:eastAsia="Times New Roman" w:cs="Times New Roman"/>
                <w:b/>
                <w:sz w:val="20"/>
                <w:szCs w:val="20"/>
                <w:lang w:eastAsia="en-CA"/>
              </w:rPr>
            </w:pPr>
          </w:p>
          <w:p w:rsidR="00A87207" w:rsidRPr="00E54F41"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E54F41" w:rsidRDefault="00A87207" w:rsidP="00A87207">
            <w:pPr>
              <w:rPr>
                <w:rFonts w:eastAsia="Times New Roman" w:cs="Times New Roman"/>
                <w:b/>
                <w:sz w:val="20"/>
                <w:szCs w:val="20"/>
                <w:lang w:val="fr-CA" w:eastAsia="en-CA"/>
              </w:rPr>
            </w:pPr>
            <w:r w:rsidRPr="00E54F41">
              <w:rPr>
                <w:rFonts w:eastAsia="Times New Roman" w:cs="Times New Roman"/>
                <w:b/>
                <w:szCs w:val="20"/>
                <w:lang w:val="fr-CA" w:eastAsia="en-CA"/>
              </w:rPr>
              <w:t>DEMANDES D’AUTORISATION D’APPEL DÉPOSÉES</w:t>
            </w:r>
          </w:p>
        </w:tc>
      </w:tr>
    </w:tbl>
    <w:p w:rsidR="00A87207" w:rsidRPr="00E54F41"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E54F41" w:rsidTr="003B3977">
        <w:tc>
          <w:tcPr>
            <w:tcW w:w="4320" w:type="dxa"/>
            <w:shd w:val="clear" w:color="auto" w:fill="auto"/>
          </w:tcPr>
          <w:p w:rsidR="00C21644" w:rsidRPr="00E54F41" w:rsidRDefault="000B6576" w:rsidP="005F1ED8">
            <w:pPr>
              <w:rPr>
                <w:b/>
                <w:sz w:val="20"/>
                <w:szCs w:val="20"/>
              </w:rPr>
            </w:pPr>
            <w:r w:rsidRPr="00E54F41">
              <w:rPr>
                <w:b/>
                <w:sz w:val="20"/>
                <w:szCs w:val="20"/>
              </w:rPr>
              <w:t>Judicial Committee of the Highwood Congregation of Jehovah’s Witnesses (Vaughan Lee – Chairman and elders James Scott Lang and Joe Gurney) and the Highwood Congregation of Jehovah’s Witnesses</w:t>
            </w:r>
          </w:p>
          <w:p w:rsidR="00C21644" w:rsidRPr="00E54F41" w:rsidRDefault="00C21644" w:rsidP="005F1ED8">
            <w:pPr>
              <w:tabs>
                <w:tab w:val="left" w:pos="-1440"/>
                <w:tab w:val="left" w:pos="-720"/>
              </w:tabs>
              <w:rPr>
                <w:sz w:val="20"/>
                <w:szCs w:val="20"/>
              </w:rPr>
            </w:pPr>
            <w:r w:rsidRPr="00E54F41">
              <w:rPr>
                <w:sz w:val="20"/>
                <w:szCs w:val="20"/>
              </w:rPr>
              <w:tab/>
            </w:r>
            <w:r w:rsidR="000B6576" w:rsidRPr="00E54F41">
              <w:rPr>
                <w:sz w:val="20"/>
                <w:szCs w:val="20"/>
              </w:rPr>
              <w:t xml:space="preserve">David M. </w:t>
            </w:r>
            <w:proofErr w:type="spellStart"/>
            <w:r w:rsidR="000B6576" w:rsidRPr="00E54F41">
              <w:rPr>
                <w:sz w:val="20"/>
                <w:szCs w:val="20"/>
              </w:rPr>
              <w:t>Gnam</w:t>
            </w:r>
            <w:proofErr w:type="spellEnd"/>
          </w:p>
          <w:p w:rsidR="00C21644" w:rsidRPr="00E54F41" w:rsidRDefault="00C21644" w:rsidP="005F1ED8">
            <w:pPr>
              <w:tabs>
                <w:tab w:val="left" w:pos="-1440"/>
                <w:tab w:val="left" w:pos="-720"/>
              </w:tabs>
              <w:rPr>
                <w:sz w:val="20"/>
                <w:szCs w:val="20"/>
              </w:rPr>
            </w:pPr>
            <w:r w:rsidRPr="00E54F41">
              <w:rPr>
                <w:sz w:val="20"/>
                <w:szCs w:val="20"/>
              </w:rPr>
              <w:tab/>
            </w:r>
            <w:r w:rsidR="000B6576" w:rsidRPr="00E54F41">
              <w:rPr>
                <w:sz w:val="20"/>
                <w:szCs w:val="20"/>
              </w:rPr>
              <w:t>W. Glen How &amp; Associates LLP</w:t>
            </w:r>
          </w:p>
          <w:p w:rsidR="000B6576" w:rsidRPr="00E54F41" w:rsidRDefault="000B6576" w:rsidP="005F1ED8">
            <w:pPr>
              <w:tabs>
                <w:tab w:val="left" w:pos="-1440"/>
                <w:tab w:val="left" w:pos="-720"/>
              </w:tabs>
              <w:rPr>
                <w:sz w:val="20"/>
                <w:szCs w:val="20"/>
              </w:rPr>
            </w:pPr>
          </w:p>
          <w:p w:rsidR="00C21644" w:rsidRPr="00E54F41" w:rsidRDefault="00F46187" w:rsidP="005F1ED8">
            <w:pPr>
              <w:tabs>
                <w:tab w:val="left" w:pos="-1440"/>
                <w:tab w:val="left" w:pos="-720"/>
              </w:tabs>
              <w:rPr>
                <w:sz w:val="20"/>
                <w:szCs w:val="20"/>
              </w:rPr>
            </w:pPr>
            <w:r w:rsidRPr="00E54F41">
              <w:rPr>
                <w:sz w:val="20"/>
                <w:szCs w:val="20"/>
              </w:rPr>
              <w:tab/>
            </w:r>
            <w:r w:rsidR="00171E3B" w:rsidRPr="00E54F41">
              <w:rPr>
                <w:sz w:val="20"/>
                <w:szCs w:val="20"/>
              </w:rPr>
              <w:t>v</w:t>
            </w:r>
            <w:r w:rsidR="00C21644" w:rsidRPr="00E54F41">
              <w:rPr>
                <w:sz w:val="20"/>
                <w:szCs w:val="20"/>
              </w:rPr>
              <w:t>. (</w:t>
            </w:r>
            <w:r w:rsidR="000B6576" w:rsidRPr="00E54F41">
              <w:rPr>
                <w:sz w:val="20"/>
                <w:szCs w:val="20"/>
              </w:rPr>
              <w:t>37273</w:t>
            </w:r>
            <w:r w:rsidR="00C21644" w:rsidRPr="00E54F41">
              <w:rPr>
                <w:sz w:val="20"/>
                <w:szCs w:val="20"/>
              </w:rPr>
              <w:t>)</w:t>
            </w:r>
          </w:p>
          <w:p w:rsidR="00C21644" w:rsidRPr="00E54F41" w:rsidRDefault="00C21644" w:rsidP="005F1ED8">
            <w:pPr>
              <w:tabs>
                <w:tab w:val="left" w:pos="-1440"/>
                <w:tab w:val="left" w:pos="-720"/>
              </w:tabs>
              <w:rPr>
                <w:sz w:val="20"/>
                <w:szCs w:val="20"/>
              </w:rPr>
            </w:pPr>
          </w:p>
          <w:p w:rsidR="00C21644" w:rsidRPr="00E54F41" w:rsidRDefault="000B6576" w:rsidP="005F1ED8">
            <w:pPr>
              <w:tabs>
                <w:tab w:val="left" w:pos="-1440"/>
                <w:tab w:val="left" w:pos="-720"/>
              </w:tabs>
              <w:rPr>
                <w:b/>
                <w:sz w:val="20"/>
                <w:szCs w:val="20"/>
              </w:rPr>
            </w:pPr>
            <w:r w:rsidRPr="00E54F41">
              <w:rPr>
                <w:b/>
                <w:sz w:val="20"/>
                <w:szCs w:val="20"/>
              </w:rPr>
              <w:t>Randy Wall</w:t>
            </w:r>
            <w:r w:rsidR="00C21644" w:rsidRPr="00E54F41">
              <w:rPr>
                <w:sz w:val="20"/>
                <w:szCs w:val="20"/>
              </w:rPr>
              <w:t xml:space="preserve"> </w:t>
            </w:r>
            <w:r w:rsidR="00C21644" w:rsidRPr="00E54F41">
              <w:rPr>
                <w:b/>
                <w:sz w:val="20"/>
                <w:szCs w:val="20"/>
              </w:rPr>
              <w:t>(</w:t>
            </w:r>
            <w:r w:rsidRPr="00E54F41">
              <w:rPr>
                <w:b/>
                <w:sz w:val="20"/>
                <w:szCs w:val="20"/>
              </w:rPr>
              <w:t>Alta.)</w:t>
            </w:r>
          </w:p>
          <w:p w:rsidR="00C21644" w:rsidRPr="00E54F41" w:rsidRDefault="00C21644" w:rsidP="005F1ED8">
            <w:pPr>
              <w:tabs>
                <w:tab w:val="left" w:pos="-1440"/>
                <w:tab w:val="left" w:pos="-720"/>
              </w:tabs>
              <w:rPr>
                <w:sz w:val="20"/>
                <w:szCs w:val="20"/>
              </w:rPr>
            </w:pPr>
            <w:r w:rsidRPr="00E54F41">
              <w:rPr>
                <w:sz w:val="20"/>
                <w:szCs w:val="20"/>
              </w:rPr>
              <w:tab/>
            </w:r>
            <w:r w:rsidR="000B6576" w:rsidRPr="00E54F41">
              <w:rPr>
                <w:sz w:val="20"/>
                <w:szCs w:val="20"/>
              </w:rPr>
              <w:t>Randy Wall</w:t>
            </w:r>
          </w:p>
          <w:p w:rsidR="00C21644" w:rsidRPr="00E54F41" w:rsidRDefault="00C21644" w:rsidP="005F1ED8">
            <w:pPr>
              <w:tabs>
                <w:tab w:val="left" w:pos="-1440"/>
                <w:tab w:val="left" w:pos="-720"/>
              </w:tabs>
              <w:rPr>
                <w:sz w:val="20"/>
                <w:szCs w:val="20"/>
              </w:rPr>
            </w:pPr>
            <w:r w:rsidRPr="00E54F41">
              <w:rPr>
                <w:sz w:val="20"/>
                <w:szCs w:val="20"/>
              </w:rPr>
              <w:tab/>
            </w:r>
          </w:p>
          <w:p w:rsidR="00C21644" w:rsidRPr="00E54F41" w:rsidRDefault="008867C8" w:rsidP="005F1ED8">
            <w:pPr>
              <w:rPr>
                <w:sz w:val="20"/>
                <w:szCs w:val="20"/>
                <w:lang w:val="fr-CA"/>
              </w:rPr>
            </w:pPr>
            <w:r w:rsidRPr="00E54F41">
              <w:rPr>
                <w:sz w:val="20"/>
                <w:szCs w:val="20"/>
                <w:lang w:val="fr-CA"/>
              </w:rPr>
              <w:t>FILING DATE</w:t>
            </w:r>
            <w:r w:rsidR="00C21644" w:rsidRPr="00E54F41">
              <w:rPr>
                <w:sz w:val="20"/>
                <w:szCs w:val="20"/>
                <w:lang w:val="fr-CA"/>
              </w:rPr>
              <w:t xml:space="preserve">: </w:t>
            </w:r>
            <w:r w:rsidR="000B6576" w:rsidRPr="00E54F41">
              <w:rPr>
                <w:sz w:val="20"/>
                <w:szCs w:val="20"/>
                <w:lang w:val="fr-CA"/>
              </w:rPr>
              <w:t>04</w:t>
            </w:r>
            <w:r w:rsidR="00C21644" w:rsidRPr="00E54F41">
              <w:rPr>
                <w:sz w:val="20"/>
                <w:szCs w:val="20"/>
                <w:lang w:val="fr-CA"/>
              </w:rPr>
              <w:t>.1</w:t>
            </w:r>
            <w:r w:rsidR="000B6576" w:rsidRPr="00E54F41">
              <w:rPr>
                <w:sz w:val="20"/>
                <w:szCs w:val="20"/>
                <w:lang w:val="fr-CA"/>
              </w:rPr>
              <w:t>1</w:t>
            </w:r>
            <w:r w:rsidR="00C21644" w:rsidRPr="00E54F41">
              <w:rPr>
                <w:sz w:val="20"/>
                <w:szCs w:val="20"/>
                <w:lang w:val="fr-CA"/>
              </w:rPr>
              <w:t>.201</w:t>
            </w:r>
            <w:r w:rsidR="00E942C2" w:rsidRPr="00E54F41">
              <w:rPr>
                <w:sz w:val="20"/>
                <w:szCs w:val="20"/>
                <w:lang w:val="fr-CA"/>
              </w:rPr>
              <w:t>6</w:t>
            </w:r>
          </w:p>
          <w:p w:rsidR="00C21644" w:rsidRPr="00E54F41" w:rsidRDefault="00B904CB"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E54F41" w:rsidRDefault="00C21644" w:rsidP="00242AEE">
            <w:pPr>
              <w:jc w:val="center"/>
              <w:rPr>
                <w:sz w:val="20"/>
                <w:szCs w:val="20"/>
                <w:lang w:val="fr-CA"/>
              </w:rPr>
            </w:pPr>
          </w:p>
          <w:p w:rsidR="00C21644" w:rsidRPr="00E54F41" w:rsidRDefault="00C21644" w:rsidP="00242AEE">
            <w:pPr>
              <w:jc w:val="center"/>
              <w:rPr>
                <w:sz w:val="20"/>
                <w:szCs w:val="20"/>
                <w:lang w:val="fr-CA"/>
              </w:rPr>
            </w:pPr>
          </w:p>
          <w:p w:rsidR="00C21644" w:rsidRPr="00E54F41" w:rsidRDefault="00C21644" w:rsidP="00242AEE">
            <w:pPr>
              <w:jc w:val="center"/>
              <w:rPr>
                <w:sz w:val="20"/>
                <w:szCs w:val="20"/>
                <w:lang w:val="fr-CA"/>
              </w:rPr>
            </w:pPr>
          </w:p>
          <w:p w:rsidR="00C21644" w:rsidRPr="00E54F41" w:rsidRDefault="00C21644" w:rsidP="00242AEE">
            <w:pPr>
              <w:jc w:val="center"/>
              <w:rPr>
                <w:sz w:val="20"/>
                <w:szCs w:val="20"/>
                <w:lang w:val="fr-CA"/>
              </w:rPr>
            </w:pPr>
          </w:p>
          <w:p w:rsidR="00C21644" w:rsidRPr="00E54F41" w:rsidRDefault="00C21644" w:rsidP="00242AEE">
            <w:pPr>
              <w:jc w:val="center"/>
              <w:rPr>
                <w:sz w:val="20"/>
                <w:szCs w:val="20"/>
                <w:lang w:val="fr-CA"/>
              </w:rPr>
            </w:pPr>
          </w:p>
          <w:p w:rsidR="00C21644" w:rsidRPr="00E54F41" w:rsidRDefault="00C21644" w:rsidP="00242AEE">
            <w:pPr>
              <w:jc w:val="center"/>
              <w:rPr>
                <w:sz w:val="20"/>
                <w:szCs w:val="20"/>
                <w:lang w:val="fr-CA"/>
              </w:rPr>
            </w:pPr>
          </w:p>
          <w:p w:rsidR="00C21644" w:rsidRPr="00E54F41" w:rsidRDefault="00C21644" w:rsidP="00242AEE">
            <w:pPr>
              <w:jc w:val="center"/>
              <w:rPr>
                <w:sz w:val="20"/>
                <w:szCs w:val="20"/>
                <w:lang w:val="fr-CA"/>
              </w:rPr>
            </w:pPr>
          </w:p>
          <w:p w:rsidR="00C21644" w:rsidRPr="00E54F41" w:rsidRDefault="00C21644" w:rsidP="00242AEE">
            <w:pPr>
              <w:jc w:val="center"/>
              <w:rPr>
                <w:sz w:val="20"/>
                <w:szCs w:val="20"/>
                <w:lang w:val="fr-CA"/>
              </w:rPr>
            </w:pPr>
          </w:p>
          <w:p w:rsidR="00C21644" w:rsidRPr="00E54F41" w:rsidRDefault="00C21644" w:rsidP="00242AEE">
            <w:pPr>
              <w:jc w:val="center"/>
              <w:rPr>
                <w:sz w:val="20"/>
                <w:szCs w:val="20"/>
                <w:lang w:val="fr-CA"/>
              </w:rPr>
            </w:pPr>
          </w:p>
          <w:p w:rsidR="00C21644" w:rsidRPr="00E54F41" w:rsidRDefault="00C21644" w:rsidP="00242AEE">
            <w:pPr>
              <w:jc w:val="center"/>
              <w:rPr>
                <w:sz w:val="20"/>
                <w:szCs w:val="20"/>
                <w:lang w:val="fr-CA"/>
              </w:rPr>
            </w:pPr>
          </w:p>
          <w:p w:rsidR="00C21644" w:rsidRPr="00E54F41" w:rsidRDefault="00C21644" w:rsidP="00242AEE">
            <w:pPr>
              <w:jc w:val="center"/>
              <w:rPr>
                <w:sz w:val="20"/>
                <w:szCs w:val="20"/>
                <w:lang w:val="fr-CA"/>
              </w:rPr>
            </w:pPr>
          </w:p>
          <w:p w:rsidR="00C21644" w:rsidRPr="00E54F41" w:rsidRDefault="00C21644" w:rsidP="00242AEE">
            <w:pPr>
              <w:jc w:val="center"/>
              <w:rPr>
                <w:sz w:val="20"/>
                <w:szCs w:val="20"/>
                <w:lang w:val="fr-CA"/>
              </w:rPr>
            </w:pPr>
          </w:p>
          <w:p w:rsidR="0018244C" w:rsidRPr="00E54F41" w:rsidRDefault="0018244C" w:rsidP="00242AEE">
            <w:pPr>
              <w:jc w:val="center"/>
              <w:rPr>
                <w:sz w:val="20"/>
                <w:szCs w:val="20"/>
                <w:lang w:val="fr-CA"/>
              </w:rPr>
            </w:pPr>
          </w:p>
          <w:p w:rsidR="0018244C" w:rsidRPr="00E54F41" w:rsidRDefault="0018244C" w:rsidP="00242AEE">
            <w:pPr>
              <w:jc w:val="center"/>
              <w:rPr>
                <w:sz w:val="20"/>
                <w:szCs w:val="20"/>
                <w:lang w:val="fr-CA"/>
              </w:rPr>
            </w:pPr>
          </w:p>
          <w:p w:rsidR="0018244C" w:rsidRPr="00E54F41" w:rsidRDefault="0018244C" w:rsidP="00242AEE">
            <w:pPr>
              <w:jc w:val="center"/>
              <w:rPr>
                <w:sz w:val="20"/>
                <w:szCs w:val="20"/>
                <w:lang w:val="fr-CA"/>
              </w:rPr>
            </w:pPr>
          </w:p>
          <w:p w:rsidR="00C21644" w:rsidRPr="00E54F41" w:rsidRDefault="00C21644" w:rsidP="00242AEE">
            <w:pPr>
              <w:jc w:val="center"/>
              <w:rPr>
                <w:sz w:val="20"/>
                <w:szCs w:val="20"/>
                <w:lang w:val="fr-CA"/>
              </w:rPr>
            </w:pPr>
          </w:p>
        </w:tc>
        <w:tc>
          <w:tcPr>
            <w:tcW w:w="4320" w:type="dxa"/>
            <w:shd w:val="clear" w:color="auto" w:fill="auto"/>
          </w:tcPr>
          <w:p w:rsidR="00C21644" w:rsidRPr="00E54F41" w:rsidRDefault="000B6576" w:rsidP="005F1ED8">
            <w:pPr>
              <w:keepNext/>
              <w:keepLines/>
              <w:tabs>
                <w:tab w:val="left" w:pos="-1440"/>
                <w:tab w:val="left" w:pos="-720"/>
              </w:tabs>
              <w:rPr>
                <w:b/>
                <w:sz w:val="20"/>
                <w:szCs w:val="20"/>
              </w:rPr>
            </w:pPr>
            <w:r w:rsidRPr="00E54F41">
              <w:rPr>
                <w:b/>
                <w:sz w:val="20"/>
                <w:szCs w:val="20"/>
              </w:rPr>
              <w:t xml:space="preserve">Chief John </w:t>
            </w:r>
            <w:proofErr w:type="spellStart"/>
            <w:r w:rsidRPr="00E54F41">
              <w:rPr>
                <w:b/>
                <w:sz w:val="20"/>
                <w:szCs w:val="20"/>
              </w:rPr>
              <w:t>Ermine</w:t>
            </w:r>
            <w:r w:rsidR="00B904CB">
              <w:rPr>
                <w:b/>
                <w:sz w:val="20"/>
                <w:szCs w:val="20"/>
              </w:rPr>
              <w:t>s</w:t>
            </w:r>
            <w:bookmarkStart w:id="0" w:name="_GoBack"/>
            <w:bookmarkEnd w:id="0"/>
            <w:r w:rsidRPr="00E54F41">
              <w:rPr>
                <w:b/>
                <w:sz w:val="20"/>
                <w:szCs w:val="20"/>
              </w:rPr>
              <w:t>kin</w:t>
            </w:r>
            <w:proofErr w:type="spellEnd"/>
            <w:r w:rsidRPr="00E54F41">
              <w:rPr>
                <w:b/>
                <w:sz w:val="20"/>
                <w:szCs w:val="20"/>
              </w:rPr>
              <w:t xml:space="preserve"> et al. </w:t>
            </w:r>
          </w:p>
          <w:p w:rsidR="00C21644" w:rsidRPr="00E54F41" w:rsidRDefault="00F255FF" w:rsidP="005F1ED8">
            <w:pPr>
              <w:keepNext/>
              <w:keepLines/>
              <w:tabs>
                <w:tab w:val="left" w:pos="-1440"/>
                <w:tab w:val="left" w:pos="-720"/>
              </w:tabs>
              <w:rPr>
                <w:sz w:val="20"/>
                <w:szCs w:val="20"/>
              </w:rPr>
            </w:pPr>
            <w:r w:rsidRPr="00E54F41">
              <w:rPr>
                <w:sz w:val="20"/>
                <w:szCs w:val="20"/>
              </w:rPr>
              <w:tab/>
            </w:r>
            <w:r w:rsidR="000B6576" w:rsidRPr="00E54F41">
              <w:rPr>
                <w:sz w:val="20"/>
                <w:szCs w:val="20"/>
              </w:rPr>
              <w:t>Joseph C. McArthur</w:t>
            </w:r>
            <w:r w:rsidR="000B6576" w:rsidRPr="00E54F41">
              <w:rPr>
                <w:sz w:val="20"/>
                <w:szCs w:val="20"/>
              </w:rPr>
              <w:br/>
            </w:r>
            <w:r w:rsidR="00C21644" w:rsidRPr="00E54F41">
              <w:rPr>
                <w:sz w:val="20"/>
                <w:szCs w:val="20"/>
              </w:rPr>
              <w:tab/>
            </w:r>
            <w:r w:rsidR="000B6576" w:rsidRPr="00E54F41">
              <w:rPr>
                <w:sz w:val="20"/>
                <w:szCs w:val="20"/>
              </w:rPr>
              <w:t xml:space="preserve">Blake, Cassels &amp; </w:t>
            </w:r>
            <w:proofErr w:type="spellStart"/>
            <w:r w:rsidR="000B6576" w:rsidRPr="00E54F41">
              <w:rPr>
                <w:sz w:val="20"/>
                <w:szCs w:val="20"/>
              </w:rPr>
              <w:t>Graydon</w:t>
            </w:r>
            <w:proofErr w:type="spellEnd"/>
            <w:r w:rsidR="000B6576" w:rsidRPr="00E54F41">
              <w:rPr>
                <w:sz w:val="20"/>
                <w:szCs w:val="20"/>
              </w:rPr>
              <w:t xml:space="preserve"> LLP</w:t>
            </w:r>
          </w:p>
          <w:p w:rsidR="000B6576" w:rsidRPr="00E54F41" w:rsidRDefault="000B6576" w:rsidP="005F1ED8">
            <w:pPr>
              <w:keepNext/>
              <w:keepLines/>
              <w:tabs>
                <w:tab w:val="left" w:pos="-1440"/>
                <w:tab w:val="left" w:pos="-720"/>
              </w:tabs>
              <w:rPr>
                <w:sz w:val="20"/>
                <w:szCs w:val="20"/>
              </w:rPr>
            </w:pPr>
          </w:p>
          <w:p w:rsidR="00C21644" w:rsidRPr="00E54F41" w:rsidRDefault="00C21644" w:rsidP="005F1ED8">
            <w:pPr>
              <w:keepNext/>
              <w:keepLines/>
              <w:tabs>
                <w:tab w:val="left" w:pos="-1440"/>
                <w:tab w:val="left" w:pos="-720"/>
              </w:tabs>
              <w:rPr>
                <w:sz w:val="20"/>
                <w:szCs w:val="20"/>
              </w:rPr>
            </w:pPr>
            <w:r w:rsidRPr="00E54F41">
              <w:rPr>
                <w:sz w:val="20"/>
                <w:szCs w:val="20"/>
              </w:rPr>
              <w:tab/>
            </w:r>
            <w:r w:rsidR="00171E3B" w:rsidRPr="00E54F41">
              <w:rPr>
                <w:sz w:val="20"/>
                <w:szCs w:val="20"/>
              </w:rPr>
              <w:t>v</w:t>
            </w:r>
            <w:r w:rsidRPr="00E54F41">
              <w:rPr>
                <w:sz w:val="20"/>
                <w:szCs w:val="20"/>
              </w:rPr>
              <w:t xml:space="preserve">. </w:t>
            </w:r>
            <w:r w:rsidR="000B6576" w:rsidRPr="00E54F41">
              <w:rPr>
                <w:sz w:val="20"/>
                <w:szCs w:val="20"/>
              </w:rPr>
              <w:t>(37277</w:t>
            </w:r>
            <w:r w:rsidRPr="00E54F41">
              <w:rPr>
                <w:sz w:val="20"/>
                <w:szCs w:val="20"/>
              </w:rPr>
              <w:t>)</w:t>
            </w:r>
          </w:p>
          <w:p w:rsidR="00C21644" w:rsidRPr="00E54F41" w:rsidRDefault="00C21644" w:rsidP="005F1ED8">
            <w:pPr>
              <w:keepNext/>
              <w:keepLines/>
              <w:tabs>
                <w:tab w:val="left" w:pos="-1440"/>
                <w:tab w:val="left" w:pos="-720"/>
              </w:tabs>
              <w:rPr>
                <w:sz w:val="20"/>
                <w:szCs w:val="20"/>
              </w:rPr>
            </w:pPr>
          </w:p>
          <w:p w:rsidR="00C21644" w:rsidRPr="00E54F41" w:rsidRDefault="008867C8" w:rsidP="005F1ED8">
            <w:pPr>
              <w:keepNext/>
              <w:keepLines/>
              <w:tabs>
                <w:tab w:val="left" w:pos="-1440"/>
                <w:tab w:val="left" w:pos="-720"/>
              </w:tabs>
              <w:rPr>
                <w:b/>
                <w:sz w:val="20"/>
                <w:szCs w:val="20"/>
              </w:rPr>
            </w:pPr>
            <w:r w:rsidRPr="00E54F41">
              <w:rPr>
                <w:b/>
                <w:sz w:val="20"/>
                <w:szCs w:val="20"/>
              </w:rPr>
              <w:t>Her Majesty the Queen</w:t>
            </w:r>
            <w:r w:rsidR="001903A2" w:rsidRPr="00E54F41">
              <w:rPr>
                <w:b/>
                <w:sz w:val="20"/>
                <w:szCs w:val="20"/>
              </w:rPr>
              <w:t xml:space="preserve"> in Right of Canada</w:t>
            </w:r>
            <w:r w:rsidR="000B6576" w:rsidRPr="00E54F41">
              <w:rPr>
                <w:b/>
                <w:sz w:val="20"/>
                <w:szCs w:val="20"/>
              </w:rPr>
              <w:t xml:space="preserve"> (</w:t>
            </w:r>
            <w:r w:rsidRPr="00E54F41">
              <w:rPr>
                <w:b/>
                <w:sz w:val="20"/>
                <w:szCs w:val="20"/>
              </w:rPr>
              <w:t>F</w:t>
            </w:r>
            <w:r w:rsidR="001903A2" w:rsidRPr="00E54F41">
              <w:rPr>
                <w:b/>
                <w:sz w:val="20"/>
                <w:szCs w:val="20"/>
              </w:rPr>
              <w:t>.</w:t>
            </w:r>
            <w:r w:rsidRPr="00E54F41">
              <w:rPr>
                <w:b/>
                <w:sz w:val="20"/>
                <w:szCs w:val="20"/>
              </w:rPr>
              <w:t>C</w:t>
            </w:r>
            <w:r w:rsidR="001903A2" w:rsidRPr="00E54F41">
              <w:rPr>
                <w:b/>
                <w:sz w:val="20"/>
                <w:szCs w:val="20"/>
              </w:rPr>
              <w:t>.</w:t>
            </w:r>
            <w:r w:rsidRPr="00E54F41">
              <w:rPr>
                <w:b/>
                <w:sz w:val="20"/>
                <w:szCs w:val="20"/>
              </w:rPr>
              <w:t>)</w:t>
            </w:r>
          </w:p>
          <w:p w:rsidR="00C21644" w:rsidRPr="00E54F41" w:rsidRDefault="00C21644" w:rsidP="005F1ED8">
            <w:pPr>
              <w:keepNext/>
              <w:keepLines/>
              <w:tabs>
                <w:tab w:val="left" w:pos="-1440"/>
                <w:tab w:val="left" w:pos="-720"/>
              </w:tabs>
              <w:rPr>
                <w:sz w:val="20"/>
                <w:szCs w:val="20"/>
              </w:rPr>
            </w:pPr>
            <w:r w:rsidRPr="00E54F41">
              <w:rPr>
                <w:sz w:val="20"/>
                <w:szCs w:val="20"/>
              </w:rPr>
              <w:tab/>
            </w:r>
            <w:r w:rsidR="008867C8" w:rsidRPr="00E54F41">
              <w:rPr>
                <w:sz w:val="20"/>
                <w:szCs w:val="20"/>
              </w:rPr>
              <w:t>Clarke Hunter, Q.C.</w:t>
            </w:r>
          </w:p>
          <w:p w:rsidR="00C21644" w:rsidRPr="00E54F41" w:rsidRDefault="00C21644" w:rsidP="005F1ED8">
            <w:pPr>
              <w:keepNext/>
              <w:keepLines/>
              <w:tabs>
                <w:tab w:val="left" w:pos="-1440"/>
                <w:tab w:val="left" w:pos="-720"/>
              </w:tabs>
              <w:rPr>
                <w:sz w:val="20"/>
                <w:szCs w:val="20"/>
              </w:rPr>
            </w:pPr>
            <w:r w:rsidRPr="00E54F41">
              <w:rPr>
                <w:sz w:val="20"/>
                <w:szCs w:val="20"/>
              </w:rPr>
              <w:tab/>
            </w:r>
            <w:r w:rsidR="008867C8" w:rsidRPr="00E54F41">
              <w:rPr>
                <w:sz w:val="20"/>
                <w:szCs w:val="20"/>
              </w:rPr>
              <w:t>Norton Rose Fulbright Canada LLP</w:t>
            </w:r>
          </w:p>
          <w:p w:rsidR="00C21644" w:rsidRPr="00E54F41" w:rsidRDefault="00C21644" w:rsidP="005F1ED8">
            <w:pPr>
              <w:keepNext/>
              <w:keepLines/>
              <w:tabs>
                <w:tab w:val="left" w:pos="-1440"/>
                <w:tab w:val="left" w:pos="-720"/>
              </w:tabs>
              <w:rPr>
                <w:sz w:val="20"/>
                <w:szCs w:val="20"/>
              </w:rPr>
            </w:pPr>
          </w:p>
          <w:p w:rsidR="00C21644" w:rsidRPr="00E54F41" w:rsidRDefault="008867C8" w:rsidP="008867C8">
            <w:pPr>
              <w:rPr>
                <w:sz w:val="20"/>
                <w:szCs w:val="20"/>
              </w:rPr>
            </w:pPr>
            <w:r w:rsidRPr="00E54F41">
              <w:rPr>
                <w:sz w:val="20"/>
                <w:szCs w:val="20"/>
              </w:rPr>
              <w:t>FILING DATE: 04</w:t>
            </w:r>
            <w:r w:rsidR="00C21644" w:rsidRPr="00E54F41">
              <w:rPr>
                <w:sz w:val="20"/>
                <w:szCs w:val="20"/>
              </w:rPr>
              <w:t>.</w:t>
            </w:r>
            <w:r w:rsidR="00F255FF" w:rsidRPr="00E54F41">
              <w:rPr>
                <w:sz w:val="20"/>
                <w:szCs w:val="20"/>
              </w:rPr>
              <w:t>1</w:t>
            </w:r>
            <w:r w:rsidRPr="00E54F41">
              <w:rPr>
                <w:sz w:val="20"/>
                <w:szCs w:val="20"/>
              </w:rPr>
              <w:t>1</w:t>
            </w:r>
            <w:r w:rsidR="00C21644" w:rsidRPr="00E54F41">
              <w:rPr>
                <w:sz w:val="20"/>
                <w:szCs w:val="20"/>
              </w:rPr>
              <w:t>.201</w:t>
            </w:r>
            <w:r w:rsidR="00E942C2" w:rsidRPr="00E54F41">
              <w:rPr>
                <w:sz w:val="20"/>
                <w:szCs w:val="20"/>
              </w:rPr>
              <w:t>6</w:t>
            </w:r>
            <w:r w:rsidR="00B904CB">
              <w:rPr>
                <w:sz w:val="20"/>
                <w:szCs w:val="20"/>
                <w:lang w:val="fr-CA"/>
              </w:rPr>
              <w:pict>
                <v:rect id="_x0000_i1026" style="width:108pt;height:1pt" o:hrpct="0" o:hralign="center" o:hrstd="t" o:hrnoshade="t" o:hr="t" fillcolor="black [3213]" stroked="f"/>
              </w:pict>
            </w:r>
          </w:p>
        </w:tc>
      </w:tr>
      <w:tr w:rsidR="00C21644" w:rsidRPr="00E54F41" w:rsidTr="003B3977">
        <w:tc>
          <w:tcPr>
            <w:tcW w:w="4320" w:type="dxa"/>
            <w:shd w:val="clear" w:color="auto" w:fill="auto"/>
          </w:tcPr>
          <w:p w:rsidR="00C21644" w:rsidRPr="00E54F41" w:rsidRDefault="008867C8" w:rsidP="003B3977">
            <w:pPr>
              <w:tabs>
                <w:tab w:val="left" w:pos="-1440"/>
                <w:tab w:val="left" w:pos="-720"/>
              </w:tabs>
              <w:rPr>
                <w:b/>
                <w:sz w:val="20"/>
                <w:szCs w:val="20"/>
              </w:rPr>
            </w:pPr>
            <w:r w:rsidRPr="00E54F41">
              <w:rPr>
                <w:b/>
                <w:sz w:val="20"/>
                <w:szCs w:val="20"/>
              </w:rPr>
              <w:t>Nova Chemicals Corporation</w:t>
            </w:r>
          </w:p>
          <w:p w:rsidR="008867C8" w:rsidRPr="00E54F41" w:rsidRDefault="008867C8" w:rsidP="00DB4545">
            <w:pPr>
              <w:tabs>
                <w:tab w:val="left" w:pos="-1440"/>
                <w:tab w:val="left" w:pos="-720"/>
              </w:tabs>
              <w:ind w:firstLine="720"/>
              <w:rPr>
                <w:sz w:val="20"/>
                <w:szCs w:val="20"/>
              </w:rPr>
            </w:pPr>
            <w:r w:rsidRPr="00E54F41">
              <w:rPr>
                <w:sz w:val="20"/>
                <w:szCs w:val="20"/>
              </w:rPr>
              <w:t>Sheila R. Block</w:t>
            </w:r>
          </w:p>
          <w:p w:rsidR="00C21644" w:rsidRPr="00E54F41" w:rsidRDefault="008867C8" w:rsidP="00DB4545">
            <w:pPr>
              <w:tabs>
                <w:tab w:val="left" w:pos="-1440"/>
                <w:tab w:val="left" w:pos="-720"/>
              </w:tabs>
              <w:ind w:firstLine="720"/>
              <w:rPr>
                <w:sz w:val="20"/>
                <w:szCs w:val="20"/>
              </w:rPr>
            </w:pPr>
            <w:proofErr w:type="spellStart"/>
            <w:r w:rsidRPr="00E54F41">
              <w:rPr>
                <w:sz w:val="20"/>
                <w:szCs w:val="20"/>
              </w:rPr>
              <w:t>Torys</w:t>
            </w:r>
            <w:proofErr w:type="spellEnd"/>
            <w:r w:rsidRPr="00E54F41">
              <w:rPr>
                <w:sz w:val="20"/>
                <w:szCs w:val="20"/>
              </w:rPr>
              <w:t xml:space="preserve"> LLP</w:t>
            </w:r>
            <w:r w:rsidR="00DB4545" w:rsidRPr="00E54F41">
              <w:rPr>
                <w:sz w:val="20"/>
                <w:szCs w:val="20"/>
              </w:rPr>
              <w:br/>
            </w:r>
          </w:p>
          <w:p w:rsidR="00C21644" w:rsidRPr="00E54F41" w:rsidRDefault="00C21644" w:rsidP="003B3977">
            <w:pPr>
              <w:tabs>
                <w:tab w:val="left" w:pos="-1440"/>
                <w:tab w:val="left" w:pos="-720"/>
              </w:tabs>
              <w:rPr>
                <w:sz w:val="20"/>
                <w:szCs w:val="20"/>
              </w:rPr>
            </w:pPr>
            <w:r w:rsidRPr="00E54F41">
              <w:rPr>
                <w:sz w:val="20"/>
                <w:szCs w:val="20"/>
              </w:rPr>
              <w:tab/>
              <w:t>v. (</w:t>
            </w:r>
            <w:r w:rsidR="008867C8" w:rsidRPr="00E54F41">
              <w:rPr>
                <w:sz w:val="20"/>
                <w:szCs w:val="20"/>
              </w:rPr>
              <w:t>37274</w:t>
            </w:r>
            <w:r w:rsidR="00673B7B" w:rsidRPr="00E54F41">
              <w:rPr>
                <w:sz w:val="20"/>
                <w:szCs w:val="20"/>
              </w:rPr>
              <w:t>)</w:t>
            </w:r>
          </w:p>
          <w:p w:rsidR="00C21644" w:rsidRPr="00E54F41" w:rsidRDefault="00C21644" w:rsidP="003B3977">
            <w:pPr>
              <w:tabs>
                <w:tab w:val="left" w:pos="-1440"/>
                <w:tab w:val="left" w:pos="-720"/>
              </w:tabs>
              <w:rPr>
                <w:sz w:val="20"/>
                <w:szCs w:val="20"/>
              </w:rPr>
            </w:pPr>
          </w:p>
          <w:p w:rsidR="00C21644" w:rsidRPr="00E54F41" w:rsidRDefault="008867C8" w:rsidP="003B3977">
            <w:pPr>
              <w:tabs>
                <w:tab w:val="left" w:pos="-1440"/>
                <w:tab w:val="left" w:pos="-720"/>
              </w:tabs>
              <w:rPr>
                <w:b/>
                <w:sz w:val="20"/>
                <w:szCs w:val="20"/>
              </w:rPr>
            </w:pPr>
            <w:r w:rsidRPr="00E54F41">
              <w:rPr>
                <w:b/>
                <w:sz w:val="20"/>
                <w:szCs w:val="20"/>
              </w:rPr>
              <w:t>Dow Chemical Company et al.</w:t>
            </w:r>
            <w:r w:rsidR="00673B7B" w:rsidRPr="00E54F41">
              <w:rPr>
                <w:b/>
                <w:sz w:val="20"/>
                <w:szCs w:val="20"/>
              </w:rPr>
              <w:t xml:space="preserve"> (</w:t>
            </w:r>
            <w:r w:rsidRPr="00E54F41">
              <w:rPr>
                <w:b/>
                <w:sz w:val="20"/>
                <w:szCs w:val="20"/>
              </w:rPr>
              <w:t>F</w:t>
            </w:r>
            <w:r w:rsidR="001903A2" w:rsidRPr="00E54F41">
              <w:rPr>
                <w:b/>
                <w:sz w:val="20"/>
                <w:szCs w:val="20"/>
              </w:rPr>
              <w:t>.</w:t>
            </w:r>
            <w:r w:rsidRPr="00E54F41">
              <w:rPr>
                <w:b/>
                <w:sz w:val="20"/>
                <w:szCs w:val="20"/>
              </w:rPr>
              <w:t>C</w:t>
            </w:r>
            <w:r w:rsidR="001903A2" w:rsidRPr="00E54F41">
              <w:rPr>
                <w:b/>
                <w:sz w:val="20"/>
                <w:szCs w:val="20"/>
              </w:rPr>
              <w:t>.</w:t>
            </w:r>
            <w:r w:rsidRPr="00E54F41">
              <w:rPr>
                <w:b/>
                <w:sz w:val="20"/>
                <w:szCs w:val="20"/>
              </w:rPr>
              <w:t>)</w:t>
            </w:r>
          </w:p>
          <w:p w:rsidR="00C21644" w:rsidRPr="00E54F41" w:rsidRDefault="00C21644" w:rsidP="003B3977">
            <w:pPr>
              <w:tabs>
                <w:tab w:val="left" w:pos="-1440"/>
                <w:tab w:val="left" w:pos="-720"/>
              </w:tabs>
              <w:rPr>
                <w:sz w:val="20"/>
                <w:szCs w:val="20"/>
              </w:rPr>
            </w:pPr>
            <w:r w:rsidRPr="00E54F41">
              <w:rPr>
                <w:sz w:val="20"/>
                <w:szCs w:val="20"/>
              </w:rPr>
              <w:tab/>
            </w:r>
            <w:r w:rsidR="008867C8" w:rsidRPr="00E54F41">
              <w:rPr>
                <w:sz w:val="20"/>
                <w:szCs w:val="20"/>
              </w:rPr>
              <w:t>Ronald Dimock</w:t>
            </w:r>
          </w:p>
          <w:p w:rsidR="00C21644" w:rsidRPr="00E54F41" w:rsidRDefault="00C21644" w:rsidP="003B3977">
            <w:pPr>
              <w:tabs>
                <w:tab w:val="left" w:pos="-1440"/>
                <w:tab w:val="left" w:pos="-720"/>
              </w:tabs>
              <w:rPr>
                <w:sz w:val="20"/>
                <w:szCs w:val="20"/>
              </w:rPr>
            </w:pPr>
            <w:r w:rsidRPr="00E54F41">
              <w:rPr>
                <w:sz w:val="20"/>
                <w:szCs w:val="20"/>
              </w:rPr>
              <w:tab/>
            </w:r>
            <w:r w:rsidR="008867C8" w:rsidRPr="00E54F41">
              <w:rPr>
                <w:sz w:val="20"/>
                <w:szCs w:val="20"/>
              </w:rPr>
              <w:t>DLA Piper LLP</w:t>
            </w:r>
          </w:p>
          <w:p w:rsidR="00C21644" w:rsidRPr="00E54F41" w:rsidRDefault="00C21644" w:rsidP="003B3977">
            <w:pPr>
              <w:tabs>
                <w:tab w:val="left" w:pos="-1440"/>
                <w:tab w:val="left" w:pos="-720"/>
              </w:tabs>
              <w:rPr>
                <w:sz w:val="20"/>
                <w:szCs w:val="20"/>
              </w:rPr>
            </w:pPr>
          </w:p>
          <w:p w:rsidR="00C21644" w:rsidRPr="00E54F41" w:rsidRDefault="00C21644" w:rsidP="003B3977">
            <w:pPr>
              <w:rPr>
                <w:sz w:val="20"/>
                <w:szCs w:val="20"/>
              </w:rPr>
            </w:pPr>
            <w:r w:rsidRPr="00E54F41">
              <w:rPr>
                <w:sz w:val="20"/>
                <w:szCs w:val="20"/>
              </w:rPr>
              <w:t xml:space="preserve">FILING DATE: </w:t>
            </w:r>
            <w:r w:rsidR="008867C8" w:rsidRPr="00E54F41">
              <w:rPr>
                <w:sz w:val="20"/>
                <w:szCs w:val="20"/>
              </w:rPr>
              <w:t>07</w:t>
            </w:r>
            <w:r w:rsidRPr="00E54F41">
              <w:rPr>
                <w:sz w:val="20"/>
                <w:szCs w:val="20"/>
              </w:rPr>
              <w:t>.</w:t>
            </w:r>
            <w:r w:rsidR="00673B7B" w:rsidRPr="00E54F41">
              <w:rPr>
                <w:sz w:val="20"/>
                <w:szCs w:val="20"/>
              </w:rPr>
              <w:t>1</w:t>
            </w:r>
            <w:r w:rsidR="008867C8" w:rsidRPr="00E54F41">
              <w:rPr>
                <w:sz w:val="20"/>
                <w:szCs w:val="20"/>
              </w:rPr>
              <w:t>1.</w:t>
            </w:r>
            <w:r w:rsidRPr="00E54F41">
              <w:rPr>
                <w:sz w:val="20"/>
                <w:szCs w:val="20"/>
              </w:rPr>
              <w:t>201</w:t>
            </w:r>
            <w:r w:rsidR="00E942C2" w:rsidRPr="00E54F41">
              <w:rPr>
                <w:sz w:val="20"/>
                <w:szCs w:val="20"/>
              </w:rPr>
              <w:t>6</w:t>
            </w:r>
          </w:p>
          <w:p w:rsidR="00C21644" w:rsidRPr="00E54F41" w:rsidRDefault="00B904CB"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E54F41" w:rsidRDefault="00C21644" w:rsidP="00242AEE">
            <w:pPr>
              <w:jc w:val="center"/>
              <w:rPr>
                <w:sz w:val="20"/>
                <w:szCs w:val="20"/>
              </w:rPr>
            </w:pPr>
          </w:p>
          <w:p w:rsidR="00C21644" w:rsidRPr="00E54F41" w:rsidRDefault="00C21644" w:rsidP="00242AEE">
            <w:pPr>
              <w:jc w:val="center"/>
              <w:rPr>
                <w:sz w:val="20"/>
                <w:szCs w:val="20"/>
              </w:rPr>
            </w:pPr>
          </w:p>
          <w:p w:rsidR="00C21644" w:rsidRPr="00E54F41" w:rsidRDefault="00C21644" w:rsidP="00242AEE">
            <w:pPr>
              <w:jc w:val="center"/>
              <w:rPr>
                <w:sz w:val="20"/>
                <w:szCs w:val="20"/>
              </w:rPr>
            </w:pPr>
          </w:p>
          <w:p w:rsidR="00C21644" w:rsidRPr="00E54F41" w:rsidRDefault="00C21644" w:rsidP="00242AEE">
            <w:pPr>
              <w:jc w:val="center"/>
              <w:rPr>
                <w:sz w:val="20"/>
                <w:szCs w:val="20"/>
              </w:rPr>
            </w:pPr>
          </w:p>
          <w:p w:rsidR="00C21644" w:rsidRPr="00E54F41" w:rsidRDefault="00C21644" w:rsidP="00242AEE">
            <w:pPr>
              <w:jc w:val="center"/>
              <w:rPr>
                <w:sz w:val="20"/>
                <w:szCs w:val="20"/>
              </w:rPr>
            </w:pPr>
          </w:p>
          <w:p w:rsidR="00C21644" w:rsidRPr="00E54F41" w:rsidRDefault="00C21644" w:rsidP="00242AEE">
            <w:pPr>
              <w:jc w:val="center"/>
              <w:rPr>
                <w:sz w:val="20"/>
                <w:szCs w:val="20"/>
              </w:rPr>
            </w:pPr>
          </w:p>
          <w:p w:rsidR="00C21644" w:rsidRPr="00E54F41" w:rsidRDefault="00C21644" w:rsidP="00242AEE">
            <w:pPr>
              <w:jc w:val="center"/>
              <w:rPr>
                <w:sz w:val="20"/>
                <w:szCs w:val="20"/>
              </w:rPr>
            </w:pPr>
          </w:p>
          <w:p w:rsidR="00C21644" w:rsidRPr="00E54F41" w:rsidRDefault="00C21644" w:rsidP="00242AEE">
            <w:pPr>
              <w:jc w:val="center"/>
              <w:rPr>
                <w:sz w:val="20"/>
                <w:szCs w:val="20"/>
              </w:rPr>
            </w:pPr>
          </w:p>
          <w:p w:rsidR="00C21644" w:rsidRPr="00E54F41" w:rsidRDefault="00C21644" w:rsidP="00242AEE">
            <w:pPr>
              <w:jc w:val="center"/>
              <w:rPr>
                <w:sz w:val="20"/>
                <w:szCs w:val="20"/>
              </w:rPr>
            </w:pPr>
          </w:p>
          <w:p w:rsidR="00C21644" w:rsidRPr="00E54F41" w:rsidRDefault="00C21644" w:rsidP="00242AEE">
            <w:pPr>
              <w:jc w:val="center"/>
              <w:rPr>
                <w:sz w:val="20"/>
                <w:szCs w:val="20"/>
              </w:rPr>
            </w:pPr>
          </w:p>
          <w:p w:rsidR="00C21644" w:rsidRPr="00E54F41" w:rsidRDefault="00C21644" w:rsidP="00242AEE">
            <w:pPr>
              <w:jc w:val="center"/>
              <w:rPr>
                <w:sz w:val="20"/>
                <w:szCs w:val="20"/>
              </w:rPr>
            </w:pPr>
          </w:p>
          <w:p w:rsidR="00C21644" w:rsidRPr="00E54F41" w:rsidRDefault="00C21644" w:rsidP="00242AEE">
            <w:pPr>
              <w:jc w:val="center"/>
              <w:rPr>
                <w:sz w:val="20"/>
                <w:szCs w:val="20"/>
              </w:rPr>
            </w:pPr>
          </w:p>
          <w:p w:rsidR="0018244C" w:rsidRPr="00E54F41" w:rsidRDefault="0018244C" w:rsidP="00242AEE">
            <w:pPr>
              <w:jc w:val="center"/>
              <w:rPr>
                <w:sz w:val="20"/>
                <w:szCs w:val="20"/>
              </w:rPr>
            </w:pPr>
          </w:p>
          <w:p w:rsidR="00C21644" w:rsidRPr="00E54F41" w:rsidRDefault="00C21644" w:rsidP="00242AEE">
            <w:pPr>
              <w:jc w:val="center"/>
              <w:rPr>
                <w:sz w:val="20"/>
                <w:szCs w:val="20"/>
              </w:rPr>
            </w:pPr>
          </w:p>
        </w:tc>
        <w:tc>
          <w:tcPr>
            <w:tcW w:w="4320" w:type="dxa"/>
            <w:shd w:val="clear" w:color="auto" w:fill="auto"/>
          </w:tcPr>
          <w:p w:rsidR="00ED0E7F" w:rsidRPr="00E54F41" w:rsidRDefault="00214FA4" w:rsidP="00ED0E7F">
            <w:pPr>
              <w:tabs>
                <w:tab w:val="left" w:pos="-1440"/>
                <w:tab w:val="left" w:pos="-720"/>
              </w:tabs>
              <w:rPr>
                <w:sz w:val="20"/>
                <w:szCs w:val="20"/>
              </w:rPr>
            </w:pPr>
            <w:r w:rsidRPr="00E54F41">
              <w:rPr>
                <w:b/>
                <w:sz w:val="20"/>
                <w:szCs w:val="20"/>
              </w:rPr>
              <w:t>Lawrence Wong (Barrister and Solicitor) et al.</w:t>
            </w:r>
          </w:p>
          <w:p w:rsidR="00214FA4" w:rsidRPr="00E54F41" w:rsidRDefault="00214FA4" w:rsidP="00ED0E7F">
            <w:pPr>
              <w:tabs>
                <w:tab w:val="left" w:pos="-1440"/>
                <w:tab w:val="left" w:pos="-720"/>
              </w:tabs>
              <w:ind w:firstLine="720"/>
              <w:rPr>
                <w:sz w:val="20"/>
                <w:szCs w:val="20"/>
              </w:rPr>
            </w:pPr>
            <w:r w:rsidRPr="00E54F41">
              <w:rPr>
                <w:sz w:val="20"/>
                <w:szCs w:val="20"/>
              </w:rPr>
              <w:t>Rocco Galati</w:t>
            </w:r>
          </w:p>
          <w:p w:rsidR="00214FA4" w:rsidRPr="00E54F41" w:rsidRDefault="00214FA4" w:rsidP="00ED0E7F">
            <w:pPr>
              <w:tabs>
                <w:tab w:val="left" w:pos="-1440"/>
                <w:tab w:val="left" w:pos="-720"/>
              </w:tabs>
              <w:ind w:firstLine="720"/>
              <w:rPr>
                <w:sz w:val="20"/>
                <w:szCs w:val="20"/>
              </w:rPr>
            </w:pPr>
            <w:r w:rsidRPr="00E54F41">
              <w:rPr>
                <w:sz w:val="20"/>
                <w:szCs w:val="20"/>
              </w:rPr>
              <w:t xml:space="preserve">Rocco Galati Law Firm Professional </w:t>
            </w:r>
          </w:p>
          <w:p w:rsidR="00ED0E7F" w:rsidRPr="00E54F41" w:rsidRDefault="00214FA4" w:rsidP="00ED0E7F">
            <w:pPr>
              <w:tabs>
                <w:tab w:val="left" w:pos="-1440"/>
                <w:tab w:val="left" w:pos="-720"/>
              </w:tabs>
              <w:ind w:firstLine="720"/>
              <w:rPr>
                <w:sz w:val="20"/>
                <w:szCs w:val="20"/>
              </w:rPr>
            </w:pPr>
            <w:r w:rsidRPr="00E54F41">
              <w:rPr>
                <w:sz w:val="20"/>
                <w:szCs w:val="20"/>
              </w:rPr>
              <w:t>Corporation</w:t>
            </w:r>
            <w:r w:rsidR="00ED0E7F" w:rsidRPr="00E54F41">
              <w:rPr>
                <w:sz w:val="20"/>
                <w:szCs w:val="20"/>
              </w:rPr>
              <w:br/>
            </w:r>
          </w:p>
          <w:p w:rsidR="00ED0E7F" w:rsidRPr="00E54F41" w:rsidRDefault="00ED0E7F" w:rsidP="00ED0E7F">
            <w:pPr>
              <w:tabs>
                <w:tab w:val="left" w:pos="-1440"/>
                <w:tab w:val="left" w:pos="-720"/>
              </w:tabs>
              <w:rPr>
                <w:sz w:val="20"/>
                <w:szCs w:val="20"/>
              </w:rPr>
            </w:pPr>
            <w:r w:rsidRPr="00E54F41">
              <w:rPr>
                <w:sz w:val="20"/>
                <w:szCs w:val="20"/>
              </w:rPr>
              <w:tab/>
              <w:t xml:space="preserve">v. </w:t>
            </w:r>
            <w:r w:rsidR="00214FA4" w:rsidRPr="00E54F41">
              <w:rPr>
                <w:sz w:val="20"/>
                <w:szCs w:val="20"/>
              </w:rPr>
              <w:t>(37275</w:t>
            </w:r>
            <w:r w:rsidRPr="00E54F41">
              <w:rPr>
                <w:sz w:val="20"/>
                <w:szCs w:val="20"/>
              </w:rPr>
              <w:t>)</w:t>
            </w:r>
          </w:p>
          <w:p w:rsidR="00ED0E7F" w:rsidRPr="00E54F41" w:rsidRDefault="00ED0E7F" w:rsidP="00ED0E7F">
            <w:pPr>
              <w:tabs>
                <w:tab w:val="left" w:pos="-1440"/>
                <w:tab w:val="left" w:pos="-720"/>
              </w:tabs>
              <w:rPr>
                <w:sz w:val="20"/>
                <w:szCs w:val="20"/>
              </w:rPr>
            </w:pPr>
          </w:p>
          <w:p w:rsidR="00ED0E7F" w:rsidRPr="00E54F41" w:rsidRDefault="00214FA4" w:rsidP="00ED0E7F">
            <w:pPr>
              <w:tabs>
                <w:tab w:val="left" w:pos="-1440"/>
                <w:tab w:val="left" w:pos="-720"/>
              </w:tabs>
              <w:rPr>
                <w:b/>
                <w:sz w:val="20"/>
                <w:szCs w:val="20"/>
              </w:rPr>
            </w:pPr>
            <w:r w:rsidRPr="00E54F41">
              <w:rPr>
                <w:b/>
                <w:sz w:val="20"/>
                <w:szCs w:val="20"/>
              </w:rPr>
              <w:t xml:space="preserve">Minister of Citizenship and Immigration </w:t>
            </w:r>
            <w:r w:rsidR="00253859" w:rsidRPr="00E54F41">
              <w:rPr>
                <w:b/>
                <w:sz w:val="20"/>
                <w:szCs w:val="20"/>
              </w:rPr>
              <w:t>(</w:t>
            </w:r>
            <w:r w:rsidRPr="00E54F41">
              <w:rPr>
                <w:b/>
                <w:sz w:val="20"/>
                <w:szCs w:val="20"/>
              </w:rPr>
              <w:t>F</w:t>
            </w:r>
            <w:r w:rsidR="001903A2" w:rsidRPr="00E54F41">
              <w:rPr>
                <w:b/>
                <w:sz w:val="20"/>
                <w:szCs w:val="20"/>
              </w:rPr>
              <w:t>.</w:t>
            </w:r>
            <w:r w:rsidRPr="00E54F41">
              <w:rPr>
                <w:b/>
                <w:sz w:val="20"/>
                <w:szCs w:val="20"/>
              </w:rPr>
              <w:t>C</w:t>
            </w:r>
            <w:r w:rsidR="001903A2" w:rsidRPr="00E54F41">
              <w:rPr>
                <w:b/>
                <w:sz w:val="20"/>
                <w:szCs w:val="20"/>
              </w:rPr>
              <w:t>.</w:t>
            </w:r>
            <w:r w:rsidR="00253859" w:rsidRPr="00E54F41">
              <w:rPr>
                <w:b/>
                <w:sz w:val="20"/>
                <w:szCs w:val="20"/>
              </w:rPr>
              <w:t>)</w:t>
            </w:r>
          </w:p>
          <w:p w:rsidR="00ED0E7F" w:rsidRPr="00E54F41" w:rsidRDefault="00ED0E7F" w:rsidP="00ED0E7F">
            <w:pPr>
              <w:tabs>
                <w:tab w:val="left" w:pos="-1440"/>
                <w:tab w:val="left" w:pos="-720"/>
              </w:tabs>
              <w:rPr>
                <w:sz w:val="20"/>
                <w:szCs w:val="20"/>
              </w:rPr>
            </w:pPr>
            <w:r w:rsidRPr="00E54F41">
              <w:rPr>
                <w:sz w:val="20"/>
                <w:szCs w:val="20"/>
              </w:rPr>
              <w:tab/>
            </w:r>
            <w:r w:rsidR="00214FA4" w:rsidRPr="00E54F41">
              <w:rPr>
                <w:sz w:val="20"/>
                <w:szCs w:val="20"/>
              </w:rPr>
              <w:t>Stephen Jarvis</w:t>
            </w:r>
          </w:p>
          <w:p w:rsidR="00ED0E7F" w:rsidRPr="00E54F41" w:rsidRDefault="00ED0E7F" w:rsidP="00ED0E7F">
            <w:pPr>
              <w:tabs>
                <w:tab w:val="left" w:pos="-1440"/>
                <w:tab w:val="left" w:pos="-720"/>
              </w:tabs>
              <w:rPr>
                <w:sz w:val="20"/>
                <w:szCs w:val="20"/>
              </w:rPr>
            </w:pPr>
            <w:r w:rsidRPr="00E54F41">
              <w:rPr>
                <w:sz w:val="20"/>
                <w:szCs w:val="20"/>
              </w:rPr>
              <w:tab/>
            </w:r>
            <w:r w:rsidR="00214FA4" w:rsidRPr="00E54F41">
              <w:rPr>
                <w:sz w:val="20"/>
                <w:szCs w:val="20"/>
              </w:rPr>
              <w:t>Department of Justice Canada</w:t>
            </w:r>
          </w:p>
          <w:p w:rsidR="00ED0E7F" w:rsidRPr="00E54F41" w:rsidRDefault="00ED0E7F" w:rsidP="00ED0E7F">
            <w:pPr>
              <w:tabs>
                <w:tab w:val="left" w:pos="-1440"/>
                <w:tab w:val="left" w:pos="-720"/>
              </w:tabs>
              <w:rPr>
                <w:sz w:val="20"/>
                <w:szCs w:val="20"/>
              </w:rPr>
            </w:pPr>
          </w:p>
          <w:p w:rsidR="00ED0E7F" w:rsidRPr="00E54F41" w:rsidRDefault="00ED0E7F" w:rsidP="00ED0E7F">
            <w:pPr>
              <w:rPr>
                <w:sz w:val="20"/>
                <w:szCs w:val="20"/>
              </w:rPr>
            </w:pPr>
            <w:r w:rsidRPr="00E54F41">
              <w:rPr>
                <w:sz w:val="20"/>
                <w:szCs w:val="20"/>
              </w:rPr>
              <w:t xml:space="preserve">FILING DATE: </w:t>
            </w:r>
            <w:r w:rsidR="00214FA4" w:rsidRPr="00E54F41">
              <w:rPr>
                <w:sz w:val="20"/>
                <w:szCs w:val="20"/>
              </w:rPr>
              <w:t>07</w:t>
            </w:r>
            <w:r w:rsidRPr="00E54F41">
              <w:rPr>
                <w:sz w:val="20"/>
                <w:szCs w:val="20"/>
              </w:rPr>
              <w:t>.</w:t>
            </w:r>
            <w:r w:rsidR="00214FA4" w:rsidRPr="00E54F41">
              <w:rPr>
                <w:sz w:val="20"/>
                <w:szCs w:val="20"/>
              </w:rPr>
              <w:t>11</w:t>
            </w:r>
            <w:r w:rsidRPr="00E54F41">
              <w:rPr>
                <w:sz w:val="20"/>
                <w:szCs w:val="20"/>
              </w:rPr>
              <w:t>.2016</w:t>
            </w:r>
          </w:p>
          <w:p w:rsidR="00C21644" w:rsidRPr="00E54F41" w:rsidRDefault="00B904CB" w:rsidP="00ED0E7F">
            <w:pPr>
              <w:keepNext/>
              <w:keepLines/>
              <w:tabs>
                <w:tab w:val="left" w:pos="-1440"/>
                <w:tab w:val="left" w:pos="-720"/>
              </w:tabs>
              <w:rPr>
                <w:sz w:val="20"/>
                <w:szCs w:val="20"/>
              </w:rPr>
            </w:pPr>
            <w:r>
              <w:rPr>
                <w:sz w:val="20"/>
                <w:szCs w:val="20"/>
                <w:lang w:val="fr-CA"/>
              </w:rPr>
              <w:pict>
                <v:rect id="_x0000_i1028" style="width:108pt;height:1pt" o:hrpct="0" o:hralign="center" o:hrstd="t" o:hrnoshade="t" o:hr="t" fillcolor="black [3213]" stroked="f"/>
              </w:pict>
            </w:r>
          </w:p>
          <w:p w:rsidR="00C21644" w:rsidRPr="00E54F41" w:rsidRDefault="00C21644" w:rsidP="00E942C2">
            <w:pPr>
              <w:rPr>
                <w:sz w:val="20"/>
                <w:szCs w:val="20"/>
              </w:rPr>
            </w:pPr>
          </w:p>
        </w:tc>
      </w:tr>
      <w:tr w:rsidR="00214FA4" w:rsidRPr="00E54F41" w:rsidTr="003B3977">
        <w:tc>
          <w:tcPr>
            <w:tcW w:w="4320" w:type="dxa"/>
            <w:shd w:val="clear" w:color="auto" w:fill="auto"/>
          </w:tcPr>
          <w:p w:rsidR="00214FA4" w:rsidRPr="00E54F41" w:rsidRDefault="00214FA4" w:rsidP="00214FA4">
            <w:pPr>
              <w:tabs>
                <w:tab w:val="left" w:pos="-1440"/>
                <w:tab w:val="left" w:pos="-720"/>
              </w:tabs>
              <w:rPr>
                <w:sz w:val="20"/>
                <w:szCs w:val="20"/>
              </w:rPr>
            </w:pPr>
            <w:r w:rsidRPr="00E54F41">
              <w:rPr>
                <w:b/>
                <w:sz w:val="20"/>
                <w:szCs w:val="20"/>
              </w:rPr>
              <w:t>Chief Victor Buffalo actin</w:t>
            </w:r>
            <w:r w:rsidR="001903A2" w:rsidRPr="00E54F41">
              <w:rPr>
                <w:b/>
                <w:sz w:val="20"/>
                <w:szCs w:val="20"/>
              </w:rPr>
              <w:t>g</w:t>
            </w:r>
            <w:r w:rsidRPr="00E54F41">
              <w:rPr>
                <w:b/>
                <w:sz w:val="20"/>
                <w:szCs w:val="20"/>
              </w:rPr>
              <w:t xml:space="preserve"> on his own behalf and on behalf of all the other members of the Samson Indian Nation and Band et al. </w:t>
            </w:r>
          </w:p>
          <w:p w:rsidR="00214FA4" w:rsidRPr="00E54F41" w:rsidRDefault="001903A2" w:rsidP="00214FA4">
            <w:pPr>
              <w:tabs>
                <w:tab w:val="left" w:pos="-1440"/>
                <w:tab w:val="left" w:pos="-720"/>
              </w:tabs>
              <w:ind w:firstLine="720"/>
              <w:rPr>
                <w:sz w:val="20"/>
                <w:szCs w:val="20"/>
              </w:rPr>
            </w:pPr>
            <w:r w:rsidRPr="00E54F41">
              <w:rPr>
                <w:sz w:val="20"/>
                <w:szCs w:val="20"/>
              </w:rPr>
              <w:t>L</w:t>
            </w:r>
            <w:r w:rsidR="00214FA4" w:rsidRPr="00E54F41">
              <w:rPr>
                <w:sz w:val="20"/>
                <w:szCs w:val="20"/>
              </w:rPr>
              <w:t>. Douglas</w:t>
            </w:r>
            <w:r w:rsidRPr="00E54F41">
              <w:rPr>
                <w:sz w:val="20"/>
                <w:szCs w:val="20"/>
              </w:rPr>
              <w:t xml:space="preserve"> Rae</w:t>
            </w:r>
          </w:p>
          <w:p w:rsidR="00214FA4" w:rsidRPr="00E54F41" w:rsidRDefault="00214FA4" w:rsidP="00214FA4">
            <w:pPr>
              <w:tabs>
                <w:tab w:val="left" w:pos="-1440"/>
                <w:tab w:val="left" w:pos="-720"/>
              </w:tabs>
              <w:ind w:firstLine="720"/>
              <w:rPr>
                <w:sz w:val="20"/>
                <w:szCs w:val="20"/>
              </w:rPr>
            </w:pPr>
            <w:r w:rsidRPr="00E54F41">
              <w:rPr>
                <w:sz w:val="20"/>
                <w:szCs w:val="20"/>
              </w:rPr>
              <w:t>Rae and Company</w:t>
            </w:r>
            <w:r w:rsidRPr="00E54F41">
              <w:rPr>
                <w:sz w:val="20"/>
                <w:szCs w:val="20"/>
              </w:rPr>
              <w:br/>
            </w:r>
          </w:p>
          <w:p w:rsidR="00214FA4" w:rsidRPr="00E54F41" w:rsidRDefault="00214FA4" w:rsidP="00214FA4">
            <w:pPr>
              <w:tabs>
                <w:tab w:val="left" w:pos="-1440"/>
                <w:tab w:val="left" w:pos="-720"/>
              </w:tabs>
              <w:rPr>
                <w:sz w:val="20"/>
                <w:szCs w:val="20"/>
              </w:rPr>
            </w:pPr>
            <w:r w:rsidRPr="00E54F41">
              <w:rPr>
                <w:sz w:val="20"/>
                <w:szCs w:val="20"/>
              </w:rPr>
              <w:tab/>
              <w:t>v. (37280)</w:t>
            </w:r>
          </w:p>
          <w:p w:rsidR="00214FA4" w:rsidRPr="00E54F41" w:rsidRDefault="00214FA4" w:rsidP="00214FA4">
            <w:pPr>
              <w:tabs>
                <w:tab w:val="left" w:pos="-1440"/>
                <w:tab w:val="left" w:pos="-720"/>
              </w:tabs>
              <w:rPr>
                <w:sz w:val="20"/>
                <w:szCs w:val="20"/>
              </w:rPr>
            </w:pPr>
          </w:p>
          <w:p w:rsidR="00214FA4" w:rsidRPr="00E54F41" w:rsidRDefault="00214FA4" w:rsidP="00214FA4">
            <w:pPr>
              <w:tabs>
                <w:tab w:val="left" w:pos="-1440"/>
                <w:tab w:val="left" w:pos="-720"/>
              </w:tabs>
              <w:rPr>
                <w:b/>
                <w:sz w:val="20"/>
                <w:szCs w:val="20"/>
              </w:rPr>
            </w:pPr>
            <w:r w:rsidRPr="00E54F41">
              <w:rPr>
                <w:b/>
                <w:sz w:val="20"/>
                <w:szCs w:val="20"/>
              </w:rPr>
              <w:t>Her Majesty the Queen in Right of Canada et al. (F</w:t>
            </w:r>
            <w:r w:rsidR="001903A2" w:rsidRPr="00E54F41">
              <w:rPr>
                <w:b/>
                <w:sz w:val="20"/>
                <w:szCs w:val="20"/>
              </w:rPr>
              <w:t>.</w:t>
            </w:r>
            <w:r w:rsidRPr="00E54F41">
              <w:rPr>
                <w:b/>
                <w:sz w:val="20"/>
                <w:szCs w:val="20"/>
              </w:rPr>
              <w:t>C</w:t>
            </w:r>
            <w:r w:rsidR="001903A2" w:rsidRPr="00E54F41">
              <w:rPr>
                <w:b/>
                <w:sz w:val="20"/>
                <w:szCs w:val="20"/>
              </w:rPr>
              <w:t>.</w:t>
            </w:r>
            <w:r w:rsidRPr="00E54F41">
              <w:rPr>
                <w:b/>
                <w:sz w:val="20"/>
                <w:szCs w:val="20"/>
              </w:rPr>
              <w:t>)</w:t>
            </w:r>
          </w:p>
          <w:p w:rsidR="00214FA4" w:rsidRPr="00E54F41" w:rsidRDefault="00214FA4" w:rsidP="00214FA4">
            <w:pPr>
              <w:tabs>
                <w:tab w:val="left" w:pos="-1440"/>
                <w:tab w:val="left" w:pos="-720"/>
              </w:tabs>
              <w:rPr>
                <w:sz w:val="20"/>
                <w:szCs w:val="20"/>
              </w:rPr>
            </w:pPr>
            <w:r w:rsidRPr="00E54F41">
              <w:rPr>
                <w:sz w:val="20"/>
                <w:szCs w:val="20"/>
              </w:rPr>
              <w:tab/>
              <w:t xml:space="preserve">Clarke Hunter, Q.C. </w:t>
            </w:r>
          </w:p>
          <w:p w:rsidR="00214FA4" w:rsidRPr="00E54F41" w:rsidRDefault="00214FA4" w:rsidP="00214FA4">
            <w:pPr>
              <w:tabs>
                <w:tab w:val="left" w:pos="-1440"/>
                <w:tab w:val="left" w:pos="-720"/>
              </w:tabs>
              <w:rPr>
                <w:sz w:val="20"/>
                <w:szCs w:val="20"/>
              </w:rPr>
            </w:pPr>
            <w:r w:rsidRPr="00E54F41">
              <w:rPr>
                <w:sz w:val="20"/>
                <w:szCs w:val="20"/>
              </w:rPr>
              <w:tab/>
              <w:t>Norton Rose Fulbright Canada LLP</w:t>
            </w:r>
          </w:p>
          <w:p w:rsidR="00214FA4" w:rsidRPr="00E54F41" w:rsidRDefault="00214FA4" w:rsidP="00214FA4">
            <w:pPr>
              <w:tabs>
                <w:tab w:val="left" w:pos="-1440"/>
                <w:tab w:val="left" w:pos="-720"/>
              </w:tabs>
              <w:rPr>
                <w:sz w:val="20"/>
                <w:szCs w:val="20"/>
              </w:rPr>
            </w:pPr>
          </w:p>
          <w:p w:rsidR="00214FA4" w:rsidRPr="00E54F41" w:rsidRDefault="00214FA4" w:rsidP="00214FA4">
            <w:pPr>
              <w:rPr>
                <w:sz w:val="20"/>
                <w:szCs w:val="20"/>
              </w:rPr>
            </w:pPr>
            <w:r w:rsidRPr="00E54F41">
              <w:rPr>
                <w:sz w:val="20"/>
                <w:szCs w:val="20"/>
              </w:rPr>
              <w:t>FILING DATE: 07.11.2016</w:t>
            </w:r>
          </w:p>
          <w:p w:rsidR="00214FA4" w:rsidRPr="00E54F41" w:rsidRDefault="00B904CB" w:rsidP="00214FA4">
            <w:pPr>
              <w:rPr>
                <w:b/>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14FA4" w:rsidRPr="00E54F41" w:rsidRDefault="00214FA4"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p w:rsidR="0018244C" w:rsidRPr="00E54F41" w:rsidRDefault="0018244C" w:rsidP="00242AEE">
            <w:pPr>
              <w:jc w:val="center"/>
              <w:rPr>
                <w:sz w:val="20"/>
                <w:szCs w:val="20"/>
              </w:rPr>
            </w:pPr>
          </w:p>
        </w:tc>
        <w:tc>
          <w:tcPr>
            <w:tcW w:w="4320" w:type="dxa"/>
            <w:shd w:val="clear" w:color="auto" w:fill="auto"/>
          </w:tcPr>
          <w:p w:rsidR="00214FA4" w:rsidRPr="00E54F41" w:rsidRDefault="00214FA4" w:rsidP="00214FA4">
            <w:pPr>
              <w:tabs>
                <w:tab w:val="left" w:pos="-1440"/>
                <w:tab w:val="left" w:pos="-720"/>
              </w:tabs>
              <w:rPr>
                <w:sz w:val="20"/>
                <w:szCs w:val="20"/>
                <w:lang w:val="fr-CA"/>
              </w:rPr>
            </w:pPr>
            <w:proofErr w:type="spellStart"/>
            <w:r w:rsidRPr="00E54F41">
              <w:rPr>
                <w:b/>
                <w:sz w:val="20"/>
                <w:szCs w:val="20"/>
                <w:lang w:val="fr-CA"/>
              </w:rPr>
              <w:t>Lonnie</w:t>
            </w:r>
            <w:proofErr w:type="spellEnd"/>
            <w:r w:rsidRPr="00E54F41">
              <w:rPr>
                <w:b/>
                <w:sz w:val="20"/>
                <w:szCs w:val="20"/>
                <w:lang w:val="fr-CA"/>
              </w:rPr>
              <w:t xml:space="preserve"> Anderson et al.</w:t>
            </w:r>
          </w:p>
          <w:p w:rsidR="00214FA4" w:rsidRPr="00E54F41" w:rsidRDefault="001903A2" w:rsidP="00214FA4">
            <w:pPr>
              <w:tabs>
                <w:tab w:val="left" w:pos="-1440"/>
                <w:tab w:val="left" w:pos="-720"/>
              </w:tabs>
              <w:ind w:firstLine="720"/>
              <w:rPr>
                <w:sz w:val="20"/>
                <w:szCs w:val="20"/>
                <w:lang w:val="fr-CA"/>
              </w:rPr>
            </w:pPr>
            <w:r w:rsidRPr="00E54F41">
              <w:rPr>
                <w:sz w:val="20"/>
                <w:szCs w:val="20"/>
                <w:lang w:val="fr-CA"/>
              </w:rPr>
              <w:t xml:space="preserve">T. </w:t>
            </w:r>
            <w:r w:rsidR="00214FA4" w:rsidRPr="00E54F41">
              <w:rPr>
                <w:sz w:val="20"/>
                <w:szCs w:val="20"/>
                <w:lang w:val="fr-CA"/>
              </w:rPr>
              <w:t xml:space="preserve">John </w:t>
            </w:r>
            <w:proofErr w:type="spellStart"/>
            <w:r w:rsidR="00214FA4" w:rsidRPr="00E54F41">
              <w:rPr>
                <w:sz w:val="20"/>
                <w:szCs w:val="20"/>
                <w:lang w:val="fr-CA"/>
              </w:rPr>
              <w:t>Agioritis</w:t>
            </w:r>
            <w:proofErr w:type="spellEnd"/>
          </w:p>
          <w:p w:rsidR="00214FA4" w:rsidRPr="00E54F41" w:rsidRDefault="001903A2" w:rsidP="00214FA4">
            <w:pPr>
              <w:tabs>
                <w:tab w:val="left" w:pos="-1440"/>
                <w:tab w:val="left" w:pos="-720"/>
              </w:tabs>
              <w:ind w:firstLine="720"/>
              <w:rPr>
                <w:sz w:val="20"/>
                <w:szCs w:val="20"/>
                <w:lang w:val="fr-CA"/>
              </w:rPr>
            </w:pPr>
            <w:proofErr w:type="spellStart"/>
            <w:r w:rsidRPr="00E54F41">
              <w:rPr>
                <w:sz w:val="20"/>
                <w:szCs w:val="20"/>
                <w:lang w:val="fr-CA"/>
              </w:rPr>
              <w:t>MacP</w:t>
            </w:r>
            <w:r w:rsidR="00214FA4" w:rsidRPr="00E54F41">
              <w:rPr>
                <w:sz w:val="20"/>
                <w:szCs w:val="20"/>
                <w:lang w:val="fr-CA"/>
              </w:rPr>
              <w:t>herson</w:t>
            </w:r>
            <w:proofErr w:type="spellEnd"/>
            <w:r w:rsidR="00214FA4" w:rsidRPr="00E54F41">
              <w:rPr>
                <w:sz w:val="20"/>
                <w:szCs w:val="20"/>
                <w:lang w:val="fr-CA"/>
              </w:rPr>
              <w:t xml:space="preserve"> Leslie &amp; </w:t>
            </w:r>
            <w:proofErr w:type="spellStart"/>
            <w:r w:rsidR="00214FA4" w:rsidRPr="00E54F41">
              <w:rPr>
                <w:sz w:val="20"/>
                <w:szCs w:val="20"/>
                <w:lang w:val="fr-CA"/>
              </w:rPr>
              <w:t>Tyerman</w:t>
            </w:r>
            <w:proofErr w:type="spellEnd"/>
            <w:r w:rsidR="00214FA4" w:rsidRPr="00E54F41">
              <w:rPr>
                <w:sz w:val="20"/>
                <w:szCs w:val="20"/>
                <w:lang w:val="fr-CA"/>
              </w:rPr>
              <w:t xml:space="preserve"> LLP</w:t>
            </w:r>
          </w:p>
          <w:p w:rsidR="00171E3B" w:rsidRPr="00E54F41" w:rsidRDefault="00171E3B" w:rsidP="00214FA4">
            <w:pPr>
              <w:tabs>
                <w:tab w:val="left" w:pos="-1440"/>
                <w:tab w:val="left" w:pos="-720"/>
              </w:tabs>
              <w:ind w:firstLine="720"/>
              <w:rPr>
                <w:sz w:val="20"/>
                <w:szCs w:val="20"/>
                <w:lang w:val="fr-CA"/>
              </w:rPr>
            </w:pPr>
          </w:p>
          <w:p w:rsidR="00214FA4" w:rsidRPr="00E54F41" w:rsidRDefault="001903A2" w:rsidP="00214FA4">
            <w:pPr>
              <w:tabs>
                <w:tab w:val="left" w:pos="-1440"/>
                <w:tab w:val="left" w:pos="-720"/>
              </w:tabs>
              <w:rPr>
                <w:sz w:val="20"/>
                <w:szCs w:val="20"/>
                <w:lang w:val="fr-CA"/>
              </w:rPr>
            </w:pPr>
            <w:r w:rsidRPr="00E54F41">
              <w:rPr>
                <w:sz w:val="20"/>
                <w:szCs w:val="20"/>
                <w:lang w:val="fr-CA"/>
              </w:rPr>
              <w:tab/>
              <w:t>v. (37279</w:t>
            </w:r>
            <w:r w:rsidR="00214FA4" w:rsidRPr="00E54F41">
              <w:rPr>
                <w:sz w:val="20"/>
                <w:szCs w:val="20"/>
                <w:lang w:val="fr-CA"/>
              </w:rPr>
              <w:t>)</w:t>
            </w:r>
          </w:p>
          <w:p w:rsidR="00214FA4" w:rsidRPr="00E54F41" w:rsidRDefault="00214FA4" w:rsidP="00214FA4">
            <w:pPr>
              <w:tabs>
                <w:tab w:val="left" w:pos="-1440"/>
                <w:tab w:val="left" w:pos="-720"/>
              </w:tabs>
              <w:rPr>
                <w:sz w:val="20"/>
                <w:szCs w:val="20"/>
                <w:lang w:val="fr-CA"/>
              </w:rPr>
            </w:pPr>
          </w:p>
          <w:p w:rsidR="00214FA4" w:rsidRPr="00E54F41" w:rsidRDefault="00214FA4" w:rsidP="00214FA4">
            <w:pPr>
              <w:tabs>
                <w:tab w:val="left" w:pos="-1440"/>
                <w:tab w:val="left" w:pos="-720"/>
              </w:tabs>
              <w:rPr>
                <w:b/>
                <w:sz w:val="20"/>
                <w:szCs w:val="20"/>
              </w:rPr>
            </w:pPr>
            <w:r w:rsidRPr="00E54F41">
              <w:rPr>
                <w:b/>
                <w:sz w:val="20"/>
                <w:szCs w:val="20"/>
              </w:rPr>
              <w:t>Attorney General of Canada (</w:t>
            </w:r>
            <w:r w:rsidR="000F6A39" w:rsidRPr="00E54F41">
              <w:rPr>
                <w:b/>
                <w:sz w:val="20"/>
                <w:szCs w:val="20"/>
              </w:rPr>
              <w:t>Sask.)</w:t>
            </w:r>
          </w:p>
          <w:p w:rsidR="00214FA4" w:rsidRPr="00E54F41" w:rsidRDefault="00214FA4" w:rsidP="00214FA4">
            <w:pPr>
              <w:tabs>
                <w:tab w:val="left" w:pos="-1440"/>
                <w:tab w:val="left" w:pos="-720"/>
              </w:tabs>
              <w:rPr>
                <w:sz w:val="20"/>
                <w:szCs w:val="20"/>
              </w:rPr>
            </w:pPr>
            <w:r w:rsidRPr="00E54F41">
              <w:rPr>
                <w:sz w:val="20"/>
                <w:szCs w:val="20"/>
              </w:rPr>
              <w:tab/>
            </w:r>
            <w:r w:rsidR="000F6A39" w:rsidRPr="00E54F41">
              <w:rPr>
                <w:sz w:val="20"/>
                <w:szCs w:val="20"/>
              </w:rPr>
              <w:t xml:space="preserve">Karen </w:t>
            </w:r>
            <w:proofErr w:type="spellStart"/>
            <w:r w:rsidR="000F6A39" w:rsidRPr="00E54F41">
              <w:rPr>
                <w:sz w:val="20"/>
                <w:szCs w:val="20"/>
              </w:rPr>
              <w:t>Janke-Curliss</w:t>
            </w:r>
            <w:proofErr w:type="spellEnd"/>
          </w:p>
          <w:p w:rsidR="00214FA4" w:rsidRPr="00E54F41" w:rsidRDefault="00214FA4" w:rsidP="00214FA4">
            <w:pPr>
              <w:tabs>
                <w:tab w:val="left" w:pos="-1440"/>
                <w:tab w:val="left" w:pos="-720"/>
              </w:tabs>
              <w:rPr>
                <w:sz w:val="20"/>
                <w:szCs w:val="20"/>
              </w:rPr>
            </w:pPr>
            <w:r w:rsidRPr="00E54F41">
              <w:rPr>
                <w:sz w:val="20"/>
                <w:szCs w:val="20"/>
              </w:rPr>
              <w:tab/>
            </w:r>
            <w:r w:rsidR="001903A2" w:rsidRPr="00E54F41">
              <w:rPr>
                <w:sz w:val="20"/>
                <w:szCs w:val="20"/>
              </w:rPr>
              <w:t xml:space="preserve">A.G. </w:t>
            </w:r>
            <w:r w:rsidR="000F6A39" w:rsidRPr="00E54F41">
              <w:rPr>
                <w:sz w:val="20"/>
                <w:szCs w:val="20"/>
              </w:rPr>
              <w:t>of Canada</w:t>
            </w:r>
          </w:p>
          <w:p w:rsidR="00214FA4" w:rsidRPr="00E54F41" w:rsidRDefault="00214FA4" w:rsidP="00214FA4">
            <w:pPr>
              <w:tabs>
                <w:tab w:val="left" w:pos="-1440"/>
                <w:tab w:val="left" w:pos="-720"/>
              </w:tabs>
              <w:rPr>
                <w:sz w:val="20"/>
                <w:szCs w:val="20"/>
              </w:rPr>
            </w:pPr>
          </w:p>
          <w:p w:rsidR="00214FA4" w:rsidRPr="00E54F41" w:rsidRDefault="001903A2" w:rsidP="00214FA4">
            <w:pPr>
              <w:rPr>
                <w:sz w:val="20"/>
                <w:szCs w:val="20"/>
              </w:rPr>
            </w:pPr>
            <w:r w:rsidRPr="00E54F41">
              <w:rPr>
                <w:sz w:val="20"/>
                <w:szCs w:val="20"/>
              </w:rPr>
              <w:t>FILING DATE: 08</w:t>
            </w:r>
            <w:r w:rsidR="00214FA4" w:rsidRPr="00E54F41">
              <w:rPr>
                <w:sz w:val="20"/>
                <w:szCs w:val="20"/>
              </w:rPr>
              <w:t>.11.2016</w:t>
            </w:r>
          </w:p>
          <w:p w:rsidR="00214FA4" w:rsidRPr="00E54F41" w:rsidRDefault="00B904CB" w:rsidP="00214FA4">
            <w:pPr>
              <w:keepNext/>
              <w:keepLines/>
              <w:tabs>
                <w:tab w:val="left" w:pos="-1440"/>
                <w:tab w:val="left" w:pos="-720"/>
              </w:tabs>
              <w:rPr>
                <w:sz w:val="20"/>
                <w:szCs w:val="20"/>
              </w:rPr>
            </w:pPr>
            <w:r>
              <w:rPr>
                <w:sz w:val="20"/>
                <w:szCs w:val="20"/>
                <w:lang w:val="fr-CA"/>
              </w:rPr>
              <w:pict>
                <v:rect id="_x0000_i1030" style="width:108pt;height:1pt" o:hrpct="0" o:hralign="center" o:hrstd="t" o:hrnoshade="t" o:hr="t" fillcolor="black [3213]" stroked="f"/>
              </w:pict>
            </w:r>
          </w:p>
        </w:tc>
      </w:tr>
    </w:tbl>
    <w:p w:rsidR="0018244C" w:rsidRPr="00E54F41" w:rsidRDefault="0018244C">
      <w:r w:rsidRPr="00E54F41">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F6A39" w:rsidRPr="00E54F41" w:rsidTr="00C967BF">
        <w:tc>
          <w:tcPr>
            <w:tcW w:w="4320" w:type="dxa"/>
            <w:shd w:val="clear" w:color="auto" w:fill="auto"/>
          </w:tcPr>
          <w:p w:rsidR="000F6A39" w:rsidRPr="00E54F41" w:rsidRDefault="000F6A39" w:rsidP="00C967BF">
            <w:pPr>
              <w:tabs>
                <w:tab w:val="left" w:pos="-1440"/>
                <w:tab w:val="left" w:pos="-720"/>
              </w:tabs>
              <w:rPr>
                <w:sz w:val="20"/>
                <w:szCs w:val="20"/>
              </w:rPr>
            </w:pPr>
            <w:proofErr w:type="spellStart"/>
            <w:r w:rsidRPr="00E54F41">
              <w:rPr>
                <w:b/>
                <w:sz w:val="20"/>
                <w:szCs w:val="20"/>
              </w:rPr>
              <w:lastRenderedPageBreak/>
              <w:t>Volodym</w:t>
            </w:r>
            <w:r w:rsidR="00AD35D6" w:rsidRPr="00E54F41">
              <w:rPr>
                <w:b/>
                <w:sz w:val="20"/>
                <w:szCs w:val="20"/>
              </w:rPr>
              <w:t>y</w:t>
            </w:r>
            <w:r w:rsidRPr="00E54F41">
              <w:rPr>
                <w:b/>
                <w:sz w:val="20"/>
                <w:szCs w:val="20"/>
              </w:rPr>
              <w:t>r</w:t>
            </w:r>
            <w:proofErr w:type="spellEnd"/>
            <w:r w:rsidRPr="00E54F41">
              <w:rPr>
                <w:b/>
                <w:sz w:val="20"/>
                <w:szCs w:val="20"/>
              </w:rPr>
              <w:t xml:space="preserve"> </w:t>
            </w:r>
            <w:proofErr w:type="spellStart"/>
            <w:r w:rsidRPr="00E54F41">
              <w:rPr>
                <w:b/>
                <w:sz w:val="20"/>
                <w:szCs w:val="20"/>
              </w:rPr>
              <w:t>Hrabovskyy</w:t>
            </w:r>
            <w:proofErr w:type="spellEnd"/>
            <w:r w:rsidRPr="00E54F41">
              <w:rPr>
                <w:b/>
                <w:sz w:val="20"/>
                <w:szCs w:val="20"/>
              </w:rPr>
              <w:t xml:space="preserve"> </w:t>
            </w:r>
          </w:p>
          <w:p w:rsidR="000F6A39" w:rsidRPr="00E54F41" w:rsidRDefault="000F6A39" w:rsidP="00C967BF">
            <w:pPr>
              <w:tabs>
                <w:tab w:val="left" w:pos="-1440"/>
                <w:tab w:val="left" w:pos="-720"/>
              </w:tabs>
              <w:ind w:firstLine="720"/>
              <w:rPr>
                <w:sz w:val="20"/>
                <w:szCs w:val="20"/>
              </w:rPr>
            </w:pPr>
            <w:r w:rsidRPr="00E54F41">
              <w:rPr>
                <w:sz w:val="20"/>
                <w:szCs w:val="20"/>
              </w:rPr>
              <w:t>Volodymyr Hrabovskyy</w:t>
            </w:r>
          </w:p>
          <w:p w:rsidR="000F6A39" w:rsidRPr="00E54F41" w:rsidRDefault="000F6A39" w:rsidP="00C967BF">
            <w:pPr>
              <w:tabs>
                <w:tab w:val="left" w:pos="-1440"/>
                <w:tab w:val="left" w:pos="-720"/>
              </w:tabs>
              <w:ind w:firstLine="720"/>
              <w:rPr>
                <w:sz w:val="20"/>
                <w:szCs w:val="20"/>
              </w:rPr>
            </w:pPr>
          </w:p>
          <w:p w:rsidR="000F6A39" w:rsidRPr="00E54F41" w:rsidRDefault="000F6A39" w:rsidP="00C967BF">
            <w:pPr>
              <w:tabs>
                <w:tab w:val="left" w:pos="-1440"/>
                <w:tab w:val="left" w:pos="-720"/>
              </w:tabs>
              <w:rPr>
                <w:sz w:val="20"/>
                <w:szCs w:val="20"/>
              </w:rPr>
            </w:pPr>
            <w:r w:rsidRPr="00E54F41">
              <w:rPr>
                <w:sz w:val="20"/>
                <w:szCs w:val="20"/>
              </w:rPr>
              <w:tab/>
              <w:t>v. (37282)</w:t>
            </w:r>
          </w:p>
          <w:p w:rsidR="000F6A39" w:rsidRPr="00E54F41" w:rsidRDefault="000F6A39" w:rsidP="00C967BF">
            <w:pPr>
              <w:tabs>
                <w:tab w:val="left" w:pos="-1440"/>
                <w:tab w:val="left" w:pos="-720"/>
              </w:tabs>
              <w:rPr>
                <w:sz w:val="20"/>
                <w:szCs w:val="20"/>
              </w:rPr>
            </w:pPr>
          </w:p>
          <w:p w:rsidR="000F6A39" w:rsidRPr="00E54F41" w:rsidRDefault="000F6A39" w:rsidP="00C967BF">
            <w:pPr>
              <w:tabs>
                <w:tab w:val="left" w:pos="-1440"/>
                <w:tab w:val="left" w:pos="-720"/>
              </w:tabs>
              <w:rPr>
                <w:b/>
                <w:sz w:val="20"/>
                <w:szCs w:val="20"/>
              </w:rPr>
            </w:pPr>
            <w:r w:rsidRPr="00E54F41">
              <w:rPr>
                <w:b/>
                <w:sz w:val="20"/>
                <w:szCs w:val="20"/>
              </w:rPr>
              <w:t>Her Majesty the Queen (F</w:t>
            </w:r>
            <w:r w:rsidR="007B291C" w:rsidRPr="00E54F41">
              <w:rPr>
                <w:b/>
                <w:sz w:val="20"/>
                <w:szCs w:val="20"/>
              </w:rPr>
              <w:t>.</w:t>
            </w:r>
            <w:r w:rsidRPr="00E54F41">
              <w:rPr>
                <w:b/>
                <w:sz w:val="20"/>
                <w:szCs w:val="20"/>
              </w:rPr>
              <w:t>C</w:t>
            </w:r>
            <w:r w:rsidR="007B291C" w:rsidRPr="00E54F41">
              <w:rPr>
                <w:b/>
                <w:sz w:val="20"/>
                <w:szCs w:val="20"/>
              </w:rPr>
              <w:t>.</w:t>
            </w:r>
            <w:r w:rsidRPr="00E54F41">
              <w:rPr>
                <w:b/>
                <w:sz w:val="20"/>
                <w:szCs w:val="20"/>
              </w:rPr>
              <w:t>)</w:t>
            </w:r>
          </w:p>
          <w:p w:rsidR="000F6A39" w:rsidRPr="00E54F41" w:rsidRDefault="000F6A39" w:rsidP="00C967BF">
            <w:pPr>
              <w:tabs>
                <w:tab w:val="left" w:pos="-1440"/>
                <w:tab w:val="left" w:pos="-720"/>
              </w:tabs>
              <w:rPr>
                <w:sz w:val="20"/>
                <w:szCs w:val="20"/>
              </w:rPr>
            </w:pPr>
            <w:r w:rsidRPr="00E54F41">
              <w:rPr>
                <w:sz w:val="20"/>
                <w:szCs w:val="20"/>
              </w:rPr>
              <w:tab/>
              <w:t xml:space="preserve">Caroline </w:t>
            </w:r>
            <w:proofErr w:type="spellStart"/>
            <w:r w:rsidRPr="00E54F41">
              <w:rPr>
                <w:sz w:val="20"/>
                <w:szCs w:val="20"/>
              </w:rPr>
              <w:t>Laverdière</w:t>
            </w:r>
            <w:proofErr w:type="spellEnd"/>
            <w:r w:rsidRPr="00E54F41">
              <w:rPr>
                <w:sz w:val="20"/>
                <w:szCs w:val="20"/>
              </w:rPr>
              <w:t xml:space="preserve"> </w:t>
            </w:r>
          </w:p>
          <w:p w:rsidR="000F6A39" w:rsidRPr="00E54F41" w:rsidRDefault="000F6A39" w:rsidP="00C967BF">
            <w:pPr>
              <w:tabs>
                <w:tab w:val="left" w:pos="-1440"/>
                <w:tab w:val="left" w:pos="-720"/>
              </w:tabs>
              <w:rPr>
                <w:sz w:val="20"/>
                <w:szCs w:val="20"/>
              </w:rPr>
            </w:pPr>
            <w:r w:rsidRPr="00E54F41">
              <w:rPr>
                <w:sz w:val="20"/>
                <w:szCs w:val="20"/>
              </w:rPr>
              <w:tab/>
            </w:r>
            <w:r w:rsidR="00AD35D6" w:rsidRPr="00E54F41">
              <w:rPr>
                <w:sz w:val="20"/>
                <w:szCs w:val="20"/>
              </w:rPr>
              <w:t>A.G.</w:t>
            </w:r>
            <w:r w:rsidRPr="00E54F41">
              <w:rPr>
                <w:sz w:val="20"/>
                <w:szCs w:val="20"/>
              </w:rPr>
              <w:t xml:space="preserve"> of Canada</w:t>
            </w:r>
          </w:p>
          <w:p w:rsidR="000F6A39" w:rsidRPr="00E54F41" w:rsidRDefault="000F6A39" w:rsidP="00C967BF">
            <w:pPr>
              <w:tabs>
                <w:tab w:val="left" w:pos="-1440"/>
                <w:tab w:val="left" w:pos="-720"/>
              </w:tabs>
              <w:rPr>
                <w:sz w:val="20"/>
                <w:szCs w:val="20"/>
              </w:rPr>
            </w:pPr>
          </w:p>
          <w:p w:rsidR="000F6A39" w:rsidRPr="00E54F41" w:rsidRDefault="000F6A39" w:rsidP="00C967BF">
            <w:pPr>
              <w:rPr>
                <w:sz w:val="20"/>
                <w:szCs w:val="20"/>
              </w:rPr>
            </w:pPr>
            <w:r w:rsidRPr="00E54F41">
              <w:rPr>
                <w:sz w:val="20"/>
                <w:szCs w:val="20"/>
              </w:rPr>
              <w:t>FILING DATE: 08.11.2016</w:t>
            </w:r>
          </w:p>
          <w:p w:rsidR="000F6A39" w:rsidRPr="00E54F41" w:rsidRDefault="00B904CB" w:rsidP="00C967BF">
            <w:pPr>
              <w:rPr>
                <w:b/>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0F6A39" w:rsidRPr="00E54F41" w:rsidRDefault="000F6A39"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tc>
        <w:tc>
          <w:tcPr>
            <w:tcW w:w="4320" w:type="dxa"/>
            <w:shd w:val="clear" w:color="auto" w:fill="auto"/>
          </w:tcPr>
          <w:p w:rsidR="000F6A39" w:rsidRPr="00E54F41" w:rsidRDefault="000F6A39" w:rsidP="000F6A39">
            <w:pPr>
              <w:tabs>
                <w:tab w:val="left" w:pos="-1440"/>
                <w:tab w:val="left" w:pos="-720"/>
              </w:tabs>
              <w:rPr>
                <w:sz w:val="20"/>
                <w:szCs w:val="20"/>
              </w:rPr>
            </w:pPr>
            <w:r w:rsidRPr="00E54F41">
              <w:rPr>
                <w:b/>
                <w:sz w:val="20"/>
                <w:szCs w:val="20"/>
              </w:rPr>
              <w:t>Volodym</w:t>
            </w:r>
            <w:r w:rsidR="00AD35D6" w:rsidRPr="00E54F41">
              <w:rPr>
                <w:b/>
                <w:sz w:val="20"/>
                <w:szCs w:val="20"/>
              </w:rPr>
              <w:t>y</w:t>
            </w:r>
            <w:r w:rsidRPr="00E54F41">
              <w:rPr>
                <w:b/>
                <w:sz w:val="20"/>
                <w:szCs w:val="20"/>
              </w:rPr>
              <w:t xml:space="preserve">r Hrabovskyy </w:t>
            </w:r>
          </w:p>
          <w:p w:rsidR="000F6A39" w:rsidRPr="00E54F41" w:rsidRDefault="000F6A39" w:rsidP="000F6A39">
            <w:pPr>
              <w:tabs>
                <w:tab w:val="left" w:pos="-1440"/>
                <w:tab w:val="left" w:pos="-720"/>
              </w:tabs>
              <w:ind w:firstLine="720"/>
              <w:rPr>
                <w:sz w:val="20"/>
                <w:szCs w:val="20"/>
              </w:rPr>
            </w:pPr>
            <w:r w:rsidRPr="00E54F41">
              <w:rPr>
                <w:sz w:val="20"/>
                <w:szCs w:val="20"/>
              </w:rPr>
              <w:t>Volodymyr Hrabovskyy</w:t>
            </w:r>
          </w:p>
          <w:p w:rsidR="000F6A39" w:rsidRPr="00E54F41" w:rsidRDefault="000F6A39" w:rsidP="000F6A39">
            <w:pPr>
              <w:tabs>
                <w:tab w:val="left" w:pos="-1440"/>
                <w:tab w:val="left" w:pos="-720"/>
              </w:tabs>
              <w:ind w:firstLine="720"/>
              <w:rPr>
                <w:sz w:val="20"/>
                <w:szCs w:val="20"/>
              </w:rPr>
            </w:pPr>
          </w:p>
          <w:p w:rsidR="000F6A39" w:rsidRPr="00E54F41" w:rsidRDefault="000F6A39" w:rsidP="000F6A39">
            <w:pPr>
              <w:tabs>
                <w:tab w:val="left" w:pos="-1440"/>
                <w:tab w:val="left" w:pos="-720"/>
              </w:tabs>
              <w:rPr>
                <w:sz w:val="20"/>
                <w:szCs w:val="20"/>
              </w:rPr>
            </w:pPr>
            <w:r w:rsidRPr="00E54F41">
              <w:rPr>
                <w:sz w:val="20"/>
                <w:szCs w:val="20"/>
              </w:rPr>
              <w:tab/>
              <w:t>v. (37283)</w:t>
            </w:r>
          </w:p>
          <w:p w:rsidR="000F6A39" w:rsidRPr="00E54F41" w:rsidRDefault="000F6A39" w:rsidP="000F6A39">
            <w:pPr>
              <w:tabs>
                <w:tab w:val="left" w:pos="-1440"/>
                <w:tab w:val="left" w:pos="-720"/>
              </w:tabs>
              <w:rPr>
                <w:sz w:val="20"/>
                <w:szCs w:val="20"/>
              </w:rPr>
            </w:pPr>
          </w:p>
          <w:p w:rsidR="000F6A39" w:rsidRPr="00E54F41" w:rsidRDefault="000F6A39" w:rsidP="000F6A39">
            <w:pPr>
              <w:tabs>
                <w:tab w:val="left" w:pos="-1440"/>
                <w:tab w:val="left" w:pos="-720"/>
              </w:tabs>
              <w:rPr>
                <w:b/>
                <w:sz w:val="20"/>
                <w:szCs w:val="20"/>
              </w:rPr>
            </w:pPr>
            <w:r w:rsidRPr="00E54F41">
              <w:rPr>
                <w:b/>
                <w:sz w:val="20"/>
                <w:szCs w:val="20"/>
              </w:rPr>
              <w:t>Her Majesty the Queen (F</w:t>
            </w:r>
            <w:r w:rsidR="001F2020" w:rsidRPr="00E54F41">
              <w:rPr>
                <w:b/>
                <w:sz w:val="20"/>
                <w:szCs w:val="20"/>
              </w:rPr>
              <w:t>.</w:t>
            </w:r>
            <w:r w:rsidRPr="00E54F41">
              <w:rPr>
                <w:b/>
                <w:sz w:val="20"/>
                <w:szCs w:val="20"/>
              </w:rPr>
              <w:t>C</w:t>
            </w:r>
            <w:r w:rsidR="001F2020" w:rsidRPr="00E54F41">
              <w:rPr>
                <w:b/>
                <w:sz w:val="20"/>
                <w:szCs w:val="20"/>
              </w:rPr>
              <w:t>.</w:t>
            </w:r>
            <w:r w:rsidRPr="00E54F41">
              <w:rPr>
                <w:b/>
                <w:sz w:val="20"/>
                <w:szCs w:val="20"/>
              </w:rPr>
              <w:t>)</w:t>
            </w:r>
          </w:p>
          <w:p w:rsidR="000F6A39" w:rsidRPr="00E54F41" w:rsidRDefault="000F6A39" w:rsidP="000F6A39">
            <w:pPr>
              <w:tabs>
                <w:tab w:val="left" w:pos="-1440"/>
                <w:tab w:val="left" w:pos="-720"/>
              </w:tabs>
              <w:rPr>
                <w:sz w:val="20"/>
                <w:szCs w:val="20"/>
              </w:rPr>
            </w:pPr>
            <w:r w:rsidRPr="00E54F41">
              <w:rPr>
                <w:sz w:val="20"/>
                <w:szCs w:val="20"/>
              </w:rPr>
              <w:tab/>
              <w:t xml:space="preserve">Caroline </w:t>
            </w:r>
            <w:proofErr w:type="spellStart"/>
            <w:r w:rsidRPr="00E54F41">
              <w:rPr>
                <w:sz w:val="20"/>
                <w:szCs w:val="20"/>
              </w:rPr>
              <w:t>Laverdière</w:t>
            </w:r>
            <w:proofErr w:type="spellEnd"/>
            <w:r w:rsidRPr="00E54F41">
              <w:rPr>
                <w:sz w:val="20"/>
                <w:szCs w:val="20"/>
              </w:rPr>
              <w:t xml:space="preserve"> </w:t>
            </w:r>
          </w:p>
          <w:p w:rsidR="000F6A39" w:rsidRPr="00E54F41" w:rsidRDefault="000F6A39" w:rsidP="000F6A39">
            <w:pPr>
              <w:tabs>
                <w:tab w:val="left" w:pos="-1440"/>
                <w:tab w:val="left" w:pos="-720"/>
              </w:tabs>
              <w:rPr>
                <w:sz w:val="20"/>
                <w:szCs w:val="20"/>
              </w:rPr>
            </w:pPr>
            <w:r w:rsidRPr="00E54F41">
              <w:rPr>
                <w:sz w:val="20"/>
                <w:szCs w:val="20"/>
              </w:rPr>
              <w:tab/>
            </w:r>
            <w:r w:rsidR="00AD35D6" w:rsidRPr="00E54F41">
              <w:rPr>
                <w:sz w:val="20"/>
                <w:szCs w:val="20"/>
              </w:rPr>
              <w:t>A.G.</w:t>
            </w:r>
            <w:r w:rsidRPr="00E54F41">
              <w:rPr>
                <w:sz w:val="20"/>
                <w:szCs w:val="20"/>
              </w:rPr>
              <w:t xml:space="preserve"> of Canada</w:t>
            </w:r>
          </w:p>
          <w:p w:rsidR="000F6A39" w:rsidRPr="00E54F41" w:rsidRDefault="000F6A39" w:rsidP="000F6A39">
            <w:pPr>
              <w:tabs>
                <w:tab w:val="left" w:pos="-1440"/>
                <w:tab w:val="left" w:pos="-720"/>
              </w:tabs>
              <w:rPr>
                <w:sz w:val="20"/>
                <w:szCs w:val="20"/>
              </w:rPr>
            </w:pPr>
          </w:p>
          <w:p w:rsidR="000F6A39" w:rsidRPr="00E54F41" w:rsidRDefault="000F6A39" w:rsidP="000F6A39">
            <w:pPr>
              <w:rPr>
                <w:sz w:val="20"/>
                <w:szCs w:val="20"/>
              </w:rPr>
            </w:pPr>
            <w:r w:rsidRPr="00E54F41">
              <w:rPr>
                <w:sz w:val="20"/>
                <w:szCs w:val="20"/>
              </w:rPr>
              <w:t>FILING DATE: 08.11.2016</w:t>
            </w:r>
          </w:p>
          <w:p w:rsidR="000F6A39" w:rsidRPr="00E54F41" w:rsidRDefault="00B904CB" w:rsidP="00C967BF">
            <w:pPr>
              <w:keepNext/>
              <w:keepLines/>
              <w:tabs>
                <w:tab w:val="left" w:pos="-1440"/>
                <w:tab w:val="left" w:pos="-720"/>
              </w:tabs>
              <w:rPr>
                <w:sz w:val="20"/>
                <w:szCs w:val="20"/>
              </w:rPr>
            </w:pPr>
            <w:r>
              <w:rPr>
                <w:sz w:val="20"/>
                <w:szCs w:val="20"/>
                <w:lang w:val="fr-CA"/>
              </w:rPr>
              <w:pict>
                <v:rect id="_x0000_i1032" style="width:108pt;height:1pt" o:hrpct="0" o:hralign="center" o:hrstd="t" o:hrnoshade="t" o:hr="t" fillcolor="black [3213]" stroked="f"/>
              </w:pict>
            </w:r>
          </w:p>
        </w:tc>
      </w:tr>
    </w:tbl>
    <w:p w:rsidR="000F6A39" w:rsidRPr="00E54F41" w:rsidRDefault="000F6A39"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D45218" w:rsidRPr="00E54F41" w:rsidTr="00C967BF">
        <w:tc>
          <w:tcPr>
            <w:tcW w:w="4320" w:type="dxa"/>
            <w:shd w:val="clear" w:color="auto" w:fill="auto"/>
          </w:tcPr>
          <w:p w:rsidR="00D45218" w:rsidRPr="00E54F41" w:rsidRDefault="00D45218" w:rsidP="00C967BF">
            <w:pPr>
              <w:tabs>
                <w:tab w:val="left" w:pos="-1440"/>
                <w:tab w:val="left" w:pos="-720"/>
              </w:tabs>
              <w:rPr>
                <w:sz w:val="20"/>
                <w:szCs w:val="20"/>
              </w:rPr>
            </w:pPr>
            <w:r w:rsidRPr="00E54F41">
              <w:rPr>
                <w:b/>
                <w:sz w:val="20"/>
                <w:szCs w:val="20"/>
              </w:rPr>
              <w:t>Office of the Children’s Lawyer</w:t>
            </w:r>
          </w:p>
          <w:p w:rsidR="00D45218" w:rsidRPr="00E54F41" w:rsidRDefault="00D45218" w:rsidP="00C967BF">
            <w:pPr>
              <w:tabs>
                <w:tab w:val="left" w:pos="-1440"/>
                <w:tab w:val="left" w:pos="-720"/>
              </w:tabs>
              <w:ind w:firstLine="720"/>
              <w:rPr>
                <w:sz w:val="20"/>
                <w:szCs w:val="20"/>
              </w:rPr>
            </w:pPr>
            <w:r w:rsidRPr="00E54F41">
              <w:rPr>
                <w:sz w:val="20"/>
                <w:szCs w:val="20"/>
              </w:rPr>
              <w:t xml:space="preserve">Caterina E. </w:t>
            </w:r>
            <w:proofErr w:type="spellStart"/>
            <w:r w:rsidRPr="00E54F41">
              <w:rPr>
                <w:sz w:val="20"/>
                <w:szCs w:val="20"/>
              </w:rPr>
              <w:t>Tempesta</w:t>
            </w:r>
            <w:proofErr w:type="spellEnd"/>
          </w:p>
          <w:p w:rsidR="00AD35D6" w:rsidRPr="00E54F41" w:rsidRDefault="00AD35D6" w:rsidP="00C967BF">
            <w:pPr>
              <w:tabs>
                <w:tab w:val="left" w:pos="-1440"/>
                <w:tab w:val="left" w:pos="-720"/>
              </w:tabs>
              <w:ind w:firstLine="720"/>
              <w:rPr>
                <w:sz w:val="20"/>
                <w:szCs w:val="20"/>
              </w:rPr>
            </w:pPr>
            <w:r w:rsidRPr="00E54F41">
              <w:rPr>
                <w:sz w:val="20"/>
                <w:szCs w:val="20"/>
              </w:rPr>
              <w:t xml:space="preserve">Office of the </w:t>
            </w:r>
            <w:proofErr w:type="spellStart"/>
            <w:r w:rsidRPr="00E54F41">
              <w:rPr>
                <w:sz w:val="20"/>
                <w:szCs w:val="20"/>
              </w:rPr>
              <w:t>Childrens’s</w:t>
            </w:r>
            <w:proofErr w:type="spellEnd"/>
            <w:r w:rsidRPr="00E54F41">
              <w:rPr>
                <w:sz w:val="20"/>
                <w:szCs w:val="20"/>
              </w:rPr>
              <w:t xml:space="preserve"> Lawyer</w:t>
            </w:r>
          </w:p>
          <w:p w:rsidR="00D45218" w:rsidRPr="00E54F41" w:rsidRDefault="00D45218" w:rsidP="00C967BF">
            <w:pPr>
              <w:tabs>
                <w:tab w:val="left" w:pos="-1440"/>
                <w:tab w:val="left" w:pos="-720"/>
              </w:tabs>
              <w:ind w:firstLine="720"/>
              <w:rPr>
                <w:sz w:val="20"/>
                <w:szCs w:val="20"/>
              </w:rPr>
            </w:pPr>
          </w:p>
          <w:p w:rsidR="00D45218" w:rsidRPr="00E54F41" w:rsidRDefault="00D45218" w:rsidP="00C967BF">
            <w:pPr>
              <w:tabs>
                <w:tab w:val="left" w:pos="-1440"/>
                <w:tab w:val="left" w:pos="-720"/>
              </w:tabs>
              <w:rPr>
                <w:sz w:val="20"/>
                <w:szCs w:val="20"/>
              </w:rPr>
            </w:pPr>
            <w:r w:rsidRPr="00E54F41">
              <w:rPr>
                <w:sz w:val="20"/>
                <w:szCs w:val="20"/>
              </w:rPr>
              <w:tab/>
              <w:t>v. (37250)</w:t>
            </w:r>
          </w:p>
          <w:p w:rsidR="00D45218" w:rsidRPr="00E54F41" w:rsidRDefault="00D45218" w:rsidP="00C967BF">
            <w:pPr>
              <w:tabs>
                <w:tab w:val="left" w:pos="-1440"/>
                <w:tab w:val="left" w:pos="-720"/>
              </w:tabs>
              <w:rPr>
                <w:sz w:val="20"/>
                <w:szCs w:val="20"/>
              </w:rPr>
            </w:pPr>
          </w:p>
          <w:p w:rsidR="00D45218" w:rsidRPr="00E54F41" w:rsidRDefault="00D45218" w:rsidP="00C967BF">
            <w:pPr>
              <w:tabs>
                <w:tab w:val="left" w:pos="-1440"/>
                <w:tab w:val="left" w:pos="-720"/>
              </w:tabs>
              <w:rPr>
                <w:b/>
                <w:sz w:val="20"/>
                <w:szCs w:val="20"/>
                <w:lang w:val="fr-CA"/>
              </w:rPr>
            </w:pPr>
            <w:r w:rsidRPr="00E54F41">
              <w:rPr>
                <w:b/>
                <w:sz w:val="20"/>
                <w:szCs w:val="20"/>
                <w:lang w:val="fr-CA"/>
              </w:rPr>
              <w:t xml:space="preserve">John Paul </w:t>
            </w:r>
            <w:proofErr w:type="spellStart"/>
            <w:r w:rsidRPr="00E54F41">
              <w:rPr>
                <w:b/>
                <w:sz w:val="20"/>
                <w:szCs w:val="20"/>
                <w:lang w:val="fr-CA"/>
              </w:rPr>
              <w:t>Balev</w:t>
            </w:r>
            <w:proofErr w:type="spellEnd"/>
            <w:r w:rsidRPr="00E54F41">
              <w:rPr>
                <w:b/>
                <w:sz w:val="20"/>
                <w:szCs w:val="20"/>
                <w:lang w:val="fr-CA"/>
              </w:rPr>
              <w:t xml:space="preserve"> </w:t>
            </w:r>
            <w:r w:rsidR="00AD35D6" w:rsidRPr="00E54F41">
              <w:rPr>
                <w:b/>
                <w:sz w:val="20"/>
                <w:szCs w:val="20"/>
                <w:lang w:val="fr-CA"/>
              </w:rPr>
              <w:t>et al.</w:t>
            </w:r>
            <w:r w:rsidRPr="00E54F41">
              <w:rPr>
                <w:b/>
                <w:sz w:val="20"/>
                <w:szCs w:val="20"/>
                <w:lang w:val="fr-CA"/>
              </w:rPr>
              <w:t xml:space="preserve">  (Ont.)</w:t>
            </w:r>
          </w:p>
          <w:p w:rsidR="00D45218" w:rsidRPr="00E54F41" w:rsidRDefault="00D45218" w:rsidP="00C967BF">
            <w:pPr>
              <w:tabs>
                <w:tab w:val="left" w:pos="-1440"/>
                <w:tab w:val="left" w:pos="-720"/>
              </w:tabs>
              <w:rPr>
                <w:sz w:val="20"/>
                <w:szCs w:val="20"/>
              </w:rPr>
            </w:pPr>
            <w:r w:rsidRPr="00E54F41">
              <w:rPr>
                <w:sz w:val="20"/>
                <w:szCs w:val="20"/>
                <w:lang w:val="fr-CA"/>
              </w:rPr>
              <w:tab/>
            </w:r>
            <w:r w:rsidRPr="00E54F41">
              <w:rPr>
                <w:sz w:val="20"/>
                <w:szCs w:val="20"/>
              </w:rPr>
              <w:t xml:space="preserve">Steven M. Bookman </w:t>
            </w:r>
          </w:p>
          <w:p w:rsidR="00D45218" w:rsidRPr="00E54F41" w:rsidRDefault="00D45218" w:rsidP="00C967BF">
            <w:pPr>
              <w:tabs>
                <w:tab w:val="left" w:pos="-1440"/>
                <w:tab w:val="left" w:pos="-720"/>
              </w:tabs>
              <w:rPr>
                <w:sz w:val="20"/>
                <w:szCs w:val="20"/>
              </w:rPr>
            </w:pPr>
            <w:r w:rsidRPr="00E54F41">
              <w:rPr>
                <w:sz w:val="20"/>
                <w:szCs w:val="20"/>
              </w:rPr>
              <w:tab/>
              <w:t>Bookman Law Professional Corporation</w:t>
            </w:r>
          </w:p>
          <w:p w:rsidR="00D45218" w:rsidRPr="00E54F41" w:rsidRDefault="00D45218" w:rsidP="00C967BF">
            <w:pPr>
              <w:tabs>
                <w:tab w:val="left" w:pos="-1440"/>
                <w:tab w:val="left" w:pos="-720"/>
              </w:tabs>
              <w:rPr>
                <w:sz w:val="20"/>
                <w:szCs w:val="20"/>
              </w:rPr>
            </w:pPr>
          </w:p>
          <w:p w:rsidR="00D45218" w:rsidRPr="00E54F41" w:rsidRDefault="00D45218" w:rsidP="00C967BF">
            <w:pPr>
              <w:rPr>
                <w:sz w:val="20"/>
                <w:szCs w:val="20"/>
              </w:rPr>
            </w:pPr>
            <w:r w:rsidRPr="00E54F41">
              <w:rPr>
                <w:sz w:val="20"/>
                <w:szCs w:val="20"/>
              </w:rPr>
              <w:t>FILING DATE: 14.11.2016</w:t>
            </w:r>
          </w:p>
          <w:p w:rsidR="00D45218" w:rsidRPr="00E54F41" w:rsidRDefault="00B904CB" w:rsidP="00C967BF">
            <w:pPr>
              <w:rPr>
                <w:b/>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D45218" w:rsidRPr="00E54F41" w:rsidRDefault="00D45218"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p w:rsidR="0018244C" w:rsidRPr="00E54F41" w:rsidRDefault="0018244C" w:rsidP="00C967BF">
            <w:pPr>
              <w:jc w:val="center"/>
              <w:rPr>
                <w:sz w:val="20"/>
                <w:szCs w:val="20"/>
              </w:rPr>
            </w:pPr>
          </w:p>
        </w:tc>
        <w:tc>
          <w:tcPr>
            <w:tcW w:w="4320" w:type="dxa"/>
            <w:shd w:val="clear" w:color="auto" w:fill="auto"/>
          </w:tcPr>
          <w:p w:rsidR="00171E3B" w:rsidRPr="00E54F41" w:rsidRDefault="00171E3B" w:rsidP="00171E3B">
            <w:pPr>
              <w:tabs>
                <w:tab w:val="left" w:pos="-1440"/>
                <w:tab w:val="left" w:pos="-720"/>
              </w:tabs>
              <w:rPr>
                <w:sz w:val="20"/>
                <w:szCs w:val="20"/>
                <w:lang w:val="fr-CA"/>
              </w:rPr>
            </w:pPr>
            <w:r w:rsidRPr="00E54F41">
              <w:rPr>
                <w:b/>
                <w:sz w:val="20"/>
                <w:szCs w:val="20"/>
                <w:lang w:val="fr-CA"/>
              </w:rPr>
              <w:t>Angèle Roy</w:t>
            </w:r>
          </w:p>
          <w:p w:rsidR="00171E3B" w:rsidRPr="00E54F41" w:rsidRDefault="00171E3B" w:rsidP="00171E3B">
            <w:pPr>
              <w:tabs>
                <w:tab w:val="left" w:pos="-1440"/>
                <w:tab w:val="left" w:pos="-720"/>
              </w:tabs>
              <w:ind w:firstLine="720"/>
              <w:rPr>
                <w:sz w:val="20"/>
                <w:szCs w:val="20"/>
                <w:lang w:val="fr-CA"/>
              </w:rPr>
            </w:pPr>
            <w:r w:rsidRPr="00E54F41">
              <w:rPr>
                <w:sz w:val="20"/>
                <w:szCs w:val="20"/>
                <w:lang w:val="fr-CA"/>
              </w:rPr>
              <w:t>Nina Fernandez</w:t>
            </w:r>
          </w:p>
          <w:p w:rsidR="00171E3B" w:rsidRPr="00E54F41" w:rsidRDefault="00171E3B" w:rsidP="00171E3B">
            <w:pPr>
              <w:tabs>
                <w:tab w:val="left" w:pos="-1440"/>
                <w:tab w:val="left" w:pos="-720"/>
              </w:tabs>
              <w:ind w:firstLine="720"/>
              <w:rPr>
                <w:sz w:val="20"/>
                <w:szCs w:val="20"/>
                <w:lang w:val="fr-CA"/>
              </w:rPr>
            </w:pPr>
            <w:r w:rsidRPr="00E54F41">
              <w:rPr>
                <w:sz w:val="20"/>
                <w:szCs w:val="20"/>
                <w:lang w:val="fr-CA"/>
              </w:rPr>
              <w:t>FNC Avocats</w:t>
            </w:r>
          </w:p>
          <w:p w:rsidR="00171E3B" w:rsidRPr="00E54F41" w:rsidRDefault="00171E3B" w:rsidP="00171E3B">
            <w:pPr>
              <w:tabs>
                <w:tab w:val="left" w:pos="-1440"/>
                <w:tab w:val="left" w:pos="-720"/>
              </w:tabs>
              <w:ind w:firstLine="720"/>
              <w:rPr>
                <w:sz w:val="20"/>
                <w:szCs w:val="20"/>
                <w:lang w:val="fr-CA"/>
              </w:rPr>
            </w:pPr>
          </w:p>
          <w:p w:rsidR="00171E3B" w:rsidRPr="00E54F41" w:rsidRDefault="00171E3B" w:rsidP="00171E3B">
            <w:pPr>
              <w:tabs>
                <w:tab w:val="left" w:pos="-1440"/>
                <w:tab w:val="left" w:pos="-720"/>
              </w:tabs>
              <w:rPr>
                <w:sz w:val="20"/>
                <w:szCs w:val="20"/>
                <w:lang w:val="fr-CA"/>
              </w:rPr>
            </w:pPr>
            <w:r w:rsidRPr="00E54F41">
              <w:rPr>
                <w:sz w:val="20"/>
                <w:szCs w:val="20"/>
                <w:lang w:val="fr-CA"/>
              </w:rPr>
              <w:tab/>
            </w:r>
            <w:r w:rsidR="007458B6" w:rsidRPr="00E54F41">
              <w:rPr>
                <w:sz w:val="20"/>
                <w:szCs w:val="20"/>
                <w:lang w:val="fr-CA"/>
              </w:rPr>
              <w:t>c</w:t>
            </w:r>
            <w:r w:rsidRPr="00E54F41">
              <w:rPr>
                <w:sz w:val="20"/>
                <w:szCs w:val="20"/>
                <w:lang w:val="fr-CA"/>
              </w:rPr>
              <w:t>. (37250)</w:t>
            </w:r>
          </w:p>
          <w:p w:rsidR="00171E3B" w:rsidRPr="00E54F41" w:rsidRDefault="00171E3B" w:rsidP="00171E3B">
            <w:pPr>
              <w:tabs>
                <w:tab w:val="left" w:pos="-1440"/>
                <w:tab w:val="left" w:pos="-720"/>
              </w:tabs>
              <w:rPr>
                <w:sz w:val="20"/>
                <w:szCs w:val="20"/>
                <w:lang w:val="fr-CA"/>
              </w:rPr>
            </w:pPr>
          </w:p>
          <w:p w:rsidR="00171E3B" w:rsidRPr="00E54F41" w:rsidRDefault="00171E3B" w:rsidP="00171E3B">
            <w:pPr>
              <w:tabs>
                <w:tab w:val="left" w:pos="-1440"/>
                <w:tab w:val="left" w:pos="-720"/>
              </w:tabs>
              <w:rPr>
                <w:b/>
                <w:sz w:val="20"/>
                <w:szCs w:val="20"/>
                <w:lang w:val="fr-CA"/>
              </w:rPr>
            </w:pPr>
            <w:r w:rsidRPr="00E54F41">
              <w:rPr>
                <w:b/>
                <w:sz w:val="20"/>
                <w:szCs w:val="20"/>
                <w:lang w:val="fr-CA"/>
              </w:rPr>
              <w:t xml:space="preserve">L’institut professionnel de la </w:t>
            </w:r>
            <w:proofErr w:type="spellStart"/>
            <w:r w:rsidRPr="00E54F41">
              <w:rPr>
                <w:b/>
                <w:sz w:val="20"/>
                <w:szCs w:val="20"/>
                <w:lang w:val="fr-CA"/>
              </w:rPr>
              <w:t>function</w:t>
            </w:r>
            <w:proofErr w:type="spellEnd"/>
            <w:r w:rsidRPr="00E54F41">
              <w:rPr>
                <w:b/>
                <w:sz w:val="20"/>
                <w:szCs w:val="20"/>
                <w:lang w:val="fr-CA"/>
              </w:rPr>
              <w:t xml:space="preserve"> publique du Canada  (</w:t>
            </w:r>
            <w:r w:rsidR="00AD35D6" w:rsidRPr="00E54F41">
              <w:rPr>
                <w:b/>
                <w:sz w:val="20"/>
                <w:szCs w:val="20"/>
                <w:lang w:val="fr-CA"/>
              </w:rPr>
              <w:t>Qc</w:t>
            </w:r>
            <w:r w:rsidRPr="00E54F41">
              <w:rPr>
                <w:b/>
                <w:sz w:val="20"/>
                <w:szCs w:val="20"/>
                <w:lang w:val="fr-CA"/>
              </w:rPr>
              <w:t>)</w:t>
            </w:r>
          </w:p>
          <w:p w:rsidR="00171E3B" w:rsidRPr="00E54F41" w:rsidRDefault="00171E3B" w:rsidP="00171E3B">
            <w:pPr>
              <w:tabs>
                <w:tab w:val="left" w:pos="-1440"/>
                <w:tab w:val="left" w:pos="-720"/>
              </w:tabs>
              <w:rPr>
                <w:sz w:val="20"/>
                <w:szCs w:val="20"/>
                <w:lang w:val="fr-CA"/>
              </w:rPr>
            </w:pPr>
            <w:r w:rsidRPr="00E54F41">
              <w:rPr>
                <w:sz w:val="20"/>
                <w:szCs w:val="20"/>
                <w:lang w:val="fr-CA"/>
              </w:rPr>
              <w:tab/>
              <w:t xml:space="preserve">Louis Coallier </w:t>
            </w:r>
          </w:p>
          <w:p w:rsidR="00171E3B" w:rsidRPr="00E54F41" w:rsidRDefault="00171E3B" w:rsidP="00171E3B">
            <w:pPr>
              <w:tabs>
                <w:tab w:val="left" w:pos="-1440"/>
                <w:tab w:val="left" w:pos="-720"/>
              </w:tabs>
              <w:rPr>
                <w:sz w:val="20"/>
                <w:szCs w:val="20"/>
                <w:lang w:val="fr-CA"/>
              </w:rPr>
            </w:pPr>
            <w:r w:rsidRPr="00E54F41">
              <w:rPr>
                <w:sz w:val="20"/>
                <w:szCs w:val="20"/>
                <w:lang w:val="fr-CA"/>
              </w:rPr>
              <w:tab/>
              <w:t>Dufresne Hébert Comeau</w:t>
            </w:r>
          </w:p>
          <w:p w:rsidR="00171E3B" w:rsidRPr="00E54F41" w:rsidRDefault="00171E3B" w:rsidP="00171E3B">
            <w:pPr>
              <w:tabs>
                <w:tab w:val="left" w:pos="-1440"/>
                <w:tab w:val="left" w:pos="-720"/>
              </w:tabs>
              <w:rPr>
                <w:sz w:val="20"/>
                <w:szCs w:val="20"/>
                <w:lang w:val="fr-CA"/>
              </w:rPr>
            </w:pPr>
          </w:p>
          <w:p w:rsidR="00171E3B" w:rsidRPr="00E54F41" w:rsidRDefault="00771EBF" w:rsidP="00171E3B">
            <w:pPr>
              <w:rPr>
                <w:sz w:val="20"/>
                <w:szCs w:val="20"/>
                <w:lang w:val="fr-CA"/>
              </w:rPr>
            </w:pPr>
            <w:r w:rsidRPr="00E54F41">
              <w:rPr>
                <w:sz w:val="20"/>
                <w:szCs w:val="20"/>
                <w:lang w:val="fr-CA"/>
              </w:rPr>
              <w:t>DATE DE PRODUCTION</w:t>
            </w:r>
            <w:r w:rsidR="00171E3B" w:rsidRPr="00E54F41">
              <w:rPr>
                <w:sz w:val="20"/>
                <w:szCs w:val="20"/>
                <w:lang w:val="fr-CA"/>
              </w:rPr>
              <w:t>: 14.11.2016</w:t>
            </w:r>
          </w:p>
          <w:p w:rsidR="00D45218" w:rsidRPr="00E54F41" w:rsidRDefault="00B904CB" w:rsidP="00171E3B">
            <w:pPr>
              <w:keepNext/>
              <w:keepLines/>
              <w:tabs>
                <w:tab w:val="left" w:pos="-1440"/>
                <w:tab w:val="left" w:pos="-720"/>
              </w:tabs>
              <w:rPr>
                <w:sz w:val="20"/>
                <w:szCs w:val="20"/>
              </w:rPr>
            </w:pPr>
            <w:r>
              <w:rPr>
                <w:sz w:val="20"/>
                <w:szCs w:val="20"/>
                <w:lang w:val="fr-CA"/>
              </w:rPr>
              <w:pict>
                <v:rect id="_x0000_i1034" style="width:108pt;height:1pt" o:hrpct="0" o:hralign="center" o:hrstd="t" o:hrnoshade="t" o:hr="t" fillcolor="black [3213]" stroked="f"/>
              </w:pict>
            </w:r>
          </w:p>
        </w:tc>
      </w:tr>
    </w:tbl>
    <w:p w:rsidR="000F6A39" w:rsidRPr="00E54F41" w:rsidRDefault="000F6A39" w:rsidP="000F6A39">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DF7A75" w:rsidRPr="00E54F41" w:rsidTr="00803F31">
        <w:tc>
          <w:tcPr>
            <w:tcW w:w="4320" w:type="dxa"/>
            <w:shd w:val="clear" w:color="auto" w:fill="auto"/>
          </w:tcPr>
          <w:p w:rsidR="00DF7A75" w:rsidRPr="00E54F41" w:rsidRDefault="00DF7A75" w:rsidP="00803F31">
            <w:pPr>
              <w:tabs>
                <w:tab w:val="left" w:pos="-1440"/>
                <w:tab w:val="left" w:pos="-720"/>
              </w:tabs>
              <w:rPr>
                <w:sz w:val="20"/>
                <w:szCs w:val="20"/>
              </w:rPr>
            </w:pPr>
            <w:r w:rsidRPr="00E54F41">
              <w:rPr>
                <w:b/>
                <w:sz w:val="20"/>
                <w:szCs w:val="20"/>
              </w:rPr>
              <w:t>Delta Air Lines Inc.</w:t>
            </w:r>
          </w:p>
          <w:p w:rsidR="00DF7A75" w:rsidRPr="00E54F41" w:rsidRDefault="00DF7A75" w:rsidP="00803F31">
            <w:pPr>
              <w:tabs>
                <w:tab w:val="left" w:pos="-1440"/>
                <w:tab w:val="left" w:pos="-720"/>
              </w:tabs>
              <w:ind w:firstLine="720"/>
              <w:rPr>
                <w:sz w:val="20"/>
                <w:szCs w:val="20"/>
              </w:rPr>
            </w:pPr>
            <w:r w:rsidRPr="00E54F41">
              <w:rPr>
                <w:sz w:val="20"/>
                <w:szCs w:val="20"/>
              </w:rPr>
              <w:t>Carlos P. Martins</w:t>
            </w:r>
          </w:p>
          <w:p w:rsidR="00DF7A75" w:rsidRPr="00E54F41" w:rsidRDefault="00DF7A75" w:rsidP="00DF7A75">
            <w:pPr>
              <w:tabs>
                <w:tab w:val="left" w:pos="-1440"/>
                <w:tab w:val="left" w:pos="-720"/>
              </w:tabs>
              <w:ind w:firstLine="720"/>
              <w:rPr>
                <w:sz w:val="20"/>
                <w:szCs w:val="20"/>
              </w:rPr>
            </w:pPr>
            <w:proofErr w:type="spellStart"/>
            <w:r w:rsidRPr="00E54F41">
              <w:rPr>
                <w:sz w:val="20"/>
                <w:szCs w:val="20"/>
              </w:rPr>
              <w:t>Bersenas</w:t>
            </w:r>
            <w:proofErr w:type="spellEnd"/>
            <w:r w:rsidRPr="00E54F41">
              <w:rPr>
                <w:sz w:val="20"/>
                <w:szCs w:val="20"/>
              </w:rPr>
              <w:t xml:space="preserve"> Jacobsen </w:t>
            </w:r>
            <w:proofErr w:type="spellStart"/>
            <w:r w:rsidRPr="00E54F41">
              <w:rPr>
                <w:sz w:val="20"/>
                <w:szCs w:val="20"/>
              </w:rPr>
              <w:t>Chouest</w:t>
            </w:r>
            <w:proofErr w:type="spellEnd"/>
            <w:r w:rsidRPr="00E54F41">
              <w:rPr>
                <w:sz w:val="20"/>
                <w:szCs w:val="20"/>
              </w:rPr>
              <w:t xml:space="preserve"> Thomson </w:t>
            </w:r>
          </w:p>
          <w:p w:rsidR="00DF7A75" w:rsidRPr="00E54F41" w:rsidRDefault="00DF7A75" w:rsidP="00DF7A75">
            <w:pPr>
              <w:tabs>
                <w:tab w:val="left" w:pos="-1440"/>
                <w:tab w:val="left" w:pos="-720"/>
              </w:tabs>
              <w:ind w:firstLine="720"/>
              <w:rPr>
                <w:sz w:val="20"/>
                <w:szCs w:val="20"/>
              </w:rPr>
            </w:pPr>
            <w:r w:rsidRPr="00E54F41">
              <w:rPr>
                <w:sz w:val="20"/>
                <w:szCs w:val="20"/>
              </w:rPr>
              <w:t>Blackburn LLP</w:t>
            </w:r>
          </w:p>
          <w:p w:rsidR="00DF7A75" w:rsidRPr="00E54F41" w:rsidRDefault="00DF7A75" w:rsidP="00803F31">
            <w:pPr>
              <w:tabs>
                <w:tab w:val="left" w:pos="-1440"/>
                <w:tab w:val="left" w:pos="-720"/>
              </w:tabs>
              <w:ind w:firstLine="720"/>
              <w:rPr>
                <w:sz w:val="20"/>
                <w:szCs w:val="20"/>
              </w:rPr>
            </w:pPr>
          </w:p>
          <w:p w:rsidR="00DF7A75" w:rsidRPr="00E54F41" w:rsidRDefault="00DF7A75" w:rsidP="00803F31">
            <w:pPr>
              <w:tabs>
                <w:tab w:val="left" w:pos="-1440"/>
                <w:tab w:val="left" w:pos="-720"/>
              </w:tabs>
              <w:rPr>
                <w:sz w:val="20"/>
                <w:szCs w:val="20"/>
              </w:rPr>
            </w:pPr>
            <w:r w:rsidRPr="00E54F41">
              <w:rPr>
                <w:sz w:val="20"/>
                <w:szCs w:val="20"/>
              </w:rPr>
              <w:tab/>
              <w:t>v. (37276)</w:t>
            </w:r>
          </w:p>
          <w:p w:rsidR="00DF7A75" w:rsidRPr="00E54F41" w:rsidRDefault="00DF7A75" w:rsidP="00803F31">
            <w:pPr>
              <w:tabs>
                <w:tab w:val="left" w:pos="-1440"/>
                <w:tab w:val="left" w:pos="-720"/>
              </w:tabs>
              <w:rPr>
                <w:sz w:val="20"/>
                <w:szCs w:val="20"/>
              </w:rPr>
            </w:pPr>
          </w:p>
          <w:p w:rsidR="00DF7A75" w:rsidRPr="00E54F41" w:rsidRDefault="00DF7A75" w:rsidP="00803F31">
            <w:pPr>
              <w:tabs>
                <w:tab w:val="left" w:pos="-1440"/>
                <w:tab w:val="left" w:pos="-720"/>
              </w:tabs>
              <w:rPr>
                <w:b/>
                <w:sz w:val="20"/>
                <w:szCs w:val="20"/>
              </w:rPr>
            </w:pPr>
            <w:proofErr w:type="spellStart"/>
            <w:r w:rsidRPr="00E54F41">
              <w:rPr>
                <w:b/>
                <w:sz w:val="20"/>
                <w:szCs w:val="20"/>
              </w:rPr>
              <w:t>G</w:t>
            </w:r>
            <w:r w:rsidRPr="00E54F41">
              <w:rPr>
                <w:rFonts w:cs="Times New Roman"/>
                <w:b/>
                <w:sz w:val="20"/>
                <w:szCs w:val="20"/>
              </w:rPr>
              <w:t>á</w:t>
            </w:r>
            <w:r w:rsidRPr="00E54F41">
              <w:rPr>
                <w:b/>
                <w:sz w:val="20"/>
                <w:szCs w:val="20"/>
              </w:rPr>
              <w:t>bor</w:t>
            </w:r>
            <w:proofErr w:type="spellEnd"/>
            <w:r w:rsidRPr="00E54F41">
              <w:rPr>
                <w:b/>
                <w:sz w:val="20"/>
                <w:szCs w:val="20"/>
              </w:rPr>
              <w:t xml:space="preserve"> </w:t>
            </w:r>
            <w:proofErr w:type="spellStart"/>
            <w:r w:rsidRPr="00E54F41">
              <w:rPr>
                <w:b/>
                <w:sz w:val="20"/>
                <w:szCs w:val="20"/>
              </w:rPr>
              <w:t>Luk</w:t>
            </w:r>
            <w:r w:rsidRPr="00E54F41">
              <w:rPr>
                <w:rFonts w:cs="Times New Roman"/>
                <w:b/>
                <w:sz w:val="20"/>
                <w:szCs w:val="20"/>
              </w:rPr>
              <w:t>ács</w:t>
            </w:r>
            <w:proofErr w:type="spellEnd"/>
            <w:r w:rsidRPr="00E54F41">
              <w:rPr>
                <w:b/>
                <w:sz w:val="20"/>
                <w:szCs w:val="20"/>
              </w:rPr>
              <w:t xml:space="preserve"> (</w:t>
            </w:r>
            <w:r w:rsidR="000040F0" w:rsidRPr="00E54F41">
              <w:rPr>
                <w:b/>
                <w:sz w:val="20"/>
                <w:szCs w:val="20"/>
              </w:rPr>
              <w:t>F</w:t>
            </w:r>
            <w:r w:rsidR="00AD35D6" w:rsidRPr="00E54F41">
              <w:rPr>
                <w:b/>
                <w:sz w:val="20"/>
                <w:szCs w:val="20"/>
              </w:rPr>
              <w:t>.</w:t>
            </w:r>
            <w:r w:rsidR="000040F0" w:rsidRPr="00E54F41">
              <w:rPr>
                <w:b/>
                <w:sz w:val="20"/>
                <w:szCs w:val="20"/>
              </w:rPr>
              <w:t>C</w:t>
            </w:r>
            <w:r w:rsidRPr="00E54F41">
              <w:rPr>
                <w:b/>
                <w:sz w:val="20"/>
                <w:szCs w:val="20"/>
              </w:rPr>
              <w:t>.)</w:t>
            </w:r>
          </w:p>
          <w:p w:rsidR="00DF7A75" w:rsidRPr="00E54F41" w:rsidRDefault="00DF7A75" w:rsidP="00803F31">
            <w:pPr>
              <w:tabs>
                <w:tab w:val="left" w:pos="-1440"/>
                <w:tab w:val="left" w:pos="-720"/>
              </w:tabs>
              <w:rPr>
                <w:sz w:val="20"/>
                <w:szCs w:val="20"/>
              </w:rPr>
            </w:pPr>
            <w:r w:rsidRPr="00E54F41">
              <w:rPr>
                <w:sz w:val="20"/>
                <w:szCs w:val="20"/>
              </w:rPr>
              <w:tab/>
            </w:r>
            <w:proofErr w:type="spellStart"/>
            <w:r w:rsidRPr="00E54F41">
              <w:rPr>
                <w:sz w:val="20"/>
                <w:szCs w:val="20"/>
              </w:rPr>
              <w:t>G</w:t>
            </w:r>
            <w:r w:rsidRPr="00E54F41">
              <w:rPr>
                <w:rFonts w:cs="Times New Roman"/>
                <w:sz w:val="20"/>
                <w:szCs w:val="20"/>
              </w:rPr>
              <w:t>á</w:t>
            </w:r>
            <w:r w:rsidRPr="00E54F41">
              <w:rPr>
                <w:sz w:val="20"/>
                <w:szCs w:val="20"/>
              </w:rPr>
              <w:t>bor</w:t>
            </w:r>
            <w:proofErr w:type="spellEnd"/>
            <w:r w:rsidRPr="00E54F41">
              <w:rPr>
                <w:sz w:val="20"/>
                <w:szCs w:val="20"/>
              </w:rPr>
              <w:t xml:space="preserve"> </w:t>
            </w:r>
            <w:proofErr w:type="spellStart"/>
            <w:r w:rsidRPr="00E54F41">
              <w:rPr>
                <w:sz w:val="20"/>
                <w:szCs w:val="20"/>
              </w:rPr>
              <w:t>Luk</w:t>
            </w:r>
            <w:r w:rsidRPr="00E54F41">
              <w:rPr>
                <w:rFonts w:cs="Times New Roman"/>
                <w:sz w:val="20"/>
                <w:szCs w:val="20"/>
              </w:rPr>
              <w:t>ács</w:t>
            </w:r>
            <w:proofErr w:type="spellEnd"/>
          </w:p>
          <w:p w:rsidR="00DF7A75" w:rsidRPr="00E54F41" w:rsidRDefault="00DF7A75" w:rsidP="00803F31">
            <w:pPr>
              <w:tabs>
                <w:tab w:val="left" w:pos="-1440"/>
                <w:tab w:val="left" w:pos="-720"/>
              </w:tabs>
              <w:rPr>
                <w:sz w:val="20"/>
                <w:szCs w:val="20"/>
              </w:rPr>
            </w:pPr>
            <w:r w:rsidRPr="00E54F41">
              <w:rPr>
                <w:sz w:val="20"/>
                <w:szCs w:val="20"/>
              </w:rPr>
              <w:tab/>
            </w:r>
          </w:p>
          <w:p w:rsidR="00DF7A75" w:rsidRPr="00E54F41" w:rsidRDefault="00DF7A75" w:rsidP="00803F31">
            <w:pPr>
              <w:rPr>
                <w:sz w:val="20"/>
                <w:szCs w:val="20"/>
              </w:rPr>
            </w:pPr>
            <w:r w:rsidRPr="00E54F41">
              <w:rPr>
                <w:sz w:val="20"/>
                <w:szCs w:val="20"/>
              </w:rPr>
              <w:t>FILING DATE: 07.11.2016</w:t>
            </w:r>
          </w:p>
          <w:p w:rsidR="00DF7A75" w:rsidRPr="00E54F41" w:rsidRDefault="00B904CB" w:rsidP="00803F31">
            <w:pPr>
              <w:rPr>
                <w:b/>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DF7A75" w:rsidRPr="00E54F41" w:rsidRDefault="00DF7A75"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tc>
        <w:tc>
          <w:tcPr>
            <w:tcW w:w="4320" w:type="dxa"/>
            <w:shd w:val="clear" w:color="auto" w:fill="auto"/>
          </w:tcPr>
          <w:p w:rsidR="00DF7A75" w:rsidRPr="00E54F41" w:rsidRDefault="008F47EA" w:rsidP="00803F31">
            <w:pPr>
              <w:tabs>
                <w:tab w:val="left" w:pos="-1440"/>
                <w:tab w:val="left" w:pos="-720"/>
              </w:tabs>
              <w:rPr>
                <w:sz w:val="20"/>
                <w:szCs w:val="20"/>
              </w:rPr>
            </w:pPr>
            <w:r w:rsidRPr="00E54F41">
              <w:rPr>
                <w:b/>
                <w:sz w:val="20"/>
                <w:szCs w:val="20"/>
              </w:rPr>
              <w:t xml:space="preserve">United Steel, Paper and Forestry, Rubber, Manufacturing, Energy, Allied Industrial and Service Workers, International Union (USW) USW Local 8782 et al. </w:t>
            </w:r>
          </w:p>
          <w:p w:rsidR="00DF7A75" w:rsidRPr="00E54F41" w:rsidRDefault="008F47EA" w:rsidP="00803F31">
            <w:pPr>
              <w:tabs>
                <w:tab w:val="left" w:pos="-1440"/>
                <w:tab w:val="left" w:pos="-720"/>
              </w:tabs>
              <w:ind w:firstLine="720"/>
              <w:rPr>
                <w:sz w:val="20"/>
                <w:szCs w:val="20"/>
              </w:rPr>
            </w:pPr>
            <w:r w:rsidRPr="00E54F41">
              <w:rPr>
                <w:sz w:val="20"/>
                <w:szCs w:val="20"/>
              </w:rPr>
              <w:t xml:space="preserve">Gordon </w:t>
            </w:r>
            <w:proofErr w:type="spellStart"/>
            <w:r w:rsidRPr="00E54F41">
              <w:rPr>
                <w:sz w:val="20"/>
                <w:szCs w:val="20"/>
              </w:rPr>
              <w:t>Capern</w:t>
            </w:r>
            <w:proofErr w:type="spellEnd"/>
          </w:p>
          <w:p w:rsidR="00DF7A75" w:rsidRPr="00E54F41" w:rsidRDefault="008F47EA" w:rsidP="00803F31">
            <w:pPr>
              <w:tabs>
                <w:tab w:val="left" w:pos="-1440"/>
                <w:tab w:val="left" w:pos="-720"/>
              </w:tabs>
              <w:ind w:firstLine="720"/>
              <w:rPr>
                <w:sz w:val="20"/>
                <w:szCs w:val="20"/>
              </w:rPr>
            </w:pPr>
            <w:proofErr w:type="spellStart"/>
            <w:r w:rsidRPr="00E54F41">
              <w:rPr>
                <w:sz w:val="20"/>
                <w:szCs w:val="20"/>
              </w:rPr>
              <w:t>Paliare</w:t>
            </w:r>
            <w:proofErr w:type="spellEnd"/>
            <w:r w:rsidRPr="00E54F41">
              <w:rPr>
                <w:sz w:val="20"/>
                <w:szCs w:val="20"/>
              </w:rPr>
              <w:t xml:space="preserve"> Roland Rosenberg Rothstein LLP</w:t>
            </w:r>
          </w:p>
          <w:p w:rsidR="00DF7A75" w:rsidRPr="00E54F41" w:rsidRDefault="00DF7A75" w:rsidP="00803F31">
            <w:pPr>
              <w:tabs>
                <w:tab w:val="left" w:pos="-1440"/>
                <w:tab w:val="left" w:pos="-720"/>
              </w:tabs>
              <w:ind w:firstLine="720"/>
              <w:rPr>
                <w:sz w:val="20"/>
                <w:szCs w:val="20"/>
              </w:rPr>
            </w:pPr>
          </w:p>
          <w:p w:rsidR="00DF7A75" w:rsidRPr="00E54F41" w:rsidRDefault="00DF7A75" w:rsidP="00803F31">
            <w:pPr>
              <w:tabs>
                <w:tab w:val="left" w:pos="-1440"/>
                <w:tab w:val="left" w:pos="-720"/>
              </w:tabs>
              <w:rPr>
                <w:sz w:val="20"/>
                <w:szCs w:val="20"/>
              </w:rPr>
            </w:pPr>
            <w:r w:rsidRPr="00E54F41">
              <w:rPr>
                <w:sz w:val="20"/>
                <w:szCs w:val="20"/>
              </w:rPr>
              <w:tab/>
            </w:r>
            <w:r w:rsidR="008F47EA" w:rsidRPr="00E54F41">
              <w:rPr>
                <w:sz w:val="20"/>
                <w:szCs w:val="20"/>
              </w:rPr>
              <w:t>v</w:t>
            </w:r>
            <w:r w:rsidRPr="00E54F41">
              <w:rPr>
                <w:sz w:val="20"/>
                <w:szCs w:val="20"/>
              </w:rPr>
              <w:t>. (</w:t>
            </w:r>
            <w:r w:rsidR="008F47EA" w:rsidRPr="00E54F41">
              <w:rPr>
                <w:sz w:val="20"/>
                <w:szCs w:val="20"/>
              </w:rPr>
              <w:t>37284</w:t>
            </w:r>
            <w:r w:rsidRPr="00E54F41">
              <w:rPr>
                <w:sz w:val="20"/>
                <w:szCs w:val="20"/>
              </w:rPr>
              <w:t>)</w:t>
            </w:r>
          </w:p>
          <w:p w:rsidR="00DF7A75" w:rsidRPr="00E54F41" w:rsidRDefault="00DF7A75" w:rsidP="00803F31">
            <w:pPr>
              <w:tabs>
                <w:tab w:val="left" w:pos="-1440"/>
                <w:tab w:val="left" w:pos="-720"/>
              </w:tabs>
              <w:rPr>
                <w:sz w:val="20"/>
                <w:szCs w:val="20"/>
              </w:rPr>
            </w:pPr>
          </w:p>
          <w:p w:rsidR="00DF7A75" w:rsidRPr="00E54F41" w:rsidRDefault="008F47EA" w:rsidP="00803F31">
            <w:pPr>
              <w:tabs>
                <w:tab w:val="left" w:pos="-1440"/>
                <w:tab w:val="left" w:pos="-720"/>
              </w:tabs>
              <w:rPr>
                <w:b/>
                <w:sz w:val="20"/>
                <w:szCs w:val="20"/>
              </w:rPr>
            </w:pPr>
            <w:r w:rsidRPr="00E54F41">
              <w:rPr>
                <w:b/>
                <w:sz w:val="20"/>
                <w:szCs w:val="20"/>
              </w:rPr>
              <w:t xml:space="preserve">U.S. Steel Canada Inc. </w:t>
            </w:r>
            <w:r w:rsidR="00AD35D6" w:rsidRPr="00E54F41">
              <w:rPr>
                <w:b/>
                <w:sz w:val="20"/>
                <w:szCs w:val="20"/>
              </w:rPr>
              <w:t>e</w:t>
            </w:r>
            <w:r w:rsidRPr="00E54F41">
              <w:rPr>
                <w:b/>
                <w:sz w:val="20"/>
                <w:szCs w:val="20"/>
              </w:rPr>
              <w:t xml:space="preserve">t al. </w:t>
            </w:r>
            <w:r w:rsidR="00DF7A75" w:rsidRPr="00E54F41">
              <w:rPr>
                <w:b/>
                <w:sz w:val="20"/>
                <w:szCs w:val="20"/>
              </w:rPr>
              <w:t>(Ont.)</w:t>
            </w:r>
          </w:p>
          <w:p w:rsidR="00DF7A75" w:rsidRPr="00E54F41" w:rsidRDefault="00DF7A75" w:rsidP="00803F31">
            <w:pPr>
              <w:tabs>
                <w:tab w:val="left" w:pos="-1440"/>
                <w:tab w:val="left" w:pos="-720"/>
              </w:tabs>
              <w:rPr>
                <w:sz w:val="20"/>
                <w:szCs w:val="20"/>
              </w:rPr>
            </w:pPr>
            <w:r w:rsidRPr="00E54F41">
              <w:rPr>
                <w:sz w:val="20"/>
                <w:szCs w:val="20"/>
              </w:rPr>
              <w:tab/>
            </w:r>
            <w:r w:rsidR="008F47EA" w:rsidRPr="00E54F41">
              <w:rPr>
                <w:sz w:val="20"/>
                <w:szCs w:val="20"/>
              </w:rPr>
              <w:t>Paul R. Steep</w:t>
            </w:r>
            <w:r w:rsidRPr="00E54F41">
              <w:rPr>
                <w:sz w:val="20"/>
                <w:szCs w:val="20"/>
              </w:rPr>
              <w:t xml:space="preserve"> </w:t>
            </w:r>
          </w:p>
          <w:p w:rsidR="00DF7A75" w:rsidRPr="00E54F41" w:rsidRDefault="00DF7A75" w:rsidP="00803F31">
            <w:pPr>
              <w:tabs>
                <w:tab w:val="left" w:pos="-1440"/>
                <w:tab w:val="left" w:pos="-720"/>
              </w:tabs>
              <w:rPr>
                <w:sz w:val="20"/>
                <w:szCs w:val="20"/>
              </w:rPr>
            </w:pPr>
            <w:r w:rsidRPr="00E54F41">
              <w:rPr>
                <w:sz w:val="20"/>
                <w:szCs w:val="20"/>
              </w:rPr>
              <w:tab/>
            </w:r>
            <w:r w:rsidR="008F47EA" w:rsidRPr="00E54F41">
              <w:rPr>
                <w:sz w:val="20"/>
                <w:szCs w:val="20"/>
              </w:rPr>
              <w:t xml:space="preserve">McCarthy </w:t>
            </w:r>
            <w:proofErr w:type="spellStart"/>
            <w:r w:rsidR="008F47EA" w:rsidRPr="00E54F41">
              <w:rPr>
                <w:sz w:val="20"/>
                <w:szCs w:val="20"/>
              </w:rPr>
              <w:t>Tétrault</w:t>
            </w:r>
            <w:proofErr w:type="spellEnd"/>
            <w:r w:rsidR="008F47EA" w:rsidRPr="00E54F41">
              <w:rPr>
                <w:sz w:val="20"/>
                <w:szCs w:val="20"/>
              </w:rPr>
              <w:t xml:space="preserve"> LLP</w:t>
            </w:r>
          </w:p>
          <w:p w:rsidR="00DF7A75" w:rsidRPr="00E54F41" w:rsidRDefault="00DF7A75" w:rsidP="00803F31">
            <w:pPr>
              <w:tabs>
                <w:tab w:val="left" w:pos="-1440"/>
                <w:tab w:val="left" w:pos="-720"/>
              </w:tabs>
              <w:rPr>
                <w:sz w:val="20"/>
                <w:szCs w:val="20"/>
              </w:rPr>
            </w:pPr>
          </w:p>
          <w:p w:rsidR="00DF7A75" w:rsidRPr="00E54F41" w:rsidRDefault="008F47EA" w:rsidP="00803F31">
            <w:pPr>
              <w:rPr>
                <w:sz w:val="20"/>
                <w:szCs w:val="20"/>
              </w:rPr>
            </w:pPr>
            <w:r w:rsidRPr="00E54F41">
              <w:rPr>
                <w:sz w:val="20"/>
                <w:szCs w:val="20"/>
              </w:rPr>
              <w:t>FILING DATE</w:t>
            </w:r>
            <w:r w:rsidR="00DF7A75" w:rsidRPr="00E54F41">
              <w:rPr>
                <w:sz w:val="20"/>
                <w:szCs w:val="20"/>
              </w:rPr>
              <w:t xml:space="preserve">: </w:t>
            </w:r>
            <w:r w:rsidRPr="00E54F41">
              <w:rPr>
                <w:sz w:val="20"/>
                <w:szCs w:val="20"/>
              </w:rPr>
              <w:t>08</w:t>
            </w:r>
            <w:r w:rsidR="00DF7A75" w:rsidRPr="00E54F41">
              <w:rPr>
                <w:sz w:val="20"/>
                <w:szCs w:val="20"/>
              </w:rPr>
              <w:t>.11.2016</w:t>
            </w:r>
          </w:p>
          <w:p w:rsidR="00DF7A75" w:rsidRPr="00E54F41" w:rsidRDefault="00B904CB" w:rsidP="00803F31">
            <w:pPr>
              <w:keepNext/>
              <w:keepLines/>
              <w:tabs>
                <w:tab w:val="left" w:pos="-1440"/>
                <w:tab w:val="left" w:pos="-720"/>
              </w:tabs>
              <w:rPr>
                <w:sz w:val="20"/>
                <w:szCs w:val="20"/>
                <w:lang w:val="fr-CA"/>
              </w:rPr>
            </w:pPr>
            <w:r>
              <w:rPr>
                <w:sz w:val="20"/>
                <w:szCs w:val="20"/>
                <w:lang w:val="fr-CA"/>
              </w:rPr>
              <w:pict>
                <v:rect id="_x0000_i1036" style="width:108pt;height:1pt" o:hrpct="0" o:hralign="center" o:hrstd="t" o:hrnoshade="t" o:hr="t" fillcolor="black [3213]" stroked="f"/>
              </w:pict>
            </w:r>
          </w:p>
        </w:tc>
      </w:tr>
    </w:tbl>
    <w:p w:rsidR="0018244C" w:rsidRPr="00E54F41" w:rsidRDefault="0018244C">
      <w:r w:rsidRPr="00E54F41">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F47EA" w:rsidRPr="00E54F41" w:rsidTr="00803F31">
        <w:tc>
          <w:tcPr>
            <w:tcW w:w="4320" w:type="dxa"/>
            <w:shd w:val="clear" w:color="auto" w:fill="auto"/>
          </w:tcPr>
          <w:p w:rsidR="008F47EA" w:rsidRPr="00E54F41" w:rsidRDefault="008F47EA" w:rsidP="00803F31">
            <w:pPr>
              <w:tabs>
                <w:tab w:val="left" w:pos="-1440"/>
                <w:tab w:val="left" w:pos="-720"/>
              </w:tabs>
              <w:rPr>
                <w:sz w:val="20"/>
                <w:szCs w:val="20"/>
              </w:rPr>
            </w:pPr>
            <w:r w:rsidRPr="00E54F41">
              <w:rPr>
                <w:b/>
                <w:sz w:val="20"/>
                <w:szCs w:val="20"/>
              </w:rPr>
              <w:lastRenderedPageBreak/>
              <w:t>Patrick Joseph Burns et al.</w:t>
            </w:r>
          </w:p>
          <w:p w:rsidR="008F47EA" w:rsidRPr="00E54F41" w:rsidRDefault="008F47EA" w:rsidP="00803F31">
            <w:pPr>
              <w:tabs>
                <w:tab w:val="left" w:pos="-1440"/>
                <w:tab w:val="left" w:pos="-720"/>
              </w:tabs>
              <w:ind w:firstLine="720"/>
              <w:rPr>
                <w:sz w:val="20"/>
                <w:szCs w:val="20"/>
              </w:rPr>
            </w:pPr>
            <w:r w:rsidRPr="00E54F41">
              <w:rPr>
                <w:sz w:val="20"/>
                <w:szCs w:val="20"/>
              </w:rPr>
              <w:t>Bradley W. Dixon</w:t>
            </w:r>
          </w:p>
          <w:p w:rsidR="008F47EA" w:rsidRPr="00E54F41" w:rsidRDefault="008F47EA" w:rsidP="00803F31">
            <w:pPr>
              <w:tabs>
                <w:tab w:val="left" w:pos="-1440"/>
                <w:tab w:val="left" w:pos="-720"/>
              </w:tabs>
              <w:ind w:firstLine="720"/>
              <w:rPr>
                <w:sz w:val="20"/>
                <w:szCs w:val="20"/>
              </w:rPr>
            </w:pPr>
            <w:r w:rsidRPr="00E54F41">
              <w:rPr>
                <w:sz w:val="20"/>
                <w:szCs w:val="20"/>
              </w:rPr>
              <w:t>Borden Ladner Gervais LLP</w:t>
            </w:r>
          </w:p>
          <w:p w:rsidR="008F47EA" w:rsidRPr="00E54F41" w:rsidRDefault="008F47EA" w:rsidP="00803F31">
            <w:pPr>
              <w:tabs>
                <w:tab w:val="left" w:pos="-1440"/>
                <w:tab w:val="left" w:pos="-720"/>
              </w:tabs>
              <w:ind w:firstLine="720"/>
              <w:rPr>
                <w:sz w:val="20"/>
                <w:szCs w:val="20"/>
              </w:rPr>
            </w:pPr>
          </w:p>
          <w:p w:rsidR="008F47EA" w:rsidRPr="00E54F41" w:rsidRDefault="008F47EA" w:rsidP="00803F31">
            <w:pPr>
              <w:tabs>
                <w:tab w:val="left" w:pos="-1440"/>
                <w:tab w:val="left" w:pos="-720"/>
              </w:tabs>
              <w:rPr>
                <w:sz w:val="20"/>
                <w:szCs w:val="20"/>
              </w:rPr>
            </w:pPr>
            <w:r w:rsidRPr="00E54F41">
              <w:rPr>
                <w:sz w:val="20"/>
                <w:szCs w:val="20"/>
              </w:rPr>
              <w:tab/>
              <w:t>v. (37286)</w:t>
            </w:r>
          </w:p>
          <w:p w:rsidR="008F47EA" w:rsidRPr="00E54F41" w:rsidRDefault="008F47EA" w:rsidP="00803F31">
            <w:pPr>
              <w:tabs>
                <w:tab w:val="left" w:pos="-1440"/>
                <w:tab w:val="left" w:pos="-720"/>
              </w:tabs>
              <w:rPr>
                <w:sz w:val="20"/>
                <w:szCs w:val="20"/>
              </w:rPr>
            </w:pPr>
          </w:p>
          <w:p w:rsidR="008F47EA" w:rsidRPr="00E54F41" w:rsidRDefault="008F47EA" w:rsidP="00803F31">
            <w:pPr>
              <w:tabs>
                <w:tab w:val="left" w:pos="-1440"/>
                <w:tab w:val="left" w:pos="-720"/>
              </w:tabs>
              <w:rPr>
                <w:b/>
                <w:sz w:val="20"/>
                <w:szCs w:val="20"/>
              </w:rPr>
            </w:pPr>
            <w:r w:rsidRPr="00E54F41">
              <w:rPr>
                <w:b/>
                <w:sz w:val="20"/>
                <w:szCs w:val="20"/>
              </w:rPr>
              <w:t xml:space="preserve">Homer Street Development Limited Partnership, formerly </w:t>
            </w:r>
            <w:proofErr w:type="spellStart"/>
            <w:r w:rsidRPr="00E54F41">
              <w:rPr>
                <w:b/>
                <w:sz w:val="20"/>
                <w:szCs w:val="20"/>
              </w:rPr>
              <w:t>Cressey</w:t>
            </w:r>
            <w:proofErr w:type="spellEnd"/>
            <w:r w:rsidRPr="00E54F41">
              <w:rPr>
                <w:b/>
                <w:sz w:val="20"/>
                <w:szCs w:val="20"/>
              </w:rPr>
              <w:t xml:space="preserve"> (Homer) Limited Partnership et al. (B.C.)</w:t>
            </w:r>
          </w:p>
          <w:p w:rsidR="008F47EA" w:rsidRPr="00E54F41" w:rsidRDefault="008F47EA" w:rsidP="00803F31">
            <w:pPr>
              <w:tabs>
                <w:tab w:val="left" w:pos="-1440"/>
                <w:tab w:val="left" w:pos="-720"/>
              </w:tabs>
              <w:rPr>
                <w:sz w:val="20"/>
                <w:szCs w:val="20"/>
                <w:lang w:val="fr-CA"/>
              </w:rPr>
            </w:pPr>
            <w:r w:rsidRPr="00E54F41">
              <w:rPr>
                <w:sz w:val="20"/>
                <w:szCs w:val="20"/>
              </w:rPr>
              <w:tab/>
            </w:r>
            <w:r w:rsidRPr="00E54F41">
              <w:rPr>
                <w:sz w:val="20"/>
                <w:szCs w:val="20"/>
                <w:lang w:val="fr-CA"/>
              </w:rPr>
              <w:t xml:space="preserve">Irwin G. </w:t>
            </w:r>
            <w:proofErr w:type="spellStart"/>
            <w:r w:rsidRPr="00E54F41">
              <w:rPr>
                <w:sz w:val="20"/>
                <w:szCs w:val="20"/>
                <w:lang w:val="fr-CA"/>
              </w:rPr>
              <w:t>Nathanson</w:t>
            </w:r>
            <w:proofErr w:type="spellEnd"/>
            <w:r w:rsidRPr="00E54F41">
              <w:rPr>
                <w:sz w:val="20"/>
                <w:szCs w:val="20"/>
                <w:lang w:val="fr-CA"/>
              </w:rPr>
              <w:t>, Q</w:t>
            </w:r>
            <w:r w:rsidR="002F6F8D" w:rsidRPr="00E54F41">
              <w:rPr>
                <w:sz w:val="20"/>
                <w:szCs w:val="20"/>
                <w:lang w:val="fr-CA"/>
              </w:rPr>
              <w:t>.</w:t>
            </w:r>
            <w:r w:rsidRPr="00E54F41">
              <w:rPr>
                <w:sz w:val="20"/>
                <w:szCs w:val="20"/>
                <w:lang w:val="fr-CA"/>
              </w:rPr>
              <w:t>C</w:t>
            </w:r>
            <w:r w:rsidR="002F6F8D" w:rsidRPr="00E54F41">
              <w:rPr>
                <w:sz w:val="20"/>
                <w:szCs w:val="20"/>
                <w:lang w:val="fr-CA"/>
              </w:rPr>
              <w:t>.</w:t>
            </w:r>
          </w:p>
          <w:p w:rsidR="008F47EA" w:rsidRPr="00E54F41" w:rsidRDefault="008F47EA" w:rsidP="00803F31">
            <w:pPr>
              <w:tabs>
                <w:tab w:val="left" w:pos="-1440"/>
                <w:tab w:val="left" w:pos="-720"/>
              </w:tabs>
              <w:rPr>
                <w:sz w:val="20"/>
                <w:szCs w:val="20"/>
                <w:lang w:val="fr-CA"/>
              </w:rPr>
            </w:pPr>
            <w:r w:rsidRPr="00E54F41">
              <w:rPr>
                <w:sz w:val="20"/>
                <w:szCs w:val="20"/>
                <w:lang w:val="fr-CA"/>
              </w:rPr>
              <w:tab/>
            </w:r>
            <w:proofErr w:type="spellStart"/>
            <w:r w:rsidRPr="00E54F41">
              <w:rPr>
                <w:sz w:val="20"/>
                <w:szCs w:val="20"/>
                <w:lang w:val="fr-CA"/>
              </w:rPr>
              <w:t>Nathanson</w:t>
            </w:r>
            <w:proofErr w:type="spellEnd"/>
            <w:r w:rsidRPr="00E54F41">
              <w:rPr>
                <w:sz w:val="20"/>
                <w:szCs w:val="20"/>
                <w:lang w:val="fr-CA"/>
              </w:rPr>
              <w:t xml:space="preserve">, </w:t>
            </w:r>
            <w:proofErr w:type="spellStart"/>
            <w:r w:rsidRPr="00E54F41">
              <w:rPr>
                <w:sz w:val="20"/>
                <w:szCs w:val="20"/>
                <w:lang w:val="fr-CA"/>
              </w:rPr>
              <w:t>Schachter</w:t>
            </w:r>
            <w:proofErr w:type="spellEnd"/>
            <w:r w:rsidRPr="00E54F41">
              <w:rPr>
                <w:sz w:val="20"/>
                <w:szCs w:val="20"/>
                <w:lang w:val="fr-CA"/>
              </w:rPr>
              <w:t xml:space="preserve"> &amp; Thom</w:t>
            </w:r>
            <w:r w:rsidR="00AD35D6" w:rsidRPr="00E54F41">
              <w:rPr>
                <w:sz w:val="20"/>
                <w:szCs w:val="20"/>
                <w:lang w:val="fr-CA"/>
              </w:rPr>
              <w:t>p</w:t>
            </w:r>
            <w:r w:rsidRPr="00E54F41">
              <w:rPr>
                <w:sz w:val="20"/>
                <w:szCs w:val="20"/>
                <w:lang w:val="fr-CA"/>
              </w:rPr>
              <w:t>son LLP</w:t>
            </w:r>
          </w:p>
          <w:p w:rsidR="008F47EA" w:rsidRPr="00E54F41" w:rsidRDefault="008F47EA" w:rsidP="00803F31">
            <w:pPr>
              <w:tabs>
                <w:tab w:val="left" w:pos="-1440"/>
                <w:tab w:val="left" w:pos="-720"/>
              </w:tabs>
              <w:rPr>
                <w:sz w:val="20"/>
                <w:szCs w:val="20"/>
                <w:lang w:val="fr-CA"/>
              </w:rPr>
            </w:pPr>
          </w:p>
          <w:p w:rsidR="008F47EA" w:rsidRPr="00E54F41" w:rsidRDefault="008F47EA" w:rsidP="00803F31">
            <w:pPr>
              <w:rPr>
                <w:sz w:val="20"/>
                <w:szCs w:val="20"/>
              </w:rPr>
            </w:pPr>
            <w:r w:rsidRPr="00E54F41">
              <w:rPr>
                <w:sz w:val="20"/>
                <w:szCs w:val="20"/>
              </w:rPr>
              <w:t>FILING DATE: 07.11.2016</w:t>
            </w:r>
          </w:p>
          <w:p w:rsidR="008F47EA" w:rsidRPr="00E54F41" w:rsidRDefault="00B904CB" w:rsidP="00803F31">
            <w:pPr>
              <w:rPr>
                <w:b/>
                <w:sz w:val="20"/>
                <w:szCs w:val="20"/>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8F47EA" w:rsidRPr="00E54F41" w:rsidRDefault="008F47EA"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tc>
        <w:tc>
          <w:tcPr>
            <w:tcW w:w="4320" w:type="dxa"/>
            <w:shd w:val="clear" w:color="auto" w:fill="auto"/>
          </w:tcPr>
          <w:p w:rsidR="008F47EA" w:rsidRPr="00E54F41" w:rsidRDefault="008F47EA" w:rsidP="00803F31">
            <w:pPr>
              <w:tabs>
                <w:tab w:val="left" w:pos="-1440"/>
                <w:tab w:val="left" w:pos="-720"/>
              </w:tabs>
              <w:rPr>
                <w:sz w:val="20"/>
                <w:szCs w:val="20"/>
              </w:rPr>
            </w:pPr>
            <w:proofErr w:type="spellStart"/>
            <w:r w:rsidRPr="00E54F41">
              <w:rPr>
                <w:b/>
                <w:sz w:val="20"/>
                <w:szCs w:val="20"/>
              </w:rPr>
              <w:t>Mitra</w:t>
            </w:r>
            <w:proofErr w:type="spellEnd"/>
            <w:r w:rsidRPr="00E54F41">
              <w:rPr>
                <w:b/>
                <w:sz w:val="20"/>
                <w:szCs w:val="20"/>
              </w:rPr>
              <w:t xml:space="preserve"> </w:t>
            </w:r>
            <w:proofErr w:type="spellStart"/>
            <w:r w:rsidRPr="00E54F41">
              <w:rPr>
                <w:b/>
                <w:sz w:val="20"/>
                <w:szCs w:val="20"/>
              </w:rPr>
              <w:t>Kermani</w:t>
            </w:r>
            <w:proofErr w:type="spellEnd"/>
          </w:p>
          <w:p w:rsidR="008F47EA" w:rsidRPr="00E54F41" w:rsidRDefault="008F47EA" w:rsidP="00803F31">
            <w:pPr>
              <w:tabs>
                <w:tab w:val="left" w:pos="-1440"/>
                <w:tab w:val="left" w:pos="-720"/>
              </w:tabs>
              <w:ind w:firstLine="720"/>
              <w:rPr>
                <w:sz w:val="20"/>
                <w:szCs w:val="20"/>
              </w:rPr>
            </w:pPr>
            <w:proofErr w:type="spellStart"/>
            <w:r w:rsidRPr="00E54F41">
              <w:rPr>
                <w:sz w:val="20"/>
                <w:szCs w:val="20"/>
              </w:rPr>
              <w:t>Mitra</w:t>
            </w:r>
            <w:proofErr w:type="spellEnd"/>
            <w:r w:rsidRPr="00E54F41">
              <w:rPr>
                <w:sz w:val="20"/>
                <w:szCs w:val="20"/>
              </w:rPr>
              <w:t xml:space="preserve"> </w:t>
            </w:r>
            <w:proofErr w:type="spellStart"/>
            <w:r w:rsidRPr="00E54F41">
              <w:rPr>
                <w:sz w:val="20"/>
                <w:szCs w:val="20"/>
              </w:rPr>
              <w:t>Kermani</w:t>
            </w:r>
            <w:proofErr w:type="spellEnd"/>
          </w:p>
          <w:p w:rsidR="008F47EA" w:rsidRPr="00E54F41" w:rsidRDefault="008F47EA" w:rsidP="00803F31">
            <w:pPr>
              <w:tabs>
                <w:tab w:val="left" w:pos="-1440"/>
                <w:tab w:val="left" w:pos="-720"/>
              </w:tabs>
              <w:ind w:firstLine="720"/>
              <w:rPr>
                <w:sz w:val="20"/>
                <w:szCs w:val="20"/>
              </w:rPr>
            </w:pPr>
          </w:p>
          <w:p w:rsidR="008F47EA" w:rsidRPr="00E54F41" w:rsidRDefault="008F47EA" w:rsidP="00803F31">
            <w:pPr>
              <w:tabs>
                <w:tab w:val="left" w:pos="-1440"/>
                <w:tab w:val="left" w:pos="-720"/>
              </w:tabs>
              <w:rPr>
                <w:sz w:val="20"/>
                <w:szCs w:val="20"/>
              </w:rPr>
            </w:pPr>
            <w:r w:rsidRPr="00E54F41">
              <w:rPr>
                <w:sz w:val="20"/>
                <w:szCs w:val="20"/>
              </w:rPr>
              <w:tab/>
              <w:t>v. (37291)</w:t>
            </w:r>
          </w:p>
          <w:p w:rsidR="008F47EA" w:rsidRPr="00E54F41" w:rsidRDefault="008F47EA" w:rsidP="00803F31">
            <w:pPr>
              <w:tabs>
                <w:tab w:val="left" w:pos="-1440"/>
                <w:tab w:val="left" w:pos="-720"/>
              </w:tabs>
              <w:rPr>
                <w:sz w:val="20"/>
                <w:szCs w:val="20"/>
              </w:rPr>
            </w:pPr>
          </w:p>
          <w:p w:rsidR="008F47EA" w:rsidRPr="00E54F41" w:rsidRDefault="008F47EA" w:rsidP="00803F31">
            <w:pPr>
              <w:tabs>
                <w:tab w:val="left" w:pos="-1440"/>
                <w:tab w:val="left" w:pos="-720"/>
              </w:tabs>
              <w:rPr>
                <w:b/>
                <w:sz w:val="20"/>
                <w:szCs w:val="20"/>
              </w:rPr>
            </w:pPr>
            <w:r w:rsidRPr="00E54F41">
              <w:rPr>
                <w:b/>
                <w:sz w:val="20"/>
                <w:szCs w:val="20"/>
              </w:rPr>
              <w:t>Hung-Fung-Yuen Products Corp. et al. (Ont.)</w:t>
            </w:r>
          </w:p>
          <w:p w:rsidR="008F47EA" w:rsidRPr="00E54F41" w:rsidRDefault="008F47EA" w:rsidP="008F47EA">
            <w:pPr>
              <w:tabs>
                <w:tab w:val="left" w:pos="-1440"/>
                <w:tab w:val="left" w:pos="-720"/>
              </w:tabs>
              <w:ind w:firstLine="720"/>
              <w:rPr>
                <w:sz w:val="20"/>
                <w:szCs w:val="20"/>
              </w:rPr>
            </w:pPr>
            <w:r w:rsidRPr="00E54F41">
              <w:rPr>
                <w:sz w:val="20"/>
                <w:szCs w:val="20"/>
              </w:rPr>
              <w:t>Jonathan T. Ng</w:t>
            </w:r>
          </w:p>
          <w:p w:rsidR="008F47EA" w:rsidRPr="00E54F41" w:rsidRDefault="008F47EA" w:rsidP="008F47EA">
            <w:pPr>
              <w:tabs>
                <w:tab w:val="left" w:pos="-1440"/>
                <w:tab w:val="left" w:pos="-720"/>
              </w:tabs>
              <w:ind w:firstLine="720"/>
              <w:rPr>
                <w:sz w:val="20"/>
                <w:szCs w:val="20"/>
              </w:rPr>
            </w:pPr>
            <w:r w:rsidRPr="00E54F41">
              <w:rPr>
                <w:sz w:val="20"/>
                <w:szCs w:val="20"/>
              </w:rPr>
              <w:t>Ng Law Professional Corporation</w:t>
            </w:r>
          </w:p>
          <w:p w:rsidR="008F47EA" w:rsidRPr="00E54F41" w:rsidRDefault="008F47EA" w:rsidP="00803F31">
            <w:pPr>
              <w:tabs>
                <w:tab w:val="left" w:pos="-1440"/>
                <w:tab w:val="left" w:pos="-720"/>
              </w:tabs>
              <w:rPr>
                <w:sz w:val="20"/>
                <w:szCs w:val="20"/>
              </w:rPr>
            </w:pPr>
          </w:p>
          <w:p w:rsidR="008F47EA" w:rsidRPr="00E54F41" w:rsidRDefault="008F47EA" w:rsidP="00803F31">
            <w:pPr>
              <w:rPr>
                <w:sz w:val="20"/>
                <w:szCs w:val="20"/>
              </w:rPr>
            </w:pPr>
            <w:r w:rsidRPr="00E54F41">
              <w:rPr>
                <w:sz w:val="20"/>
                <w:szCs w:val="20"/>
              </w:rPr>
              <w:t>FILING DATE: 09.11.2016</w:t>
            </w:r>
          </w:p>
          <w:p w:rsidR="008F47EA" w:rsidRPr="00E54F41" w:rsidRDefault="00B904CB" w:rsidP="00803F31">
            <w:pPr>
              <w:keepNext/>
              <w:keepLines/>
              <w:tabs>
                <w:tab w:val="left" w:pos="-1440"/>
                <w:tab w:val="left" w:pos="-720"/>
              </w:tabs>
              <w:rPr>
                <w:sz w:val="20"/>
                <w:szCs w:val="20"/>
              </w:rPr>
            </w:pPr>
            <w:r>
              <w:rPr>
                <w:sz w:val="20"/>
                <w:szCs w:val="20"/>
                <w:lang w:val="fr-CA"/>
              </w:rPr>
              <w:pict>
                <v:rect id="_x0000_i1038" style="width:108pt;height:1pt" o:hrpct="0" o:hralign="center" o:hrstd="t" o:hrnoshade="t" o:hr="t" fillcolor="black [3213]" stroked="f"/>
              </w:pict>
            </w:r>
          </w:p>
        </w:tc>
      </w:tr>
      <w:tr w:rsidR="008F47EA" w:rsidRPr="00E54F41" w:rsidTr="00803F31">
        <w:tc>
          <w:tcPr>
            <w:tcW w:w="4320" w:type="dxa"/>
            <w:shd w:val="clear" w:color="auto" w:fill="auto"/>
          </w:tcPr>
          <w:p w:rsidR="008F47EA" w:rsidRPr="00E54F41" w:rsidRDefault="008F47EA" w:rsidP="00803F31">
            <w:pPr>
              <w:tabs>
                <w:tab w:val="left" w:pos="-1440"/>
                <w:tab w:val="left" w:pos="-720"/>
              </w:tabs>
              <w:rPr>
                <w:sz w:val="20"/>
                <w:szCs w:val="20"/>
                <w:lang w:val="fr-CA"/>
              </w:rPr>
            </w:pPr>
            <w:r w:rsidRPr="00E54F41">
              <w:rPr>
                <w:b/>
                <w:sz w:val="20"/>
                <w:szCs w:val="20"/>
                <w:lang w:val="fr-CA"/>
              </w:rPr>
              <w:t xml:space="preserve">Centres Dentaires Lapointe </w:t>
            </w:r>
            <w:proofErr w:type="spellStart"/>
            <w:r w:rsidRPr="00E54F41">
              <w:rPr>
                <w:b/>
                <w:sz w:val="20"/>
                <w:szCs w:val="20"/>
                <w:lang w:val="fr-CA"/>
              </w:rPr>
              <w:t>inc.</w:t>
            </w:r>
            <w:proofErr w:type="spellEnd"/>
          </w:p>
          <w:p w:rsidR="008F47EA" w:rsidRPr="00E54F41" w:rsidRDefault="008F47EA" w:rsidP="00803F31">
            <w:pPr>
              <w:tabs>
                <w:tab w:val="left" w:pos="-1440"/>
                <w:tab w:val="left" w:pos="-720"/>
              </w:tabs>
              <w:ind w:firstLine="720"/>
              <w:rPr>
                <w:sz w:val="20"/>
                <w:szCs w:val="20"/>
                <w:lang w:val="fr-CA"/>
              </w:rPr>
            </w:pPr>
            <w:r w:rsidRPr="00E54F41">
              <w:rPr>
                <w:sz w:val="20"/>
                <w:szCs w:val="20"/>
                <w:lang w:val="fr-CA"/>
              </w:rPr>
              <w:t>Gilles Poulin</w:t>
            </w:r>
          </w:p>
          <w:p w:rsidR="008F47EA" w:rsidRPr="00E54F41" w:rsidRDefault="008F47EA" w:rsidP="00803F31">
            <w:pPr>
              <w:tabs>
                <w:tab w:val="left" w:pos="-1440"/>
                <w:tab w:val="left" w:pos="-720"/>
              </w:tabs>
              <w:ind w:firstLine="720"/>
              <w:rPr>
                <w:sz w:val="20"/>
                <w:szCs w:val="20"/>
                <w:lang w:val="fr-CA"/>
              </w:rPr>
            </w:pPr>
            <w:r w:rsidRPr="00E54F41">
              <w:rPr>
                <w:sz w:val="20"/>
                <w:szCs w:val="20"/>
                <w:lang w:val="fr-CA"/>
              </w:rPr>
              <w:t>Gilles Poulin Avocat</w:t>
            </w:r>
          </w:p>
          <w:p w:rsidR="008F47EA" w:rsidRPr="00E54F41" w:rsidRDefault="008F47EA" w:rsidP="00803F31">
            <w:pPr>
              <w:tabs>
                <w:tab w:val="left" w:pos="-1440"/>
                <w:tab w:val="left" w:pos="-720"/>
              </w:tabs>
              <w:ind w:firstLine="720"/>
              <w:rPr>
                <w:sz w:val="20"/>
                <w:szCs w:val="20"/>
                <w:lang w:val="fr-CA"/>
              </w:rPr>
            </w:pPr>
          </w:p>
          <w:p w:rsidR="008F47EA" w:rsidRPr="00E54F41" w:rsidRDefault="008F47EA" w:rsidP="00803F31">
            <w:pPr>
              <w:tabs>
                <w:tab w:val="left" w:pos="-1440"/>
                <w:tab w:val="left" w:pos="-720"/>
              </w:tabs>
              <w:rPr>
                <w:sz w:val="20"/>
                <w:szCs w:val="20"/>
                <w:lang w:val="fr-CA"/>
              </w:rPr>
            </w:pPr>
            <w:r w:rsidRPr="00E54F41">
              <w:rPr>
                <w:sz w:val="20"/>
                <w:szCs w:val="20"/>
                <w:lang w:val="fr-CA"/>
              </w:rPr>
              <w:tab/>
              <w:t>c. (37287)</w:t>
            </w:r>
          </w:p>
          <w:p w:rsidR="008F47EA" w:rsidRPr="00E54F41" w:rsidRDefault="008F47EA" w:rsidP="00803F31">
            <w:pPr>
              <w:tabs>
                <w:tab w:val="left" w:pos="-1440"/>
                <w:tab w:val="left" w:pos="-720"/>
              </w:tabs>
              <w:rPr>
                <w:sz w:val="20"/>
                <w:szCs w:val="20"/>
                <w:lang w:val="fr-CA"/>
              </w:rPr>
            </w:pPr>
          </w:p>
          <w:p w:rsidR="008F47EA" w:rsidRPr="00E54F41" w:rsidRDefault="008F47EA" w:rsidP="00803F31">
            <w:pPr>
              <w:tabs>
                <w:tab w:val="left" w:pos="-1440"/>
                <w:tab w:val="left" w:pos="-720"/>
              </w:tabs>
              <w:rPr>
                <w:b/>
                <w:sz w:val="20"/>
                <w:szCs w:val="20"/>
                <w:lang w:val="fr-CA"/>
              </w:rPr>
            </w:pPr>
            <w:r w:rsidRPr="00E54F41">
              <w:rPr>
                <w:b/>
                <w:sz w:val="20"/>
                <w:szCs w:val="20"/>
                <w:lang w:val="fr-CA"/>
              </w:rPr>
              <w:t xml:space="preserve">Commission des </w:t>
            </w:r>
            <w:r w:rsidR="00AD35D6" w:rsidRPr="00E54F41">
              <w:rPr>
                <w:b/>
                <w:sz w:val="20"/>
                <w:szCs w:val="20"/>
                <w:lang w:val="fr-CA"/>
              </w:rPr>
              <w:t>normes</w:t>
            </w:r>
            <w:r w:rsidRPr="00E54F41">
              <w:rPr>
                <w:b/>
                <w:sz w:val="20"/>
                <w:szCs w:val="20"/>
                <w:lang w:val="fr-CA"/>
              </w:rPr>
              <w:t xml:space="preserve">, de l’équité et de la santé et </w:t>
            </w:r>
            <w:r w:rsidR="00AD35D6" w:rsidRPr="00E54F41">
              <w:rPr>
                <w:b/>
                <w:sz w:val="20"/>
                <w:szCs w:val="20"/>
                <w:lang w:val="fr-CA"/>
              </w:rPr>
              <w:t>s</w:t>
            </w:r>
            <w:r w:rsidRPr="00E54F41">
              <w:rPr>
                <w:b/>
                <w:sz w:val="20"/>
                <w:szCs w:val="20"/>
                <w:lang w:val="fr-CA"/>
              </w:rPr>
              <w:t>écurité au travail (Qc)</w:t>
            </w:r>
          </w:p>
          <w:p w:rsidR="008F47EA" w:rsidRPr="00E54F41" w:rsidRDefault="008F47EA" w:rsidP="00803F31">
            <w:pPr>
              <w:tabs>
                <w:tab w:val="left" w:pos="-1440"/>
                <w:tab w:val="left" w:pos="-720"/>
              </w:tabs>
              <w:rPr>
                <w:sz w:val="20"/>
                <w:szCs w:val="20"/>
                <w:lang w:val="fr-CA"/>
              </w:rPr>
            </w:pPr>
            <w:r w:rsidRPr="00E54F41">
              <w:rPr>
                <w:sz w:val="20"/>
                <w:szCs w:val="20"/>
                <w:lang w:val="fr-CA"/>
              </w:rPr>
              <w:tab/>
              <w:t>Line Régnier</w:t>
            </w:r>
          </w:p>
          <w:p w:rsidR="008F47EA" w:rsidRPr="00E54F41" w:rsidRDefault="008F47EA" w:rsidP="00803F31">
            <w:pPr>
              <w:tabs>
                <w:tab w:val="left" w:pos="-1440"/>
                <w:tab w:val="left" w:pos="-720"/>
              </w:tabs>
              <w:rPr>
                <w:sz w:val="20"/>
                <w:szCs w:val="20"/>
                <w:lang w:val="fr-CA"/>
              </w:rPr>
            </w:pPr>
            <w:r w:rsidRPr="00E54F41">
              <w:rPr>
                <w:sz w:val="20"/>
                <w:szCs w:val="20"/>
                <w:lang w:val="fr-CA"/>
              </w:rPr>
              <w:tab/>
              <w:t>Paquet Thibodeau Bergeron</w:t>
            </w:r>
          </w:p>
          <w:p w:rsidR="008F47EA" w:rsidRPr="00E54F41" w:rsidRDefault="008F47EA" w:rsidP="00803F31">
            <w:pPr>
              <w:tabs>
                <w:tab w:val="left" w:pos="-1440"/>
                <w:tab w:val="left" w:pos="-720"/>
              </w:tabs>
              <w:rPr>
                <w:sz w:val="20"/>
                <w:szCs w:val="20"/>
                <w:lang w:val="fr-CA"/>
              </w:rPr>
            </w:pPr>
          </w:p>
          <w:p w:rsidR="008F47EA" w:rsidRPr="00E54F41" w:rsidRDefault="008F47EA" w:rsidP="00803F31">
            <w:pPr>
              <w:rPr>
                <w:sz w:val="20"/>
                <w:szCs w:val="20"/>
                <w:lang w:val="fr-CA"/>
              </w:rPr>
            </w:pPr>
            <w:r w:rsidRPr="00E54F41">
              <w:rPr>
                <w:sz w:val="20"/>
                <w:szCs w:val="20"/>
                <w:lang w:val="fr-CA"/>
              </w:rPr>
              <w:t>DATE DE PRODUCTION: 10.11.2016</w:t>
            </w:r>
          </w:p>
          <w:p w:rsidR="008F47EA" w:rsidRPr="00E54F41" w:rsidRDefault="00B904CB" w:rsidP="00803F31">
            <w:pPr>
              <w:rPr>
                <w:b/>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8F47EA" w:rsidRPr="00E54F41" w:rsidRDefault="008F47EA"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tc>
        <w:tc>
          <w:tcPr>
            <w:tcW w:w="4320" w:type="dxa"/>
            <w:shd w:val="clear" w:color="auto" w:fill="auto"/>
          </w:tcPr>
          <w:p w:rsidR="008F47EA" w:rsidRPr="00E54F41" w:rsidRDefault="008F47EA" w:rsidP="00803F31">
            <w:pPr>
              <w:tabs>
                <w:tab w:val="left" w:pos="-1440"/>
                <w:tab w:val="left" w:pos="-720"/>
              </w:tabs>
              <w:rPr>
                <w:sz w:val="20"/>
                <w:szCs w:val="20"/>
              </w:rPr>
            </w:pPr>
            <w:r w:rsidRPr="00E54F41">
              <w:rPr>
                <w:b/>
                <w:sz w:val="20"/>
                <w:szCs w:val="20"/>
              </w:rPr>
              <w:t>Nick Angelis</w:t>
            </w:r>
          </w:p>
          <w:p w:rsidR="008F47EA" w:rsidRPr="00E54F41" w:rsidRDefault="008F47EA" w:rsidP="008F47EA">
            <w:pPr>
              <w:tabs>
                <w:tab w:val="left" w:pos="-1440"/>
                <w:tab w:val="left" w:pos="-720"/>
              </w:tabs>
              <w:ind w:firstLine="720"/>
              <w:rPr>
                <w:sz w:val="20"/>
                <w:szCs w:val="20"/>
              </w:rPr>
            </w:pPr>
            <w:r w:rsidRPr="00E54F41">
              <w:rPr>
                <w:sz w:val="20"/>
                <w:szCs w:val="20"/>
              </w:rPr>
              <w:t xml:space="preserve">Anthony </w:t>
            </w:r>
            <w:proofErr w:type="spellStart"/>
            <w:r w:rsidRPr="00E54F41">
              <w:rPr>
                <w:sz w:val="20"/>
                <w:szCs w:val="20"/>
              </w:rPr>
              <w:t>Moustacalis</w:t>
            </w:r>
            <w:proofErr w:type="spellEnd"/>
          </w:p>
          <w:p w:rsidR="008F47EA" w:rsidRPr="00E54F41" w:rsidRDefault="008F47EA" w:rsidP="00803F31">
            <w:pPr>
              <w:tabs>
                <w:tab w:val="left" w:pos="-1440"/>
                <w:tab w:val="left" w:pos="-720"/>
              </w:tabs>
              <w:ind w:firstLine="720"/>
              <w:rPr>
                <w:sz w:val="20"/>
                <w:szCs w:val="20"/>
              </w:rPr>
            </w:pPr>
          </w:p>
          <w:p w:rsidR="008F47EA" w:rsidRPr="00E54F41" w:rsidRDefault="008F47EA" w:rsidP="00803F31">
            <w:pPr>
              <w:tabs>
                <w:tab w:val="left" w:pos="-1440"/>
                <w:tab w:val="left" w:pos="-720"/>
              </w:tabs>
              <w:rPr>
                <w:sz w:val="20"/>
                <w:szCs w:val="20"/>
              </w:rPr>
            </w:pPr>
            <w:r w:rsidRPr="00E54F41">
              <w:rPr>
                <w:sz w:val="20"/>
                <w:szCs w:val="20"/>
              </w:rPr>
              <w:tab/>
              <w:t>v. (37288)</w:t>
            </w:r>
          </w:p>
          <w:p w:rsidR="008F47EA" w:rsidRPr="00E54F41" w:rsidRDefault="008F47EA" w:rsidP="00803F31">
            <w:pPr>
              <w:tabs>
                <w:tab w:val="left" w:pos="-1440"/>
                <w:tab w:val="left" w:pos="-720"/>
              </w:tabs>
              <w:rPr>
                <w:sz w:val="20"/>
                <w:szCs w:val="20"/>
              </w:rPr>
            </w:pPr>
          </w:p>
          <w:p w:rsidR="008F47EA" w:rsidRPr="00E54F41" w:rsidRDefault="008F47EA" w:rsidP="00803F31">
            <w:pPr>
              <w:tabs>
                <w:tab w:val="left" w:pos="-1440"/>
                <w:tab w:val="left" w:pos="-720"/>
              </w:tabs>
              <w:rPr>
                <w:b/>
                <w:sz w:val="20"/>
                <w:szCs w:val="20"/>
              </w:rPr>
            </w:pPr>
            <w:r w:rsidRPr="00E54F41">
              <w:rPr>
                <w:b/>
                <w:sz w:val="20"/>
                <w:szCs w:val="20"/>
              </w:rPr>
              <w:t>Her Majesty the Queen (Ont.)</w:t>
            </w:r>
          </w:p>
          <w:p w:rsidR="008F47EA" w:rsidRPr="00E54F41" w:rsidRDefault="008F47EA" w:rsidP="00803F31">
            <w:pPr>
              <w:tabs>
                <w:tab w:val="left" w:pos="-1440"/>
                <w:tab w:val="left" w:pos="-720"/>
              </w:tabs>
              <w:rPr>
                <w:sz w:val="20"/>
                <w:szCs w:val="20"/>
              </w:rPr>
            </w:pPr>
            <w:r w:rsidRPr="00E54F41">
              <w:rPr>
                <w:sz w:val="20"/>
                <w:szCs w:val="20"/>
              </w:rPr>
              <w:tab/>
              <w:t xml:space="preserve">James V. </w:t>
            </w:r>
            <w:proofErr w:type="spellStart"/>
            <w:r w:rsidRPr="00E54F41">
              <w:rPr>
                <w:sz w:val="20"/>
                <w:szCs w:val="20"/>
              </w:rPr>
              <w:t>Palangio</w:t>
            </w:r>
            <w:proofErr w:type="spellEnd"/>
            <w:r w:rsidRPr="00E54F41">
              <w:rPr>
                <w:sz w:val="20"/>
                <w:szCs w:val="20"/>
              </w:rPr>
              <w:t xml:space="preserve"> </w:t>
            </w:r>
          </w:p>
          <w:p w:rsidR="008F47EA" w:rsidRPr="00E54F41" w:rsidRDefault="008F47EA" w:rsidP="00803F31">
            <w:pPr>
              <w:tabs>
                <w:tab w:val="left" w:pos="-1440"/>
                <w:tab w:val="left" w:pos="-720"/>
              </w:tabs>
              <w:rPr>
                <w:sz w:val="20"/>
                <w:szCs w:val="20"/>
              </w:rPr>
            </w:pPr>
            <w:r w:rsidRPr="00E54F41">
              <w:rPr>
                <w:sz w:val="20"/>
                <w:szCs w:val="20"/>
              </w:rPr>
              <w:tab/>
            </w:r>
            <w:r w:rsidR="00AD35D6" w:rsidRPr="00E54F41">
              <w:rPr>
                <w:sz w:val="20"/>
                <w:szCs w:val="20"/>
              </w:rPr>
              <w:t>A.G.</w:t>
            </w:r>
            <w:r w:rsidRPr="00E54F41">
              <w:rPr>
                <w:sz w:val="20"/>
                <w:szCs w:val="20"/>
              </w:rPr>
              <w:t xml:space="preserve"> of Ontario</w:t>
            </w:r>
          </w:p>
          <w:p w:rsidR="008F47EA" w:rsidRPr="00E54F41" w:rsidRDefault="008F47EA" w:rsidP="00803F31">
            <w:pPr>
              <w:tabs>
                <w:tab w:val="left" w:pos="-1440"/>
                <w:tab w:val="left" w:pos="-720"/>
              </w:tabs>
              <w:rPr>
                <w:sz w:val="20"/>
                <w:szCs w:val="20"/>
              </w:rPr>
            </w:pPr>
          </w:p>
          <w:p w:rsidR="008F47EA" w:rsidRPr="00E54F41" w:rsidRDefault="008F47EA" w:rsidP="00803F31">
            <w:pPr>
              <w:rPr>
                <w:sz w:val="20"/>
                <w:szCs w:val="20"/>
              </w:rPr>
            </w:pPr>
            <w:r w:rsidRPr="00E54F41">
              <w:rPr>
                <w:sz w:val="20"/>
                <w:szCs w:val="20"/>
              </w:rPr>
              <w:t>FILING DATE: 14.11.2016</w:t>
            </w:r>
          </w:p>
          <w:p w:rsidR="008F47EA" w:rsidRPr="00E54F41" w:rsidRDefault="00B904CB" w:rsidP="00803F31">
            <w:pPr>
              <w:keepNext/>
              <w:keepLines/>
              <w:tabs>
                <w:tab w:val="left" w:pos="-1440"/>
                <w:tab w:val="left" w:pos="-720"/>
              </w:tabs>
              <w:rPr>
                <w:sz w:val="20"/>
                <w:szCs w:val="20"/>
              </w:rPr>
            </w:pPr>
            <w:r>
              <w:rPr>
                <w:sz w:val="20"/>
                <w:szCs w:val="20"/>
                <w:lang w:val="fr-CA"/>
              </w:rPr>
              <w:pict>
                <v:rect id="_x0000_i1040" style="width:108pt;height:1pt" o:hrpct="0" o:hralign="center" o:hrstd="t" o:hrnoshade="t" o:hr="t" fillcolor="black [3213]" stroked="f"/>
              </w:pict>
            </w:r>
          </w:p>
        </w:tc>
      </w:tr>
      <w:tr w:rsidR="00803F31" w:rsidRPr="00E54F41" w:rsidTr="00803F31">
        <w:tc>
          <w:tcPr>
            <w:tcW w:w="4320" w:type="dxa"/>
            <w:shd w:val="clear" w:color="auto" w:fill="auto"/>
          </w:tcPr>
          <w:p w:rsidR="00803F31" w:rsidRPr="00E54F41" w:rsidRDefault="00803F31" w:rsidP="00803F31">
            <w:pPr>
              <w:tabs>
                <w:tab w:val="left" w:pos="-1440"/>
                <w:tab w:val="left" w:pos="-720"/>
              </w:tabs>
              <w:rPr>
                <w:sz w:val="20"/>
                <w:szCs w:val="20"/>
              </w:rPr>
            </w:pPr>
            <w:r w:rsidRPr="00E54F41">
              <w:rPr>
                <w:b/>
                <w:sz w:val="20"/>
                <w:szCs w:val="20"/>
              </w:rPr>
              <w:t>Sodexo Canada Limited</w:t>
            </w:r>
          </w:p>
          <w:p w:rsidR="00803F31" w:rsidRPr="00E54F41" w:rsidRDefault="002F6F8D" w:rsidP="00803F31">
            <w:pPr>
              <w:tabs>
                <w:tab w:val="left" w:pos="-1440"/>
                <w:tab w:val="left" w:pos="-720"/>
              </w:tabs>
              <w:ind w:firstLine="720"/>
              <w:rPr>
                <w:sz w:val="20"/>
                <w:szCs w:val="20"/>
              </w:rPr>
            </w:pPr>
            <w:r w:rsidRPr="00E54F41">
              <w:rPr>
                <w:sz w:val="20"/>
                <w:szCs w:val="20"/>
              </w:rPr>
              <w:t>Harold M. Smith</w:t>
            </w:r>
          </w:p>
          <w:p w:rsidR="00803F31" w:rsidRPr="00E54F41" w:rsidRDefault="002F6F8D" w:rsidP="00803F31">
            <w:pPr>
              <w:tabs>
                <w:tab w:val="left" w:pos="-1440"/>
                <w:tab w:val="left" w:pos="-720"/>
              </w:tabs>
              <w:ind w:firstLine="720"/>
              <w:rPr>
                <w:sz w:val="20"/>
                <w:szCs w:val="20"/>
              </w:rPr>
            </w:pPr>
            <w:r w:rsidRPr="00E54F41">
              <w:rPr>
                <w:sz w:val="20"/>
                <w:szCs w:val="20"/>
              </w:rPr>
              <w:t xml:space="preserve">Stewart </w:t>
            </w:r>
            <w:proofErr w:type="spellStart"/>
            <w:r w:rsidRPr="00E54F41">
              <w:rPr>
                <w:sz w:val="20"/>
                <w:szCs w:val="20"/>
              </w:rPr>
              <w:t>McKelvey</w:t>
            </w:r>
            <w:proofErr w:type="spellEnd"/>
          </w:p>
          <w:p w:rsidR="00803F31" w:rsidRPr="00E54F41" w:rsidRDefault="00803F31" w:rsidP="00803F31">
            <w:pPr>
              <w:tabs>
                <w:tab w:val="left" w:pos="-1440"/>
                <w:tab w:val="left" w:pos="-720"/>
              </w:tabs>
              <w:ind w:firstLine="720"/>
              <w:rPr>
                <w:sz w:val="20"/>
                <w:szCs w:val="20"/>
              </w:rPr>
            </w:pPr>
          </w:p>
          <w:p w:rsidR="00803F31" w:rsidRPr="00E54F41" w:rsidRDefault="002F6F8D" w:rsidP="00803F31">
            <w:pPr>
              <w:tabs>
                <w:tab w:val="left" w:pos="-1440"/>
                <w:tab w:val="left" w:pos="-720"/>
              </w:tabs>
              <w:rPr>
                <w:sz w:val="20"/>
                <w:szCs w:val="20"/>
              </w:rPr>
            </w:pPr>
            <w:r w:rsidRPr="00E54F41">
              <w:rPr>
                <w:sz w:val="20"/>
                <w:szCs w:val="20"/>
              </w:rPr>
              <w:tab/>
              <w:t>v.</w:t>
            </w:r>
            <w:r w:rsidR="00803F31" w:rsidRPr="00E54F41">
              <w:rPr>
                <w:sz w:val="20"/>
                <w:szCs w:val="20"/>
              </w:rPr>
              <w:t xml:space="preserve"> (3728</w:t>
            </w:r>
            <w:r w:rsidRPr="00E54F41">
              <w:rPr>
                <w:sz w:val="20"/>
                <w:szCs w:val="20"/>
              </w:rPr>
              <w:t>9</w:t>
            </w:r>
            <w:r w:rsidR="00803F31" w:rsidRPr="00E54F41">
              <w:rPr>
                <w:sz w:val="20"/>
                <w:szCs w:val="20"/>
              </w:rPr>
              <w:t>)</w:t>
            </w:r>
          </w:p>
          <w:p w:rsidR="00803F31" w:rsidRPr="00E54F41" w:rsidRDefault="00803F31" w:rsidP="00803F31">
            <w:pPr>
              <w:tabs>
                <w:tab w:val="left" w:pos="-1440"/>
                <w:tab w:val="left" w:pos="-720"/>
              </w:tabs>
              <w:rPr>
                <w:sz w:val="20"/>
                <w:szCs w:val="20"/>
              </w:rPr>
            </w:pPr>
          </w:p>
          <w:p w:rsidR="00803F31" w:rsidRPr="00E54F41" w:rsidRDefault="002F6F8D" w:rsidP="00803F31">
            <w:pPr>
              <w:tabs>
                <w:tab w:val="left" w:pos="-1440"/>
                <w:tab w:val="left" w:pos="-720"/>
              </w:tabs>
              <w:rPr>
                <w:b/>
                <w:sz w:val="20"/>
                <w:szCs w:val="20"/>
              </w:rPr>
            </w:pPr>
            <w:r w:rsidRPr="00E54F41">
              <w:rPr>
                <w:b/>
                <w:sz w:val="20"/>
                <w:szCs w:val="20"/>
              </w:rPr>
              <w:t>Hotel Employees &amp; Restaurant Employees International Union, Local 779</w:t>
            </w:r>
            <w:r w:rsidR="00803F31" w:rsidRPr="00E54F41">
              <w:rPr>
                <w:b/>
                <w:sz w:val="20"/>
                <w:szCs w:val="20"/>
              </w:rPr>
              <w:t xml:space="preserve"> (</w:t>
            </w:r>
            <w:r w:rsidR="00EE421E" w:rsidRPr="00E54F41">
              <w:rPr>
                <w:b/>
                <w:sz w:val="20"/>
                <w:szCs w:val="20"/>
              </w:rPr>
              <w:t>N.L.</w:t>
            </w:r>
            <w:r w:rsidR="00803F31" w:rsidRPr="00E54F41">
              <w:rPr>
                <w:b/>
                <w:sz w:val="20"/>
                <w:szCs w:val="20"/>
              </w:rPr>
              <w:t>)</w:t>
            </w:r>
          </w:p>
          <w:p w:rsidR="00803F31" w:rsidRPr="00E54F41" w:rsidRDefault="00803F31" w:rsidP="00803F31">
            <w:pPr>
              <w:tabs>
                <w:tab w:val="left" w:pos="-1440"/>
                <w:tab w:val="left" w:pos="-720"/>
              </w:tabs>
              <w:rPr>
                <w:sz w:val="20"/>
                <w:szCs w:val="20"/>
              </w:rPr>
            </w:pPr>
            <w:r w:rsidRPr="00E54F41">
              <w:rPr>
                <w:sz w:val="20"/>
                <w:szCs w:val="20"/>
              </w:rPr>
              <w:tab/>
            </w:r>
            <w:r w:rsidR="002F6F8D" w:rsidRPr="00E54F41">
              <w:rPr>
                <w:sz w:val="20"/>
                <w:szCs w:val="20"/>
              </w:rPr>
              <w:t xml:space="preserve">Dana </w:t>
            </w:r>
            <w:proofErr w:type="spellStart"/>
            <w:r w:rsidR="002F6F8D" w:rsidRPr="00E54F41">
              <w:rPr>
                <w:sz w:val="20"/>
                <w:szCs w:val="20"/>
              </w:rPr>
              <w:t>Lenehan</w:t>
            </w:r>
            <w:proofErr w:type="spellEnd"/>
            <w:r w:rsidR="002F6F8D" w:rsidRPr="00E54F41">
              <w:rPr>
                <w:sz w:val="20"/>
                <w:szCs w:val="20"/>
              </w:rPr>
              <w:t>, Q.C.</w:t>
            </w:r>
          </w:p>
          <w:p w:rsidR="00803F31" w:rsidRPr="00E54F41" w:rsidRDefault="00803F31" w:rsidP="00803F31">
            <w:pPr>
              <w:tabs>
                <w:tab w:val="left" w:pos="-1440"/>
                <w:tab w:val="left" w:pos="-720"/>
              </w:tabs>
              <w:rPr>
                <w:sz w:val="20"/>
                <w:szCs w:val="20"/>
              </w:rPr>
            </w:pPr>
            <w:r w:rsidRPr="00E54F41">
              <w:rPr>
                <w:sz w:val="20"/>
                <w:szCs w:val="20"/>
              </w:rPr>
              <w:tab/>
            </w:r>
            <w:r w:rsidR="002F6F8D" w:rsidRPr="00E54F41">
              <w:rPr>
                <w:sz w:val="20"/>
                <w:szCs w:val="20"/>
              </w:rPr>
              <w:t xml:space="preserve">Martin, Whalen, </w:t>
            </w:r>
            <w:proofErr w:type="spellStart"/>
            <w:r w:rsidR="002F6F8D" w:rsidRPr="00E54F41">
              <w:rPr>
                <w:sz w:val="20"/>
                <w:szCs w:val="20"/>
              </w:rPr>
              <w:t>Hannebury</w:t>
            </w:r>
            <w:proofErr w:type="spellEnd"/>
            <w:r w:rsidR="002F6F8D" w:rsidRPr="00E54F41">
              <w:rPr>
                <w:sz w:val="20"/>
                <w:szCs w:val="20"/>
              </w:rPr>
              <w:t xml:space="preserve"> &amp; Stamp</w:t>
            </w:r>
          </w:p>
          <w:p w:rsidR="00803F31" w:rsidRPr="00E54F41" w:rsidRDefault="00803F31" w:rsidP="00803F31">
            <w:pPr>
              <w:tabs>
                <w:tab w:val="left" w:pos="-1440"/>
                <w:tab w:val="left" w:pos="-720"/>
              </w:tabs>
              <w:rPr>
                <w:sz w:val="20"/>
                <w:szCs w:val="20"/>
              </w:rPr>
            </w:pPr>
          </w:p>
          <w:p w:rsidR="00803F31" w:rsidRPr="00E54F41" w:rsidRDefault="00EE421E" w:rsidP="00803F31">
            <w:pPr>
              <w:rPr>
                <w:sz w:val="20"/>
                <w:szCs w:val="20"/>
                <w:lang w:val="fr-CA"/>
              </w:rPr>
            </w:pPr>
            <w:r w:rsidRPr="00E54F41">
              <w:rPr>
                <w:sz w:val="20"/>
                <w:szCs w:val="20"/>
              </w:rPr>
              <w:t>FILING DATE</w:t>
            </w:r>
            <w:r w:rsidR="00803F31" w:rsidRPr="00E54F41">
              <w:rPr>
                <w:sz w:val="20"/>
                <w:szCs w:val="20"/>
                <w:lang w:val="fr-CA"/>
              </w:rPr>
              <w:t xml:space="preserve">: </w:t>
            </w:r>
            <w:r w:rsidR="00AD35D6" w:rsidRPr="00E54F41">
              <w:rPr>
                <w:sz w:val="20"/>
                <w:szCs w:val="20"/>
                <w:lang w:val="fr-CA"/>
              </w:rPr>
              <w:t>14</w:t>
            </w:r>
            <w:r w:rsidR="00803F31" w:rsidRPr="00E54F41">
              <w:rPr>
                <w:sz w:val="20"/>
                <w:szCs w:val="20"/>
                <w:lang w:val="fr-CA"/>
              </w:rPr>
              <w:t>.11.2016</w:t>
            </w:r>
          </w:p>
          <w:p w:rsidR="00803F31" w:rsidRPr="00E54F41" w:rsidRDefault="00B904CB" w:rsidP="00803F31">
            <w:pPr>
              <w:rPr>
                <w:b/>
                <w:sz w:val="20"/>
                <w:szCs w:val="20"/>
              </w:rPr>
            </w:pPr>
            <w:r>
              <w:rPr>
                <w:sz w:val="20"/>
                <w:szCs w:val="20"/>
                <w:lang w:val="fr-CA"/>
              </w:rPr>
              <w:pict>
                <v:rect id="_x0000_i1041" style="width:108pt;height:1pt" o:hrpct="0" o:hralign="center" o:hrstd="t" o:hrnoshade="t" o:hr="t" fillcolor="black [3213]" stroked="f"/>
              </w:pict>
            </w:r>
          </w:p>
        </w:tc>
        <w:tc>
          <w:tcPr>
            <w:tcW w:w="1181" w:type="dxa"/>
            <w:shd w:val="clear" w:color="auto" w:fill="auto"/>
          </w:tcPr>
          <w:p w:rsidR="00803F31" w:rsidRPr="00E54F41" w:rsidRDefault="00803F31"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p w:rsidR="0018244C" w:rsidRPr="00E54F41" w:rsidRDefault="0018244C" w:rsidP="00803F31">
            <w:pPr>
              <w:jc w:val="center"/>
              <w:rPr>
                <w:sz w:val="20"/>
                <w:szCs w:val="20"/>
              </w:rPr>
            </w:pPr>
          </w:p>
        </w:tc>
        <w:tc>
          <w:tcPr>
            <w:tcW w:w="4320" w:type="dxa"/>
            <w:shd w:val="clear" w:color="auto" w:fill="auto"/>
          </w:tcPr>
          <w:p w:rsidR="00803F31" w:rsidRPr="00E54F41" w:rsidRDefault="00EE421E" w:rsidP="00803F31">
            <w:pPr>
              <w:tabs>
                <w:tab w:val="left" w:pos="-1440"/>
                <w:tab w:val="left" w:pos="-720"/>
              </w:tabs>
              <w:rPr>
                <w:sz w:val="20"/>
                <w:szCs w:val="20"/>
                <w:lang w:val="fr-CA"/>
              </w:rPr>
            </w:pPr>
            <w:r w:rsidRPr="00E54F41">
              <w:rPr>
                <w:b/>
                <w:sz w:val="20"/>
                <w:szCs w:val="20"/>
                <w:lang w:val="fr-CA"/>
              </w:rPr>
              <w:t>N.F.</w:t>
            </w:r>
          </w:p>
          <w:p w:rsidR="00803F31" w:rsidRPr="00E54F41" w:rsidRDefault="00EE421E" w:rsidP="00803F31">
            <w:pPr>
              <w:tabs>
                <w:tab w:val="left" w:pos="-1440"/>
                <w:tab w:val="left" w:pos="-720"/>
              </w:tabs>
              <w:ind w:firstLine="720"/>
              <w:rPr>
                <w:sz w:val="20"/>
                <w:szCs w:val="20"/>
                <w:lang w:val="fr-CA"/>
              </w:rPr>
            </w:pPr>
            <w:r w:rsidRPr="00E54F41">
              <w:rPr>
                <w:sz w:val="20"/>
                <w:szCs w:val="20"/>
                <w:lang w:val="fr-CA"/>
              </w:rPr>
              <w:t>N.F.</w:t>
            </w:r>
          </w:p>
          <w:p w:rsidR="00803F31" w:rsidRPr="00E54F41" w:rsidRDefault="00803F31" w:rsidP="00803F31">
            <w:pPr>
              <w:tabs>
                <w:tab w:val="left" w:pos="-1440"/>
                <w:tab w:val="left" w:pos="-720"/>
              </w:tabs>
              <w:ind w:firstLine="720"/>
              <w:rPr>
                <w:sz w:val="20"/>
                <w:szCs w:val="20"/>
                <w:lang w:val="fr-CA"/>
              </w:rPr>
            </w:pPr>
          </w:p>
          <w:p w:rsidR="00803F31" w:rsidRPr="00E54F41" w:rsidRDefault="00EE421E" w:rsidP="00803F31">
            <w:pPr>
              <w:tabs>
                <w:tab w:val="left" w:pos="-1440"/>
                <w:tab w:val="left" w:pos="-720"/>
              </w:tabs>
              <w:rPr>
                <w:sz w:val="20"/>
                <w:szCs w:val="20"/>
                <w:lang w:val="fr-CA"/>
              </w:rPr>
            </w:pPr>
            <w:r w:rsidRPr="00E54F41">
              <w:rPr>
                <w:sz w:val="20"/>
                <w:szCs w:val="20"/>
                <w:lang w:val="fr-CA"/>
              </w:rPr>
              <w:tab/>
              <w:t>c. (37292</w:t>
            </w:r>
            <w:r w:rsidR="00803F31" w:rsidRPr="00E54F41">
              <w:rPr>
                <w:sz w:val="20"/>
                <w:szCs w:val="20"/>
                <w:lang w:val="fr-CA"/>
              </w:rPr>
              <w:t>)</w:t>
            </w:r>
          </w:p>
          <w:p w:rsidR="00803F31" w:rsidRPr="00E54F41" w:rsidRDefault="00803F31" w:rsidP="00803F31">
            <w:pPr>
              <w:tabs>
                <w:tab w:val="left" w:pos="-1440"/>
                <w:tab w:val="left" w:pos="-720"/>
              </w:tabs>
              <w:rPr>
                <w:sz w:val="20"/>
                <w:szCs w:val="20"/>
                <w:lang w:val="fr-CA"/>
              </w:rPr>
            </w:pPr>
          </w:p>
          <w:p w:rsidR="00803F31" w:rsidRPr="00E54F41" w:rsidRDefault="00EE421E" w:rsidP="00803F31">
            <w:pPr>
              <w:tabs>
                <w:tab w:val="left" w:pos="-1440"/>
                <w:tab w:val="left" w:pos="-720"/>
              </w:tabs>
              <w:rPr>
                <w:sz w:val="20"/>
                <w:szCs w:val="20"/>
                <w:lang w:val="fr-CA"/>
              </w:rPr>
            </w:pPr>
            <w:r w:rsidRPr="00E54F41">
              <w:rPr>
                <w:b/>
                <w:sz w:val="20"/>
                <w:szCs w:val="20"/>
                <w:lang w:val="fr-CA"/>
              </w:rPr>
              <w:t>Procureur général du Québec</w:t>
            </w:r>
            <w:r w:rsidR="00AD35D6" w:rsidRPr="00E54F41">
              <w:rPr>
                <w:b/>
                <w:sz w:val="20"/>
                <w:szCs w:val="20"/>
                <w:lang w:val="fr-CA"/>
              </w:rPr>
              <w:t xml:space="preserve"> et autre</w:t>
            </w:r>
            <w:r w:rsidR="00C6492F" w:rsidRPr="00E54F41">
              <w:rPr>
                <w:b/>
                <w:sz w:val="20"/>
                <w:szCs w:val="20"/>
                <w:lang w:val="fr-CA"/>
              </w:rPr>
              <w:t xml:space="preserve"> (Qc)</w:t>
            </w:r>
            <w:r w:rsidRPr="00E54F41">
              <w:rPr>
                <w:b/>
                <w:sz w:val="20"/>
                <w:szCs w:val="20"/>
                <w:lang w:val="fr-CA"/>
              </w:rPr>
              <w:br/>
            </w:r>
            <w:r w:rsidR="00803F31" w:rsidRPr="00E54F41">
              <w:rPr>
                <w:sz w:val="20"/>
                <w:szCs w:val="20"/>
                <w:lang w:val="fr-CA"/>
              </w:rPr>
              <w:tab/>
            </w:r>
            <w:r w:rsidRPr="00E54F41">
              <w:rPr>
                <w:sz w:val="20"/>
                <w:szCs w:val="20"/>
                <w:lang w:val="fr-CA"/>
              </w:rPr>
              <w:t xml:space="preserve">Alexandra </w:t>
            </w:r>
            <w:proofErr w:type="spellStart"/>
            <w:r w:rsidRPr="00E54F41">
              <w:rPr>
                <w:sz w:val="20"/>
                <w:szCs w:val="20"/>
                <w:lang w:val="fr-CA"/>
              </w:rPr>
              <w:t>Hooder</w:t>
            </w:r>
            <w:proofErr w:type="spellEnd"/>
            <w:r w:rsidR="00803F31" w:rsidRPr="00E54F41">
              <w:rPr>
                <w:sz w:val="20"/>
                <w:szCs w:val="20"/>
                <w:lang w:val="fr-CA"/>
              </w:rPr>
              <w:t xml:space="preserve"> </w:t>
            </w:r>
          </w:p>
          <w:p w:rsidR="00803F31" w:rsidRPr="00E54F41" w:rsidRDefault="00803F31" w:rsidP="00803F31">
            <w:pPr>
              <w:tabs>
                <w:tab w:val="left" w:pos="-1440"/>
                <w:tab w:val="left" w:pos="-720"/>
              </w:tabs>
              <w:rPr>
                <w:sz w:val="20"/>
                <w:szCs w:val="20"/>
                <w:lang w:val="fr-CA"/>
              </w:rPr>
            </w:pPr>
            <w:r w:rsidRPr="00E54F41">
              <w:rPr>
                <w:sz w:val="20"/>
                <w:szCs w:val="20"/>
                <w:lang w:val="fr-CA"/>
              </w:rPr>
              <w:tab/>
            </w:r>
            <w:r w:rsidR="00AD35D6" w:rsidRPr="00E54F41">
              <w:rPr>
                <w:sz w:val="20"/>
                <w:szCs w:val="20"/>
                <w:lang w:val="fr-CA"/>
              </w:rPr>
              <w:t>P.G.</w:t>
            </w:r>
            <w:r w:rsidR="00EE421E" w:rsidRPr="00E54F41">
              <w:rPr>
                <w:sz w:val="20"/>
                <w:szCs w:val="20"/>
                <w:lang w:val="fr-CA"/>
              </w:rPr>
              <w:t xml:space="preserve"> du Québec</w:t>
            </w:r>
          </w:p>
          <w:p w:rsidR="00803F31" w:rsidRPr="00E54F41" w:rsidRDefault="00803F31" w:rsidP="00803F31">
            <w:pPr>
              <w:tabs>
                <w:tab w:val="left" w:pos="-1440"/>
                <w:tab w:val="left" w:pos="-720"/>
              </w:tabs>
              <w:rPr>
                <w:sz w:val="20"/>
                <w:szCs w:val="20"/>
                <w:lang w:val="fr-CA"/>
              </w:rPr>
            </w:pPr>
          </w:p>
          <w:p w:rsidR="00803F31" w:rsidRPr="00E54F41" w:rsidRDefault="00EE421E" w:rsidP="00803F31">
            <w:pPr>
              <w:rPr>
                <w:sz w:val="20"/>
                <w:szCs w:val="20"/>
                <w:lang w:val="fr-CA"/>
              </w:rPr>
            </w:pPr>
            <w:r w:rsidRPr="00E54F41">
              <w:rPr>
                <w:sz w:val="20"/>
                <w:szCs w:val="20"/>
                <w:lang w:val="fr-CA"/>
              </w:rPr>
              <w:t>DATE DE PRODUCTION</w:t>
            </w:r>
            <w:r w:rsidR="00803F31" w:rsidRPr="00E54F41">
              <w:rPr>
                <w:sz w:val="20"/>
                <w:szCs w:val="20"/>
                <w:lang w:val="fr-CA"/>
              </w:rPr>
              <w:t>: 14.11.2016</w:t>
            </w:r>
          </w:p>
          <w:p w:rsidR="00803F31" w:rsidRPr="00E54F41" w:rsidRDefault="00B904CB" w:rsidP="00803F31">
            <w:pPr>
              <w:keepNext/>
              <w:keepLines/>
              <w:tabs>
                <w:tab w:val="left" w:pos="-1440"/>
                <w:tab w:val="left" w:pos="-720"/>
              </w:tabs>
              <w:rPr>
                <w:sz w:val="20"/>
                <w:szCs w:val="20"/>
                <w:lang w:val="fr-CA"/>
              </w:rPr>
            </w:pPr>
            <w:r>
              <w:rPr>
                <w:sz w:val="20"/>
                <w:szCs w:val="20"/>
                <w:lang w:val="fr-CA"/>
              </w:rPr>
              <w:pict>
                <v:rect id="_x0000_i1042" style="width:108pt;height:1pt" o:hrpct="0" o:hralign="center" o:hrstd="t" o:hrnoshade="t" o:hr="t" fillcolor="black [3213]" stroked="f"/>
              </w:pict>
            </w:r>
          </w:p>
        </w:tc>
      </w:tr>
    </w:tbl>
    <w:p w:rsidR="00803F31" w:rsidRPr="00E54F41" w:rsidRDefault="00803F31" w:rsidP="000F6A39">
      <w:pPr>
        <w:tabs>
          <w:tab w:val="right" w:pos="9360"/>
        </w:tabs>
        <w:rPr>
          <w:sz w:val="20"/>
          <w:szCs w:val="20"/>
          <w:lang w:val="fr-CA"/>
        </w:rPr>
      </w:pPr>
    </w:p>
    <w:p w:rsidR="00803F31" w:rsidRPr="00E54F41" w:rsidRDefault="00803F31" w:rsidP="000F6A39">
      <w:pPr>
        <w:tabs>
          <w:tab w:val="right" w:pos="9360"/>
        </w:tabs>
        <w:rPr>
          <w:sz w:val="20"/>
          <w:szCs w:val="20"/>
          <w:lang w:val="fr-CA"/>
        </w:rPr>
      </w:pPr>
    </w:p>
    <w:p w:rsidR="000F6A39" w:rsidRPr="00E54F41" w:rsidRDefault="000F6A39" w:rsidP="000F6A39">
      <w:pPr>
        <w:tabs>
          <w:tab w:val="right" w:pos="9360"/>
        </w:tabs>
        <w:rPr>
          <w:sz w:val="20"/>
          <w:szCs w:val="20"/>
          <w:lang w:val="fr-CA"/>
        </w:rPr>
      </w:pPr>
    </w:p>
    <w:p w:rsidR="000F6A39" w:rsidRPr="00E54F41" w:rsidRDefault="000F6A39" w:rsidP="000F6A39">
      <w:pPr>
        <w:tabs>
          <w:tab w:val="right" w:pos="9360"/>
        </w:tabs>
        <w:rPr>
          <w:sz w:val="20"/>
          <w:szCs w:val="20"/>
          <w:lang w:val="fr-CA"/>
        </w:rPr>
        <w:sectPr w:rsidR="000F6A39" w:rsidRPr="00E54F41" w:rsidSect="00B43CAE">
          <w:headerReference w:type="default" r:id="rId15"/>
          <w:footerReference w:type="default" r:id="rId16"/>
          <w:headerReference w:type="first" r:id="rId17"/>
          <w:footerReference w:type="first" r:id="rId18"/>
          <w:pgSz w:w="12240" w:h="15840"/>
          <w:pgMar w:top="720" w:right="965" w:bottom="1080" w:left="1656" w:header="706" w:footer="706" w:gutter="0"/>
          <w:pgNumType w:start="167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904CB" w:rsidTr="00BA6468">
        <w:trPr>
          <w:trHeight w:val="900"/>
        </w:trPr>
        <w:tc>
          <w:tcPr>
            <w:tcW w:w="4200" w:type="dxa"/>
            <w:tcMar>
              <w:left w:w="0" w:type="dxa"/>
              <w:right w:w="0" w:type="dxa"/>
            </w:tcMar>
          </w:tcPr>
          <w:p w:rsidR="002E2327" w:rsidRPr="00E54F41" w:rsidRDefault="002E2327" w:rsidP="002E2327">
            <w:pPr>
              <w:keepNext/>
              <w:keepLines/>
              <w:widowControl w:val="0"/>
              <w:rPr>
                <w:b/>
                <w:szCs w:val="24"/>
              </w:rPr>
            </w:pPr>
            <w:r w:rsidRPr="00E54F41">
              <w:rPr>
                <w:b/>
                <w:szCs w:val="24"/>
              </w:rPr>
              <w:lastRenderedPageBreak/>
              <w:t>APPLICATIONS FOR LEAVE SUBMITTED TO COURT SINCE LAST ISSUE</w:t>
            </w:r>
          </w:p>
        </w:tc>
        <w:tc>
          <w:tcPr>
            <w:tcW w:w="1200" w:type="dxa"/>
            <w:tcMar>
              <w:left w:w="0" w:type="dxa"/>
              <w:right w:w="0" w:type="dxa"/>
            </w:tcMar>
          </w:tcPr>
          <w:p w:rsidR="002E2327" w:rsidRPr="00E54F41" w:rsidRDefault="002E2327" w:rsidP="002E2327">
            <w:pPr>
              <w:keepNext/>
              <w:keepLines/>
              <w:widowControl w:val="0"/>
              <w:jc w:val="center"/>
              <w:rPr>
                <w:b/>
                <w:szCs w:val="24"/>
              </w:rPr>
            </w:pPr>
          </w:p>
          <w:p w:rsidR="001D0D5F" w:rsidRPr="00E54F41" w:rsidRDefault="001D0D5F" w:rsidP="002E2327">
            <w:pPr>
              <w:keepNext/>
              <w:keepLines/>
              <w:widowControl w:val="0"/>
              <w:jc w:val="center"/>
              <w:rPr>
                <w:b/>
                <w:szCs w:val="24"/>
              </w:rPr>
            </w:pPr>
          </w:p>
          <w:p w:rsidR="001D0D5F" w:rsidRPr="00E54F41" w:rsidRDefault="001D0D5F" w:rsidP="002E2327">
            <w:pPr>
              <w:keepNext/>
              <w:keepLines/>
              <w:widowControl w:val="0"/>
              <w:jc w:val="center"/>
              <w:rPr>
                <w:b/>
                <w:szCs w:val="24"/>
              </w:rPr>
            </w:pPr>
          </w:p>
          <w:p w:rsidR="001D0D5F" w:rsidRPr="00E54F41" w:rsidRDefault="001D0D5F" w:rsidP="002E2327">
            <w:pPr>
              <w:keepNext/>
              <w:keepLines/>
              <w:widowControl w:val="0"/>
              <w:jc w:val="center"/>
              <w:rPr>
                <w:b/>
                <w:szCs w:val="24"/>
              </w:rPr>
            </w:pPr>
          </w:p>
        </w:tc>
        <w:tc>
          <w:tcPr>
            <w:tcW w:w="4080" w:type="dxa"/>
            <w:tcMar>
              <w:left w:w="0" w:type="dxa"/>
              <w:right w:w="0" w:type="dxa"/>
            </w:tcMar>
          </w:tcPr>
          <w:p w:rsidR="002E2327" w:rsidRPr="00E54F41" w:rsidRDefault="002E2327" w:rsidP="002E2327">
            <w:pPr>
              <w:keepLines/>
              <w:widowControl w:val="0"/>
              <w:rPr>
                <w:szCs w:val="24"/>
                <w:lang w:val="fr-CA"/>
              </w:rPr>
            </w:pPr>
            <w:r w:rsidRPr="00E54F41">
              <w:rPr>
                <w:b/>
                <w:szCs w:val="24"/>
                <w:lang w:val="fr-CA"/>
              </w:rPr>
              <w:t>DEMANDES SOUMISES À LA COUR DEPUIS LA DERNIÈRE PARUTION</w:t>
            </w:r>
          </w:p>
          <w:p w:rsidR="002E2327" w:rsidRPr="00E54F41"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E54F41" w:rsidRDefault="002E2327" w:rsidP="002E2327">
      <w:pPr>
        <w:widowControl w:val="0"/>
        <w:rPr>
          <w:b/>
          <w:sz w:val="20"/>
          <w:szCs w:val="20"/>
          <w:lang w:val="fr-CA"/>
        </w:rPr>
      </w:pPr>
    </w:p>
    <w:p w:rsidR="00CB3520" w:rsidRPr="00E54F41" w:rsidRDefault="00E37FAE" w:rsidP="00CB3520">
      <w:pPr>
        <w:widowControl w:val="0"/>
        <w:rPr>
          <w:b/>
          <w:sz w:val="20"/>
          <w:szCs w:val="20"/>
        </w:rPr>
      </w:pPr>
      <w:r w:rsidRPr="00E54F41">
        <w:rPr>
          <w:b/>
          <w:sz w:val="20"/>
          <w:szCs w:val="20"/>
        </w:rPr>
        <w:t xml:space="preserve">NOVEMBER </w:t>
      </w:r>
      <w:r w:rsidR="00417F50" w:rsidRPr="00E54F41">
        <w:rPr>
          <w:b/>
          <w:sz w:val="20"/>
          <w:szCs w:val="20"/>
        </w:rPr>
        <w:t>21</w:t>
      </w:r>
      <w:r w:rsidRPr="00E54F41">
        <w:rPr>
          <w:b/>
          <w:sz w:val="20"/>
          <w:szCs w:val="20"/>
        </w:rPr>
        <w:t>, 2016</w:t>
      </w:r>
      <w:r w:rsidR="00CB3520" w:rsidRPr="00E54F41">
        <w:rPr>
          <w:b/>
          <w:sz w:val="20"/>
          <w:szCs w:val="20"/>
        </w:rPr>
        <w:t xml:space="preserve"> / LE </w:t>
      </w:r>
      <w:r w:rsidR="00417F50" w:rsidRPr="00E54F41">
        <w:rPr>
          <w:b/>
          <w:sz w:val="20"/>
          <w:szCs w:val="20"/>
        </w:rPr>
        <w:t xml:space="preserve">21 </w:t>
      </w:r>
      <w:r w:rsidRPr="00E54F41">
        <w:rPr>
          <w:b/>
          <w:sz w:val="20"/>
          <w:szCs w:val="20"/>
        </w:rPr>
        <w:t xml:space="preserve">NOVEMBRE </w:t>
      </w:r>
      <w:r w:rsidR="00CB3520" w:rsidRPr="00E54F41">
        <w:rPr>
          <w:b/>
          <w:sz w:val="20"/>
          <w:szCs w:val="20"/>
        </w:rPr>
        <w:t>201</w:t>
      </w:r>
      <w:r w:rsidR="0030050B" w:rsidRPr="00E54F41">
        <w:rPr>
          <w:b/>
          <w:sz w:val="20"/>
          <w:szCs w:val="20"/>
        </w:rPr>
        <w:t>6</w:t>
      </w:r>
    </w:p>
    <w:p w:rsidR="00CB3520" w:rsidRPr="00E54F41" w:rsidRDefault="00CB3520" w:rsidP="00CB3520">
      <w:pPr>
        <w:widowControl w:val="0"/>
        <w:rPr>
          <w:b/>
          <w:sz w:val="20"/>
          <w:szCs w:val="20"/>
        </w:rPr>
      </w:pPr>
    </w:p>
    <w:p w:rsidR="00CB3520" w:rsidRPr="00E54F41" w:rsidRDefault="00CB3520" w:rsidP="00CB3520">
      <w:pPr>
        <w:widowControl w:val="0"/>
        <w:jc w:val="center"/>
        <w:rPr>
          <w:b/>
          <w:sz w:val="20"/>
          <w:szCs w:val="20"/>
        </w:rPr>
      </w:pPr>
      <w:r w:rsidRPr="00E54F41">
        <w:rPr>
          <w:b/>
          <w:sz w:val="20"/>
          <w:szCs w:val="20"/>
        </w:rPr>
        <w:t xml:space="preserve">CORAM:  Chief Justice McLachlin and </w:t>
      </w:r>
      <w:r w:rsidR="00253236" w:rsidRPr="00E54F41">
        <w:rPr>
          <w:b/>
          <w:sz w:val="20"/>
          <w:szCs w:val="20"/>
        </w:rPr>
        <w:t xml:space="preserve">Wagner </w:t>
      </w:r>
      <w:r w:rsidRPr="00E54F41">
        <w:rPr>
          <w:b/>
          <w:sz w:val="20"/>
          <w:szCs w:val="20"/>
        </w:rPr>
        <w:t xml:space="preserve">and </w:t>
      </w:r>
      <w:r w:rsidR="00FA3373" w:rsidRPr="00E54F41">
        <w:rPr>
          <w:b/>
          <w:sz w:val="20"/>
          <w:szCs w:val="20"/>
        </w:rPr>
        <w:t xml:space="preserve">Gascon </w:t>
      </w:r>
      <w:r w:rsidRPr="00E54F41">
        <w:rPr>
          <w:b/>
          <w:sz w:val="20"/>
          <w:szCs w:val="20"/>
        </w:rPr>
        <w:t>JJ.</w:t>
      </w:r>
    </w:p>
    <w:p w:rsidR="00CB3520" w:rsidRPr="00E54F41" w:rsidRDefault="00CB3520" w:rsidP="00CB3520">
      <w:pPr>
        <w:widowControl w:val="0"/>
        <w:jc w:val="center"/>
        <w:rPr>
          <w:sz w:val="20"/>
          <w:szCs w:val="20"/>
          <w:lang w:val="fr-CA"/>
        </w:rPr>
      </w:pPr>
      <w:r w:rsidRPr="00E54F41">
        <w:rPr>
          <w:b/>
          <w:sz w:val="20"/>
          <w:szCs w:val="20"/>
          <w:lang w:val="fr-CA"/>
        </w:rPr>
        <w:t xml:space="preserve">La juge en chef McLachlin et les juges </w:t>
      </w:r>
      <w:r w:rsidR="00253236" w:rsidRPr="00E54F41">
        <w:rPr>
          <w:b/>
          <w:sz w:val="20"/>
          <w:szCs w:val="20"/>
          <w:lang w:val="fr-CA"/>
        </w:rPr>
        <w:t xml:space="preserve">Wagner </w:t>
      </w:r>
      <w:r w:rsidRPr="00E54F41">
        <w:rPr>
          <w:b/>
          <w:sz w:val="20"/>
          <w:szCs w:val="20"/>
          <w:lang w:val="fr-CA"/>
        </w:rPr>
        <w:t xml:space="preserve">et </w:t>
      </w:r>
      <w:r w:rsidR="00FA3373" w:rsidRPr="00E54F41">
        <w:rPr>
          <w:b/>
          <w:sz w:val="20"/>
          <w:szCs w:val="20"/>
          <w:lang w:val="fr-CA"/>
        </w:rPr>
        <w:t>Gascon</w:t>
      </w:r>
    </w:p>
    <w:p w:rsidR="00CB3520" w:rsidRPr="00E54F41" w:rsidRDefault="00CB3520" w:rsidP="00CB3520">
      <w:pPr>
        <w:widowControl w:val="0"/>
        <w:rPr>
          <w:sz w:val="20"/>
          <w:szCs w:val="20"/>
          <w:lang w:val="fr-CA"/>
        </w:rPr>
      </w:pPr>
    </w:p>
    <w:p w:rsidR="00CB3520" w:rsidRPr="00E54F41" w:rsidRDefault="001C6EC7" w:rsidP="00CB3520">
      <w:pPr>
        <w:pStyle w:val="ListParagraph"/>
        <w:widowControl w:val="0"/>
        <w:numPr>
          <w:ilvl w:val="0"/>
          <w:numId w:val="1"/>
        </w:numPr>
        <w:ind w:hanging="720"/>
        <w:jc w:val="both"/>
        <w:rPr>
          <w:sz w:val="20"/>
          <w:szCs w:val="20"/>
        </w:rPr>
      </w:pPr>
      <w:proofErr w:type="spellStart"/>
      <w:r w:rsidRPr="00E54F41">
        <w:rPr>
          <w:i/>
          <w:sz w:val="20"/>
          <w:szCs w:val="20"/>
          <w:lang w:val="fr-CA"/>
        </w:rPr>
        <w:t>Terese</w:t>
      </w:r>
      <w:proofErr w:type="spellEnd"/>
      <w:r w:rsidRPr="00E54F41">
        <w:rPr>
          <w:i/>
          <w:sz w:val="20"/>
          <w:szCs w:val="20"/>
          <w:lang w:val="fr-CA"/>
        </w:rPr>
        <w:t xml:space="preserve"> </w:t>
      </w:r>
      <w:proofErr w:type="spellStart"/>
      <w:r w:rsidRPr="00E54F41">
        <w:rPr>
          <w:i/>
          <w:sz w:val="20"/>
          <w:szCs w:val="20"/>
          <w:lang w:val="fr-CA"/>
        </w:rPr>
        <w:t>Hafichuk-Walkin</w:t>
      </w:r>
      <w:proofErr w:type="spellEnd"/>
      <w:r w:rsidRPr="00E54F41">
        <w:rPr>
          <w:i/>
          <w:sz w:val="20"/>
          <w:szCs w:val="20"/>
          <w:lang w:val="fr-CA"/>
        </w:rPr>
        <w:t xml:space="preserve">, et al. </w:t>
      </w:r>
      <w:r w:rsidR="00CB3520" w:rsidRPr="00E54F41">
        <w:rPr>
          <w:i/>
          <w:sz w:val="20"/>
          <w:szCs w:val="20"/>
          <w:lang w:val="fr-CA"/>
        </w:rPr>
        <w:t xml:space="preserve">v. </w:t>
      </w:r>
      <w:r w:rsidRPr="00E54F41">
        <w:rPr>
          <w:i/>
          <w:sz w:val="20"/>
          <w:szCs w:val="20"/>
          <w:lang w:val="fr-CA"/>
        </w:rPr>
        <w:t xml:space="preserve">BCE Inc. et al. </w:t>
      </w:r>
      <w:r w:rsidR="00CB3520" w:rsidRPr="00E54F41">
        <w:rPr>
          <w:sz w:val="20"/>
          <w:szCs w:val="20"/>
        </w:rPr>
        <w:t>(</w:t>
      </w:r>
      <w:r w:rsidRPr="00E54F41">
        <w:rPr>
          <w:sz w:val="20"/>
          <w:szCs w:val="20"/>
        </w:rPr>
        <w:t>Man</w:t>
      </w:r>
      <w:r w:rsidR="00E37FAE" w:rsidRPr="00E54F41">
        <w:rPr>
          <w:sz w:val="20"/>
          <w:szCs w:val="20"/>
        </w:rPr>
        <w:t>.</w:t>
      </w:r>
      <w:r w:rsidR="00CB3520" w:rsidRPr="00E54F41">
        <w:rPr>
          <w:sz w:val="20"/>
          <w:szCs w:val="20"/>
        </w:rPr>
        <w:t>) (</w:t>
      </w:r>
      <w:r w:rsidRPr="00E54F41">
        <w:rPr>
          <w:sz w:val="20"/>
          <w:szCs w:val="20"/>
        </w:rPr>
        <w:t>Civil</w:t>
      </w:r>
      <w:r w:rsidR="00CB3520" w:rsidRPr="00E54F41">
        <w:rPr>
          <w:sz w:val="20"/>
          <w:szCs w:val="20"/>
        </w:rPr>
        <w:t>) (By Leave) (</w:t>
      </w:r>
      <w:r w:rsidRPr="00E54F41">
        <w:rPr>
          <w:sz w:val="20"/>
          <w:szCs w:val="20"/>
        </w:rPr>
        <w:t>37011</w:t>
      </w:r>
      <w:r w:rsidR="00CB3520" w:rsidRPr="00E54F41">
        <w:rPr>
          <w:sz w:val="20"/>
          <w:szCs w:val="20"/>
        </w:rPr>
        <w:t>)</w:t>
      </w:r>
    </w:p>
    <w:p w:rsidR="00E37FAE" w:rsidRPr="00E54F41" w:rsidRDefault="00E37FAE" w:rsidP="00E37FAE">
      <w:pPr>
        <w:pStyle w:val="ListParagraph"/>
        <w:widowControl w:val="0"/>
        <w:jc w:val="both"/>
        <w:rPr>
          <w:sz w:val="20"/>
          <w:szCs w:val="20"/>
        </w:rPr>
      </w:pPr>
    </w:p>
    <w:p w:rsidR="00E37FAE" w:rsidRPr="00E54F41" w:rsidRDefault="001C6EC7" w:rsidP="00CB3520">
      <w:pPr>
        <w:pStyle w:val="ListParagraph"/>
        <w:widowControl w:val="0"/>
        <w:numPr>
          <w:ilvl w:val="0"/>
          <w:numId w:val="1"/>
        </w:numPr>
        <w:ind w:hanging="720"/>
        <w:jc w:val="both"/>
        <w:rPr>
          <w:sz w:val="20"/>
          <w:szCs w:val="20"/>
        </w:rPr>
      </w:pPr>
      <w:r w:rsidRPr="00E54F41">
        <w:rPr>
          <w:i/>
          <w:sz w:val="20"/>
          <w:szCs w:val="20"/>
        </w:rPr>
        <w:t xml:space="preserve">Christy Turner v. Bell Mobility Inc. et al. </w:t>
      </w:r>
      <w:r w:rsidR="00E37FAE" w:rsidRPr="00E54F41">
        <w:rPr>
          <w:sz w:val="20"/>
          <w:szCs w:val="20"/>
        </w:rPr>
        <w:t>(</w:t>
      </w:r>
      <w:r w:rsidRPr="00E54F41">
        <w:rPr>
          <w:sz w:val="20"/>
          <w:szCs w:val="20"/>
        </w:rPr>
        <w:t>Alta</w:t>
      </w:r>
      <w:r w:rsidR="00E37FAE" w:rsidRPr="00E54F41">
        <w:rPr>
          <w:sz w:val="20"/>
          <w:szCs w:val="20"/>
        </w:rPr>
        <w:t>.) (Civil) (By Leave) (3</w:t>
      </w:r>
      <w:r w:rsidRPr="00E54F41">
        <w:rPr>
          <w:sz w:val="20"/>
          <w:szCs w:val="20"/>
        </w:rPr>
        <w:t>6899</w:t>
      </w:r>
      <w:r w:rsidR="00E37FAE" w:rsidRPr="00E54F41">
        <w:rPr>
          <w:sz w:val="20"/>
          <w:szCs w:val="20"/>
        </w:rPr>
        <w:t>)</w:t>
      </w:r>
    </w:p>
    <w:p w:rsidR="001C6EC7" w:rsidRPr="00E54F41" w:rsidRDefault="001C6EC7" w:rsidP="001C6EC7">
      <w:pPr>
        <w:pStyle w:val="ListParagraph"/>
        <w:rPr>
          <w:sz w:val="20"/>
          <w:szCs w:val="20"/>
        </w:rPr>
      </w:pPr>
    </w:p>
    <w:p w:rsidR="001C6EC7" w:rsidRPr="00E54F41" w:rsidRDefault="001C6EC7" w:rsidP="00CB3520">
      <w:pPr>
        <w:pStyle w:val="ListParagraph"/>
        <w:widowControl w:val="0"/>
        <w:numPr>
          <w:ilvl w:val="0"/>
          <w:numId w:val="1"/>
        </w:numPr>
        <w:ind w:hanging="720"/>
        <w:jc w:val="both"/>
        <w:rPr>
          <w:sz w:val="20"/>
          <w:szCs w:val="20"/>
        </w:rPr>
      </w:pPr>
      <w:r w:rsidRPr="00E54F41">
        <w:rPr>
          <w:i/>
          <w:sz w:val="20"/>
          <w:szCs w:val="20"/>
          <w:lang w:val="fr-CA"/>
        </w:rPr>
        <w:t xml:space="preserve">John </w:t>
      </w:r>
      <w:proofErr w:type="spellStart"/>
      <w:r w:rsidRPr="00E54F41">
        <w:rPr>
          <w:i/>
          <w:sz w:val="20"/>
          <w:szCs w:val="20"/>
          <w:lang w:val="fr-CA"/>
        </w:rPr>
        <w:t>Gillis</w:t>
      </w:r>
      <w:proofErr w:type="spellEnd"/>
      <w:r w:rsidRPr="00E54F41">
        <w:rPr>
          <w:i/>
          <w:sz w:val="20"/>
          <w:szCs w:val="20"/>
          <w:lang w:val="fr-CA"/>
        </w:rPr>
        <w:t xml:space="preserve"> et al. v BCE Inc. et al.</w:t>
      </w:r>
      <w:r w:rsidRPr="00E54F41">
        <w:rPr>
          <w:sz w:val="20"/>
          <w:szCs w:val="20"/>
          <w:lang w:val="fr-CA"/>
        </w:rPr>
        <w:t xml:space="preserve"> </w:t>
      </w:r>
      <w:r w:rsidRPr="00E54F41">
        <w:rPr>
          <w:sz w:val="20"/>
          <w:szCs w:val="20"/>
        </w:rPr>
        <w:t>(N.S.) (Civil) (By Leave)</w:t>
      </w:r>
    </w:p>
    <w:p w:rsidR="00CB3520" w:rsidRPr="00E54F41" w:rsidRDefault="00CB3520" w:rsidP="00CB3520">
      <w:pPr>
        <w:widowControl w:val="0"/>
        <w:jc w:val="both"/>
        <w:rPr>
          <w:sz w:val="20"/>
          <w:szCs w:val="20"/>
        </w:rPr>
      </w:pPr>
    </w:p>
    <w:p w:rsidR="00CB3520" w:rsidRPr="00E54F41" w:rsidRDefault="00CB3520" w:rsidP="00CB3520">
      <w:pPr>
        <w:widowControl w:val="0"/>
        <w:rPr>
          <w:sz w:val="20"/>
          <w:szCs w:val="20"/>
        </w:rPr>
      </w:pPr>
    </w:p>
    <w:p w:rsidR="00CB3520" w:rsidRPr="00E54F41" w:rsidRDefault="00CB3520" w:rsidP="00CB3520">
      <w:pPr>
        <w:widowControl w:val="0"/>
        <w:jc w:val="center"/>
        <w:rPr>
          <w:b/>
          <w:sz w:val="20"/>
          <w:szCs w:val="20"/>
          <w:lang w:val="en-US"/>
        </w:rPr>
      </w:pPr>
      <w:r w:rsidRPr="00E54F41">
        <w:rPr>
          <w:b/>
          <w:sz w:val="20"/>
          <w:szCs w:val="20"/>
          <w:lang w:val="en-US"/>
        </w:rPr>
        <w:t xml:space="preserve">CORAM: </w:t>
      </w:r>
      <w:r w:rsidR="00FA3373" w:rsidRPr="00E54F41">
        <w:rPr>
          <w:b/>
          <w:sz w:val="20"/>
          <w:szCs w:val="20"/>
          <w:lang w:val="en-US"/>
        </w:rPr>
        <w:t>Abella</w:t>
      </w:r>
      <w:r w:rsidRPr="00E54F41">
        <w:rPr>
          <w:b/>
          <w:sz w:val="20"/>
          <w:szCs w:val="20"/>
          <w:lang w:val="en-US"/>
        </w:rPr>
        <w:t xml:space="preserve">, Karakatsanis and </w:t>
      </w:r>
      <w:r w:rsidR="00E942C2" w:rsidRPr="00E54F41">
        <w:rPr>
          <w:b/>
          <w:sz w:val="20"/>
          <w:szCs w:val="20"/>
          <w:lang w:val="en-US"/>
        </w:rPr>
        <w:t>Brown</w:t>
      </w:r>
      <w:r w:rsidRPr="00E54F41">
        <w:rPr>
          <w:b/>
          <w:sz w:val="20"/>
          <w:szCs w:val="20"/>
          <w:lang w:val="en-US"/>
        </w:rPr>
        <w:t xml:space="preserve"> JJ.</w:t>
      </w:r>
    </w:p>
    <w:p w:rsidR="00CB3520" w:rsidRPr="00E54F41" w:rsidRDefault="00CB3520" w:rsidP="00CB3520">
      <w:pPr>
        <w:widowControl w:val="0"/>
        <w:jc w:val="center"/>
        <w:rPr>
          <w:b/>
          <w:sz w:val="20"/>
          <w:szCs w:val="20"/>
          <w:lang w:val="fr-CA"/>
        </w:rPr>
      </w:pPr>
      <w:r w:rsidRPr="00E54F41">
        <w:rPr>
          <w:b/>
          <w:sz w:val="20"/>
          <w:szCs w:val="20"/>
          <w:lang w:val="fr-CA"/>
        </w:rPr>
        <w:t xml:space="preserve">Les juges </w:t>
      </w:r>
      <w:r w:rsidR="00FA3373" w:rsidRPr="00E54F41">
        <w:rPr>
          <w:b/>
          <w:sz w:val="20"/>
          <w:szCs w:val="20"/>
          <w:lang w:val="fr-CA"/>
        </w:rPr>
        <w:t>Abella</w:t>
      </w:r>
      <w:r w:rsidRPr="00E54F41">
        <w:rPr>
          <w:b/>
          <w:sz w:val="20"/>
          <w:szCs w:val="20"/>
          <w:lang w:val="fr-CA"/>
        </w:rPr>
        <w:t xml:space="preserve">, Karakatsanis et </w:t>
      </w:r>
      <w:r w:rsidR="00E942C2" w:rsidRPr="00E54F41">
        <w:rPr>
          <w:b/>
          <w:sz w:val="20"/>
          <w:szCs w:val="20"/>
          <w:lang w:val="fr-CA"/>
        </w:rPr>
        <w:t>Brown</w:t>
      </w:r>
    </w:p>
    <w:p w:rsidR="00CB3520" w:rsidRPr="00E54F41" w:rsidRDefault="00CB3520" w:rsidP="00CB3520">
      <w:pPr>
        <w:widowControl w:val="0"/>
        <w:jc w:val="both"/>
        <w:rPr>
          <w:sz w:val="20"/>
          <w:szCs w:val="20"/>
          <w:lang w:val="fr-CA"/>
        </w:rPr>
      </w:pPr>
    </w:p>
    <w:p w:rsidR="00E37FAE" w:rsidRDefault="001C6EC7" w:rsidP="00CB3520">
      <w:pPr>
        <w:pStyle w:val="ListParagraph"/>
        <w:widowControl w:val="0"/>
        <w:numPr>
          <w:ilvl w:val="0"/>
          <w:numId w:val="1"/>
        </w:numPr>
        <w:ind w:hanging="720"/>
        <w:jc w:val="both"/>
        <w:rPr>
          <w:sz w:val="20"/>
          <w:szCs w:val="20"/>
        </w:rPr>
      </w:pPr>
      <w:r w:rsidRPr="00E54F41">
        <w:rPr>
          <w:i/>
          <w:sz w:val="20"/>
          <w:szCs w:val="20"/>
        </w:rPr>
        <w:t xml:space="preserve">Jody Wade </w:t>
      </w:r>
      <w:proofErr w:type="spellStart"/>
      <w:r w:rsidRPr="00E54F41">
        <w:rPr>
          <w:i/>
          <w:sz w:val="20"/>
          <w:szCs w:val="20"/>
        </w:rPr>
        <w:t>Laboucane</w:t>
      </w:r>
      <w:proofErr w:type="spellEnd"/>
      <w:r w:rsidRPr="00E54F41">
        <w:rPr>
          <w:i/>
          <w:sz w:val="20"/>
          <w:szCs w:val="20"/>
        </w:rPr>
        <w:t xml:space="preserve"> v. Her Majesty the Queen </w:t>
      </w:r>
      <w:r w:rsidR="00E37FAE" w:rsidRPr="00E54F41">
        <w:rPr>
          <w:sz w:val="20"/>
          <w:szCs w:val="20"/>
        </w:rPr>
        <w:t>(</w:t>
      </w:r>
      <w:r w:rsidRPr="00E54F41">
        <w:rPr>
          <w:sz w:val="20"/>
          <w:szCs w:val="20"/>
        </w:rPr>
        <w:t>Alta.) (Crim.) (By Leave) (37177</w:t>
      </w:r>
      <w:r w:rsidR="00E37FAE" w:rsidRPr="00E54F41">
        <w:rPr>
          <w:sz w:val="20"/>
          <w:szCs w:val="20"/>
        </w:rPr>
        <w:t>)</w:t>
      </w:r>
    </w:p>
    <w:p w:rsidR="00C900AA" w:rsidRDefault="00C900AA" w:rsidP="00C900AA">
      <w:pPr>
        <w:widowControl w:val="0"/>
        <w:jc w:val="both"/>
        <w:rPr>
          <w:sz w:val="20"/>
          <w:szCs w:val="20"/>
        </w:rPr>
      </w:pPr>
    </w:p>
    <w:p w:rsidR="00C900AA" w:rsidRDefault="00C900AA" w:rsidP="00C900AA">
      <w:pPr>
        <w:pStyle w:val="ListParagraph"/>
        <w:widowControl w:val="0"/>
        <w:numPr>
          <w:ilvl w:val="0"/>
          <w:numId w:val="1"/>
        </w:numPr>
        <w:ind w:hanging="720"/>
        <w:jc w:val="both"/>
        <w:rPr>
          <w:sz w:val="20"/>
          <w:szCs w:val="20"/>
        </w:rPr>
      </w:pPr>
      <w:proofErr w:type="spellStart"/>
      <w:r w:rsidRPr="00E54F41">
        <w:rPr>
          <w:i/>
          <w:sz w:val="20"/>
          <w:szCs w:val="20"/>
        </w:rPr>
        <w:t>Jasvir</w:t>
      </w:r>
      <w:proofErr w:type="spellEnd"/>
      <w:r w:rsidRPr="00E54F41">
        <w:rPr>
          <w:i/>
          <w:sz w:val="20"/>
          <w:szCs w:val="20"/>
        </w:rPr>
        <w:t xml:space="preserve"> Singh </w:t>
      </w:r>
      <w:proofErr w:type="spellStart"/>
      <w:r w:rsidRPr="00E54F41">
        <w:rPr>
          <w:i/>
          <w:sz w:val="20"/>
          <w:szCs w:val="20"/>
        </w:rPr>
        <w:t>Virdi</w:t>
      </w:r>
      <w:proofErr w:type="spellEnd"/>
      <w:r w:rsidRPr="00E54F41">
        <w:rPr>
          <w:i/>
          <w:sz w:val="20"/>
          <w:szCs w:val="20"/>
        </w:rPr>
        <w:t xml:space="preserve"> v. Attorney General of behalf of the United States of America et al. (</w:t>
      </w:r>
      <w:r w:rsidRPr="00E54F41">
        <w:rPr>
          <w:sz w:val="20"/>
          <w:szCs w:val="20"/>
        </w:rPr>
        <w:t>B.C.) (Crim.) (By Leave) (37237)</w:t>
      </w:r>
    </w:p>
    <w:p w:rsidR="00C900AA" w:rsidRPr="00C900AA" w:rsidRDefault="00C900AA" w:rsidP="00C900AA">
      <w:pPr>
        <w:pStyle w:val="ListParagraph"/>
        <w:rPr>
          <w:sz w:val="20"/>
          <w:szCs w:val="20"/>
        </w:rPr>
      </w:pPr>
    </w:p>
    <w:p w:rsidR="00C900AA" w:rsidRDefault="00C900AA" w:rsidP="00C900AA">
      <w:pPr>
        <w:pStyle w:val="ListParagraph"/>
        <w:widowControl w:val="0"/>
        <w:numPr>
          <w:ilvl w:val="0"/>
          <w:numId w:val="1"/>
        </w:numPr>
        <w:ind w:hanging="720"/>
        <w:jc w:val="both"/>
        <w:rPr>
          <w:sz w:val="20"/>
          <w:szCs w:val="20"/>
        </w:rPr>
      </w:pPr>
      <w:r w:rsidRPr="00E54F41">
        <w:rPr>
          <w:i/>
          <w:sz w:val="20"/>
          <w:szCs w:val="20"/>
        </w:rPr>
        <w:t xml:space="preserve">Her Majesty the Queen in Right of Saskatchewan as represented by the Attorney General of Saskatchewan v. Chief M. Todd </w:t>
      </w:r>
      <w:proofErr w:type="spellStart"/>
      <w:r w:rsidRPr="00E54F41">
        <w:rPr>
          <w:i/>
          <w:sz w:val="20"/>
          <w:szCs w:val="20"/>
        </w:rPr>
        <w:t>Peigan</w:t>
      </w:r>
      <w:proofErr w:type="spellEnd"/>
      <w:r w:rsidRPr="00E54F41">
        <w:rPr>
          <w:i/>
          <w:sz w:val="20"/>
          <w:szCs w:val="20"/>
        </w:rPr>
        <w:t xml:space="preserve"> on behalf of himself and all other members of the </w:t>
      </w:r>
      <w:proofErr w:type="spellStart"/>
      <w:r w:rsidRPr="00E54F41">
        <w:rPr>
          <w:i/>
          <w:sz w:val="20"/>
          <w:szCs w:val="20"/>
        </w:rPr>
        <w:t>Pasqua</w:t>
      </w:r>
      <w:proofErr w:type="spellEnd"/>
      <w:r w:rsidRPr="00E54F41">
        <w:rPr>
          <w:i/>
          <w:sz w:val="20"/>
          <w:szCs w:val="20"/>
        </w:rPr>
        <w:t xml:space="preserve"> First Nation and </w:t>
      </w:r>
      <w:proofErr w:type="spellStart"/>
      <w:r w:rsidRPr="00E54F41">
        <w:rPr>
          <w:i/>
          <w:sz w:val="20"/>
          <w:szCs w:val="20"/>
        </w:rPr>
        <w:t>Pasqua</w:t>
      </w:r>
      <w:proofErr w:type="spellEnd"/>
      <w:r w:rsidRPr="00E54F41">
        <w:rPr>
          <w:i/>
          <w:sz w:val="20"/>
          <w:szCs w:val="20"/>
        </w:rPr>
        <w:t xml:space="preserve"> First Nation et al. </w:t>
      </w:r>
      <w:r w:rsidRPr="00E54F41">
        <w:rPr>
          <w:sz w:val="20"/>
          <w:szCs w:val="20"/>
        </w:rPr>
        <w:t>(FC) (Civil) (By Leave)</w:t>
      </w:r>
    </w:p>
    <w:p w:rsidR="00C900AA" w:rsidRPr="00C900AA" w:rsidRDefault="00C900AA" w:rsidP="00C900AA">
      <w:pPr>
        <w:pStyle w:val="ListParagraph"/>
        <w:rPr>
          <w:sz w:val="20"/>
          <w:szCs w:val="20"/>
        </w:rPr>
      </w:pPr>
    </w:p>
    <w:p w:rsidR="00C900AA" w:rsidRPr="00E54F41" w:rsidRDefault="00C900AA" w:rsidP="00C900AA">
      <w:pPr>
        <w:pStyle w:val="ListParagraph"/>
        <w:widowControl w:val="0"/>
        <w:numPr>
          <w:ilvl w:val="0"/>
          <w:numId w:val="1"/>
        </w:numPr>
        <w:ind w:hanging="720"/>
        <w:jc w:val="both"/>
        <w:rPr>
          <w:sz w:val="20"/>
          <w:szCs w:val="20"/>
        </w:rPr>
      </w:pPr>
      <w:r w:rsidRPr="00E54F41">
        <w:rPr>
          <w:i/>
          <w:sz w:val="20"/>
          <w:szCs w:val="20"/>
        </w:rPr>
        <w:t xml:space="preserve">Barry Millen et al v. Manitoba Hydro-Electric Board et al. </w:t>
      </w:r>
      <w:r w:rsidRPr="00E54F41">
        <w:rPr>
          <w:sz w:val="20"/>
          <w:szCs w:val="20"/>
        </w:rPr>
        <w:t>(Man.) (Civil) (By Leave)</w:t>
      </w:r>
    </w:p>
    <w:p w:rsidR="00E37FAE" w:rsidRPr="00C900AA" w:rsidRDefault="00E37FAE" w:rsidP="00E37FAE">
      <w:pPr>
        <w:widowControl w:val="0"/>
        <w:jc w:val="both"/>
        <w:rPr>
          <w:sz w:val="20"/>
          <w:szCs w:val="20"/>
        </w:rPr>
      </w:pPr>
    </w:p>
    <w:p w:rsidR="00CB3520" w:rsidRPr="00E54F41" w:rsidRDefault="00CB3520" w:rsidP="00CB3520">
      <w:pPr>
        <w:widowControl w:val="0"/>
        <w:jc w:val="both"/>
        <w:rPr>
          <w:sz w:val="20"/>
          <w:szCs w:val="20"/>
        </w:rPr>
      </w:pPr>
    </w:p>
    <w:p w:rsidR="00CB3520" w:rsidRPr="00E54F41" w:rsidRDefault="00CB3520" w:rsidP="00CB3520">
      <w:pPr>
        <w:widowControl w:val="0"/>
        <w:jc w:val="center"/>
        <w:rPr>
          <w:b/>
          <w:sz w:val="20"/>
          <w:szCs w:val="20"/>
        </w:rPr>
      </w:pPr>
      <w:r w:rsidRPr="00E54F41">
        <w:rPr>
          <w:b/>
          <w:sz w:val="20"/>
          <w:szCs w:val="20"/>
        </w:rPr>
        <w:t xml:space="preserve">CORAM: </w:t>
      </w:r>
      <w:r w:rsidR="00253236" w:rsidRPr="00E54F41">
        <w:rPr>
          <w:b/>
          <w:sz w:val="20"/>
          <w:szCs w:val="20"/>
        </w:rPr>
        <w:t>Moldaver</w:t>
      </w:r>
      <w:r w:rsidR="00E942C2" w:rsidRPr="00E54F41">
        <w:rPr>
          <w:b/>
          <w:sz w:val="20"/>
          <w:szCs w:val="20"/>
        </w:rPr>
        <w:t xml:space="preserve">, </w:t>
      </w:r>
      <w:r w:rsidR="00253236" w:rsidRPr="00E54F41">
        <w:rPr>
          <w:b/>
          <w:sz w:val="20"/>
          <w:szCs w:val="20"/>
        </w:rPr>
        <w:t xml:space="preserve">Côté </w:t>
      </w:r>
      <w:r w:rsidRPr="00E54F41">
        <w:rPr>
          <w:b/>
          <w:sz w:val="20"/>
          <w:szCs w:val="20"/>
        </w:rPr>
        <w:t xml:space="preserve">and </w:t>
      </w:r>
      <w:r w:rsidR="00FA78B3" w:rsidRPr="00E54F41">
        <w:rPr>
          <w:b/>
          <w:sz w:val="20"/>
          <w:szCs w:val="20"/>
        </w:rPr>
        <w:t>Rowe</w:t>
      </w:r>
      <w:r w:rsidR="00253236" w:rsidRPr="00E54F41">
        <w:rPr>
          <w:b/>
          <w:sz w:val="20"/>
          <w:szCs w:val="20"/>
        </w:rPr>
        <w:t xml:space="preserve"> </w:t>
      </w:r>
      <w:r w:rsidRPr="00E54F41">
        <w:rPr>
          <w:b/>
          <w:sz w:val="20"/>
          <w:szCs w:val="20"/>
        </w:rPr>
        <w:t>JJ.</w:t>
      </w:r>
    </w:p>
    <w:p w:rsidR="00CB3520" w:rsidRPr="00E54F41" w:rsidRDefault="00CB3520" w:rsidP="00CB3520">
      <w:pPr>
        <w:widowControl w:val="0"/>
        <w:jc w:val="center"/>
        <w:rPr>
          <w:b/>
          <w:sz w:val="20"/>
          <w:szCs w:val="20"/>
          <w:lang w:val="fr-CA"/>
        </w:rPr>
      </w:pPr>
      <w:r w:rsidRPr="00E54F41">
        <w:rPr>
          <w:b/>
          <w:sz w:val="20"/>
          <w:szCs w:val="20"/>
          <w:lang w:val="fr-CA"/>
        </w:rPr>
        <w:t xml:space="preserve">Les juges </w:t>
      </w:r>
      <w:r w:rsidR="00253236" w:rsidRPr="00E54F41">
        <w:rPr>
          <w:b/>
          <w:sz w:val="20"/>
          <w:szCs w:val="20"/>
          <w:lang w:val="fr-CA"/>
        </w:rPr>
        <w:t>Moldaver</w:t>
      </w:r>
      <w:r w:rsidR="00E942C2" w:rsidRPr="00E54F41">
        <w:rPr>
          <w:b/>
          <w:sz w:val="20"/>
          <w:szCs w:val="20"/>
          <w:lang w:val="fr-CA"/>
        </w:rPr>
        <w:t xml:space="preserve">, </w:t>
      </w:r>
      <w:r w:rsidR="00253236" w:rsidRPr="00E54F41">
        <w:rPr>
          <w:b/>
          <w:sz w:val="20"/>
          <w:szCs w:val="20"/>
          <w:lang w:val="fr-CA"/>
        </w:rPr>
        <w:t xml:space="preserve">Côté </w:t>
      </w:r>
      <w:r w:rsidR="00E942C2" w:rsidRPr="00E54F41">
        <w:rPr>
          <w:b/>
          <w:sz w:val="20"/>
          <w:szCs w:val="20"/>
          <w:lang w:val="fr-CA"/>
        </w:rPr>
        <w:t xml:space="preserve">et </w:t>
      </w:r>
      <w:r w:rsidR="00FA78B3" w:rsidRPr="00E54F41">
        <w:rPr>
          <w:b/>
          <w:sz w:val="20"/>
          <w:szCs w:val="20"/>
          <w:lang w:val="fr-CA"/>
        </w:rPr>
        <w:t>Rowe</w:t>
      </w:r>
    </w:p>
    <w:p w:rsidR="00CB3520" w:rsidRPr="00E54F41" w:rsidRDefault="00CB3520" w:rsidP="00CB3520">
      <w:pPr>
        <w:widowControl w:val="0"/>
        <w:jc w:val="both"/>
        <w:rPr>
          <w:sz w:val="20"/>
          <w:szCs w:val="20"/>
          <w:lang w:val="fr-CA"/>
        </w:rPr>
      </w:pPr>
    </w:p>
    <w:p w:rsidR="00CB3520" w:rsidRPr="00E54F41" w:rsidRDefault="001C6EC7" w:rsidP="00CB3520">
      <w:pPr>
        <w:pStyle w:val="ListParagraph"/>
        <w:widowControl w:val="0"/>
        <w:numPr>
          <w:ilvl w:val="0"/>
          <w:numId w:val="1"/>
        </w:numPr>
        <w:ind w:hanging="720"/>
        <w:jc w:val="both"/>
        <w:rPr>
          <w:sz w:val="20"/>
          <w:szCs w:val="20"/>
        </w:rPr>
      </w:pPr>
      <w:r w:rsidRPr="00E54F41">
        <w:rPr>
          <w:i/>
          <w:sz w:val="20"/>
          <w:szCs w:val="20"/>
        </w:rPr>
        <w:t xml:space="preserve">Sebastien Didier </w:t>
      </w:r>
      <w:proofErr w:type="spellStart"/>
      <w:r w:rsidRPr="00E54F41">
        <w:rPr>
          <w:i/>
          <w:sz w:val="20"/>
          <w:szCs w:val="20"/>
        </w:rPr>
        <w:t>Ayangma</w:t>
      </w:r>
      <w:proofErr w:type="spellEnd"/>
      <w:r w:rsidRPr="00E54F41">
        <w:rPr>
          <w:i/>
          <w:sz w:val="20"/>
          <w:szCs w:val="20"/>
        </w:rPr>
        <w:t xml:space="preserve"> v. Her Majesty the Queen </w:t>
      </w:r>
      <w:r w:rsidR="00CB3520" w:rsidRPr="00E54F41">
        <w:rPr>
          <w:sz w:val="20"/>
          <w:szCs w:val="20"/>
        </w:rPr>
        <w:t>(</w:t>
      </w:r>
      <w:r w:rsidRPr="00E54F41">
        <w:rPr>
          <w:sz w:val="20"/>
          <w:szCs w:val="20"/>
        </w:rPr>
        <w:t>P.E.I</w:t>
      </w:r>
      <w:r w:rsidR="00CB3520" w:rsidRPr="00E54F41">
        <w:rPr>
          <w:sz w:val="20"/>
          <w:szCs w:val="20"/>
        </w:rPr>
        <w:t>) (C</w:t>
      </w:r>
      <w:r w:rsidR="00E37FAE" w:rsidRPr="00E54F41">
        <w:rPr>
          <w:sz w:val="20"/>
          <w:szCs w:val="20"/>
        </w:rPr>
        <w:t>rim.</w:t>
      </w:r>
      <w:r w:rsidR="00CB3520" w:rsidRPr="00E54F41">
        <w:rPr>
          <w:sz w:val="20"/>
          <w:szCs w:val="20"/>
        </w:rPr>
        <w:t>) (By Leave) (</w:t>
      </w:r>
      <w:r w:rsidR="00E37FAE" w:rsidRPr="00E54F41">
        <w:rPr>
          <w:sz w:val="20"/>
          <w:szCs w:val="20"/>
        </w:rPr>
        <w:t>3</w:t>
      </w:r>
      <w:r w:rsidRPr="00E54F41">
        <w:rPr>
          <w:sz w:val="20"/>
          <w:szCs w:val="20"/>
        </w:rPr>
        <w:t>7066</w:t>
      </w:r>
      <w:r w:rsidR="00CB3520" w:rsidRPr="00E54F41">
        <w:rPr>
          <w:sz w:val="20"/>
          <w:szCs w:val="20"/>
        </w:rPr>
        <w:t>)</w:t>
      </w:r>
    </w:p>
    <w:p w:rsidR="001C6EC7" w:rsidRPr="00E54F41" w:rsidRDefault="001C6EC7" w:rsidP="001C6EC7">
      <w:pPr>
        <w:widowControl w:val="0"/>
        <w:jc w:val="both"/>
        <w:rPr>
          <w:sz w:val="20"/>
          <w:szCs w:val="20"/>
        </w:rPr>
      </w:pPr>
    </w:p>
    <w:p w:rsidR="001C6EC7" w:rsidRPr="00E54F41" w:rsidRDefault="001F4A5E" w:rsidP="001C6EC7">
      <w:pPr>
        <w:widowControl w:val="0"/>
        <w:jc w:val="both"/>
        <w:rPr>
          <w:sz w:val="20"/>
          <w:szCs w:val="20"/>
        </w:rPr>
      </w:pPr>
      <w:r>
        <w:rPr>
          <w:sz w:val="20"/>
          <w:szCs w:val="20"/>
        </w:rPr>
        <w:t>9.</w:t>
      </w:r>
      <w:r w:rsidR="001C6EC7" w:rsidRPr="00E54F41">
        <w:rPr>
          <w:sz w:val="20"/>
          <w:szCs w:val="20"/>
        </w:rPr>
        <w:tab/>
      </w:r>
      <w:r w:rsidR="001C6EC7" w:rsidRPr="00E54F41">
        <w:rPr>
          <w:i/>
          <w:sz w:val="20"/>
          <w:szCs w:val="20"/>
        </w:rPr>
        <w:t xml:space="preserve">E.R.C. v. Her Majesty the Queen </w:t>
      </w:r>
      <w:r w:rsidR="001C6EC7" w:rsidRPr="00E54F41">
        <w:rPr>
          <w:sz w:val="20"/>
          <w:szCs w:val="20"/>
        </w:rPr>
        <w:t>(Man.) (Crim.) (By Leave) (37220)</w:t>
      </w:r>
    </w:p>
    <w:p w:rsidR="001C6EC7" w:rsidRPr="00E54F41" w:rsidRDefault="001C6EC7" w:rsidP="001C6EC7">
      <w:pPr>
        <w:widowControl w:val="0"/>
        <w:jc w:val="both"/>
        <w:rPr>
          <w:sz w:val="20"/>
          <w:szCs w:val="20"/>
        </w:rPr>
      </w:pPr>
    </w:p>
    <w:p w:rsidR="001C6EC7" w:rsidRPr="00E54F41" w:rsidRDefault="001C6EC7" w:rsidP="001C6EC7">
      <w:pPr>
        <w:widowControl w:val="0"/>
        <w:jc w:val="both"/>
        <w:rPr>
          <w:sz w:val="20"/>
          <w:szCs w:val="20"/>
        </w:rPr>
      </w:pPr>
      <w:r w:rsidRPr="00E54F41">
        <w:rPr>
          <w:sz w:val="20"/>
          <w:szCs w:val="20"/>
        </w:rPr>
        <w:t>10.</w:t>
      </w:r>
      <w:r w:rsidRPr="00E54F41">
        <w:rPr>
          <w:sz w:val="20"/>
          <w:szCs w:val="20"/>
        </w:rPr>
        <w:tab/>
      </w:r>
      <w:r w:rsidRPr="00E54F41">
        <w:rPr>
          <w:i/>
          <w:sz w:val="20"/>
          <w:szCs w:val="20"/>
        </w:rPr>
        <w:t xml:space="preserve">The Municipal Corporation of the County of Bruce v. Stephen Campbell et al. </w:t>
      </w:r>
      <w:r w:rsidRPr="00E54F41">
        <w:rPr>
          <w:sz w:val="20"/>
          <w:szCs w:val="20"/>
        </w:rPr>
        <w:t>(Ont.) (Civil) (By Leave) (37141)</w:t>
      </w:r>
    </w:p>
    <w:p w:rsidR="00CB3520" w:rsidRPr="00E54F41" w:rsidRDefault="00CB3520" w:rsidP="00CB3520">
      <w:pPr>
        <w:widowControl w:val="0"/>
        <w:jc w:val="both"/>
        <w:rPr>
          <w:sz w:val="20"/>
          <w:szCs w:val="20"/>
        </w:rPr>
      </w:pPr>
    </w:p>
    <w:p w:rsidR="002E2327" w:rsidRPr="00E54F41" w:rsidRDefault="00B904CB" w:rsidP="002E2327">
      <w:pPr>
        <w:widowControl w:val="0"/>
        <w:rPr>
          <w:sz w:val="20"/>
          <w:szCs w:val="20"/>
        </w:rPr>
      </w:pPr>
      <w:r>
        <w:rPr>
          <w:sz w:val="20"/>
          <w:szCs w:val="20"/>
        </w:rPr>
        <w:pict>
          <v:rect id="_x0000_i1045" style="width:2in;height:1pt" o:hrpct="0" o:hralign="center" o:hrstd="t" o:hrnoshade="t" o:hr="t" fillcolor="black [3213]" stroked="f"/>
        </w:pict>
      </w:r>
    </w:p>
    <w:p w:rsidR="00D94028" w:rsidRPr="00E54F41" w:rsidRDefault="00D94028" w:rsidP="002E2327">
      <w:pPr>
        <w:widowControl w:val="0"/>
        <w:rPr>
          <w:sz w:val="20"/>
          <w:szCs w:val="20"/>
        </w:rPr>
      </w:pPr>
    </w:p>
    <w:p w:rsidR="00D94028" w:rsidRPr="00E54F41" w:rsidRDefault="00D94028" w:rsidP="002E2327">
      <w:pPr>
        <w:widowControl w:val="0"/>
        <w:rPr>
          <w:sz w:val="20"/>
          <w:szCs w:val="20"/>
        </w:rPr>
      </w:pPr>
    </w:p>
    <w:p w:rsidR="00D94028" w:rsidRPr="00E54F41" w:rsidRDefault="00D94028" w:rsidP="002E2327">
      <w:pPr>
        <w:widowControl w:val="0"/>
        <w:rPr>
          <w:sz w:val="20"/>
          <w:szCs w:val="20"/>
        </w:rPr>
      </w:pPr>
    </w:p>
    <w:p w:rsidR="0044776A" w:rsidRPr="00E54F41" w:rsidRDefault="0044776A" w:rsidP="002E2327">
      <w:pPr>
        <w:widowControl w:val="0"/>
        <w:spacing w:line="0" w:lineRule="atLeast"/>
        <w:rPr>
          <w:sz w:val="20"/>
          <w:szCs w:val="20"/>
        </w:rPr>
        <w:sectPr w:rsidR="0044776A" w:rsidRPr="00E54F41"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904CB" w:rsidTr="00ED7E83">
        <w:tc>
          <w:tcPr>
            <w:tcW w:w="4200" w:type="dxa"/>
            <w:tcMar>
              <w:left w:w="0" w:type="dxa"/>
              <w:right w:w="0" w:type="dxa"/>
            </w:tcMar>
          </w:tcPr>
          <w:p w:rsidR="008D292F" w:rsidRPr="00E54F41" w:rsidRDefault="008D292F" w:rsidP="00ED7E83">
            <w:pPr>
              <w:keepNext/>
              <w:keepLines/>
              <w:jc w:val="both"/>
              <w:rPr>
                <w:b/>
                <w:szCs w:val="24"/>
              </w:rPr>
            </w:pPr>
            <w:bookmarkStart w:id="1" w:name="QuickMark_1"/>
            <w:bookmarkEnd w:id="1"/>
            <w:r w:rsidRPr="00E54F41">
              <w:rPr>
                <w:b/>
                <w:szCs w:val="24"/>
              </w:rPr>
              <w:lastRenderedPageBreak/>
              <w:t>JUDGMENTS ON APPLICATIONS</w:t>
            </w:r>
          </w:p>
          <w:p w:rsidR="008D292F" w:rsidRPr="00E54F41" w:rsidRDefault="008D292F" w:rsidP="00ED7E83">
            <w:pPr>
              <w:keepNext/>
              <w:keepLines/>
              <w:jc w:val="both"/>
              <w:rPr>
                <w:b/>
                <w:szCs w:val="24"/>
              </w:rPr>
            </w:pPr>
            <w:r w:rsidRPr="00E54F41">
              <w:rPr>
                <w:b/>
                <w:szCs w:val="24"/>
              </w:rPr>
              <w:t>FOR LEAVE</w:t>
            </w:r>
          </w:p>
        </w:tc>
        <w:tc>
          <w:tcPr>
            <w:tcW w:w="1200" w:type="dxa"/>
            <w:tcMar>
              <w:left w:w="0" w:type="dxa"/>
              <w:right w:w="0" w:type="dxa"/>
            </w:tcMar>
          </w:tcPr>
          <w:p w:rsidR="008D292F" w:rsidRPr="00E54F41" w:rsidRDefault="008D292F" w:rsidP="008D292F">
            <w:pPr>
              <w:keepNext/>
              <w:keepLines/>
              <w:jc w:val="center"/>
              <w:rPr>
                <w:b/>
                <w:szCs w:val="24"/>
              </w:rPr>
            </w:pPr>
          </w:p>
          <w:p w:rsidR="008D292F" w:rsidRPr="00E54F41" w:rsidRDefault="008D292F" w:rsidP="008D292F">
            <w:pPr>
              <w:keepNext/>
              <w:keepLines/>
              <w:jc w:val="center"/>
              <w:rPr>
                <w:b/>
                <w:szCs w:val="24"/>
              </w:rPr>
            </w:pPr>
          </w:p>
          <w:p w:rsidR="008D292F" w:rsidRPr="00E54F41" w:rsidRDefault="008D292F" w:rsidP="008D292F">
            <w:pPr>
              <w:keepNext/>
              <w:keepLines/>
              <w:jc w:val="center"/>
              <w:rPr>
                <w:b/>
                <w:szCs w:val="24"/>
              </w:rPr>
            </w:pPr>
          </w:p>
        </w:tc>
        <w:tc>
          <w:tcPr>
            <w:tcW w:w="4080" w:type="dxa"/>
            <w:tcMar>
              <w:left w:w="0" w:type="dxa"/>
              <w:right w:w="0" w:type="dxa"/>
            </w:tcMar>
          </w:tcPr>
          <w:p w:rsidR="008D292F" w:rsidRPr="00E54F41" w:rsidRDefault="008D292F" w:rsidP="00ED7E83">
            <w:pPr>
              <w:keepNext/>
              <w:keepLines/>
              <w:jc w:val="both"/>
              <w:rPr>
                <w:b/>
                <w:szCs w:val="24"/>
                <w:lang w:val="fr-CA"/>
              </w:rPr>
            </w:pPr>
            <w:r w:rsidRPr="00E54F41">
              <w:rPr>
                <w:b/>
                <w:szCs w:val="24"/>
                <w:lang w:val="fr-CA"/>
              </w:rPr>
              <w:t>JUGEMENTS RENDUS SUR LES DEMANDES D’AUTORISATION</w:t>
            </w:r>
          </w:p>
        </w:tc>
      </w:tr>
    </w:tbl>
    <w:p w:rsidR="008D292F" w:rsidRPr="00E54F41" w:rsidRDefault="008D292F" w:rsidP="008D292F">
      <w:pPr>
        <w:rPr>
          <w:sz w:val="20"/>
          <w:szCs w:val="20"/>
          <w:lang w:val="fr-CA"/>
        </w:rPr>
      </w:pPr>
    </w:p>
    <w:p w:rsidR="000E2959" w:rsidRPr="00E54F41" w:rsidRDefault="00F16A67" w:rsidP="000E2959">
      <w:pPr>
        <w:rPr>
          <w:b/>
          <w:sz w:val="20"/>
          <w:szCs w:val="20"/>
        </w:rPr>
      </w:pPr>
      <w:r w:rsidRPr="00E54F41">
        <w:rPr>
          <w:b/>
          <w:sz w:val="20"/>
          <w:szCs w:val="20"/>
        </w:rPr>
        <w:t xml:space="preserve">NOVEMBER </w:t>
      </w:r>
      <w:r w:rsidR="00E02E21" w:rsidRPr="00E54F41">
        <w:rPr>
          <w:b/>
          <w:sz w:val="20"/>
          <w:szCs w:val="20"/>
        </w:rPr>
        <w:t>24</w:t>
      </w:r>
      <w:r w:rsidR="000E2959" w:rsidRPr="00E54F41">
        <w:rPr>
          <w:b/>
          <w:sz w:val="20"/>
          <w:szCs w:val="20"/>
        </w:rPr>
        <w:t xml:space="preserve">, </w:t>
      </w:r>
      <w:r w:rsidR="0030050B" w:rsidRPr="00E54F41">
        <w:rPr>
          <w:b/>
          <w:sz w:val="20"/>
          <w:szCs w:val="20"/>
        </w:rPr>
        <w:t>2016</w:t>
      </w:r>
      <w:r w:rsidR="00E02E21" w:rsidRPr="00E54F41">
        <w:rPr>
          <w:b/>
          <w:sz w:val="20"/>
          <w:szCs w:val="20"/>
        </w:rPr>
        <w:t xml:space="preserve"> / LE 24</w:t>
      </w:r>
      <w:r w:rsidRPr="00E54F41">
        <w:rPr>
          <w:b/>
          <w:sz w:val="20"/>
          <w:szCs w:val="20"/>
        </w:rPr>
        <w:t xml:space="preserve"> NOVEMBRE</w:t>
      </w:r>
      <w:r w:rsidR="000E2959" w:rsidRPr="00E54F41">
        <w:rPr>
          <w:b/>
          <w:sz w:val="20"/>
          <w:szCs w:val="20"/>
        </w:rPr>
        <w:t xml:space="preserve"> </w:t>
      </w:r>
      <w:r w:rsidR="0030050B" w:rsidRPr="00E54F41">
        <w:rPr>
          <w:b/>
          <w:sz w:val="20"/>
          <w:szCs w:val="20"/>
        </w:rPr>
        <w:t>2016</w:t>
      </w:r>
    </w:p>
    <w:p w:rsidR="000E2959" w:rsidRPr="00E54F41"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A419D" w:rsidRPr="00E54F41" w:rsidTr="007E1E07">
        <w:tc>
          <w:tcPr>
            <w:tcW w:w="543" w:type="pct"/>
          </w:tcPr>
          <w:p w:rsidR="00EA419D" w:rsidRPr="00E54F41" w:rsidRDefault="00EA419D" w:rsidP="007E1E07">
            <w:pPr>
              <w:jc w:val="both"/>
              <w:rPr>
                <w:sz w:val="20"/>
              </w:rPr>
            </w:pPr>
            <w:r w:rsidRPr="00E54F41">
              <w:rPr>
                <w:rStyle w:val="SCCFileNumberChar"/>
                <w:sz w:val="20"/>
                <w:szCs w:val="20"/>
              </w:rPr>
              <w:t>37111</w:t>
            </w:r>
          </w:p>
        </w:tc>
        <w:tc>
          <w:tcPr>
            <w:tcW w:w="4457" w:type="pct"/>
          </w:tcPr>
          <w:p w:rsidR="00EA419D" w:rsidRPr="00B904CB" w:rsidRDefault="00EA419D" w:rsidP="007E1E07">
            <w:pPr>
              <w:pStyle w:val="SCCLsocParty"/>
              <w:jc w:val="both"/>
              <w:rPr>
                <w:b/>
                <w:sz w:val="20"/>
                <w:szCs w:val="20"/>
                <w:lang w:val="en-US"/>
              </w:rPr>
            </w:pPr>
            <w:r w:rsidRPr="00B904CB">
              <w:rPr>
                <w:b/>
                <w:sz w:val="20"/>
                <w:szCs w:val="20"/>
                <w:lang w:val="en-US"/>
              </w:rPr>
              <w:t>Dave Lamouche v. Lester Calaheson, Gift Lake Metis Settlement, Gift Lake Metis Settlement Council</w:t>
            </w:r>
          </w:p>
          <w:p w:rsidR="00EA419D" w:rsidRPr="00E54F41" w:rsidRDefault="00EA419D" w:rsidP="007E1E07">
            <w:pPr>
              <w:pStyle w:val="SCCLsocOtherPartySeparator"/>
              <w:rPr>
                <w:sz w:val="20"/>
                <w:szCs w:val="20"/>
              </w:rPr>
            </w:pPr>
            <w:r w:rsidRPr="00E54F41">
              <w:rPr>
                <w:sz w:val="20"/>
                <w:szCs w:val="20"/>
              </w:rPr>
              <w:t>- and -</w:t>
            </w:r>
          </w:p>
          <w:p w:rsidR="00EA419D" w:rsidRPr="00B904CB" w:rsidRDefault="00EA419D" w:rsidP="007E1E07">
            <w:pPr>
              <w:pStyle w:val="SCCLsocParty"/>
              <w:jc w:val="both"/>
              <w:rPr>
                <w:b/>
                <w:sz w:val="20"/>
                <w:szCs w:val="20"/>
                <w:lang w:val="en-US"/>
              </w:rPr>
            </w:pPr>
            <w:r w:rsidRPr="00B904CB">
              <w:rPr>
                <w:b/>
                <w:sz w:val="20"/>
                <w:szCs w:val="20"/>
                <w:lang w:val="en-US"/>
              </w:rPr>
              <w:t>Registrar of the Metis Settlements Land Registry, Minister of Justice and Solicitor General of Alberta</w:t>
            </w:r>
          </w:p>
          <w:p w:rsidR="00EA419D" w:rsidRPr="00E54F41" w:rsidRDefault="00EA419D" w:rsidP="007E1E07">
            <w:pPr>
              <w:jc w:val="both"/>
              <w:rPr>
                <w:sz w:val="20"/>
              </w:rPr>
            </w:pPr>
            <w:r w:rsidRPr="00E54F41">
              <w:rPr>
                <w:sz w:val="20"/>
              </w:rPr>
              <w:t>(Alta.) (Civil) (By Leave)</w:t>
            </w:r>
          </w:p>
        </w:tc>
      </w:tr>
      <w:tr w:rsidR="00EA419D" w:rsidRPr="00E54F41" w:rsidTr="007E1E07">
        <w:tc>
          <w:tcPr>
            <w:tcW w:w="543" w:type="pct"/>
          </w:tcPr>
          <w:p w:rsidR="00EA419D" w:rsidRPr="00E54F41" w:rsidRDefault="00EA419D" w:rsidP="007E1E07">
            <w:pPr>
              <w:jc w:val="both"/>
              <w:rPr>
                <w:rStyle w:val="SCCFileNumberChar"/>
                <w:b w:val="0"/>
                <w:sz w:val="20"/>
                <w:szCs w:val="20"/>
              </w:rPr>
            </w:pPr>
            <w:r w:rsidRPr="00E54F41">
              <w:rPr>
                <w:rStyle w:val="SCCFileNumberChar"/>
                <w:b w:val="0"/>
                <w:sz w:val="20"/>
                <w:szCs w:val="20"/>
              </w:rPr>
              <w:t xml:space="preserve">Coram: </w:t>
            </w:r>
          </w:p>
        </w:tc>
        <w:tc>
          <w:tcPr>
            <w:tcW w:w="4457" w:type="pct"/>
          </w:tcPr>
          <w:p w:rsidR="00EA419D" w:rsidRPr="00E54F41" w:rsidRDefault="00EA419D" w:rsidP="007E1E07">
            <w:pPr>
              <w:pStyle w:val="SCCLsocParty"/>
              <w:jc w:val="both"/>
              <w:rPr>
                <w:sz w:val="20"/>
                <w:szCs w:val="20"/>
                <w:u w:val="single"/>
                <w:lang w:val="en-CA"/>
              </w:rPr>
            </w:pPr>
            <w:r w:rsidRPr="00E54F41">
              <w:rPr>
                <w:sz w:val="20"/>
                <w:szCs w:val="20"/>
                <w:u w:val="single"/>
                <w:lang w:val="en-CA"/>
              </w:rPr>
              <w:t>McLachlin C.J. and Wagner and Gascon JJ.</w:t>
            </w:r>
          </w:p>
        </w:tc>
      </w:tr>
    </w:tbl>
    <w:p w:rsidR="00EA419D" w:rsidRPr="00E54F41" w:rsidRDefault="00EA419D" w:rsidP="00EA419D">
      <w:pPr>
        <w:rPr>
          <w:sz w:val="20"/>
          <w:szCs w:val="20"/>
        </w:rPr>
      </w:pPr>
    </w:p>
    <w:p w:rsidR="00EA419D" w:rsidRPr="00E54F41" w:rsidRDefault="00EA419D" w:rsidP="00EA419D">
      <w:pPr>
        <w:rPr>
          <w:sz w:val="20"/>
        </w:rPr>
      </w:pPr>
      <w:r w:rsidRPr="00E54F41">
        <w:rPr>
          <w:sz w:val="20"/>
        </w:rPr>
        <w:t xml:space="preserve">The motion of the respondent Lester </w:t>
      </w:r>
      <w:proofErr w:type="spellStart"/>
      <w:r w:rsidRPr="00E54F41">
        <w:rPr>
          <w:sz w:val="20"/>
        </w:rPr>
        <w:t>Calaheson</w:t>
      </w:r>
      <w:proofErr w:type="spellEnd"/>
      <w:r w:rsidRPr="00E54F41">
        <w:rPr>
          <w:sz w:val="20"/>
        </w:rPr>
        <w:t xml:space="preserve"> to strike certain paragraphs of the applicant’s reply factum is dismissed. The application for leave to appeal from the judgment of the Court of Appeal of Alberta (Edmonton), Number 1503-0226-AC, 2016 ABCA 185, dated June 10, 2016, is dismissed with costs.</w:t>
      </w:r>
    </w:p>
    <w:p w:rsidR="00EA419D" w:rsidRPr="00E54F41" w:rsidRDefault="00EA419D" w:rsidP="00EA419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419D" w:rsidRPr="00E54F41" w:rsidTr="007E1E07">
        <w:trPr>
          <w:trHeight w:val="873"/>
        </w:trPr>
        <w:tc>
          <w:tcPr>
            <w:tcW w:w="5000" w:type="pct"/>
            <w:gridSpan w:val="3"/>
          </w:tcPr>
          <w:p w:rsidR="00EA419D" w:rsidRPr="00E54F41" w:rsidRDefault="00EA419D" w:rsidP="007E1E07">
            <w:pPr>
              <w:jc w:val="both"/>
              <w:rPr>
                <w:sz w:val="20"/>
              </w:rPr>
            </w:pPr>
            <w:r w:rsidRPr="00E54F41">
              <w:rPr>
                <w:sz w:val="20"/>
              </w:rPr>
              <w:t xml:space="preserve">Elections – Contested election in a Metis settlement in Alberta – Does the Court’s 2011 decision in </w:t>
            </w:r>
            <w:r w:rsidRPr="00E54F41">
              <w:rPr>
                <w:i/>
                <w:sz w:val="20"/>
              </w:rPr>
              <w:t>Alberta v. Cunningham</w:t>
            </w:r>
            <w:r w:rsidRPr="00E54F41">
              <w:rPr>
                <w:sz w:val="20"/>
              </w:rPr>
              <w:t xml:space="preserve">, [2011] 2 S.C.R. 670, overturning a 2009 decision by the Alberta Court of Appeal, operate retroactively, putting into question the voting eligibility of persons who had obtained membership in a Metis settlement between the time of those two decisions? – Is a voter’s inability to vote in a Metis Settlement election determined on the day of the election or on a subsequent day when he or she is removed from the Membership List? – In light of the Court’s decision in </w:t>
            </w:r>
            <w:r w:rsidRPr="00E54F41">
              <w:rPr>
                <w:i/>
                <w:sz w:val="20"/>
              </w:rPr>
              <w:t>Daniels v. Canada</w:t>
            </w:r>
            <w:r w:rsidRPr="00E54F41">
              <w:rPr>
                <w:sz w:val="20"/>
              </w:rPr>
              <w:t>, 2016 SCC 12, are ss. 75 and 90 of the Metis Settlements Act, R.S.A. 2000, c. M-14, unconstitutional?</w:t>
            </w:r>
          </w:p>
        </w:tc>
      </w:tr>
      <w:tr w:rsidR="00EA419D" w:rsidRPr="00E54F41" w:rsidTr="007E1E07">
        <w:tc>
          <w:tcPr>
            <w:tcW w:w="5000" w:type="pct"/>
            <w:gridSpan w:val="3"/>
          </w:tcPr>
          <w:p w:rsidR="00EA419D" w:rsidRPr="00E54F41" w:rsidRDefault="00EA419D" w:rsidP="007E1E07">
            <w:pPr>
              <w:jc w:val="both"/>
              <w:rPr>
                <w:sz w:val="20"/>
              </w:rPr>
            </w:pPr>
            <w:r w:rsidRPr="00E54F41">
              <w:rPr>
                <w:sz w:val="20"/>
              </w:rPr>
              <w:t>Mr. </w:t>
            </w:r>
            <w:proofErr w:type="spellStart"/>
            <w:r w:rsidRPr="00E54F41">
              <w:rPr>
                <w:sz w:val="20"/>
              </w:rPr>
              <w:t>Lamouche</w:t>
            </w:r>
            <w:proofErr w:type="spellEnd"/>
            <w:r w:rsidRPr="00E54F41">
              <w:rPr>
                <w:sz w:val="20"/>
              </w:rPr>
              <w:t xml:space="preserve"> was a councillor of the Gift Lake Metis Settlement. Mr. </w:t>
            </w:r>
            <w:proofErr w:type="spellStart"/>
            <w:r w:rsidRPr="00E54F41">
              <w:rPr>
                <w:sz w:val="20"/>
              </w:rPr>
              <w:t>Calaheson</w:t>
            </w:r>
            <w:proofErr w:type="spellEnd"/>
            <w:r w:rsidRPr="00E54F41">
              <w:rPr>
                <w:sz w:val="20"/>
              </w:rPr>
              <w:t xml:space="preserve"> contested the 2013 Gift Lake Metis Settlement election results on two fronts. First, one person who was elected was ineligible to be nominated. Second, some persons who voted were allegedly ineligible to vote because they were not lawful members of the Settlement. </w:t>
            </w:r>
          </w:p>
          <w:p w:rsidR="00EA419D" w:rsidRPr="00E54F41" w:rsidRDefault="00EA419D" w:rsidP="007E1E07">
            <w:pPr>
              <w:jc w:val="both"/>
              <w:rPr>
                <w:sz w:val="20"/>
              </w:rPr>
            </w:pPr>
          </w:p>
          <w:p w:rsidR="00EA419D" w:rsidRPr="00E54F41" w:rsidRDefault="00EA419D" w:rsidP="007E1E07">
            <w:pPr>
              <w:jc w:val="both"/>
              <w:rPr>
                <w:sz w:val="20"/>
              </w:rPr>
            </w:pPr>
            <w:r w:rsidRPr="00E54F41">
              <w:rPr>
                <w:sz w:val="20"/>
              </w:rPr>
              <w:t>A judge of the Alberta Court of Queen’s Bench vacated the election of three councillors other than Mr. </w:t>
            </w:r>
            <w:proofErr w:type="spellStart"/>
            <w:r w:rsidRPr="00E54F41">
              <w:rPr>
                <w:sz w:val="20"/>
              </w:rPr>
              <w:t>Lamouche</w:t>
            </w:r>
            <w:proofErr w:type="spellEnd"/>
            <w:r w:rsidRPr="00E54F41">
              <w:rPr>
                <w:sz w:val="20"/>
              </w:rPr>
              <w:t>. The Court of Appeal overturned the decision. It admitted new evidence, ruled that in light of a combination of irregularities, the election of Mr. </w:t>
            </w:r>
            <w:proofErr w:type="spellStart"/>
            <w:r w:rsidRPr="00E54F41">
              <w:rPr>
                <w:sz w:val="20"/>
              </w:rPr>
              <w:t>Lamouche</w:t>
            </w:r>
            <w:proofErr w:type="spellEnd"/>
            <w:r w:rsidRPr="00E54F41">
              <w:rPr>
                <w:sz w:val="20"/>
              </w:rPr>
              <w:t xml:space="preserve"> should also have been set aside, and directed that a by-election be held. The by-election took place on September 19, 2016. Mr. </w:t>
            </w:r>
            <w:proofErr w:type="spellStart"/>
            <w:r w:rsidRPr="00E54F41">
              <w:rPr>
                <w:sz w:val="20"/>
              </w:rPr>
              <w:t>Lamouche</w:t>
            </w:r>
            <w:proofErr w:type="spellEnd"/>
            <w:r w:rsidRPr="00E54F41">
              <w:rPr>
                <w:sz w:val="20"/>
              </w:rPr>
              <w:t xml:space="preserve"> did not run for office.</w:t>
            </w:r>
          </w:p>
          <w:p w:rsidR="00EA419D" w:rsidRPr="00E54F41" w:rsidRDefault="00EA419D" w:rsidP="007E1E07">
            <w:pPr>
              <w:jc w:val="both"/>
              <w:rPr>
                <w:sz w:val="20"/>
              </w:rPr>
            </w:pPr>
          </w:p>
        </w:tc>
      </w:tr>
      <w:tr w:rsidR="00EA419D" w:rsidRPr="00E54F41" w:rsidTr="007E1E07">
        <w:tc>
          <w:tcPr>
            <w:tcW w:w="2427" w:type="pct"/>
          </w:tcPr>
          <w:p w:rsidR="00EA419D" w:rsidRPr="00E54F41" w:rsidRDefault="00EA419D" w:rsidP="007E1E07">
            <w:pPr>
              <w:jc w:val="both"/>
              <w:rPr>
                <w:sz w:val="20"/>
              </w:rPr>
            </w:pPr>
            <w:r w:rsidRPr="00E54F41">
              <w:rPr>
                <w:sz w:val="20"/>
              </w:rPr>
              <w:t>July 28, 2015</w:t>
            </w:r>
          </w:p>
          <w:p w:rsidR="00EA419D" w:rsidRPr="00E54F41" w:rsidRDefault="00EA419D" w:rsidP="007E1E07">
            <w:pPr>
              <w:jc w:val="both"/>
              <w:rPr>
                <w:sz w:val="20"/>
              </w:rPr>
            </w:pPr>
            <w:r w:rsidRPr="00E54F41">
              <w:rPr>
                <w:sz w:val="20"/>
              </w:rPr>
              <w:t>Court of Queen’s Bench of Alberta</w:t>
            </w:r>
          </w:p>
          <w:p w:rsidR="00EA419D" w:rsidRPr="00E54F41" w:rsidRDefault="00EA419D" w:rsidP="007E1E07">
            <w:pPr>
              <w:jc w:val="both"/>
              <w:rPr>
                <w:sz w:val="20"/>
              </w:rPr>
            </w:pPr>
            <w:r w:rsidRPr="00E54F41">
              <w:rPr>
                <w:sz w:val="20"/>
              </w:rPr>
              <w:t>(</w:t>
            </w:r>
            <w:proofErr w:type="spellStart"/>
            <w:r w:rsidRPr="00E54F41">
              <w:rPr>
                <w:sz w:val="20"/>
              </w:rPr>
              <w:t>Graesser</w:t>
            </w:r>
            <w:proofErr w:type="spellEnd"/>
            <w:r w:rsidRPr="00E54F41">
              <w:rPr>
                <w:sz w:val="20"/>
              </w:rPr>
              <w:t xml:space="preserve"> J.)</w:t>
            </w:r>
          </w:p>
          <w:p w:rsidR="00EA419D" w:rsidRPr="00E54F41" w:rsidRDefault="00B904CB" w:rsidP="007E1E07">
            <w:pPr>
              <w:jc w:val="both"/>
              <w:rPr>
                <w:sz w:val="20"/>
              </w:rPr>
            </w:pPr>
            <w:hyperlink r:id="rId23" w:history="1">
              <w:r w:rsidR="00EA419D" w:rsidRPr="00E54F41">
                <w:rPr>
                  <w:rStyle w:val="Hyperlink"/>
                  <w:sz w:val="20"/>
                </w:rPr>
                <w:t>2015 ABQB 470</w:t>
              </w:r>
            </w:hyperlink>
          </w:p>
          <w:p w:rsidR="00EA419D" w:rsidRPr="00E54F41" w:rsidRDefault="00EA419D" w:rsidP="007E1E07">
            <w:pPr>
              <w:jc w:val="both"/>
              <w:rPr>
                <w:sz w:val="20"/>
              </w:rPr>
            </w:pPr>
          </w:p>
        </w:tc>
        <w:tc>
          <w:tcPr>
            <w:tcW w:w="243" w:type="pct"/>
          </w:tcPr>
          <w:p w:rsidR="00EA419D" w:rsidRPr="00E54F41" w:rsidRDefault="00EA419D" w:rsidP="007E1E07">
            <w:pPr>
              <w:jc w:val="both"/>
              <w:rPr>
                <w:sz w:val="20"/>
              </w:rPr>
            </w:pPr>
          </w:p>
        </w:tc>
        <w:tc>
          <w:tcPr>
            <w:tcW w:w="2330" w:type="pct"/>
          </w:tcPr>
          <w:p w:rsidR="00EA419D" w:rsidRPr="00E54F41" w:rsidRDefault="00EA419D" w:rsidP="007E1E07">
            <w:pPr>
              <w:jc w:val="both"/>
              <w:rPr>
                <w:sz w:val="20"/>
              </w:rPr>
            </w:pPr>
            <w:r w:rsidRPr="00E54F41">
              <w:rPr>
                <w:sz w:val="20"/>
              </w:rPr>
              <w:t>Application to determine the validity of an election allowed in part; election of 3 out of 5 councillors set aside; new election ordered</w:t>
            </w:r>
          </w:p>
          <w:p w:rsidR="00EA419D" w:rsidRPr="00E54F41" w:rsidRDefault="00EA419D" w:rsidP="007E1E07">
            <w:pPr>
              <w:jc w:val="both"/>
              <w:rPr>
                <w:sz w:val="20"/>
              </w:rPr>
            </w:pPr>
          </w:p>
        </w:tc>
      </w:tr>
      <w:tr w:rsidR="00EA419D" w:rsidRPr="00E54F41" w:rsidTr="007E1E07">
        <w:tc>
          <w:tcPr>
            <w:tcW w:w="2427" w:type="pct"/>
          </w:tcPr>
          <w:p w:rsidR="00EA419D" w:rsidRPr="00E54F41" w:rsidRDefault="00EA419D" w:rsidP="007E1E07">
            <w:pPr>
              <w:jc w:val="both"/>
              <w:rPr>
                <w:sz w:val="20"/>
              </w:rPr>
            </w:pPr>
            <w:r w:rsidRPr="00E54F41">
              <w:rPr>
                <w:sz w:val="20"/>
              </w:rPr>
              <w:t>June 10, 2016</w:t>
            </w:r>
          </w:p>
          <w:p w:rsidR="00EA419D" w:rsidRPr="00E54F41" w:rsidRDefault="00EA419D" w:rsidP="007E1E07">
            <w:pPr>
              <w:jc w:val="both"/>
              <w:rPr>
                <w:sz w:val="20"/>
              </w:rPr>
            </w:pPr>
            <w:r w:rsidRPr="00E54F41">
              <w:rPr>
                <w:sz w:val="20"/>
              </w:rPr>
              <w:t>Court of Appeal of Alberta (Edmonton)</w:t>
            </w:r>
          </w:p>
          <w:p w:rsidR="00EA419D" w:rsidRPr="00E54F41" w:rsidRDefault="00EA419D" w:rsidP="007E1E07">
            <w:pPr>
              <w:jc w:val="both"/>
              <w:rPr>
                <w:sz w:val="20"/>
              </w:rPr>
            </w:pPr>
            <w:r w:rsidRPr="00E54F41">
              <w:rPr>
                <w:sz w:val="20"/>
              </w:rPr>
              <w:t>(</w:t>
            </w:r>
            <w:proofErr w:type="spellStart"/>
            <w:r w:rsidRPr="00E54F41">
              <w:rPr>
                <w:sz w:val="20"/>
              </w:rPr>
              <w:t>Costigan</w:t>
            </w:r>
            <w:proofErr w:type="spellEnd"/>
            <w:r w:rsidRPr="00E54F41">
              <w:rPr>
                <w:sz w:val="20"/>
              </w:rPr>
              <w:t xml:space="preserve">, Watson and </w:t>
            </w:r>
            <w:proofErr w:type="spellStart"/>
            <w:r w:rsidRPr="00E54F41">
              <w:rPr>
                <w:sz w:val="20"/>
              </w:rPr>
              <w:t>Bracco</w:t>
            </w:r>
            <w:proofErr w:type="spellEnd"/>
            <w:r w:rsidRPr="00E54F41">
              <w:rPr>
                <w:sz w:val="20"/>
              </w:rPr>
              <w:t xml:space="preserve"> JJ.A.)</w:t>
            </w:r>
          </w:p>
          <w:p w:rsidR="00EA419D" w:rsidRPr="00E54F41" w:rsidRDefault="00B904CB" w:rsidP="007E1E07">
            <w:pPr>
              <w:jc w:val="both"/>
              <w:rPr>
                <w:sz w:val="20"/>
              </w:rPr>
            </w:pPr>
            <w:hyperlink r:id="rId24" w:history="1">
              <w:r w:rsidR="00EA419D" w:rsidRPr="00E54F41">
                <w:rPr>
                  <w:rStyle w:val="Hyperlink"/>
                  <w:sz w:val="20"/>
                </w:rPr>
                <w:t>2016 ABCA 185</w:t>
              </w:r>
            </w:hyperlink>
            <w:r w:rsidR="00EA419D" w:rsidRPr="00E54F41">
              <w:rPr>
                <w:sz w:val="20"/>
              </w:rPr>
              <w:t>; 1503-0226-AC</w:t>
            </w:r>
          </w:p>
          <w:p w:rsidR="00EA419D" w:rsidRPr="00E54F41" w:rsidRDefault="00EA419D" w:rsidP="007E1E07">
            <w:pPr>
              <w:jc w:val="both"/>
              <w:rPr>
                <w:sz w:val="20"/>
              </w:rPr>
            </w:pPr>
          </w:p>
        </w:tc>
        <w:tc>
          <w:tcPr>
            <w:tcW w:w="243" w:type="pct"/>
          </w:tcPr>
          <w:p w:rsidR="00EA419D" w:rsidRPr="00E54F41" w:rsidRDefault="00EA419D" w:rsidP="007E1E07">
            <w:pPr>
              <w:jc w:val="both"/>
              <w:rPr>
                <w:sz w:val="20"/>
              </w:rPr>
            </w:pPr>
          </w:p>
        </w:tc>
        <w:tc>
          <w:tcPr>
            <w:tcW w:w="2330" w:type="pct"/>
          </w:tcPr>
          <w:p w:rsidR="00EA419D" w:rsidRPr="00E54F41" w:rsidRDefault="00EA419D" w:rsidP="007E1E07">
            <w:pPr>
              <w:jc w:val="both"/>
              <w:rPr>
                <w:sz w:val="20"/>
              </w:rPr>
            </w:pPr>
            <w:r w:rsidRPr="00E54F41">
              <w:rPr>
                <w:sz w:val="20"/>
              </w:rPr>
              <w:t>Appeal allowed; election of applicant set aside; new election ordered</w:t>
            </w:r>
          </w:p>
          <w:p w:rsidR="00EA419D" w:rsidRPr="00E54F41" w:rsidRDefault="00EA419D" w:rsidP="007E1E07">
            <w:pPr>
              <w:jc w:val="both"/>
              <w:rPr>
                <w:sz w:val="20"/>
              </w:rPr>
            </w:pPr>
          </w:p>
        </w:tc>
      </w:tr>
      <w:tr w:rsidR="00EA419D" w:rsidRPr="00E54F41" w:rsidTr="007E1E07">
        <w:tc>
          <w:tcPr>
            <w:tcW w:w="2427" w:type="pct"/>
          </w:tcPr>
          <w:p w:rsidR="00EA419D" w:rsidRPr="00E54F41" w:rsidRDefault="00EA419D" w:rsidP="007E1E07">
            <w:pPr>
              <w:jc w:val="both"/>
              <w:rPr>
                <w:sz w:val="20"/>
              </w:rPr>
            </w:pPr>
            <w:r w:rsidRPr="00E54F41">
              <w:rPr>
                <w:sz w:val="20"/>
              </w:rPr>
              <w:t>September 1, 2016</w:t>
            </w:r>
          </w:p>
          <w:p w:rsidR="00EA419D" w:rsidRPr="00E54F41" w:rsidRDefault="00EA419D" w:rsidP="007E1E07">
            <w:pPr>
              <w:jc w:val="both"/>
              <w:rPr>
                <w:sz w:val="20"/>
              </w:rPr>
            </w:pPr>
            <w:r w:rsidRPr="00E54F41">
              <w:rPr>
                <w:sz w:val="20"/>
              </w:rPr>
              <w:t>Supreme Court of Canada</w:t>
            </w:r>
          </w:p>
        </w:tc>
        <w:tc>
          <w:tcPr>
            <w:tcW w:w="243" w:type="pct"/>
          </w:tcPr>
          <w:p w:rsidR="00EA419D" w:rsidRPr="00E54F41" w:rsidRDefault="00EA419D" w:rsidP="007E1E07">
            <w:pPr>
              <w:jc w:val="both"/>
              <w:rPr>
                <w:sz w:val="20"/>
              </w:rPr>
            </w:pPr>
          </w:p>
        </w:tc>
        <w:tc>
          <w:tcPr>
            <w:tcW w:w="2330" w:type="pct"/>
          </w:tcPr>
          <w:p w:rsidR="00EA419D" w:rsidRPr="00E54F41" w:rsidRDefault="00EA419D" w:rsidP="007E1E07">
            <w:pPr>
              <w:jc w:val="both"/>
              <w:rPr>
                <w:sz w:val="20"/>
              </w:rPr>
            </w:pPr>
            <w:r w:rsidRPr="00E54F41">
              <w:rPr>
                <w:sz w:val="20"/>
              </w:rPr>
              <w:t>Application for leave to appeal filed</w:t>
            </w:r>
          </w:p>
          <w:p w:rsidR="00EA419D" w:rsidRPr="00E54F41" w:rsidRDefault="00EA419D" w:rsidP="007E1E07">
            <w:pPr>
              <w:jc w:val="both"/>
              <w:rPr>
                <w:sz w:val="20"/>
              </w:rPr>
            </w:pPr>
          </w:p>
        </w:tc>
      </w:tr>
    </w:tbl>
    <w:p w:rsidR="00EA419D" w:rsidRPr="00E54F41" w:rsidRDefault="00EA419D" w:rsidP="00EA419D">
      <w:pPr>
        <w:rPr>
          <w:sz w:val="20"/>
        </w:rPr>
      </w:pPr>
    </w:p>
    <w:p w:rsidR="00EA419D" w:rsidRPr="00E54F41" w:rsidRDefault="00EA419D">
      <w:pPr>
        <w:rPr>
          <w:sz w:val="20"/>
          <w:szCs w:val="20"/>
        </w:rPr>
      </w:pPr>
      <w:r w:rsidRPr="00E54F41">
        <w:rPr>
          <w:sz w:val="20"/>
          <w:szCs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A419D" w:rsidRPr="00E54F41" w:rsidTr="007E1E07">
        <w:tc>
          <w:tcPr>
            <w:tcW w:w="543" w:type="pct"/>
          </w:tcPr>
          <w:p w:rsidR="00EA419D" w:rsidRPr="00E54F41" w:rsidRDefault="00EA419D" w:rsidP="007E1E07">
            <w:pPr>
              <w:jc w:val="both"/>
              <w:rPr>
                <w:sz w:val="20"/>
              </w:rPr>
            </w:pPr>
            <w:r w:rsidRPr="00E54F41">
              <w:rPr>
                <w:rStyle w:val="SCCFileNumberChar"/>
                <w:sz w:val="20"/>
                <w:szCs w:val="20"/>
              </w:rPr>
              <w:lastRenderedPageBreak/>
              <w:t>37111</w:t>
            </w:r>
          </w:p>
        </w:tc>
        <w:tc>
          <w:tcPr>
            <w:tcW w:w="4457" w:type="pct"/>
          </w:tcPr>
          <w:p w:rsidR="00EA419D" w:rsidRPr="00E54F41" w:rsidRDefault="00EA419D" w:rsidP="007E1E07">
            <w:pPr>
              <w:pStyle w:val="SCCLsocParty"/>
              <w:jc w:val="both"/>
              <w:rPr>
                <w:b/>
                <w:sz w:val="20"/>
                <w:szCs w:val="20"/>
                <w:lang w:val="en-US"/>
              </w:rPr>
            </w:pPr>
            <w:r w:rsidRPr="00E54F41">
              <w:rPr>
                <w:b/>
                <w:sz w:val="20"/>
                <w:szCs w:val="20"/>
                <w:lang w:val="en-US"/>
              </w:rPr>
              <w:t xml:space="preserve">Dave </w:t>
            </w:r>
            <w:proofErr w:type="spellStart"/>
            <w:r w:rsidRPr="00E54F41">
              <w:rPr>
                <w:b/>
                <w:sz w:val="20"/>
                <w:szCs w:val="20"/>
                <w:lang w:val="en-US"/>
              </w:rPr>
              <w:t>Lamouche</w:t>
            </w:r>
            <w:proofErr w:type="spellEnd"/>
            <w:r w:rsidRPr="00E54F41">
              <w:rPr>
                <w:b/>
                <w:sz w:val="20"/>
                <w:szCs w:val="20"/>
                <w:lang w:val="en-US"/>
              </w:rPr>
              <w:t xml:space="preserve"> c. Lester </w:t>
            </w:r>
            <w:proofErr w:type="spellStart"/>
            <w:r w:rsidRPr="00E54F41">
              <w:rPr>
                <w:b/>
                <w:sz w:val="20"/>
                <w:szCs w:val="20"/>
                <w:lang w:val="en-US"/>
              </w:rPr>
              <w:t>Calaheson</w:t>
            </w:r>
            <w:proofErr w:type="spellEnd"/>
            <w:r w:rsidRPr="00E54F41">
              <w:rPr>
                <w:b/>
                <w:sz w:val="20"/>
                <w:szCs w:val="20"/>
                <w:lang w:val="en-US"/>
              </w:rPr>
              <w:t>, Gift Lake Metis Settlement, Gift Lake Metis Settlement Council</w:t>
            </w:r>
          </w:p>
          <w:p w:rsidR="00EA419D" w:rsidRPr="00E54F41" w:rsidRDefault="00EA419D" w:rsidP="007E1E07">
            <w:pPr>
              <w:pStyle w:val="SCCLsocOtherPartySeparator"/>
              <w:rPr>
                <w:sz w:val="20"/>
                <w:szCs w:val="20"/>
                <w:lang w:val="en-US"/>
              </w:rPr>
            </w:pPr>
            <w:r w:rsidRPr="00E54F41">
              <w:rPr>
                <w:sz w:val="20"/>
                <w:szCs w:val="20"/>
                <w:lang w:val="en-US"/>
              </w:rPr>
              <w:t>- et -</w:t>
            </w:r>
          </w:p>
          <w:p w:rsidR="00EA419D" w:rsidRPr="00E54F41" w:rsidRDefault="00EA419D" w:rsidP="007E1E07">
            <w:pPr>
              <w:pStyle w:val="SCCLsocParty"/>
              <w:jc w:val="both"/>
              <w:rPr>
                <w:b/>
                <w:sz w:val="20"/>
                <w:szCs w:val="20"/>
                <w:lang w:val="en-US"/>
              </w:rPr>
            </w:pPr>
            <w:r w:rsidRPr="00E54F41">
              <w:rPr>
                <w:b/>
                <w:sz w:val="20"/>
                <w:szCs w:val="20"/>
                <w:lang w:val="en-US"/>
              </w:rPr>
              <w:t>Registrar of the Metis Settlements Land Registry, Minister of Justice and Solicitor General of Alberta</w:t>
            </w:r>
          </w:p>
          <w:p w:rsidR="00EA419D" w:rsidRPr="00E54F41" w:rsidRDefault="00EA419D" w:rsidP="007E1E07">
            <w:pPr>
              <w:jc w:val="both"/>
              <w:rPr>
                <w:sz w:val="20"/>
                <w:lang w:val="fr-CA"/>
              </w:rPr>
            </w:pPr>
            <w:r w:rsidRPr="00E54F41">
              <w:rPr>
                <w:sz w:val="20"/>
                <w:lang w:val="fr-CA"/>
              </w:rPr>
              <w:t>(</w:t>
            </w:r>
            <w:proofErr w:type="spellStart"/>
            <w:r w:rsidRPr="00E54F41">
              <w:rPr>
                <w:sz w:val="20"/>
                <w:lang w:val="fr-CA"/>
              </w:rPr>
              <w:t>Alb</w:t>
            </w:r>
            <w:proofErr w:type="spellEnd"/>
            <w:r w:rsidRPr="00E54F41">
              <w:rPr>
                <w:sz w:val="20"/>
                <w:lang w:val="fr-CA"/>
              </w:rPr>
              <w:t>) (</w:t>
            </w:r>
            <w:proofErr w:type="spellStart"/>
            <w:r w:rsidRPr="00E54F41">
              <w:rPr>
                <w:sz w:val="20"/>
                <w:lang w:val="fr-CA"/>
              </w:rPr>
              <w:t>Civille</w:t>
            </w:r>
            <w:proofErr w:type="spellEnd"/>
            <w:r w:rsidRPr="00E54F41">
              <w:rPr>
                <w:sz w:val="20"/>
                <w:lang w:val="fr-CA"/>
              </w:rPr>
              <w:t>) (Autorisation)</w:t>
            </w:r>
          </w:p>
        </w:tc>
      </w:tr>
      <w:tr w:rsidR="00EA419D" w:rsidRPr="00B904CB" w:rsidTr="007E1E07">
        <w:tc>
          <w:tcPr>
            <w:tcW w:w="543" w:type="pct"/>
          </w:tcPr>
          <w:p w:rsidR="00EA419D" w:rsidRPr="00E54F41" w:rsidRDefault="00EA419D" w:rsidP="007E1E07">
            <w:pPr>
              <w:jc w:val="both"/>
              <w:rPr>
                <w:rStyle w:val="SCCFileNumberChar"/>
                <w:b w:val="0"/>
                <w:sz w:val="20"/>
                <w:szCs w:val="20"/>
                <w:lang w:val="fr-CA"/>
              </w:rPr>
            </w:pPr>
            <w:r w:rsidRPr="00E54F41">
              <w:rPr>
                <w:rStyle w:val="SCCFileNumberChar"/>
                <w:b w:val="0"/>
                <w:sz w:val="20"/>
                <w:szCs w:val="20"/>
                <w:lang w:val="fr-CA"/>
              </w:rPr>
              <w:t xml:space="preserve">Coram: </w:t>
            </w:r>
          </w:p>
        </w:tc>
        <w:tc>
          <w:tcPr>
            <w:tcW w:w="4457" w:type="pct"/>
          </w:tcPr>
          <w:p w:rsidR="00EA419D" w:rsidRPr="00E54F41" w:rsidRDefault="00EA419D" w:rsidP="007E1E07">
            <w:pPr>
              <w:pStyle w:val="SCCLsocParty"/>
              <w:jc w:val="both"/>
              <w:rPr>
                <w:sz w:val="20"/>
                <w:szCs w:val="20"/>
                <w:u w:val="single"/>
              </w:rPr>
            </w:pPr>
            <w:r w:rsidRPr="00E54F41">
              <w:rPr>
                <w:sz w:val="20"/>
                <w:szCs w:val="20"/>
                <w:u w:val="single"/>
              </w:rPr>
              <w:t>La juge en chef McLachlin et les juges Wagner et Gascon</w:t>
            </w:r>
          </w:p>
        </w:tc>
      </w:tr>
      <w:tr w:rsidR="00EA419D" w:rsidRPr="00B904CB" w:rsidTr="007E1E07">
        <w:tc>
          <w:tcPr>
            <w:tcW w:w="5000" w:type="pct"/>
            <w:gridSpan w:val="2"/>
          </w:tcPr>
          <w:p w:rsidR="00EA419D" w:rsidRPr="00E54F41" w:rsidRDefault="00EA419D" w:rsidP="007E1E07">
            <w:pPr>
              <w:jc w:val="both"/>
              <w:rPr>
                <w:sz w:val="20"/>
                <w:szCs w:val="20"/>
                <w:lang w:val="fr-CA"/>
              </w:rPr>
            </w:pPr>
          </w:p>
          <w:p w:rsidR="00EA419D" w:rsidRPr="00E54F41" w:rsidRDefault="00EA419D" w:rsidP="007E1E07">
            <w:pPr>
              <w:jc w:val="both"/>
              <w:rPr>
                <w:sz w:val="20"/>
                <w:lang w:val="fr-CA"/>
              </w:rPr>
            </w:pPr>
            <w:r w:rsidRPr="00E54F41">
              <w:rPr>
                <w:rFonts w:cs="Times New Roman"/>
                <w:sz w:val="20"/>
                <w:lang w:val="fr-FR"/>
              </w:rPr>
              <w:t xml:space="preserve">La requête </w:t>
            </w:r>
            <w:r w:rsidRPr="00E54F41">
              <w:rPr>
                <w:sz w:val="20"/>
                <w:lang w:val="fr-CA"/>
              </w:rPr>
              <w:t xml:space="preserve">présentée par l’intimé Lester </w:t>
            </w:r>
            <w:proofErr w:type="spellStart"/>
            <w:r w:rsidRPr="00E54F41">
              <w:rPr>
                <w:sz w:val="20"/>
                <w:lang w:val="fr-CA"/>
              </w:rPr>
              <w:t>Calaheson</w:t>
            </w:r>
            <w:proofErr w:type="spellEnd"/>
            <w:r w:rsidRPr="00E54F41">
              <w:rPr>
                <w:sz w:val="20"/>
                <w:lang w:val="fr-CA"/>
              </w:rPr>
              <w:t xml:space="preserve"> en vue d’obtenir la radiation de</w:t>
            </w:r>
            <w:r w:rsidRPr="00E54F41">
              <w:rPr>
                <w:rFonts w:cs="Times New Roman"/>
                <w:sz w:val="20"/>
                <w:lang w:val="fr-FR"/>
              </w:rPr>
              <w:t xml:space="preserve"> certains paragraphes du mémoire en réplique du demandeur est rejetée. </w:t>
            </w:r>
            <w:r w:rsidRPr="00E54F41">
              <w:rPr>
                <w:rFonts w:cs="Times New Roman"/>
                <w:sz w:val="20"/>
                <w:lang w:val="fr-CA"/>
              </w:rPr>
              <w:t xml:space="preserve">La demande d’autorisation d’appel de l’arrêt de la </w:t>
            </w:r>
            <w:r w:rsidRPr="00E54F41">
              <w:rPr>
                <w:rFonts w:cs="Times New Roman"/>
                <w:sz w:val="20"/>
                <w:lang w:val="fr-FR"/>
              </w:rPr>
              <w:t>Cour d’appel de l’Alberta (Edmonton)</w:t>
            </w:r>
            <w:r w:rsidRPr="00E54F41">
              <w:rPr>
                <w:rFonts w:cs="Times New Roman"/>
                <w:sz w:val="20"/>
                <w:lang w:val="fr-CA"/>
              </w:rPr>
              <w:t xml:space="preserve">, numéro </w:t>
            </w:r>
            <w:r w:rsidRPr="00E54F41">
              <w:rPr>
                <w:rFonts w:cs="Times New Roman"/>
                <w:sz w:val="20"/>
                <w:lang w:val="fr-FR"/>
              </w:rPr>
              <w:t>1503-0226-AC, 2016 ABCA 185</w:t>
            </w:r>
            <w:r w:rsidRPr="00E54F41">
              <w:rPr>
                <w:rFonts w:cs="Times New Roman"/>
                <w:sz w:val="20"/>
                <w:lang w:val="fr-CA"/>
              </w:rPr>
              <w:t xml:space="preserve">, daté du </w:t>
            </w:r>
            <w:r w:rsidRPr="00E54F41">
              <w:rPr>
                <w:rFonts w:cs="Times New Roman"/>
                <w:sz w:val="20"/>
                <w:lang w:val="fr-FR"/>
              </w:rPr>
              <w:t>10 juin 2016</w:t>
            </w:r>
            <w:r w:rsidRPr="00E54F41">
              <w:rPr>
                <w:rFonts w:cs="Times New Roman"/>
                <w:sz w:val="20"/>
                <w:lang w:val="fr-CA"/>
              </w:rPr>
              <w:t>, est rejetée avec dépens.</w:t>
            </w:r>
          </w:p>
        </w:tc>
      </w:tr>
    </w:tbl>
    <w:p w:rsidR="00EA419D" w:rsidRPr="00E54F41" w:rsidRDefault="00EA419D" w:rsidP="00EA419D">
      <w:pPr>
        <w:rPr>
          <w:b/>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419D" w:rsidRPr="00E54F41" w:rsidTr="007E1E07">
        <w:tc>
          <w:tcPr>
            <w:tcW w:w="5000" w:type="pct"/>
            <w:gridSpan w:val="3"/>
          </w:tcPr>
          <w:p w:rsidR="00EA419D" w:rsidRPr="00E54F41" w:rsidRDefault="00EA419D" w:rsidP="007E1E07">
            <w:pPr>
              <w:jc w:val="both"/>
              <w:rPr>
                <w:sz w:val="20"/>
                <w:lang w:val="fr-CA"/>
              </w:rPr>
            </w:pPr>
            <w:r w:rsidRPr="00E54F41">
              <w:rPr>
                <w:sz w:val="20"/>
                <w:lang w:val="fr-CA"/>
              </w:rPr>
              <w:t xml:space="preserve">Élections – Contestation d’une élection dans un établissement métis en Alberta – L’arrêt de la Cour </w:t>
            </w:r>
            <w:r w:rsidRPr="00E54F41">
              <w:rPr>
                <w:i/>
                <w:sz w:val="20"/>
                <w:lang w:val="fr-CA"/>
              </w:rPr>
              <w:t>Alberta c. Cunningham</w:t>
            </w:r>
            <w:r w:rsidRPr="00E54F41">
              <w:rPr>
                <w:sz w:val="20"/>
                <w:lang w:val="fr-CA"/>
              </w:rPr>
              <w:t xml:space="preserve">, [2011] 2 R.C.S. 670, qui a infirmé une décision de la Cour d’appel de l’Alberta datée de 2009, </w:t>
            </w:r>
            <w:proofErr w:type="spellStart"/>
            <w:r w:rsidRPr="00E54F41">
              <w:rPr>
                <w:sz w:val="20"/>
                <w:lang w:val="fr-CA"/>
              </w:rPr>
              <w:t>a-t-il</w:t>
            </w:r>
            <w:proofErr w:type="spellEnd"/>
            <w:r w:rsidRPr="00E54F41">
              <w:rPr>
                <w:sz w:val="20"/>
                <w:lang w:val="fr-CA"/>
              </w:rPr>
              <w:t xml:space="preserve"> un effet rétroactif, ce qui remettrait en question l’admissibilité à voter des personnes devenues membres d’un établissement métis entre ces deux décisions? – L’incapacité de voter lors d’une élection dans un établissement métis est-elle établie le jour de l’élection ou le jour subséquent où l’électeur est retranché de la liste des membres de sa bande? – Compte tenu de l’arrêt </w:t>
            </w:r>
            <w:r w:rsidRPr="00E54F41">
              <w:rPr>
                <w:i/>
                <w:sz w:val="20"/>
                <w:lang w:val="fr-CA"/>
              </w:rPr>
              <w:t>Daniels c. Canada</w:t>
            </w:r>
            <w:r w:rsidRPr="00E54F41">
              <w:rPr>
                <w:sz w:val="20"/>
                <w:lang w:val="fr-CA"/>
              </w:rPr>
              <w:t xml:space="preserve">, 2016 CSC 12, les articles 75 et 90 de la </w:t>
            </w:r>
            <w:proofErr w:type="spellStart"/>
            <w:r w:rsidRPr="00E54F41">
              <w:rPr>
                <w:i/>
                <w:sz w:val="20"/>
                <w:lang w:val="fr-CA"/>
              </w:rPr>
              <w:t>Metis</w:t>
            </w:r>
            <w:proofErr w:type="spellEnd"/>
            <w:r w:rsidRPr="00E54F41">
              <w:rPr>
                <w:i/>
                <w:sz w:val="20"/>
                <w:lang w:val="fr-CA"/>
              </w:rPr>
              <w:t xml:space="preserve"> </w:t>
            </w:r>
            <w:proofErr w:type="spellStart"/>
            <w:r w:rsidRPr="00E54F41">
              <w:rPr>
                <w:i/>
                <w:sz w:val="20"/>
                <w:lang w:val="fr-CA"/>
              </w:rPr>
              <w:t>Settlements</w:t>
            </w:r>
            <w:proofErr w:type="spellEnd"/>
            <w:r w:rsidRPr="00E54F41">
              <w:rPr>
                <w:i/>
                <w:sz w:val="20"/>
                <w:lang w:val="fr-CA"/>
              </w:rPr>
              <w:t xml:space="preserve"> </w:t>
            </w:r>
            <w:proofErr w:type="spellStart"/>
            <w:r w:rsidRPr="00E54F41">
              <w:rPr>
                <w:i/>
                <w:sz w:val="20"/>
                <w:lang w:val="fr-CA"/>
              </w:rPr>
              <w:t>Act</w:t>
            </w:r>
            <w:proofErr w:type="spellEnd"/>
            <w:r w:rsidRPr="00E54F41">
              <w:rPr>
                <w:sz w:val="20"/>
                <w:lang w:val="fr-CA"/>
              </w:rPr>
              <w:t>, R.S.A. 2000, ch. M-14, sont-ils inconstitutionnels?</w:t>
            </w:r>
          </w:p>
        </w:tc>
      </w:tr>
      <w:tr w:rsidR="00EA419D" w:rsidRPr="00B904CB" w:rsidTr="007E1E07">
        <w:tc>
          <w:tcPr>
            <w:tcW w:w="5000" w:type="pct"/>
            <w:gridSpan w:val="3"/>
          </w:tcPr>
          <w:p w:rsidR="00EA419D" w:rsidRPr="00E54F41" w:rsidRDefault="00EA419D" w:rsidP="007E1E07">
            <w:pPr>
              <w:jc w:val="both"/>
              <w:rPr>
                <w:sz w:val="20"/>
                <w:lang w:val="fr-CA"/>
              </w:rPr>
            </w:pPr>
            <w:r w:rsidRPr="00E54F41">
              <w:rPr>
                <w:sz w:val="20"/>
                <w:lang w:val="fr-CA"/>
              </w:rPr>
              <w:t>M. </w:t>
            </w:r>
            <w:proofErr w:type="spellStart"/>
            <w:r w:rsidRPr="00E54F41">
              <w:rPr>
                <w:sz w:val="20"/>
                <w:lang w:val="fr-CA"/>
              </w:rPr>
              <w:t>Lamouche</w:t>
            </w:r>
            <w:proofErr w:type="spellEnd"/>
            <w:r w:rsidRPr="00E54F41">
              <w:rPr>
                <w:sz w:val="20"/>
                <w:lang w:val="fr-CA"/>
              </w:rPr>
              <w:t xml:space="preserve"> était </w:t>
            </w:r>
            <w:proofErr w:type="gramStart"/>
            <w:r w:rsidRPr="00E54F41">
              <w:rPr>
                <w:sz w:val="20"/>
                <w:lang w:val="fr-CA"/>
              </w:rPr>
              <w:t>conseiller</w:t>
            </w:r>
            <w:proofErr w:type="gramEnd"/>
            <w:r w:rsidRPr="00E54F41">
              <w:rPr>
                <w:sz w:val="20"/>
                <w:lang w:val="fr-CA"/>
              </w:rPr>
              <w:t xml:space="preserve"> du Gift Lake </w:t>
            </w:r>
            <w:proofErr w:type="spellStart"/>
            <w:r w:rsidRPr="00E54F41">
              <w:rPr>
                <w:sz w:val="20"/>
                <w:lang w:val="fr-CA"/>
              </w:rPr>
              <w:t>Metis</w:t>
            </w:r>
            <w:proofErr w:type="spellEnd"/>
            <w:r w:rsidRPr="00E54F41">
              <w:rPr>
                <w:sz w:val="20"/>
                <w:lang w:val="fr-CA"/>
              </w:rPr>
              <w:t xml:space="preserve"> </w:t>
            </w:r>
            <w:proofErr w:type="spellStart"/>
            <w:r w:rsidRPr="00E54F41">
              <w:rPr>
                <w:sz w:val="20"/>
                <w:lang w:val="fr-CA"/>
              </w:rPr>
              <w:t>Settlement</w:t>
            </w:r>
            <w:proofErr w:type="spellEnd"/>
            <w:r w:rsidRPr="00E54F41">
              <w:rPr>
                <w:sz w:val="20"/>
                <w:lang w:val="fr-CA"/>
              </w:rPr>
              <w:t>. M. </w:t>
            </w:r>
            <w:proofErr w:type="spellStart"/>
            <w:r w:rsidRPr="00E54F41">
              <w:rPr>
                <w:sz w:val="20"/>
                <w:lang w:val="fr-CA"/>
              </w:rPr>
              <w:t>Calaheson</w:t>
            </w:r>
            <w:proofErr w:type="spellEnd"/>
            <w:r w:rsidRPr="00E54F41">
              <w:rPr>
                <w:sz w:val="20"/>
                <w:lang w:val="fr-CA"/>
              </w:rPr>
              <w:t xml:space="preserve"> a contesté les résultats de l’élection de 2013 du Gift Lake </w:t>
            </w:r>
            <w:proofErr w:type="spellStart"/>
            <w:r w:rsidRPr="00E54F41">
              <w:rPr>
                <w:sz w:val="20"/>
                <w:lang w:val="fr-CA"/>
              </w:rPr>
              <w:t>Metis</w:t>
            </w:r>
            <w:proofErr w:type="spellEnd"/>
            <w:r w:rsidRPr="00E54F41">
              <w:rPr>
                <w:sz w:val="20"/>
                <w:lang w:val="fr-CA"/>
              </w:rPr>
              <w:t xml:space="preserve"> </w:t>
            </w:r>
            <w:proofErr w:type="spellStart"/>
            <w:r w:rsidRPr="00E54F41">
              <w:rPr>
                <w:sz w:val="20"/>
                <w:lang w:val="fr-CA"/>
              </w:rPr>
              <w:t>Settlement</w:t>
            </w:r>
            <w:proofErr w:type="spellEnd"/>
            <w:r w:rsidRPr="00E54F41">
              <w:rPr>
                <w:sz w:val="20"/>
                <w:lang w:val="fr-CA"/>
              </w:rPr>
              <w:t xml:space="preserve"> pour deux motifs; d’abord, une personne qui a été élue était inéligible à être nommée au poste de conseiller. Ensuite, certaines personnes qui ont exercé leur droit de vote n’auraient pas eu le droit de le faire, puisqu’elles n’étaient pas des membres légitimes de l’établissement. </w:t>
            </w:r>
          </w:p>
          <w:p w:rsidR="00EA419D" w:rsidRPr="00E54F41" w:rsidRDefault="00EA419D" w:rsidP="007E1E07">
            <w:pPr>
              <w:jc w:val="both"/>
              <w:rPr>
                <w:sz w:val="20"/>
                <w:lang w:val="fr-CA"/>
              </w:rPr>
            </w:pPr>
          </w:p>
          <w:p w:rsidR="00EA419D" w:rsidRPr="00E54F41" w:rsidRDefault="00EA419D" w:rsidP="007E1E07">
            <w:pPr>
              <w:jc w:val="both"/>
              <w:rPr>
                <w:sz w:val="20"/>
                <w:lang w:val="fr-CA"/>
              </w:rPr>
            </w:pPr>
            <w:r w:rsidRPr="00E54F41">
              <w:rPr>
                <w:sz w:val="20"/>
                <w:lang w:val="fr-CA"/>
              </w:rPr>
              <w:t>Un juge de la Cour du Banc de la Reine de l’Alberta a annulé l’élection de trois conseillers autres que M. </w:t>
            </w:r>
            <w:proofErr w:type="spellStart"/>
            <w:r w:rsidRPr="00E54F41">
              <w:rPr>
                <w:sz w:val="20"/>
                <w:lang w:val="fr-CA"/>
              </w:rPr>
              <w:t>Lamouche</w:t>
            </w:r>
            <w:proofErr w:type="spellEnd"/>
            <w:r w:rsidRPr="00E54F41">
              <w:rPr>
                <w:sz w:val="20"/>
                <w:lang w:val="fr-CA"/>
              </w:rPr>
              <w:t>. La Cour d’appel a infirmé la décision. Elle a admis de nouveaux éléments de preuve, a conclu que compte tenu d’un ensemble d’irrégularités, l’élection de M. </w:t>
            </w:r>
            <w:proofErr w:type="spellStart"/>
            <w:r w:rsidRPr="00E54F41">
              <w:rPr>
                <w:sz w:val="20"/>
                <w:lang w:val="fr-CA"/>
              </w:rPr>
              <w:t>Lamouche</w:t>
            </w:r>
            <w:proofErr w:type="spellEnd"/>
            <w:r w:rsidRPr="00E54F41">
              <w:rPr>
                <w:sz w:val="20"/>
                <w:lang w:val="fr-CA"/>
              </w:rPr>
              <w:t xml:space="preserve"> aurait également dû être annulée, et a ordonné qu’une élection partielle ait lieu. L’élection partielle a eu lieu le 19 septembre 2016. M. </w:t>
            </w:r>
            <w:proofErr w:type="spellStart"/>
            <w:r w:rsidRPr="00E54F41">
              <w:rPr>
                <w:sz w:val="20"/>
                <w:lang w:val="fr-CA"/>
              </w:rPr>
              <w:t>Lamouche</w:t>
            </w:r>
            <w:proofErr w:type="spellEnd"/>
            <w:r w:rsidRPr="00E54F41">
              <w:rPr>
                <w:sz w:val="20"/>
                <w:lang w:val="fr-CA"/>
              </w:rPr>
              <w:t xml:space="preserve"> ne s’est pas porté candidat.</w:t>
            </w:r>
          </w:p>
          <w:p w:rsidR="00EA419D" w:rsidRPr="00E54F41" w:rsidRDefault="00EA419D" w:rsidP="007E1E07">
            <w:pPr>
              <w:jc w:val="both"/>
              <w:rPr>
                <w:sz w:val="20"/>
                <w:lang w:val="fr-CA"/>
              </w:rPr>
            </w:pPr>
          </w:p>
        </w:tc>
      </w:tr>
      <w:tr w:rsidR="00EA419D" w:rsidRPr="00B904CB" w:rsidTr="007E1E07">
        <w:tc>
          <w:tcPr>
            <w:tcW w:w="2427" w:type="pct"/>
          </w:tcPr>
          <w:p w:rsidR="00EA419D" w:rsidRPr="00E54F41" w:rsidRDefault="00EA419D" w:rsidP="007E1E07">
            <w:pPr>
              <w:jc w:val="both"/>
              <w:rPr>
                <w:sz w:val="20"/>
                <w:lang w:val="fr-CA"/>
              </w:rPr>
            </w:pPr>
            <w:r w:rsidRPr="00E54F41">
              <w:rPr>
                <w:sz w:val="20"/>
                <w:lang w:val="fr-CA"/>
              </w:rPr>
              <w:t>28 juillet 2015</w:t>
            </w:r>
          </w:p>
          <w:p w:rsidR="00EA419D" w:rsidRPr="00E54F41" w:rsidRDefault="00EA419D" w:rsidP="007E1E07">
            <w:pPr>
              <w:jc w:val="both"/>
              <w:rPr>
                <w:sz w:val="20"/>
                <w:lang w:val="fr-CA"/>
              </w:rPr>
            </w:pPr>
            <w:r w:rsidRPr="00E54F41">
              <w:rPr>
                <w:sz w:val="20"/>
                <w:lang w:val="fr-CA"/>
              </w:rPr>
              <w:t>Cour du Banc de la Reine de l’Alberta</w:t>
            </w:r>
          </w:p>
          <w:p w:rsidR="00EA419D" w:rsidRPr="00E54F41" w:rsidRDefault="00EA419D" w:rsidP="007E1E07">
            <w:pPr>
              <w:jc w:val="both"/>
              <w:rPr>
                <w:sz w:val="20"/>
                <w:lang w:val="fr-CA"/>
              </w:rPr>
            </w:pPr>
            <w:r w:rsidRPr="00E54F41">
              <w:rPr>
                <w:sz w:val="20"/>
                <w:lang w:val="fr-CA"/>
              </w:rPr>
              <w:t xml:space="preserve">(Juge </w:t>
            </w:r>
            <w:proofErr w:type="spellStart"/>
            <w:r w:rsidRPr="00E54F41">
              <w:rPr>
                <w:sz w:val="20"/>
                <w:lang w:val="fr-CA"/>
              </w:rPr>
              <w:t>Graesser</w:t>
            </w:r>
            <w:proofErr w:type="spellEnd"/>
            <w:r w:rsidRPr="00E54F41">
              <w:rPr>
                <w:sz w:val="20"/>
                <w:lang w:val="fr-CA"/>
              </w:rPr>
              <w:t>)</w:t>
            </w:r>
          </w:p>
          <w:p w:rsidR="00EA419D" w:rsidRPr="00E54F41" w:rsidRDefault="00B904CB" w:rsidP="007E1E07">
            <w:pPr>
              <w:jc w:val="both"/>
              <w:rPr>
                <w:sz w:val="20"/>
                <w:lang w:val="fr-CA"/>
              </w:rPr>
            </w:pPr>
            <w:hyperlink r:id="rId25" w:history="1">
              <w:r w:rsidR="00EA419D" w:rsidRPr="00E54F41">
                <w:rPr>
                  <w:rStyle w:val="Hyperlink"/>
                  <w:sz w:val="20"/>
                  <w:lang w:val="fr-CA"/>
                </w:rPr>
                <w:t>2015 ABQB 470</w:t>
              </w:r>
            </w:hyperlink>
          </w:p>
          <w:p w:rsidR="00EA419D" w:rsidRPr="00E54F41" w:rsidRDefault="00EA419D" w:rsidP="007E1E07">
            <w:pPr>
              <w:jc w:val="both"/>
              <w:rPr>
                <w:sz w:val="20"/>
                <w:lang w:val="fr-CA"/>
              </w:rPr>
            </w:pPr>
          </w:p>
        </w:tc>
        <w:tc>
          <w:tcPr>
            <w:tcW w:w="243" w:type="pct"/>
          </w:tcPr>
          <w:p w:rsidR="00EA419D" w:rsidRPr="00E54F41" w:rsidRDefault="00EA419D" w:rsidP="007E1E07">
            <w:pPr>
              <w:jc w:val="both"/>
              <w:rPr>
                <w:sz w:val="20"/>
                <w:lang w:val="fr-CA"/>
              </w:rPr>
            </w:pPr>
          </w:p>
        </w:tc>
        <w:tc>
          <w:tcPr>
            <w:tcW w:w="2330" w:type="pct"/>
          </w:tcPr>
          <w:p w:rsidR="00EA419D" w:rsidRPr="00E54F41" w:rsidRDefault="00EA419D" w:rsidP="007E1E07">
            <w:pPr>
              <w:jc w:val="both"/>
              <w:rPr>
                <w:sz w:val="20"/>
                <w:lang w:val="fr-CA"/>
              </w:rPr>
            </w:pPr>
            <w:r w:rsidRPr="00E54F41">
              <w:rPr>
                <w:sz w:val="20"/>
                <w:lang w:val="fr-CA"/>
              </w:rPr>
              <w:t>Demande visant à déterminer la validité d’une élection accueillie en partie; élection de trois conseillers sur cinq annulée; nouvelle élection ordonnée</w:t>
            </w:r>
          </w:p>
          <w:p w:rsidR="00EA419D" w:rsidRPr="00E54F41" w:rsidRDefault="00EA419D" w:rsidP="007E1E07">
            <w:pPr>
              <w:jc w:val="both"/>
              <w:rPr>
                <w:sz w:val="20"/>
                <w:lang w:val="fr-CA"/>
              </w:rPr>
            </w:pPr>
          </w:p>
        </w:tc>
      </w:tr>
      <w:tr w:rsidR="00EA419D" w:rsidRPr="00B904CB" w:rsidTr="007E1E07">
        <w:tc>
          <w:tcPr>
            <w:tcW w:w="2427" w:type="pct"/>
          </w:tcPr>
          <w:p w:rsidR="00EA419D" w:rsidRPr="00E54F41" w:rsidRDefault="00EA419D" w:rsidP="007E1E07">
            <w:pPr>
              <w:jc w:val="both"/>
              <w:rPr>
                <w:sz w:val="20"/>
                <w:lang w:val="fr-CA"/>
              </w:rPr>
            </w:pPr>
            <w:r w:rsidRPr="00E54F41">
              <w:rPr>
                <w:sz w:val="20"/>
                <w:lang w:val="fr-CA"/>
              </w:rPr>
              <w:t>10 juin 2016</w:t>
            </w:r>
          </w:p>
          <w:p w:rsidR="00EA419D" w:rsidRPr="00E54F41" w:rsidRDefault="00EA419D" w:rsidP="007E1E07">
            <w:pPr>
              <w:jc w:val="both"/>
              <w:rPr>
                <w:sz w:val="20"/>
                <w:lang w:val="fr-CA"/>
              </w:rPr>
            </w:pPr>
            <w:r w:rsidRPr="00E54F41">
              <w:rPr>
                <w:sz w:val="20"/>
                <w:lang w:val="fr-CA"/>
              </w:rPr>
              <w:t>Cour d’appel de l’Alberta (Edmonton)</w:t>
            </w:r>
          </w:p>
          <w:p w:rsidR="00EA419D" w:rsidRPr="00E54F41" w:rsidRDefault="00EA419D" w:rsidP="007E1E07">
            <w:pPr>
              <w:jc w:val="both"/>
              <w:rPr>
                <w:sz w:val="20"/>
                <w:lang w:val="fr-CA"/>
              </w:rPr>
            </w:pPr>
            <w:r w:rsidRPr="00E54F41">
              <w:rPr>
                <w:sz w:val="20"/>
                <w:lang w:val="fr-CA"/>
              </w:rPr>
              <w:t xml:space="preserve">(Juges d’appel </w:t>
            </w:r>
            <w:proofErr w:type="spellStart"/>
            <w:r w:rsidRPr="00E54F41">
              <w:rPr>
                <w:sz w:val="20"/>
                <w:lang w:val="fr-CA"/>
              </w:rPr>
              <w:t>Costigan</w:t>
            </w:r>
            <w:proofErr w:type="spellEnd"/>
            <w:r w:rsidRPr="00E54F41">
              <w:rPr>
                <w:sz w:val="20"/>
                <w:lang w:val="fr-CA"/>
              </w:rPr>
              <w:t xml:space="preserve">, Watson et </w:t>
            </w:r>
            <w:proofErr w:type="spellStart"/>
            <w:r w:rsidRPr="00E54F41">
              <w:rPr>
                <w:sz w:val="20"/>
                <w:lang w:val="fr-CA"/>
              </w:rPr>
              <w:t>Bracco</w:t>
            </w:r>
            <w:proofErr w:type="spellEnd"/>
            <w:r w:rsidRPr="00E54F41">
              <w:rPr>
                <w:sz w:val="20"/>
                <w:lang w:val="fr-CA"/>
              </w:rPr>
              <w:t>)</w:t>
            </w:r>
          </w:p>
          <w:p w:rsidR="00EA419D" w:rsidRPr="00E54F41" w:rsidRDefault="00B904CB" w:rsidP="007E1E07">
            <w:pPr>
              <w:jc w:val="both"/>
              <w:rPr>
                <w:sz w:val="20"/>
                <w:lang w:val="fr-CA"/>
              </w:rPr>
            </w:pPr>
            <w:hyperlink r:id="rId26" w:history="1">
              <w:r w:rsidR="00EA419D" w:rsidRPr="00E54F41">
                <w:rPr>
                  <w:rStyle w:val="Hyperlink"/>
                  <w:sz w:val="20"/>
                  <w:lang w:val="fr-CA"/>
                </w:rPr>
                <w:t>2016 ABCA 185</w:t>
              </w:r>
            </w:hyperlink>
            <w:r w:rsidR="00EA419D" w:rsidRPr="00E54F41">
              <w:rPr>
                <w:sz w:val="20"/>
                <w:lang w:val="fr-CA"/>
              </w:rPr>
              <w:t>; 1503-0226-AC</w:t>
            </w:r>
          </w:p>
          <w:p w:rsidR="00EA419D" w:rsidRPr="00E54F41" w:rsidRDefault="00EA419D" w:rsidP="007E1E07">
            <w:pPr>
              <w:jc w:val="both"/>
              <w:rPr>
                <w:sz w:val="20"/>
                <w:lang w:val="fr-CA"/>
              </w:rPr>
            </w:pPr>
          </w:p>
        </w:tc>
        <w:tc>
          <w:tcPr>
            <w:tcW w:w="243" w:type="pct"/>
          </w:tcPr>
          <w:p w:rsidR="00EA419D" w:rsidRPr="00E54F41" w:rsidRDefault="00EA419D" w:rsidP="007E1E07">
            <w:pPr>
              <w:jc w:val="both"/>
              <w:rPr>
                <w:sz w:val="20"/>
                <w:lang w:val="fr-CA"/>
              </w:rPr>
            </w:pPr>
          </w:p>
        </w:tc>
        <w:tc>
          <w:tcPr>
            <w:tcW w:w="2330" w:type="pct"/>
          </w:tcPr>
          <w:p w:rsidR="00EA419D" w:rsidRPr="00E54F41" w:rsidRDefault="00EA419D" w:rsidP="007E1E07">
            <w:pPr>
              <w:jc w:val="both"/>
              <w:rPr>
                <w:sz w:val="20"/>
                <w:lang w:val="fr-CA"/>
              </w:rPr>
            </w:pPr>
            <w:r w:rsidRPr="00E54F41">
              <w:rPr>
                <w:sz w:val="20"/>
                <w:lang w:val="fr-CA"/>
              </w:rPr>
              <w:t>Appel accueilli; élection du demandeur annulée; nouvelle élection ordonnée</w:t>
            </w:r>
          </w:p>
          <w:p w:rsidR="00EA419D" w:rsidRPr="00E54F41" w:rsidRDefault="00EA419D" w:rsidP="007E1E07">
            <w:pPr>
              <w:jc w:val="both"/>
              <w:rPr>
                <w:sz w:val="20"/>
                <w:lang w:val="fr-CA"/>
              </w:rPr>
            </w:pPr>
          </w:p>
        </w:tc>
      </w:tr>
      <w:tr w:rsidR="00EA419D" w:rsidRPr="00E54F41" w:rsidTr="007E1E07">
        <w:tc>
          <w:tcPr>
            <w:tcW w:w="2427" w:type="pct"/>
          </w:tcPr>
          <w:p w:rsidR="00EA419D" w:rsidRPr="00E54F41" w:rsidRDefault="00EA419D" w:rsidP="007E1E07">
            <w:pPr>
              <w:jc w:val="both"/>
              <w:rPr>
                <w:sz w:val="20"/>
                <w:lang w:val="fr-CA"/>
              </w:rPr>
            </w:pPr>
            <w:r w:rsidRPr="00E54F41">
              <w:rPr>
                <w:sz w:val="20"/>
                <w:lang w:val="fr-CA"/>
              </w:rPr>
              <w:t>1</w:t>
            </w:r>
            <w:r w:rsidRPr="00E54F41">
              <w:rPr>
                <w:sz w:val="20"/>
                <w:vertAlign w:val="superscript"/>
                <w:lang w:val="fr-CA"/>
              </w:rPr>
              <w:t>er</w:t>
            </w:r>
            <w:r w:rsidRPr="00E54F41">
              <w:rPr>
                <w:sz w:val="20"/>
                <w:lang w:val="fr-CA"/>
              </w:rPr>
              <w:t xml:space="preserve"> septembre 2016</w:t>
            </w:r>
          </w:p>
          <w:p w:rsidR="00EA419D" w:rsidRPr="00E54F41" w:rsidRDefault="00EA419D" w:rsidP="007E1E07">
            <w:pPr>
              <w:jc w:val="both"/>
              <w:rPr>
                <w:sz w:val="20"/>
                <w:lang w:val="fr-CA"/>
              </w:rPr>
            </w:pPr>
            <w:r w:rsidRPr="00E54F41">
              <w:rPr>
                <w:sz w:val="20"/>
                <w:lang w:val="fr-CA"/>
              </w:rPr>
              <w:t>Cour suprême du Canada</w:t>
            </w:r>
          </w:p>
        </w:tc>
        <w:tc>
          <w:tcPr>
            <w:tcW w:w="243" w:type="pct"/>
          </w:tcPr>
          <w:p w:rsidR="00EA419D" w:rsidRPr="00E54F41" w:rsidRDefault="00EA419D" w:rsidP="007E1E07">
            <w:pPr>
              <w:jc w:val="both"/>
              <w:rPr>
                <w:sz w:val="20"/>
                <w:lang w:val="fr-CA"/>
              </w:rPr>
            </w:pPr>
          </w:p>
        </w:tc>
        <w:tc>
          <w:tcPr>
            <w:tcW w:w="2330" w:type="pct"/>
          </w:tcPr>
          <w:p w:rsidR="00EA419D" w:rsidRPr="00E54F41" w:rsidRDefault="00EA419D" w:rsidP="007E1E07">
            <w:pPr>
              <w:jc w:val="both"/>
              <w:rPr>
                <w:sz w:val="20"/>
                <w:lang w:val="fr-CA"/>
              </w:rPr>
            </w:pPr>
            <w:r w:rsidRPr="00E54F41">
              <w:rPr>
                <w:sz w:val="20"/>
                <w:lang w:val="fr-CA"/>
              </w:rPr>
              <w:t>Demande d’autorisation d’appel déposée</w:t>
            </w:r>
          </w:p>
          <w:p w:rsidR="00EA419D" w:rsidRPr="00E54F41" w:rsidRDefault="00EA419D" w:rsidP="007E1E07">
            <w:pPr>
              <w:jc w:val="both"/>
              <w:rPr>
                <w:sz w:val="20"/>
                <w:lang w:val="fr-CA"/>
              </w:rPr>
            </w:pPr>
          </w:p>
        </w:tc>
      </w:tr>
    </w:tbl>
    <w:p w:rsidR="00EA419D" w:rsidRPr="00E54F41" w:rsidRDefault="00EA419D" w:rsidP="00EA419D">
      <w:pPr>
        <w:rPr>
          <w:sz w:val="20"/>
          <w:szCs w:val="20"/>
          <w:lang w:val="fr-CA"/>
        </w:rPr>
      </w:pPr>
    </w:p>
    <w:p w:rsidR="00EA419D" w:rsidRPr="00E54F41" w:rsidRDefault="00EA419D" w:rsidP="00EA41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A419D" w:rsidRPr="00E54F41" w:rsidTr="007E1E07">
        <w:tc>
          <w:tcPr>
            <w:tcW w:w="543" w:type="pct"/>
          </w:tcPr>
          <w:p w:rsidR="00EA419D" w:rsidRPr="00E54F41" w:rsidRDefault="00EA419D" w:rsidP="007E1E07">
            <w:pPr>
              <w:jc w:val="both"/>
              <w:rPr>
                <w:sz w:val="20"/>
              </w:rPr>
            </w:pPr>
            <w:r w:rsidRPr="00E54F41">
              <w:rPr>
                <w:rStyle w:val="SCCFileNumberChar"/>
                <w:sz w:val="20"/>
                <w:szCs w:val="20"/>
              </w:rPr>
              <w:t>37172</w:t>
            </w:r>
          </w:p>
        </w:tc>
        <w:tc>
          <w:tcPr>
            <w:tcW w:w="4457" w:type="pct"/>
          </w:tcPr>
          <w:p w:rsidR="00EA419D" w:rsidRPr="00E54F41" w:rsidRDefault="00EA419D" w:rsidP="007E1E07">
            <w:pPr>
              <w:pStyle w:val="SCCLsocParty"/>
              <w:jc w:val="both"/>
              <w:rPr>
                <w:b/>
                <w:sz w:val="20"/>
                <w:szCs w:val="20"/>
                <w:lang w:val="en-CA"/>
              </w:rPr>
            </w:pPr>
            <w:r w:rsidRPr="00E54F41">
              <w:rPr>
                <w:b/>
                <w:sz w:val="20"/>
                <w:szCs w:val="20"/>
                <w:lang w:val="en-CA"/>
              </w:rPr>
              <w:t xml:space="preserve">9162-4676 Québec Inc. v. </w:t>
            </w:r>
            <w:proofErr w:type="spellStart"/>
            <w:r w:rsidRPr="00E54F41">
              <w:rPr>
                <w:b/>
                <w:sz w:val="20"/>
                <w:szCs w:val="20"/>
                <w:lang w:val="en-CA"/>
              </w:rPr>
              <w:t>Agence</w:t>
            </w:r>
            <w:proofErr w:type="spellEnd"/>
            <w:r w:rsidRPr="00E54F41">
              <w:rPr>
                <w:b/>
                <w:sz w:val="20"/>
                <w:szCs w:val="20"/>
                <w:lang w:val="en-CA"/>
              </w:rPr>
              <w:t xml:space="preserve"> du </w:t>
            </w:r>
            <w:proofErr w:type="spellStart"/>
            <w:r w:rsidRPr="00E54F41">
              <w:rPr>
                <w:b/>
                <w:sz w:val="20"/>
                <w:szCs w:val="20"/>
                <w:lang w:val="en-CA"/>
              </w:rPr>
              <w:t>revenu</w:t>
            </w:r>
            <w:proofErr w:type="spellEnd"/>
            <w:r w:rsidRPr="00E54F41">
              <w:rPr>
                <w:b/>
                <w:sz w:val="20"/>
                <w:szCs w:val="20"/>
                <w:lang w:val="en-CA"/>
              </w:rPr>
              <w:t xml:space="preserve"> du Québec, Salim </w:t>
            </w:r>
            <w:proofErr w:type="spellStart"/>
            <w:r w:rsidRPr="00E54F41">
              <w:rPr>
                <w:b/>
                <w:sz w:val="20"/>
                <w:szCs w:val="20"/>
                <w:lang w:val="en-CA"/>
              </w:rPr>
              <w:t>Boudjema</w:t>
            </w:r>
            <w:proofErr w:type="spellEnd"/>
            <w:r w:rsidRPr="00E54F41">
              <w:rPr>
                <w:b/>
                <w:sz w:val="20"/>
                <w:szCs w:val="20"/>
                <w:lang w:val="en-CA"/>
              </w:rPr>
              <w:t xml:space="preserve"> and Gilles Michaud, in his capacity of presiding justice of peace</w:t>
            </w:r>
          </w:p>
          <w:p w:rsidR="00EA419D" w:rsidRPr="00E54F41" w:rsidRDefault="00EA419D" w:rsidP="007E1E07">
            <w:pPr>
              <w:jc w:val="both"/>
              <w:rPr>
                <w:sz w:val="20"/>
              </w:rPr>
            </w:pPr>
            <w:r w:rsidRPr="00E54F41">
              <w:rPr>
                <w:sz w:val="20"/>
              </w:rPr>
              <w:t>(Que.) (Civil) (By Leave)</w:t>
            </w:r>
          </w:p>
        </w:tc>
      </w:tr>
      <w:tr w:rsidR="00EA419D" w:rsidRPr="00E54F41" w:rsidTr="007E1E07">
        <w:tc>
          <w:tcPr>
            <w:tcW w:w="543" w:type="pct"/>
          </w:tcPr>
          <w:p w:rsidR="00EA419D" w:rsidRPr="00E54F41" w:rsidRDefault="00EA419D" w:rsidP="007E1E07">
            <w:pPr>
              <w:jc w:val="both"/>
              <w:rPr>
                <w:rStyle w:val="SCCFileNumberChar"/>
                <w:b w:val="0"/>
                <w:sz w:val="20"/>
                <w:szCs w:val="20"/>
                <w:lang w:val="fr-CA"/>
              </w:rPr>
            </w:pPr>
            <w:r w:rsidRPr="00E54F41">
              <w:rPr>
                <w:rStyle w:val="SCCFileNumberChar"/>
                <w:b w:val="0"/>
                <w:sz w:val="20"/>
                <w:szCs w:val="20"/>
                <w:lang w:val="fr-CA"/>
              </w:rPr>
              <w:t xml:space="preserve">Coram: </w:t>
            </w:r>
          </w:p>
        </w:tc>
        <w:tc>
          <w:tcPr>
            <w:tcW w:w="4457" w:type="pct"/>
          </w:tcPr>
          <w:p w:rsidR="00EA419D" w:rsidRPr="00E54F41" w:rsidRDefault="00EA419D" w:rsidP="007E1E07">
            <w:pPr>
              <w:pStyle w:val="SCCLsocParty"/>
              <w:jc w:val="both"/>
              <w:rPr>
                <w:sz w:val="20"/>
                <w:szCs w:val="20"/>
                <w:u w:val="single"/>
                <w:lang w:val="en-CA"/>
              </w:rPr>
            </w:pPr>
            <w:r w:rsidRPr="00E54F41">
              <w:rPr>
                <w:sz w:val="20"/>
                <w:szCs w:val="20"/>
                <w:u w:val="single"/>
                <w:lang w:val="en-CA"/>
              </w:rPr>
              <w:t>McLachlin C.J. and Wagner and Gascon JJ.</w:t>
            </w:r>
          </w:p>
        </w:tc>
      </w:tr>
    </w:tbl>
    <w:p w:rsidR="00EA419D" w:rsidRPr="00E54F41" w:rsidRDefault="00EA419D" w:rsidP="00EA419D">
      <w:pPr>
        <w:rPr>
          <w:sz w:val="20"/>
          <w:szCs w:val="20"/>
        </w:rPr>
      </w:pPr>
    </w:p>
    <w:p w:rsidR="00EA419D" w:rsidRPr="00E54F41" w:rsidRDefault="00EA419D" w:rsidP="00EA419D">
      <w:pPr>
        <w:rPr>
          <w:b/>
          <w:sz w:val="16"/>
          <w:szCs w:val="20"/>
        </w:rPr>
      </w:pPr>
      <w:r w:rsidRPr="00E54F41">
        <w:rPr>
          <w:sz w:val="20"/>
        </w:rPr>
        <w:t>The application for leave to appeal from the judgment of the</w:t>
      </w:r>
      <w:bookmarkStart w:id="2" w:name="BM_1_"/>
      <w:bookmarkEnd w:id="2"/>
      <w:r w:rsidRPr="00E54F41">
        <w:rPr>
          <w:sz w:val="20"/>
        </w:rPr>
        <w:t xml:space="preserve"> Court of Appeal of Quebec (Montréal), Number 500-10-005738-149, 2016 QCCA 962, dated June 3, 2016, is dismissed with costs.</w:t>
      </w:r>
    </w:p>
    <w:p w:rsidR="00EA419D" w:rsidRPr="00E54F41" w:rsidRDefault="00EA419D" w:rsidP="00EA41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419D" w:rsidRPr="00E54F41" w:rsidTr="007E1E07">
        <w:tc>
          <w:tcPr>
            <w:tcW w:w="5000" w:type="pct"/>
            <w:gridSpan w:val="3"/>
          </w:tcPr>
          <w:p w:rsidR="00EA419D" w:rsidRPr="00E54F41" w:rsidRDefault="00EA419D" w:rsidP="007E1E07">
            <w:pPr>
              <w:jc w:val="both"/>
              <w:rPr>
                <w:sz w:val="20"/>
              </w:rPr>
            </w:pPr>
            <w:r w:rsidRPr="00E54F41">
              <w:rPr>
                <w:sz w:val="20"/>
              </w:rPr>
              <w:lastRenderedPageBreak/>
              <w:t xml:space="preserve">Administrative law – Judicial review – Search warrants – Failure to disclose facts – Validity of warrant – Whether Court of Appeal erred in finding that omissions from </w:t>
            </w:r>
            <w:proofErr w:type="spellStart"/>
            <w:r w:rsidRPr="00E54F41">
              <w:rPr>
                <w:sz w:val="20"/>
              </w:rPr>
              <w:t>informations</w:t>
            </w:r>
            <w:proofErr w:type="spellEnd"/>
            <w:r w:rsidRPr="00E54F41">
              <w:rPr>
                <w:sz w:val="20"/>
              </w:rPr>
              <w:t xml:space="preserve"> laid to obtain search warrants did not affect process of judicial authorization of warrants – Whether Court of Appeal erred in considering application for judicial review from perspective of sufficiency of grounds alleged in </w:t>
            </w:r>
            <w:proofErr w:type="spellStart"/>
            <w:r w:rsidRPr="00E54F41">
              <w:rPr>
                <w:sz w:val="20"/>
              </w:rPr>
              <w:t>informations</w:t>
            </w:r>
            <w:proofErr w:type="spellEnd"/>
            <w:r w:rsidRPr="00E54F41">
              <w:rPr>
                <w:sz w:val="20"/>
              </w:rPr>
              <w:t>.</w:t>
            </w:r>
          </w:p>
        </w:tc>
      </w:tr>
      <w:tr w:rsidR="00EA419D" w:rsidRPr="00E54F41" w:rsidTr="007E1E07">
        <w:tc>
          <w:tcPr>
            <w:tcW w:w="5000" w:type="pct"/>
            <w:gridSpan w:val="3"/>
          </w:tcPr>
          <w:p w:rsidR="00EA419D" w:rsidRPr="00E54F41" w:rsidRDefault="00EA419D" w:rsidP="007E1E07">
            <w:pPr>
              <w:jc w:val="both"/>
              <w:rPr>
                <w:sz w:val="20"/>
              </w:rPr>
            </w:pPr>
          </w:p>
        </w:tc>
      </w:tr>
      <w:tr w:rsidR="00EA419D" w:rsidRPr="00E54F41" w:rsidTr="007E1E07">
        <w:tc>
          <w:tcPr>
            <w:tcW w:w="5000" w:type="pct"/>
            <w:gridSpan w:val="3"/>
          </w:tcPr>
          <w:p w:rsidR="00EA419D" w:rsidRPr="00E54F41" w:rsidRDefault="00EA419D" w:rsidP="007E1E07">
            <w:pPr>
              <w:jc w:val="both"/>
              <w:rPr>
                <w:sz w:val="20"/>
              </w:rPr>
            </w:pPr>
            <w:r w:rsidRPr="00E54F41">
              <w:rPr>
                <w:sz w:val="20"/>
              </w:rPr>
              <w:t xml:space="preserve">In 2012, the respondent </w:t>
            </w:r>
            <w:proofErr w:type="spellStart"/>
            <w:r w:rsidRPr="00E54F41">
              <w:rPr>
                <w:sz w:val="20"/>
              </w:rPr>
              <w:t>Agence</w:t>
            </w:r>
            <w:proofErr w:type="spellEnd"/>
            <w:r w:rsidRPr="00E54F41">
              <w:rPr>
                <w:sz w:val="20"/>
              </w:rPr>
              <w:t xml:space="preserve"> du </w:t>
            </w:r>
            <w:proofErr w:type="spellStart"/>
            <w:r w:rsidRPr="00E54F41">
              <w:rPr>
                <w:sz w:val="20"/>
              </w:rPr>
              <w:t>revenu</w:t>
            </w:r>
            <w:proofErr w:type="spellEnd"/>
            <w:r w:rsidRPr="00E54F41">
              <w:rPr>
                <w:sz w:val="20"/>
              </w:rPr>
              <w:t xml:space="preserve"> du Québec (“ARQ”) investigated 9162</w:t>
            </w:r>
            <w:r w:rsidRPr="00E54F41">
              <w:rPr>
                <w:sz w:val="20"/>
              </w:rPr>
              <w:noBreakHyphen/>
              <w:t xml:space="preserve">4676 Québec </w:t>
            </w:r>
            <w:proofErr w:type="spellStart"/>
            <w:r w:rsidRPr="00E54F41">
              <w:rPr>
                <w:sz w:val="20"/>
              </w:rPr>
              <w:t>inc.</w:t>
            </w:r>
            <w:proofErr w:type="spellEnd"/>
            <w:r w:rsidRPr="00E54F41">
              <w:rPr>
                <w:sz w:val="20"/>
              </w:rPr>
              <w:t xml:space="preserve">, which operated, </w:t>
            </w:r>
            <w:r w:rsidRPr="00E54F41">
              <w:rPr>
                <w:i/>
                <w:sz w:val="20"/>
              </w:rPr>
              <w:t>inter alia</w:t>
            </w:r>
            <w:r w:rsidRPr="00E54F41">
              <w:rPr>
                <w:sz w:val="20"/>
              </w:rPr>
              <w:t xml:space="preserve">, under the name Placements </w:t>
            </w:r>
            <w:proofErr w:type="spellStart"/>
            <w:r w:rsidRPr="00E54F41">
              <w:rPr>
                <w:sz w:val="20"/>
              </w:rPr>
              <w:t>Trimax</w:t>
            </w:r>
            <w:proofErr w:type="spellEnd"/>
            <w:r w:rsidRPr="00E54F41">
              <w:rPr>
                <w:sz w:val="20"/>
              </w:rPr>
              <w:t xml:space="preserve"> (“</w:t>
            </w:r>
            <w:proofErr w:type="spellStart"/>
            <w:r w:rsidRPr="00E54F41">
              <w:rPr>
                <w:sz w:val="20"/>
              </w:rPr>
              <w:t>Trimax</w:t>
            </w:r>
            <w:proofErr w:type="spellEnd"/>
            <w:r w:rsidRPr="00E54F41">
              <w:rPr>
                <w:sz w:val="20"/>
              </w:rPr>
              <w:t xml:space="preserve">”). As a result of the audit, the ARQ believed that </w:t>
            </w:r>
            <w:proofErr w:type="spellStart"/>
            <w:r w:rsidRPr="00E54F41">
              <w:rPr>
                <w:sz w:val="20"/>
              </w:rPr>
              <w:t>Trimax</w:t>
            </w:r>
            <w:proofErr w:type="spellEnd"/>
            <w:r w:rsidRPr="00E54F41">
              <w:rPr>
                <w:sz w:val="20"/>
              </w:rPr>
              <w:t xml:space="preserve"> was at the centre of an </w:t>
            </w:r>
            <w:r w:rsidRPr="00E54F41">
              <w:rPr>
                <w:rFonts w:asciiTheme="minorBidi" w:hAnsiTheme="minorBidi"/>
                <w:sz w:val="20"/>
              </w:rPr>
              <w:t>[</w:t>
            </w:r>
            <w:r w:rsidRPr="00E54F41">
              <w:rPr>
                <w:rFonts w:asciiTheme="minorBidi" w:hAnsiTheme="minorBidi"/>
                <w:smallCaps/>
                <w:sz w:val="20"/>
              </w:rPr>
              <w:t>translation</w:t>
            </w:r>
            <w:r w:rsidRPr="00E54F41">
              <w:rPr>
                <w:sz w:val="20"/>
              </w:rPr>
              <w:t xml:space="preserve">] “accommodation scheme” in which companies provided false invoices that </w:t>
            </w:r>
            <w:proofErr w:type="spellStart"/>
            <w:r w:rsidRPr="00E54F41">
              <w:rPr>
                <w:sz w:val="20"/>
              </w:rPr>
              <w:t>Trimax</w:t>
            </w:r>
            <w:proofErr w:type="spellEnd"/>
            <w:r w:rsidRPr="00E54F41">
              <w:rPr>
                <w:sz w:val="20"/>
              </w:rPr>
              <w:t xml:space="preserve"> used to illegally claim an input tax refund and an input tax credit. The acts in question allegedly occurred between April 1, 2008 and April 30, 2011 and supported a claim for $802,407.41. The ARQ therefore issued notices of assessment, which it confirmed despite meetings held by the parties during which </w:t>
            </w:r>
            <w:proofErr w:type="spellStart"/>
            <w:r w:rsidRPr="00E54F41">
              <w:rPr>
                <w:sz w:val="20"/>
              </w:rPr>
              <w:t>Trimax</w:t>
            </w:r>
            <w:proofErr w:type="spellEnd"/>
            <w:r w:rsidRPr="00E54F41">
              <w:rPr>
                <w:sz w:val="20"/>
              </w:rPr>
              <w:t xml:space="preserve"> disputed the allegations.</w:t>
            </w:r>
          </w:p>
          <w:p w:rsidR="00EA419D" w:rsidRPr="00E54F41" w:rsidRDefault="00EA419D" w:rsidP="007E1E07">
            <w:pPr>
              <w:jc w:val="both"/>
              <w:rPr>
                <w:sz w:val="20"/>
              </w:rPr>
            </w:pPr>
          </w:p>
          <w:p w:rsidR="00EA419D" w:rsidRPr="00E54F41" w:rsidRDefault="00EA419D" w:rsidP="007E1E07">
            <w:pPr>
              <w:jc w:val="both"/>
              <w:rPr>
                <w:sz w:val="20"/>
              </w:rPr>
            </w:pPr>
            <w:r w:rsidRPr="00E54F41">
              <w:rPr>
                <w:sz w:val="20"/>
              </w:rPr>
              <w:t xml:space="preserve">In November 2013, the ARQ obtained search warrants against </w:t>
            </w:r>
            <w:proofErr w:type="spellStart"/>
            <w:r w:rsidRPr="00E54F41">
              <w:rPr>
                <w:sz w:val="20"/>
              </w:rPr>
              <w:t>Trimax</w:t>
            </w:r>
            <w:proofErr w:type="spellEnd"/>
            <w:r w:rsidRPr="00E54F41">
              <w:rPr>
                <w:sz w:val="20"/>
              </w:rPr>
              <w:t>, which were executed at its establishments, at its accountants’ establishments and at its lawyers’ offices.</w:t>
            </w:r>
          </w:p>
          <w:p w:rsidR="00EA419D" w:rsidRPr="00E54F41" w:rsidRDefault="00EA419D" w:rsidP="007E1E07">
            <w:pPr>
              <w:jc w:val="both"/>
              <w:rPr>
                <w:sz w:val="20"/>
              </w:rPr>
            </w:pPr>
          </w:p>
          <w:p w:rsidR="00EA419D" w:rsidRPr="00E54F41" w:rsidRDefault="00EA419D" w:rsidP="007E1E07">
            <w:pPr>
              <w:jc w:val="both"/>
              <w:rPr>
                <w:sz w:val="20"/>
              </w:rPr>
            </w:pPr>
            <w:proofErr w:type="spellStart"/>
            <w:r w:rsidRPr="00E54F41">
              <w:rPr>
                <w:sz w:val="20"/>
              </w:rPr>
              <w:t>Trimax</w:t>
            </w:r>
            <w:proofErr w:type="spellEnd"/>
            <w:r w:rsidRPr="00E54F41">
              <w:rPr>
                <w:sz w:val="20"/>
              </w:rPr>
              <w:t xml:space="preserve"> applied to the Superior Court to have the warrants quashed. It argued, </w:t>
            </w:r>
            <w:r w:rsidRPr="00E54F41">
              <w:rPr>
                <w:i/>
                <w:sz w:val="20"/>
              </w:rPr>
              <w:t>inter alia</w:t>
            </w:r>
            <w:r w:rsidRPr="00E54F41">
              <w:rPr>
                <w:sz w:val="20"/>
              </w:rPr>
              <w:t xml:space="preserve">, that the informant’s grounds omitted details about the meetings and the documents it had submitted during a </w:t>
            </w:r>
            <w:proofErr w:type="spellStart"/>
            <w:r w:rsidRPr="00E54F41">
              <w:rPr>
                <w:sz w:val="20"/>
              </w:rPr>
              <w:t>reaudit</w:t>
            </w:r>
            <w:proofErr w:type="spellEnd"/>
            <w:r w:rsidRPr="00E54F41">
              <w:rPr>
                <w:sz w:val="20"/>
              </w:rPr>
              <w:t xml:space="preserve"> and that the informant had failed to disclose two affidavits signed by </w:t>
            </w:r>
            <w:proofErr w:type="spellStart"/>
            <w:r w:rsidRPr="00E54F41">
              <w:rPr>
                <w:sz w:val="20"/>
              </w:rPr>
              <w:t>Trimax’s</w:t>
            </w:r>
            <w:proofErr w:type="spellEnd"/>
            <w:r w:rsidRPr="00E54F41">
              <w:rPr>
                <w:sz w:val="20"/>
              </w:rPr>
              <w:t xml:space="preserve"> subcontractors and clients that allegedly had the effect of undermining the credibility of the accommodation scheme theory. The Superior Court dismissed the motion for judicial review, and the Court of Appeal affirmed the decision in part.</w:t>
            </w:r>
          </w:p>
          <w:p w:rsidR="00EA419D" w:rsidRPr="00E54F41" w:rsidRDefault="00EA419D" w:rsidP="007E1E07">
            <w:pPr>
              <w:jc w:val="both"/>
              <w:rPr>
                <w:sz w:val="20"/>
              </w:rPr>
            </w:pPr>
          </w:p>
        </w:tc>
      </w:tr>
      <w:tr w:rsidR="00EA419D" w:rsidRPr="00E54F41" w:rsidTr="007E1E07">
        <w:tc>
          <w:tcPr>
            <w:tcW w:w="2427" w:type="pct"/>
          </w:tcPr>
          <w:p w:rsidR="00EA419D" w:rsidRPr="00E54F41" w:rsidRDefault="00EA419D" w:rsidP="007E1E07">
            <w:pPr>
              <w:jc w:val="both"/>
              <w:rPr>
                <w:sz w:val="20"/>
              </w:rPr>
            </w:pPr>
            <w:r w:rsidRPr="00E54F41">
              <w:rPr>
                <w:sz w:val="20"/>
              </w:rPr>
              <w:t>September 24, 2014</w:t>
            </w:r>
          </w:p>
          <w:p w:rsidR="00EA419D" w:rsidRPr="00E54F41" w:rsidRDefault="00EA419D" w:rsidP="007E1E07">
            <w:pPr>
              <w:jc w:val="both"/>
              <w:rPr>
                <w:sz w:val="20"/>
              </w:rPr>
            </w:pPr>
            <w:r w:rsidRPr="00E54F41">
              <w:rPr>
                <w:sz w:val="20"/>
              </w:rPr>
              <w:t>Quebec Superior Court</w:t>
            </w:r>
          </w:p>
          <w:p w:rsidR="00EA419D" w:rsidRPr="00E54F41" w:rsidRDefault="00EA419D" w:rsidP="007E1E07">
            <w:pPr>
              <w:jc w:val="both"/>
              <w:rPr>
                <w:sz w:val="20"/>
              </w:rPr>
            </w:pPr>
            <w:r w:rsidRPr="00E54F41">
              <w:rPr>
                <w:sz w:val="20"/>
              </w:rPr>
              <w:t>(Di Salvo J.)</w:t>
            </w:r>
          </w:p>
          <w:p w:rsidR="00EA419D" w:rsidRPr="00E54F41" w:rsidRDefault="00B904CB" w:rsidP="007E1E07">
            <w:pPr>
              <w:jc w:val="both"/>
              <w:rPr>
                <w:sz w:val="20"/>
              </w:rPr>
            </w:pPr>
            <w:hyperlink r:id="rId27" w:history="1">
              <w:r w:rsidR="00EA419D" w:rsidRPr="00E54F41">
                <w:rPr>
                  <w:rStyle w:val="Hyperlink"/>
                  <w:sz w:val="20"/>
                </w:rPr>
                <w:t>2014 QCCS 6666</w:t>
              </w:r>
            </w:hyperlink>
            <w:r w:rsidR="00EA419D" w:rsidRPr="00E54F41">
              <w:rPr>
                <w:sz w:val="20"/>
              </w:rPr>
              <w:t xml:space="preserve"> </w:t>
            </w:r>
          </w:p>
          <w:p w:rsidR="00EA419D" w:rsidRPr="00E54F41" w:rsidRDefault="00EA419D" w:rsidP="007E1E07">
            <w:pPr>
              <w:jc w:val="both"/>
              <w:rPr>
                <w:sz w:val="20"/>
              </w:rPr>
            </w:pPr>
          </w:p>
        </w:tc>
        <w:tc>
          <w:tcPr>
            <w:tcW w:w="243" w:type="pct"/>
          </w:tcPr>
          <w:p w:rsidR="00EA419D" w:rsidRPr="00E54F41" w:rsidRDefault="00EA419D" w:rsidP="007E1E07">
            <w:pPr>
              <w:jc w:val="both"/>
              <w:rPr>
                <w:sz w:val="20"/>
              </w:rPr>
            </w:pPr>
          </w:p>
        </w:tc>
        <w:tc>
          <w:tcPr>
            <w:tcW w:w="2330" w:type="pct"/>
          </w:tcPr>
          <w:p w:rsidR="00EA419D" w:rsidRPr="00E54F41" w:rsidRDefault="00EA419D" w:rsidP="007E1E07">
            <w:pPr>
              <w:jc w:val="both"/>
              <w:rPr>
                <w:sz w:val="20"/>
              </w:rPr>
            </w:pPr>
            <w:r w:rsidRPr="00E54F41">
              <w:rPr>
                <w:sz w:val="20"/>
              </w:rPr>
              <w:t>Motion for judicial review and order to return seized property dismissed</w:t>
            </w:r>
          </w:p>
          <w:p w:rsidR="00EA419D" w:rsidRPr="00E54F41" w:rsidRDefault="00EA419D" w:rsidP="007E1E07">
            <w:pPr>
              <w:jc w:val="both"/>
              <w:rPr>
                <w:sz w:val="20"/>
              </w:rPr>
            </w:pPr>
          </w:p>
        </w:tc>
      </w:tr>
      <w:tr w:rsidR="00EA419D" w:rsidRPr="00E54F41" w:rsidTr="007E1E07">
        <w:tc>
          <w:tcPr>
            <w:tcW w:w="2427" w:type="pct"/>
          </w:tcPr>
          <w:p w:rsidR="00EA419D" w:rsidRPr="00E54F41" w:rsidRDefault="00EA419D" w:rsidP="007E1E07">
            <w:pPr>
              <w:jc w:val="both"/>
              <w:rPr>
                <w:sz w:val="20"/>
              </w:rPr>
            </w:pPr>
            <w:r w:rsidRPr="00E54F41">
              <w:rPr>
                <w:sz w:val="20"/>
              </w:rPr>
              <w:t>June 3, 2016</w:t>
            </w:r>
          </w:p>
          <w:p w:rsidR="00EA419D" w:rsidRPr="00E54F41" w:rsidRDefault="00EA419D" w:rsidP="007E1E07">
            <w:pPr>
              <w:jc w:val="both"/>
              <w:rPr>
                <w:sz w:val="20"/>
              </w:rPr>
            </w:pPr>
            <w:r w:rsidRPr="00E54F41">
              <w:rPr>
                <w:sz w:val="20"/>
              </w:rPr>
              <w:t>Quebec Court of Appeal (Montréal)</w:t>
            </w:r>
          </w:p>
          <w:p w:rsidR="00EA419D" w:rsidRPr="00E54F41" w:rsidRDefault="00EA419D" w:rsidP="007E1E07">
            <w:pPr>
              <w:jc w:val="both"/>
              <w:rPr>
                <w:sz w:val="20"/>
              </w:rPr>
            </w:pPr>
            <w:r w:rsidRPr="00E54F41">
              <w:rPr>
                <w:sz w:val="20"/>
              </w:rPr>
              <w:t>(Hilton, Dufresne and Hogue JJ.A.)</w:t>
            </w:r>
          </w:p>
          <w:p w:rsidR="00EA419D" w:rsidRPr="00E54F41" w:rsidRDefault="00B904CB" w:rsidP="007E1E07">
            <w:pPr>
              <w:jc w:val="both"/>
              <w:rPr>
                <w:sz w:val="20"/>
              </w:rPr>
            </w:pPr>
            <w:hyperlink r:id="rId28" w:history="1">
              <w:r w:rsidR="00EA419D" w:rsidRPr="00E54F41">
                <w:rPr>
                  <w:rStyle w:val="Hyperlink"/>
                  <w:sz w:val="20"/>
                </w:rPr>
                <w:t>2016 QCCA 962</w:t>
              </w:r>
            </w:hyperlink>
          </w:p>
          <w:p w:rsidR="00EA419D" w:rsidRPr="00E54F41" w:rsidRDefault="00EA419D" w:rsidP="007E1E07">
            <w:pPr>
              <w:jc w:val="both"/>
              <w:rPr>
                <w:sz w:val="20"/>
              </w:rPr>
            </w:pPr>
          </w:p>
        </w:tc>
        <w:tc>
          <w:tcPr>
            <w:tcW w:w="243" w:type="pct"/>
          </w:tcPr>
          <w:p w:rsidR="00EA419D" w:rsidRPr="00E54F41" w:rsidRDefault="00EA419D" w:rsidP="007E1E07">
            <w:pPr>
              <w:jc w:val="both"/>
              <w:rPr>
                <w:sz w:val="20"/>
              </w:rPr>
            </w:pPr>
          </w:p>
        </w:tc>
        <w:tc>
          <w:tcPr>
            <w:tcW w:w="2330" w:type="pct"/>
          </w:tcPr>
          <w:p w:rsidR="00EA419D" w:rsidRPr="00E54F41" w:rsidRDefault="00EA419D" w:rsidP="007E1E07">
            <w:pPr>
              <w:jc w:val="both"/>
              <w:rPr>
                <w:sz w:val="20"/>
              </w:rPr>
            </w:pPr>
            <w:r w:rsidRPr="00E54F41">
              <w:rPr>
                <w:sz w:val="20"/>
              </w:rPr>
              <w:t>Appeal allowed in part; motion for judicial review allowed in part; search warrant quashed</w:t>
            </w:r>
          </w:p>
          <w:p w:rsidR="00EA419D" w:rsidRPr="00E54F41" w:rsidRDefault="00EA419D" w:rsidP="007E1E07">
            <w:pPr>
              <w:jc w:val="both"/>
              <w:rPr>
                <w:sz w:val="20"/>
              </w:rPr>
            </w:pPr>
          </w:p>
        </w:tc>
      </w:tr>
      <w:tr w:rsidR="00EA419D" w:rsidRPr="00E54F41" w:rsidTr="007E1E07">
        <w:tc>
          <w:tcPr>
            <w:tcW w:w="2427" w:type="pct"/>
          </w:tcPr>
          <w:p w:rsidR="00EA419D" w:rsidRPr="00E54F41" w:rsidRDefault="00EA419D" w:rsidP="007E1E07">
            <w:pPr>
              <w:jc w:val="both"/>
              <w:rPr>
                <w:sz w:val="20"/>
              </w:rPr>
            </w:pPr>
            <w:r w:rsidRPr="00E54F41">
              <w:rPr>
                <w:sz w:val="20"/>
              </w:rPr>
              <w:t>September 2, 2016</w:t>
            </w:r>
          </w:p>
          <w:p w:rsidR="00EA419D" w:rsidRPr="00E54F41" w:rsidRDefault="00EA419D" w:rsidP="007E1E07">
            <w:pPr>
              <w:jc w:val="both"/>
              <w:rPr>
                <w:sz w:val="20"/>
              </w:rPr>
            </w:pPr>
            <w:r w:rsidRPr="00E54F41">
              <w:rPr>
                <w:sz w:val="20"/>
              </w:rPr>
              <w:t>Supreme Court of Canada</w:t>
            </w:r>
          </w:p>
        </w:tc>
        <w:tc>
          <w:tcPr>
            <w:tcW w:w="243" w:type="pct"/>
          </w:tcPr>
          <w:p w:rsidR="00EA419D" w:rsidRPr="00E54F41" w:rsidRDefault="00EA419D" w:rsidP="007E1E07">
            <w:pPr>
              <w:jc w:val="both"/>
              <w:rPr>
                <w:sz w:val="20"/>
              </w:rPr>
            </w:pPr>
          </w:p>
        </w:tc>
        <w:tc>
          <w:tcPr>
            <w:tcW w:w="2330" w:type="pct"/>
          </w:tcPr>
          <w:p w:rsidR="00EA419D" w:rsidRPr="00E54F41" w:rsidRDefault="00EA419D" w:rsidP="007E1E07">
            <w:pPr>
              <w:jc w:val="both"/>
              <w:rPr>
                <w:sz w:val="20"/>
              </w:rPr>
            </w:pPr>
            <w:r w:rsidRPr="00E54F41">
              <w:rPr>
                <w:sz w:val="20"/>
              </w:rPr>
              <w:t>Application for leave to appeal filed</w:t>
            </w:r>
          </w:p>
          <w:p w:rsidR="00EA419D" w:rsidRPr="00E54F41" w:rsidRDefault="00EA419D" w:rsidP="007E1E07">
            <w:pPr>
              <w:jc w:val="both"/>
              <w:rPr>
                <w:sz w:val="20"/>
              </w:rPr>
            </w:pPr>
          </w:p>
        </w:tc>
      </w:tr>
    </w:tbl>
    <w:p w:rsidR="00EA419D" w:rsidRPr="00B904CB" w:rsidRDefault="00EA419D" w:rsidP="00EA419D">
      <w:pPr>
        <w:rPr>
          <w:sz w:val="20"/>
          <w:szCs w:val="20"/>
          <w:lang w:val="en-US"/>
        </w:rPr>
      </w:pPr>
    </w:p>
    <w:p w:rsidR="00EA419D" w:rsidRPr="00E54F41" w:rsidRDefault="00EA419D"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16A67" w:rsidRPr="00E54F41" w:rsidTr="00233365">
        <w:tc>
          <w:tcPr>
            <w:tcW w:w="543" w:type="pct"/>
          </w:tcPr>
          <w:p w:rsidR="00F16A67" w:rsidRPr="00E54F41" w:rsidRDefault="00F16A67" w:rsidP="00E02E21">
            <w:pPr>
              <w:jc w:val="both"/>
              <w:rPr>
                <w:sz w:val="20"/>
              </w:rPr>
            </w:pPr>
            <w:r w:rsidRPr="00E54F41">
              <w:rPr>
                <w:rStyle w:val="SCCFileNumberChar"/>
                <w:sz w:val="20"/>
                <w:szCs w:val="20"/>
              </w:rPr>
              <w:t>37</w:t>
            </w:r>
            <w:r w:rsidR="00E02E21" w:rsidRPr="00E54F41">
              <w:rPr>
                <w:rStyle w:val="SCCFileNumberChar"/>
                <w:sz w:val="20"/>
                <w:szCs w:val="20"/>
              </w:rPr>
              <w:t>172</w:t>
            </w:r>
          </w:p>
        </w:tc>
        <w:tc>
          <w:tcPr>
            <w:tcW w:w="4457" w:type="pct"/>
            <w:gridSpan w:val="3"/>
          </w:tcPr>
          <w:p w:rsidR="00F16A67" w:rsidRPr="00E54F41" w:rsidRDefault="00E02E21" w:rsidP="00233365">
            <w:pPr>
              <w:pStyle w:val="SCCLsocParty"/>
              <w:jc w:val="both"/>
              <w:rPr>
                <w:b/>
                <w:sz w:val="20"/>
                <w:szCs w:val="20"/>
              </w:rPr>
            </w:pPr>
            <w:r w:rsidRPr="00E54F41">
              <w:rPr>
                <w:b/>
                <w:sz w:val="20"/>
                <w:szCs w:val="20"/>
              </w:rPr>
              <w:t xml:space="preserve">9162-4676 Québec Inc. c. Agence du revenu du Québec, Salim </w:t>
            </w:r>
            <w:proofErr w:type="spellStart"/>
            <w:r w:rsidRPr="00E54F41">
              <w:rPr>
                <w:b/>
                <w:sz w:val="20"/>
                <w:szCs w:val="20"/>
              </w:rPr>
              <w:t>Boudjema</w:t>
            </w:r>
            <w:proofErr w:type="spellEnd"/>
            <w:r w:rsidRPr="00E54F41">
              <w:rPr>
                <w:b/>
                <w:sz w:val="20"/>
                <w:szCs w:val="20"/>
              </w:rPr>
              <w:t xml:space="preserve"> et Gilles Michaud, ès qualités de juge de paix magistrat </w:t>
            </w:r>
          </w:p>
          <w:p w:rsidR="00F16A67" w:rsidRPr="00E54F41" w:rsidRDefault="00F16A67" w:rsidP="00C2792D">
            <w:pPr>
              <w:jc w:val="both"/>
              <w:rPr>
                <w:sz w:val="20"/>
              </w:rPr>
            </w:pPr>
            <w:r w:rsidRPr="00E54F41">
              <w:rPr>
                <w:sz w:val="20"/>
              </w:rPr>
              <w:t>(</w:t>
            </w:r>
            <w:r w:rsidR="00E02E21" w:rsidRPr="00E54F41">
              <w:rPr>
                <w:sz w:val="20"/>
              </w:rPr>
              <w:t>Qc) (</w:t>
            </w:r>
            <w:proofErr w:type="spellStart"/>
            <w:r w:rsidR="00E02E21" w:rsidRPr="00E54F41">
              <w:rPr>
                <w:sz w:val="20"/>
              </w:rPr>
              <w:t>Civil</w:t>
            </w:r>
            <w:r w:rsidRPr="00E54F41">
              <w:rPr>
                <w:sz w:val="20"/>
              </w:rPr>
              <w:t>l</w:t>
            </w:r>
            <w:r w:rsidR="00C2792D" w:rsidRPr="00E54F41">
              <w:rPr>
                <w:sz w:val="20"/>
              </w:rPr>
              <w:t>e</w:t>
            </w:r>
            <w:proofErr w:type="spellEnd"/>
            <w:r w:rsidRPr="00E54F41">
              <w:rPr>
                <w:sz w:val="20"/>
              </w:rPr>
              <w:t>) (</w:t>
            </w:r>
            <w:proofErr w:type="spellStart"/>
            <w:r w:rsidR="00E02E21" w:rsidRPr="00E54F41">
              <w:rPr>
                <w:sz w:val="20"/>
              </w:rPr>
              <w:t>Autorisation</w:t>
            </w:r>
            <w:proofErr w:type="spellEnd"/>
            <w:r w:rsidRPr="00E54F41">
              <w:rPr>
                <w:sz w:val="20"/>
              </w:rPr>
              <w:t>)</w:t>
            </w:r>
          </w:p>
        </w:tc>
      </w:tr>
      <w:tr w:rsidR="00F16A67" w:rsidRPr="00B904CB" w:rsidTr="00233365">
        <w:tc>
          <w:tcPr>
            <w:tcW w:w="543" w:type="pct"/>
          </w:tcPr>
          <w:p w:rsidR="00F16A67" w:rsidRPr="00E54F41" w:rsidRDefault="00F16A67" w:rsidP="00233365">
            <w:pPr>
              <w:jc w:val="both"/>
              <w:rPr>
                <w:rStyle w:val="SCCFileNumberChar"/>
                <w:b w:val="0"/>
                <w:sz w:val="20"/>
                <w:szCs w:val="20"/>
              </w:rPr>
            </w:pPr>
            <w:r w:rsidRPr="00E54F41">
              <w:rPr>
                <w:rStyle w:val="SCCFileNumberChar"/>
                <w:b w:val="0"/>
                <w:sz w:val="20"/>
                <w:szCs w:val="20"/>
              </w:rPr>
              <w:t xml:space="preserve">Coram: </w:t>
            </w:r>
          </w:p>
        </w:tc>
        <w:tc>
          <w:tcPr>
            <w:tcW w:w="4457" w:type="pct"/>
            <w:gridSpan w:val="3"/>
          </w:tcPr>
          <w:p w:rsidR="00F16A67" w:rsidRPr="00E54F41" w:rsidRDefault="00E02E21" w:rsidP="00C2792D">
            <w:pPr>
              <w:pStyle w:val="SCCLsocParty"/>
              <w:jc w:val="both"/>
              <w:rPr>
                <w:sz w:val="20"/>
                <w:szCs w:val="20"/>
                <w:u w:val="single"/>
              </w:rPr>
            </w:pPr>
            <w:r w:rsidRPr="00E54F41">
              <w:rPr>
                <w:sz w:val="20"/>
                <w:szCs w:val="20"/>
                <w:u w:val="single"/>
              </w:rPr>
              <w:t>La juge en chef</w:t>
            </w:r>
            <w:r w:rsidR="00C2792D" w:rsidRPr="00E54F41">
              <w:rPr>
                <w:sz w:val="20"/>
                <w:szCs w:val="20"/>
                <w:u w:val="single"/>
              </w:rPr>
              <w:t xml:space="preserve"> McLachlin</w:t>
            </w:r>
            <w:r w:rsidRPr="00E54F41">
              <w:rPr>
                <w:sz w:val="20"/>
                <w:szCs w:val="20"/>
                <w:u w:val="single"/>
              </w:rPr>
              <w:t xml:space="preserve"> et</w:t>
            </w:r>
            <w:r w:rsidR="00C2792D" w:rsidRPr="00E54F41">
              <w:rPr>
                <w:sz w:val="20"/>
                <w:szCs w:val="20"/>
                <w:u w:val="single"/>
              </w:rPr>
              <w:t xml:space="preserve"> les juges</w:t>
            </w:r>
            <w:r w:rsidR="00F16A67" w:rsidRPr="00E54F41">
              <w:rPr>
                <w:sz w:val="20"/>
                <w:szCs w:val="20"/>
                <w:u w:val="single"/>
              </w:rPr>
              <w:t xml:space="preserve"> Wagner </w:t>
            </w:r>
            <w:r w:rsidRPr="00E54F41">
              <w:rPr>
                <w:sz w:val="20"/>
                <w:szCs w:val="20"/>
                <w:u w:val="single"/>
              </w:rPr>
              <w:t>et</w:t>
            </w:r>
            <w:r w:rsidR="00F16A67" w:rsidRPr="00E54F41">
              <w:rPr>
                <w:sz w:val="20"/>
                <w:szCs w:val="20"/>
                <w:u w:val="single"/>
              </w:rPr>
              <w:t xml:space="preserve"> Gascon</w:t>
            </w:r>
          </w:p>
        </w:tc>
      </w:tr>
      <w:tr w:rsidR="00F16A67" w:rsidRPr="00B904CB" w:rsidTr="00233365">
        <w:tc>
          <w:tcPr>
            <w:tcW w:w="5000" w:type="pct"/>
            <w:gridSpan w:val="4"/>
          </w:tcPr>
          <w:p w:rsidR="000959DD" w:rsidRPr="00E54F41" w:rsidRDefault="000959DD" w:rsidP="00233365">
            <w:pPr>
              <w:jc w:val="both"/>
              <w:rPr>
                <w:sz w:val="20"/>
                <w:szCs w:val="20"/>
                <w:lang w:val="fr-CA"/>
              </w:rPr>
            </w:pPr>
          </w:p>
          <w:p w:rsidR="00F16A67" w:rsidRPr="00E54F41" w:rsidRDefault="00A6405C" w:rsidP="00233365">
            <w:pPr>
              <w:jc w:val="both"/>
              <w:rPr>
                <w:sz w:val="20"/>
                <w:lang w:val="fr-CA"/>
              </w:rPr>
            </w:pPr>
            <w:r w:rsidRPr="00E54F41">
              <w:rPr>
                <w:sz w:val="20"/>
                <w:lang w:val="fr-CA"/>
              </w:rPr>
              <w:t>La demande d’autorisation d’appel de l’arrêt de la Cour d’appel du Québec (Montréal), numéro 500-10-005738-149,  2016 QCCA 962, daté du 3 juin 2016, est rejet</w:t>
            </w:r>
            <w:r w:rsidRPr="00E54F41">
              <w:rPr>
                <w:rFonts w:cs="Times New Roman"/>
                <w:sz w:val="20"/>
                <w:lang w:val="fr-CA"/>
              </w:rPr>
              <w:t>é</w:t>
            </w:r>
            <w:r w:rsidRPr="00E54F41">
              <w:rPr>
                <w:sz w:val="20"/>
                <w:lang w:val="fr-CA"/>
              </w:rPr>
              <w:t>e avec d</w:t>
            </w:r>
            <w:r w:rsidRPr="00E54F41">
              <w:rPr>
                <w:rFonts w:cs="Times New Roman"/>
                <w:sz w:val="20"/>
                <w:lang w:val="fr-CA"/>
              </w:rPr>
              <w:t>é</w:t>
            </w:r>
            <w:r w:rsidRPr="00E54F41">
              <w:rPr>
                <w:sz w:val="20"/>
                <w:lang w:val="fr-CA"/>
              </w:rPr>
              <w:t>pens.</w:t>
            </w:r>
          </w:p>
          <w:p w:rsidR="00F16A67" w:rsidRPr="00E54F41" w:rsidRDefault="00F16A67" w:rsidP="00233365">
            <w:pPr>
              <w:jc w:val="both"/>
              <w:rPr>
                <w:sz w:val="20"/>
                <w:lang w:val="fr-CA"/>
              </w:rPr>
            </w:pPr>
          </w:p>
        </w:tc>
      </w:tr>
      <w:tr w:rsidR="005D1F64" w:rsidRPr="00B904CB" w:rsidTr="00233365">
        <w:tc>
          <w:tcPr>
            <w:tcW w:w="5000" w:type="pct"/>
            <w:gridSpan w:val="4"/>
          </w:tcPr>
          <w:p w:rsidR="005D1F64" w:rsidRPr="00E54F41" w:rsidRDefault="005D1F64" w:rsidP="005D1F64">
            <w:pPr>
              <w:jc w:val="both"/>
              <w:rPr>
                <w:sz w:val="20"/>
                <w:lang w:val="fr-CA"/>
              </w:rPr>
            </w:pPr>
            <w:r w:rsidRPr="00E54F41">
              <w:rPr>
                <w:sz w:val="20"/>
                <w:lang w:val="fr-CA"/>
              </w:rPr>
              <w:t xml:space="preserve">Droit administratif – Révision judiciaire – Mandats de perquisition – Omission de divulguer des faits – Validité du mandat – </w:t>
            </w:r>
            <w:r w:rsidRPr="00E54F41">
              <w:rPr>
                <w:sz w:val="20"/>
                <w:lang w:val="fr-FR"/>
              </w:rPr>
              <w:t>La Cour d’appel a-t-elle eu tort de conclure que les omissions dans les dénonciations faites en vue d’obtenir des mandats de perquisition étaient sans conséquence sur le processus d’autorisation judiciaire des mandats? – La Cour d’appel a-t-elle eu tort d’examiner la demande de révision judiciaire sous l’angle de la suffisance des motifs allégués dans les dénonciations?</w:t>
            </w:r>
          </w:p>
        </w:tc>
      </w:tr>
      <w:tr w:rsidR="005D1F64" w:rsidRPr="00B904CB" w:rsidTr="00233365">
        <w:tc>
          <w:tcPr>
            <w:tcW w:w="5000" w:type="pct"/>
            <w:gridSpan w:val="4"/>
          </w:tcPr>
          <w:p w:rsidR="005D1F64" w:rsidRPr="00E54F41" w:rsidRDefault="005D1F64" w:rsidP="005D1F64">
            <w:pPr>
              <w:jc w:val="both"/>
              <w:rPr>
                <w:sz w:val="20"/>
                <w:lang w:val="fr-CA"/>
              </w:rPr>
            </w:pPr>
          </w:p>
        </w:tc>
      </w:tr>
      <w:tr w:rsidR="005D1F64" w:rsidRPr="00B904CB" w:rsidTr="00233365">
        <w:tc>
          <w:tcPr>
            <w:tcW w:w="5000" w:type="pct"/>
            <w:gridSpan w:val="4"/>
          </w:tcPr>
          <w:p w:rsidR="005D1F64" w:rsidRPr="00E54F41" w:rsidRDefault="005D1F64" w:rsidP="005D1F64">
            <w:pPr>
              <w:jc w:val="both"/>
              <w:rPr>
                <w:sz w:val="20"/>
                <w:lang w:val="fr-FR"/>
              </w:rPr>
            </w:pPr>
            <w:r w:rsidRPr="00E54F41">
              <w:rPr>
                <w:sz w:val="20"/>
                <w:lang w:val="fr-FR"/>
              </w:rPr>
              <w:lastRenderedPageBreak/>
              <w:t xml:space="preserve">En 2012, l’intimée, l’Agence de Revenu du Québec (« ARQ »), effectue une enquête au sujet de la compagnie 9162-4676 Québec </w:t>
            </w:r>
            <w:proofErr w:type="spellStart"/>
            <w:r w:rsidRPr="00E54F41">
              <w:rPr>
                <w:sz w:val="20"/>
                <w:lang w:val="fr-FR"/>
              </w:rPr>
              <w:t>inc.</w:t>
            </w:r>
            <w:proofErr w:type="spellEnd"/>
            <w:r w:rsidRPr="00E54F41">
              <w:rPr>
                <w:sz w:val="20"/>
                <w:lang w:val="fr-FR"/>
              </w:rPr>
              <w:t xml:space="preserve">, qui opère notamment sous la raison sociale Placements </w:t>
            </w:r>
            <w:proofErr w:type="spellStart"/>
            <w:r w:rsidRPr="00E54F41">
              <w:rPr>
                <w:sz w:val="20"/>
                <w:lang w:val="fr-FR"/>
              </w:rPr>
              <w:t>Trimax</w:t>
            </w:r>
            <w:proofErr w:type="spellEnd"/>
            <w:r w:rsidRPr="00E54F41">
              <w:rPr>
                <w:sz w:val="20"/>
                <w:lang w:val="fr-FR"/>
              </w:rPr>
              <w:t xml:space="preserve"> (« </w:t>
            </w:r>
            <w:proofErr w:type="spellStart"/>
            <w:r w:rsidRPr="00E54F41">
              <w:rPr>
                <w:sz w:val="20"/>
                <w:lang w:val="fr-FR"/>
              </w:rPr>
              <w:t>Trimax</w:t>
            </w:r>
            <w:proofErr w:type="spellEnd"/>
            <w:r w:rsidRPr="00E54F41">
              <w:rPr>
                <w:sz w:val="20"/>
                <w:lang w:val="fr-FR"/>
              </w:rPr>
              <w:t xml:space="preserve"> »). Suite à la vérification, l’ARQ estime que </w:t>
            </w:r>
            <w:proofErr w:type="spellStart"/>
            <w:r w:rsidRPr="00E54F41">
              <w:rPr>
                <w:sz w:val="20"/>
                <w:lang w:val="fr-FR"/>
              </w:rPr>
              <w:t>Trimax</w:t>
            </w:r>
            <w:proofErr w:type="spellEnd"/>
            <w:r w:rsidRPr="00E54F41">
              <w:rPr>
                <w:sz w:val="20"/>
                <w:lang w:val="fr-FR"/>
              </w:rPr>
              <w:t xml:space="preserve"> est au cœur d’un « stratagème de complaisance », par lequel des entreprises fournissent de fausses factures que </w:t>
            </w:r>
            <w:proofErr w:type="spellStart"/>
            <w:r w:rsidRPr="00E54F41">
              <w:rPr>
                <w:sz w:val="20"/>
                <w:lang w:val="fr-FR"/>
              </w:rPr>
              <w:t>Trimax</w:t>
            </w:r>
            <w:proofErr w:type="spellEnd"/>
            <w:r w:rsidRPr="00E54F41">
              <w:rPr>
                <w:sz w:val="20"/>
                <w:lang w:val="fr-FR"/>
              </w:rPr>
              <w:t xml:space="preserve"> utilise afin de réclamer illégalement un remboursement de la taxe sur les intrants ainsi qu’un crédit de taxes sur les intrants. Les actes reprochés seraient survenus entre le 1</w:t>
            </w:r>
            <w:r w:rsidRPr="00E54F41">
              <w:rPr>
                <w:sz w:val="20"/>
                <w:vertAlign w:val="superscript"/>
                <w:lang w:val="fr-FR"/>
              </w:rPr>
              <w:t>er</w:t>
            </w:r>
            <w:r w:rsidRPr="00E54F41">
              <w:rPr>
                <w:sz w:val="20"/>
                <w:lang w:val="fr-FR"/>
              </w:rPr>
              <w:t xml:space="preserve"> avril 2008 et le 30 avril 2011 et justifieraient une réclamation de 802 407,41 $. L’ARQ émet des avis de cotisation en conséquence, qu’elle maintient malgré la tenue de rencontres entre les parties où </w:t>
            </w:r>
            <w:proofErr w:type="spellStart"/>
            <w:r w:rsidRPr="00E54F41">
              <w:rPr>
                <w:sz w:val="20"/>
                <w:lang w:val="fr-FR"/>
              </w:rPr>
              <w:t>Trimax</w:t>
            </w:r>
            <w:proofErr w:type="spellEnd"/>
            <w:r w:rsidRPr="00E54F41">
              <w:rPr>
                <w:sz w:val="20"/>
                <w:lang w:val="fr-FR"/>
              </w:rPr>
              <w:t xml:space="preserve"> conteste les allégations.</w:t>
            </w:r>
          </w:p>
          <w:p w:rsidR="005D1F64" w:rsidRPr="00E54F41" w:rsidRDefault="005D1F64" w:rsidP="005D1F64">
            <w:pPr>
              <w:jc w:val="both"/>
              <w:rPr>
                <w:sz w:val="20"/>
                <w:lang w:val="fr-FR"/>
              </w:rPr>
            </w:pPr>
          </w:p>
          <w:p w:rsidR="005D1F64" w:rsidRPr="00E54F41" w:rsidRDefault="005D1F64" w:rsidP="005D1F64">
            <w:pPr>
              <w:jc w:val="both"/>
              <w:rPr>
                <w:sz w:val="20"/>
                <w:lang w:val="fr-FR"/>
              </w:rPr>
            </w:pPr>
            <w:r w:rsidRPr="00E54F41">
              <w:rPr>
                <w:sz w:val="20"/>
                <w:lang w:val="fr-FR"/>
              </w:rPr>
              <w:t xml:space="preserve">En novembre 2013, l’ARQ obtient des mandats de perquisition contre </w:t>
            </w:r>
            <w:proofErr w:type="spellStart"/>
            <w:r w:rsidRPr="00E54F41">
              <w:rPr>
                <w:sz w:val="20"/>
                <w:lang w:val="fr-FR"/>
              </w:rPr>
              <w:t>Trimax</w:t>
            </w:r>
            <w:proofErr w:type="spellEnd"/>
            <w:r w:rsidRPr="00E54F41">
              <w:rPr>
                <w:sz w:val="20"/>
                <w:lang w:val="fr-FR"/>
              </w:rPr>
              <w:t xml:space="preserve">, lesquels sont exécutés dans les établissements de </w:t>
            </w:r>
            <w:proofErr w:type="spellStart"/>
            <w:r w:rsidRPr="00E54F41">
              <w:rPr>
                <w:sz w:val="20"/>
                <w:lang w:val="fr-FR"/>
              </w:rPr>
              <w:t>Trimax</w:t>
            </w:r>
            <w:proofErr w:type="spellEnd"/>
            <w:r w:rsidRPr="00E54F41">
              <w:rPr>
                <w:sz w:val="20"/>
                <w:lang w:val="fr-FR"/>
              </w:rPr>
              <w:t>, ceux de ses comptables de même qu’au cabinet de ses avocats.</w:t>
            </w:r>
          </w:p>
          <w:p w:rsidR="005D1F64" w:rsidRPr="00E54F41" w:rsidRDefault="005D1F64" w:rsidP="005D1F64">
            <w:pPr>
              <w:jc w:val="both"/>
              <w:rPr>
                <w:sz w:val="20"/>
                <w:lang w:val="fr-FR"/>
              </w:rPr>
            </w:pPr>
          </w:p>
          <w:p w:rsidR="005D1F64" w:rsidRPr="00E54F41" w:rsidRDefault="005D1F64" w:rsidP="005D1F64">
            <w:pPr>
              <w:jc w:val="both"/>
              <w:rPr>
                <w:sz w:val="20"/>
                <w:lang w:val="fr-CA"/>
              </w:rPr>
            </w:pPr>
            <w:proofErr w:type="spellStart"/>
            <w:r w:rsidRPr="00E54F41">
              <w:rPr>
                <w:sz w:val="20"/>
                <w:lang w:val="fr-FR"/>
              </w:rPr>
              <w:t>Trimax</w:t>
            </w:r>
            <w:proofErr w:type="spellEnd"/>
            <w:r w:rsidRPr="00E54F41">
              <w:rPr>
                <w:sz w:val="20"/>
                <w:lang w:val="fr-FR"/>
              </w:rPr>
              <w:t xml:space="preserve"> s’adresse à la Cour supérieure afin d’obtenir l’annulation des mandats. Elle soutient, notamment, que les motifs du dénonciateur contiennent des omissions quant aux détails des rencontres et des documents qu’elle a soumis lors d’une </w:t>
            </w:r>
            <w:proofErr w:type="spellStart"/>
            <w:r w:rsidRPr="00E54F41">
              <w:rPr>
                <w:sz w:val="20"/>
                <w:lang w:val="fr-FR"/>
              </w:rPr>
              <w:t>revérification</w:t>
            </w:r>
            <w:proofErr w:type="spellEnd"/>
            <w:r w:rsidRPr="00E54F41">
              <w:rPr>
                <w:sz w:val="20"/>
                <w:lang w:val="fr-FR"/>
              </w:rPr>
              <w:t xml:space="preserve">, et que le dénonciateur a fait défaut de divulguer deux affidavits signés par les sous-traitants et les clients de </w:t>
            </w:r>
            <w:proofErr w:type="spellStart"/>
            <w:r w:rsidRPr="00E54F41">
              <w:rPr>
                <w:sz w:val="20"/>
                <w:lang w:val="fr-FR"/>
              </w:rPr>
              <w:t>Trimax</w:t>
            </w:r>
            <w:proofErr w:type="spellEnd"/>
            <w:r w:rsidRPr="00E54F41">
              <w:rPr>
                <w:sz w:val="20"/>
                <w:lang w:val="fr-FR"/>
              </w:rPr>
              <w:t xml:space="preserve"> et qui auraient eu pour effet d’entacher la crédibilité de la thèse du stratagème de complaisance. La Cour supérieure rejette la requête en révision judiciaire, et la Cour d’appel confirme la décision en partie.</w:t>
            </w:r>
          </w:p>
          <w:p w:rsidR="005D1F64" w:rsidRPr="00E54F41" w:rsidRDefault="005D1F64" w:rsidP="005D1F64">
            <w:pPr>
              <w:jc w:val="both"/>
              <w:rPr>
                <w:sz w:val="20"/>
                <w:lang w:val="fr-CA"/>
              </w:rPr>
            </w:pPr>
          </w:p>
        </w:tc>
      </w:tr>
      <w:tr w:rsidR="005D1F64" w:rsidRPr="00B904CB" w:rsidTr="00233365">
        <w:tc>
          <w:tcPr>
            <w:tcW w:w="2427" w:type="pct"/>
            <w:gridSpan w:val="2"/>
          </w:tcPr>
          <w:p w:rsidR="005D1F64" w:rsidRPr="00E54F41" w:rsidRDefault="005D1F64" w:rsidP="005D1F64">
            <w:pPr>
              <w:jc w:val="both"/>
              <w:rPr>
                <w:sz w:val="20"/>
                <w:lang w:val="fr-CA"/>
              </w:rPr>
            </w:pPr>
            <w:r w:rsidRPr="00E54F41">
              <w:rPr>
                <w:sz w:val="20"/>
                <w:lang w:val="fr-CA"/>
              </w:rPr>
              <w:t>Le 24 septembre 2014</w:t>
            </w:r>
          </w:p>
          <w:p w:rsidR="005D1F64" w:rsidRPr="00E54F41" w:rsidRDefault="005D1F64" w:rsidP="005D1F64">
            <w:pPr>
              <w:jc w:val="both"/>
              <w:rPr>
                <w:sz w:val="20"/>
                <w:lang w:val="fr-CA"/>
              </w:rPr>
            </w:pPr>
            <w:r w:rsidRPr="00E54F41">
              <w:rPr>
                <w:sz w:val="20"/>
                <w:lang w:val="fr-CA"/>
              </w:rPr>
              <w:t>Cour supérieure du Québec</w:t>
            </w:r>
          </w:p>
          <w:p w:rsidR="005D1F64" w:rsidRPr="00E54F41" w:rsidRDefault="005D1F64" w:rsidP="005D1F64">
            <w:pPr>
              <w:jc w:val="both"/>
              <w:rPr>
                <w:sz w:val="20"/>
                <w:lang w:val="fr-CA"/>
              </w:rPr>
            </w:pPr>
            <w:r w:rsidRPr="00E54F41">
              <w:rPr>
                <w:sz w:val="20"/>
                <w:lang w:val="fr-CA"/>
              </w:rPr>
              <w:t xml:space="preserve">(La juge Di </w:t>
            </w:r>
            <w:proofErr w:type="spellStart"/>
            <w:r w:rsidRPr="00E54F41">
              <w:rPr>
                <w:sz w:val="20"/>
                <w:lang w:val="fr-CA"/>
              </w:rPr>
              <w:t>Salvo</w:t>
            </w:r>
            <w:proofErr w:type="spellEnd"/>
            <w:r w:rsidRPr="00E54F41">
              <w:rPr>
                <w:sz w:val="20"/>
                <w:lang w:val="fr-CA"/>
              </w:rPr>
              <w:t>)</w:t>
            </w:r>
          </w:p>
          <w:p w:rsidR="005D1F64" w:rsidRPr="00E54F41" w:rsidRDefault="00B904CB" w:rsidP="005D1F64">
            <w:pPr>
              <w:jc w:val="both"/>
              <w:rPr>
                <w:sz w:val="20"/>
                <w:lang w:val="fr-CA"/>
              </w:rPr>
            </w:pPr>
            <w:r>
              <w:fldChar w:fldCharType="begin"/>
            </w:r>
            <w:r w:rsidRPr="00B904CB">
              <w:rPr>
                <w:lang w:val="fr-CA"/>
              </w:rPr>
              <w:instrText xml:space="preserve"> HYPERLINK "http://canlii.ca/t/gs0kp" </w:instrText>
            </w:r>
            <w:r>
              <w:fldChar w:fldCharType="separate"/>
            </w:r>
            <w:r w:rsidR="005D1F64" w:rsidRPr="00E54F41">
              <w:rPr>
                <w:rStyle w:val="Hyperlink"/>
                <w:sz w:val="20"/>
                <w:lang w:val="fr-CA"/>
              </w:rPr>
              <w:t>2014 QCCS 6666</w:t>
            </w:r>
            <w:r>
              <w:rPr>
                <w:rStyle w:val="Hyperlink"/>
                <w:sz w:val="20"/>
                <w:lang w:val="fr-CA"/>
              </w:rPr>
              <w:fldChar w:fldCharType="end"/>
            </w:r>
            <w:r w:rsidR="005D1F64" w:rsidRPr="00E54F41">
              <w:rPr>
                <w:sz w:val="20"/>
                <w:lang w:val="fr-CA"/>
              </w:rPr>
              <w:t xml:space="preserve"> </w:t>
            </w:r>
          </w:p>
          <w:p w:rsidR="005D1F64" w:rsidRPr="00E54F41" w:rsidRDefault="005D1F64" w:rsidP="005D1F64">
            <w:pPr>
              <w:jc w:val="both"/>
              <w:rPr>
                <w:sz w:val="20"/>
                <w:lang w:val="fr-CA"/>
              </w:rPr>
            </w:pPr>
          </w:p>
        </w:tc>
        <w:tc>
          <w:tcPr>
            <w:tcW w:w="243" w:type="pct"/>
          </w:tcPr>
          <w:p w:rsidR="005D1F64" w:rsidRPr="00E54F41" w:rsidRDefault="005D1F64" w:rsidP="005D1F64">
            <w:pPr>
              <w:jc w:val="both"/>
              <w:rPr>
                <w:sz w:val="20"/>
                <w:lang w:val="fr-CA"/>
              </w:rPr>
            </w:pPr>
          </w:p>
        </w:tc>
        <w:tc>
          <w:tcPr>
            <w:tcW w:w="2330" w:type="pct"/>
          </w:tcPr>
          <w:p w:rsidR="005D1F64" w:rsidRPr="00E54F41" w:rsidRDefault="005D1F64" w:rsidP="005D1F64">
            <w:pPr>
              <w:jc w:val="both"/>
              <w:rPr>
                <w:sz w:val="20"/>
                <w:lang w:val="fr-CA"/>
              </w:rPr>
            </w:pPr>
            <w:r w:rsidRPr="00E54F41">
              <w:rPr>
                <w:sz w:val="20"/>
                <w:lang w:val="fr-CA"/>
              </w:rPr>
              <w:t>Requête en révision judiciaire et ordonnance de retour des biens saisis rejetées</w:t>
            </w:r>
          </w:p>
          <w:p w:rsidR="005D1F64" w:rsidRPr="00E54F41" w:rsidRDefault="005D1F64" w:rsidP="005D1F64">
            <w:pPr>
              <w:jc w:val="both"/>
              <w:rPr>
                <w:sz w:val="20"/>
                <w:lang w:val="fr-CA"/>
              </w:rPr>
            </w:pPr>
          </w:p>
        </w:tc>
      </w:tr>
      <w:tr w:rsidR="005D1F64" w:rsidRPr="00B904CB" w:rsidTr="00233365">
        <w:tc>
          <w:tcPr>
            <w:tcW w:w="2427" w:type="pct"/>
            <w:gridSpan w:val="2"/>
          </w:tcPr>
          <w:p w:rsidR="005D1F64" w:rsidRPr="00E54F41" w:rsidRDefault="005D1F64" w:rsidP="005D1F64">
            <w:pPr>
              <w:jc w:val="both"/>
              <w:rPr>
                <w:sz w:val="20"/>
                <w:lang w:val="fr-CA"/>
              </w:rPr>
            </w:pPr>
            <w:r w:rsidRPr="00E54F41">
              <w:rPr>
                <w:sz w:val="20"/>
                <w:lang w:val="fr-CA"/>
              </w:rPr>
              <w:t>Le 3 juin 2016</w:t>
            </w:r>
          </w:p>
          <w:p w:rsidR="005D1F64" w:rsidRPr="00E54F41" w:rsidRDefault="005D1F64" w:rsidP="005D1F64">
            <w:pPr>
              <w:jc w:val="both"/>
              <w:rPr>
                <w:sz w:val="20"/>
                <w:lang w:val="fr-CA"/>
              </w:rPr>
            </w:pPr>
            <w:r w:rsidRPr="00E54F41">
              <w:rPr>
                <w:sz w:val="20"/>
                <w:lang w:val="fr-CA"/>
              </w:rPr>
              <w:t>Cour d’appel du Québec (Montréal)</w:t>
            </w:r>
          </w:p>
          <w:p w:rsidR="005D1F64" w:rsidRPr="00E54F41" w:rsidRDefault="005D1F64" w:rsidP="005D1F64">
            <w:pPr>
              <w:jc w:val="both"/>
              <w:rPr>
                <w:sz w:val="20"/>
                <w:lang w:val="fr-CA"/>
              </w:rPr>
            </w:pPr>
            <w:r w:rsidRPr="00E54F41">
              <w:rPr>
                <w:sz w:val="20"/>
                <w:lang w:val="fr-CA"/>
              </w:rPr>
              <w:t xml:space="preserve">(Les juges Hilton, Dufresne et </w:t>
            </w:r>
            <w:proofErr w:type="spellStart"/>
            <w:r w:rsidRPr="00E54F41">
              <w:rPr>
                <w:sz w:val="20"/>
                <w:lang w:val="fr-CA"/>
              </w:rPr>
              <w:t>Hogue</w:t>
            </w:r>
            <w:proofErr w:type="spellEnd"/>
            <w:r w:rsidRPr="00E54F41">
              <w:rPr>
                <w:sz w:val="20"/>
                <w:lang w:val="fr-CA"/>
              </w:rPr>
              <w:t>)</w:t>
            </w:r>
          </w:p>
          <w:p w:rsidR="005D1F64" w:rsidRPr="00E54F41" w:rsidRDefault="00B904CB" w:rsidP="005D1F64">
            <w:pPr>
              <w:jc w:val="both"/>
              <w:rPr>
                <w:sz w:val="20"/>
              </w:rPr>
            </w:pPr>
            <w:hyperlink r:id="rId29" w:history="1">
              <w:r w:rsidR="005D1F64" w:rsidRPr="00E54F41">
                <w:rPr>
                  <w:rStyle w:val="Hyperlink"/>
                  <w:sz w:val="20"/>
                </w:rPr>
                <w:t>2016 QCCA 962</w:t>
              </w:r>
            </w:hyperlink>
          </w:p>
          <w:p w:rsidR="005D1F64" w:rsidRPr="00E54F41" w:rsidRDefault="005D1F64" w:rsidP="005D1F64">
            <w:pPr>
              <w:jc w:val="both"/>
              <w:rPr>
                <w:sz w:val="20"/>
                <w:lang w:val="fr-FR"/>
              </w:rPr>
            </w:pPr>
          </w:p>
        </w:tc>
        <w:tc>
          <w:tcPr>
            <w:tcW w:w="243" w:type="pct"/>
          </w:tcPr>
          <w:p w:rsidR="005D1F64" w:rsidRPr="00E54F41" w:rsidRDefault="005D1F64" w:rsidP="005D1F64">
            <w:pPr>
              <w:jc w:val="both"/>
              <w:rPr>
                <w:sz w:val="20"/>
                <w:lang w:val="fr-FR"/>
              </w:rPr>
            </w:pPr>
          </w:p>
        </w:tc>
        <w:tc>
          <w:tcPr>
            <w:tcW w:w="2330" w:type="pct"/>
          </w:tcPr>
          <w:p w:rsidR="005D1F64" w:rsidRPr="00E54F41" w:rsidRDefault="005D1F64" w:rsidP="005D1F64">
            <w:pPr>
              <w:jc w:val="both"/>
              <w:rPr>
                <w:sz w:val="20"/>
                <w:lang w:val="fr-CA"/>
              </w:rPr>
            </w:pPr>
            <w:r w:rsidRPr="00E54F41">
              <w:rPr>
                <w:sz w:val="20"/>
                <w:lang w:val="fr-CA"/>
              </w:rPr>
              <w:t>Appel accueilli en partie; requête en révision judiciaire accueillie en partie; annulation d’un mandat de perquisition prononcée</w:t>
            </w:r>
          </w:p>
          <w:p w:rsidR="005D1F64" w:rsidRPr="00E54F41" w:rsidRDefault="005D1F64" w:rsidP="005D1F64">
            <w:pPr>
              <w:jc w:val="both"/>
              <w:rPr>
                <w:sz w:val="20"/>
                <w:lang w:val="fr-CA"/>
              </w:rPr>
            </w:pPr>
          </w:p>
        </w:tc>
      </w:tr>
      <w:tr w:rsidR="005D1F64" w:rsidRPr="00E54F41" w:rsidTr="00233365">
        <w:tc>
          <w:tcPr>
            <w:tcW w:w="2427" w:type="pct"/>
            <w:gridSpan w:val="2"/>
          </w:tcPr>
          <w:p w:rsidR="005D1F64" w:rsidRPr="00E54F41" w:rsidRDefault="005D1F64" w:rsidP="005D1F64">
            <w:pPr>
              <w:jc w:val="both"/>
              <w:rPr>
                <w:sz w:val="20"/>
                <w:lang w:val="fr-CA"/>
              </w:rPr>
            </w:pPr>
            <w:r w:rsidRPr="00E54F41">
              <w:rPr>
                <w:sz w:val="20"/>
                <w:lang w:val="fr-CA"/>
              </w:rPr>
              <w:t>Le 2 septembre 2016</w:t>
            </w:r>
          </w:p>
          <w:p w:rsidR="005D1F64" w:rsidRPr="00E54F41" w:rsidRDefault="005D1F64" w:rsidP="005D1F64">
            <w:pPr>
              <w:jc w:val="both"/>
              <w:rPr>
                <w:sz w:val="20"/>
                <w:lang w:val="fr-CA"/>
              </w:rPr>
            </w:pPr>
            <w:r w:rsidRPr="00E54F41">
              <w:rPr>
                <w:sz w:val="20"/>
                <w:lang w:val="fr-CA"/>
              </w:rPr>
              <w:t>Cour suprême du Canada</w:t>
            </w:r>
          </w:p>
        </w:tc>
        <w:tc>
          <w:tcPr>
            <w:tcW w:w="243" w:type="pct"/>
          </w:tcPr>
          <w:p w:rsidR="005D1F64" w:rsidRPr="00E54F41" w:rsidRDefault="005D1F64" w:rsidP="005D1F64">
            <w:pPr>
              <w:jc w:val="both"/>
              <w:rPr>
                <w:sz w:val="20"/>
                <w:lang w:val="fr-FR"/>
              </w:rPr>
            </w:pPr>
          </w:p>
        </w:tc>
        <w:tc>
          <w:tcPr>
            <w:tcW w:w="2330" w:type="pct"/>
          </w:tcPr>
          <w:p w:rsidR="005D1F64" w:rsidRPr="00E54F41" w:rsidRDefault="005D1F64" w:rsidP="005D1F64">
            <w:pPr>
              <w:jc w:val="both"/>
              <w:rPr>
                <w:sz w:val="20"/>
              </w:rPr>
            </w:pPr>
            <w:proofErr w:type="spellStart"/>
            <w:r w:rsidRPr="00E54F41">
              <w:rPr>
                <w:sz w:val="20"/>
              </w:rPr>
              <w:t>Demande</w:t>
            </w:r>
            <w:proofErr w:type="spellEnd"/>
            <w:r w:rsidRPr="00E54F41">
              <w:rPr>
                <w:sz w:val="20"/>
              </w:rPr>
              <w:t xml:space="preserve"> </w:t>
            </w:r>
            <w:proofErr w:type="spellStart"/>
            <w:r w:rsidRPr="00E54F41">
              <w:rPr>
                <w:sz w:val="20"/>
              </w:rPr>
              <w:t>d’autorisation</w:t>
            </w:r>
            <w:proofErr w:type="spellEnd"/>
            <w:r w:rsidRPr="00E54F41">
              <w:rPr>
                <w:sz w:val="20"/>
              </w:rPr>
              <w:t xml:space="preserve"> </w:t>
            </w:r>
            <w:proofErr w:type="spellStart"/>
            <w:r w:rsidRPr="00E54F41">
              <w:rPr>
                <w:sz w:val="20"/>
              </w:rPr>
              <w:t>d’appel</w:t>
            </w:r>
            <w:proofErr w:type="spellEnd"/>
            <w:r w:rsidRPr="00E54F41">
              <w:rPr>
                <w:sz w:val="20"/>
              </w:rPr>
              <w:t xml:space="preserve"> </w:t>
            </w:r>
            <w:proofErr w:type="spellStart"/>
            <w:r w:rsidRPr="00E54F41">
              <w:rPr>
                <w:sz w:val="20"/>
              </w:rPr>
              <w:t>déposée</w:t>
            </w:r>
            <w:proofErr w:type="spellEnd"/>
          </w:p>
          <w:p w:rsidR="005D1F64" w:rsidRPr="00E54F41" w:rsidRDefault="005D1F64" w:rsidP="005D1F64">
            <w:pPr>
              <w:jc w:val="both"/>
              <w:rPr>
                <w:sz w:val="20"/>
              </w:rPr>
            </w:pPr>
          </w:p>
        </w:tc>
      </w:tr>
    </w:tbl>
    <w:p w:rsidR="00F16A67" w:rsidRPr="00E54F41" w:rsidRDefault="00F16A67" w:rsidP="00F16A67">
      <w:pPr>
        <w:jc w:val="both"/>
        <w:rPr>
          <w:sz w:val="20"/>
        </w:rPr>
      </w:pPr>
    </w:p>
    <w:p w:rsidR="00EA419D" w:rsidRPr="00E54F41" w:rsidRDefault="00EA419D" w:rsidP="008D292F">
      <w:pPr>
        <w:rPr>
          <w:sz w:val="20"/>
          <w:szCs w:val="20"/>
          <w:lang w:val="fr-CA"/>
        </w:rPr>
      </w:pPr>
    </w:p>
    <w:p w:rsidR="00EA419D" w:rsidRPr="00E54F41" w:rsidRDefault="00EA419D" w:rsidP="008D292F">
      <w:pPr>
        <w:rPr>
          <w:sz w:val="20"/>
          <w:szCs w:val="20"/>
          <w:lang w:val="fr-CA"/>
        </w:rPr>
      </w:pPr>
    </w:p>
    <w:p w:rsidR="001B2A2C" w:rsidRPr="00E54F41" w:rsidRDefault="001B2A2C" w:rsidP="008D292F">
      <w:pPr>
        <w:rPr>
          <w:sz w:val="20"/>
          <w:szCs w:val="20"/>
          <w:lang w:val="fr-CA"/>
        </w:rPr>
      </w:pPr>
    </w:p>
    <w:p w:rsidR="001B2A2C" w:rsidRPr="00E54F41" w:rsidRDefault="001B2A2C" w:rsidP="008D292F">
      <w:pPr>
        <w:rPr>
          <w:b/>
          <w:sz w:val="20"/>
          <w:szCs w:val="20"/>
          <w:lang w:val="fr-CA"/>
        </w:rPr>
        <w:sectPr w:rsidR="001B2A2C" w:rsidRPr="00E54F41" w:rsidSect="008D292F">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E54F41" w:rsidTr="00BA6468">
        <w:tc>
          <w:tcPr>
            <w:tcW w:w="4230" w:type="dxa"/>
            <w:shd w:val="clear" w:color="auto" w:fill="auto"/>
            <w:tcMar>
              <w:left w:w="0" w:type="dxa"/>
              <w:right w:w="0" w:type="dxa"/>
            </w:tcMar>
          </w:tcPr>
          <w:p w:rsidR="00890FEB" w:rsidRPr="00E54F41" w:rsidRDefault="00890FEB" w:rsidP="00EB2B90">
            <w:pPr>
              <w:keepNext/>
              <w:keepLines/>
              <w:tabs>
                <w:tab w:val="left" w:pos="-1440"/>
                <w:tab w:val="left" w:pos="-720"/>
              </w:tabs>
              <w:jc w:val="both"/>
              <w:rPr>
                <w:szCs w:val="24"/>
                <w:lang w:val="fr-CA"/>
              </w:rPr>
            </w:pPr>
            <w:r w:rsidRPr="00E54F41">
              <w:rPr>
                <w:b/>
                <w:szCs w:val="24"/>
                <w:lang w:val="fr-CA"/>
              </w:rPr>
              <w:lastRenderedPageBreak/>
              <w:t>MOTIONS</w:t>
            </w:r>
          </w:p>
        </w:tc>
        <w:tc>
          <w:tcPr>
            <w:tcW w:w="1170" w:type="dxa"/>
            <w:shd w:val="clear" w:color="auto" w:fill="auto"/>
            <w:tcMar>
              <w:left w:w="0" w:type="dxa"/>
              <w:right w:w="0" w:type="dxa"/>
            </w:tcMar>
          </w:tcPr>
          <w:p w:rsidR="00890FEB" w:rsidRPr="00E54F41" w:rsidRDefault="00890FEB" w:rsidP="00890FEB">
            <w:pPr>
              <w:keepNext/>
              <w:keepLines/>
              <w:tabs>
                <w:tab w:val="left" w:pos="-1440"/>
                <w:tab w:val="left" w:pos="-720"/>
              </w:tabs>
              <w:jc w:val="center"/>
              <w:rPr>
                <w:szCs w:val="24"/>
                <w:lang w:val="fr-CA"/>
              </w:rPr>
            </w:pPr>
          </w:p>
          <w:p w:rsidR="00890FEB" w:rsidRPr="00E54F41" w:rsidRDefault="00890FEB" w:rsidP="00890FEB">
            <w:pPr>
              <w:keepNext/>
              <w:keepLines/>
              <w:tabs>
                <w:tab w:val="left" w:pos="-1440"/>
                <w:tab w:val="left" w:pos="-720"/>
              </w:tabs>
              <w:jc w:val="center"/>
              <w:rPr>
                <w:szCs w:val="24"/>
                <w:lang w:val="fr-CA"/>
              </w:rPr>
            </w:pPr>
          </w:p>
        </w:tc>
        <w:tc>
          <w:tcPr>
            <w:tcW w:w="4080" w:type="dxa"/>
            <w:shd w:val="clear" w:color="auto" w:fill="auto"/>
            <w:tcMar>
              <w:left w:w="0" w:type="dxa"/>
              <w:right w:w="0" w:type="dxa"/>
            </w:tcMar>
          </w:tcPr>
          <w:p w:rsidR="00890FEB" w:rsidRPr="00E54F41" w:rsidRDefault="00890FEB" w:rsidP="00831CA9">
            <w:pPr>
              <w:keepNext/>
              <w:keepLines/>
              <w:tabs>
                <w:tab w:val="left" w:pos="-1440"/>
                <w:tab w:val="left" w:pos="-720"/>
              </w:tabs>
              <w:rPr>
                <w:szCs w:val="24"/>
                <w:lang w:val="fr-CA"/>
              </w:rPr>
            </w:pPr>
            <w:r w:rsidRPr="00E54F41">
              <w:rPr>
                <w:b/>
                <w:szCs w:val="24"/>
                <w:lang w:val="fr-CA"/>
              </w:rPr>
              <w:t>REQUÊTES</w:t>
            </w:r>
          </w:p>
        </w:tc>
      </w:tr>
    </w:tbl>
    <w:p w:rsidR="00792571" w:rsidRPr="00E54F41" w:rsidRDefault="00792571" w:rsidP="00792571">
      <w:pPr>
        <w:rPr>
          <w:sz w:val="20"/>
          <w:szCs w:val="20"/>
          <w:lang w:val="fr-CA"/>
        </w:rPr>
      </w:pPr>
      <w:r w:rsidRPr="00E54F41">
        <w:rPr>
          <w:sz w:val="20"/>
          <w:szCs w:val="20"/>
          <w:lang w:val="fr-CA"/>
        </w:rPr>
        <w:t>14.11.2016</w:t>
      </w:r>
    </w:p>
    <w:p w:rsidR="00792571" w:rsidRPr="00E54F41" w:rsidRDefault="00792571" w:rsidP="00792571">
      <w:pPr>
        <w:rPr>
          <w:sz w:val="20"/>
          <w:szCs w:val="20"/>
          <w:lang w:val="fr-CA"/>
        </w:rPr>
      </w:pPr>
    </w:p>
    <w:p w:rsidR="00792571" w:rsidRPr="00E54F41" w:rsidRDefault="00792571" w:rsidP="00792571">
      <w:pPr>
        <w:rPr>
          <w:sz w:val="20"/>
          <w:szCs w:val="20"/>
          <w:lang w:val="fr-CA"/>
        </w:rPr>
      </w:pPr>
      <w:proofErr w:type="spellStart"/>
      <w:r w:rsidRPr="00E54F41">
        <w:rPr>
          <w:sz w:val="20"/>
          <w:szCs w:val="20"/>
          <w:lang w:val="fr-CA"/>
        </w:rPr>
        <w:t>Before</w:t>
      </w:r>
      <w:proofErr w:type="spellEnd"/>
      <w:r w:rsidRPr="00E54F41">
        <w:rPr>
          <w:sz w:val="20"/>
          <w:szCs w:val="20"/>
          <w:lang w:val="fr-CA"/>
        </w:rPr>
        <w:t xml:space="preserve"> / Devant:   MOLDAVER J. / LE JUGE MOLDAVER</w:t>
      </w:r>
    </w:p>
    <w:p w:rsidR="00792571" w:rsidRPr="00E54F41" w:rsidRDefault="00792571" w:rsidP="00792571">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792571" w:rsidRPr="00E54F41" w:rsidTr="008345B5">
        <w:tc>
          <w:tcPr>
            <w:tcW w:w="4263" w:type="dxa"/>
            <w:gridSpan w:val="2"/>
          </w:tcPr>
          <w:p w:rsidR="00792571" w:rsidRPr="00E54F41" w:rsidRDefault="00792571" w:rsidP="00792571">
            <w:pPr>
              <w:rPr>
                <w:b/>
                <w:sz w:val="20"/>
                <w:szCs w:val="20"/>
              </w:rPr>
            </w:pPr>
            <w:r w:rsidRPr="00E54F41">
              <w:rPr>
                <w:b/>
                <w:sz w:val="20"/>
                <w:szCs w:val="20"/>
              </w:rPr>
              <w:t>Motions for leave to intervene</w:t>
            </w:r>
            <w:r w:rsidRPr="00E54F41">
              <w:rPr>
                <w:sz w:val="20"/>
                <w:szCs w:val="20"/>
                <w:lang w:val="en-US"/>
              </w:rPr>
              <w:t xml:space="preserve"> </w:t>
            </w:r>
            <w:r w:rsidRPr="00E54F41">
              <w:rPr>
                <w:sz w:val="20"/>
                <w:szCs w:val="20"/>
                <w:lang w:val="en-US"/>
              </w:rPr>
              <w:fldChar w:fldCharType="begin"/>
            </w:r>
            <w:r w:rsidRPr="00E54F41">
              <w:rPr>
                <w:sz w:val="20"/>
                <w:szCs w:val="20"/>
              </w:rPr>
              <w:instrText xml:space="preserve"> SEQ CHAPTER \h \r 1</w:instrText>
            </w:r>
            <w:r w:rsidRPr="00E54F41">
              <w:rPr>
                <w:sz w:val="20"/>
                <w:szCs w:val="20"/>
                <w:lang w:val="fr-CA"/>
              </w:rPr>
              <w:fldChar w:fldCharType="end"/>
            </w:r>
          </w:p>
        </w:tc>
        <w:tc>
          <w:tcPr>
            <w:tcW w:w="1137" w:type="dxa"/>
          </w:tcPr>
          <w:p w:rsidR="00792571" w:rsidRPr="00E54F41" w:rsidRDefault="00792571" w:rsidP="00792571">
            <w:pPr>
              <w:rPr>
                <w:sz w:val="20"/>
                <w:szCs w:val="20"/>
              </w:rPr>
            </w:pPr>
          </w:p>
          <w:p w:rsidR="00792571" w:rsidRPr="00E54F41" w:rsidRDefault="00792571" w:rsidP="00792571">
            <w:pPr>
              <w:rPr>
                <w:sz w:val="20"/>
                <w:szCs w:val="20"/>
              </w:rPr>
            </w:pPr>
          </w:p>
        </w:tc>
        <w:tc>
          <w:tcPr>
            <w:tcW w:w="4219" w:type="dxa"/>
          </w:tcPr>
          <w:p w:rsidR="00792571" w:rsidRPr="00E54F41" w:rsidRDefault="00792571" w:rsidP="00792571">
            <w:pPr>
              <w:rPr>
                <w:b/>
                <w:sz w:val="20"/>
                <w:szCs w:val="20"/>
              </w:rPr>
            </w:pPr>
            <w:r w:rsidRPr="00E54F41">
              <w:rPr>
                <w:b/>
                <w:bCs/>
                <w:sz w:val="20"/>
                <w:szCs w:val="20"/>
                <w:lang w:val="fr-CA"/>
              </w:rPr>
              <w:t>Requêtes en autorisation d’intervenir</w:t>
            </w:r>
            <w:r w:rsidRPr="00E54F41">
              <w:rPr>
                <w:sz w:val="20"/>
                <w:szCs w:val="20"/>
                <w:lang w:val="en-US"/>
              </w:rPr>
              <w:t xml:space="preserve"> </w:t>
            </w:r>
            <w:r w:rsidRPr="00E54F41">
              <w:rPr>
                <w:sz w:val="20"/>
                <w:szCs w:val="20"/>
                <w:lang w:val="en-US"/>
              </w:rPr>
              <w:fldChar w:fldCharType="begin"/>
            </w:r>
            <w:r w:rsidRPr="00E54F41">
              <w:rPr>
                <w:sz w:val="20"/>
                <w:szCs w:val="20"/>
              </w:rPr>
              <w:instrText xml:space="preserve"> SEQ CHAPTER \h \r 1</w:instrText>
            </w:r>
            <w:r w:rsidRPr="00E54F41">
              <w:rPr>
                <w:sz w:val="20"/>
                <w:szCs w:val="20"/>
                <w:lang w:val="fr-CA"/>
              </w:rPr>
              <w:fldChar w:fldCharType="end"/>
            </w:r>
          </w:p>
        </w:tc>
      </w:tr>
      <w:tr w:rsidR="00792571" w:rsidRPr="00E54F41" w:rsidTr="008345B5">
        <w:trPr>
          <w:trHeight w:hRule="exact" w:val="576"/>
        </w:trPr>
        <w:tc>
          <w:tcPr>
            <w:tcW w:w="1346" w:type="dxa"/>
          </w:tcPr>
          <w:p w:rsidR="00792571" w:rsidRPr="00E54F41" w:rsidRDefault="00792571" w:rsidP="00792571">
            <w:pPr>
              <w:rPr>
                <w:sz w:val="20"/>
                <w:szCs w:val="20"/>
              </w:rPr>
            </w:pPr>
            <w:r w:rsidRPr="00E54F41">
              <w:rPr>
                <w:sz w:val="20"/>
                <w:szCs w:val="20"/>
              </w:rPr>
              <w:t>BY / PAR</w:t>
            </w:r>
          </w:p>
        </w:tc>
        <w:tc>
          <w:tcPr>
            <w:tcW w:w="2917" w:type="dxa"/>
          </w:tcPr>
          <w:p w:rsidR="00792571" w:rsidRPr="00E54F41" w:rsidRDefault="00792571" w:rsidP="00792571">
            <w:pPr>
              <w:rPr>
                <w:sz w:val="20"/>
                <w:szCs w:val="20"/>
              </w:rPr>
            </w:pPr>
            <w:r w:rsidRPr="00E54F41">
              <w:rPr>
                <w:sz w:val="20"/>
                <w:szCs w:val="20"/>
                <w:lang w:val="en-US"/>
              </w:rPr>
              <w:t>Canadian Coalition for Good Governance;</w:t>
            </w:r>
          </w:p>
        </w:tc>
        <w:tc>
          <w:tcPr>
            <w:tcW w:w="1137" w:type="dxa"/>
          </w:tcPr>
          <w:p w:rsidR="00792571" w:rsidRPr="00E54F41" w:rsidRDefault="00792571" w:rsidP="00792571">
            <w:pPr>
              <w:rPr>
                <w:sz w:val="20"/>
                <w:szCs w:val="20"/>
              </w:rPr>
            </w:pPr>
          </w:p>
        </w:tc>
        <w:tc>
          <w:tcPr>
            <w:tcW w:w="4219" w:type="dxa"/>
          </w:tcPr>
          <w:p w:rsidR="00792571" w:rsidRPr="00E54F41" w:rsidRDefault="00792571" w:rsidP="00792571">
            <w:pPr>
              <w:rPr>
                <w:sz w:val="20"/>
                <w:szCs w:val="20"/>
              </w:rPr>
            </w:pPr>
          </w:p>
        </w:tc>
      </w:tr>
      <w:tr w:rsidR="00792571" w:rsidRPr="00E54F41" w:rsidTr="008345B5">
        <w:trPr>
          <w:trHeight w:hRule="exact" w:val="540"/>
        </w:trPr>
        <w:tc>
          <w:tcPr>
            <w:tcW w:w="1346" w:type="dxa"/>
          </w:tcPr>
          <w:p w:rsidR="00792571" w:rsidRPr="00E54F41" w:rsidRDefault="00792571" w:rsidP="00792571">
            <w:pPr>
              <w:rPr>
                <w:sz w:val="20"/>
                <w:szCs w:val="20"/>
              </w:rPr>
            </w:pPr>
          </w:p>
        </w:tc>
        <w:tc>
          <w:tcPr>
            <w:tcW w:w="2917" w:type="dxa"/>
          </w:tcPr>
          <w:p w:rsidR="00792571" w:rsidRPr="00E54F41" w:rsidRDefault="00792571" w:rsidP="00792571">
            <w:pPr>
              <w:rPr>
                <w:sz w:val="20"/>
                <w:szCs w:val="20"/>
                <w:lang w:val="en-US"/>
              </w:rPr>
            </w:pPr>
            <w:r w:rsidRPr="00E54F41">
              <w:rPr>
                <w:sz w:val="20"/>
                <w:szCs w:val="20"/>
                <w:lang w:val="en-US"/>
              </w:rPr>
              <w:t>Chartered Professional Accountants of Canada;</w:t>
            </w:r>
          </w:p>
        </w:tc>
        <w:tc>
          <w:tcPr>
            <w:tcW w:w="1137" w:type="dxa"/>
          </w:tcPr>
          <w:p w:rsidR="00792571" w:rsidRPr="00E54F41" w:rsidRDefault="00792571" w:rsidP="00792571">
            <w:pPr>
              <w:rPr>
                <w:sz w:val="20"/>
                <w:szCs w:val="20"/>
              </w:rPr>
            </w:pPr>
          </w:p>
        </w:tc>
        <w:tc>
          <w:tcPr>
            <w:tcW w:w="4219" w:type="dxa"/>
          </w:tcPr>
          <w:p w:rsidR="00792571" w:rsidRPr="00E54F41" w:rsidRDefault="00792571" w:rsidP="00792571">
            <w:pPr>
              <w:rPr>
                <w:sz w:val="20"/>
                <w:szCs w:val="20"/>
              </w:rPr>
            </w:pPr>
          </w:p>
        </w:tc>
      </w:tr>
      <w:tr w:rsidR="00792571" w:rsidRPr="00E54F41" w:rsidTr="0057784A">
        <w:trPr>
          <w:trHeight w:hRule="exact" w:val="351"/>
        </w:trPr>
        <w:tc>
          <w:tcPr>
            <w:tcW w:w="1346" w:type="dxa"/>
          </w:tcPr>
          <w:p w:rsidR="00792571" w:rsidRPr="00E54F41" w:rsidRDefault="00792571" w:rsidP="00792571">
            <w:pPr>
              <w:rPr>
                <w:sz w:val="20"/>
                <w:szCs w:val="20"/>
              </w:rPr>
            </w:pPr>
          </w:p>
        </w:tc>
        <w:tc>
          <w:tcPr>
            <w:tcW w:w="2917" w:type="dxa"/>
          </w:tcPr>
          <w:p w:rsidR="00792571" w:rsidRPr="00E54F41" w:rsidRDefault="00792571" w:rsidP="00792571">
            <w:pPr>
              <w:rPr>
                <w:sz w:val="20"/>
                <w:szCs w:val="20"/>
                <w:lang w:val="en-US"/>
              </w:rPr>
            </w:pPr>
            <w:r w:rsidRPr="00E54F41">
              <w:rPr>
                <w:sz w:val="20"/>
                <w:szCs w:val="20"/>
                <w:lang w:val="en-US"/>
              </w:rPr>
              <w:t xml:space="preserve">Toronto-Dominion Bank </w:t>
            </w:r>
          </w:p>
        </w:tc>
        <w:tc>
          <w:tcPr>
            <w:tcW w:w="1137" w:type="dxa"/>
          </w:tcPr>
          <w:p w:rsidR="00792571" w:rsidRPr="00E54F41" w:rsidRDefault="00792571" w:rsidP="00792571">
            <w:pPr>
              <w:rPr>
                <w:sz w:val="20"/>
                <w:szCs w:val="20"/>
              </w:rPr>
            </w:pPr>
          </w:p>
        </w:tc>
        <w:tc>
          <w:tcPr>
            <w:tcW w:w="4219" w:type="dxa"/>
          </w:tcPr>
          <w:p w:rsidR="00792571" w:rsidRPr="00E54F41" w:rsidRDefault="00792571" w:rsidP="00792571">
            <w:pPr>
              <w:rPr>
                <w:sz w:val="20"/>
                <w:szCs w:val="20"/>
              </w:rPr>
            </w:pPr>
          </w:p>
        </w:tc>
      </w:tr>
      <w:tr w:rsidR="00792571" w:rsidRPr="00E54F41" w:rsidTr="008345B5">
        <w:tc>
          <w:tcPr>
            <w:tcW w:w="1346" w:type="dxa"/>
          </w:tcPr>
          <w:p w:rsidR="00792571" w:rsidRPr="00E54F41" w:rsidRDefault="00792571" w:rsidP="00792571">
            <w:pPr>
              <w:rPr>
                <w:sz w:val="20"/>
                <w:szCs w:val="20"/>
              </w:rPr>
            </w:pPr>
          </w:p>
        </w:tc>
        <w:tc>
          <w:tcPr>
            <w:tcW w:w="2917" w:type="dxa"/>
          </w:tcPr>
          <w:p w:rsidR="00792571" w:rsidRPr="00E54F41" w:rsidRDefault="00792571" w:rsidP="00792571">
            <w:pPr>
              <w:rPr>
                <w:sz w:val="20"/>
                <w:szCs w:val="20"/>
                <w:lang w:val="en-US"/>
              </w:rPr>
            </w:pPr>
          </w:p>
        </w:tc>
        <w:tc>
          <w:tcPr>
            <w:tcW w:w="1137" w:type="dxa"/>
          </w:tcPr>
          <w:p w:rsidR="00792571" w:rsidRPr="00E54F41" w:rsidRDefault="00792571" w:rsidP="00792571">
            <w:pPr>
              <w:rPr>
                <w:sz w:val="20"/>
                <w:szCs w:val="20"/>
              </w:rPr>
            </w:pPr>
          </w:p>
        </w:tc>
        <w:tc>
          <w:tcPr>
            <w:tcW w:w="4219" w:type="dxa"/>
          </w:tcPr>
          <w:p w:rsidR="00792571" w:rsidRPr="00E54F41" w:rsidRDefault="00792571" w:rsidP="00792571">
            <w:pPr>
              <w:rPr>
                <w:sz w:val="20"/>
                <w:szCs w:val="20"/>
              </w:rPr>
            </w:pPr>
          </w:p>
        </w:tc>
      </w:tr>
      <w:tr w:rsidR="00792571" w:rsidRPr="00E54F41" w:rsidTr="008345B5">
        <w:tc>
          <w:tcPr>
            <w:tcW w:w="1346" w:type="dxa"/>
          </w:tcPr>
          <w:p w:rsidR="00792571" w:rsidRPr="00E54F41" w:rsidRDefault="00792571" w:rsidP="00792571">
            <w:pPr>
              <w:rPr>
                <w:sz w:val="20"/>
                <w:szCs w:val="20"/>
              </w:rPr>
            </w:pPr>
            <w:r w:rsidRPr="00E54F41">
              <w:rPr>
                <w:sz w:val="20"/>
                <w:szCs w:val="20"/>
              </w:rPr>
              <w:t>IN / DANS :</w:t>
            </w:r>
          </w:p>
        </w:tc>
        <w:tc>
          <w:tcPr>
            <w:tcW w:w="2917" w:type="dxa"/>
          </w:tcPr>
          <w:p w:rsidR="00792571" w:rsidRPr="00E54F41" w:rsidRDefault="00792571" w:rsidP="00792571">
            <w:pPr>
              <w:rPr>
                <w:sz w:val="20"/>
                <w:szCs w:val="20"/>
              </w:rPr>
            </w:pPr>
            <w:r w:rsidRPr="00E54F41">
              <w:rPr>
                <w:sz w:val="20"/>
                <w:szCs w:val="20"/>
              </w:rPr>
              <w:t xml:space="preserve">Deloitte &amp; </w:t>
            </w:r>
            <w:proofErr w:type="spellStart"/>
            <w:r w:rsidRPr="00E54F41">
              <w:rPr>
                <w:sz w:val="20"/>
                <w:szCs w:val="20"/>
              </w:rPr>
              <w:t>Touche</w:t>
            </w:r>
            <w:proofErr w:type="spellEnd"/>
          </w:p>
          <w:p w:rsidR="00792571" w:rsidRPr="00E54F41" w:rsidRDefault="00792571" w:rsidP="00792571">
            <w:pPr>
              <w:rPr>
                <w:sz w:val="20"/>
                <w:szCs w:val="20"/>
              </w:rPr>
            </w:pPr>
          </w:p>
          <w:p w:rsidR="00792571" w:rsidRPr="00E54F41" w:rsidRDefault="00792571" w:rsidP="00792571">
            <w:pPr>
              <w:rPr>
                <w:sz w:val="20"/>
                <w:szCs w:val="20"/>
              </w:rPr>
            </w:pPr>
            <w:r w:rsidRPr="00E54F41">
              <w:rPr>
                <w:sz w:val="20"/>
                <w:szCs w:val="20"/>
              </w:rPr>
              <w:tab/>
              <w:t>v. (36875)</w:t>
            </w:r>
          </w:p>
          <w:p w:rsidR="00792571" w:rsidRPr="00E54F41" w:rsidRDefault="00792571" w:rsidP="00792571">
            <w:pPr>
              <w:rPr>
                <w:sz w:val="20"/>
                <w:szCs w:val="20"/>
              </w:rPr>
            </w:pPr>
          </w:p>
          <w:p w:rsidR="00792571" w:rsidRPr="00E54F41" w:rsidRDefault="00792571" w:rsidP="00792571">
            <w:pPr>
              <w:rPr>
                <w:sz w:val="20"/>
                <w:szCs w:val="20"/>
              </w:rPr>
            </w:pPr>
            <w:proofErr w:type="spellStart"/>
            <w:r w:rsidRPr="00E54F41">
              <w:rPr>
                <w:sz w:val="20"/>
                <w:szCs w:val="20"/>
              </w:rPr>
              <w:t>Livent</w:t>
            </w:r>
            <w:proofErr w:type="spellEnd"/>
            <w:r w:rsidRPr="00E54F41">
              <w:rPr>
                <w:sz w:val="20"/>
                <w:szCs w:val="20"/>
              </w:rPr>
              <w:t xml:space="preserve"> Inc., Through its Special Receiver and Manager Roman </w:t>
            </w:r>
            <w:proofErr w:type="spellStart"/>
            <w:r w:rsidRPr="00E54F41">
              <w:rPr>
                <w:sz w:val="20"/>
                <w:szCs w:val="20"/>
              </w:rPr>
              <w:t>Doroniuk</w:t>
            </w:r>
            <w:proofErr w:type="spellEnd"/>
            <w:r w:rsidRPr="00E54F41">
              <w:rPr>
                <w:sz w:val="20"/>
                <w:szCs w:val="20"/>
              </w:rPr>
              <w:t xml:space="preserve"> (Civil) (Ont.)</w:t>
            </w:r>
          </w:p>
        </w:tc>
        <w:tc>
          <w:tcPr>
            <w:tcW w:w="1137" w:type="dxa"/>
          </w:tcPr>
          <w:p w:rsidR="00792571" w:rsidRPr="00E54F41" w:rsidRDefault="00792571" w:rsidP="00792571">
            <w:pPr>
              <w:rPr>
                <w:sz w:val="20"/>
                <w:szCs w:val="20"/>
              </w:rPr>
            </w:pPr>
          </w:p>
        </w:tc>
        <w:tc>
          <w:tcPr>
            <w:tcW w:w="4219" w:type="dxa"/>
          </w:tcPr>
          <w:p w:rsidR="00792571" w:rsidRPr="00E54F41" w:rsidRDefault="00792571" w:rsidP="00792571">
            <w:pPr>
              <w:rPr>
                <w:sz w:val="20"/>
                <w:szCs w:val="20"/>
              </w:rPr>
            </w:pPr>
          </w:p>
        </w:tc>
      </w:tr>
    </w:tbl>
    <w:p w:rsidR="0057784A" w:rsidRPr="00B904CB" w:rsidRDefault="0057784A" w:rsidP="00792571">
      <w:pPr>
        <w:rPr>
          <w:sz w:val="20"/>
          <w:szCs w:val="20"/>
          <w:lang w:val="en-US"/>
        </w:rPr>
      </w:pPr>
    </w:p>
    <w:p w:rsidR="00792571" w:rsidRPr="00B904CB" w:rsidRDefault="008345B5" w:rsidP="00792571">
      <w:pPr>
        <w:rPr>
          <w:sz w:val="20"/>
          <w:szCs w:val="20"/>
          <w:lang w:val="en-US"/>
        </w:rPr>
      </w:pPr>
      <w:r w:rsidRPr="00B904CB">
        <w:rPr>
          <w:b/>
          <w:sz w:val="20"/>
          <w:szCs w:val="20"/>
          <w:lang w:val="en-US"/>
        </w:rPr>
        <w:t>ALLOWED</w:t>
      </w:r>
      <w:r w:rsidR="00792571" w:rsidRPr="00B904CB">
        <w:rPr>
          <w:b/>
          <w:sz w:val="20"/>
          <w:szCs w:val="20"/>
          <w:lang w:val="en-US"/>
        </w:rPr>
        <w:t xml:space="preserve"> IN PART / ACCORDÉE EN PARTIE</w:t>
      </w:r>
    </w:p>
    <w:p w:rsidR="00792571" w:rsidRPr="00B904CB" w:rsidRDefault="00792571" w:rsidP="00792571">
      <w:pPr>
        <w:rPr>
          <w:sz w:val="20"/>
          <w:szCs w:val="20"/>
          <w:lang w:val="en-US"/>
        </w:rPr>
      </w:pPr>
    </w:p>
    <w:p w:rsidR="00792571" w:rsidRPr="00E54F41" w:rsidRDefault="00792571" w:rsidP="00792571">
      <w:pPr>
        <w:rPr>
          <w:sz w:val="20"/>
          <w:szCs w:val="20"/>
          <w:lang w:val="en-US"/>
        </w:rPr>
      </w:pPr>
      <w:r w:rsidRPr="00E54F41">
        <w:rPr>
          <w:b/>
          <w:bCs/>
          <w:sz w:val="20"/>
          <w:szCs w:val="20"/>
          <w:lang w:val="en-US"/>
        </w:rPr>
        <w:t xml:space="preserve">UPON APPLICATIONS </w:t>
      </w:r>
      <w:r w:rsidRPr="00E54F41">
        <w:rPr>
          <w:sz w:val="20"/>
          <w:szCs w:val="20"/>
          <w:lang w:val="en-US"/>
        </w:rPr>
        <w:t>by the Canadian Coalition for Good Governance; the Chartered Professional Accountants of Canada and the Toronto-Dominion Bank for leave to intervene in the above appeal;</w:t>
      </w:r>
    </w:p>
    <w:p w:rsidR="00CD01F6" w:rsidRPr="00E54F41" w:rsidRDefault="00CD01F6" w:rsidP="00792571">
      <w:pPr>
        <w:rPr>
          <w:sz w:val="20"/>
          <w:szCs w:val="20"/>
          <w:lang w:val="en-US"/>
        </w:rPr>
      </w:pPr>
    </w:p>
    <w:p w:rsidR="00CD01F6" w:rsidRPr="00E54F41" w:rsidRDefault="00CD01F6" w:rsidP="00CD01F6">
      <w:pPr>
        <w:spacing w:line="233" w:lineRule="auto"/>
        <w:rPr>
          <w:rFonts w:cs="Times New Roman"/>
          <w:sz w:val="20"/>
          <w:szCs w:val="20"/>
        </w:rPr>
      </w:pPr>
      <w:r w:rsidRPr="00E54F41">
        <w:rPr>
          <w:rFonts w:cs="Times New Roman"/>
          <w:b/>
          <w:bCs/>
          <w:sz w:val="20"/>
          <w:szCs w:val="20"/>
        </w:rPr>
        <w:t>AND THE MATERIAL FILED</w:t>
      </w:r>
      <w:r w:rsidRPr="00E54F41">
        <w:rPr>
          <w:rFonts w:cs="Times New Roman"/>
          <w:sz w:val="20"/>
          <w:szCs w:val="20"/>
        </w:rPr>
        <w:t xml:space="preserve"> having been read;</w:t>
      </w:r>
    </w:p>
    <w:p w:rsidR="00792571" w:rsidRPr="00E54F41" w:rsidRDefault="00792571" w:rsidP="00792571">
      <w:pPr>
        <w:rPr>
          <w:sz w:val="20"/>
          <w:szCs w:val="20"/>
        </w:rPr>
      </w:pPr>
    </w:p>
    <w:p w:rsidR="00CD01F6" w:rsidRPr="00E54F41" w:rsidRDefault="00CD01F6" w:rsidP="00CD01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en-US"/>
        </w:rPr>
      </w:pPr>
      <w:r w:rsidRPr="00E54F41">
        <w:rPr>
          <w:rFonts w:eastAsiaTheme="minorEastAsia" w:cs="Times New Roman"/>
          <w:b/>
          <w:bCs/>
          <w:sz w:val="20"/>
          <w:szCs w:val="20"/>
          <w:lang w:val="en-US"/>
        </w:rPr>
        <w:t>IT IS HEREBY ORDERED THAT:</w:t>
      </w:r>
    </w:p>
    <w:p w:rsidR="00CD01F6" w:rsidRPr="00E54F41" w:rsidRDefault="00CD01F6" w:rsidP="00CD01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CD01F6" w:rsidRPr="00E54F41" w:rsidRDefault="00CD01F6" w:rsidP="00CD01F6">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en-US"/>
        </w:rPr>
      </w:pPr>
      <w:r w:rsidRPr="00E54F41">
        <w:rPr>
          <w:rFonts w:eastAsiaTheme="minorEastAsia" w:cs="Times New Roman"/>
          <w:sz w:val="20"/>
          <w:szCs w:val="20"/>
          <w:lang w:val="en-US"/>
        </w:rPr>
        <w:t>The motion for leave to intervene by the Canadian Coalition for Good Governance is granted and the said intervener shall be entitled to serve and file a factum not exceeding ten (10) pages in length on or before January 30, 2017.</w:t>
      </w:r>
    </w:p>
    <w:p w:rsidR="00CD01F6" w:rsidRPr="00E54F41" w:rsidRDefault="00CD01F6" w:rsidP="00CD01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p>
    <w:p w:rsidR="00CD01F6" w:rsidRPr="00E54F41" w:rsidRDefault="00CD01F6" w:rsidP="00CD01F6">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contextualSpacing/>
        <w:jc w:val="both"/>
        <w:rPr>
          <w:rFonts w:eastAsiaTheme="minorEastAsia" w:cs="Times New Roman"/>
          <w:sz w:val="20"/>
          <w:szCs w:val="20"/>
          <w:lang w:val="en-US"/>
        </w:rPr>
      </w:pPr>
      <w:r w:rsidRPr="00E54F41">
        <w:rPr>
          <w:rFonts w:eastAsiaTheme="minorEastAsia" w:cs="Times New Roman"/>
          <w:sz w:val="20"/>
          <w:szCs w:val="20"/>
        </w:rPr>
        <w:t xml:space="preserve">The motion for leave to intervene </w:t>
      </w:r>
      <w:r w:rsidRPr="00E54F41">
        <w:rPr>
          <w:rFonts w:eastAsiaTheme="minorEastAsia" w:cs="Times New Roman"/>
          <w:sz w:val="20"/>
          <w:szCs w:val="20"/>
          <w:lang w:val="en-US"/>
        </w:rPr>
        <w:t>by the Chartered Professional Accountants of Canada</w:t>
      </w:r>
      <w:r w:rsidRPr="00E54F41">
        <w:rPr>
          <w:rFonts w:eastAsiaTheme="minorEastAsia" w:cs="Times New Roman"/>
          <w:sz w:val="20"/>
          <w:szCs w:val="20"/>
        </w:rPr>
        <w:t xml:space="preserve"> is granted and the said intervener shall be entitled to serve and file a factum not exceeding twenty (20) pages in length on or before </w:t>
      </w:r>
      <w:r w:rsidRPr="00E54F41">
        <w:rPr>
          <w:rFonts w:eastAsiaTheme="minorEastAsia" w:cs="Times New Roman"/>
          <w:sz w:val="20"/>
          <w:szCs w:val="20"/>
          <w:lang w:val="en-US"/>
        </w:rPr>
        <w:t>January 30, 2017</w:t>
      </w:r>
      <w:r w:rsidRPr="00E54F41">
        <w:rPr>
          <w:rFonts w:eastAsiaTheme="minorEastAsia" w:cs="Times New Roman"/>
          <w:sz w:val="20"/>
          <w:szCs w:val="20"/>
        </w:rPr>
        <w:t xml:space="preserve">. </w:t>
      </w:r>
    </w:p>
    <w:p w:rsidR="00CD01F6" w:rsidRPr="00E54F41" w:rsidRDefault="00CD01F6" w:rsidP="00CD01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CD01F6" w:rsidRPr="00E54F41" w:rsidRDefault="00CD01F6" w:rsidP="00CD01F6">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contextualSpacing/>
        <w:jc w:val="both"/>
        <w:rPr>
          <w:rFonts w:eastAsiaTheme="minorEastAsia" w:cs="Times New Roman"/>
          <w:sz w:val="20"/>
          <w:szCs w:val="20"/>
          <w:lang w:val="en-US"/>
        </w:rPr>
      </w:pPr>
      <w:r w:rsidRPr="00E54F41">
        <w:rPr>
          <w:rFonts w:eastAsiaTheme="minorEastAsia" w:cs="Times New Roman"/>
          <w:sz w:val="20"/>
          <w:szCs w:val="20"/>
          <w:lang w:val="en-US"/>
        </w:rPr>
        <w:t>The motion for leave to intervene by the Toronto-Dominion Bank is dismissed.</w:t>
      </w:r>
    </w:p>
    <w:p w:rsidR="00CD01F6" w:rsidRPr="00E54F41" w:rsidRDefault="00CD01F6" w:rsidP="00CD01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ascii="Calibri" w:eastAsiaTheme="minorEastAsia" w:hAnsi="Calibri" w:cs="Calibri"/>
          <w:sz w:val="20"/>
          <w:szCs w:val="20"/>
          <w:lang w:eastAsia="en-CA"/>
        </w:rPr>
      </w:pPr>
    </w:p>
    <w:p w:rsidR="00CD01F6" w:rsidRPr="00E54F41" w:rsidRDefault="00CD01F6" w:rsidP="00CD01F6">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contextualSpacing/>
        <w:jc w:val="both"/>
        <w:rPr>
          <w:rFonts w:eastAsiaTheme="minorEastAsia" w:cs="Times New Roman"/>
          <w:sz w:val="20"/>
          <w:szCs w:val="20"/>
          <w:lang w:val="en-US"/>
        </w:rPr>
      </w:pPr>
      <w:r w:rsidRPr="00E54F41">
        <w:rPr>
          <w:rFonts w:eastAsiaTheme="minorEastAsia" w:cs="Times New Roman"/>
          <w:sz w:val="20"/>
          <w:szCs w:val="20"/>
        </w:rPr>
        <w:t>The appellant’s request to serve and file a ten (10) page factum in reply to the interveners’ factums is dismissed.</w:t>
      </w:r>
    </w:p>
    <w:p w:rsidR="00CD01F6" w:rsidRPr="00E54F41" w:rsidRDefault="00CD01F6" w:rsidP="00CD01F6">
      <w:pPr>
        <w:pStyle w:val="ListParagraph"/>
        <w:rPr>
          <w:rFonts w:eastAsiaTheme="minorEastAsia" w:cs="Times New Roman"/>
          <w:sz w:val="20"/>
          <w:szCs w:val="20"/>
          <w:lang w:val="en-US"/>
        </w:rPr>
      </w:pPr>
    </w:p>
    <w:p w:rsidR="00792571" w:rsidRPr="00E54F41" w:rsidRDefault="00792571" w:rsidP="00792571">
      <w:pPr>
        <w:rPr>
          <w:sz w:val="20"/>
          <w:szCs w:val="20"/>
          <w:lang w:val="en-US"/>
        </w:rPr>
      </w:pPr>
      <w:r w:rsidRPr="00E54F41">
        <w:rPr>
          <w:sz w:val="20"/>
          <w:szCs w:val="20"/>
          <w:lang w:val="en-US"/>
        </w:rPr>
        <w:t>The requests to present oral argument are deferred to a date following receipt and consideration of the written arguments of the parties and the interveners.</w:t>
      </w:r>
    </w:p>
    <w:p w:rsidR="00792571" w:rsidRPr="00E54F41" w:rsidRDefault="00792571" w:rsidP="00792571">
      <w:pPr>
        <w:rPr>
          <w:sz w:val="20"/>
          <w:szCs w:val="20"/>
          <w:lang w:val="en-US"/>
        </w:rPr>
      </w:pPr>
    </w:p>
    <w:p w:rsidR="00792571" w:rsidRPr="00E54F41" w:rsidRDefault="00792571" w:rsidP="00792571">
      <w:pPr>
        <w:rPr>
          <w:sz w:val="20"/>
          <w:szCs w:val="20"/>
          <w:lang w:val="en-US"/>
        </w:rPr>
      </w:pPr>
      <w:r w:rsidRPr="00E54F41">
        <w:rPr>
          <w:sz w:val="20"/>
          <w:szCs w:val="20"/>
          <w:lang w:val="en-US"/>
        </w:rPr>
        <w:t xml:space="preserve">The interveners are not entitled to raise new issues or to adduce further evidence or otherwise to supplement the record of the parties. </w:t>
      </w:r>
    </w:p>
    <w:p w:rsidR="00792571" w:rsidRPr="00E54F41" w:rsidRDefault="00792571" w:rsidP="00792571">
      <w:pPr>
        <w:rPr>
          <w:sz w:val="20"/>
          <w:szCs w:val="20"/>
          <w:lang w:val="en-US"/>
        </w:rPr>
      </w:pPr>
    </w:p>
    <w:p w:rsidR="00792571" w:rsidRPr="00E54F41" w:rsidRDefault="00792571" w:rsidP="00792571">
      <w:pPr>
        <w:rPr>
          <w:sz w:val="20"/>
          <w:szCs w:val="20"/>
          <w:lang w:val="en-US"/>
        </w:rPr>
      </w:pPr>
      <w:r w:rsidRPr="00E54F41">
        <w:rPr>
          <w:sz w:val="20"/>
          <w:szCs w:val="20"/>
          <w:lang w:val="en-US"/>
        </w:rPr>
        <w:t>Pursuant to Rule 59(1</w:t>
      </w:r>
      <w:proofErr w:type="gramStart"/>
      <w:r w:rsidRPr="00E54F41">
        <w:rPr>
          <w:sz w:val="20"/>
          <w:szCs w:val="20"/>
          <w:lang w:val="en-US"/>
        </w:rPr>
        <w:t>)(</w:t>
      </w:r>
      <w:proofErr w:type="gramEnd"/>
      <w:r w:rsidRPr="00E54F41">
        <w:rPr>
          <w:i/>
          <w:iCs/>
          <w:sz w:val="20"/>
          <w:szCs w:val="20"/>
          <w:lang w:val="en-US"/>
        </w:rPr>
        <w:t>a</w:t>
      </w:r>
      <w:r w:rsidRPr="00E54F41">
        <w:rPr>
          <w:sz w:val="20"/>
          <w:szCs w:val="20"/>
          <w:lang w:val="en-US"/>
        </w:rPr>
        <w:t xml:space="preserve">) of the </w:t>
      </w:r>
      <w:r w:rsidRPr="00E54F41">
        <w:rPr>
          <w:i/>
          <w:iCs/>
          <w:sz w:val="20"/>
          <w:szCs w:val="20"/>
          <w:lang w:val="en-US"/>
        </w:rPr>
        <w:t>Rules of the Supreme Court of Canada</w:t>
      </w:r>
      <w:r w:rsidRPr="00E54F41">
        <w:rPr>
          <w:sz w:val="20"/>
          <w:szCs w:val="20"/>
          <w:lang w:val="en-US"/>
        </w:rPr>
        <w:t>, the interveners shall pay to the appellant and respondent any additional disbursements occasioned to the appellant and respondent by their intervention.</w:t>
      </w:r>
    </w:p>
    <w:p w:rsidR="00792571" w:rsidRPr="00E54F41" w:rsidRDefault="00792571" w:rsidP="00792571">
      <w:pPr>
        <w:rPr>
          <w:sz w:val="20"/>
          <w:szCs w:val="20"/>
          <w:lang w:val="en-US"/>
        </w:rPr>
      </w:pPr>
    </w:p>
    <w:p w:rsidR="00792571" w:rsidRPr="00E54F41" w:rsidRDefault="00792571" w:rsidP="00792571">
      <w:pPr>
        <w:spacing w:line="233" w:lineRule="auto"/>
        <w:rPr>
          <w:rFonts w:cs="Times New Roman"/>
          <w:bCs/>
          <w:sz w:val="20"/>
          <w:szCs w:val="20"/>
        </w:rPr>
      </w:pPr>
    </w:p>
    <w:p w:rsidR="00792571" w:rsidRPr="00E54F41" w:rsidRDefault="00792571">
      <w:pPr>
        <w:rPr>
          <w:rFonts w:cs="Times New Roman"/>
          <w:bCs/>
          <w:sz w:val="20"/>
          <w:szCs w:val="20"/>
        </w:rPr>
      </w:pPr>
    </w:p>
    <w:p w:rsidR="00792571" w:rsidRPr="00E54F41" w:rsidRDefault="00792571" w:rsidP="00792571">
      <w:pPr>
        <w:spacing w:line="233" w:lineRule="auto"/>
        <w:rPr>
          <w:rFonts w:cs="Times New Roman"/>
          <w:sz w:val="20"/>
          <w:szCs w:val="20"/>
          <w:lang w:val="fr-CA"/>
        </w:rPr>
      </w:pPr>
      <w:r w:rsidRPr="00E54F41">
        <w:rPr>
          <w:rFonts w:cs="Times New Roman"/>
          <w:b/>
          <w:bCs/>
          <w:sz w:val="20"/>
          <w:szCs w:val="20"/>
          <w:lang w:val="fr-CA"/>
        </w:rPr>
        <w:t xml:space="preserve">À LA SUITE DES DEMANDES </w:t>
      </w:r>
      <w:r w:rsidRPr="00E54F41">
        <w:rPr>
          <w:rFonts w:cs="Times New Roman"/>
          <w:sz w:val="20"/>
          <w:szCs w:val="20"/>
          <w:lang w:val="fr-CA"/>
        </w:rPr>
        <w:t>présentées par la Coalition canadienne pour une bonne gouvernance, les Comptables agréés professionnels du Canada et la Banque Toronto-Dominion en vue d’intervenir dans l’appel;</w:t>
      </w:r>
    </w:p>
    <w:p w:rsidR="00792571" w:rsidRPr="00E54F41" w:rsidRDefault="00792571" w:rsidP="00792571">
      <w:pPr>
        <w:spacing w:line="233" w:lineRule="auto"/>
        <w:rPr>
          <w:rFonts w:cs="Times New Roman"/>
          <w:sz w:val="20"/>
          <w:szCs w:val="20"/>
          <w:lang w:val="fr-CA"/>
        </w:rPr>
      </w:pPr>
    </w:p>
    <w:p w:rsidR="00792571" w:rsidRPr="00E54F41" w:rsidRDefault="00792571" w:rsidP="00792571">
      <w:pPr>
        <w:spacing w:line="233" w:lineRule="auto"/>
        <w:rPr>
          <w:rFonts w:cs="Times New Roman"/>
          <w:sz w:val="20"/>
          <w:szCs w:val="20"/>
          <w:lang w:val="fr-CA"/>
        </w:rPr>
      </w:pPr>
      <w:r w:rsidRPr="00E54F41">
        <w:rPr>
          <w:rFonts w:cs="Times New Roman"/>
          <w:b/>
          <w:bCs/>
          <w:sz w:val="20"/>
          <w:szCs w:val="20"/>
          <w:lang w:val="fr-CA"/>
        </w:rPr>
        <w:t>ET APRÈS EXAMEN</w:t>
      </w:r>
      <w:r w:rsidRPr="00E54F41">
        <w:rPr>
          <w:rFonts w:cs="Times New Roman"/>
          <w:sz w:val="20"/>
          <w:szCs w:val="20"/>
          <w:lang w:val="fr-CA"/>
        </w:rPr>
        <w:t xml:space="preserve"> des documents déposés;</w:t>
      </w:r>
    </w:p>
    <w:p w:rsidR="00792571" w:rsidRPr="00E54F41" w:rsidRDefault="00792571" w:rsidP="00CD01F6">
      <w:pPr>
        <w:spacing w:line="233" w:lineRule="auto"/>
        <w:rPr>
          <w:rFonts w:cs="Times New Roman"/>
          <w:sz w:val="20"/>
          <w:szCs w:val="20"/>
          <w:lang w:val="fr-CA"/>
        </w:rPr>
      </w:pPr>
    </w:p>
    <w:p w:rsidR="00CD01F6" w:rsidRPr="00E54F41" w:rsidRDefault="00CD01F6" w:rsidP="00CD01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fr-CA"/>
        </w:rPr>
      </w:pPr>
      <w:r w:rsidRPr="00E54F41">
        <w:rPr>
          <w:rFonts w:eastAsiaTheme="minorEastAsia" w:cs="Times New Roman"/>
          <w:b/>
          <w:bCs/>
          <w:sz w:val="20"/>
          <w:szCs w:val="20"/>
          <w:lang w:val="fr-CA"/>
        </w:rPr>
        <w:t>IL EST ORDONNÉ CE QUI SUIT :</w:t>
      </w:r>
    </w:p>
    <w:p w:rsidR="00CD01F6" w:rsidRPr="00E54F41" w:rsidRDefault="00CD01F6" w:rsidP="00CD01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CD01F6" w:rsidRPr="00E54F41" w:rsidRDefault="00CD01F6" w:rsidP="00CD01F6">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fr-CA"/>
        </w:rPr>
      </w:pPr>
      <w:r w:rsidRPr="00E54F41">
        <w:rPr>
          <w:rFonts w:eastAsiaTheme="minorEastAsia" w:cs="Times New Roman"/>
          <w:sz w:val="20"/>
          <w:szCs w:val="20"/>
          <w:lang w:val="fr-CA"/>
        </w:rPr>
        <w:t>La requête en autorisation d’intervenir de la Coalition canadienne pour une bonne gouvernance est accueillie et cette intervenante est autorisée à signifier et déposer un mémoire d’au plus dix (10) pages au plus tard le 30 janvier 2017.</w:t>
      </w:r>
    </w:p>
    <w:p w:rsidR="00CD01F6" w:rsidRPr="00E54F41" w:rsidRDefault="00CD01F6" w:rsidP="00CD01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CD01F6" w:rsidRPr="00E54F41" w:rsidRDefault="00CD01F6" w:rsidP="00CD01F6">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contextualSpacing/>
        <w:jc w:val="both"/>
        <w:rPr>
          <w:rFonts w:eastAsiaTheme="minorEastAsia" w:cs="Times New Roman"/>
          <w:sz w:val="20"/>
          <w:szCs w:val="20"/>
          <w:lang w:val="fr-CA"/>
        </w:rPr>
      </w:pPr>
      <w:r w:rsidRPr="00E54F41">
        <w:rPr>
          <w:rFonts w:eastAsiaTheme="minorEastAsia" w:cs="Times New Roman"/>
          <w:sz w:val="20"/>
          <w:szCs w:val="20"/>
          <w:lang w:val="fr-CA"/>
        </w:rPr>
        <w:t xml:space="preserve">La requête en autorisation d’intervenir des Comptables agréés professionnels du Canada est accueillie et cette intervenante est autorisée à signifier et déposer un mémoire d’au plus vingt (20) pages au plus tard le 30 janvier 2017. </w:t>
      </w:r>
    </w:p>
    <w:p w:rsidR="00CD01F6" w:rsidRPr="00E54F41" w:rsidRDefault="00CD01F6" w:rsidP="00CD01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CD01F6" w:rsidRPr="00E54F41" w:rsidRDefault="00CD01F6" w:rsidP="00CD01F6">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contextualSpacing/>
        <w:jc w:val="both"/>
        <w:rPr>
          <w:rFonts w:eastAsiaTheme="minorEastAsia" w:cs="Times New Roman"/>
          <w:sz w:val="20"/>
          <w:szCs w:val="20"/>
          <w:lang w:val="fr-CA"/>
        </w:rPr>
      </w:pPr>
      <w:r w:rsidRPr="00E54F41">
        <w:rPr>
          <w:rFonts w:eastAsiaTheme="minorEastAsia" w:cs="Times New Roman"/>
          <w:sz w:val="20"/>
          <w:szCs w:val="20"/>
          <w:lang w:val="fr-CA"/>
        </w:rPr>
        <w:t>La requête en autorisation d’intervenir de la Banque Toronto-Dominion est rejetée.</w:t>
      </w:r>
    </w:p>
    <w:p w:rsidR="00CD01F6" w:rsidRPr="00E54F41" w:rsidRDefault="00CD01F6" w:rsidP="00CD01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ascii="Calibri" w:eastAsiaTheme="minorEastAsia" w:hAnsi="Calibri" w:cs="Calibri"/>
          <w:sz w:val="20"/>
          <w:szCs w:val="20"/>
          <w:lang w:val="fr-CA" w:eastAsia="en-CA"/>
        </w:rPr>
      </w:pPr>
    </w:p>
    <w:p w:rsidR="00CD01F6" w:rsidRPr="00E54F41" w:rsidRDefault="00CD01F6" w:rsidP="00CD01F6">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contextualSpacing/>
        <w:jc w:val="both"/>
        <w:rPr>
          <w:rFonts w:eastAsiaTheme="minorEastAsia" w:cs="Times New Roman"/>
          <w:sz w:val="20"/>
          <w:szCs w:val="20"/>
          <w:lang w:val="fr-CA"/>
        </w:rPr>
      </w:pPr>
      <w:r w:rsidRPr="00E54F41">
        <w:rPr>
          <w:rFonts w:eastAsiaTheme="minorEastAsia" w:cs="Times New Roman"/>
          <w:sz w:val="20"/>
          <w:szCs w:val="20"/>
          <w:lang w:val="fr-CA"/>
        </w:rPr>
        <w:t>La demande de l’appelante pour être autorisée à déposer et signifier un mémoire de dix (10) pages en réponse aux mémoires des intervenants est rejetée.</w:t>
      </w:r>
    </w:p>
    <w:p w:rsidR="00792571" w:rsidRPr="00E54F41" w:rsidRDefault="00792571" w:rsidP="00792571">
      <w:pPr>
        <w:spacing w:line="233" w:lineRule="auto"/>
        <w:rPr>
          <w:rFonts w:cs="Times New Roman"/>
          <w:sz w:val="20"/>
          <w:szCs w:val="20"/>
          <w:lang w:val="fr-CA"/>
        </w:rPr>
      </w:pPr>
    </w:p>
    <w:p w:rsidR="00792571" w:rsidRPr="00E54F41" w:rsidRDefault="00792571" w:rsidP="00792571">
      <w:pPr>
        <w:spacing w:line="233" w:lineRule="auto"/>
        <w:rPr>
          <w:rFonts w:cs="Times New Roman"/>
          <w:sz w:val="20"/>
          <w:szCs w:val="20"/>
          <w:lang w:val="fr-CA"/>
        </w:rPr>
      </w:pPr>
      <w:r w:rsidRPr="00E54F41">
        <w:rPr>
          <w:rFonts w:cs="Times New Roman"/>
          <w:sz w:val="20"/>
          <w:szCs w:val="20"/>
          <w:lang w:val="fr-CA"/>
        </w:rPr>
        <w:t>La décision sur les demandes en vue de présenter des plaidoiries orales sera rendue sur réception et examen des arguments écrits des parties et des intervenants.</w:t>
      </w:r>
    </w:p>
    <w:p w:rsidR="00792571" w:rsidRPr="00E54F41" w:rsidRDefault="00792571" w:rsidP="00792571">
      <w:pPr>
        <w:spacing w:line="233" w:lineRule="auto"/>
        <w:rPr>
          <w:rFonts w:cs="Times New Roman"/>
          <w:sz w:val="20"/>
          <w:szCs w:val="20"/>
          <w:lang w:val="fr-CA"/>
        </w:rPr>
      </w:pPr>
    </w:p>
    <w:p w:rsidR="00792571" w:rsidRPr="00E54F41" w:rsidRDefault="00792571" w:rsidP="00792571">
      <w:pPr>
        <w:spacing w:line="233" w:lineRule="auto"/>
        <w:rPr>
          <w:rFonts w:cs="Times New Roman"/>
          <w:sz w:val="20"/>
          <w:szCs w:val="20"/>
          <w:lang w:val="fr-CA"/>
        </w:rPr>
      </w:pPr>
      <w:r w:rsidRPr="00E54F41">
        <w:rPr>
          <w:rFonts w:cs="Times New Roman"/>
          <w:sz w:val="20"/>
          <w:szCs w:val="20"/>
          <w:lang w:val="fr-CA"/>
        </w:rPr>
        <w:t xml:space="preserve">Les intervenants n’ont pas le droit de soulever de nouvelles questions, de produire d’autres éléments de preuve ni de compléter de quelque autre façon le dossier des parties. </w:t>
      </w:r>
    </w:p>
    <w:p w:rsidR="00792571" w:rsidRPr="00E54F41" w:rsidRDefault="00792571" w:rsidP="00792571">
      <w:pPr>
        <w:spacing w:line="233" w:lineRule="auto"/>
        <w:rPr>
          <w:rFonts w:cs="Times New Roman"/>
          <w:sz w:val="20"/>
          <w:szCs w:val="20"/>
          <w:lang w:val="fr-CA"/>
        </w:rPr>
      </w:pPr>
    </w:p>
    <w:p w:rsidR="00792571" w:rsidRPr="00E54F41" w:rsidRDefault="00792571" w:rsidP="00792571">
      <w:pPr>
        <w:spacing w:line="233" w:lineRule="auto"/>
        <w:rPr>
          <w:rFonts w:cs="Times New Roman"/>
          <w:sz w:val="20"/>
          <w:szCs w:val="20"/>
          <w:lang w:val="fr-CA"/>
        </w:rPr>
      </w:pPr>
      <w:r w:rsidRPr="00E54F41">
        <w:rPr>
          <w:rFonts w:cs="Times New Roman"/>
          <w:sz w:val="20"/>
          <w:szCs w:val="20"/>
          <w:lang w:val="fr-CA"/>
        </w:rPr>
        <w:t>Conformément à l’al. 59(1)</w:t>
      </w:r>
      <w:r w:rsidRPr="00E54F41">
        <w:rPr>
          <w:rFonts w:cs="Times New Roman"/>
          <w:i/>
          <w:iCs/>
          <w:sz w:val="20"/>
          <w:szCs w:val="20"/>
          <w:lang w:val="fr-CA"/>
        </w:rPr>
        <w:t>a</w:t>
      </w:r>
      <w:r w:rsidRPr="00E54F41">
        <w:rPr>
          <w:rFonts w:cs="Times New Roman"/>
          <w:sz w:val="20"/>
          <w:szCs w:val="20"/>
          <w:lang w:val="fr-CA"/>
        </w:rPr>
        <w:t xml:space="preserve">) des </w:t>
      </w:r>
      <w:r w:rsidRPr="00E54F41">
        <w:rPr>
          <w:rFonts w:cs="Times New Roman"/>
          <w:i/>
          <w:iCs/>
          <w:sz w:val="20"/>
          <w:szCs w:val="20"/>
          <w:lang w:val="fr-CA"/>
        </w:rPr>
        <w:t>Règles de la Cour suprême du Canada</w:t>
      </w:r>
      <w:r w:rsidRPr="00E54F41">
        <w:rPr>
          <w:rFonts w:cs="Times New Roman"/>
          <w:sz w:val="20"/>
          <w:szCs w:val="20"/>
          <w:lang w:val="fr-CA"/>
        </w:rPr>
        <w:t>, les intervenants paieront à l’appelante et à l’intimée tous les débours supplémentaires résultant de leur intervention.</w:t>
      </w:r>
    </w:p>
    <w:p w:rsidR="00792571" w:rsidRPr="00E54F41" w:rsidRDefault="00792571" w:rsidP="00792571">
      <w:pPr>
        <w:rPr>
          <w:sz w:val="20"/>
          <w:szCs w:val="20"/>
          <w:lang w:val="fr-CA"/>
        </w:rPr>
      </w:pPr>
    </w:p>
    <w:p w:rsidR="00792571" w:rsidRPr="00E54F41" w:rsidRDefault="00B904CB" w:rsidP="00792571">
      <w:pPr>
        <w:rPr>
          <w:sz w:val="20"/>
          <w:szCs w:val="20"/>
        </w:rPr>
      </w:pPr>
      <w:r>
        <w:rPr>
          <w:sz w:val="20"/>
          <w:szCs w:val="20"/>
          <w:lang w:val="fr-CA"/>
        </w:rPr>
        <w:pict>
          <v:rect id="_x0000_i1050" style="width:2in;height:1pt" o:hrpct="0" o:hralign="center" o:hrstd="t" o:hrnoshade="t" o:hr="t" fillcolor="black [3213]" stroked="f"/>
        </w:pict>
      </w:r>
    </w:p>
    <w:p w:rsidR="00792571" w:rsidRPr="00E54F41" w:rsidRDefault="00792571" w:rsidP="00792571">
      <w:pPr>
        <w:rPr>
          <w:sz w:val="20"/>
          <w:szCs w:val="20"/>
        </w:rPr>
      </w:pPr>
    </w:p>
    <w:p w:rsidR="00792571" w:rsidRPr="00E54F41" w:rsidRDefault="00792571" w:rsidP="00792571">
      <w:pPr>
        <w:rPr>
          <w:sz w:val="20"/>
          <w:szCs w:val="20"/>
          <w:lang w:val="fr-CA"/>
        </w:rPr>
      </w:pPr>
      <w:r w:rsidRPr="00E54F41">
        <w:rPr>
          <w:sz w:val="20"/>
          <w:szCs w:val="20"/>
          <w:lang w:val="fr-CA"/>
        </w:rPr>
        <w:t>14.11.2016</w:t>
      </w:r>
    </w:p>
    <w:p w:rsidR="00792571" w:rsidRPr="00E54F41" w:rsidRDefault="00792571" w:rsidP="00792571">
      <w:pPr>
        <w:rPr>
          <w:sz w:val="20"/>
          <w:szCs w:val="20"/>
          <w:lang w:val="fr-CA"/>
        </w:rPr>
      </w:pPr>
    </w:p>
    <w:p w:rsidR="00792571" w:rsidRPr="00E54F41" w:rsidRDefault="00792571" w:rsidP="00792571">
      <w:pPr>
        <w:rPr>
          <w:sz w:val="20"/>
          <w:szCs w:val="20"/>
          <w:lang w:val="fr-CA"/>
        </w:rPr>
      </w:pPr>
      <w:proofErr w:type="spellStart"/>
      <w:r w:rsidRPr="00E54F41">
        <w:rPr>
          <w:sz w:val="20"/>
          <w:szCs w:val="20"/>
          <w:lang w:val="fr-CA"/>
        </w:rPr>
        <w:t>Before</w:t>
      </w:r>
      <w:proofErr w:type="spellEnd"/>
      <w:r w:rsidRPr="00E54F41">
        <w:rPr>
          <w:sz w:val="20"/>
          <w:szCs w:val="20"/>
          <w:lang w:val="fr-CA"/>
        </w:rPr>
        <w:t xml:space="preserve"> / Devant :   THE CHIEF JUSTICE / LA JUGE EN CHEF</w:t>
      </w:r>
    </w:p>
    <w:p w:rsidR="00792571" w:rsidRPr="00E54F41" w:rsidRDefault="00792571" w:rsidP="00792571">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2822"/>
        <w:gridCol w:w="1137"/>
        <w:gridCol w:w="4221"/>
      </w:tblGrid>
      <w:tr w:rsidR="00792571" w:rsidRPr="00E54F41" w:rsidTr="008345B5">
        <w:tc>
          <w:tcPr>
            <w:tcW w:w="4261" w:type="dxa"/>
            <w:gridSpan w:val="2"/>
          </w:tcPr>
          <w:p w:rsidR="00792571" w:rsidRPr="00E54F41" w:rsidRDefault="00792571" w:rsidP="00792571">
            <w:pPr>
              <w:rPr>
                <w:b/>
                <w:sz w:val="20"/>
                <w:szCs w:val="20"/>
              </w:rPr>
            </w:pPr>
            <w:r w:rsidRPr="00E54F41">
              <w:rPr>
                <w:b/>
                <w:sz w:val="20"/>
                <w:szCs w:val="20"/>
              </w:rPr>
              <w:t>Order</w:t>
            </w:r>
            <w:r w:rsidRPr="00E54F41">
              <w:rPr>
                <w:sz w:val="20"/>
                <w:szCs w:val="20"/>
                <w:lang w:val="en-US"/>
              </w:rPr>
              <w:fldChar w:fldCharType="begin"/>
            </w:r>
            <w:r w:rsidRPr="00E54F41">
              <w:rPr>
                <w:sz w:val="20"/>
                <w:szCs w:val="20"/>
              </w:rPr>
              <w:instrText xml:space="preserve"> SEQ CHAPTER \h \r 1</w:instrText>
            </w:r>
            <w:r w:rsidRPr="00E54F41">
              <w:rPr>
                <w:sz w:val="20"/>
                <w:szCs w:val="20"/>
                <w:lang w:val="fr-CA"/>
              </w:rPr>
              <w:fldChar w:fldCharType="end"/>
            </w:r>
          </w:p>
        </w:tc>
        <w:tc>
          <w:tcPr>
            <w:tcW w:w="1137" w:type="dxa"/>
          </w:tcPr>
          <w:p w:rsidR="00792571" w:rsidRPr="00E54F41" w:rsidRDefault="00792571" w:rsidP="00792571">
            <w:pPr>
              <w:rPr>
                <w:sz w:val="20"/>
                <w:szCs w:val="20"/>
              </w:rPr>
            </w:pPr>
          </w:p>
          <w:p w:rsidR="0057784A" w:rsidRPr="00E54F41" w:rsidRDefault="0057784A" w:rsidP="00792571">
            <w:pPr>
              <w:rPr>
                <w:sz w:val="20"/>
                <w:szCs w:val="20"/>
              </w:rPr>
            </w:pPr>
          </w:p>
        </w:tc>
        <w:tc>
          <w:tcPr>
            <w:tcW w:w="4221" w:type="dxa"/>
          </w:tcPr>
          <w:p w:rsidR="00792571" w:rsidRPr="00E54F41" w:rsidRDefault="00792571" w:rsidP="00792571">
            <w:pPr>
              <w:rPr>
                <w:b/>
                <w:sz w:val="20"/>
                <w:szCs w:val="20"/>
              </w:rPr>
            </w:pPr>
            <w:r w:rsidRPr="00E54F41">
              <w:rPr>
                <w:b/>
                <w:bCs/>
                <w:sz w:val="20"/>
                <w:szCs w:val="20"/>
                <w:lang w:val="fr-CA"/>
              </w:rPr>
              <w:t>Ordonnance</w:t>
            </w:r>
          </w:p>
        </w:tc>
      </w:tr>
      <w:tr w:rsidR="00792571" w:rsidRPr="00E54F41" w:rsidTr="008345B5">
        <w:tc>
          <w:tcPr>
            <w:tcW w:w="1439" w:type="dxa"/>
          </w:tcPr>
          <w:p w:rsidR="00792571" w:rsidRPr="00E54F41" w:rsidRDefault="00792571" w:rsidP="00792571">
            <w:pPr>
              <w:rPr>
                <w:sz w:val="20"/>
                <w:szCs w:val="20"/>
              </w:rPr>
            </w:pPr>
            <w:r w:rsidRPr="00E54F41">
              <w:rPr>
                <w:sz w:val="20"/>
                <w:szCs w:val="20"/>
              </w:rPr>
              <w:t>IN / DANS :</w:t>
            </w:r>
          </w:p>
        </w:tc>
        <w:tc>
          <w:tcPr>
            <w:tcW w:w="2822" w:type="dxa"/>
          </w:tcPr>
          <w:p w:rsidR="00792571" w:rsidRPr="00E54F41" w:rsidRDefault="00792571" w:rsidP="00792571">
            <w:pPr>
              <w:rPr>
                <w:sz w:val="20"/>
                <w:szCs w:val="20"/>
              </w:rPr>
            </w:pPr>
            <w:r w:rsidRPr="00E54F41">
              <w:rPr>
                <w:sz w:val="20"/>
                <w:szCs w:val="20"/>
              </w:rPr>
              <w:t>Durham Regional Crime Stoppers Inc.</w:t>
            </w:r>
          </w:p>
          <w:p w:rsidR="00792571" w:rsidRPr="00E54F41" w:rsidRDefault="00792571" w:rsidP="00792571">
            <w:pPr>
              <w:rPr>
                <w:sz w:val="20"/>
                <w:szCs w:val="20"/>
              </w:rPr>
            </w:pPr>
          </w:p>
          <w:p w:rsidR="00792571" w:rsidRPr="00E54F41" w:rsidRDefault="00792571" w:rsidP="00792571">
            <w:pPr>
              <w:rPr>
                <w:sz w:val="20"/>
                <w:szCs w:val="20"/>
              </w:rPr>
            </w:pPr>
            <w:r w:rsidRPr="00E54F41">
              <w:rPr>
                <w:sz w:val="20"/>
                <w:szCs w:val="20"/>
              </w:rPr>
              <w:tab/>
              <w:t>v. (37052)</w:t>
            </w:r>
          </w:p>
          <w:p w:rsidR="00792571" w:rsidRPr="00E54F41" w:rsidRDefault="00792571" w:rsidP="00792571">
            <w:pPr>
              <w:rPr>
                <w:sz w:val="20"/>
                <w:szCs w:val="20"/>
              </w:rPr>
            </w:pPr>
          </w:p>
          <w:p w:rsidR="00792571" w:rsidRPr="00E54F41" w:rsidRDefault="00792571" w:rsidP="00AD7DEA">
            <w:pPr>
              <w:rPr>
                <w:sz w:val="20"/>
                <w:szCs w:val="20"/>
              </w:rPr>
            </w:pPr>
            <w:r w:rsidRPr="00E54F41">
              <w:rPr>
                <w:sz w:val="20"/>
                <w:szCs w:val="20"/>
              </w:rPr>
              <w:t>Her Majesty the Queen (Crim.) (Ont.)</w:t>
            </w:r>
          </w:p>
        </w:tc>
        <w:tc>
          <w:tcPr>
            <w:tcW w:w="1137" w:type="dxa"/>
          </w:tcPr>
          <w:p w:rsidR="00792571" w:rsidRPr="00E54F41" w:rsidRDefault="00792571" w:rsidP="00792571">
            <w:pPr>
              <w:rPr>
                <w:sz w:val="20"/>
                <w:szCs w:val="20"/>
              </w:rPr>
            </w:pPr>
          </w:p>
        </w:tc>
        <w:tc>
          <w:tcPr>
            <w:tcW w:w="4221" w:type="dxa"/>
          </w:tcPr>
          <w:p w:rsidR="00792571" w:rsidRPr="00E54F41" w:rsidRDefault="00792571" w:rsidP="00792571">
            <w:pPr>
              <w:rPr>
                <w:sz w:val="20"/>
                <w:szCs w:val="20"/>
              </w:rPr>
            </w:pPr>
          </w:p>
        </w:tc>
      </w:tr>
    </w:tbl>
    <w:p w:rsidR="0057784A" w:rsidRPr="00E54F41" w:rsidRDefault="0057784A" w:rsidP="00792571">
      <w:pPr>
        <w:rPr>
          <w:b/>
          <w:sz w:val="20"/>
          <w:szCs w:val="20"/>
          <w:lang w:val="en-US"/>
        </w:rPr>
      </w:pPr>
    </w:p>
    <w:p w:rsidR="00792571" w:rsidRPr="00E54F41" w:rsidRDefault="00792571" w:rsidP="00792571">
      <w:pPr>
        <w:rPr>
          <w:sz w:val="20"/>
          <w:szCs w:val="20"/>
          <w:lang w:val="en-US"/>
        </w:rPr>
      </w:pPr>
      <w:r w:rsidRPr="00E54F41">
        <w:rPr>
          <w:b/>
          <w:sz w:val="20"/>
          <w:szCs w:val="20"/>
          <w:lang w:val="en-US"/>
        </w:rPr>
        <w:t>IT IS HEREBY ORDERED THAT:</w:t>
      </w:r>
    </w:p>
    <w:p w:rsidR="009A4186" w:rsidRPr="00E54F41" w:rsidRDefault="009A4186" w:rsidP="009A41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sz w:val="20"/>
          <w:szCs w:val="20"/>
          <w:lang w:val="en-US"/>
        </w:rPr>
      </w:pPr>
    </w:p>
    <w:p w:rsidR="009A4186" w:rsidRPr="00E54F41" w:rsidRDefault="009A4186" w:rsidP="009A4186">
      <w:pPr>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E54F41">
        <w:rPr>
          <w:rFonts w:eastAsiaTheme="minorEastAsia" w:cs="Times New Roman"/>
          <w:sz w:val="20"/>
          <w:szCs w:val="20"/>
          <w:lang w:val="en-US"/>
        </w:rPr>
        <w:t>The appellant’s record, factum and book of authorities shall be served and filed on or before November 28, 2016.</w:t>
      </w:r>
    </w:p>
    <w:p w:rsidR="009A4186" w:rsidRPr="00E54F41" w:rsidRDefault="009A4186" w:rsidP="009A41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sz w:val="20"/>
          <w:szCs w:val="20"/>
          <w:lang w:val="en-US"/>
        </w:rPr>
      </w:pPr>
    </w:p>
    <w:p w:rsidR="009A4186" w:rsidRPr="00E54F41" w:rsidRDefault="009A4186" w:rsidP="009A4186">
      <w:pPr>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E54F41">
        <w:rPr>
          <w:rFonts w:eastAsiaTheme="minorEastAsia" w:cs="Times New Roman"/>
          <w:sz w:val="20"/>
          <w:szCs w:val="20"/>
          <w:lang w:val="en-US"/>
        </w:rPr>
        <w:t xml:space="preserve">Any person wishing to intervene in this appeal under Rule 55 of the </w:t>
      </w:r>
      <w:r w:rsidRPr="00E54F41">
        <w:rPr>
          <w:rFonts w:eastAsiaTheme="minorEastAsia" w:cs="Times New Roman"/>
          <w:i/>
          <w:sz w:val="20"/>
          <w:szCs w:val="20"/>
          <w:lang w:val="en-US"/>
        </w:rPr>
        <w:t>Rules of the Supreme Court of Canada</w:t>
      </w:r>
      <w:r w:rsidRPr="00E54F41">
        <w:rPr>
          <w:rFonts w:eastAsiaTheme="minorEastAsia" w:cs="Times New Roman"/>
          <w:sz w:val="20"/>
          <w:szCs w:val="20"/>
          <w:lang w:val="en-US"/>
        </w:rPr>
        <w:t xml:space="preserve"> shall serve and file a motion for leave to intervene on or before December 5, 2016.</w:t>
      </w:r>
    </w:p>
    <w:p w:rsidR="009A4186" w:rsidRPr="00E54F41" w:rsidRDefault="009A4186" w:rsidP="009A41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9A4186" w:rsidRPr="00E54F41" w:rsidRDefault="009A4186" w:rsidP="009A4186">
      <w:pPr>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E54F41">
        <w:rPr>
          <w:rFonts w:eastAsiaTheme="minorEastAsia" w:cs="Times New Roman"/>
          <w:sz w:val="20"/>
          <w:szCs w:val="20"/>
          <w:lang w:val="en-US"/>
        </w:rPr>
        <w:t>The appellant and respondents shall serve and file their responses, if any, to the motions for leave to intervene on or before December 7, 2016.</w:t>
      </w:r>
    </w:p>
    <w:p w:rsidR="009A4186" w:rsidRPr="00E54F41" w:rsidRDefault="009A4186" w:rsidP="009A41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9A4186" w:rsidRPr="00E54F41" w:rsidRDefault="009A4186" w:rsidP="009A4186">
      <w:pPr>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E54F41">
        <w:rPr>
          <w:rFonts w:eastAsiaTheme="minorEastAsia" w:cs="Times New Roman"/>
          <w:sz w:val="20"/>
          <w:szCs w:val="20"/>
          <w:lang w:val="en-US"/>
        </w:rPr>
        <w:t>Replies to any responses to the motions for leave to intervene shall be served and filed on or before December 8, 2016.</w:t>
      </w:r>
    </w:p>
    <w:p w:rsidR="009A4186" w:rsidRPr="00E54F41" w:rsidRDefault="009A4186" w:rsidP="009A41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cs="Times New Roman"/>
          <w:sz w:val="20"/>
          <w:szCs w:val="20"/>
          <w:lang w:val="en-US"/>
        </w:rPr>
      </w:pPr>
    </w:p>
    <w:p w:rsidR="009A4186" w:rsidRPr="00E54F41" w:rsidRDefault="009A4186" w:rsidP="009A4186">
      <w:pPr>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E54F41">
        <w:rPr>
          <w:rFonts w:eastAsiaTheme="minorEastAsia" w:cs="Times New Roman"/>
          <w:sz w:val="20"/>
          <w:szCs w:val="20"/>
          <w:lang w:val="en-US"/>
        </w:rPr>
        <w:t>The respondents’ records, factums and books of authorities shall be served and filed on or before January 10, 2017.</w:t>
      </w:r>
    </w:p>
    <w:p w:rsidR="009A4186" w:rsidRPr="00E54F41" w:rsidRDefault="009A4186" w:rsidP="009A41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en-US"/>
        </w:rPr>
      </w:pPr>
    </w:p>
    <w:p w:rsidR="009A4186" w:rsidRPr="00E54F41" w:rsidRDefault="009A4186" w:rsidP="009A4186">
      <w:pPr>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sz w:val="20"/>
          <w:szCs w:val="20"/>
          <w:lang w:val="en-US"/>
        </w:rPr>
      </w:pPr>
      <w:r w:rsidRPr="00E54F41">
        <w:rPr>
          <w:rFonts w:eastAsiaTheme="minorEastAsia" w:cs="Times New Roman"/>
          <w:bCs/>
          <w:sz w:val="20"/>
          <w:szCs w:val="20"/>
          <w:lang w:val="en-US"/>
        </w:rPr>
        <w:t xml:space="preserve">Any interveners granted leave to intervene under Rule 59 of the </w:t>
      </w:r>
      <w:r w:rsidRPr="00E54F41">
        <w:rPr>
          <w:rFonts w:eastAsiaTheme="minorEastAsia" w:cs="Times New Roman"/>
          <w:bCs/>
          <w:i/>
          <w:sz w:val="20"/>
          <w:szCs w:val="20"/>
          <w:lang w:val="en-US"/>
        </w:rPr>
        <w:t>Rules of the Supreme Court of Canada</w:t>
      </w:r>
      <w:r w:rsidRPr="00E54F41">
        <w:rPr>
          <w:rFonts w:eastAsiaTheme="minorEastAsia" w:cs="Times New Roman"/>
          <w:bCs/>
          <w:sz w:val="20"/>
          <w:szCs w:val="20"/>
          <w:lang w:val="en-US"/>
        </w:rPr>
        <w:t xml:space="preserve"> shall serve and file their factum and book of authorities on or before January 9, 2017.</w:t>
      </w:r>
    </w:p>
    <w:p w:rsidR="00792571" w:rsidRPr="00E54F41" w:rsidRDefault="00792571" w:rsidP="00792571">
      <w:pPr>
        <w:rPr>
          <w:sz w:val="20"/>
          <w:szCs w:val="20"/>
        </w:rPr>
      </w:pPr>
    </w:p>
    <w:p w:rsidR="0057784A" w:rsidRPr="00E54F41" w:rsidRDefault="0057784A" w:rsidP="00792571">
      <w:pPr>
        <w:rPr>
          <w:bCs/>
          <w:sz w:val="20"/>
          <w:szCs w:val="20"/>
        </w:rPr>
      </w:pPr>
    </w:p>
    <w:p w:rsidR="0057784A" w:rsidRPr="00E54F41" w:rsidRDefault="0057784A" w:rsidP="00792571">
      <w:pPr>
        <w:rPr>
          <w:bCs/>
          <w:sz w:val="20"/>
          <w:szCs w:val="20"/>
        </w:rPr>
      </w:pPr>
    </w:p>
    <w:p w:rsidR="00792571" w:rsidRPr="00E54F41" w:rsidRDefault="00792571" w:rsidP="00792571">
      <w:pPr>
        <w:rPr>
          <w:b/>
          <w:bCs/>
          <w:sz w:val="20"/>
          <w:szCs w:val="20"/>
          <w:lang w:val="fr-CA"/>
        </w:rPr>
      </w:pPr>
      <w:r w:rsidRPr="00E54F41">
        <w:rPr>
          <w:b/>
          <w:bCs/>
          <w:sz w:val="20"/>
          <w:szCs w:val="20"/>
          <w:lang w:val="fr-CA"/>
        </w:rPr>
        <w:t>IL EST ORDONNÉ CE QUI SUIT :</w:t>
      </w:r>
    </w:p>
    <w:p w:rsidR="00792571" w:rsidRPr="00E54F41" w:rsidRDefault="00792571" w:rsidP="00792571">
      <w:pPr>
        <w:rPr>
          <w:bCs/>
          <w:sz w:val="20"/>
          <w:szCs w:val="20"/>
          <w:lang w:val="fr-CA"/>
        </w:rPr>
      </w:pPr>
    </w:p>
    <w:p w:rsidR="00F95120" w:rsidRPr="00E54F41" w:rsidRDefault="00F95120" w:rsidP="00F95120">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E54F41">
        <w:rPr>
          <w:rFonts w:eastAsiaTheme="minorEastAsia" w:cs="Times New Roman"/>
          <w:sz w:val="20"/>
          <w:szCs w:val="20"/>
          <w:lang w:val="fr-CA"/>
        </w:rPr>
        <w:t xml:space="preserve">L’appelante devra signifier et déposer </w:t>
      </w:r>
      <w:proofErr w:type="gramStart"/>
      <w:r w:rsidRPr="00E54F41">
        <w:rPr>
          <w:rFonts w:eastAsiaTheme="minorEastAsia" w:cs="Times New Roman"/>
          <w:sz w:val="20"/>
          <w:szCs w:val="20"/>
          <w:lang w:val="fr-CA"/>
        </w:rPr>
        <w:t>ses dossier</w:t>
      </w:r>
      <w:proofErr w:type="gramEnd"/>
      <w:r w:rsidRPr="00E54F41">
        <w:rPr>
          <w:rFonts w:eastAsiaTheme="minorEastAsia" w:cs="Times New Roman"/>
          <w:sz w:val="20"/>
          <w:szCs w:val="20"/>
          <w:lang w:val="fr-CA"/>
        </w:rPr>
        <w:t>, mémoire et recueil de sources au plus tard le 28 novembre 2016.</w:t>
      </w:r>
    </w:p>
    <w:p w:rsidR="00F95120" w:rsidRPr="00E54F41" w:rsidRDefault="00F95120" w:rsidP="00F951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sz w:val="20"/>
          <w:szCs w:val="20"/>
          <w:lang w:val="fr-CA"/>
        </w:rPr>
      </w:pPr>
    </w:p>
    <w:p w:rsidR="00F95120" w:rsidRPr="00E54F41" w:rsidRDefault="00F95120" w:rsidP="00F95120">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E54F41">
        <w:rPr>
          <w:rFonts w:eastAsiaTheme="minorEastAsia" w:cs="Times New Roman"/>
          <w:sz w:val="20"/>
          <w:szCs w:val="20"/>
          <w:lang w:val="fr-CA"/>
        </w:rPr>
        <w:t>Toute personne souhaitant intervenir dans le présent pourvoi en application de l’art.</w:t>
      </w:r>
      <w:r w:rsidRPr="00B904CB">
        <w:rPr>
          <w:rFonts w:ascii="Times New" w:eastAsiaTheme="minorEastAsia" w:hAnsi="Times New"/>
          <w:sz w:val="20"/>
          <w:szCs w:val="20"/>
          <w:lang w:val="fr-CA"/>
        </w:rPr>
        <w:t> </w:t>
      </w:r>
      <w:r w:rsidRPr="00E54F41">
        <w:rPr>
          <w:rFonts w:eastAsiaTheme="minorEastAsia" w:cs="Times New Roman"/>
          <w:sz w:val="20"/>
          <w:szCs w:val="20"/>
          <w:lang w:val="fr-CA"/>
        </w:rPr>
        <w:t xml:space="preserve">55 des </w:t>
      </w:r>
      <w:r w:rsidRPr="00E54F41">
        <w:rPr>
          <w:rFonts w:eastAsiaTheme="minorEastAsia" w:cs="Times New Roman"/>
          <w:i/>
          <w:sz w:val="20"/>
          <w:szCs w:val="20"/>
          <w:lang w:val="fr-CA"/>
        </w:rPr>
        <w:t>Règles de la Cour suprême du Canada</w:t>
      </w:r>
      <w:r w:rsidRPr="00E54F41">
        <w:rPr>
          <w:rFonts w:eastAsiaTheme="minorEastAsia" w:cs="Times New Roman"/>
          <w:sz w:val="20"/>
          <w:szCs w:val="20"/>
          <w:lang w:val="fr-CA"/>
        </w:rPr>
        <w:t xml:space="preserve"> </w:t>
      </w:r>
      <w:proofErr w:type="gramStart"/>
      <w:r w:rsidRPr="00E54F41">
        <w:rPr>
          <w:rFonts w:eastAsiaTheme="minorEastAsia" w:cs="Times New Roman"/>
          <w:sz w:val="20"/>
          <w:szCs w:val="20"/>
          <w:lang w:val="fr-CA"/>
        </w:rPr>
        <w:t>devra</w:t>
      </w:r>
      <w:proofErr w:type="gramEnd"/>
      <w:r w:rsidRPr="00E54F41">
        <w:rPr>
          <w:rFonts w:eastAsiaTheme="minorEastAsia" w:cs="Times New Roman"/>
          <w:sz w:val="20"/>
          <w:szCs w:val="20"/>
          <w:lang w:val="fr-CA"/>
        </w:rPr>
        <w:t xml:space="preserve"> signifier et déposer une requête en autorisation d’intervenir au plus tard le 5 décembre 2016.</w:t>
      </w:r>
    </w:p>
    <w:p w:rsidR="00F95120" w:rsidRPr="00E54F41" w:rsidRDefault="00F95120" w:rsidP="00F951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F95120" w:rsidRPr="00E54F41" w:rsidRDefault="00F95120" w:rsidP="00F95120">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E54F41">
        <w:rPr>
          <w:rFonts w:eastAsiaTheme="minorEastAsia" w:cs="Times New Roman"/>
          <w:sz w:val="20"/>
          <w:szCs w:val="20"/>
          <w:lang w:val="fr-CA"/>
        </w:rPr>
        <w:t>L’appelante et les intimés devront, le cas échéant, signifier et déposer leur réponse aux requêtes en autorisation d’intervenir au plus tard le 7 décembre 2016.</w:t>
      </w:r>
    </w:p>
    <w:p w:rsidR="00F95120" w:rsidRPr="00E54F41" w:rsidRDefault="00F95120" w:rsidP="00F951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F95120" w:rsidRPr="00E54F41" w:rsidRDefault="00F95120" w:rsidP="00F95120">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E54F41">
        <w:rPr>
          <w:rFonts w:eastAsiaTheme="minorEastAsia" w:cs="Times New Roman"/>
          <w:sz w:val="20"/>
          <w:szCs w:val="20"/>
          <w:lang w:val="fr-CA"/>
        </w:rPr>
        <w:t>Les répliques aux réponses éventuelles aux requêtes en autorisation d’intervenir devront être signifiées et déposées au plus tard le 8 décembre 2016.</w:t>
      </w:r>
    </w:p>
    <w:p w:rsidR="00F95120" w:rsidRPr="00E54F41" w:rsidRDefault="00F95120" w:rsidP="00F951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cs="Times New Roman"/>
          <w:sz w:val="20"/>
          <w:szCs w:val="20"/>
          <w:lang w:val="fr-CA"/>
        </w:rPr>
      </w:pPr>
    </w:p>
    <w:p w:rsidR="00F95120" w:rsidRPr="00E54F41" w:rsidRDefault="00F95120" w:rsidP="00F95120">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E54F41">
        <w:rPr>
          <w:rFonts w:eastAsiaTheme="minorEastAsia" w:cs="Times New Roman"/>
          <w:sz w:val="20"/>
          <w:szCs w:val="20"/>
          <w:lang w:val="fr-CA"/>
        </w:rPr>
        <w:t>Les intimés devront signifier et déposer chacune leurs dossier, mémoire et recueil de sources au plus tard le 10 janvier 2017.</w:t>
      </w:r>
    </w:p>
    <w:p w:rsidR="00F95120" w:rsidRPr="00E54F41" w:rsidRDefault="00F95120" w:rsidP="00F951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F95120" w:rsidRPr="00E54F41" w:rsidRDefault="00F95120" w:rsidP="00F95120">
      <w:pPr>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sz w:val="20"/>
          <w:szCs w:val="20"/>
          <w:lang w:val="fr-CA"/>
        </w:rPr>
      </w:pPr>
      <w:r w:rsidRPr="00E54F41">
        <w:rPr>
          <w:rFonts w:eastAsiaTheme="minorEastAsia" w:cs="Times New Roman"/>
          <w:bCs/>
          <w:sz w:val="20"/>
          <w:szCs w:val="20"/>
          <w:lang w:val="fr-CA"/>
        </w:rPr>
        <w:t xml:space="preserve">Les intervenants qui seront autorisés à intervenir en application de l’art. 59 des </w:t>
      </w:r>
      <w:r w:rsidRPr="00E54F41">
        <w:rPr>
          <w:rFonts w:eastAsiaTheme="minorEastAsia" w:cs="Times New Roman"/>
          <w:bCs/>
          <w:i/>
          <w:sz w:val="20"/>
          <w:szCs w:val="20"/>
          <w:lang w:val="fr-CA"/>
        </w:rPr>
        <w:t>Règles de la Cour suprême du Canada</w:t>
      </w:r>
      <w:r w:rsidRPr="00E54F41">
        <w:rPr>
          <w:rFonts w:eastAsiaTheme="minorEastAsia" w:cs="Times New Roman"/>
          <w:bCs/>
          <w:sz w:val="20"/>
          <w:szCs w:val="20"/>
          <w:lang w:val="fr-CA"/>
        </w:rPr>
        <w:t xml:space="preserve"> devront signifier et déposer leur mémoire et recueil de sources au plus tard le 9 janvier 2017.</w:t>
      </w:r>
    </w:p>
    <w:p w:rsidR="00792571" w:rsidRPr="00E54F41" w:rsidRDefault="00792571" w:rsidP="00792571">
      <w:pPr>
        <w:rPr>
          <w:bCs/>
          <w:sz w:val="20"/>
          <w:szCs w:val="20"/>
          <w:lang w:val="fr-CA"/>
        </w:rPr>
      </w:pPr>
    </w:p>
    <w:p w:rsidR="00792571" w:rsidRPr="00E54F41" w:rsidRDefault="00B904CB" w:rsidP="00792571">
      <w:pPr>
        <w:rPr>
          <w:sz w:val="20"/>
          <w:szCs w:val="20"/>
          <w:lang w:val="fr-CA"/>
        </w:rPr>
      </w:pPr>
      <w:r>
        <w:rPr>
          <w:sz w:val="20"/>
          <w:szCs w:val="20"/>
          <w:lang w:val="fr-CA"/>
        </w:rPr>
        <w:pict>
          <v:rect id="_x0000_i1051" style="width:2in;height:1pt" o:hrpct="0" o:hralign="center" o:hrstd="t" o:hrnoshade="t" o:hr="t" fillcolor="black [3213]" stroked="f"/>
        </w:pic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sz w:val="20"/>
          <w:szCs w:val="20"/>
          <w:lang w:val="fr-CA"/>
        </w:rPr>
        <w:t>16.11.2016</w: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sz w:val="20"/>
          <w:szCs w:val="20"/>
          <w:lang w:val="fr-CA"/>
        </w:rPr>
        <w:t xml:space="preserve"> </w:t>
      </w:r>
      <w:proofErr w:type="spellStart"/>
      <w:r w:rsidRPr="00E54F41">
        <w:rPr>
          <w:sz w:val="20"/>
          <w:szCs w:val="20"/>
          <w:lang w:val="fr-CA"/>
        </w:rPr>
        <w:t>Before</w:t>
      </w:r>
      <w:proofErr w:type="spellEnd"/>
      <w:r w:rsidRPr="00E54F41">
        <w:rPr>
          <w:sz w:val="20"/>
          <w:szCs w:val="20"/>
          <w:lang w:val="fr-CA"/>
        </w:rPr>
        <w:t xml:space="preserve"> / Devant:   WAGNER J. / LE JUGE WAGNER</w:t>
      </w:r>
    </w:p>
    <w:p w:rsidR="00792571" w:rsidRPr="00E54F41" w:rsidRDefault="00792571" w:rsidP="00792571">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792571" w:rsidRPr="00E54F41" w:rsidTr="008345B5">
        <w:tc>
          <w:tcPr>
            <w:tcW w:w="4257" w:type="dxa"/>
            <w:gridSpan w:val="2"/>
          </w:tcPr>
          <w:p w:rsidR="00792571" w:rsidRPr="00E54F41" w:rsidRDefault="00792571" w:rsidP="00792571">
            <w:pPr>
              <w:rPr>
                <w:b/>
                <w:sz w:val="20"/>
                <w:szCs w:val="20"/>
              </w:rPr>
            </w:pPr>
            <w:r w:rsidRPr="00E54F41">
              <w:rPr>
                <w:b/>
                <w:sz w:val="20"/>
                <w:szCs w:val="20"/>
              </w:rPr>
              <w:t>Order</w:t>
            </w:r>
          </w:p>
        </w:tc>
        <w:tc>
          <w:tcPr>
            <w:tcW w:w="1138" w:type="dxa"/>
          </w:tcPr>
          <w:p w:rsidR="00792571" w:rsidRPr="00E54F41" w:rsidRDefault="00792571" w:rsidP="00792571">
            <w:pPr>
              <w:rPr>
                <w:sz w:val="20"/>
                <w:szCs w:val="20"/>
              </w:rPr>
            </w:pPr>
          </w:p>
          <w:p w:rsidR="00792571" w:rsidRPr="00E54F41" w:rsidRDefault="00792571" w:rsidP="00792571">
            <w:pPr>
              <w:rPr>
                <w:sz w:val="20"/>
                <w:szCs w:val="20"/>
              </w:rPr>
            </w:pPr>
          </w:p>
        </w:tc>
        <w:tc>
          <w:tcPr>
            <w:tcW w:w="4224" w:type="dxa"/>
          </w:tcPr>
          <w:p w:rsidR="00792571" w:rsidRPr="00E54F41" w:rsidRDefault="00792571" w:rsidP="00792571">
            <w:pPr>
              <w:rPr>
                <w:b/>
                <w:sz w:val="20"/>
                <w:szCs w:val="20"/>
              </w:rPr>
            </w:pPr>
            <w:r w:rsidRPr="00E54F41">
              <w:rPr>
                <w:b/>
                <w:bCs/>
                <w:sz w:val="20"/>
                <w:szCs w:val="20"/>
                <w:lang w:val="fr-CA"/>
              </w:rPr>
              <w:t>Ordonnance</w:t>
            </w:r>
          </w:p>
        </w:tc>
      </w:tr>
      <w:tr w:rsidR="00792571" w:rsidRPr="00E54F41" w:rsidTr="008345B5">
        <w:tc>
          <w:tcPr>
            <w:tcW w:w="1348" w:type="dxa"/>
          </w:tcPr>
          <w:p w:rsidR="00792571" w:rsidRPr="00E54F41" w:rsidRDefault="00792571" w:rsidP="00792571">
            <w:pPr>
              <w:rPr>
                <w:sz w:val="20"/>
                <w:szCs w:val="20"/>
              </w:rPr>
            </w:pPr>
            <w:r w:rsidRPr="00E54F41">
              <w:rPr>
                <w:sz w:val="20"/>
                <w:szCs w:val="20"/>
              </w:rPr>
              <w:t>IN / DANS :</w:t>
            </w:r>
          </w:p>
        </w:tc>
        <w:tc>
          <w:tcPr>
            <w:tcW w:w="2909" w:type="dxa"/>
          </w:tcPr>
          <w:p w:rsidR="00792571" w:rsidRPr="00E54F41" w:rsidRDefault="00792571" w:rsidP="00792571">
            <w:pPr>
              <w:rPr>
                <w:sz w:val="20"/>
                <w:szCs w:val="20"/>
              </w:rPr>
            </w:pPr>
            <w:r w:rsidRPr="00E54F41">
              <w:rPr>
                <w:sz w:val="20"/>
                <w:szCs w:val="20"/>
              </w:rPr>
              <w:t xml:space="preserve">Ktunaxa National Council and Kathryn </w:t>
            </w:r>
            <w:proofErr w:type="spellStart"/>
            <w:r w:rsidRPr="00E54F41">
              <w:rPr>
                <w:sz w:val="20"/>
                <w:szCs w:val="20"/>
              </w:rPr>
              <w:t>Teneese</w:t>
            </w:r>
            <w:proofErr w:type="spellEnd"/>
            <w:r w:rsidRPr="00E54F41">
              <w:rPr>
                <w:sz w:val="20"/>
                <w:szCs w:val="20"/>
              </w:rPr>
              <w:t>, on their own behalf and on behalf of all citizens of the Ktunaxa Nation</w:t>
            </w:r>
          </w:p>
          <w:p w:rsidR="00792571" w:rsidRPr="00E54F41" w:rsidRDefault="00792571" w:rsidP="00792571">
            <w:pPr>
              <w:rPr>
                <w:sz w:val="20"/>
                <w:szCs w:val="20"/>
              </w:rPr>
            </w:pPr>
          </w:p>
          <w:p w:rsidR="00792571" w:rsidRPr="00E54F41" w:rsidRDefault="00792571" w:rsidP="00792571">
            <w:pPr>
              <w:rPr>
                <w:sz w:val="20"/>
                <w:szCs w:val="20"/>
              </w:rPr>
            </w:pPr>
            <w:r w:rsidRPr="00E54F41">
              <w:rPr>
                <w:sz w:val="20"/>
                <w:szCs w:val="20"/>
              </w:rPr>
              <w:tab/>
              <w:t>v. (36664)</w:t>
            </w:r>
          </w:p>
          <w:p w:rsidR="00792571" w:rsidRPr="00E54F41" w:rsidRDefault="00792571" w:rsidP="00792571">
            <w:pPr>
              <w:rPr>
                <w:sz w:val="20"/>
                <w:szCs w:val="20"/>
              </w:rPr>
            </w:pPr>
          </w:p>
          <w:p w:rsidR="00792571" w:rsidRPr="00E54F41" w:rsidRDefault="00792571" w:rsidP="00792571">
            <w:pPr>
              <w:rPr>
                <w:sz w:val="20"/>
                <w:szCs w:val="20"/>
              </w:rPr>
            </w:pPr>
            <w:r w:rsidRPr="00E54F41">
              <w:rPr>
                <w:sz w:val="20"/>
                <w:szCs w:val="20"/>
              </w:rPr>
              <w:t>Minister of Forests, Lands and Natural Resource Operations and Glacier Resorts Ltd. (Civil) (B.C.)</w:t>
            </w:r>
          </w:p>
        </w:tc>
        <w:tc>
          <w:tcPr>
            <w:tcW w:w="1138" w:type="dxa"/>
          </w:tcPr>
          <w:p w:rsidR="00792571" w:rsidRPr="00E54F41" w:rsidRDefault="00792571" w:rsidP="00792571">
            <w:pPr>
              <w:rPr>
                <w:sz w:val="20"/>
                <w:szCs w:val="20"/>
              </w:rPr>
            </w:pPr>
          </w:p>
        </w:tc>
        <w:tc>
          <w:tcPr>
            <w:tcW w:w="4224" w:type="dxa"/>
          </w:tcPr>
          <w:p w:rsidR="00792571" w:rsidRPr="00E54F41" w:rsidRDefault="00792571" w:rsidP="00792571">
            <w:pPr>
              <w:rPr>
                <w:sz w:val="20"/>
                <w:szCs w:val="20"/>
              </w:rPr>
            </w:pPr>
          </w:p>
        </w:tc>
      </w:tr>
    </w:tbl>
    <w:p w:rsidR="00792571" w:rsidRPr="00E54F41" w:rsidRDefault="00792571" w:rsidP="00792571">
      <w:pPr>
        <w:rPr>
          <w:sz w:val="20"/>
          <w:szCs w:val="20"/>
        </w:rPr>
      </w:pPr>
    </w:p>
    <w:p w:rsidR="00792571" w:rsidRPr="00E54F41" w:rsidRDefault="00792571" w:rsidP="004225E1">
      <w:pPr>
        <w:rPr>
          <w:sz w:val="20"/>
          <w:szCs w:val="20"/>
          <w:lang w:val="en-US"/>
        </w:rPr>
      </w:pPr>
      <w:r w:rsidRPr="00E54F41">
        <w:rPr>
          <w:b/>
          <w:bCs/>
          <w:sz w:val="20"/>
          <w:szCs w:val="20"/>
          <w:lang w:val="en-US"/>
        </w:rPr>
        <w:t xml:space="preserve">FURTHER TO THE ORDER </w:t>
      </w:r>
      <w:r w:rsidRPr="00E54F41">
        <w:rPr>
          <w:bCs/>
          <w:sz w:val="20"/>
          <w:szCs w:val="20"/>
          <w:lang w:val="en-US"/>
        </w:rPr>
        <w:t>dated August 31, 2016, granting</w:t>
      </w:r>
      <w:r w:rsidRPr="00E54F41">
        <w:rPr>
          <w:sz w:val="20"/>
          <w:szCs w:val="20"/>
          <w:lang w:val="en-US"/>
        </w:rPr>
        <w:t xml:space="preserve"> leave to intervene to the Attorney General of Canada; the Attorney General for Saskatchewan; the Canadian Muslim Lawyers Association, the South Asian Legal Clinic of Ontario and Kootenay Presbytery (United Church of Canada) (jointly); the Evangelical Fellowship of Canada and Christian Legal Fellowship (jointly); the Alberta Muslim Public Affairs Council; the British Columbia Civil Liberties Association; the Council of the Passamaquoddy Nation at </w:t>
      </w:r>
      <w:proofErr w:type="spellStart"/>
      <w:r w:rsidRPr="00E54F41">
        <w:rPr>
          <w:sz w:val="20"/>
          <w:szCs w:val="20"/>
          <w:lang w:val="en-US"/>
        </w:rPr>
        <w:t>Schoodic</w:t>
      </w:r>
      <w:proofErr w:type="spellEnd"/>
      <w:r w:rsidRPr="00E54F41">
        <w:rPr>
          <w:sz w:val="20"/>
          <w:szCs w:val="20"/>
          <w:lang w:val="en-US"/>
        </w:rPr>
        <w:t xml:space="preserve">; the Canadian Chamber of Commerce; the </w:t>
      </w:r>
      <w:proofErr w:type="spellStart"/>
      <w:r w:rsidRPr="00E54F41">
        <w:rPr>
          <w:sz w:val="20"/>
          <w:szCs w:val="20"/>
          <w:lang w:val="en-US"/>
        </w:rPr>
        <w:lastRenderedPageBreak/>
        <w:t>Shibogama</w:t>
      </w:r>
      <w:proofErr w:type="spellEnd"/>
      <w:r w:rsidRPr="00E54F41">
        <w:rPr>
          <w:sz w:val="20"/>
          <w:szCs w:val="20"/>
          <w:lang w:val="en-US"/>
        </w:rPr>
        <w:t xml:space="preserve"> First Nations Council; the Central Coast Indigenous Resource Alliance; Amnesty International Canada; the </w:t>
      </w:r>
      <w:proofErr w:type="spellStart"/>
      <w:r w:rsidRPr="00E54F41">
        <w:rPr>
          <w:sz w:val="20"/>
          <w:szCs w:val="20"/>
          <w:lang w:val="en-US"/>
        </w:rPr>
        <w:t>Te’mexw</w:t>
      </w:r>
      <w:proofErr w:type="spellEnd"/>
      <w:r w:rsidRPr="00E54F41">
        <w:rPr>
          <w:sz w:val="20"/>
          <w:szCs w:val="20"/>
          <w:lang w:val="en-US"/>
        </w:rPr>
        <w:t xml:space="preserve"> Treaty Association; the </w:t>
      </w:r>
      <w:proofErr w:type="spellStart"/>
      <w:r w:rsidRPr="00E54F41">
        <w:rPr>
          <w:sz w:val="20"/>
          <w:szCs w:val="20"/>
          <w:lang w:val="en-US"/>
        </w:rPr>
        <w:t>Katzie</w:t>
      </w:r>
      <w:proofErr w:type="spellEnd"/>
      <w:r w:rsidRPr="00E54F41">
        <w:rPr>
          <w:sz w:val="20"/>
          <w:szCs w:val="20"/>
          <w:lang w:val="en-US"/>
        </w:rPr>
        <w:t xml:space="preserve"> First Nation and the West Moberly First Nations and Prophet River First Nation (jointly);</w:t>
      </w:r>
    </w:p>
    <w:p w:rsidR="00792571" w:rsidRPr="00E54F41" w:rsidRDefault="00792571" w:rsidP="004225E1">
      <w:pPr>
        <w:rPr>
          <w:b/>
          <w:bCs/>
          <w:sz w:val="20"/>
          <w:szCs w:val="20"/>
          <w:lang w:val="en-US"/>
        </w:rPr>
      </w:pPr>
    </w:p>
    <w:p w:rsidR="00792571" w:rsidRPr="00E54F41" w:rsidRDefault="00792571" w:rsidP="004225E1">
      <w:pPr>
        <w:rPr>
          <w:bCs/>
          <w:sz w:val="20"/>
          <w:szCs w:val="20"/>
          <w:lang w:val="en-US"/>
        </w:rPr>
      </w:pPr>
      <w:r w:rsidRPr="00E54F41">
        <w:rPr>
          <w:b/>
          <w:bCs/>
          <w:sz w:val="20"/>
          <w:szCs w:val="20"/>
          <w:lang w:val="en-US"/>
        </w:rPr>
        <w:t xml:space="preserve">IT IS HEREBY FURTHER ORDERED THAT: </w:t>
      </w:r>
    </w:p>
    <w:p w:rsidR="00792571" w:rsidRPr="00E54F41" w:rsidRDefault="00792571" w:rsidP="004225E1">
      <w:pPr>
        <w:rPr>
          <w:bCs/>
          <w:sz w:val="20"/>
          <w:szCs w:val="20"/>
          <w:lang w:val="en-US"/>
        </w:rPr>
      </w:pPr>
    </w:p>
    <w:p w:rsidR="00792571" w:rsidRPr="00E54F41" w:rsidRDefault="00792571" w:rsidP="004225E1">
      <w:pPr>
        <w:rPr>
          <w:sz w:val="20"/>
          <w:szCs w:val="20"/>
          <w:lang w:val="en-US"/>
        </w:rPr>
      </w:pPr>
      <w:r w:rsidRPr="00E54F41">
        <w:rPr>
          <w:sz w:val="20"/>
          <w:szCs w:val="20"/>
          <w:lang w:val="en-US"/>
        </w:rPr>
        <w:t xml:space="preserve">The Attorney General of Canada; the Attorney General for Saskatchewan; the </w:t>
      </w:r>
      <w:proofErr w:type="spellStart"/>
      <w:r w:rsidRPr="00E54F41">
        <w:rPr>
          <w:sz w:val="20"/>
          <w:szCs w:val="20"/>
          <w:lang w:val="en-US"/>
        </w:rPr>
        <w:t>Te’mexw</w:t>
      </w:r>
      <w:proofErr w:type="spellEnd"/>
      <w:r w:rsidRPr="00E54F41">
        <w:rPr>
          <w:sz w:val="20"/>
          <w:szCs w:val="20"/>
          <w:lang w:val="en-US"/>
        </w:rPr>
        <w:t xml:space="preserve"> Treaty Association; the </w:t>
      </w:r>
      <w:proofErr w:type="spellStart"/>
      <w:r w:rsidRPr="00E54F41">
        <w:rPr>
          <w:sz w:val="20"/>
          <w:szCs w:val="20"/>
          <w:lang w:val="en-US"/>
        </w:rPr>
        <w:t>Shibogama</w:t>
      </w:r>
      <w:proofErr w:type="spellEnd"/>
      <w:r w:rsidRPr="00E54F41">
        <w:rPr>
          <w:sz w:val="20"/>
          <w:szCs w:val="20"/>
          <w:lang w:val="en-US"/>
        </w:rPr>
        <w:t xml:space="preserve"> First Nations Council; the Canadian Chamber of Commerce; the British Columbia Civil Liberties Association and Council of the Passamaquoddy Nation at </w:t>
      </w:r>
      <w:proofErr w:type="spellStart"/>
      <w:r w:rsidRPr="00E54F41">
        <w:rPr>
          <w:sz w:val="20"/>
          <w:szCs w:val="20"/>
          <w:lang w:val="en-US"/>
        </w:rPr>
        <w:t>Schoodic</w:t>
      </w:r>
      <w:proofErr w:type="spellEnd"/>
      <w:r w:rsidRPr="00E54F41">
        <w:rPr>
          <w:sz w:val="20"/>
          <w:szCs w:val="20"/>
          <w:lang w:val="en-US"/>
        </w:rPr>
        <w:t xml:space="preserve"> are each granted permission to present oral argument not exceeding five (5) minutes at the hearing of the appeal.</w:t>
      </w:r>
    </w:p>
    <w:p w:rsidR="00792571" w:rsidRPr="00E54F41" w:rsidRDefault="00792571" w:rsidP="004225E1">
      <w:pPr>
        <w:rPr>
          <w:sz w:val="20"/>
          <w:szCs w:val="20"/>
          <w:lang w:val="en-US"/>
        </w:rPr>
      </w:pPr>
    </w:p>
    <w:p w:rsidR="00792571" w:rsidRPr="00E54F41" w:rsidRDefault="00792571" w:rsidP="004225E1">
      <w:pPr>
        <w:rPr>
          <w:sz w:val="20"/>
          <w:szCs w:val="20"/>
          <w:lang w:val="en-US"/>
        </w:rPr>
      </w:pPr>
      <w:r w:rsidRPr="00E54F41">
        <w:rPr>
          <w:sz w:val="20"/>
          <w:szCs w:val="20"/>
          <w:lang w:val="en-US"/>
        </w:rPr>
        <w:t xml:space="preserve">The Court will consider the written submissions of the Canadian Muslim Lawyers Association, the South Asian Legal Clinic of Ontario and Kootenay Presbytery (United Church of Canada) (jointly); the Evangelical Fellowship of Canada and Christian Legal Fellowship (jointly); the Alberta Muslim Public Affairs Council; Amnesty International Canada; the Central Coast Indigenous Resource Alliance; the </w:t>
      </w:r>
      <w:proofErr w:type="spellStart"/>
      <w:r w:rsidRPr="00E54F41">
        <w:rPr>
          <w:sz w:val="20"/>
          <w:szCs w:val="20"/>
          <w:lang w:val="en-US"/>
        </w:rPr>
        <w:t>Katzie</w:t>
      </w:r>
      <w:proofErr w:type="spellEnd"/>
      <w:r w:rsidRPr="00E54F41">
        <w:rPr>
          <w:sz w:val="20"/>
          <w:szCs w:val="20"/>
          <w:lang w:val="en-US"/>
        </w:rPr>
        <w:t xml:space="preserve"> First Nation and the West Moberly First Nations and Prophet River First Nation (jointly) as set out in their factums without the need for oral argument.</w:t>
      </w:r>
    </w:p>
    <w:p w:rsidR="00792571" w:rsidRPr="00E54F41" w:rsidRDefault="00792571" w:rsidP="004225E1">
      <w:pPr>
        <w:rPr>
          <w:sz w:val="20"/>
          <w:szCs w:val="20"/>
          <w:lang w:val="en-US"/>
        </w:rPr>
      </w:pPr>
    </w:p>
    <w:p w:rsidR="0057784A" w:rsidRPr="00E54F41" w:rsidRDefault="0057784A" w:rsidP="004225E1">
      <w:pPr>
        <w:rPr>
          <w:sz w:val="20"/>
          <w:szCs w:val="20"/>
          <w:lang w:val="en-US"/>
        </w:rPr>
      </w:pPr>
    </w:p>
    <w:p w:rsidR="00792571" w:rsidRPr="00E54F41" w:rsidRDefault="00792571" w:rsidP="004225E1">
      <w:pPr>
        <w:rPr>
          <w:sz w:val="20"/>
          <w:szCs w:val="20"/>
          <w:lang w:val="en-US"/>
        </w:rPr>
      </w:pPr>
    </w:p>
    <w:p w:rsidR="00792571" w:rsidRPr="00E54F41" w:rsidRDefault="00792571" w:rsidP="004225E1">
      <w:pPr>
        <w:rPr>
          <w:sz w:val="20"/>
          <w:szCs w:val="20"/>
          <w:lang w:val="fr-CA"/>
        </w:rPr>
      </w:pPr>
      <w:r w:rsidRPr="00E54F41">
        <w:rPr>
          <w:b/>
          <w:sz w:val="20"/>
          <w:szCs w:val="20"/>
          <w:lang w:val="fr-CA"/>
        </w:rPr>
        <w:t>À LA SUITE DE L’ORDONNANCE</w:t>
      </w:r>
      <w:r w:rsidRPr="00E54F41">
        <w:rPr>
          <w:sz w:val="20"/>
          <w:szCs w:val="20"/>
          <w:lang w:val="fr-CA"/>
        </w:rPr>
        <w:t xml:space="preserve"> datée du 31 août 2016 autorisant à intervenir le procureur général du Canada; le procureur général de la Saskatchewan; l’Association canadienne des avocats musulmans, la South Asian </w:t>
      </w:r>
      <w:proofErr w:type="spellStart"/>
      <w:r w:rsidRPr="00E54F41">
        <w:rPr>
          <w:sz w:val="20"/>
          <w:szCs w:val="20"/>
          <w:lang w:val="fr-CA"/>
        </w:rPr>
        <w:t>Legal</w:t>
      </w:r>
      <w:proofErr w:type="spellEnd"/>
      <w:r w:rsidRPr="00E54F41">
        <w:rPr>
          <w:sz w:val="20"/>
          <w:szCs w:val="20"/>
          <w:lang w:val="fr-CA"/>
        </w:rPr>
        <w:t xml:space="preserve"> </w:t>
      </w:r>
      <w:proofErr w:type="spellStart"/>
      <w:r w:rsidRPr="00E54F41">
        <w:rPr>
          <w:sz w:val="20"/>
          <w:szCs w:val="20"/>
          <w:lang w:val="fr-CA"/>
        </w:rPr>
        <w:t>Clinic</w:t>
      </w:r>
      <w:proofErr w:type="spellEnd"/>
      <w:r w:rsidRPr="00E54F41">
        <w:rPr>
          <w:sz w:val="20"/>
          <w:szCs w:val="20"/>
          <w:lang w:val="fr-CA"/>
        </w:rPr>
        <w:t xml:space="preserve"> of Ontario et le </w:t>
      </w:r>
      <w:proofErr w:type="spellStart"/>
      <w:r w:rsidRPr="00E54F41">
        <w:rPr>
          <w:sz w:val="20"/>
          <w:szCs w:val="20"/>
          <w:lang w:val="fr-CA"/>
        </w:rPr>
        <w:t>Kootenay</w:t>
      </w:r>
      <w:proofErr w:type="spellEnd"/>
      <w:r w:rsidRPr="00E54F41">
        <w:rPr>
          <w:sz w:val="20"/>
          <w:szCs w:val="20"/>
          <w:lang w:val="fr-CA"/>
        </w:rPr>
        <w:t xml:space="preserve"> </w:t>
      </w:r>
      <w:proofErr w:type="spellStart"/>
      <w:r w:rsidRPr="00E54F41">
        <w:rPr>
          <w:sz w:val="20"/>
          <w:szCs w:val="20"/>
          <w:lang w:val="fr-CA"/>
        </w:rPr>
        <w:t>Presbytery</w:t>
      </w:r>
      <w:proofErr w:type="spellEnd"/>
      <w:r w:rsidRPr="00E54F41">
        <w:rPr>
          <w:sz w:val="20"/>
          <w:szCs w:val="20"/>
          <w:lang w:val="fr-CA"/>
        </w:rPr>
        <w:t xml:space="preserve"> (United Church of Canada) (conjointement); l’Alliance évangélique du Canada et l’Alliance des chrétiens en droit (conjointement); le Alberta </w:t>
      </w:r>
      <w:proofErr w:type="spellStart"/>
      <w:r w:rsidRPr="00E54F41">
        <w:rPr>
          <w:sz w:val="20"/>
          <w:szCs w:val="20"/>
          <w:lang w:val="fr-CA"/>
        </w:rPr>
        <w:t>Muslim</w:t>
      </w:r>
      <w:proofErr w:type="spellEnd"/>
      <w:r w:rsidRPr="00E54F41">
        <w:rPr>
          <w:sz w:val="20"/>
          <w:szCs w:val="20"/>
          <w:lang w:val="fr-CA"/>
        </w:rPr>
        <w:t xml:space="preserve"> Public </w:t>
      </w:r>
      <w:proofErr w:type="spellStart"/>
      <w:r w:rsidRPr="00E54F41">
        <w:rPr>
          <w:sz w:val="20"/>
          <w:szCs w:val="20"/>
          <w:lang w:val="fr-CA"/>
        </w:rPr>
        <w:t>Affairs</w:t>
      </w:r>
      <w:proofErr w:type="spellEnd"/>
      <w:r w:rsidRPr="00E54F41">
        <w:rPr>
          <w:sz w:val="20"/>
          <w:szCs w:val="20"/>
          <w:lang w:val="fr-CA"/>
        </w:rPr>
        <w:t xml:space="preserve"> Council; la British Columbia Civil </w:t>
      </w:r>
      <w:proofErr w:type="spellStart"/>
      <w:r w:rsidRPr="00E54F41">
        <w:rPr>
          <w:sz w:val="20"/>
          <w:szCs w:val="20"/>
          <w:lang w:val="fr-CA"/>
        </w:rPr>
        <w:t>Liberties</w:t>
      </w:r>
      <w:proofErr w:type="spellEnd"/>
      <w:r w:rsidRPr="00E54F41">
        <w:rPr>
          <w:sz w:val="20"/>
          <w:szCs w:val="20"/>
          <w:lang w:val="fr-CA"/>
        </w:rPr>
        <w:t xml:space="preserve"> Association; le Council of the Passamaquoddy Nation à </w:t>
      </w:r>
      <w:proofErr w:type="spellStart"/>
      <w:r w:rsidRPr="00E54F41">
        <w:rPr>
          <w:sz w:val="20"/>
          <w:szCs w:val="20"/>
          <w:lang w:val="fr-CA"/>
        </w:rPr>
        <w:t>Schoodic</w:t>
      </w:r>
      <w:proofErr w:type="spellEnd"/>
      <w:r w:rsidRPr="00E54F41">
        <w:rPr>
          <w:sz w:val="20"/>
          <w:szCs w:val="20"/>
          <w:lang w:val="fr-CA"/>
        </w:rPr>
        <w:t xml:space="preserve">; la Chambre de commerce du Canada; le </w:t>
      </w:r>
      <w:proofErr w:type="spellStart"/>
      <w:r w:rsidRPr="00E54F41">
        <w:rPr>
          <w:sz w:val="20"/>
          <w:szCs w:val="20"/>
          <w:lang w:val="fr-CA"/>
        </w:rPr>
        <w:t>Shibogama</w:t>
      </w:r>
      <w:proofErr w:type="spellEnd"/>
      <w:r w:rsidRPr="00E54F41">
        <w:rPr>
          <w:sz w:val="20"/>
          <w:szCs w:val="20"/>
          <w:lang w:val="fr-CA"/>
        </w:rPr>
        <w:t xml:space="preserve"> First Nations Council; la Central </w:t>
      </w:r>
      <w:proofErr w:type="spellStart"/>
      <w:r w:rsidRPr="00E54F41">
        <w:rPr>
          <w:sz w:val="20"/>
          <w:szCs w:val="20"/>
          <w:lang w:val="fr-CA"/>
        </w:rPr>
        <w:t>Coast</w:t>
      </w:r>
      <w:proofErr w:type="spellEnd"/>
      <w:r w:rsidRPr="00E54F41">
        <w:rPr>
          <w:sz w:val="20"/>
          <w:szCs w:val="20"/>
          <w:lang w:val="fr-CA"/>
        </w:rPr>
        <w:t xml:space="preserve"> </w:t>
      </w:r>
      <w:proofErr w:type="spellStart"/>
      <w:r w:rsidRPr="00E54F41">
        <w:rPr>
          <w:sz w:val="20"/>
          <w:szCs w:val="20"/>
          <w:lang w:val="fr-CA"/>
        </w:rPr>
        <w:t>Indigenous</w:t>
      </w:r>
      <w:proofErr w:type="spellEnd"/>
      <w:r w:rsidRPr="00E54F41">
        <w:rPr>
          <w:sz w:val="20"/>
          <w:szCs w:val="20"/>
          <w:lang w:val="fr-CA"/>
        </w:rPr>
        <w:t xml:space="preserve"> Resource Alliance; Amnistie internationale Canada; la </w:t>
      </w:r>
      <w:proofErr w:type="spellStart"/>
      <w:r w:rsidRPr="00E54F41">
        <w:rPr>
          <w:sz w:val="20"/>
          <w:szCs w:val="20"/>
          <w:lang w:val="fr-CA"/>
        </w:rPr>
        <w:t>Te’mexw</w:t>
      </w:r>
      <w:proofErr w:type="spellEnd"/>
      <w:r w:rsidRPr="00E54F41">
        <w:rPr>
          <w:sz w:val="20"/>
          <w:szCs w:val="20"/>
          <w:lang w:val="fr-CA"/>
        </w:rPr>
        <w:t xml:space="preserve"> </w:t>
      </w:r>
      <w:proofErr w:type="spellStart"/>
      <w:r w:rsidRPr="00E54F41">
        <w:rPr>
          <w:sz w:val="20"/>
          <w:szCs w:val="20"/>
          <w:lang w:val="fr-CA"/>
        </w:rPr>
        <w:t>Treaty</w:t>
      </w:r>
      <w:proofErr w:type="spellEnd"/>
      <w:r w:rsidRPr="00E54F41">
        <w:rPr>
          <w:sz w:val="20"/>
          <w:szCs w:val="20"/>
          <w:lang w:val="fr-CA"/>
        </w:rPr>
        <w:t xml:space="preserve"> Association; la </w:t>
      </w:r>
      <w:proofErr w:type="spellStart"/>
      <w:r w:rsidRPr="00E54F41">
        <w:rPr>
          <w:sz w:val="20"/>
          <w:szCs w:val="20"/>
          <w:lang w:val="fr-CA"/>
        </w:rPr>
        <w:t>Katzie</w:t>
      </w:r>
      <w:proofErr w:type="spellEnd"/>
      <w:r w:rsidRPr="00E54F41">
        <w:rPr>
          <w:sz w:val="20"/>
          <w:szCs w:val="20"/>
          <w:lang w:val="fr-CA"/>
        </w:rPr>
        <w:t xml:space="preserve"> First Nation; la West </w:t>
      </w:r>
      <w:proofErr w:type="spellStart"/>
      <w:r w:rsidRPr="00E54F41">
        <w:rPr>
          <w:sz w:val="20"/>
          <w:szCs w:val="20"/>
          <w:lang w:val="fr-CA"/>
        </w:rPr>
        <w:t>Moberly</w:t>
      </w:r>
      <w:proofErr w:type="spellEnd"/>
      <w:r w:rsidRPr="00E54F41">
        <w:rPr>
          <w:sz w:val="20"/>
          <w:szCs w:val="20"/>
          <w:lang w:val="fr-CA"/>
        </w:rPr>
        <w:t xml:space="preserve"> First Nations et la </w:t>
      </w:r>
      <w:proofErr w:type="spellStart"/>
      <w:r w:rsidRPr="00E54F41">
        <w:rPr>
          <w:sz w:val="20"/>
          <w:szCs w:val="20"/>
          <w:lang w:val="fr-CA"/>
        </w:rPr>
        <w:t>Prophet</w:t>
      </w:r>
      <w:proofErr w:type="spellEnd"/>
      <w:r w:rsidRPr="00E54F41">
        <w:rPr>
          <w:sz w:val="20"/>
          <w:szCs w:val="20"/>
          <w:lang w:val="fr-CA"/>
        </w:rPr>
        <w:t xml:space="preserve"> River First Nation (conjointement);</w:t>
      </w:r>
    </w:p>
    <w:p w:rsidR="00792571" w:rsidRPr="00E54F41" w:rsidRDefault="00792571" w:rsidP="00792571">
      <w:pPr>
        <w:rPr>
          <w:sz w:val="20"/>
          <w:szCs w:val="20"/>
          <w:lang w:val="fr-CA"/>
        </w:rPr>
      </w:pPr>
    </w:p>
    <w:p w:rsidR="00792571" w:rsidRPr="00E54F41" w:rsidRDefault="00792571" w:rsidP="00792571">
      <w:pPr>
        <w:rPr>
          <w:b/>
          <w:sz w:val="20"/>
          <w:szCs w:val="20"/>
          <w:lang w:val="fr-CA"/>
        </w:rPr>
      </w:pPr>
      <w:r w:rsidRPr="00E54F41">
        <w:rPr>
          <w:b/>
          <w:sz w:val="20"/>
          <w:szCs w:val="20"/>
          <w:lang w:val="fr-CA"/>
        </w:rPr>
        <w:t>IL EST EN OUTRE ORDONNÉ CE QUI SUIT :</w:t>
      </w:r>
    </w:p>
    <w:p w:rsidR="00792571" w:rsidRPr="00E54F41" w:rsidRDefault="00792571" w:rsidP="00792571">
      <w:pPr>
        <w:rPr>
          <w:sz w:val="20"/>
          <w:szCs w:val="20"/>
          <w:lang w:val="fr-CA"/>
        </w:rPr>
      </w:pPr>
      <w:r w:rsidRPr="00E54F41">
        <w:rPr>
          <w:sz w:val="20"/>
          <w:szCs w:val="20"/>
          <w:lang w:val="fr-CA"/>
        </w:rPr>
        <w:t xml:space="preserve"> </w:t>
      </w:r>
    </w:p>
    <w:p w:rsidR="00792571" w:rsidRPr="00E54F41" w:rsidRDefault="00792571" w:rsidP="00792571">
      <w:pPr>
        <w:rPr>
          <w:sz w:val="20"/>
          <w:szCs w:val="20"/>
          <w:lang w:val="fr-CA"/>
        </w:rPr>
      </w:pPr>
      <w:r w:rsidRPr="00E54F41">
        <w:rPr>
          <w:sz w:val="20"/>
          <w:szCs w:val="20"/>
          <w:lang w:val="fr-CA"/>
        </w:rPr>
        <w:t xml:space="preserve">Le procureur général du Canada; le procureur général de la Saskatchewan; la </w:t>
      </w:r>
      <w:proofErr w:type="spellStart"/>
      <w:r w:rsidRPr="00E54F41">
        <w:rPr>
          <w:sz w:val="20"/>
          <w:szCs w:val="20"/>
          <w:lang w:val="fr-CA"/>
        </w:rPr>
        <w:t>Te’mexw</w:t>
      </w:r>
      <w:proofErr w:type="spellEnd"/>
      <w:r w:rsidRPr="00E54F41">
        <w:rPr>
          <w:sz w:val="20"/>
          <w:szCs w:val="20"/>
          <w:lang w:val="fr-CA"/>
        </w:rPr>
        <w:t xml:space="preserve"> </w:t>
      </w:r>
      <w:proofErr w:type="spellStart"/>
      <w:r w:rsidRPr="00E54F41">
        <w:rPr>
          <w:sz w:val="20"/>
          <w:szCs w:val="20"/>
          <w:lang w:val="fr-CA"/>
        </w:rPr>
        <w:t>Treaty</w:t>
      </w:r>
      <w:proofErr w:type="spellEnd"/>
      <w:r w:rsidRPr="00E54F41">
        <w:rPr>
          <w:sz w:val="20"/>
          <w:szCs w:val="20"/>
          <w:lang w:val="fr-CA"/>
        </w:rPr>
        <w:t xml:space="preserve"> Association; le </w:t>
      </w:r>
      <w:proofErr w:type="spellStart"/>
      <w:r w:rsidRPr="00E54F41">
        <w:rPr>
          <w:sz w:val="20"/>
          <w:szCs w:val="20"/>
          <w:lang w:val="fr-CA"/>
        </w:rPr>
        <w:t>Shibogama</w:t>
      </w:r>
      <w:proofErr w:type="spellEnd"/>
      <w:r w:rsidRPr="00E54F41">
        <w:rPr>
          <w:sz w:val="20"/>
          <w:szCs w:val="20"/>
          <w:lang w:val="fr-CA"/>
        </w:rPr>
        <w:t xml:space="preserve"> First Nations Council; la Chambre de commerce du Canada; la British Columbia Civil </w:t>
      </w:r>
      <w:proofErr w:type="spellStart"/>
      <w:r w:rsidRPr="00E54F41">
        <w:rPr>
          <w:sz w:val="20"/>
          <w:szCs w:val="20"/>
          <w:lang w:val="fr-CA"/>
        </w:rPr>
        <w:t>Liberties</w:t>
      </w:r>
      <w:proofErr w:type="spellEnd"/>
      <w:r w:rsidRPr="00E54F41">
        <w:rPr>
          <w:sz w:val="20"/>
          <w:szCs w:val="20"/>
          <w:lang w:val="fr-CA"/>
        </w:rPr>
        <w:t xml:space="preserve"> Association et le Council of the Passamaquoddy Nation à </w:t>
      </w:r>
      <w:proofErr w:type="spellStart"/>
      <w:r w:rsidRPr="00E54F41">
        <w:rPr>
          <w:sz w:val="20"/>
          <w:szCs w:val="20"/>
          <w:lang w:val="fr-CA"/>
        </w:rPr>
        <w:t>Schoodic</w:t>
      </w:r>
      <w:proofErr w:type="spellEnd"/>
      <w:r w:rsidRPr="00E54F41">
        <w:rPr>
          <w:sz w:val="20"/>
          <w:szCs w:val="20"/>
          <w:lang w:val="fr-CA"/>
        </w:rPr>
        <w:t xml:space="preserve"> sont autorisés à présenter chacun une plaidoirie orale d’au plus cinq (5) minutes lors de l’audition de l’appel.</w: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sz w:val="20"/>
          <w:szCs w:val="20"/>
          <w:lang w:val="fr-CA"/>
        </w:rPr>
        <w:t xml:space="preserve">La Cour examinera les arguments écrits de l’Association canadienne des avocats musulmans, la South Asian </w:t>
      </w:r>
      <w:proofErr w:type="spellStart"/>
      <w:r w:rsidRPr="00E54F41">
        <w:rPr>
          <w:sz w:val="20"/>
          <w:szCs w:val="20"/>
          <w:lang w:val="fr-CA"/>
        </w:rPr>
        <w:t>Legal</w:t>
      </w:r>
      <w:proofErr w:type="spellEnd"/>
      <w:r w:rsidRPr="00E54F41">
        <w:rPr>
          <w:sz w:val="20"/>
          <w:szCs w:val="20"/>
          <w:lang w:val="fr-CA"/>
        </w:rPr>
        <w:t xml:space="preserve"> </w:t>
      </w:r>
      <w:proofErr w:type="spellStart"/>
      <w:r w:rsidRPr="00E54F41">
        <w:rPr>
          <w:sz w:val="20"/>
          <w:szCs w:val="20"/>
          <w:lang w:val="fr-CA"/>
        </w:rPr>
        <w:t>Clinic</w:t>
      </w:r>
      <w:proofErr w:type="spellEnd"/>
      <w:r w:rsidRPr="00E54F41">
        <w:rPr>
          <w:sz w:val="20"/>
          <w:szCs w:val="20"/>
          <w:lang w:val="fr-CA"/>
        </w:rPr>
        <w:t xml:space="preserve"> of Ontario et du </w:t>
      </w:r>
      <w:proofErr w:type="spellStart"/>
      <w:r w:rsidRPr="00E54F41">
        <w:rPr>
          <w:sz w:val="20"/>
          <w:szCs w:val="20"/>
          <w:lang w:val="fr-CA"/>
        </w:rPr>
        <w:t>Kootenay</w:t>
      </w:r>
      <w:proofErr w:type="spellEnd"/>
      <w:r w:rsidRPr="00E54F41">
        <w:rPr>
          <w:sz w:val="20"/>
          <w:szCs w:val="20"/>
          <w:lang w:val="fr-CA"/>
        </w:rPr>
        <w:t xml:space="preserve"> </w:t>
      </w:r>
      <w:proofErr w:type="spellStart"/>
      <w:r w:rsidRPr="00E54F41">
        <w:rPr>
          <w:sz w:val="20"/>
          <w:szCs w:val="20"/>
          <w:lang w:val="fr-CA"/>
        </w:rPr>
        <w:t>Presbytery</w:t>
      </w:r>
      <w:proofErr w:type="spellEnd"/>
      <w:r w:rsidRPr="00E54F41">
        <w:rPr>
          <w:sz w:val="20"/>
          <w:szCs w:val="20"/>
          <w:lang w:val="fr-CA"/>
        </w:rPr>
        <w:t xml:space="preserve"> (United Church of Canada) (conjointement); de l’Alliance évangélique du Canada et l’Alliance des chrétiens en droit (conjointement); de l’Alberta </w:t>
      </w:r>
      <w:proofErr w:type="spellStart"/>
      <w:r w:rsidRPr="00E54F41">
        <w:rPr>
          <w:sz w:val="20"/>
          <w:szCs w:val="20"/>
          <w:lang w:val="fr-CA"/>
        </w:rPr>
        <w:t>Muslim</w:t>
      </w:r>
      <w:proofErr w:type="spellEnd"/>
      <w:r w:rsidRPr="00E54F41">
        <w:rPr>
          <w:sz w:val="20"/>
          <w:szCs w:val="20"/>
          <w:lang w:val="fr-CA"/>
        </w:rPr>
        <w:t xml:space="preserve"> Public </w:t>
      </w:r>
      <w:proofErr w:type="spellStart"/>
      <w:r w:rsidRPr="00E54F41">
        <w:rPr>
          <w:sz w:val="20"/>
          <w:szCs w:val="20"/>
          <w:lang w:val="fr-CA"/>
        </w:rPr>
        <w:t>Affairs</w:t>
      </w:r>
      <w:proofErr w:type="spellEnd"/>
      <w:r w:rsidRPr="00E54F41">
        <w:rPr>
          <w:sz w:val="20"/>
          <w:szCs w:val="20"/>
          <w:lang w:val="fr-CA"/>
        </w:rPr>
        <w:t xml:space="preserve"> Council; d’Amnistie internationale Canada; de la Central </w:t>
      </w:r>
      <w:proofErr w:type="spellStart"/>
      <w:r w:rsidRPr="00E54F41">
        <w:rPr>
          <w:sz w:val="20"/>
          <w:szCs w:val="20"/>
          <w:lang w:val="fr-CA"/>
        </w:rPr>
        <w:t>Coast</w:t>
      </w:r>
      <w:proofErr w:type="spellEnd"/>
      <w:r w:rsidRPr="00E54F41">
        <w:rPr>
          <w:sz w:val="20"/>
          <w:szCs w:val="20"/>
          <w:lang w:val="fr-CA"/>
        </w:rPr>
        <w:t xml:space="preserve"> </w:t>
      </w:r>
      <w:proofErr w:type="spellStart"/>
      <w:r w:rsidRPr="00E54F41">
        <w:rPr>
          <w:sz w:val="20"/>
          <w:szCs w:val="20"/>
          <w:lang w:val="fr-CA"/>
        </w:rPr>
        <w:t>Indigenous</w:t>
      </w:r>
      <w:proofErr w:type="spellEnd"/>
      <w:r w:rsidRPr="00E54F41">
        <w:rPr>
          <w:sz w:val="20"/>
          <w:szCs w:val="20"/>
          <w:lang w:val="fr-CA"/>
        </w:rPr>
        <w:t xml:space="preserve"> Resource Alliance; de la </w:t>
      </w:r>
      <w:proofErr w:type="spellStart"/>
      <w:r w:rsidRPr="00E54F41">
        <w:rPr>
          <w:sz w:val="20"/>
          <w:szCs w:val="20"/>
          <w:lang w:val="fr-CA"/>
        </w:rPr>
        <w:t>Katzie</w:t>
      </w:r>
      <w:proofErr w:type="spellEnd"/>
      <w:r w:rsidRPr="00E54F41">
        <w:rPr>
          <w:sz w:val="20"/>
          <w:szCs w:val="20"/>
          <w:lang w:val="fr-CA"/>
        </w:rPr>
        <w:t xml:space="preserve"> First Nation et de la West </w:t>
      </w:r>
      <w:proofErr w:type="spellStart"/>
      <w:r w:rsidRPr="00E54F41">
        <w:rPr>
          <w:sz w:val="20"/>
          <w:szCs w:val="20"/>
          <w:lang w:val="fr-CA"/>
        </w:rPr>
        <w:t>Moberly</w:t>
      </w:r>
      <w:proofErr w:type="spellEnd"/>
      <w:r w:rsidRPr="00E54F41">
        <w:rPr>
          <w:sz w:val="20"/>
          <w:szCs w:val="20"/>
          <w:lang w:val="fr-CA"/>
        </w:rPr>
        <w:t xml:space="preserve"> First Nations et </w:t>
      </w:r>
      <w:proofErr w:type="spellStart"/>
      <w:r w:rsidRPr="00E54F41">
        <w:rPr>
          <w:sz w:val="20"/>
          <w:szCs w:val="20"/>
          <w:lang w:val="fr-CA"/>
        </w:rPr>
        <w:t>Prophet</w:t>
      </w:r>
      <w:proofErr w:type="spellEnd"/>
      <w:r w:rsidRPr="00E54F41">
        <w:rPr>
          <w:sz w:val="20"/>
          <w:szCs w:val="20"/>
          <w:lang w:val="fr-CA"/>
        </w:rPr>
        <w:t xml:space="preserve"> River First Nation (conjointement) qui sont exposés dans leur mémoire.</w:t>
      </w:r>
    </w:p>
    <w:p w:rsidR="00792571" w:rsidRPr="00E54F41" w:rsidRDefault="00792571" w:rsidP="00792571">
      <w:pPr>
        <w:rPr>
          <w:sz w:val="20"/>
          <w:szCs w:val="20"/>
          <w:lang w:val="fr-CA"/>
        </w:rPr>
      </w:pPr>
    </w:p>
    <w:p w:rsidR="00792571" w:rsidRPr="00E54F41" w:rsidRDefault="00B904CB" w:rsidP="00792571">
      <w:pPr>
        <w:rPr>
          <w:sz w:val="20"/>
          <w:szCs w:val="20"/>
          <w:lang w:val="fr-CA"/>
        </w:rPr>
      </w:pPr>
      <w:r>
        <w:rPr>
          <w:sz w:val="20"/>
          <w:szCs w:val="20"/>
          <w:lang w:val="fr-CA"/>
        </w:rPr>
        <w:pict>
          <v:rect id="_x0000_i1052" style="width:2in;height:1pt" o:hrpct="0" o:hralign="center" o:hrstd="t" o:hrnoshade="t" o:hr="t" fillcolor="black [3213]" stroked="f"/>
        </w:pict>
      </w:r>
    </w:p>
    <w:p w:rsidR="00792571" w:rsidRPr="00E54F41" w:rsidRDefault="00792571" w:rsidP="00792571">
      <w:pPr>
        <w:rPr>
          <w:sz w:val="20"/>
          <w:szCs w:val="20"/>
          <w:lang w:val="fr-CA"/>
        </w:rPr>
      </w:pPr>
    </w:p>
    <w:p w:rsidR="007376CE" w:rsidRPr="00E54F41" w:rsidRDefault="007376CE">
      <w:pPr>
        <w:rPr>
          <w:sz w:val="20"/>
          <w:szCs w:val="20"/>
          <w:lang w:val="fr-CA"/>
        </w:rPr>
      </w:pPr>
      <w:r w:rsidRPr="00E54F41">
        <w:rPr>
          <w:sz w:val="20"/>
          <w:szCs w:val="20"/>
          <w:lang w:val="fr-CA"/>
        </w:rPr>
        <w:br w:type="page"/>
      </w:r>
    </w:p>
    <w:p w:rsidR="00792571" w:rsidRPr="00E54F41" w:rsidRDefault="00792571" w:rsidP="00792571">
      <w:pPr>
        <w:rPr>
          <w:sz w:val="20"/>
          <w:szCs w:val="20"/>
          <w:lang w:val="fr-CA"/>
        </w:rPr>
      </w:pPr>
      <w:r w:rsidRPr="00E54F41">
        <w:rPr>
          <w:sz w:val="20"/>
          <w:szCs w:val="20"/>
          <w:lang w:val="fr-CA"/>
        </w:rPr>
        <w:lastRenderedPageBreak/>
        <w:t>17.11.2016</w:t>
      </w:r>
    </w:p>
    <w:p w:rsidR="00792571" w:rsidRPr="00E54F41" w:rsidRDefault="00792571" w:rsidP="00792571">
      <w:pPr>
        <w:rPr>
          <w:sz w:val="20"/>
          <w:szCs w:val="20"/>
          <w:lang w:val="fr-CA"/>
        </w:rPr>
      </w:pPr>
    </w:p>
    <w:p w:rsidR="00792571" w:rsidRPr="00E54F41" w:rsidRDefault="00792571" w:rsidP="00792571">
      <w:pPr>
        <w:rPr>
          <w:sz w:val="20"/>
          <w:szCs w:val="20"/>
          <w:lang w:val="fr-CA"/>
        </w:rPr>
      </w:pPr>
      <w:proofErr w:type="spellStart"/>
      <w:r w:rsidRPr="00E54F41">
        <w:rPr>
          <w:sz w:val="20"/>
          <w:szCs w:val="20"/>
          <w:lang w:val="fr-CA"/>
        </w:rPr>
        <w:t>Before</w:t>
      </w:r>
      <w:proofErr w:type="spellEnd"/>
      <w:r w:rsidRPr="00E54F41">
        <w:rPr>
          <w:sz w:val="20"/>
          <w:szCs w:val="20"/>
          <w:lang w:val="fr-CA"/>
        </w:rPr>
        <w:t xml:space="preserve"> / Devant:   WAGNER J. / LE JUGE WAGNER</w:t>
      </w:r>
    </w:p>
    <w:p w:rsidR="00792571" w:rsidRPr="00E54F41" w:rsidRDefault="00792571" w:rsidP="00792571">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2839"/>
        <w:gridCol w:w="1134"/>
        <w:gridCol w:w="4210"/>
      </w:tblGrid>
      <w:tr w:rsidR="00792571" w:rsidRPr="00E54F41" w:rsidTr="008345B5">
        <w:trPr>
          <w:trHeight w:val="513"/>
        </w:trPr>
        <w:tc>
          <w:tcPr>
            <w:tcW w:w="4275" w:type="dxa"/>
            <w:gridSpan w:val="2"/>
          </w:tcPr>
          <w:p w:rsidR="00792571" w:rsidRPr="00E54F41" w:rsidRDefault="00792571" w:rsidP="00792571">
            <w:pPr>
              <w:rPr>
                <w:sz w:val="20"/>
                <w:szCs w:val="20"/>
              </w:rPr>
            </w:pPr>
            <w:r w:rsidRPr="00E54F41">
              <w:rPr>
                <w:b/>
                <w:sz w:val="20"/>
                <w:szCs w:val="20"/>
                <w:lang w:val="en-US"/>
              </w:rPr>
              <w:t xml:space="preserve">Order </w:t>
            </w:r>
            <w:r w:rsidRPr="00E54F41">
              <w:rPr>
                <w:sz w:val="20"/>
                <w:szCs w:val="20"/>
                <w:lang w:val="en-US"/>
              </w:rPr>
              <w:fldChar w:fldCharType="begin"/>
            </w:r>
            <w:r w:rsidRPr="00E54F41">
              <w:rPr>
                <w:sz w:val="20"/>
                <w:szCs w:val="20"/>
              </w:rPr>
              <w:instrText xml:space="preserve"> SEQ CHAPTER \h \r 1</w:instrText>
            </w:r>
            <w:r w:rsidRPr="00E54F41">
              <w:rPr>
                <w:sz w:val="20"/>
                <w:szCs w:val="20"/>
                <w:lang w:val="fr-CA"/>
              </w:rPr>
              <w:fldChar w:fldCharType="end"/>
            </w:r>
          </w:p>
          <w:p w:rsidR="00792571" w:rsidRPr="00E54F41" w:rsidRDefault="00792571" w:rsidP="00792571">
            <w:pPr>
              <w:rPr>
                <w:sz w:val="20"/>
                <w:szCs w:val="20"/>
              </w:rPr>
            </w:pPr>
          </w:p>
        </w:tc>
        <w:tc>
          <w:tcPr>
            <w:tcW w:w="1134" w:type="dxa"/>
          </w:tcPr>
          <w:p w:rsidR="00792571" w:rsidRPr="00E54F41" w:rsidRDefault="00792571" w:rsidP="00792571">
            <w:pPr>
              <w:rPr>
                <w:sz w:val="20"/>
                <w:szCs w:val="20"/>
              </w:rPr>
            </w:pPr>
          </w:p>
          <w:p w:rsidR="00792571" w:rsidRPr="00E54F41" w:rsidRDefault="00792571" w:rsidP="00792571">
            <w:pPr>
              <w:rPr>
                <w:sz w:val="20"/>
                <w:szCs w:val="20"/>
              </w:rPr>
            </w:pPr>
          </w:p>
        </w:tc>
        <w:tc>
          <w:tcPr>
            <w:tcW w:w="4210" w:type="dxa"/>
          </w:tcPr>
          <w:p w:rsidR="00792571" w:rsidRPr="00E54F41" w:rsidRDefault="00792571" w:rsidP="00792571">
            <w:pPr>
              <w:rPr>
                <w:b/>
                <w:sz w:val="20"/>
                <w:szCs w:val="20"/>
                <w:lang w:val="fr-CA"/>
              </w:rPr>
            </w:pPr>
            <w:r w:rsidRPr="00E54F41">
              <w:rPr>
                <w:b/>
                <w:sz w:val="20"/>
                <w:szCs w:val="20"/>
                <w:lang w:val="fr-CA"/>
              </w:rPr>
              <w:t xml:space="preserve">Ordonnance </w:t>
            </w:r>
            <w:r w:rsidRPr="00E54F41">
              <w:rPr>
                <w:sz w:val="20"/>
                <w:szCs w:val="20"/>
                <w:lang w:val="en-US"/>
              </w:rPr>
              <w:fldChar w:fldCharType="begin"/>
            </w:r>
            <w:r w:rsidRPr="00E54F41">
              <w:rPr>
                <w:sz w:val="20"/>
                <w:szCs w:val="20"/>
                <w:lang w:val="fr-CA"/>
              </w:rPr>
              <w:instrText xml:space="preserve"> SEQ CHAPTER \h \r 1</w:instrText>
            </w:r>
            <w:r w:rsidRPr="00E54F41">
              <w:rPr>
                <w:sz w:val="20"/>
                <w:szCs w:val="20"/>
                <w:lang w:val="fr-CA"/>
              </w:rPr>
              <w:fldChar w:fldCharType="end"/>
            </w:r>
          </w:p>
        </w:tc>
      </w:tr>
      <w:tr w:rsidR="00792571" w:rsidRPr="00B904CB" w:rsidTr="008345B5">
        <w:tc>
          <w:tcPr>
            <w:tcW w:w="1436" w:type="dxa"/>
          </w:tcPr>
          <w:p w:rsidR="00792571" w:rsidRPr="00E54F41" w:rsidRDefault="00792571" w:rsidP="00792571">
            <w:pPr>
              <w:rPr>
                <w:sz w:val="20"/>
                <w:szCs w:val="20"/>
              </w:rPr>
            </w:pPr>
            <w:r w:rsidRPr="00E54F41">
              <w:rPr>
                <w:sz w:val="20"/>
                <w:szCs w:val="20"/>
              </w:rPr>
              <w:t>IN / DANS :</w:t>
            </w:r>
          </w:p>
        </w:tc>
        <w:tc>
          <w:tcPr>
            <w:tcW w:w="2839" w:type="dxa"/>
          </w:tcPr>
          <w:p w:rsidR="00792571" w:rsidRPr="00E54F41" w:rsidRDefault="00792571" w:rsidP="00792571">
            <w:pPr>
              <w:rPr>
                <w:sz w:val="20"/>
                <w:szCs w:val="20"/>
                <w:lang w:val="fr-CA"/>
              </w:rPr>
            </w:pPr>
            <w:r w:rsidRPr="00E54F41">
              <w:rPr>
                <w:sz w:val="20"/>
                <w:szCs w:val="20"/>
                <w:lang w:val="fr-CA"/>
              </w:rPr>
              <w:t>Commission des normes, de l’équité, de la santé et de la sécurité du travail (anciennement connue sous le nom de Commission de la santé et de la sécurité du travail)</w: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sz w:val="20"/>
                <w:szCs w:val="20"/>
                <w:lang w:val="fr-CA"/>
              </w:rPr>
              <w:tab/>
              <w:t>c. (36605)</w:t>
            </w:r>
          </w:p>
          <w:p w:rsidR="00792571" w:rsidRPr="00E54F41" w:rsidRDefault="00792571" w:rsidP="00792571">
            <w:pPr>
              <w:rPr>
                <w:sz w:val="20"/>
                <w:szCs w:val="20"/>
                <w:lang w:val="fr-CA"/>
              </w:rPr>
            </w:pPr>
          </w:p>
          <w:p w:rsidR="00792571" w:rsidRPr="00E54F41" w:rsidRDefault="00792571" w:rsidP="004D06A2">
            <w:pPr>
              <w:rPr>
                <w:sz w:val="20"/>
                <w:szCs w:val="20"/>
                <w:lang w:val="fr-CA"/>
              </w:rPr>
            </w:pPr>
            <w:r w:rsidRPr="00E54F41">
              <w:rPr>
                <w:sz w:val="20"/>
                <w:szCs w:val="20"/>
                <w:lang w:val="fr-CA"/>
              </w:rPr>
              <w:t>Alain Caron (Civile) (Qc)</w:t>
            </w:r>
          </w:p>
        </w:tc>
        <w:tc>
          <w:tcPr>
            <w:tcW w:w="1134" w:type="dxa"/>
          </w:tcPr>
          <w:p w:rsidR="00792571" w:rsidRPr="00E54F41" w:rsidRDefault="00792571" w:rsidP="00792571">
            <w:pPr>
              <w:rPr>
                <w:sz w:val="20"/>
                <w:szCs w:val="20"/>
                <w:lang w:val="fr-CA"/>
              </w:rPr>
            </w:pPr>
          </w:p>
        </w:tc>
        <w:tc>
          <w:tcPr>
            <w:tcW w:w="4210" w:type="dxa"/>
          </w:tcPr>
          <w:p w:rsidR="00792571" w:rsidRPr="00E54F41" w:rsidRDefault="00792571" w:rsidP="00792571">
            <w:pPr>
              <w:rPr>
                <w:sz w:val="20"/>
                <w:szCs w:val="20"/>
                <w:lang w:val="fr-CA"/>
              </w:rPr>
            </w:pPr>
          </w:p>
        </w:tc>
      </w:tr>
    </w:tbl>
    <w:p w:rsidR="004D06A2" w:rsidRPr="00E54F41" w:rsidRDefault="004D06A2" w:rsidP="00792571">
      <w:pPr>
        <w:rPr>
          <w:sz w:val="20"/>
          <w:szCs w:val="20"/>
          <w:lang w:val="fr-CA"/>
        </w:rPr>
      </w:pPr>
    </w:p>
    <w:p w:rsidR="00792571" w:rsidRPr="00E54F41" w:rsidRDefault="00792571" w:rsidP="00792571">
      <w:pPr>
        <w:rPr>
          <w:bCs/>
          <w:sz w:val="20"/>
          <w:szCs w:val="20"/>
          <w:lang w:val="fr-CA"/>
        </w:rPr>
      </w:pPr>
      <w:r w:rsidRPr="00E54F41">
        <w:rPr>
          <w:b/>
          <w:sz w:val="20"/>
          <w:szCs w:val="20"/>
          <w:lang w:val="fr-CA"/>
        </w:rPr>
        <w:t>À LA SUITE DE L’ORDONNANCE</w:t>
      </w:r>
      <w:r w:rsidRPr="00E54F41">
        <w:rPr>
          <w:sz w:val="20"/>
          <w:szCs w:val="20"/>
          <w:lang w:val="fr-CA"/>
        </w:rPr>
        <w:t xml:space="preserve"> datée du </w:t>
      </w:r>
      <w:r w:rsidRPr="00E54F41">
        <w:rPr>
          <w:sz w:val="20"/>
          <w:szCs w:val="20"/>
          <w:lang w:val="fr-FR"/>
        </w:rPr>
        <w:t>31 août 2016, autorisant</w:t>
      </w:r>
      <w:r w:rsidRPr="00E54F41">
        <w:rPr>
          <w:bCs/>
          <w:sz w:val="20"/>
          <w:szCs w:val="20"/>
          <w:lang w:val="fr-CA"/>
        </w:rPr>
        <w:t xml:space="preserve"> la procureure générale du Québec, le Conseil du patronat du Québec </w:t>
      </w:r>
      <w:proofErr w:type="spellStart"/>
      <w:r w:rsidRPr="00E54F41">
        <w:rPr>
          <w:bCs/>
          <w:sz w:val="20"/>
          <w:szCs w:val="20"/>
          <w:lang w:val="fr-CA"/>
        </w:rPr>
        <w:t>inc.</w:t>
      </w:r>
      <w:proofErr w:type="spellEnd"/>
      <w:r w:rsidRPr="00E54F41">
        <w:rPr>
          <w:sz w:val="20"/>
          <w:szCs w:val="20"/>
          <w:lang w:val="fr-CA"/>
        </w:rPr>
        <w:t xml:space="preserve">, l’Ontario Network of </w:t>
      </w:r>
      <w:proofErr w:type="spellStart"/>
      <w:r w:rsidRPr="00E54F41">
        <w:rPr>
          <w:sz w:val="20"/>
          <w:szCs w:val="20"/>
          <w:lang w:val="fr-CA"/>
        </w:rPr>
        <w:t>Injured</w:t>
      </w:r>
      <w:proofErr w:type="spellEnd"/>
      <w:r w:rsidRPr="00E54F41">
        <w:rPr>
          <w:sz w:val="20"/>
          <w:szCs w:val="20"/>
          <w:lang w:val="fr-CA"/>
        </w:rPr>
        <w:t xml:space="preserve"> </w:t>
      </w:r>
      <w:proofErr w:type="spellStart"/>
      <w:r w:rsidRPr="00E54F41">
        <w:rPr>
          <w:sz w:val="20"/>
          <w:szCs w:val="20"/>
          <w:lang w:val="fr-CA"/>
        </w:rPr>
        <w:t>Workers</w:t>
      </w:r>
      <w:proofErr w:type="spellEnd"/>
      <w:r w:rsidRPr="00E54F41">
        <w:rPr>
          <w:sz w:val="20"/>
          <w:szCs w:val="20"/>
          <w:lang w:val="fr-CA"/>
        </w:rPr>
        <w:t xml:space="preserve">’ Groups et le </w:t>
      </w:r>
      <w:proofErr w:type="spellStart"/>
      <w:r w:rsidRPr="00E54F41">
        <w:rPr>
          <w:sz w:val="20"/>
          <w:szCs w:val="20"/>
          <w:lang w:val="fr-CA"/>
        </w:rPr>
        <w:t>Industrial</w:t>
      </w:r>
      <w:proofErr w:type="spellEnd"/>
      <w:r w:rsidRPr="00E54F41">
        <w:rPr>
          <w:sz w:val="20"/>
          <w:szCs w:val="20"/>
          <w:lang w:val="fr-CA"/>
        </w:rPr>
        <w:t xml:space="preserve"> Accident </w:t>
      </w:r>
      <w:proofErr w:type="spellStart"/>
      <w:r w:rsidRPr="00E54F41">
        <w:rPr>
          <w:sz w:val="20"/>
          <w:szCs w:val="20"/>
          <w:lang w:val="fr-CA"/>
        </w:rPr>
        <w:t>Victims</w:t>
      </w:r>
      <w:proofErr w:type="spellEnd"/>
      <w:r w:rsidRPr="00E54F41">
        <w:rPr>
          <w:sz w:val="20"/>
          <w:szCs w:val="20"/>
          <w:lang w:val="fr-CA"/>
        </w:rPr>
        <w:t>’ Group of Ontario (conjointement), la Centrale des syndicats du Québec et le Syndicat canadien de la fonction publique à intervenir;</w:t>
      </w:r>
    </w:p>
    <w:p w:rsidR="00792571" w:rsidRPr="00E54F41" w:rsidRDefault="00792571" w:rsidP="00792571">
      <w:pPr>
        <w:rPr>
          <w:sz w:val="20"/>
          <w:szCs w:val="20"/>
          <w:lang w:val="fr-CA"/>
        </w:rPr>
      </w:pPr>
    </w:p>
    <w:p w:rsidR="00792571" w:rsidRPr="00E54F41" w:rsidRDefault="00792571" w:rsidP="00792571">
      <w:pPr>
        <w:rPr>
          <w:b/>
          <w:bCs/>
          <w:sz w:val="20"/>
          <w:szCs w:val="20"/>
          <w:lang w:val="fr-CA"/>
        </w:rPr>
      </w:pPr>
      <w:r w:rsidRPr="00E54F41">
        <w:rPr>
          <w:b/>
          <w:bCs/>
          <w:sz w:val="20"/>
          <w:szCs w:val="20"/>
          <w:lang w:val="fr-CA"/>
        </w:rPr>
        <w:t>IL EST EN OUTRE ORDONNÉ QUE : </w:t>
      </w:r>
    </w:p>
    <w:p w:rsidR="00991F1E" w:rsidRPr="00E54F41" w:rsidRDefault="00991F1E" w:rsidP="00991F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ind w:left="-23"/>
        <w:jc w:val="both"/>
        <w:rPr>
          <w:rFonts w:eastAsiaTheme="minorEastAsia" w:cs="Times New Roman"/>
          <w:bCs/>
          <w:sz w:val="20"/>
          <w:szCs w:val="20"/>
          <w:lang w:val="fr-CA"/>
        </w:rPr>
      </w:pPr>
    </w:p>
    <w:p w:rsidR="00991F1E" w:rsidRPr="00E54F41" w:rsidRDefault="00991F1E" w:rsidP="00991F1E">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contextualSpacing/>
        <w:jc w:val="both"/>
        <w:rPr>
          <w:rFonts w:eastAsiaTheme="minorEastAsia" w:cs="Times New Roman"/>
          <w:sz w:val="20"/>
          <w:szCs w:val="20"/>
          <w:lang w:val="fr-CA"/>
        </w:rPr>
      </w:pPr>
      <w:r w:rsidRPr="00E54F41">
        <w:rPr>
          <w:rFonts w:eastAsiaTheme="minorEastAsia" w:cs="Times New Roman"/>
          <w:bCs/>
          <w:sz w:val="20"/>
          <w:szCs w:val="20"/>
          <w:lang w:val="fr-CA"/>
        </w:rPr>
        <w:t xml:space="preserve">La procureure générale du Québec, le Conseil du patronat du Québec </w:t>
      </w:r>
      <w:proofErr w:type="spellStart"/>
      <w:r w:rsidRPr="00E54F41">
        <w:rPr>
          <w:rFonts w:eastAsiaTheme="minorEastAsia" w:cs="Times New Roman"/>
          <w:bCs/>
          <w:sz w:val="20"/>
          <w:szCs w:val="20"/>
          <w:lang w:val="fr-CA"/>
        </w:rPr>
        <w:t>inc.</w:t>
      </w:r>
      <w:proofErr w:type="spellEnd"/>
      <w:r w:rsidRPr="00E54F41">
        <w:rPr>
          <w:rFonts w:eastAsiaTheme="minorEastAsia" w:cs="Times New Roman"/>
          <w:sz w:val="20"/>
          <w:szCs w:val="20"/>
          <w:lang w:val="fr-CA"/>
        </w:rPr>
        <w:t xml:space="preserve"> et la Centrale des syndicats du Québec auront chacun le droit de présenter une plaidoirie orale d’au plus dix (10) minutes lors de l’audition de l’appel;</w:t>
      </w:r>
    </w:p>
    <w:p w:rsidR="00991F1E" w:rsidRPr="00E54F41" w:rsidRDefault="00991F1E" w:rsidP="00991F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ind w:left="697"/>
        <w:contextualSpacing/>
        <w:jc w:val="both"/>
        <w:rPr>
          <w:rFonts w:eastAsiaTheme="minorEastAsia" w:cs="Times New Roman"/>
          <w:sz w:val="20"/>
          <w:szCs w:val="20"/>
          <w:lang w:val="fr-CA"/>
        </w:rPr>
      </w:pPr>
    </w:p>
    <w:p w:rsidR="00991F1E" w:rsidRPr="00E54F41" w:rsidRDefault="00991F1E" w:rsidP="00991F1E">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contextualSpacing/>
        <w:jc w:val="both"/>
        <w:rPr>
          <w:rFonts w:eastAsiaTheme="minorEastAsia" w:cs="Times New Roman"/>
          <w:sz w:val="20"/>
          <w:szCs w:val="20"/>
          <w:lang w:val="fr-CA"/>
        </w:rPr>
      </w:pPr>
      <w:r w:rsidRPr="00E54F41">
        <w:rPr>
          <w:rFonts w:eastAsiaTheme="minorEastAsia" w:cs="Times New Roman"/>
          <w:sz w:val="20"/>
          <w:szCs w:val="20"/>
          <w:lang w:val="fr-CA"/>
        </w:rPr>
        <w:t xml:space="preserve">L’Ontario Network of </w:t>
      </w:r>
      <w:proofErr w:type="spellStart"/>
      <w:r w:rsidRPr="00E54F41">
        <w:rPr>
          <w:rFonts w:eastAsiaTheme="minorEastAsia" w:cs="Times New Roman"/>
          <w:sz w:val="20"/>
          <w:szCs w:val="20"/>
          <w:lang w:val="fr-CA"/>
        </w:rPr>
        <w:t>Injured</w:t>
      </w:r>
      <w:proofErr w:type="spellEnd"/>
      <w:r w:rsidRPr="00E54F41">
        <w:rPr>
          <w:rFonts w:eastAsiaTheme="minorEastAsia" w:cs="Times New Roman"/>
          <w:sz w:val="20"/>
          <w:szCs w:val="20"/>
          <w:lang w:val="fr-CA"/>
        </w:rPr>
        <w:t xml:space="preserve"> </w:t>
      </w:r>
      <w:proofErr w:type="spellStart"/>
      <w:r w:rsidRPr="00E54F41">
        <w:rPr>
          <w:rFonts w:eastAsiaTheme="minorEastAsia" w:cs="Times New Roman"/>
          <w:sz w:val="20"/>
          <w:szCs w:val="20"/>
          <w:lang w:val="fr-CA"/>
        </w:rPr>
        <w:t>Workers</w:t>
      </w:r>
      <w:proofErr w:type="spellEnd"/>
      <w:r w:rsidRPr="00E54F41">
        <w:rPr>
          <w:rFonts w:eastAsiaTheme="minorEastAsia" w:cs="Times New Roman"/>
          <w:sz w:val="20"/>
          <w:szCs w:val="20"/>
          <w:lang w:val="fr-CA"/>
        </w:rPr>
        <w:t xml:space="preserve">’ Groups et le </w:t>
      </w:r>
      <w:proofErr w:type="spellStart"/>
      <w:r w:rsidRPr="00E54F41">
        <w:rPr>
          <w:rFonts w:eastAsiaTheme="minorEastAsia" w:cs="Times New Roman"/>
          <w:sz w:val="20"/>
          <w:szCs w:val="20"/>
          <w:lang w:val="fr-CA"/>
        </w:rPr>
        <w:t>Industrial</w:t>
      </w:r>
      <w:proofErr w:type="spellEnd"/>
      <w:r w:rsidRPr="00E54F41">
        <w:rPr>
          <w:rFonts w:eastAsiaTheme="minorEastAsia" w:cs="Times New Roman"/>
          <w:sz w:val="20"/>
          <w:szCs w:val="20"/>
          <w:lang w:val="fr-CA"/>
        </w:rPr>
        <w:t xml:space="preserve"> Accident </w:t>
      </w:r>
      <w:proofErr w:type="spellStart"/>
      <w:r w:rsidRPr="00E54F41">
        <w:rPr>
          <w:rFonts w:eastAsiaTheme="minorEastAsia" w:cs="Times New Roman"/>
          <w:sz w:val="20"/>
          <w:szCs w:val="20"/>
          <w:lang w:val="fr-CA"/>
        </w:rPr>
        <w:t>Victims</w:t>
      </w:r>
      <w:proofErr w:type="spellEnd"/>
      <w:r w:rsidRPr="00E54F41">
        <w:rPr>
          <w:rFonts w:eastAsiaTheme="minorEastAsia" w:cs="Times New Roman"/>
          <w:sz w:val="20"/>
          <w:szCs w:val="20"/>
          <w:lang w:val="fr-CA"/>
        </w:rPr>
        <w:t>’ Group of Ontario (conjointement) et le Syndicat canadien de la fonction publique auront chacun le droit de présenter une plaidoirie orale d’au plus cinq (5) minutes lors de l’audition de l’appel; et</w:t>
      </w:r>
    </w:p>
    <w:p w:rsidR="00991F1E" w:rsidRPr="00E54F41" w:rsidRDefault="00991F1E" w:rsidP="00991F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ind w:left="697"/>
        <w:contextualSpacing/>
        <w:jc w:val="both"/>
        <w:rPr>
          <w:rFonts w:eastAsiaTheme="minorEastAsia" w:cs="Times New Roman"/>
          <w:sz w:val="20"/>
          <w:szCs w:val="20"/>
          <w:lang w:val="fr-CA"/>
        </w:rPr>
      </w:pPr>
    </w:p>
    <w:p w:rsidR="00991F1E" w:rsidRPr="00E54F41" w:rsidRDefault="00991F1E" w:rsidP="00991F1E">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contextualSpacing/>
        <w:jc w:val="both"/>
        <w:rPr>
          <w:rFonts w:eastAsiaTheme="minorEastAsia" w:cs="Times New Roman"/>
          <w:sz w:val="20"/>
          <w:szCs w:val="20"/>
          <w:lang w:val="fr-CA"/>
        </w:rPr>
      </w:pPr>
      <w:r w:rsidRPr="00E54F41">
        <w:rPr>
          <w:rFonts w:eastAsiaTheme="minorEastAsia" w:cs="Times New Roman"/>
          <w:sz w:val="20"/>
          <w:szCs w:val="20"/>
          <w:lang w:val="fr-CA"/>
        </w:rPr>
        <w:t>Le Tribunal administratif du travail (anciennement connu sous le nom de Commission des lésions professionnelles) et le Centre Miriam auront chacun le droit de présenter une plaidoirie orale d’au plus dix (10) minutes lors de l’audition de l’appel.</w:t>
      </w:r>
    </w:p>
    <w:p w:rsidR="00792571" w:rsidRPr="00E54F41" w:rsidRDefault="00792571" w:rsidP="00792571">
      <w:pPr>
        <w:rPr>
          <w:bCs/>
          <w:sz w:val="20"/>
          <w:szCs w:val="20"/>
          <w:lang w:val="fr-CA"/>
        </w:rPr>
      </w:pPr>
    </w:p>
    <w:p w:rsidR="0057784A" w:rsidRPr="00E54F41" w:rsidRDefault="0057784A" w:rsidP="00792571">
      <w:pPr>
        <w:rPr>
          <w:bCs/>
          <w:sz w:val="20"/>
          <w:szCs w:val="20"/>
          <w:lang w:val="fr-CA"/>
        </w:rPr>
      </w:pPr>
    </w:p>
    <w:p w:rsidR="00792571" w:rsidRPr="00E54F41" w:rsidRDefault="00792571" w:rsidP="00792571">
      <w:pPr>
        <w:rPr>
          <w:bCs/>
          <w:sz w:val="20"/>
          <w:szCs w:val="20"/>
          <w:lang w:val="fr-CA"/>
        </w:rPr>
      </w:pPr>
    </w:p>
    <w:p w:rsidR="00792571" w:rsidRPr="00E54F41" w:rsidRDefault="00792571" w:rsidP="00792571">
      <w:pPr>
        <w:rPr>
          <w:sz w:val="20"/>
          <w:szCs w:val="20"/>
          <w:lang w:val="en-US"/>
        </w:rPr>
      </w:pPr>
      <w:r w:rsidRPr="00E54F41">
        <w:rPr>
          <w:b/>
          <w:bCs/>
          <w:sz w:val="20"/>
          <w:szCs w:val="20"/>
          <w:lang w:val="en-US"/>
        </w:rPr>
        <w:t xml:space="preserve">FURTHER TO THE ORDER </w:t>
      </w:r>
      <w:r w:rsidRPr="00E54F41">
        <w:rPr>
          <w:bCs/>
          <w:sz w:val="20"/>
          <w:szCs w:val="20"/>
          <w:lang w:val="en-US"/>
        </w:rPr>
        <w:t>dated August 31, 2016, granting leave to intervene to</w:t>
      </w:r>
      <w:r w:rsidRPr="00E54F41">
        <w:rPr>
          <w:sz w:val="20"/>
          <w:szCs w:val="20"/>
          <w:lang w:val="en-US"/>
        </w:rPr>
        <w:t xml:space="preserve"> the </w:t>
      </w:r>
      <w:r w:rsidRPr="00E54F41">
        <w:rPr>
          <w:bCs/>
          <w:sz w:val="20"/>
          <w:szCs w:val="20"/>
          <w:lang w:val="en-US"/>
        </w:rPr>
        <w:t xml:space="preserve">Attorney General of Quebec, the </w:t>
      </w:r>
      <w:proofErr w:type="spellStart"/>
      <w:r w:rsidRPr="00E54F41">
        <w:rPr>
          <w:bCs/>
          <w:sz w:val="20"/>
          <w:szCs w:val="20"/>
          <w:lang w:val="en-US"/>
        </w:rPr>
        <w:t>Conseil</w:t>
      </w:r>
      <w:proofErr w:type="spellEnd"/>
      <w:r w:rsidRPr="00E54F41">
        <w:rPr>
          <w:bCs/>
          <w:sz w:val="20"/>
          <w:szCs w:val="20"/>
          <w:lang w:val="en-US"/>
        </w:rPr>
        <w:t xml:space="preserve"> du </w:t>
      </w:r>
      <w:proofErr w:type="spellStart"/>
      <w:r w:rsidRPr="00E54F41">
        <w:rPr>
          <w:bCs/>
          <w:sz w:val="20"/>
          <w:szCs w:val="20"/>
          <w:lang w:val="en-US"/>
        </w:rPr>
        <w:t>patronat</w:t>
      </w:r>
      <w:proofErr w:type="spellEnd"/>
      <w:r w:rsidRPr="00E54F41">
        <w:rPr>
          <w:bCs/>
          <w:sz w:val="20"/>
          <w:szCs w:val="20"/>
          <w:lang w:val="en-US"/>
        </w:rPr>
        <w:t xml:space="preserve"> du Québec </w:t>
      </w:r>
      <w:proofErr w:type="spellStart"/>
      <w:r w:rsidRPr="00E54F41">
        <w:rPr>
          <w:bCs/>
          <w:sz w:val="20"/>
          <w:szCs w:val="20"/>
          <w:lang w:val="en-US"/>
        </w:rPr>
        <w:t>inc.</w:t>
      </w:r>
      <w:proofErr w:type="spellEnd"/>
      <w:r w:rsidRPr="00E54F41">
        <w:rPr>
          <w:sz w:val="20"/>
          <w:szCs w:val="20"/>
          <w:lang w:val="en-US"/>
        </w:rPr>
        <w:t xml:space="preserve">, the Ontario Network of Injured Workers’ Groups and the Industrial Accident Victims’ Group of Ontario (jointly), the Centrale des </w:t>
      </w:r>
      <w:proofErr w:type="spellStart"/>
      <w:r w:rsidRPr="00E54F41">
        <w:rPr>
          <w:sz w:val="20"/>
          <w:szCs w:val="20"/>
          <w:lang w:val="en-US"/>
        </w:rPr>
        <w:t>syndicats</w:t>
      </w:r>
      <w:proofErr w:type="spellEnd"/>
      <w:r w:rsidRPr="00E54F41">
        <w:rPr>
          <w:sz w:val="20"/>
          <w:szCs w:val="20"/>
          <w:lang w:val="en-US"/>
        </w:rPr>
        <w:t xml:space="preserve"> du Québec and the Canadian Union of Public Employees;</w:t>
      </w:r>
    </w:p>
    <w:p w:rsidR="00792571" w:rsidRPr="00E54F41" w:rsidRDefault="00792571" w:rsidP="00792571">
      <w:pPr>
        <w:rPr>
          <w:sz w:val="20"/>
          <w:szCs w:val="20"/>
          <w:lang w:val="en-US"/>
        </w:rPr>
      </w:pPr>
    </w:p>
    <w:p w:rsidR="00792571" w:rsidRPr="00E54F41" w:rsidRDefault="00792571" w:rsidP="00792571">
      <w:pPr>
        <w:rPr>
          <w:b/>
          <w:sz w:val="20"/>
          <w:szCs w:val="20"/>
          <w:lang w:val="en-US"/>
        </w:rPr>
      </w:pPr>
      <w:r w:rsidRPr="00E54F41">
        <w:rPr>
          <w:b/>
          <w:sz w:val="20"/>
          <w:szCs w:val="20"/>
          <w:lang w:val="en-US"/>
        </w:rPr>
        <w:t>IT IS HEREBY FURTHER ORDERED THAT:</w:t>
      </w:r>
    </w:p>
    <w:p w:rsidR="00991F1E" w:rsidRPr="00E54F41" w:rsidRDefault="00991F1E" w:rsidP="00991F1E">
      <w:pPr>
        <w:widowControl w:val="0"/>
        <w:autoSpaceDE w:val="0"/>
        <w:autoSpaceDN w:val="0"/>
        <w:adjustRightInd w:val="0"/>
        <w:spacing w:line="233" w:lineRule="auto"/>
        <w:jc w:val="both"/>
        <w:rPr>
          <w:rFonts w:eastAsiaTheme="minorEastAsia" w:cs="Times New Roman"/>
          <w:b/>
          <w:sz w:val="20"/>
          <w:szCs w:val="20"/>
          <w:lang w:val="en-US"/>
        </w:rPr>
      </w:pPr>
    </w:p>
    <w:p w:rsidR="00991F1E" w:rsidRPr="00E54F41" w:rsidRDefault="00991F1E" w:rsidP="00991F1E">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bCs/>
          <w:sz w:val="20"/>
          <w:szCs w:val="20"/>
          <w:lang w:val="en-US"/>
        </w:rPr>
      </w:pPr>
      <w:r w:rsidRPr="00E54F41">
        <w:rPr>
          <w:rFonts w:eastAsiaTheme="minorEastAsia" w:cs="Times New Roman"/>
          <w:sz w:val="20"/>
          <w:szCs w:val="20"/>
          <w:lang w:val="en-US"/>
        </w:rPr>
        <w:t xml:space="preserve">The </w:t>
      </w:r>
      <w:r w:rsidRPr="00E54F41">
        <w:rPr>
          <w:rFonts w:eastAsiaTheme="minorEastAsia" w:cs="Times New Roman"/>
          <w:bCs/>
          <w:sz w:val="20"/>
          <w:szCs w:val="20"/>
          <w:lang w:val="en-US"/>
        </w:rPr>
        <w:t xml:space="preserve">Attorney General of Quebec, the </w:t>
      </w:r>
      <w:proofErr w:type="spellStart"/>
      <w:r w:rsidRPr="00E54F41">
        <w:rPr>
          <w:rFonts w:eastAsiaTheme="minorEastAsia" w:cs="Times New Roman"/>
          <w:bCs/>
          <w:sz w:val="20"/>
          <w:szCs w:val="20"/>
          <w:lang w:val="en-US"/>
        </w:rPr>
        <w:t>Conseil</w:t>
      </w:r>
      <w:proofErr w:type="spellEnd"/>
      <w:r w:rsidRPr="00E54F41">
        <w:rPr>
          <w:rFonts w:eastAsiaTheme="minorEastAsia" w:cs="Times New Roman"/>
          <w:bCs/>
          <w:sz w:val="20"/>
          <w:szCs w:val="20"/>
          <w:lang w:val="en-US"/>
        </w:rPr>
        <w:t xml:space="preserve"> du </w:t>
      </w:r>
      <w:proofErr w:type="spellStart"/>
      <w:r w:rsidRPr="00E54F41">
        <w:rPr>
          <w:rFonts w:eastAsiaTheme="minorEastAsia" w:cs="Times New Roman"/>
          <w:bCs/>
          <w:sz w:val="20"/>
          <w:szCs w:val="20"/>
          <w:lang w:val="en-US"/>
        </w:rPr>
        <w:t>patronat</w:t>
      </w:r>
      <w:proofErr w:type="spellEnd"/>
      <w:r w:rsidRPr="00E54F41">
        <w:rPr>
          <w:rFonts w:eastAsiaTheme="minorEastAsia" w:cs="Times New Roman"/>
          <w:bCs/>
          <w:sz w:val="20"/>
          <w:szCs w:val="20"/>
          <w:lang w:val="en-US"/>
        </w:rPr>
        <w:t xml:space="preserve"> du Québec </w:t>
      </w:r>
      <w:proofErr w:type="spellStart"/>
      <w:r w:rsidRPr="00E54F41">
        <w:rPr>
          <w:rFonts w:eastAsiaTheme="minorEastAsia" w:cs="Times New Roman"/>
          <w:bCs/>
          <w:sz w:val="20"/>
          <w:szCs w:val="20"/>
          <w:lang w:val="en-US"/>
        </w:rPr>
        <w:t>inc.</w:t>
      </w:r>
      <w:proofErr w:type="spellEnd"/>
      <w:r w:rsidRPr="00E54F41">
        <w:rPr>
          <w:rFonts w:eastAsiaTheme="minorEastAsia" w:cs="Times New Roman"/>
          <w:sz w:val="20"/>
          <w:szCs w:val="20"/>
          <w:lang w:val="en-US"/>
        </w:rPr>
        <w:t xml:space="preserve"> and the Centrale des </w:t>
      </w:r>
      <w:proofErr w:type="spellStart"/>
      <w:r w:rsidRPr="00E54F41">
        <w:rPr>
          <w:rFonts w:eastAsiaTheme="minorEastAsia" w:cs="Times New Roman"/>
          <w:sz w:val="20"/>
          <w:szCs w:val="20"/>
          <w:lang w:val="en-US"/>
        </w:rPr>
        <w:t>syndicats</w:t>
      </w:r>
      <w:proofErr w:type="spellEnd"/>
      <w:r w:rsidRPr="00E54F41">
        <w:rPr>
          <w:rFonts w:eastAsiaTheme="minorEastAsia" w:cs="Times New Roman"/>
          <w:sz w:val="20"/>
          <w:szCs w:val="20"/>
          <w:lang w:val="en-US"/>
        </w:rPr>
        <w:t xml:space="preserve"> du Québec </w:t>
      </w:r>
      <w:r w:rsidRPr="00E54F41">
        <w:rPr>
          <w:rFonts w:eastAsiaTheme="minorEastAsia" w:cs="Times New Roman"/>
          <w:bCs/>
          <w:sz w:val="20"/>
          <w:szCs w:val="20"/>
          <w:lang w:val="en-US"/>
        </w:rPr>
        <w:t>are each granted permission to present oral argument not exceeding ten (10) minutes at the hearing of the appeal;</w:t>
      </w:r>
    </w:p>
    <w:p w:rsidR="00991F1E" w:rsidRPr="00E54F41" w:rsidRDefault="00991F1E" w:rsidP="00991F1E">
      <w:pPr>
        <w:widowControl w:val="0"/>
        <w:autoSpaceDE w:val="0"/>
        <w:autoSpaceDN w:val="0"/>
        <w:adjustRightInd w:val="0"/>
        <w:spacing w:line="233" w:lineRule="auto"/>
        <w:ind w:left="720"/>
        <w:contextualSpacing/>
        <w:rPr>
          <w:rFonts w:eastAsiaTheme="minorEastAsia" w:cs="Times New Roman"/>
          <w:bCs/>
          <w:sz w:val="20"/>
          <w:szCs w:val="20"/>
          <w:lang w:val="en-US"/>
        </w:rPr>
      </w:pPr>
    </w:p>
    <w:p w:rsidR="00991F1E" w:rsidRPr="00E54F41" w:rsidRDefault="00991F1E" w:rsidP="00991F1E">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en-US"/>
        </w:rPr>
      </w:pPr>
      <w:r w:rsidRPr="00E54F41">
        <w:rPr>
          <w:rFonts w:eastAsiaTheme="minorEastAsia" w:cs="Times New Roman"/>
          <w:sz w:val="20"/>
          <w:szCs w:val="20"/>
          <w:lang w:val="en-US"/>
        </w:rPr>
        <w:t xml:space="preserve">The Ontario Network of Injured Workers’ Groups and the Industrial Accident Victims’ Group of Ontario (jointly) and the </w:t>
      </w:r>
      <w:r w:rsidRPr="00E54F41">
        <w:rPr>
          <w:rFonts w:eastAsiaTheme="minorEastAsia" w:cs="Times New Roman"/>
          <w:sz w:val="20"/>
          <w:szCs w:val="20"/>
          <w:lang w:val="en-US" w:eastAsia="fr-FR"/>
        </w:rPr>
        <w:t>Canadian Union of Public Employees</w:t>
      </w:r>
      <w:r w:rsidRPr="00E54F41">
        <w:rPr>
          <w:rFonts w:eastAsiaTheme="minorEastAsia" w:cs="Times New Roman"/>
          <w:bCs/>
          <w:sz w:val="20"/>
          <w:szCs w:val="20"/>
          <w:lang w:val="en-US"/>
        </w:rPr>
        <w:t xml:space="preserve"> </w:t>
      </w:r>
      <w:r w:rsidRPr="00E54F41">
        <w:rPr>
          <w:rFonts w:eastAsiaTheme="minorEastAsia" w:cs="Times New Roman"/>
          <w:sz w:val="20"/>
          <w:szCs w:val="20"/>
          <w:lang w:val="en-US"/>
        </w:rPr>
        <w:t>are each granted permission to present oral argument not exceeding five (5) minutes at the hearing of the appeal; and</w:t>
      </w:r>
    </w:p>
    <w:p w:rsidR="00991F1E" w:rsidRPr="00E54F41" w:rsidRDefault="00991F1E" w:rsidP="00991F1E">
      <w:pPr>
        <w:widowControl w:val="0"/>
        <w:autoSpaceDE w:val="0"/>
        <w:autoSpaceDN w:val="0"/>
        <w:adjustRightInd w:val="0"/>
        <w:spacing w:line="233" w:lineRule="auto"/>
        <w:ind w:left="720"/>
        <w:contextualSpacing/>
        <w:jc w:val="both"/>
        <w:rPr>
          <w:rFonts w:eastAsiaTheme="minorEastAsia" w:cs="Times New Roman"/>
          <w:sz w:val="20"/>
          <w:szCs w:val="20"/>
          <w:lang w:val="en-US"/>
        </w:rPr>
      </w:pPr>
    </w:p>
    <w:p w:rsidR="00991F1E" w:rsidRPr="00E54F41" w:rsidRDefault="00991F1E" w:rsidP="00991F1E">
      <w:pPr>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bCs/>
          <w:sz w:val="20"/>
          <w:szCs w:val="20"/>
          <w:lang w:val="en-US"/>
        </w:rPr>
      </w:pPr>
      <w:r w:rsidRPr="00E54F41">
        <w:rPr>
          <w:rFonts w:eastAsiaTheme="minorEastAsia" w:cs="Times New Roman"/>
          <w:bCs/>
          <w:sz w:val="20"/>
          <w:szCs w:val="20"/>
          <w:lang w:val="en-US"/>
        </w:rPr>
        <w:t xml:space="preserve">The Administrative </w:t>
      </w:r>
      <w:proofErr w:type="spellStart"/>
      <w:r w:rsidRPr="00E54F41">
        <w:rPr>
          <w:rFonts w:eastAsiaTheme="minorEastAsia" w:cs="Times New Roman"/>
          <w:bCs/>
          <w:sz w:val="20"/>
          <w:szCs w:val="20"/>
          <w:lang w:val="en-US"/>
        </w:rPr>
        <w:t>Labour</w:t>
      </w:r>
      <w:proofErr w:type="spellEnd"/>
      <w:r w:rsidRPr="00E54F41">
        <w:rPr>
          <w:rFonts w:eastAsiaTheme="minorEastAsia" w:cs="Times New Roman"/>
          <w:bCs/>
          <w:sz w:val="20"/>
          <w:szCs w:val="20"/>
          <w:lang w:val="en-US"/>
        </w:rPr>
        <w:t xml:space="preserve"> Tribunal (formerly known as Commission des </w:t>
      </w:r>
      <w:proofErr w:type="spellStart"/>
      <w:r w:rsidRPr="00E54F41">
        <w:rPr>
          <w:rFonts w:eastAsiaTheme="minorEastAsia" w:cs="Times New Roman"/>
          <w:bCs/>
          <w:sz w:val="20"/>
          <w:szCs w:val="20"/>
          <w:lang w:val="en-US"/>
        </w:rPr>
        <w:t>lésions</w:t>
      </w:r>
      <w:proofErr w:type="spellEnd"/>
      <w:r w:rsidRPr="00E54F41">
        <w:rPr>
          <w:rFonts w:eastAsiaTheme="minorEastAsia" w:cs="Times New Roman"/>
          <w:bCs/>
          <w:sz w:val="20"/>
          <w:szCs w:val="20"/>
          <w:lang w:val="en-US"/>
        </w:rPr>
        <w:t xml:space="preserve"> </w:t>
      </w:r>
      <w:proofErr w:type="spellStart"/>
      <w:r w:rsidRPr="00E54F41">
        <w:rPr>
          <w:rFonts w:eastAsiaTheme="minorEastAsia" w:cs="Times New Roman"/>
          <w:bCs/>
          <w:sz w:val="20"/>
          <w:szCs w:val="20"/>
          <w:lang w:val="en-US"/>
        </w:rPr>
        <w:t>professionnelles</w:t>
      </w:r>
      <w:proofErr w:type="spellEnd"/>
      <w:r w:rsidRPr="00E54F41">
        <w:rPr>
          <w:rFonts w:eastAsiaTheme="minorEastAsia" w:cs="Times New Roman"/>
          <w:bCs/>
          <w:sz w:val="20"/>
          <w:szCs w:val="20"/>
          <w:lang w:val="en-US"/>
        </w:rPr>
        <w:t>) and the Miriam Home and Services are each granted permission to present oral argument not exceeding ten (10) minutes at the hearing of the appeal.</w:t>
      </w:r>
    </w:p>
    <w:p w:rsidR="00792571" w:rsidRPr="00E54F41" w:rsidRDefault="00792571" w:rsidP="00792571">
      <w:pPr>
        <w:rPr>
          <w:sz w:val="20"/>
          <w:szCs w:val="20"/>
        </w:rPr>
      </w:pPr>
    </w:p>
    <w:p w:rsidR="00792571" w:rsidRPr="00E54F41" w:rsidRDefault="00B904CB" w:rsidP="00792571">
      <w:pPr>
        <w:rPr>
          <w:sz w:val="20"/>
          <w:szCs w:val="20"/>
        </w:rPr>
      </w:pPr>
      <w:r>
        <w:rPr>
          <w:sz w:val="20"/>
          <w:szCs w:val="20"/>
          <w:lang w:val="fr-CA"/>
        </w:rPr>
        <w:lastRenderedPageBreak/>
        <w:pict>
          <v:rect id="_x0000_i1053" style="width:2in;height:1pt" o:hrpct="0" o:hralign="center" o:hrstd="t" o:hrnoshade="t" o:hr="t" fillcolor="black [3213]" stroked="f"/>
        </w:pict>
      </w:r>
    </w:p>
    <w:p w:rsidR="0057784A" w:rsidRPr="00E54F41" w:rsidRDefault="0057784A">
      <w:pPr>
        <w:rPr>
          <w:sz w:val="20"/>
          <w:szCs w:val="20"/>
          <w:lang w:val="fr-CA"/>
        </w:rPr>
      </w:pPr>
    </w:p>
    <w:p w:rsidR="00792571" w:rsidRPr="00E54F41" w:rsidRDefault="00792571" w:rsidP="00792571">
      <w:pPr>
        <w:rPr>
          <w:sz w:val="20"/>
          <w:szCs w:val="20"/>
          <w:lang w:val="fr-CA"/>
        </w:rPr>
      </w:pPr>
      <w:r w:rsidRPr="00E54F41">
        <w:rPr>
          <w:sz w:val="20"/>
          <w:szCs w:val="20"/>
          <w:lang w:val="fr-CA"/>
        </w:rPr>
        <w:t>17.11.2016</w: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sz w:val="20"/>
          <w:szCs w:val="20"/>
          <w:lang w:val="fr-CA"/>
        </w:rPr>
        <w:t xml:space="preserve"> </w:t>
      </w:r>
      <w:proofErr w:type="spellStart"/>
      <w:r w:rsidRPr="00E54F41">
        <w:rPr>
          <w:sz w:val="20"/>
          <w:szCs w:val="20"/>
          <w:lang w:val="fr-CA"/>
        </w:rPr>
        <w:t>Before</w:t>
      </w:r>
      <w:proofErr w:type="spellEnd"/>
      <w:r w:rsidRPr="00E54F41">
        <w:rPr>
          <w:sz w:val="20"/>
          <w:szCs w:val="20"/>
          <w:lang w:val="fr-CA"/>
        </w:rPr>
        <w:t xml:space="preserve"> / Devant :   CÔTÉ J. / LA JUGE CÔTÉ</w:t>
      </w:r>
    </w:p>
    <w:p w:rsidR="00792571" w:rsidRPr="00E54F41" w:rsidRDefault="00792571" w:rsidP="00792571">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699"/>
        <w:gridCol w:w="20"/>
        <w:gridCol w:w="16"/>
        <w:gridCol w:w="1128"/>
        <w:gridCol w:w="9"/>
        <w:gridCol w:w="4217"/>
      </w:tblGrid>
      <w:tr w:rsidR="00792571" w:rsidRPr="00B904CB" w:rsidTr="0057784A">
        <w:tc>
          <w:tcPr>
            <w:tcW w:w="4265" w:type="dxa"/>
            <w:gridSpan w:val="4"/>
          </w:tcPr>
          <w:p w:rsidR="00792571" w:rsidRPr="00E54F41" w:rsidRDefault="00792571" w:rsidP="00792571">
            <w:pPr>
              <w:rPr>
                <w:b/>
                <w:sz w:val="20"/>
                <w:szCs w:val="20"/>
              </w:rPr>
            </w:pPr>
            <w:r w:rsidRPr="00E54F41">
              <w:rPr>
                <w:b/>
                <w:sz w:val="20"/>
                <w:szCs w:val="20"/>
              </w:rPr>
              <w:t>Motion to extend time</w:t>
            </w:r>
            <w:r w:rsidR="0048737D" w:rsidRPr="00E54F41">
              <w:rPr>
                <w:b/>
                <w:sz w:val="20"/>
                <w:szCs w:val="20"/>
              </w:rPr>
              <w:t xml:space="preserve"> and</w:t>
            </w:r>
            <w:r w:rsidRPr="00E54F41">
              <w:rPr>
                <w:b/>
                <w:sz w:val="20"/>
                <w:szCs w:val="20"/>
              </w:rPr>
              <w:t xml:space="preserve"> </w:t>
            </w:r>
            <w:r w:rsidR="0048737D" w:rsidRPr="00E54F41">
              <w:rPr>
                <w:b/>
                <w:sz w:val="20"/>
                <w:szCs w:val="20"/>
              </w:rPr>
              <w:t>M</w:t>
            </w:r>
            <w:r w:rsidRPr="00E54F41">
              <w:rPr>
                <w:b/>
                <w:sz w:val="20"/>
                <w:szCs w:val="20"/>
              </w:rPr>
              <w:t>otion</w:t>
            </w:r>
            <w:r w:rsidR="0048737D" w:rsidRPr="00E54F41">
              <w:rPr>
                <w:b/>
                <w:sz w:val="20"/>
                <w:szCs w:val="20"/>
              </w:rPr>
              <w:t xml:space="preserve"> for leave to intervene</w:t>
            </w:r>
          </w:p>
          <w:p w:rsidR="00792571" w:rsidRPr="00E54F41" w:rsidRDefault="00792571" w:rsidP="00792571">
            <w:pPr>
              <w:rPr>
                <w:b/>
                <w:sz w:val="20"/>
                <w:szCs w:val="20"/>
              </w:rPr>
            </w:pPr>
            <w:r w:rsidRPr="00E54F41">
              <w:rPr>
                <w:sz w:val="20"/>
                <w:szCs w:val="20"/>
                <w:lang w:val="en-US"/>
              </w:rPr>
              <w:fldChar w:fldCharType="begin"/>
            </w:r>
            <w:r w:rsidRPr="00E54F41">
              <w:rPr>
                <w:sz w:val="20"/>
                <w:szCs w:val="20"/>
              </w:rPr>
              <w:instrText xml:space="preserve"> SEQ CHAPTER \h \r 1</w:instrText>
            </w:r>
            <w:r w:rsidRPr="00E54F41">
              <w:rPr>
                <w:sz w:val="20"/>
                <w:szCs w:val="20"/>
                <w:lang w:val="fr-CA"/>
              </w:rPr>
              <w:fldChar w:fldCharType="end"/>
            </w:r>
          </w:p>
        </w:tc>
        <w:tc>
          <w:tcPr>
            <w:tcW w:w="1137" w:type="dxa"/>
            <w:gridSpan w:val="2"/>
          </w:tcPr>
          <w:p w:rsidR="00792571" w:rsidRPr="00E54F41" w:rsidRDefault="00792571" w:rsidP="00792571">
            <w:pPr>
              <w:rPr>
                <w:sz w:val="20"/>
                <w:szCs w:val="20"/>
              </w:rPr>
            </w:pPr>
          </w:p>
          <w:p w:rsidR="00792571" w:rsidRPr="00E54F41" w:rsidRDefault="00792571" w:rsidP="00792571">
            <w:pPr>
              <w:rPr>
                <w:sz w:val="20"/>
                <w:szCs w:val="20"/>
              </w:rPr>
            </w:pPr>
          </w:p>
        </w:tc>
        <w:tc>
          <w:tcPr>
            <w:tcW w:w="4217" w:type="dxa"/>
          </w:tcPr>
          <w:p w:rsidR="00792571" w:rsidRPr="00E54F41" w:rsidRDefault="00792571" w:rsidP="00792571">
            <w:pPr>
              <w:rPr>
                <w:b/>
                <w:sz w:val="20"/>
                <w:szCs w:val="20"/>
                <w:lang w:val="fr-CA"/>
              </w:rPr>
            </w:pPr>
            <w:r w:rsidRPr="00E54F41">
              <w:rPr>
                <w:b/>
                <w:sz w:val="20"/>
                <w:szCs w:val="20"/>
                <w:lang w:val="fr-CA"/>
              </w:rPr>
              <w:t>R</w:t>
            </w:r>
            <w:r w:rsidRPr="00E54F41">
              <w:rPr>
                <w:b/>
                <w:bCs/>
                <w:sz w:val="20"/>
                <w:szCs w:val="20"/>
                <w:lang w:val="fr-CA"/>
              </w:rPr>
              <w:t>equête en prorogation de délai</w:t>
            </w:r>
            <w:r w:rsidRPr="00E54F41">
              <w:rPr>
                <w:b/>
                <w:sz w:val="20"/>
                <w:szCs w:val="20"/>
                <w:lang w:val="fr-CA"/>
              </w:rPr>
              <w:t xml:space="preserve"> et r</w:t>
            </w:r>
            <w:r w:rsidRPr="00E54F41">
              <w:rPr>
                <w:b/>
                <w:bCs/>
                <w:sz w:val="20"/>
                <w:szCs w:val="20"/>
                <w:lang w:val="fr-CA"/>
              </w:rPr>
              <w:t>equêtes en autorisation d’intervenir</w:t>
            </w:r>
            <w:r w:rsidRPr="00E54F41">
              <w:rPr>
                <w:b/>
                <w:sz w:val="20"/>
                <w:szCs w:val="20"/>
                <w:lang w:val="en-US"/>
              </w:rPr>
              <w:fldChar w:fldCharType="begin"/>
            </w:r>
            <w:r w:rsidRPr="00E54F41">
              <w:rPr>
                <w:b/>
                <w:sz w:val="20"/>
                <w:szCs w:val="20"/>
                <w:lang w:val="fr-CA"/>
              </w:rPr>
              <w:instrText xml:space="preserve"> SEQ CHAPTER \h \r 1</w:instrText>
            </w:r>
            <w:r w:rsidRPr="00E54F41">
              <w:rPr>
                <w:sz w:val="20"/>
                <w:szCs w:val="20"/>
                <w:lang w:val="fr-CA"/>
              </w:rPr>
              <w:fldChar w:fldCharType="end"/>
            </w:r>
          </w:p>
        </w:tc>
      </w:tr>
      <w:tr w:rsidR="00792571" w:rsidRPr="00E54F41" w:rsidTr="00061FA4">
        <w:trPr>
          <w:trHeight w:hRule="exact" w:val="324"/>
        </w:trPr>
        <w:tc>
          <w:tcPr>
            <w:tcW w:w="1530" w:type="dxa"/>
          </w:tcPr>
          <w:p w:rsidR="00792571" w:rsidRPr="00E54F41" w:rsidRDefault="00792571" w:rsidP="00792571">
            <w:pPr>
              <w:rPr>
                <w:sz w:val="20"/>
                <w:szCs w:val="20"/>
              </w:rPr>
            </w:pPr>
            <w:r w:rsidRPr="00E54F41">
              <w:rPr>
                <w:sz w:val="20"/>
                <w:szCs w:val="20"/>
              </w:rPr>
              <w:t>BY / PAR</w:t>
            </w:r>
          </w:p>
        </w:tc>
        <w:tc>
          <w:tcPr>
            <w:tcW w:w="2735" w:type="dxa"/>
            <w:gridSpan w:val="3"/>
          </w:tcPr>
          <w:p w:rsidR="00792571" w:rsidRPr="00E54F41" w:rsidRDefault="00792571" w:rsidP="00792571">
            <w:pPr>
              <w:rPr>
                <w:sz w:val="20"/>
                <w:szCs w:val="20"/>
              </w:rPr>
            </w:pPr>
            <w:r w:rsidRPr="00E54F41">
              <w:rPr>
                <w:sz w:val="20"/>
                <w:szCs w:val="20"/>
                <w:lang w:val="en-US"/>
              </w:rPr>
              <w:t xml:space="preserve">Attorney General of Canada; </w:t>
            </w:r>
          </w:p>
        </w:tc>
        <w:tc>
          <w:tcPr>
            <w:tcW w:w="1137" w:type="dxa"/>
            <w:gridSpan w:val="2"/>
          </w:tcPr>
          <w:p w:rsidR="00792571" w:rsidRPr="00E54F41" w:rsidRDefault="00792571" w:rsidP="00792571">
            <w:pPr>
              <w:rPr>
                <w:sz w:val="20"/>
                <w:szCs w:val="20"/>
              </w:rPr>
            </w:pPr>
          </w:p>
        </w:tc>
        <w:tc>
          <w:tcPr>
            <w:tcW w:w="4217" w:type="dxa"/>
          </w:tcPr>
          <w:p w:rsidR="00792571" w:rsidRPr="00E54F41" w:rsidRDefault="00792571" w:rsidP="00792571">
            <w:pPr>
              <w:rPr>
                <w:sz w:val="20"/>
                <w:szCs w:val="20"/>
              </w:rPr>
            </w:pPr>
          </w:p>
        </w:tc>
      </w:tr>
      <w:tr w:rsidR="00792571" w:rsidRPr="00E54F41" w:rsidTr="00061FA4">
        <w:trPr>
          <w:trHeight w:hRule="exact" w:val="540"/>
        </w:trPr>
        <w:tc>
          <w:tcPr>
            <w:tcW w:w="1530" w:type="dxa"/>
          </w:tcPr>
          <w:p w:rsidR="00792571" w:rsidRPr="00E54F41" w:rsidRDefault="00792571" w:rsidP="00792571">
            <w:pPr>
              <w:rPr>
                <w:sz w:val="20"/>
                <w:szCs w:val="20"/>
              </w:rPr>
            </w:pPr>
          </w:p>
        </w:tc>
        <w:tc>
          <w:tcPr>
            <w:tcW w:w="2735" w:type="dxa"/>
            <w:gridSpan w:val="3"/>
          </w:tcPr>
          <w:p w:rsidR="00792571" w:rsidRPr="00E54F41" w:rsidRDefault="00792571" w:rsidP="00792571">
            <w:pPr>
              <w:rPr>
                <w:sz w:val="20"/>
                <w:szCs w:val="20"/>
                <w:lang w:val="en-US"/>
              </w:rPr>
            </w:pPr>
            <w:r w:rsidRPr="00E54F41">
              <w:rPr>
                <w:sz w:val="20"/>
                <w:szCs w:val="20"/>
                <w:lang w:val="en-US"/>
              </w:rPr>
              <w:t>British Columbia Civil Liberties Association;</w:t>
            </w:r>
          </w:p>
        </w:tc>
        <w:tc>
          <w:tcPr>
            <w:tcW w:w="1137" w:type="dxa"/>
            <w:gridSpan w:val="2"/>
          </w:tcPr>
          <w:p w:rsidR="00792571" w:rsidRPr="00E54F41" w:rsidRDefault="00792571" w:rsidP="00792571">
            <w:pPr>
              <w:rPr>
                <w:sz w:val="20"/>
                <w:szCs w:val="20"/>
              </w:rPr>
            </w:pPr>
          </w:p>
        </w:tc>
        <w:tc>
          <w:tcPr>
            <w:tcW w:w="4217" w:type="dxa"/>
          </w:tcPr>
          <w:p w:rsidR="00792571" w:rsidRPr="00E54F41" w:rsidRDefault="00792571" w:rsidP="00792571">
            <w:pPr>
              <w:rPr>
                <w:sz w:val="20"/>
                <w:szCs w:val="20"/>
              </w:rPr>
            </w:pPr>
          </w:p>
        </w:tc>
      </w:tr>
      <w:tr w:rsidR="00792571" w:rsidRPr="00E54F41" w:rsidTr="00061FA4">
        <w:trPr>
          <w:trHeight w:hRule="exact" w:val="504"/>
        </w:trPr>
        <w:tc>
          <w:tcPr>
            <w:tcW w:w="1530" w:type="dxa"/>
          </w:tcPr>
          <w:p w:rsidR="00792571" w:rsidRPr="00E54F41" w:rsidRDefault="00792571" w:rsidP="00792571">
            <w:pPr>
              <w:rPr>
                <w:sz w:val="20"/>
                <w:szCs w:val="20"/>
              </w:rPr>
            </w:pPr>
          </w:p>
        </w:tc>
        <w:tc>
          <w:tcPr>
            <w:tcW w:w="2735" w:type="dxa"/>
            <w:gridSpan w:val="3"/>
          </w:tcPr>
          <w:p w:rsidR="00792571" w:rsidRPr="00E54F41" w:rsidRDefault="00792571" w:rsidP="00792571">
            <w:pPr>
              <w:rPr>
                <w:sz w:val="20"/>
                <w:szCs w:val="20"/>
                <w:lang w:val="en-US"/>
              </w:rPr>
            </w:pPr>
            <w:r w:rsidRPr="00E54F41">
              <w:rPr>
                <w:sz w:val="20"/>
                <w:szCs w:val="20"/>
                <w:lang w:val="en-US"/>
              </w:rPr>
              <w:t>Canad</w:t>
            </w:r>
            <w:r w:rsidR="0057784A" w:rsidRPr="00E54F41">
              <w:rPr>
                <w:sz w:val="20"/>
                <w:szCs w:val="20"/>
                <w:lang w:val="en-US"/>
              </w:rPr>
              <w:t>ian Civil Liberties Association;</w:t>
            </w:r>
          </w:p>
        </w:tc>
        <w:tc>
          <w:tcPr>
            <w:tcW w:w="1137" w:type="dxa"/>
            <w:gridSpan w:val="2"/>
          </w:tcPr>
          <w:p w:rsidR="00792571" w:rsidRPr="00E54F41" w:rsidRDefault="00792571" w:rsidP="00792571">
            <w:pPr>
              <w:rPr>
                <w:sz w:val="20"/>
                <w:szCs w:val="20"/>
              </w:rPr>
            </w:pPr>
          </w:p>
        </w:tc>
        <w:tc>
          <w:tcPr>
            <w:tcW w:w="4217" w:type="dxa"/>
          </w:tcPr>
          <w:p w:rsidR="00792571" w:rsidRPr="00E54F41" w:rsidRDefault="00792571" w:rsidP="00792571">
            <w:pPr>
              <w:rPr>
                <w:sz w:val="20"/>
                <w:szCs w:val="20"/>
              </w:rPr>
            </w:pPr>
          </w:p>
        </w:tc>
      </w:tr>
      <w:tr w:rsidR="008345B5" w:rsidRPr="00E54F41" w:rsidTr="00061FA4">
        <w:trPr>
          <w:trHeight w:hRule="exact" w:val="270"/>
        </w:trPr>
        <w:tc>
          <w:tcPr>
            <w:tcW w:w="1530" w:type="dxa"/>
          </w:tcPr>
          <w:p w:rsidR="008345B5" w:rsidRPr="00E54F41" w:rsidRDefault="008345B5" w:rsidP="00792571">
            <w:pPr>
              <w:rPr>
                <w:sz w:val="20"/>
                <w:szCs w:val="20"/>
              </w:rPr>
            </w:pPr>
          </w:p>
        </w:tc>
        <w:tc>
          <w:tcPr>
            <w:tcW w:w="2735" w:type="dxa"/>
            <w:gridSpan w:val="3"/>
          </w:tcPr>
          <w:p w:rsidR="008345B5" w:rsidRPr="00E54F41" w:rsidRDefault="008345B5" w:rsidP="00792571">
            <w:pPr>
              <w:rPr>
                <w:sz w:val="20"/>
                <w:szCs w:val="20"/>
                <w:lang w:val="en-US"/>
              </w:rPr>
            </w:pPr>
            <w:r w:rsidRPr="00E54F41">
              <w:rPr>
                <w:sz w:val="20"/>
                <w:szCs w:val="20"/>
                <w:lang w:val="en-US"/>
              </w:rPr>
              <w:t>Attorney General of Ontario</w:t>
            </w:r>
            <w:r w:rsidR="0057784A" w:rsidRPr="00E54F41">
              <w:rPr>
                <w:sz w:val="20"/>
                <w:szCs w:val="20"/>
                <w:lang w:val="en-US"/>
              </w:rPr>
              <w:t>;</w:t>
            </w:r>
          </w:p>
        </w:tc>
        <w:tc>
          <w:tcPr>
            <w:tcW w:w="1137" w:type="dxa"/>
            <w:gridSpan w:val="2"/>
          </w:tcPr>
          <w:p w:rsidR="008345B5" w:rsidRPr="00E54F41" w:rsidRDefault="008345B5" w:rsidP="00792571">
            <w:pPr>
              <w:rPr>
                <w:sz w:val="20"/>
                <w:szCs w:val="20"/>
              </w:rPr>
            </w:pPr>
          </w:p>
        </w:tc>
        <w:tc>
          <w:tcPr>
            <w:tcW w:w="4217" w:type="dxa"/>
          </w:tcPr>
          <w:p w:rsidR="008345B5" w:rsidRPr="00E54F41" w:rsidRDefault="008345B5" w:rsidP="00792571">
            <w:pPr>
              <w:rPr>
                <w:sz w:val="20"/>
                <w:szCs w:val="20"/>
              </w:rPr>
            </w:pPr>
          </w:p>
        </w:tc>
      </w:tr>
      <w:tr w:rsidR="008345B5" w:rsidRPr="00E54F41" w:rsidTr="00061FA4">
        <w:trPr>
          <w:trHeight w:hRule="exact" w:val="270"/>
        </w:trPr>
        <w:tc>
          <w:tcPr>
            <w:tcW w:w="1530" w:type="dxa"/>
          </w:tcPr>
          <w:p w:rsidR="008345B5" w:rsidRPr="00E54F41" w:rsidRDefault="008345B5" w:rsidP="00792571">
            <w:pPr>
              <w:rPr>
                <w:sz w:val="20"/>
                <w:szCs w:val="20"/>
              </w:rPr>
            </w:pPr>
          </w:p>
        </w:tc>
        <w:tc>
          <w:tcPr>
            <w:tcW w:w="2735" w:type="dxa"/>
            <w:gridSpan w:val="3"/>
          </w:tcPr>
          <w:p w:rsidR="008345B5" w:rsidRPr="00E54F41" w:rsidRDefault="008345B5" w:rsidP="00792571">
            <w:pPr>
              <w:rPr>
                <w:sz w:val="20"/>
                <w:szCs w:val="20"/>
                <w:lang w:val="en-US"/>
              </w:rPr>
            </w:pPr>
            <w:r w:rsidRPr="00E54F41">
              <w:rPr>
                <w:sz w:val="20"/>
                <w:szCs w:val="20"/>
                <w:lang w:val="en-US"/>
              </w:rPr>
              <w:t>Attorney General of Quebec</w:t>
            </w:r>
            <w:r w:rsidR="0057784A" w:rsidRPr="00E54F41">
              <w:rPr>
                <w:sz w:val="20"/>
                <w:szCs w:val="20"/>
                <w:lang w:val="en-US"/>
              </w:rPr>
              <w:t>;</w:t>
            </w:r>
          </w:p>
        </w:tc>
        <w:tc>
          <w:tcPr>
            <w:tcW w:w="1137" w:type="dxa"/>
            <w:gridSpan w:val="2"/>
          </w:tcPr>
          <w:p w:rsidR="008345B5" w:rsidRPr="00E54F41" w:rsidRDefault="008345B5" w:rsidP="00792571">
            <w:pPr>
              <w:rPr>
                <w:sz w:val="20"/>
                <w:szCs w:val="20"/>
              </w:rPr>
            </w:pPr>
          </w:p>
        </w:tc>
        <w:tc>
          <w:tcPr>
            <w:tcW w:w="4217" w:type="dxa"/>
          </w:tcPr>
          <w:p w:rsidR="008345B5" w:rsidRPr="00E54F41" w:rsidRDefault="008345B5" w:rsidP="00792571">
            <w:pPr>
              <w:rPr>
                <w:sz w:val="20"/>
                <w:szCs w:val="20"/>
              </w:rPr>
            </w:pPr>
          </w:p>
        </w:tc>
      </w:tr>
      <w:tr w:rsidR="008345B5" w:rsidRPr="00E54F41" w:rsidTr="00061FA4">
        <w:trPr>
          <w:trHeight w:hRule="exact" w:val="531"/>
        </w:trPr>
        <w:tc>
          <w:tcPr>
            <w:tcW w:w="1530" w:type="dxa"/>
          </w:tcPr>
          <w:p w:rsidR="008345B5" w:rsidRPr="00E54F41" w:rsidRDefault="008345B5" w:rsidP="00792571">
            <w:pPr>
              <w:rPr>
                <w:sz w:val="20"/>
                <w:szCs w:val="20"/>
              </w:rPr>
            </w:pPr>
          </w:p>
        </w:tc>
        <w:tc>
          <w:tcPr>
            <w:tcW w:w="2735" w:type="dxa"/>
            <w:gridSpan w:val="3"/>
          </w:tcPr>
          <w:p w:rsidR="008345B5" w:rsidRPr="00E54F41" w:rsidRDefault="008345B5" w:rsidP="00792571">
            <w:pPr>
              <w:rPr>
                <w:sz w:val="20"/>
                <w:szCs w:val="20"/>
                <w:lang w:val="en-US"/>
              </w:rPr>
            </w:pPr>
            <w:r w:rsidRPr="00E54F41">
              <w:rPr>
                <w:sz w:val="20"/>
                <w:szCs w:val="20"/>
                <w:lang w:val="en-US"/>
              </w:rPr>
              <w:t>Canadian Constitution Foundation</w:t>
            </w:r>
            <w:r w:rsidR="0057784A" w:rsidRPr="00E54F41">
              <w:rPr>
                <w:sz w:val="20"/>
                <w:szCs w:val="20"/>
                <w:lang w:val="en-US"/>
              </w:rPr>
              <w:t>;</w:t>
            </w:r>
          </w:p>
        </w:tc>
        <w:tc>
          <w:tcPr>
            <w:tcW w:w="1137" w:type="dxa"/>
            <w:gridSpan w:val="2"/>
          </w:tcPr>
          <w:p w:rsidR="008345B5" w:rsidRPr="00E54F41" w:rsidRDefault="008345B5" w:rsidP="00792571">
            <w:pPr>
              <w:rPr>
                <w:sz w:val="20"/>
                <w:szCs w:val="20"/>
              </w:rPr>
            </w:pPr>
          </w:p>
        </w:tc>
        <w:tc>
          <w:tcPr>
            <w:tcW w:w="4217" w:type="dxa"/>
          </w:tcPr>
          <w:p w:rsidR="008345B5" w:rsidRPr="00E54F41" w:rsidRDefault="008345B5" w:rsidP="00792571">
            <w:pPr>
              <w:rPr>
                <w:sz w:val="20"/>
                <w:szCs w:val="20"/>
              </w:rPr>
            </w:pPr>
          </w:p>
        </w:tc>
      </w:tr>
      <w:tr w:rsidR="008345B5" w:rsidRPr="00E54F41" w:rsidTr="00061FA4">
        <w:trPr>
          <w:trHeight w:hRule="exact" w:val="369"/>
        </w:trPr>
        <w:tc>
          <w:tcPr>
            <w:tcW w:w="1530" w:type="dxa"/>
          </w:tcPr>
          <w:p w:rsidR="008345B5" w:rsidRPr="00E54F41" w:rsidRDefault="008345B5" w:rsidP="00792571">
            <w:pPr>
              <w:rPr>
                <w:sz w:val="20"/>
                <w:szCs w:val="20"/>
              </w:rPr>
            </w:pPr>
          </w:p>
        </w:tc>
        <w:tc>
          <w:tcPr>
            <w:tcW w:w="2735" w:type="dxa"/>
            <w:gridSpan w:val="3"/>
          </w:tcPr>
          <w:p w:rsidR="008345B5" w:rsidRPr="00E54F41" w:rsidRDefault="008345B5" w:rsidP="00792571">
            <w:pPr>
              <w:rPr>
                <w:sz w:val="20"/>
                <w:szCs w:val="20"/>
                <w:lang w:val="en-US"/>
              </w:rPr>
            </w:pPr>
            <w:r w:rsidRPr="00E54F41">
              <w:rPr>
                <w:sz w:val="20"/>
                <w:szCs w:val="20"/>
                <w:lang w:val="en-US"/>
              </w:rPr>
              <w:t>Ontario Securities Commission</w:t>
            </w:r>
          </w:p>
        </w:tc>
        <w:tc>
          <w:tcPr>
            <w:tcW w:w="1137" w:type="dxa"/>
            <w:gridSpan w:val="2"/>
          </w:tcPr>
          <w:p w:rsidR="008345B5" w:rsidRPr="00E54F41" w:rsidRDefault="008345B5" w:rsidP="00792571">
            <w:pPr>
              <w:rPr>
                <w:sz w:val="20"/>
                <w:szCs w:val="20"/>
              </w:rPr>
            </w:pPr>
          </w:p>
        </w:tc>
        <w:tc>
          <w:tcPr>
            <w:tcW w:w="4217" w:type="dxa"/>
          </w:tcPr>
          <w:p w:rsidR="008345B5" w:rsidRPr="00E54F41" w:rsidRDefault="008345B5" w:rsidP="00792571">
            <w:pPr>
              <w:rPr>
                <w:sz w:val="20"/>
                <w:szCs w:val="20"/>
              </w:rPr>
            </w:pPr>
          </w:p>
        </w:tc>
      </w:tr>
      <w:tr w:rsidR="00792571" w:rsidRPr="00E54F41" w:rsidTr="00061FA4">
        <w:tc>
          <w:tcPr>
            <w:tcW w:w="1530" w:type="dxa"/>
          </w:tcPr>
          <w:p w:rsidR="00792571" w:rsidRPr="00E54F41" w:rsidRDefault="00792571" w:rsidP="00792571">
            <w:pPr>
              <w:rPr>
                <w:sz w:val="20"/>
                <w:szCs w:val="20"/>
              </w:rPr>
            </w:pPr>
          </w:p>
        </w:tc>
        <w:tc>
          <w:tcPr>
            <w:tcW w:w="2735" w:type="dxa"/>
            <w:gridSpan w:val="3"/>
          </w:tcPr>
          <w:p w:rsidR="00792571" w:rsidRPr="00E54F41" w:rsidRDefault="00792571" w:rsidP="00792571">
            <w:pPr>
              <w:rPr>
                <w:sz w:val="20"/>
                <w:szCs w:val="20"/>
                <w:lang w:val="en-US"/>
              </w:rPr>
            </w:pPr>
          </w:p>
        </w:tc>
        <w:tc>
          <w:tcPr>
            <w:tcW w:w="1137" w:type="dxa"/>
            <w:gridSpan w:val="2"/>
          </w:tcPr>
          <w:p w:rsidR="00792571" w:rsidRPr="00E54F41" w:rsidRDefault="00792571" w:rsidP="00792571">
            <w:pPr>
              <w:rPr>
                <w:sz w:val="20"/>
                <w:szCs w:val="20"/>
              </w:rPr>
            </w:pPr>
          </w:p>
        </w:tc>
        <w:tc>
          <w:tcPr>
            <w:tcW w:w="4217" w:type="dxa"/>
          </w:tcPr>
          <w:p w:rsidR="00792571" w:rsidRPr="00E54F41" w:rsidRDefault="00792571" w:rsidP="00792571">
            <w:pPr>
              <w:rPr>
                <w:sz w:val="20"/>
                <w:szCs w:val="20"/>
              </w:rPr>
            </w:pPr>
          </w:p>
        </w:tc>
      </w:tr>
      <w:tr w:rsidR="00792571" w:rsidRPr="00E54F41" w:rsidTr="00061FA4">
        <w:tc>
          <w:tcPr>
            <w:tcW w:w="1530" w:type="dxa"/>
          </w:tcPr>
          <w:p w:rsidR="00792571" w:rsidRPr="00E54F41" w:rsidRDefault="00792571" w:rsidP="00792571">
            <w:pPr>
              <w:rPr>
                <w:sz w:val="20"/>
                <w:szCs w:val="20"/>
              </w:rPr>
            </w:pPr>
            <w:r w:rsidRPr="00E54F41">
              <w:rPr>
                <w:sz w:val="20"/>
                <w:szCs w:val="20"/>
              </w:rPr>
              <w:t>IN / DANS :</w:t>
            </w:r>
          </w:p>
        </w:tc>
        <w:tc>
          <w:tcPr>
            <w:tcW w:w="2735" w:type="dxa"/>
            <w:gridSpan w:val="3"/>
          </w:tcPr>
          <w:p w:rsidR="00792571" w:rsidRPr="00E54F41" w:rsidRDefault="00792571" w:rsidP="00792571">
            <w:pPr>
              <w:rPr>
                <w:sz w:val="20"/>
                <w:szCs w:val="20"/>
              </w:rPr>
            </w:pPr>
            <w:r w:rsidRPr="00E54F41">
              <w:rPr>
                <w:sz w:val="20"/>
                <w:szCs w:val="20"/>
              </w:rPr>
              <w:t>Jeremy James Peers</w:t>
            </w:r>
          </w:p>
          <w:p w:rsidR="00792571" w:rsidRPr="00E54F41" w:rsidRDefault="00792571" w:rsidP="00792571">
            <w:pPr>
              <w:rPr>
                <w:sz w:val="20"/>
                <w:szCs w:val="20"/>
              </w:rPr>
            </w:pPr>
          </w:p>
          <w:p w:rsidR="00792571" w:rsidRPr="00E54F41" w:rsidRDefault="00792571" w:rsidP="00792571">
            <w:pPr>
              <w:rPr>
                <w:sz w:val="20"/>
                <w:szCs w:val="20"/>
              </w:rPr>
            </w:pPr>
            <w:r w:rsidRPr="00E54F41">
              <w:rPr>
                <w:sz w:val="20"/>
                <w:szCs w:val="20"/>
              </w:rPr>
              <w:tab/>
              <w:t>v. (36865)</w:t>
            </w:r>
          </w:p>
          <w:p w:rsidR="00792571" w:rsidRPr="00E54F41" w:rsidRDefault="00792571" w:rsidP="00792571">
            <w:pPr>
              <w:rPr>
                <w:sz w:val="20"/>
                <w:szCs w:val="20"/>
              </w:rPr>
            </w:pPr>
          </w:p>
          <w:p w:rsidR="00792571" w:rsidRPr="00E54F41" w:rsidRDefault="00792571" w:rsidP="00792571">
            <w:pPr>
              <w:rPr>
                <w:sz w:val="20"/>
                <w:szCs w:val="20"/>
              </w:rPr>
            </w:pPr>
            <w:r w:rsidRPr="00E54F41">
              <w:rPr>
                <w:sz w:val="20"/>
                <w:szCs w:val="20"/>
              </w:rPr>
              <w:t>Her Majesty the Queen (Alberta Securities Commission) and Attorney General of Alberta (Civil) (Alta.)</w:t>
            </w:r>
          </w:p>
        </w:tc>
        <w:tc>
          <w:tcPr>
            <w:tcW w:w="1137" w:type="dxa"/>
            <w:gridSpan w:val="2"/>
          </w:tcPr>
          <w:p w:rsidR="00792571" w:rsidRPr="00E54F41" w:rsidRDefault="00792571" w:rsidP="00792571">
            <w:pPr>
              <w:rPr>
                <w:sz w:val="20"/>
                <w:szCs w:val="20"/>
              </w:rPr>
            </w:pPr>
          </w:p>
        </w:tc>
        <w:tc>
          <w:tcPr>
            <w:tcW w:w="4217" w:type="dxa"/>
          </w:tcPr>
          <w:p w:rsidR="00792571" w:rsidRPr="00E54F41" w:rsidRDefault="00792571" w:rsidP="00792571">
            <w:pPr>
              <w:rPr>
                <w:sz w:val="20"/>
                <w:szCs w:val="20"/>
              </w:rPr>
            </w:pPr>
          </w:p>
        </w:tc>
      </w:tr>
      <w:tr w:rsidR="00792571" w:rsidRPr="00E54F41" w:rsidTr="0057784A">
        <w:trPr>
          <w:trHeight w:val="150"/>
        </w:trPr>
        <w:tc>
          <w:tcPr>
            <w:tcW w:w="4249" w:type="dxa"/>
            <w:gridSpan w:val="3"/>
          </w:tcPr>
          <w:p w:rsidR="00792571" w:rsidRPr="00E54F41" w:rsidRDefault="00792571" w:rsidP="00792571">
            <w:pPr>
              <w:rPr>
                <w:sz w:val="20"/>
                <w:szCs w:val="20"/>
              </w:rPr>
            </w:pPr>
          </w:p>
        </w:tc>
        <w:tc>
          <w:tcPr>
            <w:tcW w:w="1144" w:type="dxa"/>
            <w:gridSpan w:val="2"/>
          </w:tcPr>
          <w:p w:rsidR="00792571" w:rsidRPr="00E54F41" w:rsidRDefault="00792571" w:rsidP="00792571">
            <w:pPr>
              <w:rPr>
                <w:sz w:val="20"/>
                <w:szCs w:val="20"/>
              </w:rPr>
            </w:pPr>
          </w:p>
        </w:tc>
        <w:tc>
          <w:tcPr>
            <w:tcW w:w="4226" w:type="dxa"/>
            <w:gridSpan w:val="2"/>
          </w:tcPr>
          <w:p w:rsidR="00792571" w:rsidRPr="00E54F41" w:rsidRDefault="00792571" w:rsidP="00792571">
            <w:pPr>
              <w:rPr>
                <w:sz w:val="20"/>
                <w:szCs w:val="20"/>
              </w:rPr>
            </w:pPr>
          </w:p>
        </w:tc>
      </w:tr>
      <w:tr w:rsidR="00792571" w:rsidRPr="00E54F41" w:rsidTr="00061FA4">
        <w:trPr>
          <w:gridAfter w:val="5"/>
          <w:wAfter w:w="5390" w:type="dxa"/>
        </w:trPr>
        <w:tc>
          <w:tcPr>
            <w:tcW w:w="1530" w:type="dxa"/>
          </w:tcPr>
          <w:p w:rsidR="00792571" w:rsidRPr="00E54F41" w:rsidRDefault="00061FA4" w:rsidP="00792571">
            <w:pPr>
              <w:rPr>
                <w:sz w:val="20"/>
                <w:szCs w:val="20"/>
              </w:rPr>
            </w:pPr>
            <w:r w:rsidRPr="00E54F41">
              <w:rPr>
                <w:sz w:val="20"/>
                <w:szCs w:val="20"/>
              </w:rPr>
              <w:t>- and between -</w:t>
            </w:r>
          </w:p>
          <w:p w:rsidR="00792571" w:rsidRPr="00E54F41" w:rsidRDefault="00792571" w:rsidP="00792571">
            <w:pPr>
              <w:rPr>
                <w:sz w:val="20"/>
                <w:szCs w:val="20"/>
              </w:rPr>
            </w:pPr>
          </w:p>
        </w:tc>
        <w:tc>
          <w:tcPr>
            <w:tcW w:w="2699" w:type="dxa"/>
          </w:tcPr>
          <w:p w:rsidR="00792571" w:rsidRPr="00E54F41" w:rsidRDefault="00792571" w:rsidP="00792571">
            <w:pPr>
              <w:rPr>
                <w:sz w:val="20"/>
                <w:szCs w:val="20"/>
              </w:rPr>
            </w:pPr>
          </w:p>
        </w:tc>
      </w:tr>
      <w:tr w:rsidR="00792571" w:rsidRPr="00E54F41" w:rsidTr="00061FA4">
        <w:trPr>
          <w:gridAfter w:val="5"/>
          <w:wAfter w:w="5390" w:type="dxa"/>
        </w:trPr>
        <w:tc>
          <w:tcPr>
            <w:tcW w:w="1530" w:type="dxa"/>
          </w:tcPr>
          <w:p w:rsidR="00792571" w:rsidRPr="00E54F41" w:rsidRDefault="00792571" w:rsidP="00792571">
            <w:pPr>
              <w:rPr>
                <w:sz w:val="20"/>
                <w:szCs w:val="20"/>
              </w:rPr>
            </w:pPr>
          </w:p>
        </w:tc>
        <w:tc>
          <w:tcPr>
            <w:tcW w:w="2699" w:type="dxa"/>
          </w:tcPr>
          <w:p w:rsidR="00792571" w:rsidRPr="00E54F41" w:rsidRDefault="00792571" w:rsidP="00792571">
            <w:pPr>
              <w:rPr>
                <w:sz w:val="20"/>
                <w:szCs w:val="20"/>
              </w:rPr>
            </w:pPr>
            <w:r w:rsidRPr="00E54F41">
              <w:rPr>
                <w:sz w:val="20"/>
                <w:szCs w:val="20"/>
              </w:rPr>
              <w:t>Ronald James Aitkens</w:t>
            </w:r>
          </w:p>
          <w:p w:rsidR="00792571" w:rsidRPr="00E54F41" w:rsidRDefault="00792571" w:rsidP="00792571">
            <w:pPr>
              <w:rPr>
                <w:sz w:val="20"/>
                <w:szCs w:val="20"/>
              </w:rPr>
            </w:pPr>
          </w:p>
          <w:p w:rsidR="00792571" w:rsidRPr="00E54F41" w:rsidRDefault="00792571" w:rsidP="00792571">
            <w:pPr>
              <w:rPr>
                <w:sz w:val="20"/>
                <w:szCs w:val="20"/>
              </w:rPr>
            </w:pPr>
            <w:r w:rsidRPr="00E54F41">
              <w:rPr>
                <w:sz w:val="20"/>
                <w:szCs w:val="20"/>
              </w:rPr>
              <w:tab/>
              <w:t>v. (36866)</w:t>
            </w:r>
          </w:p>
          <w:p w:rsidR="00792571" w:rsidRPr="00E54F41" w:rsidRDefault="00792571" w:rsidP="00792571">
            <w:pPr>
              <w:rPr>
                <w:sz w:val="20"/>
                <w:szCs w:val="20"/>
              </w:rPr>
            </w:pPr>
          </w:p>
          <w:p w:rsidR="00792571" w:rsidRPr="00E54F41" w:rsidRDefault="00792571" w:rsidP="00792571">
            <w:pPr>
              <w:rPr>
                <w:sz w:val="20"/>
                <w:szCs w:val="20"/>
              </w:rPr>
            </w:pPr>
            <w:r w:rsidRPr="00E54F41">
              <w:rPr>
                <w:sz w:val="20"/>
                <w:szCs w:val="20"/>
              </w:rPr>
              <w:t>Alberta Securities Commission and Attorney General of Alberta (Civil) (Alta.)</w:t>
            </w:r>
          </w:p>
        </w:tc>
      </w:tr>
    </w:tbl>
    <w:p w:rsidR="00792571" w:rsidRPr="00E54F41" w:rsidRDefault="00792571" w:rsidP="00792571">
      <w:pPr>
        <w:rPr>
          <w:b/>
          <w:bCs/>
          <w:sz w:val="20"/>
          <w:szCs w:val="20"/>
          <w:lang w:val="en-US"/>
        </w:rPr>
      </w:pPr>
    </w:p>
    <w:p w:rsidR="00792571" w:rsidRPr="00B904CB" w:rsidRDefault="008345B5" w:rsidP="00792571">
      <w:pPr>
        <w:rPr>
          <w:sz w:val="20"/>
          <w:szCs w:val="20"/>
          <w:lang w:val="en-US"/>
        </w:rPr>
      </w:pPr>
      <w:r w:rsidRPr="00B904CB">
        <w:rPr>
          <w:b/>
          <w:sz w:val="20"/>
          <w:szCs w:val="20"/>
          <w:lang w:val="en-US"/>
        </w:rPr>
        <w:t>ALLOWED</w:t>
      </w:r>
      <w:r w:rsidR="00792571" w:rsidRPr="00B904CB">
        <w:rPr>
          <w:b/>
          <w:sz w:val="20"/>
          <w:szCs w:val="20"/>
          <w:lang w:val="en-US"/>
        </w:rPr>
        <w:t xml:space="preserve"> IN PART / ACCORDÉE EN PARTIE</w:t>
      </w:r>
    </w:p>
    <w:p w:rsidR="00792571" w:rsidRPr="00B904CB" w:rsidRDefault="00792571" w:rsidP="00792571">
      <w:pPr>
        <w:rPr>
          <w:b/>
          <w:bCs/>
          <w:sz w:val="20"/>
          <w:szCs w:val="20"/>
          <w:lang w:val="en-US"/>
        </w:rPr>
      </w:pPr>
    </w:p>
    <w:p w:rsidR="00792571" w:rsidRPr="00E54F41" w:rsidRDefault="00792571" w:rsidP="00792571">
      <w:pPr>
        <w:rPr>
          <w:sz w:val="20"/>
          <w:szCs w:val="20"/>
          <w:lang w:val="en-US"/>
        </w:rPr>
      </w:pPr>
      <w:r w:rsidRPr="00E54F41">
        <w:rPr>
          <w:b/>
          <w:bCs/>
          <w:sz w:val="20"/>
          <w:szCs w:val="20"/>
          <w:lang w:val="en-US"/>
        </w:rPr>
        <w:t xml:space="preserve">UPON APPLICATIONS </w:t>
      </w:r>
      <w:r w:rsidRPr="00E54F41">
        <w:rPr>
          <w:sz w:val="20"/>
          <w:szCs w:val="20"/>
          <w:lang w:val="en-US"/>
        </w:rPr>
        <w:t>by the Attorney General of Canada, the Attorney General of Ontario, the Attorney General of Quebec, the Canadian Constitution Foundation and the Ontario Securities Commission for leave to intervene in the above appeals;</w:t>
      </w:r>
    </w:p>
    <w:p w:rsidR="00792571" w:rsidRPr="00E54F41" w:rsidRDefault="00792571" w:rsidP="00792571">
      <w:pPr>
        <w:rPr>
          <w:sz w:val="20"/>
          <w:szCs w:val="20"/>
        </w:rPr>
      </w:pPr>
    </w:p>
    <w:p w:rsidR="00792571" w:rsidRPr="00E54F41" w:rsidRDefault="00792571" w:rsidP="00792571">
      <w:pPr>
        <w:rPr>
          <w:sz w:val="20"/>
          <w:szCs w:val="20"/>
          <w:lang w:val="en-US"/>
        </w:rPr>
      </w:pPr>
      <w:r w:rsidRPr="00E54F41">
        <w:rPr>
          <w:b/>
          <w:bCs/>
          <w:sz w:val="20"/>
          <w:szCs w:val="20"/>
          <w:lang w:val="en-US"/>
        </w:rPr>
        <w:t xml:space="preserve">AND UPON APPLICATION </w:t>
      </w:r>
      <w:r w:rsidRPr="00E54F41">
        <w:rPr>
          <w:sz w:val="20"/>
          <w:szCs w:val="20"/>
          <w:lang w:val="en-US"/>
        </w:rPr>
        <w:t xml:space="preserve">by the British Columbia Civil Liberties Association </w:t>
      </w:r>
      <w:r w:rsidRPr="00E54F41">
        <w:rPr>
          <w:sz w:val="20"/>
          <w:szCs w:val="20"/>
        </w:rPr>
        <w:t xml:space="preserve">for leave to intervene in the appeal </w:t>
      </w:r>
      <w:r w:rsidRPr="00E54F41">
        <w:rPr>
          <w:i/>
          <w:sz w:val="20"/>
          <w:szCs w:val="20"/>
        </w:rPr>
        <w:t>Jeremy James Peers v. Her Majesty the Queen (Alberta Securities Commission) and Attorney General of Alberta (36865)</w:t>
      </w:r>
      <w:r w:rsidRPr="00E54F41">
        <w:rPr>
          <w:sz w:val="20"/>
          <w:szCs w:val="20"/>
          <w:lang w:val="en-US"/>
        </w:rPr>
        <w:t>;</w:t>
      </w:r>
    </w:p>
    <w:p w:rsidR="00792571" w:rsidRPr="00E54F41" w:rsidRDefault="00792571" w:rsidP="00792571">
      <w:pPr>
        <w:rPr>
          <w:sz w:val="20"/>
          <w:szCs w:val="20"/>
        </w:rPr>
      </w:pPr>
    </w:p>
    <w:p w:rsidR="00792571" w:rsidRPr="00E54F41" w:rsidRDefault="00792571" w:rsidP="00792571">
      <w:pPr>
        <w:rPr>
          <w:sz w:val="20"/>
          <w:szCs w:val="20"/>
          <w:lang w:val="en-US"/>
        </w:rPr>
      </w:pPr>
      <w:r w:rsidRPr="00E54F41">
        <w:rPr>
          <w:b/>
          <w:bCs/>
          <w:sz w:val="20"/>
          <w:szCs w:val="20"/>
          <w:lang w:val="en-US"/>
        </w:rPr>
        <w:lastRenderedPageBreak/>
        <w:t xml:space="preserve">AND UPON APPLICATIONS </w:t>
      </w:r>
      <w:r w:rsidRPr="00E54F41">
        <w:rPr>
          <w:bCs/>
          <w:sz w:val="20"/>
          <w:szCs w:val="20"/>
          <w:lang w:val="en-US"/>
        </w:rPr>
        <w:t xml:space="preserve">by </w:t>
      </w:r>
      <w:r w:rsidRPr="00E54F41">
        <w:rPr>
          <w:sz w:val="20"/>
          <w:szCs w:val="20"/>
          <w:lang w:val="en-US"/>
        </w:rPr>
        <w:t>the Canadian Civil Liberties Association</w:t>
      </w:r>
      <w:r w:rsidRPr="00E54F41">
        <w:rPr>
          <w:bCs/>
          <w:sz w:val="20"/>
          <w:szCs w:val="20"/>
          <w:lang w:val="en-US"/>
        </w:rPr>
        <w:t xml:space="preserve"> for an extension of time to serve their motion for leave to intervene and for leave to intervene in the appeal </w:t>
      </w:r>
      <w:r w:rsidRPr="00E54F41">
        <w:rPr>
          <w:i/>
          <w:sz w:val="20"/>
          <w:szCs w:val="20"/>
        </w:rPr>
        <w:t>Jeremy James Peers v. Her Majesty the Queen (Alberta Securities Commission) and Attorney General of Alberta (36865)</w:t>
      </w:r>
      <w:r w:rsidRPr="00E54F41">
        <w:rPr>
          <w:sz w:val="20"/>
          <w:szCs w:val="20"/>
          <w:lang w:val="en-US"/>
        </w:rPr>
        <w:t>;</w:t>
      </w:r>
    </w:p>
    <w:p w:rsidR="008345B5" w:rsidRPr="00E54F41" w:rsidRDefault="008345B5" w:rsidP="00792571">
      <w:pPr>
        <w:rPr>
          <w:bCs/>
          <w:sz w:val="20"/>
          <w:szCs w:val="20"/>
          <w:lang w:val="en-US"/>
        </w:rPr>
      </w:pPr>
    </w:p>
    <w:p w:rsidR="00792571" w:rsidRPr="00E54F41" w:rsidRDefault="00792571" w:rsidP="00792571">
      <w:pPr>
        <w:rPr>
          <w:sz w:val="20"/>
          <w:szCs w:val="20"/>
          <w:lang w:val="en-US"/>
        </w:rPr>
      </w:pPr>
      <w:r w:rsidRPr="00E54F41">
        <w:rPr>
          <w:b/>
          <w:bCs/>
          <w:sz w:val="20"/>
          <w:szCs w:val="20"/>
          <w:lang w:val="en-US"/>
        </w:rPr>
        <w:t>AND THE MATERIAL FILED</w:t>
      </w:r>
      <w:r w:rsidRPr="00E54F41">
        <w:rPr>
          <w:sz w:val="20"/>
          <w:szCs w:val="20"/>
          <w:lang w:val="en-US"/>
        </w:rPr>
        <w:t xml:space="preserve"> having been read;</w:t>
      </w:r>
    </w:p>
    <w:p w:rsidR="00792571" w:rsidRPr="00E54F41" w:rsidRDefault="00792571" w:rsidP="00792571">
      <w:pPr>
        <w:rPr>
          <w:sz w:val="20"/>
          <w:szCs w:val="20"/>
          <w:lang w:val="en-US"/>
        </w:rPr>
      </w:pPr>
    </w:p>
    <w:p w:rsidR="00792571" w:rsidRPr="00E54F41" w:rsidRDefault="00792571" w:rsidP="00792571">
      <w:pPr>
        <w:rPr>
          <w:b/>
          <w:bCs/>
          <w:sz w:val="20"/>
          <w:szCs w:val="20"/>
          <w:lang w:val="en-US"/>
        </w:rPr>
      </w:pPr>
      <w:r w:rsidRPr="00E54F41">
        <w:rPr>
          <w:b/>
          <w:bCs/>
          <w:sz w:val="20"/>
          <w:szCs w:val="20"/>
          <w:lang w:val="en-US"/>
        </w:rPr>
        <w:t>IT IS HEREBY ORDERED THAT:</w:t>
      </w:r>
    </w:p>
    <w:p w:rsidR="00792571" w:rsidRPr="00E54F41" w:rsidRDefault="00792571" w:rsidP="00792571">
      <w:pPr>
        <w:rPr>
          <w:sz w:val="20"/>
          <w:szCs w:val="20"/>
          <w:lang w:val="en-US"/>
        </w:rPr>
      </w:pPr>
    </w:p>
    <w:p w:rsidR="00792571" w:rsidRPr="00E54F41" w:rsidRDefault="00792571" w:rsidP="00792571">
      <w:pPr>
        <w:rPr>
          <w:sz w:val="20"/>
          <w:szCs w:val="20"/>
          <w:lang w:val="en-US"/>
        </w:rPr>
      </w:pPr>
      <w:r w:rsidRPr="00E54F41">
        <w:rPr>
          <w:sz w:val="20"/>
          <w:szCs w:val="20"/>
          <w:lang w:val="en-US"/>
        </w:rPr>
        <w:t>The motion for an extension of time is granted.</w:t>
      </w:r>
    </w:p>
    <w:p w:rsidR="00792571" w:rsidRPr="00E54F41" w:rsidRDefault="00792571" w:rsidP="00792571">
      <w:pPr>
        <w:rPr>
          <w:sz w:val="20"/>
          <w:szCs w:val="20"/>
          <w:lang w:val="en-US"/>
        </w:rPr>
      </w:pPr>
    </w:p>
    <w:p w:rsidR="00792571" w:rsidRPr="00E54F41" w:rsidRDefault="00792571" w:rsidP="00792571">
      <w:pPr>
        <w:rPr>
          <w:sz w:val="20"/>
          <w:szCs w:val="20"/>
          <w:lang w:val="en-US"/>
        </w:rPr>
      </w:pPr>
      <w:r w:rsidRPr="00E54F41">
        <w:rPr>
          <w:sz w:val="20"/>
          <w:szCs w:val="20"/>
          <w:lang w:val="en-US"/>
        </w:rPr>
        <w:t>The motions for leave to intervene of the Attorney General of Canada, the Attorney General of Ontario, the Attorney General of Quebec, the Canadian Constitution Foundation and the Ontario Securities Commission in both appeals</w:t>
      </w:r>
      <w:r w:rsidRPr="00E54F41">
        <w:rPr>
          <w:bCs/>
          <w:sz w:val="20"/>
          <w:szCs w:val="20"/>
          <w:lang w:val="en-US"/>
        </w:rPr>
        <w:t xml:space="preserve"> </w:t>
      </w:r>
      <w:r w:rsidRPr="00E54F41">
        <w:rPr>
          <w:sz w:val="20"/>
          <w:szCs w:val="20"/>
        </w:rPr>
        <w:t>are granted and the said interveners</w:t>
      </w:r>
      <w:r w:rsidRPr="00E54F41">
        <w:rPr>
          <w:sz w:val="20"/>
          <w:szCs w:val="20"/>
          <w:lang w:val="en-US"/>
        </w:rPr>
        <w:t xml:space="preserve"> shall be entitled to each serve and file a single factum common to both appeals not to exceed ten (10) pages in length, on or before January 30, 2017.</w:t>
      </w:r>
    </w:p>
    <w:p w:rsidR="00792571" w:rsidRPr="00E54F41" w:rsidRDefault="00792571" w:rsidP="00792571">
      <w:pPr>
        <w:rPr>
          <w:sz w:val="20"/>
          <w:szCs w:val="20"/>
          <w:lang w:val="en-US"/>
        </w:rPr>
      </w:pPr>
    </w:p>
    <w:p w:rsidR="00792571" w:rsidRPr="00E54F41" w:rsidRDefault="00792571" w:rsidP="00792571">
      <w:pPr>
        <w:rPr>
          <w:sz w:val="20"/>
          <w:szCs w:val="20"/>
          <w:lang w:val="en-US"/>
        </w:rPr>
      </w:pPr>
      <w:r w:rsidRPr="00E54F41">
        <w:rPr>
          <w:sz w:val="20"/>
          <w:szCs w:val="20"/>
          <w:lang w:val="en-US"/>
        </w:rPr>
        <w:t xml:space="preserve">The motions for leave to intervene of the British Columbia Civil Liberties Association and the Canadian Civil Liberties Association are granted and the said interveners shall be entitled to each serve and file a single factum not to exceed ten (10) pages in length, on or before January 30, 2017, in the appeal </w:t>
      </w:r>
      <w:r w:rsidRPr="00E54F41">
        <w:rPr>
          <w:i/>
          <w:sz w:val="20"/>
          <w:szCs w:val="20"/>
        </w:rPr>
        <w:t>Jeremy James Peers v. Her Majesty the Queen (Alberta Securities Commission) and Attorney General of Alberta (36865)</w:t>
      </w:r>
      <w:r w:rsidRPr="00E54F41">
        <w:rPr>
          <w:sz w:val="20"/>
          <w:szCs w:val="20"/>
          <w:lang w:val="en-US"/>
        </w:rPr>
        <w:t>.</w:t>
      </w:r>
    </w:p>
    <w:p w:rsidR="00792571" w:rsidRPr="00E54F41" w:rsidRDefault="00792571" w:rsidP="00792571">
      <w:pPr>
        <w:rPr>
          <w:sz w:val="20"/>
          <w:szCs w:val="20"/>
          <w:lang w:val="en-US"/>
        </w:rPr>
      </w:pPr>
    </w:p>
    <w:p w:rsidR="00792571" w:rsidRPr="00E54F41" w:rsidRDefault="00792571" w:rsidP="00792571">
      <w:pPr>
        <w:rPr>
          <w:sz w:val="20"/>
          <w:szCs w:val="20"/>
          <w:lang w:val="en-US"/>
        </w:rPr>
      </w:pPr>
      <w:r w:rsidRPr="00E54F41">
        <w:rPr>
          <w:sz w:val="20"/>
          <w:szCs w:val="20"/>
          <w:lang w:val="en-US"/>
        </w:rPr>
        <w:t>The requests to present oral argument are deferred to a date following receipt and consideration of the written arguments of the parties and the interveners.</w:t>
      </w:r>
    </w:p>
    <w:p w:rsidR="00792571" w:rsidRPr="00E54F41" w:rsidRDefault="00792571" w:rsidP="00792571">
      <w:pPr>
        <w:rPr>
          <w:sz w:val="20"/>
          <w:szCs w:val="20"/>
          <w:lang w:val="en-US"/>
        </w:rPr>
      </w:pPr>
    </w:p>
    <w:p w:rsidR="00792571" w:rsidRPr="00E54F41" w:rsidRDefault="00792571" w:rsidP="00792571">
      <w:pPr>
        <w:rPr>
          <w:sz w:val="20"/>
          <w:szCs w:val="20"/>
          <w:lang w:val="en-US"/>
        </w:rPr>
      </w:pPr>
      <w:r w:rsidRPr="00E54F41">
        <w:rPr>
          <w:sz w:val="20"/>
          <w:szCs w:val="20"/>
          <w:lang w:val="en-US"/>
        </w:rPr>
        <w:t xml:space="preserve">The interveners are not entitled to raise new issues or to adduce further evidence or otherwise to supplement the record of the parties. </w:t>
      </w:r>
    </w:p>
    <w:p w:rsidR="00792571" w:rsidRPr="00E54F41" w:rsidRDefault="00792571" w:rsidP="00792571">
      <w:pPr>
        <w:rPr>
          <w:sz w:val="20"/>
          <w:szCs w:val="20"/>
          <w:lang w:val="en-US"/>
        </w:rPr>
      </w:pPr>
    </w:p>
    <w:p w:rsidR="00792571" w:rsidRPr="00E54F41" w:rsidRDefault="00792571" w:rsidP="00792571">
      <w:pPr>
        <w:rPr>
          <w:sz w:val="20"/>
          <w:szCs w:val="20"/>
          <w:lang w:val="en-US"/>
        </w:rPr>
      </w:pPr>
      <w:r w:rsidRPr="00E54F41">
        <w:rPr>
          <w:sz w:val="20"/>
          <w:szCs w:val="20"/>
          <w:lang w:val="en-US"/>
        </w:rPr>
        <w:t>Pursuant to Rule 59(1</w:t>
      </w:r>
      <w:proofErr w:type="gramStart"/>
      <w:r w:rsidRPr="00E54F41">
        <w:rPr>
          <w:sz w:val="20"/>
          <w:szCs w:val="20"/>
          <w:lang w:val="en-US"/>
        </w:rPr>
        <w:t>)(</w:t>
      </w:r>
      <w:proofErr w:type="gramEnd"/>
      <w:r w:rsidRPr="00E54F41">
        <w:rPr>
          <w:i/>
          <w:iCs/>
          <w:sz w:val="20"/>
          <w:szCs w:val="20"/>
          <w:lang w:val="en-US"/>
        </w:rPr>
        <w:t>a</w:t>
      </w:r>
      <w:r w:rsidRPr="00E54F41">
        <w:rPr>
          <w:sz w:val="20"/>
          <w:szCs w:val="20"/>
          <w:lang w:val="en-US"/>
        </w:rPr>
        <w:t xml:space="preserve">) of the </w:t>
      </w:r>
      <w:r w:rsidRPr="00E54F41">
        <w:rPr>
          <w:i/>
          <w:iCs/>
          <w:sz w:val="20"/>
          <w:szCs w:val="20"/>
          <w:lang w:val="en-US"/>
        </w:rPr>
        <w:t>Rules of the Supreme Court of Canada</w:t>
      </w:r>
      <w:r w:rsidRPr="00E54F41">
        <w:rPr>
          <w:sz w:val="20"/>
          <w:szCs w:val="20"/>
          <w:lang w:val="en-US"/>
        </w:rPr>
        <w:t>, the interveners shall pay to the appellants and respondents any additional disbursements occasioned to the appellants and respondents by their intervention.</w:t>
      </w:r>
    </w:p>
    <w:p w:rsidR="00792571" w:rsidRPr="00E54F41" w:rsidRDefault="00792571" w:rsidP="00792571">
      <w:pPr>
        <w:rPr>
          <w:sz w:val="20"/>
          <w:szCs w:val="20"/>
          <w:lang w:val="en-US"/>
        </w:rPr>
      </w:pPr>
    </w:p>
    <w:p w:rsidR="00061FA4" w:rsidRPr="00E54F41" w:rsidRDefault="00061FA4" w:rsidP="00792571">
      <w:pPr>
        <w:rPr>
          <w:sz w:val="20"/>
          <w:szCs w:val="20"/>
          <w:lang w:val="en-US"/>
        </w:rPr>
      </w:pPr>
    </w:p>
    <w:p w:rsidR="00061FA4" w:rsidRPr="00E54F41" w:rsidRDefault="00061FA4" w:rsidP="00792571">
      <w:pPr>
        <w:rPr>
          <w:sz w:val="20"/>
          <w:szCs w:val="20"/>
          <w:lang w:val="en-US"/>
        </w:rPr>
      </w:pPr>
    </w:p>
    <w:p w:rsidR="00792571" w:rsidRPr="00E54F41" w:rsidRDefault="00792571" w:rsidP="00792571">
      <w:pPr>
        <w:rPr>
          <w:sz w:val="20"/>
          <w:szCs w:val="20"/>
          <w:lang w:val="fr-CA"/>
        </w:rPr>
      </w:pPr>
      <w:r w:rsidRPr="00E54F41">
        <w:rPr>
          <w:b/>
          <w:bCs/>
          <w:sz w:val="20"/>
          <w:szCs w:val="20"/>
          <w:lang w:val="fr-CA"/>
        </w:rPr>
        <w:t xml:space="preserve">À LA SUITE DES DEMANDES </w:t>
      </w:r>
      <w:r w:rsidRPr="00E54F41">
        <w:rPr>
          <w:bCs/>
          <w:sz w:val="20"/>
          <w:szCs w:val="20"/>
          <w:lang w:val="fr-CA"/>
        </w:rPr>
        <w:t xml:space="preserve">présentées par </w:t>
      </w:r>
      <w:r w:rsidRPr="00E54F41">
        <w:rPr>
          <w:sz w:val="20"/>
          <w:szCs w:val="20"/>
          <w:lang w:val="fr-CA"/>
        </w:rPr>
        <w:t xml:space="preserve">le Procureur général du Canada, le Procureur général de l’Ontario, la Procureure générale du Québec, la Canadian Constitution </w:t>
      </w:r>
      <w:proofErr w:type="spellStart"/>
      <w:r w:rsidRPr="00E54F41">
        <w:rPr>
          <w:sz w:val="20"/>
          <w:szCs w:val="20"/>
          <w:lang w:val="fr-CA"/>
        </w:rPr>
        <w:t>Foundation</w:t>
      </w:r>
      <w:proofErr w:type="spellEnd"/>
      <w:r w:rsidRPr="00E54F41">
        <w:rPr>
          <w:sz w:val="20"/>
          <w:szCs w:val="20"/>
          <w:lang w:val="fr-CA"/>
        </w:rPr>
        <w:t xml:space="preserve"> et la Commission des valeurs mobilières de l’Ontario en autorisation d’intervenir dans les deux appels;</w: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b/>
          <w:bCs/>
          <w:sz w:val="20"/>
          <w:szCs w:val="20"/>
          <w:lang w:val="fr-CA"/>
        </w:rPr>
        <w:t xml:space="preserve">ET À LA SUITE DE LA DEMANDE </w:t>
      </w:r>
      <w:r w:rsidRPr="00E54F41">
        <w:rPr>
          <w:bCs/>
          <w:sz w:val="20"/>
          <w:szCs w:val="20"/>
          <w:lang w:val="fr-CA"/>
        </w:rPr>
        <w:t xml:space="preserve">présentée par </w:t>
      </w:r>
      <w:r w:rsidRPr="00E54F41">
        <w:rPr>
          <w:sz w:val="20"/>
          <w:szCs w:val="20"/>
          <w:lang w:val="fr-CA"/>
        </w:rPr>
        <w:t xml:space="preserve">l’Association des libertés civiles de la Colombie-Britannique en autorisation d’intervenir dans l’appel </w:t>
      </w:r>
      <w:r w:rsidRPr="00E54F41">
        <w:rPr>
          <w:i/>
          <w:sz w:val="20"/>
          <w:szCs w:val="20"/>
          <w:lang w:val="fr-CA"/>
        </w:rPr>
        <w:t xml:space="preserve">Jeremy James </w:t>
      </w:r>
      <w:proofErr w:type="spellStart"/>
      <w:r w:rsidRPr="00E54F41">
        <w:rPr>
          <w:i/>
          <w:sz w:val="20"/>
          <w:szCs w:val="20"/>
          <w:lang w:val="fr-CA"/>
        </w:rPr>
        <w:t>Peers</w:t>
      </w:r>
      <w:proofErr w:type="spellEnd"/>
      <w:r w:rsidRPr="00E54F41">
        <w:rPr>
          <w:i/>
          <w:sz w:val="20"/>
          <w:szCs w:val="20"/>
          <w:lang w:val="fr-CA"/>
        </w:rPr>
        <w:t xml:space="preserve"> c. Sa Majesté la Reine (Alberta Securities Commission) et Procureur général de l’Alberta (36865)</w:t>
      </w:r>
      <w:r w:rsidRPr="00E54F41">
        <w:rPr>
          <w:sz w:val="20"/>
          <w:szCs w:val="20"/>
          <w:lang w:val="fr-CA"/>
        </w:rPr>
        <w:t>;</w: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b/>
          <w:sz w:val="20"/>
          <w:szCs w:val="20"/>
          <w:lang w:val="fr-CA"/>
        </w:rPr>
        <w:t xml:space="preserve">ET À LA SUITE DES DEMANDES </w:t>
      </w:r>
      <w:r w:rsidRPr="00E54F41">
        <w:rPr>
          <w:sz w:val="20"/>
          <w:szCs w:val="20"/>
          <w:lang w:val="fr-CA"/>
        </w:rPr>
        <w:t>présentées par l’Association canadienne des libertés civiles en prorogation</w:t>
      </w:r>
      <w:r w:rsidRPr="00E54F41">
        <w:rPr>
          <w:b/>
          <w:sz w:val="20"/>
          <w:szCs w:val="20"/>
          <w:lang w:val="fr-CA"/>
        </w:rPr>
        <w:t xml:space="preserve"> </w:t>
      </w:r>
      <w:r w:rsidRPr="00E54F41">
        <w:rPr>
          <w:sz w:val="20"/>
          <w:szCs w:val="20"/>
          <w:lang w:val="fr-CA"/>
        </w:rPr>
        <w:t>du délai</w:t>
      </w:r>
      <w:r w:rsidRPr="00E54F41">
        <w:rPr>
          <w:b/>
          <w:sz w:val="20"/>
          <w:szCs w:val="20"/>
          <w:lang w:val="fr-CA"/>
        </w:rPr>
        <w:t xml:space="preserve"> </w:t>
      </w:r>
      <w:r w:rsidRPr="00E54F41">
        <w:rPr>
          <w:sz w:val="20"/>
          <w:szCs w:val="20"/>
          <w:lang w:val="fr-CA"/>
        </w:rPr>
        <w:t xml:space="preserve">pour déposer et signifier une requête en autorisation d’intervenir et en autorisation d’intervenir dans l’appel </w:t>
      </w:r>
      <w:r w:rsidRPr="00E54F41">
        <w:rPr>
          <w:i/>
          <w:sz w:val="20"/>
          <w:szCs w:val="20"/>
          <w:lang w:val="fr-CA"/>
        </w:rPr>
        <w:t xml:space="preserve">Jeremy James </w:t>
      </w:r>
      <w:proofErr w:type="spellStart"/>
      <w:r w:rsidRPr="00E54F41">
        <w:rPr>
          <w:i/>
          <w:sz w:val="20"/>
          <w:szCs w:val="20"/>
          <w:lang w:val="fr-CA"/>
        </w:rPr>
        <w:t>Peers</w:t>
      </w:r>
      <w:proofErr w:type="spellEnd"/>
      <w:r w:rsidRPr="00E54F41">
        <w:rPr>
          <w:i/>
          <w:sz w:val="20"/>
          <w:szCs w:val="20"/>
          <w:lang w:val="fr-CA"/>
        </w:rPr>
        <w:t xml:space="preserve"> c. Sa Majesté la Reine (Alberta Securities Commission) et Procureur général de l’Alberta (36865)</w:t>
      </w:r>
      <w:r w:rsidRPr="00E54F41">
        <w:rPr>
          <w:sz w:val="20"/>
          <w:szCs w:val="20"/>
          <w:lang w:val="fr-CA"/>
        </w:rPr>
        <w:t>;</w: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b/>
          <w:bCs/>
          <w:sz w:val="20"/>
          <w:szCs w:val="20"/>
          <w:lang w:val="fr-CA"/>
        </w:rPr>
        <w:t xml:space="preserve">ET APRÈS EXAMEN </w:t>
      </w:r>
      <w:r w:rsidRPr="00E54F41">
        <w:rPr>
          <w:bCs/>
          <w:sz w:val="20"/>
          <w:szCs w:val="20"/>
          <w:lang w:val="fr-CA"/>
        </w:rPr>
        <w:t>des documents déposés</w:t>
      </w:r>
      <w:r w:rsidRPr="00E54F41">
        <w:rPr>
          <w:sz w:val="20"/>
          <w:szCs w:val="20"/>
          <w:lang w:val="fr-CA"/>
        </w:rPr>
        <w:t>;</w: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b/>
          <w:bCs/>
          <w:sz w:val="20"/>
          <w:szCs w:val="20"/>
          <w:lang w:val="fr-CA"/>
        </w:rPr>
        <w:t>IL EST ORDONNÉ CE QUI SUIT :</w: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bCs/>
          <w:sz w:val="20"/>
          <w:szCs w:val="20"/>
          <w:lang w:val="fr-CA"/>
        </w:rPr>
        <w:t>La requête en prorogation du délai est accueillie</w:t>
      </w:r>
      <w:r w:rsidRPr="00E54F41">
        <w:rPr>
          <w:sz w:val="20"/>
          <w:szCs w:val="20"/>
          <w:lang w:val="fr-CA"/>
        </w:rPr>
        <w:t>.</w: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sz w:val="20"/>
          <w:szCs w:val="20"/>
          <w:lang w:val="fr-CA"/>
        </w:rPr>
        <w:t xml:space="preserve">Les requêtes en autorisation d’intervenir </w:t>
      </w:r>
      <w:r w:rsidRPr="00E54F41">
        <w:rPr>
          <w:bCs/>
          <w:sz w:val="20"/>
          <w:szCs w:val="20"/>
          <w:lang w:val="fr-CA"/>
        </w:rPr>
        <w:t xml:space="preserve">par </w:t>
      </w:r>
      <w:r w:rsidRPr="00E54F41">
        <w:rPr>
          <w:sz w:val="20"/>
          <w:szCs w:val="20"/>
          <w:lang w:val="fr-CA"/>
        </w:rPr>
        <w:t xml:space="preserve">le Procureur général du Canada, le Procureur général de l’Ontario, la Procureure générale du Québec, la Canadian Constitution </w:t>
      </w:r>
      <w:proofErr w:type="spellStart"/>
      <w:r w:rsidRPr="00E54F41">
        <w:rPr>
          <w:sz w:val="20"/>
          <w:szCs w:val="20"/>
          <w:lang w:val="fr-CA"/>
        </w:rPr>
        <w:t>Foundation</w:t>
      </w:r>
      <w:proofErr w:type="spellEnd"/>
      <w:r w:rsidRPr="00E54F41">
        <w:rPr>
          <w:sz w:val="20"/>
          <w:szCs w:val="20"/>
          <w:lang w:val="fr-CA"/>
        </w:rPr>
        <w:t xml:space="preserve"> et la Commission des valeurs mobilières de l’Ontario sont accueillies et les intervenants en question sont autorisés à chacun signifier et déposer un seul mémoire d’au plus dix (10) pages pour les deux appels, au plus tard le 30 janvier 2017.</w:t>
      </w:r>
    </w:p>
    <w:p w:rsidR="00792571" w:rsidRPr="00E54F41" w:rsidRDefault="00792571" w:rsidP="00792571">
      <w:pPr>
        <w:rPr>
          <w:sz w:val="20"/>
          <w:szCs w:val="20"/>
          <w:lang w:val="fr-CA"/>
        </w:rPr>
      </w:pPr>
    </w:p>
    <w:p w:rsidR="00792571" w:rsidRPr="00E54F41" w:rsidRDefault="00792571" w:rsidP="00792571">
      <w:pPr>
        <w:rPr>
          <w:sz w:val="20"/>
          <w:szCs w:val="20"/>
          <w:lang w:val="fr-FR"/>
        </w:rPr>
      </w:pPr>
      <w:r w:rsidRPr="00E54F41">
        <w:rPr>
          <w:sz w:val="20"/>
          <w:szCs w:val="20"/>
          <w:lang w:val="fr-FR"/>
        </w:rPr>
        <w:lastRenderedPageBreak/>
        <w:t xml:space="preserve">Les requêtes en autorisation d’intervenir présentées par </w:t>
      </w:r>
      <w:r w:rsidRPr="00E54F41">
        <w:rPr>
          <w:sz w:val="20"/>
          <w:szCs w:val="20"/>
          <w:lang w:val="fr-CA"/>
        </w:rPr>
        <w:t>l’Association des libertés civiles de la Colombie-Britannique</w:t>
      </w:r>
      <w:r w:rsidRPr="00E54F41">
        <w:rPr>
          <w:sz w:val="20"/>
          <w:szCs w:val="20"/>
          <w:lang w:val="fr-FR"/>
        </w:rPr>
        <w:t xml:space="preserve"> et </w:t>
      </w:r>
      <w:r w:rsidRPr="00E54F41">
        <w:rPr>
          <w:sz w:val="20"/>
          <w:szCs w:val="20"/>
          <w:lang w:val="fr-CA"/>
        </w:rPr>
        <w:t>l’Association canadienne des libertés</w:t>
      </w:r>
      <w:r w:rsidRPr="00E54F41">
        <w:rPr>
          <w:sz w:val="20"/>
          <w:szCs w:val="20"/>
          <w:lang w:val="fr-FR"/>
        </w:rPr>
        <w:t xml:space="preserve"> </w:t>
      </w:r>
      <w:r w:rsidRPr="00E54F41">
        <w:rPr>
          <w:sz w:val="20"/>
          <w:szCs w:val="20"/>
          <w:lang w:val="fr-CA"/>
        </w:rPr>
        <w:t>civiles</w:t>
      </w:r>
      <w:r w:rsidRPr="00E54F41">
        <w:rPr>
          <w:sz w:val="20"/>
          <w:szCs w:val="20"/>
          <w:lang w:val="fr-FR"/>
        </w:rPr>
        <w:t xml:space="preserve"> sont accueillies et chacun de ces intervenants pourra signifier et déposer un mémoire d’au plus dix (10) pages au plus tard le 30 janvier 2017, </w:t>
      </w:r>
      <w:r w:rsidRPr="00E54F41">
        <w:rPr>
          <w:sz w:val="20"/>
          <w:szCs w:val="20"/>
          <w:lang w:val="fr-CA"/>
        </w:rPr>
        <w:t xml:space="preserve">dans l’appel </w:t>
      </w:r>
      <w:r w:rsidRPr="00E54F41">
        <w:rPr>
          <w:i/>
          <w:sz w:val="20"/>
          <w:szCs w:val="20"/>
          <w:lang w:val="fr-CA"/>
        </w:rPr>
        <w:t xml:space="preserve">Jeremy James </w:t>
      </w:r>
      <w:proofErr w:type="spellStart"/>
      <w:r w:rsidRPr="00E54F41">
        <w:rPr>
          <w:i/>
          <w:sz w:val="20"/>
          <w:szCs w:val="20"/>
          <w:lang w:val="fr-CA"/>
        </w:rPr>
        <w:t>Peers</w:t>
      </w:r>
      <w:proofErr w:type="spellEnd"/>
      <w:r w:rsidRPr="00E54F41">
        <w:rPr>
          <w:i/>
          <w:sz w:val="20"/>
          <w:szCs w:val="20"/>
          <w:lang w:val="fr-CA"/>
        </w:rPr>
        <w:t xml:space="preserve"> c. Sa Majesté la Reine (Alberta Securities Commission) et Procureur général de l’Alberta (36865)</w:t>
      </w:r>
      <w:r w:rsidRPr="00E54F41">
        <w:rPr>
          <w:sz w:val="20"/>
          <w:szCs w:val="20"/>
          <w:lang w:val="fr-FR"/>
        </w:rPr>
        <w:t>.</w: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sz w:val="20"/>
          <w:szCs w:val="20"/>
          <w:lang w:val="fr-CA"/>
        </w:rPr>
        <w:t>La décision sur les demandes en vue de présenter une plaidoirie orale sera rendue après réception et examen des arguments écrits des parties et des intervenants.</w: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sz w:val="20"/>
          <w:szCs w:val="20"/>
          <w:lang w:val="fr-CA"/>
        </w:rPr>
        <w:t xml:space="preserve">Les intervenants n’ont pas le droit de soulever de nouvelles questions, de produire d’autres éléments de preuve ni de compléter de quelque autre façon le dossier des </w:t>
      </w:r>
      <w:r w:rsidRPr="00E54F41">
        <w:rPr>
          <w:sz w:val="20"/>
          <w:szCs w:val="20"/>
        </w:rPr>
        <w:fldChar w:fldCharType="begin"/>
      </w:r>
      <w:r w:rsidRPr="00E54F41">
        <w:rPr>
          <w:sz w:val="20"/>
          <w:szCs w:val="20"/>
          <w:lang w:val="fr-CA"/>
        </w:rPr>
        <w:instrText xml:space="preserve"> SEQ CHAPTER \h \r 1</w:instrText>
      </w:r>
      <w:r w:rsidRPr="00E54F41">
        <w:rPr>
          <w:sz w:val="20"/>
          <w:szCs w:val="20"/>
          <w:lang w:val="fr-CA"/>
        </w:rPr>
        <w:fldChar w:fldCharType="end"/>
      </w:r>
      <w:r w:rsidRPr="00E54F41">
        <w:rPr>
          <w:bCs/>
          <w:sz w:val="20"/>
          <w:szCs w:val="20"/>
          <w:lang w:val="fr-CA"/>
        </w:rPr>
        <w:t>parties.</w:t>
      </w:r>
    </w:p>
    <w:p w:rsidR="00792571" w:rsidRPr="00E54F41" w:rsidRDefault="00792571" w:rsidP="00792571">
      <w:pPr>
        <w:rPr>
          <w:sz w:val="20"/>
          <w:szCs w:val="20"/>
          <w:lang w:val="fr-CA"/>
        </w:rPr>
      </w:pPr>
    </w:p>
    <w:p w:rsidR="00792571" w:rsidRPr="00E54F41" w:rsidRDefault="00792571" w:rsidP="00792571">
      <w:pPr>
        <w:rPr>
          <w:sz w:val="20"/>
          <w:szCs w:val="20"/>
          <w:lang w:val="fr-CA"/>
        </w:rPr>
      </w:pPr>
      <w:r w:rsidRPr="00E54F41">
        <w:rPr>
          <w:sz w:val="20"/>
          <w:szCs w:val="20"/>
          <w:lang w:val="fr-CA"/>
        </w:rPr>
        <w:t>Conformément à l’alinéa 59(1)</w:t>
      </w:r>
      <w:r w:rsidRPr="00E54F41">
        <w:rPr>
          <w:i/>
          <w:iCs/>
          <w:sz w:val="20"/>
          <w:szCs w:val="20"/>
          <w:lang w:val="fr-CA"/>
        </w:rPr>
        <w:t>a</w:t>
      </w:r>
      <w:r w:rsidRPr="00E54F41">
        <w:rPr>
          <w:sz w:val="20"/>
          <w:szCs w:val="20"/>
          <w:lang w:val="fr-CA"/>
        </w:rPr>
        <w:t xml:space="preserve">) des </w:t>
      </w:r>
      <w:r w:rsidRPr="00E54F41">
        <w:rPr>
          <w:i/>
          <w:iCs/>
          <w:sz w:val="20"/>
          <w:szCs w:val="20"/>
          <w:lang w:val="fr-CA"/>
        </w:rPr>
        <w:t>Règles de la Cour suprême du Canada</w:t>
      </w:r>
      <w:r w:rsidRPr="00E54F41">
        <w:rPr>
          <w:sz w:val="20"/>
          <w:szCs w:val="20"/>
          <w:lang w:val="fr-CA"/>
        </w:rPr>
        <w:t>, les intervenants paieront aux appelants et aux intimées tous débours supplémentaires résultant de leurs interventions.</w:t>
      </w:r>
    </w:p>
    <w:p w:rsidR="00792571" w:rsidRPr="00E54F41" w:rsidRDefault="00792571" w:rsidP="00792571">
      <w:pPr>
        <w:rPr>
          <w:sz w:val="20"/>
          <w:szCs w:val="20"/>
          <w:lang w:val="fr-CA"/>
        </w:rPr>
      </w:pPr>
    </w:p>
    <w:p w:rsidR="00C15F38" w:rsidRPr="00E54F41" w:rsidRDefault="00B904CB">
      <w:pPr>
        <w:rPr>
          <w:sz w:val="20"/>
          <w:szCs w:val="20"/>
          <w:lang w:val="fr-CA"/>
        </w:rPr>
      </w:pPr>
      <w:r>
        <w:rPr>
          <w:sz w:val="20"/>
          <w:szCs w:val="20"/>
          <w:lang w:val="fr-CA"/>
        </w:rPr>
        <w:pict>
          <v:rect id="_x0000_i1054" style="width:2in;height:1pt" o:hrpct="0" o:hralign="center" o:hrstd="t" o:hrnoshade="t" o:hr="t" fillcolor="black [3213]" stroked="f"/>
        </w:pict>
      </w:r>
    </w:p>
    <w:p w:rsidR="00061FA4" w:rsidRPr="00E54F41" w:rsidRDefault="00061FA4">
      <w:pPr>
        <w:rPr>
          <w:sz w:val="20"/>
          <w:szCs w:val="20"/>
          <w:lang w:val="fr-CA"/>
        </w:rPr>
      </w:pPr>
    </w:p>
    <w:p w:rsidR="00061FA4" w:rsidRPr="00E54F41" w:rsidRDefault="00061FA4">
      <w:pPr>
        <w:rPr>
          <w:sz w:val="20"/>
          <w:szCs w:val="20"/>
          <w:lang w:val="fr-CA"/>
        </w:rPr>
      </w:pPr>
    </w:p>
    <w:p w:rsidR="00061FA4" w:rsidRPr="00E54F41" w:rsidRDefault="00061FA4">
      <w:pPr>
        <w:rPr>
          <w:sz w:val="20"/>
          <w:szCs w:val="20"/>
        </w:rPr>
      </w:pPr>
    </w:p>
    <w:p w:rsidR="001A35DE" w:rsidRPr="00E54F41" w:rsidRDefault="001A35DE" w:rsidP="00890FEB">
      <w:pPr>
        <w:rPr>
          <w:sz w:val="20"/>
          <w:szCs w:val="20"/>
          <w:lang w:val="fr-CA"/>
        </w:rPr>
        <w:sectPr w:rsidR="001A35DE" w:rsidRPr="00E54F41" w:rsidSect="00831CA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B904CB" w:rsidTr="00EB2B90">
        <w:tc>
          <w:tcPr>
            <w:tcW w:w="4200" w:type="dxa"/>
            <w:shd w:val="clear" w:color="auto" w:fill="auto"/>
            <w:tcMar>
              <w:left w:w="0" w:type="dxa"/>
              <w:right w:w="0" w:type="dxa"/>
            </w:tcMar>
          </w:tcPr>
          <w:p w:rsidR="00F40249" w:rsidRPr="00E54F41" w:rsidRDefault="00F40249" w:rsidP="00EB2B90">
            <w:pPr>
              <w:rPr>
                <w:b/>
                <w:szCs w:val="24"/>
              </w:rPr>
            </w:pPr>
            <w:r w:rsidRPr="00E54F41">
              <w:rPr>
                <w:b/>
                <w:szCs w:val="24"/>
              </w:rPr>
              <w:lastRenderedPageBreak/>
              <w:t>NOTICES OF APPEAL FILED SINCE LAST ISSUE</w:t>
            </w:r>
          </w:p>
        </w:tc>
        <w:tc>
          <w:tcPr>
            <w:tcW w:w="1200" w:type="dxa"/>
            <w:shd w:val="clear" w:color="auto" w:fill="auto"/>
            <w:tcMar>
              <w:left w:w="0" w:type="dxa"/>
              <w:right w:w="0" w:type="dxa"/>
            </w:tcMar>
          </w:tcPr>
          <w:p w:rsidR="00F40249" w:rsidRPr="00E54F41" w:rsidRDefault="00F40249" w:rsidP="00F40249">
            <w:pPr>
              <w:jc w:val="center"/>
              <w:rPr>
                <w:szCs w:val="24"/>
              </w:rPr>
            </w:pPr>
          </w:p>
          <w:p w:rsidR="00F33CCE" w:rsidRPr="00E54F41" w:rsidRDefault="00F33CCE" w:rsidP="00F40249">
            <w:pPr>
              <w:jc w:val="center"/>
              <w:rPr>
                <w:szCs w:val="24"/>
              </w:rPr>
            </w:pPr>
          </w:p>
          <w:p w:rsidR="00F33CCE" w:rsidRPr="00E54F41" w:rsidRDefault="00F33CCE" w:rsidP="00F40249">
            <w:pPr>
              <w:jc w:val="center"/>
              <w:rPr>
                <w:szCs w:val="24"/>
              </w:rPr>
            </w:pPr>
          </w:p>
        </w:tc>
        <w:tc>
          <w:tcPr>
            <w:tcW w:w="4230" w:type="dxa"/>
            <w:shd w:val="clear" w:color="auto" w:fill="auto"/>
            <w:tcMar>
              <w:left w:w="0" w:type="dxa"/>
              <w:right w:w="0" w:type="dxa"/>
            </w:tcMar>
          </w:tcPr>
          <w:p w:rsidR="00F40249" w:rsidRPr="00E54F41" w:rsidRDefault="00F40249" w:rsidP="00EB2B90">
            <w:pPr>
              <w:rPr>
                <w:b/>
                <w:szCs w:val="24"/>
                <w:lang w:val="fr-CA"/>
              </w:rPr>
            </w:pPr>
            <w:r w:rsidRPr="00E54F41">
              <w:rPr>
                <w:b/>
                <w:szCs w:val="24"/>
                <w:lang w:val="fr-CA"/>
              </w:rPr>
              <w:t>AVIS D’APPEL DÉPOSÉS DEPUIS LA DERNIÈRE PARUTION</w:t>
            </w:r>
          </w:p>
        </w:tc>
      </w:tr>
    </w:tbl>
    <w:p w:rsidR="00F40249" w:rsidRPr="00E54F41" w:rsidRDefault="00F40249" w:rsidP="00F40249">
      <w:pPr>
        <w:rPr>
          <w:sz w:val="20"/>
          <w:szCs w:val="20"/>
          <w:lang w:val="fr-CA"/>
        </w:rPr>
      </w:pPr>
    </w:p>
    <w:tbl>
      <w:tblPr>
        <w:tblW w:w="7206" w:type="pct"/>
        <w:tblCellMar>
          <w:left w:w="0" w:type="dxa"/>
          <w:right w:w="0" w:type="dxa"/>
        </w:tblCellMar>
        <w:tblLook w:val="0000" w:firstRow="0" w:lastRow="0" w:firstColumn="0" w:lastColumn="0" w:noHBand="0" w:noVBand="0"/>
      </w:tblPr>
      <w:tblGrid>
        <w:gridCol w:w="4245"/>
        <w:gridCol w:w="1131"/>
        <w:gridCol w:w="4245"/>
        <w:gridCol w:w="4242"/>
      </w:tblGrid>
      <w:tr w:rsidR="0096692C" w:rsidRPr="00E54F41" w:rsidTr="00D17AEA">
        <w:trPr>
          <w:cantSplit/>
        </w:trPr>
        <w:tc>
          <w:tcPr>
            <w:tcW w:w="1531" w:type="pct"/>
            <w:tcMar>
              <w:left w:w="0" w:type="dxa"/>
              <w:right w:w="0" w:type="dxa"/>
            </w:tcMar>
          </w:tcPr>
          <w:p w:rsidR="0096692C" w:rsidRPr="00E54F41" w:rsidRDefault="0096692C" w:rsidP="0096692C">
            <w:pPr>
              <w:rPr>
                <w:sz w:val="20"/>
                <w:szCs w:val="20"/>
              </w:rPr>
            </w:pPr>
            <w:r w:rsidRPr="00E54F41">
              <w:rPr>
                <w:sz w:val="20"/>
                <w:szCs w:val="20"/>
              </w:rPr>
              <w:t>1</w:t>
            </w:r>
            <w:r w:rsidR="001B1DF0" w:rsidRPr="00E54F41">
              <w:rPr>
                <w:sz w:val="20"/>
                <w:szCs w:val="20"/>
              </w:rPr>
              <w:t>8</w:t>
            </w:r>
            <w:r w:rsidRPr="00E54F41">
              <w:rPr>
                <w:sz w:val="20"/>
                <w:szCs w:val="20"/>
              </w:rPr>
              <w:t>.11.2016</w:t>
            </w:r>
          </w:p>
          <w:p w:rsidR="00887D68" w:rsidRPr="00E54F41" w:rsidRDefault="00887D68" w:rsidP="0096692C">
            <w:pPr>
              <w:rPr>
                <w:sz w:val="20"/>
                <w:szCs w:val="20"/>
              </w:rPr>
            </w:pPr>
          </w:p>
          <w:p w:rsidR="0096692C" w:rsidRPr="00E54F41" w:rsidRDefault="001B1DF0" w:rsidP="0096692C">
            <w:pPr>
              <w:rPr>
                <w:b/>
                <w:sz w:val="20"/>
                <w:szCs w:val="20"/>
              </w:rPr>
            </w:pPr>
            <w:r w:rsidRPr="00E54F41">
              <w:rPr>
                <w:b/>
                <w:sz w:val="20"/>
                <w:szCs w:val="20"/>
              </w:rPr>
              <w:t>Tristin Jones</w:t>
            </w:r>
          </w:p>
          <w:p w:rsidR="0096692C" w:rsidRPr="00E54F41" w:rsidRDefault="0096692C" w:rsidP="0096692C">
            <w:pPr>
              <w:rPr>
                <w:b/>
                <w:sz w:val="20"/>
                <w:szCs w:val="20"/>
              </w:rPr>
            </w:pPr>
          </w:p>
          <w:p w:rsidR="0096692C" w:rsidRPr="00E54F41" w:rsidRDefault="001B1DF0" w:rsidP="0096692C">
            <w:pPr>
              <w:rPr>
                <w:b/>
                <w:sz w:val="20"/>
                <w:szCs w:val="20"/>
              </w:rPr>
            </w:pPr>
            <w:r w:rsidRPr="00E54F41">
              <w:rPr>
                <w:b/>
                <w:sz w:val="20"/>
                <w:szCs w:val="20"/>
              </w:rPr>
              <w:tab/>
              <w:t>v. (37194</w:t>
            </w:r>
            <w:r w:rsidR="0096692C" w:rsidRPr="00E54F41">
              <w:rPr>
                <w:b/>
                <w:sz w:val="20"/>
                <w:szCs w:val="20"/>
              </w:rPr>
              <w:t>)</w:t>
            </w:r>
          </w:p>
          <w:p w:rsidR="0096692C" w:rsidRPr="00E54F41" w:rsidRDefault="0096692C" w:rsidP="0096692C">
            <w:pPr>
              <w:rPr>
                <w:b/>
                <w:sz w:val="20"/>
                <w:szCs w:val="20"/>
              </w:rPr>
            </w:pPr>
          </w:p>
          <w:p w:rsidR="0096692C" w:rsidRPr="00E54F41" w:rsidRDefault="001B1DF0" w:rsidP="0096692C">
            <w:pPr>
              <w:rPr>
                <w:b/>
                <w:sz w:val="20"/>
                <w:szCs w:val="20"/>
              </w:rPr>
            </w:pPr>
            <w:r w:rsidRPr="00E54F41">
              <w:rPr>
                <w:b/>
                <w:sz w:val="20"/>
                <w:szCs w:val="20"/>
              </w:rPr>
              <w:t xml:space="preserve">Her Majesty the Queen </w:t>
            </w:r>
            <w:r w:rsidR="0096692C" w:rsidRPr="00E54F41">
              <w:rPr>
                <w:b/>
                <w:sz w:val="20"/>
                <w:szCs w:val="20"/>
              </w:rPr>
              <w:t>(</w:t>
            </w:r>
            <w:r w:rsidRPr="00E54F41">
              <w:rPr>
                <w:b/>
                <w:sz w:val="20"/>
                <w:szCs w:val="20"/>
              </w:rPr>
              <w:t>Ont.)</w:t>
            </w:r>
          </w:p>
          <w:p w:rsidR="0096692C" w:rsidRPr="00E54F41" w:rsidRDefault="0096692C" w:rsidP="0096692C">
            <w:pPr>
              <w:rPr>
                <w:sz w:val="20"/>
                <w:szCs w:val="20"/>
              </w:rPr>
            </w:pPr>
          </w:p>
          <w:p w:rsidR="0096692C" w:rsidRPr="00E54F41" w:rsidRDefault="0096692C" w:rsidP="0096692C">
            <w:pPr>
              <w:rPr>
                <w:sz w:val="20"/>
                <w:szCs w:val="20"/>
              </w:rPr>
            </w:pPr>
            <w:r w:rsidRPr="00E54F41">
              <w:rPr>
                <w:sz w:val="20"/>
                <w:szCs w:val="20"/>
              </w:rPr>
              <w:t>(By Leave)</w:t>
            </w:r>
          </w:p>
          <w:p w:rsidR="0096692C" w:rsidRPr="00E54F41" w:rsidRDefault="0096692C" w:rsidP="0096692C">
            <w:pPr>
              <w:rPr>
                <w:sz w:val="20"/>
                <w:szCs w:val="20"/>
              </w:rPr>
            </w:pPr>
          </w:p>
          <w:p w:rsidR="0096692C" w:rsidRPr="00E54F41" w:rsidRDefault="00B904CB" w:rsidP="0096692C">
            <w:pPr>
              <w:rPr>
                <w:sz w:val="20"/>
                <w:szCs w:val="20"/>
                <w:lang w:val="fr-CA"/>
              </w:rPr>
            </w:pPr>
            <w:r>
              <w:rPr>
                <w:sz w:val="20"/>
                <w:szCs w:val="20"/>
                <w:lang w:val="fr-CA"/>
              </w:rPr>
              <w:pict>
                <v:rect id="_x0000_i1057" style="width:106.1pt;height:1pt" o:hrpct="500" o:hralign="center" o:hrstd="t" o:hrnoshade="t" o:hr="t" fillcolor="black [3213]" stroked="f"/>
              </w:pict>
            </w:r>
          </w:p>
        </w:tc>
        <w:tc>
          <w:tcPr>
            <w:tcW w:w="408" w:type="pct"/>
          </w:tcPr>
          <w:p w:rsidR="0096692C" w:rsidRPr="00E54F41" w:rsidRDefault="0096692C" w:rsidP="0096692C">
            <w:pPr>
              <w:jc w:val="center"/>
              <w:rPr>
                <w:sz w:val="20"/>
                <w:szCs w:val="20"/>
              </w:rPr>
            </w:pPr>
          </w:p>
          <w:p w:rsidR="0096692C" w:rsidRPr="00E54F41" w:rsidRDefault="0096692C" w:rsidP="0096692C">
            <w:pPr>
              <w:jc w:val="center"/>
              <w:rPr>
                <w:sz w:val="20"/>
                <w:szCs w:val="20"/>
              </w:rPr>
            </w:pPr>
          </w:p>
          <w:p w:rsidR="0096692C" w:rsidRPr="00E54F41" w:rsidRDefault="0096692C" w:rsidP="0096692C">
            <w:pPr>
              <w:jc w:val="center"/>
              <w:rPr>
                <w:sz w:val="20"/>
                <w:szCs w:val="20"/>
              </w:rPr>
            </w:pPr>
          </w:p>
          <w:p w:rsidR="0096692C" w:rsidRPr="00E54F41" w:rsidRDefault="0096692C" w:rsidP="0096692C">
            <w:pPr>
              <w:jc w:val="center"/>
              <w:rPr>
                <w:sz w:val="20"/>
                <w:szCs w:val="20"/>
              </w:rPr>
            </w:pPr>
          </w:p>
          <w:p w:rsidR="0096692C" w:rsidRPr="00E54F41" w:rsidRDefault="0096692C" w:rsidP="0096692C">
            <w:pPr>
              <w:jc w:val="center"/>
              <w:rPr>
                <w:sz w:val="20"/>
                <w:szCs w:val="20"/>
              </w:rPr>
            </w:pPr>
          </w:p>
          <w:p w:rsidR="0096692C" w:rsidRPr="00E54F41" w:rsidRDefault="0096692C" w:rsidP="0096692C">
            <w:pPr>
              <w:jc w:val="center"/>
              <w:rPr>
                <w:sz w:val="20"/>
                <w:szCs w:val="20"/>
              </w:rPr>
            </w:pPr>
          </w:p>
          <w:p w:rsidR="0096692C" w:rsidRPr="00E54F41" w:rsidRDefault="0096692C" w:rsidP="0096692C">
            <w:pPr>
              <w:jc w:val="center"/>
              <w:rPr>
                <w:sz w:val="20"/>
                <w:szCs w:val="20"/>
              </w:rPr>
            </w:pPr>
          </w:p>
          <w:p w:rsidR="0096692C" w:rsidRPr="00E54F41" w:rsidRDefault="0096692C" w:rsidP="0096692C">
            <w:pPr>
              <w:jc w:val="center"/>
              <w:rPr>
                <w:sz w:val="20"/>
                <w:szCs w:val="20"/>
              </w:rPr>
            </w:pPr>
          </w:p>
          <w:p w:rsidR="0096692C" w:rsidRPr="00E54F41" w:rsidRDefault="0096692C" w:rsidP="0096692C">
            <w:pPr>
              <w:jc w:val="center"/>
              <w:rPr>
                <w:sz w:val="20"/>
                <w:szCs w:val="20"/>
              </w:rPr>
            </w:pPr>
          </w:p>
          <w:p w:rsidR="0096692C" w:rsidRPr="00E54F41" w:rsidRDefault="0096692C" w:rsidP="0096692C">
            <w:pPr>
              <w:jc w:val="center"/>
              <w:rPr>
                <w:sz w:val="20"/>
                <w:szCs w:val="20"/>
              </w:rPr>
            </w:pPr>
          </w:p>
          <w:p w:rsidR="0096692C" w:rsidRPr="00E54F41" w:rsidRDefault="0096692C" w:rsidP="0096692C">
            <w:pPr>
              <w:jc w:val="center"/>
              <w:rPr>
                <w:sz w:val="20"/>
                <w:szCs w:val="20"/>
              </w:rPr>
            </w:pPr>
          </w:p>
          <w:p w:rsidR="0096692C" w:rsidRPr="00E54F41" w:rsidRDefault="0096692C" w:rsidP="0096692C">
            <w:pPr>
              <w:jc w:val="center"/>
              <w:rPr>
                <w:sz w:val="20"/>
                <w:szCs w:val="20"/>
              </w:rPr>
            </w:pPr>
          </w:p>
        </w:tc>
        <w:tc>
          <w:tcPr>
            <w:tcW w:w="1531" w:type="pct"/>
          </w:tcPr>
          <w:p w:rsidR="0096692C" w:rsidRPr="00E54F41" w:rsidRDefault="0096692C" w:rsidP="0096692C">
            <w:pPr>
              <w:rPr>
                <w:sz w:val="20"/>
                <w:szCs w:val="20"/>
                <w:lang w:val="fr-CA"/>
              </w:rPr>
            </w:pPr>
          </w:p>
        </w:tc>
        <w:tc>
          <w:tcPr>
            <w:tcW w:w="1530" w:type="pct"/>
          </w:tcPr>
          <w:p w:rsidR="0096692C" w:rsidRPr="00E54F41" w:rsidRDefault="0096692C" w:rsidP="0096692C">
            <w:pPr>
              <w:rPr>
                <w:sz w:val="20"/>
                <w:szCs w:val="20"/>
              </w:rPr>
            </w:pPr>
          </w:p>
          <w:p w:rsidR="0096692C" w:rsidRPr="00E54F41" w:rsidRDefault="0096692C" w:rsidP="0096692C">
            <w:pPr>
              <w:rPr>
                <w:sz w:val="20"/>
                <w:szCs w:val="20"/>
              </w:rPr>
            </w:pPr>
          </w:p>
        </w:tc>
      </w:tr>
    </w:tbl>
    <w:p w:rsidR="00F40249" w:rsidRPr="00E54F41" w:rsidRDefault="00F40249" w:rsidP="00F40249">
      <w:pPr>
        <w:rPr>
          <w:sz w:val="20"/>
          <w:szCs w:val="20"/>
        </w:rPr>
      </w:pPr>
    </w:p>
    <w:p w:rsidR="00D17AEA" w:rsidRPr="00E54F41" w:rsidRDefault="00D17AEA" w:rsidP="00F40249">
      <w:pPr>
        <w:rPr>
          <w:sz w:val="20"/>
          <w:szCs w:val="20"/>
        </w:rPr>
      </w:pPr>
    </w:p>
    <w:p w:rsidR="0010587F" w:rsidRPr="00E54F41" w:rsidRDefault="0010587F" w:rsidP="00F40249">
      <w:pPr>
        <w:rPr>
          <w:sz w:val="20"/>
          <w:szCs w:val="20"/>
        </w:rPr>
      </w:pPr>
    </w:p>
    <w:p w:rsidR="00EB2B90" w:rsidRPr="00E54F41" w:rsidRDefault="00EB2B90" w:rsidP="00F40249">
      <w:pPr>
        <w:rPr>
          <w:sz w:val="20"/>
          <w:szCs w:val="20"/>
        </w:rPr>
        <w:sectPr w:rsidR="00EB2B90" w:rsidRPr="00E54F41" w:rsidSect="00F4024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1054"/>
        <w:gridCol w:w="4288"/>
      </w:tblGrid>
      <w:tr w:rsidR="00802863" w:rsidRPr="00E54F41" w:rsidTr="00D17AEA">
        <w:trPr>
          <w:cantSplit/>
        </w:trPr>
        <w:tc>
          <w:tcPr>
            <w:tcW w:w="4277" w:type="dxa"/>
            <w:shd w:val="clear" w:color="auto" w:fill="auto"/>
          </w:tcPr>
          <w:p w:rsidR="00802863" w:rsidRPr="00E54F41" w:rsidRDefault="00802863" w:rsidP="00697C62">
            <w:pPr>
              <w:rPr>
                <w:sz w:val="20"/>
                <w:szCs w:val="20"/>
              </w:rPr>
            </w:pPr>
          </w:p>
        </w:tc>
        <w:tc>
          <w:tcPr>
            <w:tcW w:w="1054" w:type="dxa"/>
            <w:shd w:val="clear" w:color="auto" w:fill="auto"/>
          </w:tcPr>
          <w:p w:rsidR="003B3977" w:rsidRPr="00E54F41" w:rsidRDefault="003B3977" w:rsidP="00802863">
            <w:pPr>
              <w:jc w:val="center"/>
              <w:rPr>
                <w:sz w:val="20"/>
                <w:szCs w:val="20"/>
              </w:rPr>
            </w:pPr>
          </w:p>
        </w:tc>
        <w:tc>
          <w:tcPr>
            <w:tcW w:w="4288" w:type="dxa"/>
            <w:shd w:val="clear" w:color="auto" w:fill="auto"/>
          </w:tcPr>
          <w:p w:rsidR="00802863" w:rsidRPr="00E54F41" w:rsidRDefault="00802863" w:rsidP="007C7C00">
            <w:pPr>
              <w:rPr>
                <w:sz w:val="20"/>
                <w:szCs w:val="20"/>
              </w:rPr>
            </w:pPr>
          </w:p>
        </w:tc>
      </w:tr>
    </w:tbl>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B904CB" w:rsidTr="0085476B">
        <w:tc>
          <w:tcPr>
            <w:tcW w:w="4200" w:type="dxa"/>
            <w:tcMar>
              <w:left w:w="0" w:type="dxa"/>
              <w:right w:w="0" w:type="dxa"/>
            </w:tcMar>
          </w:tcPr>
          <w:p w:rsidR="00FF6EEC" w:rsidRPr="00E54F41" w:rsidRDefault="00FF6EEC" w:rsidP="0085476B">
            <w:pPr>
              <w:keepNext/>
              <w:keepLines/>
              <w:tabs>
                <w:tab w:val="left" w:pos="-1440"/>
                <w:tab w:val="left" w:pos="-720"/>
              </w:tabs>
              <w:rPr>
                <w:b/>
                <w:szCs w:val="24"/>
              </w:rPr>
            </w:pPr>
            <w:r w:rsidRPr="00E54F41">
              <w:rPr>
                <w:b/>
                <w:szCs w:val="24"/>
              </w:rPr>
              <w:t>PRONOUNCEMENTS OF APPEALS</w:t>
            </w:r>
            <w:r w:rsidR="0085476B" w:rsidRPr="00E54F41">
              <w:rPr>
                <w:b/>
                <w:szCs w:val="24"/>
              </w:rPr>
              <w:t xml:space="preserve"> </w:t>
            </w:r>
            <w:r w:rsidRPr="00E54F41">
              <w:rPr>
                <w:b/>
                <w:szCs w:val="24"/>
              </w:rPr>
              <w:t>RESERVED</w:t>
            </w:r>
          </w:p>
          <w:p w:rsidR="00FF6EEC" w:rsidRPr="00E54F41"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E54F41"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E54F41">
              <w:rPr>
                <w:b/>
                <w:szCs w:val="24"/>
              </w:rPr>
              <w:t>Reasons for judgment are available</w:t>
            </w:r>
          </w:p>
        </w:tc>
        <w:tc>
          <w:tcPr>
            <w:tcW w:w="1200" w:type="dxa"/>
            <w:tcMar>
              <w:left w:w="0" w:type="dxa"/>
              <w:right w:w="0" w:type="dxa"/>
            </w:tcMar>
          </w:tcPr>
          <w:p w:rsidR="00FF6EEC" w:rsidRPr="00E54F41" w:rsidRDefault="00FF6EEC" w:rsidP="00FF6EEC">
            <w:pPr>
              <w:keepNext/>
              <w:keepLines/>
              <w:tabs>
                <w:tab w:val="left" w:pos="-1440"/>
                <w:tab w:val="left" w:pos="-720"/>
              </w:tabs>
              <w:jc w:val="center"/>
              <w:rPr>
                <w:b/>
                <w:szCs w:val="24"/>
              </w:rPr>
            </w:pPr>
          </w:p>
          <w:p w:rsidR="00FF6EEC" w:rsidRPr="00E54F41" w:rsidRDefault="00FF6EEC" w:rsidP="00FF6EEC">
            <w:pPr>
              <w:keepNext/>
              <w:keepLines/>
              <w:tabs>
                <w:tab w:val="left" w:pos="-1440"/>
                <w:tab w:val="left" w:pos="-720"/>
              </w:tabs>
              <w:jc w:val="center"/>
              <w:rPr>
                <w:b/>
                <w:szCs w:val="24"/>
              </w:rPr>
            </w:pPr>
          </w:p>
          <w:p w:rsidR="00FF6EEC" w:rsidRPr="00E54F41" w:rsidRDefault="00FF6EEC" w:rsidP="00FF6EEC">
            <w:pPr>
              <w:keepNext/>
              <w:keepLines/>
              <w:tabs>
                <w:tab w:val="left" w:pos="-1440"/>
                <w:tab w:val="left" w:pos="-720"/>
              </w:tabs>
              <w:jc w:val="center"/>
              <w:rPr>
                <w:b/>
                <w:szCs w:val="24"/>
              </w:rPr>
            </w:pPr>
          </w:p>
          <w:p w:rsidR="00FF6EEC" w:rsidRPr="00E54F41" w:rsidRDefault="00FF6EEC" w:rsidP="00FF6EEC">
            <w:pPr>
              <w:keepNext/>
              <w:keepLines/>
              <w:tabs>
                <w:tab w:val="left" w:pos="-1440"/>
                <w:tab w:val="left" w:pos="-720"/>
              </w:tabs>
              <w:jc w:val="center"/>
              <w:rPr>
                <w:b/>
                <w:szCs w:val="24"/>
              </w:rPr>
            </w:pPr>
          </w:p>
          <w:p w:rsidR="00FF6EEC" w:rsidRPr="00E54F41"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E54F41" w:rsidRDefault="00FF6EEC" w:rsidP="00FF6EEC">
            <w:pPr>
              <w:keepNext/>
              <w:keepLines/>
              <w:tabs>
                <w:tab w:val="left" w:pos="-1440"/>
                <w:tab w:val="left" w:pos="-720"/>
              </w:tabs>
              <w:rPr>
                <w:b/>
                <w:szCs w:val="24"/>
                <w:lang w:val="fr-CA"/>
              </w:rPr>
            </w:pPr>
            <w:r w:rsidRPr="00E54F41">
              <w:rPr>
                <w:b/>
                <w:szCs w:val="24"/>
                <w:lang w:val="fr-CA"/>
              </w:rPr>
              <w:t>JUGEMENTS RENDUS SUR LES APPELS EN DÉLIBÉRÉ</w:t>
            </w:r>
          </w:p>
          <w:p w:rsidR="00FF6EEC" w:rsidRPr="00E54F41"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E54F41"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E54F41">
              <w:rPr>
                <w:b/>
                <w:szCs w:val="24"/>
                <w:lang w:val="fr-CA"/>
              </w:rPr>
              <w:t>Les motifs de jugement sont disponibles</w:t>
            </w:r>
          </w:p>
        </w:tc>
      </w:tr>
    </w:tbl>
    <w:p w:rsidR="00FF6EEC" w:rsidRPr="00E54F41" w:rsidRDefault="00FF6EEC" w:rsidP="00FF6EEC">
      <w:pPr>
        <w:rPr>
          <w:b/>
          <w:sz w:val="20"/>
          <w:szCs w:val="20"/>
          <w:lang w:val="fr-CA"/>
        </w:rPr>
      </w:pPr>
    </w:p>
    <w:p w:rsidR="0052229C" w:rsidRPr="00E54F41" w:rsidRDefault="00412F26" w:rsidP="0052229C">
      <w:pPr>
        <w:rPr>
          <w:b/>
          <w:sz w:val="20"/>
          <w:szCs w:val="20"/>
          <w:lang w:val="fr-CA"/>
        </w:rPr>
      </w:pPr>
      <w:r w:rsidRPr="00E54F41">
        <w:rPr>
          <w:b/>
          <w:sz w:val="20"/>
          <w:szCs w:val="20"/>
          <w:lang w:val="fr-CA"/>
        </w:rPr>
        <w:t xml:space="preserve">NOVEMBER </w:t>
      </w:r>
      <w:r w:rsidR="006B0A49" w:rsidRPr="00E54F41">
        <w:rPr>
          <w:b/>
          <w:sz w:val="20"/>
          <w:szCs w:val="20"/>
          <w:lang w:val="fr-CA"/>
        </w:rPr>
        <w:t>25</w:t>
      </w:r>
      <w:r w:rsidR="0052229C" w:rsidRPr="00E54F41">
        <w:rPr>
          <w:b/>
          <w:sz w:val="20"/>
          <w:szCs w:val="20"/>
          <w:lang w:val="fr-CA"/>
        </w:rPr>
        <w:t>, 201</w:t>
      </w:r>
      <w:r w:rsidR="00E942C2" w:rsidRPr="00E54F41">
        <w:rPr>
          <w:b/>
          <w:sz w:val="20"/>
          <w:szCs w:val="20"/>
          <w:lang w:val="fr-CA"/>
        </w:rPr>
        <w:t>6</w:t>
      </w:r>
      <w:r w:rsidRPr="00E54F41">
        <w:rPr>
          <w:b/>
          <w:sz w:val="20"/>
          <w:szCs w:val="20"/>
          <w:lang w:val="fr-CA"/>
        </w:rPr>
        <w:t xml:space="preserve"> / LE </w:t>
      </w:r>
      <w:r w:rsidR="006B0A49" w:rsidRPr="00E54F41">
        <w:rPr>
          <w:b/>
          <w:sz w:val="20"/>
          <w:szCs w:val="20"/>
          <w:lang w:val="fr-CA"/>
        </w:rPr>
        <w:t>25</w:t>
      </w:r>
      <w:r w:rsidR="0052229C" w:rsidRPr="00E54F41">
        <w:rPr>
          <w:b/>
          <w:sz w:val="20"/>
          <w:szCs w:val="20"/>
          <w:lang w:val="fr-CA"/>
        </w:rPr>
        <w:t xml:space="preserve"> </w:t>
      </w:r>
      <w:r w:rsidRPr="00E54F41">
        <w:rPr>
          <w:b/>
          <w:sz w:val="20"/>
          <w:szCs w:val="20"/>
          <w:lang w:val="fr-CA"/>
        </w:rPr>
        <w:t xml:space="preserve">NOVEMBRE </w:t>
      </w:r>
      <w:r w:rsidR="0052229C" w:rsidRPr="00E54F41">
        <w:rPr>
          <w:b/>
          <w:sz w:val="20"/>
          <w:szCs w:val="20"/>
          <w:lang w:val="fr-CA"/>
        </w:rPr>
        <w:t>201</w:t>
      </w:r>
      <w:r w:rsidR="00E942C2" w:rsidRPr="00E54F41">
        <w:rPr>
          <w:b/>
          <w:sz w:val="20"/>
          <w:szCs w:val="20"/>
          <w:lang w:val="fr-CA"/>
        </w:rPr>
        <w:t>6</w:t>
      </w:r>
    </w:p>
    <w:p w:rsidR="0052229C" w:rsidRPr="00E54F41" w:rsidRDefault="0052229C" w:rsidP="0052229C">
      <w:pPr>
        <w:rPr>
          <w:sz w:val="20"/>
          <w:szCs w:val="20"/>
          <w:lang w:val="fr-CA"/>
        </w:rPr>
      </w:pPr>
    </w:p>
    <w:p w:rsidR="0052229C" w:rsidRPr="00E54F41" w:rsidRDefault="000E27A5" w:rsidP="0052229C">
      <w:pPr>
        <w:ind w:left="1440" w:hanging="1440"/>
        <w:jc w:val="both"/>
        <w:rPr>
          <w:sz w:val="20"/>
          <w:lang w:val="fr-CA"/>
        </w:rPr>
      </w:pPr>
      <w:r w:rsidRPr="00E54F41">
        <w:rPr>
          <w:b/>
          <w:sz w:val="20"/>
        </w:rPr>
        <w:fldChar w:fldCharType="begin"/>
      </w:r>
      <w:r w:rsidR="0052229C" w:rsidRPr="00E54F41">
        <w:rPr>
          <w:b/>
          <w:sz w:val="20"/>
          <w:lang w:val="fr-CA"/>
        </w:rPr>
        <w:instrText xml:space="preserve"> SEQ CHAPTER \h \r 1</w:instrText>
      </w:r>
      <w:r w:rsidRPr="00E54F41">
        <w:rPr>
          <w:b/>
          <w:sz w:val="20"/>
        </w:rPr>
        <w:fldChar w:fldCharType="end"/>
      </w:r>
      <w:r w:rsidR="00B42D0D" w:rsidRPr="00E54F41">
        <w:rPr>
          <w:b/>
          <w:sz w:val="20"/>
          <w:lang w:val="fr-CA"/>
        </w:rPr>
        <w:t>36373</w:t>
      </w:r>
      <w:r w:rsidR="00412F26" w:rsidRPr="00E54F41">
        <w:rPr>
          <w:b/>
          <w:sz w:val="20"/>
          <w:lang w:val="fr-CA"/>
        </w:rPr>
        <w:tab/>
      </w:r>
      <w:r w:rsidR="0033664A" w:rsidRPr="00E54F41">
        <w:rPr>
          <w:b/>
          <w:iCs/>
          <w:sz w:val="20"/>
          <w:u w:val="single"/>
          <w:lang w:val="fr-FR"/>
        </w:rPr>
        <w:t>Karine Lizotte, ès qualités de syndic adjoint de la Chambre de l’assurance des dommages c. Aviva, Compagnie d’assurance du Canada et Compagnie d’assurance traders générale – et – Association du Barreau canadien, Advocates’ Society et Barreau du Québec</w:t>
      </w:r>
      <w:r w:rsidR="0033664A" w:rsidRPr="00E54F41">
        <w:rPr>
          <w:iCs/>
          <w:sz w:val="20"/>
          <w:lang w:val="fr-CA"/>
        </w:rPr>
        <w:t xml:space="preserve"> </w:t>
      </w:r>
      <w:r w:rsidR="0052229C" w:rsidRPr="00E54F41">
        <w:rPr>
          <w:iCs/>
          <w:sz w:val="20"/>
          <w:lang w:val="fr-CA"/>
        </w:rPr>
        <w:t>(</w:t>
      </w:r>
      <w:r w:rsidR="006B0A49" w:rsidRPr="00E54F41">
        <w:rPr>
          <w:iCs/>
          <w:sz w:val="20"/>
          <w:lang w:val="fr-CA"/>
        </w:rPr>
        <w:t>Qc</w:t>
      </w:r>
      <w:r w:rsidR="0052229C" w:rsidRPr="00E54F41">
        <w:rPr>
          <w:iCs/>
          <w:sz w:val="20"/>
          <w:lang w:val="fr-CA"/>
        </w:rPr>
        <w:t>)</w:t>
      </w:r>
    </w:p>
    <w:p w:rsidR="0052229C" w:rsidRPr="00E54F41"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E54F41">
        <w:rPr>
          <w:b/>
          <w:sz w:val="20"/>
          <w:lang w:val="fr-CA"/>
        </w:rPr>
        <w:t>201</w:t>
      </w:r>
      <w:r w:rsidR="00E942C2" w:rsidRPr="00E54F41">
        <w:rPr>
          <w:b/>
          <w:sz w:val="20"/>
          <w:lang w:val="fr-CA"/>
        </w:rPr>
        <w:t>6</w:t>
      </w:r>
      <w:r w:rsidRPr="00E54F41">
        <w:rPr>
          <w:b/>
          <w:sz w:val="20"/>
          <w:lang w:val="fr-CA"/>
        </w:rPr>
        <w:t xml:space="preserve"> SCC </w:t>
      </w:r>
      <w:r w:rsidR="00412F26" w:rsidRPr="00E54F41">
        <w:rPr>
          <w:b/>
          <w:sz w:val="20"/>
          <w:lang w:val="fr-CA"/>
        </w:rPr>
        <w:t>5</w:t>
      </w:r>
      <w:r w:rsidR="006B0A49" w:rsidRPr="00E54F41">
        <w:rPr>
          <w:b/>
          <w:sz w:val="20"/>
          <w:lang w:val="fr-CA"/>
        </w:rPr>
        <w:t>2</w:t>
      </w:r>
      <w:r w:rsidRPr="00E54F41">
        <w:rPr>
          <w:b/>
          <w:sz w:val="20"/>
          <w:lang w:val="fr-CA"/>
        </w:rPr>
        <w:t xml:space="preserve"> / 201</w:t>
      </w:r>
      <w:r w:rsidR="00E942C2" w:rsidRPr="00E54F41">
        <w:rPr>
          <w:b/>
          <w:sz w:val="20"/>
          <w:lang w:val="fr-CA"/>
        </w:rPr>
        <w:t>6</w:t>
      </w:r>
      <w:r w:rsidRPr="00E54F41">
        <w:rPr>
          <w:b/>
          <w:sz w:val="20"/>
          <w:lang w:val="fr-CA"/>
        </w:rPr>
        <w:t xml:space="preserve"> CSC </w:t>
      </w:r>
      <w:r w:rsidR="006B0A49" w:rsidRPr="00E54F41">
        <w:rPr>
          <w:b/>
          <w:sz w:val="20"/>
          <w:lang w:val="fr-CA"/>
        </w:rPr>
        <w:t>52</w:t>
      </w:r>
    </w:p>
    <w:p w:rsidR="0052229C" w:rsidRPr="00E54F41"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2229C" w:rsidRPr="00E54F41" w:rsidRDefault="0052229C" w:rsidP="0052229C">
      <w:pPr>
        <w:ind w:left="1440" w:hanging="1440"/>
        <w:rPr>
          <w:sz w:val="20"/>
          <w:u w:val="single"/>
          <w:lang w:val="fr-CA"/>
        </w:rPr>
      </w:pPr>
      <w:r w:rsidRPr="00E54F41">
        <w:rPr>
          <w:sz w:val="20"/>
          <w:lang w:val="fr-CA"/>
        </w:rPr>
        <w:t>Coram:</w:t>
      </w:r>
      <w:r w:rsidRPr="00E54F41">
        <w:rPr>
          <w:sz w:val="20"/>
          <w:lang w:val="fr-CA"/>
        </w:rPr>
        <w:tab/>
      </w:r>
      <w:r w:rsidR="006B0A49" w:rsidRPr="00E54F41">
        <w:rPr>
          <w:sz w:val="20"/>
          <w:szCs w:val="20"/>
          <w:u w:val="single"/>
          <w:lang w:val="fr-CA"/>
        </w:rPr>
        <w:t>La juge en chef McLachlin et les juges Abella, Cromwell, Moldaver, Karakatsanis, Wagner, Gascon,</w:t>
      </w:r>
      <w:r w:rsidR="0033664A" w:rsidRPr="00E54F41">
        <w:rPr>
          <w:sz w:val="20"/>
          <w:szCs w:val="20"/>
          <w:u w:val="single"/>
          <w:lang w:val="fr-CA"/>
        </w:rPr>
        <w:t xml:space="preserve"> Côté et Brown</w:t>
      </w:r>
    </w:p>
    <w:p w:rsidR="0052229C" w:rsidRPr="00E54F41" w:rsidRDefault="0052229C" w:rsidP="0052229C">
      <w:pPr>
        <w:ind w:left="1440" w:hanging="1440"/>
        <w:rPr>
          <w:sz w:val="16"/>
          <w:u w:val="single"/>
          <w:lang w:val="fr-CA"/>
        </w:rPr>
      </w:pPr>
    </w:p>
    <w:p w:rsidR="00B42D0D" w:rsidRPr="00E54F41" w:rsidRDefault="00B42D0D" w:rsidP="00B42D0D">
      <w:pPr>
        <w:jc w:val="both"/>
        <w:rPr>
          <w:rFonts w:eastAsia="Calibri"/>
          <w:sz w:val="16"/>
          <w:szCs w:val="20"/>
          <w:lang w:val="fr-CA"/>
        </w:rPr>
      </w:pPr>
      <w:r w:rsidRPr="00E54F41">
        <w:rPr>
          <w:rFonts w:cs="Times New Roman"/>
          <w:sz w:val="20"/>
          <w:lang w:val="fr-CA"/>
        </w:rPr>
        <w:t>L’appel interjeté contre l’arrêt de la Cour d’appel du Québec (Montréal), numéro 500-09-024173-148, 2015 QCCA 152, daté du 27 janvier 2015, entendu le 24 mars 2016, est rejeté avec dépens en faveur d’Aviva, Compagnie d’assurance du Canada</w:t>
      </w:r>
    </w:p>
    <w:p w:rsidR="00B42D0D" w:rsidRPr="00E54F41" w:rsidRDefault="00B42D0D" w:rsidP="00B42D0D">
      <w:pPr>
        <w:jc w:val="both"/>
        <w:rPr>
          <w:sz w:val="20"/>
          <w:lang w:val="fr-CA"/>
        </w:rPr>
      </w:pPr>
    </w:p>
    <w:p w:rsidR="0052229C" w:rsidRPr="00E54F41" w:rsidRDefault="001A424F" w:rsidP="0052229C">
      <w:pPr>
        <w:rPr>
          <w:rFonts w:cs="Times New Roman"/>
          <w:sz w:val="20"/>
        </w:rPr>
      </w:pPr>
      <w:r w:rsidRPr="00E54F41">
        <w:rPr>
          <w:rFonts w:cs="Times New Roman"/>
          <w:sz w:val="20"/>
        </w:rPr>
        <w:t>The appeal from the judgment of the Court of Appeal of Quebec (Montréal), Number 500-09-024173-148, 2015 QCCA 152, dated January 27, 2015, heard on March 24, 2016, is dismissed with costs to Aviva Insurance Company of Canada</w:t>
      </w:r>
    </w:p>
    <w:p w:rsidR="0033664A" w:rsidRPr="00E54F41" w:rsidRDefault="0033664A" w:rsidP="0052229C">
      <w:pPr>
        <w:rPr>
          <w:sz w:val="20"/>
          <w:szCs w:val="20"/>
        </w:rPr>
      </w:pPr>
    </w:p>
    <w:p w:rsidR="0052229C" w:rsidRPr="00E54F41" w:rsidRDefault="00B904CB" w:rsidP="0052229C">
      <w:pPr>
        <w:spacing w:line="0" w:lineRule="atLeast"/>
        <w:rPr>
          <w:sz w:val="20"/>
          <w:szCs w:val="20"/>
        </w:rPr>
      </w:pPr>
      <w:r>
        <w:rPr>
          <w:b/>
          <w:sz w:val="20"/>
          <w:szCs w:val="20"/>
        </w:rPr>
        <w:pict>
          <v:rect id="_x0000_i1060" style="width:144.3pt;height:1pt" o:hrpct="300" o:hralign="center" o:hrstd="t" o:hrnoshade="t" o:hr="t" fillcolor="black [3213]" stroked="f"/>
        </w:pict>
      </w:r>
    </w:p>
    <w:p w:rsidR="0052229C" w:rsidRPr="00E54F41" w:rsidRDefault="0052229C" w:rsidP="0052229C">
      <w:pPr>
        <w:spacing w:line="0" w:lineRule="atLeast"/>
        <w:rPr>
          <w:sz w:val="20"/>
          <w:szCs w:val="20"/>
        </w:rPr>
      </w:pPr>
    </w:p>
    <w:p w:rsidR="0052229C" w:rsidRPr="00E54F41" w:rsidRDefault="000E27A5" w:rsidP="0052229C">
      <w:pPr>
        <w:ind w:left="1440" w:hanging="1440"/>
        <w:jc w:val="both"/>
        <w:rPr>
          <w:sz w:val="20"/>
          <w:szCs w:val="20"/>
        </w:rPr>
      </w:pPr>
      <w:r w:rsidRPr="00E54F41">
        <w:rPr>
          <w:b/>
          <w:sz w:val="20"/>
          <w:szCs w:val="20"/>
        </w:rPr>
        <w:fldChar w:fldCharType="begin"/>
      </w:r>
      <w:r w:rsidR="0052229C" w:rsidRPr="00E54F41">
        <w:rPr>
          <w:b/>
          <w:sz w:val="20"/>
          <w:szCs w:val="20"/>
        </w:rPr>
        <w:instrText xml:space="preserve"> SEQ CHAPTER \h \r 1</w:instrText>
      </w:r>
      <w:r w:rsidRPr="00E54F41">
        <w:rPr>
          <w:b/>
          <w:sz w:val="20"/>
          <w:szCs w:val="20"/>
        </w:rPr>
        <w:fldChar w:fldCharType="end"/>
      </w:r>
      <w:r w:rsidR="00B42D0D" w:rsidRPr="00E54F41">
        <w:rPr>
          <w:b/>
          <w:sz w:val="20"/>
          <w:szCs w:val="20"/>
        </w:rPr>
        <w:t>36460</w:t>
      </w:r>
      <w:r w:rsidR="0052229C" w:rsidRPr="00E54F41">
        <w:rPr>
          <w:sz w:val="20"/>
          <w:szCs w:val="20"/>
        </w:rPr>
        <w:tab/>
      </w:r>
      <w:r w:rsidR="0033664A" w:rsidRPr="00E54F41">
        <w:rPr>
          <w:b/>
          <w:iCs/>
          <w:sz w:val="20"/>
          <w:u w:val="single"/>
        </w:rPr>
        <w:t>Information and Privacy Commissioner of Alberta v. Board of Governors of the University of Calgary – and – Law Society of Alberta, British Columbia Freedom of Information and Privacy Association, Information and Privacy Commissioner of Ontario, Information and Privacy Commissioner for British Columbia, Information and Privacy Commissioner for the Province of Newfoundland and Labrador, Advocates’ Society, Federation of Law Societies of Canada, Canadian Bar Association, Information Commissioner of Canada, Privacy Commissioner of Canada, Manitoba Ombudsman, Northwest Territories Information and Privacy Commissioner, Nova Scotia Information and Privacy Commissioner [Review Officer], Nunavut Information and Privacy Commissioner, Saskatchewan Information and Privacy Commissioner, Yukon Ombudsman and Information and Privacy Commissioner and Criminal Lawyers’ Association</w:t>
      </w:r>
      <w:r w:rsidR="0033664A" w:rsidRPr="00E54F41">
        <w:rPr>
          <w:iCs/>
          <w:sz w:val="20"/>
        </w:rPr>
        <w:t xml:space="preserve"> </w:t>
      </w:r>
      <w:r w:rsidR="0052229C" w:rsidRPr="00E54F41">
        <w:rPr>
          <w:iCs/>
          <w:sz w:val="20"/>
          <w:szCs w:val="20"/>
        </w:rPr>
        <w:t>(</w:t>
      </w:r>
      <w:r w:rsidR="006B0A49" w:rsidRPr="00E54F41">
        <w:rPr>
          <w:iCs/>
          <w:sz w:val="20"/>
          <w:szCs w:val="20"/>
        </w:rPr>
        <w:t>Alta.</w:t>
      </w:r>
      <w:r w:rsidR="0052229C" w:rsidRPr="00E54F41">
        <w:rPr>
          <w:iCs/>
          <w:sz w:val="20"/>
          <w:szCs w:val="20"/>
        </w:rPr>
        <w:t>)</w:t>
      </w:r>
    </w:p>
    <w:p w:rsidR="0052229C" w:rsidRPr="00E54F41"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E54F41">
        <w:rPr>
          <w:b/>
          <w:sz w:val="20"/>
          <w:szCs w:val="20"/>
        </w:rPr>
        <w:t>201</w:t>
      </w:r>
      <w:r w:rsidR="00E942C2" w:rsidRPr="00E54F41">
        <w:rPr>
          <w:b/>
          <w:sz w:val="20"/>
          <w:szCs w:val="20"/>
        </w:rPr>
        <w:t>6</w:t>
      </w:r>
      <w:r w:rsidR="006B0A49" w:rsidRPr="00E54F41">
        <w:rPr>
          <w:b/>
          <w:sz w:val="20"/>
          <w:szCs w:val="20"/>
        </w:rPr>
        <w:t xml:space="preserve"> SCC 53</w:t>
      </w:r>
      <w:r w:rsidRPr="00E54F41">
        <w:rPr>
          <w:b/>
          <w:sz w:val="20"/>
          <w:szCs w:val="20"/>
        </w:rPr>
        <w:t xml:space="preserve"> / 201</w:t>
      </w:r>
      <w:r w:rsidR="00E942C2" w:rsidRPr="00E54F41">
        <w:rPr>
          <w:b/>
          <w:sz w:val="20"/>
          <w:szCs w:val="20"/>
        </w:rPr>
        <w:t>6</w:t>
      </w:r>
      <w:r w:rsidR="006B0A49" w:rsidRPr="00E54F41">
        <w:rPr>
          <w:b/>
          <w:sz w:val="20"/>
          <w:szCs w:val="20"/>
        </w:rPr>
        <w:t xml:space="preserve"> CSC 53</w:t>
      </w:r>
    </w:p>
    <w:p w:rsidR="0052229C" w:rsidRPr="00E54F41"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2229C" w:rsidRPr="00E54F41" w:rsidRDefault="0052229C" w:rsidP="0052229C">
      <w:pPr>
        <w:ind w:left="1440" w:hanging="1440"/>
        <w:rPr>
          <w:sz w:val="20"/>
          <w:szCs w:val="20"/>
          <w:u w:val="single"/>
        </w:rPr>
      </w:pPr>
      <w:r w:rsidRPr="00E54F41">
        <w:rPr>
          <w:sz w:val="20"/>
          <w:szCs w:val="20"/>
        </w:rPr>
        <w:t>Coram:</w:t>
      </w:r>
      <w:r w:rsidRPr="00E54F41">
        <w:rPr>
          <w:sz w:val="20"/>
          <w:szCs w:val="20"/>
        </w:rPr>
        <w:tab/>
      </w:r>
      <w:r w:rsidR="006B0A49" w:rsidRPr="00E54F41">
        <w:rPr>
          <w:sz w:val="20"/>
          <w:szCs w:val="20"/>
          <w:u w:val="single"/>
        </w:rPr>
        <w:t>Abella, Cromwell, Moldaver, Kar</w:t>
      </w:r>
      <w:r w:rsidR="00AD6B30" w:rsidRPr="00E54F41">
        <w:rPr>
          <w:sz w:val="20"/>
          <w:szCs w:val="20"/>
          <w:u w:val="single"/>
        </w:rPr>
        <w:t>akatsanis, Wagner, Gascon and Côté JJ.</w:t>
      </w:r>
    </w:p>
    <w:p w:rsidR="0052229C" w:rsidRPr="00E54F41" w:rsidRDefault="0052229C" w:rsidP="0052229C">
      <w:pPr>
        <w:ind w:left="1440" w:hanging="1440"/>
        <w:jc w:val="both"/>
        <w:rPr>
          <w:sz w:val="16"/>
          <w:szCs w:val="20"/>
          <w:u w:val="single"/>
        </w:rPr>
      </w:pPr>
    </w:p>
    <w:p w:rsidR="00B42D0D" w:rsidRPr="00E54F41" w:rsidRDefault="00B42D0D" w:rsidP="00B42D0D">
      <w:pPr>
        <w:jc w:val="both"/>
        <w:rPr>
          <w:sz w:val="20"/>
        </w:rPr>
      </w:pPr>
      <w:r w:rsidRPr="00E54F41">
        <w:rPr>
          <w:sz w:val="20"/>
        </w:rPr>
        <w:t xml:space="preserve">The appeal from the judgment of the Court of Appeal of Alberta (Calgary), Number 1301-0368-AC, 2015 ABCA 118, dated April 2, 2015, heard on April 1, 2016, is dismissed with costs throughout to the  Board of Governors of the </w:t>
      </w:r>
      <w:r w:rsidRPr="00E54F41">
        <w:rPr>
          <w:rFonts w:cs="Times New Roman"/>
          <w:sz w:val="20"/>
        </w:rPr>
        <w:t>University of Calgary</w:t>
      </w:r>
      <w:r w:rsidRPr="00E54F41">
        <w:rPr>
          <w:sz w:val="20"/>
        </w:rPr>
        <w:t>.</w:t>
      </w:r>
    </w:p>
    <w:p w:rsidR="00B42D0D" w:rsidRPr="00E54F41" w:rsidRDefault="00B42D0D" w:rsidP="00B42D0D">
      <w:pPr>
        <w:jc w:val="both"/>
        <w:rPr>
          <w:rFonts w:eastAsia="Calibri"/>
          <w:sz w:val="20"/>
        </w:rPr>
      </w:pPr>
    </w:p>
    <w:p w:rsidR="00B42D0D" w:rsidRPr="00E54F41" w:rsidRDefault="00B42D0D" w:rsidP="00B42D0D">
      <w:pPr>
        <w:jc w:val="both"/>
        <w:rPr>
          <w:sz w:val="20"/>
          <w:lang w:val="fr-CA"/>
        </w:rPr>
      </w:pPr>
      <w:r w:rsidRPr="00E54F41">
        <w:rPr>
          <w:sz w:val="20"/>
          <w:lang w:val="fr-CA"/>
        </w:rPr>
        <w:t>L’appel interjeté contre l’arrêt de la Cour d’appel de l’Alberta (Calgary), numéro 1301-0368-AC, 2015 ABCA 118, daté du 2 avril 2015, entendu le 1</w:t>
      </w:r>
      <w:r w:rsidRPr="00E54F41">
        <w:rPr>
          <w:sz w:val="20"/>
          <w:vertAlign w:val="superscript"/>
          <w:lang w:val="fr-CA"/>
        </w:rPr>
        <w:t>er</w:t>
      </w:r>
      <w:r w:rsidRPr="00E54F41">
        <w:rPr>
          <w:sz w:val="20"/>
          <w:lang w:val="fr-CA"/>
        </w:rPr>
        <w:t xml:space="preserve"> avril 2016, est rejeté avec dépens en faveur du </w:t>
      </w:r>
      <w:proofErr w:type="spellStart"/>
      <w:r w:rsidRPr="00E54F41">
        <w:rPr>
          <w:sz w:val="20"/>
          <w:lang w:val="fr-CA"/>
        </w:rPr>
        <w:t>Board</w:t>
      </w:r>
      <w:proofErr w:type="spellEnd"/>
      <w:r w:rsidRPr="00E54F41">
        <w:rPr>
          <w:sz w:val="20"/>
          <w:lang w:val="fr-CA"/>
        </w:rPr>
        <w:t xml:space="preserve"> of </w:t>
      </w:r>
      <w:proofErr w:type="spellStart"/>
      <w:r w:rsidRPr="00E54F41">
        <w:rPr>
          <w:sz w:val="20"/>
          <w:lang w:val="fr-CA"/>
        </w:rPr>
        <w:t>Governors</w:t>
      </w:r>
      <w:proofErr w:type="spellEnd"/>
      <w:r w:rsidRPr="00E54F41">
        <w:rPr>
          <w:sz w:val="20"/>
          <w:lang w:val="fr-CA"/>
        </w:rPr>
        <w:t xml:space="preserve"> of the </w:t>
      </w:r>
      <w:proofErr w:type="spellStart"/>
      <w:r w:rsidRPr="00E54F41">
        <w:rPr>
          <w:rFonts w:cs="Times New Roman"/>
          <w:sz w:val="20"/>
          <w:lang w:val="fr-CA"/>
        </w:rPr>
        <w:t>University</w:t>
      </w:r>
      <w:proofErr w:type="spellEnd"/>
      <w:r w:rsidRPr="00E54F41">
        <w:rPr>
          <w:rFonts w:cs="Times New Roman"/>
          <w:sz w:val="20"/>
          <w:lang w:val="fr-CA"/>
        </w:rPr>
        <w:t xml:space="preserve"> of Calgary </w:t>
      </w:r>
      <w:r w:rsidRPr="00E54F41">
        <w:rPr>
          <w:sz w:val="20"/>
          <w:lang w:val="fr-CA"/>
        </w:rPr>
        <w:t>devant toutes les cours.</w:t>
      </w:r>
    </w:p>
    <w:p w:rsidR="008B2480" w:rsidRPr="00E54F41" w:rsidRDefault="008B2480" w:rsidP="00B42D0D">
      <w:pPr>
        <w:jc w:val="both"/>
        <w:rPr>
          <w:sz w:val="20"/>
          <w:lang w:val="fr-CA"/>
        </w:rPr>
      </w:pPr>
    </w:p>
    <w:p w:rsidR="00D004FC" w:rsidRPr="00E54F41" w:rsidRDefault="00B904CB" w:rsidP="00D004FC">
      <w:pPr>
        <w:jc w:val="both"/>
        <w:rPr>
          <w:rFonts w:cs="Times New Roman"/>
          <w:b/>
          <w:sz w:val="20"/>
          <w:szCs w:val="20"/>
        </w:rPr>
      </w:pPr>
      <w:r>
        <w:rPr>
          <w:rFonts w:cs="Times New Roman"/>
          <w:b/>
          <w:sz w:val="20"/>
          <w:szCs w:val="20"/>
        </w:rPr>
        <w:pict>
          <v:rect id="_x0000_i1061" style="width:144.3pt;height:1pt" o:hrpct="300" o:hralign="center" o:hrstd="t" o:hrnoshade="t" o:hr="t" fillcolor="black [3213]" stroked="f"/>
        </w:pict>
      </w:r>
    </w:p>
    <w:p w:rsidR="00D004FC" w:rsidRPr="00E54F41" w:rsidRDefault="00D004FC" w:rsidP="00D004FC">
      <w:pPr>
        <w:jc w:val="both"/>
        <w:rPr>
          <w:rFonts w:cs="Times New Roman"/>
          <w:sz w:val="20"/>
          <w:szCs w:val="20"/>
        </w:rPr>
      </w:pPr>
    </w:p>
    <w:p w:rsidR="00D004FC" w:rsidRPr="00E54F41"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E54F41" w:rsidRDefault="00732DB7" w:rsidP="00732DB7">
      <w:pPr>
        <w:widowControl w:val="0"/>
        <w:rPr>
          <w:sz w:val="20"/>
          <w:szCs w:val="20"/>
        </w:rPr>
      </w:pPr>
    </w:p>
    <w:p w:rsidR="00697C62" w:rsidRPr="00E54F41" w:rsidRDefault="00697C62" w:rsidP="00732DB7">
      <w:pPr>
        <w:widowControl w:val="0"/>
        <w:rPr>
          <w:sz w:val="20"/>
          <w:szCs w:val="20"/>
        </w:rPr>
        <w:sectPr w:rsidR="00697C62" w:rsidRPr="00E54F41"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E54F41" w:rsidTr="0085476B">
        <w:tc>
          <w:tcPr>
            <w:tcW w:w="4200" w:type="dxa"/>
            <w:tcMar>
              <w:left w:w="0" w:type="dxa"/>
              <w:right w:w="0" w:type="dxa"/>
            </w:tcMar>
          </w:tcPr>
          <w:p w:rsidR="00782AE4" w:rsidRPr="00E54F41" w:rsidRDefault="00782AE4" w:rsidP="00782AE4">
            <w:pPr>
              <w:keepNext/>
              <w:keepLines/>
              <w:jc w:val="both"/>
              <w:rPr>
                <w:b/>
                <w:szCs w:val="24"/>
              </w:rPr>
            </w:pPr>
            <w:r w:rsidRPr="00E54F41">
              <w:rPr>
                <w:b/>
                <w:szCs w:val="24"/>
              </w:rPr>
              <w:lastRenderedPageBreak/>
              <w:t>HEADNOTES OF RECENT</w:t>
            </w:r>
          </w:p>
          <w:p w:rsidR="00782AE4" w:rsidRPr="00E54F41" w:rsidRDefault="00782AE4" w:rsidP="00782AE4">
            <w:pPr>
              <w:keepNext/>
              <w:keepLines/>
              <w:jc w:val="both"/>
              <w:rPr>
                <w:b/>
                <w:szCs w:val="24"/>
              </w:rPr>
            </w:pPr>
            <w:r w:rsidRPr="00E54F41">
              <w:rPr>
                <w:b/>
                <w:szCs w:val="24"/>
              </w:rPr>
              <w:t>JUDGMENTS</w:t>
            </w:r>
          </w:p>
        </w:tc>
        <w:tc>
          <w:tcPr>
            <w:tcW w:w="1200" w:type="dxa"/>
            <w:tcMar>
              <w:left w:w="0" w:type="dxa"/>
              <w:right w:w="0" w:type="dxa"/>
            </w:tcMar>
          </w:tcPr>
          <w:p w:rsidR="00782AE4" w:rsidRPr="00E54F41" w:rsidRDefault="00782AE4" w:rsidP="00102926">
            <w:pPr>
              <w:keepNext/>
              <w:keepLines/>
              <w:jc w:val="center"/>
              <w:rPr>
                <w:b/>
                <w:szCs w:val="24"/>
              </w:rPr>
            </w:pPr>
          </w:p>
          <w:p w:rsidR="00782AE4" w:rsidRPr="00E54F41" w:rsidRDefault="00782AE4" w:rsidP="00102926">
            <w:pPr>
              <w:keepNext/>
              <w:keepLines/>
              <w:jc w:val="center"/>
              <w:rPr>
                <w:b/>
                <w:szCs w:val="24"/>
              </w:rPr>
            </w:pPr>
          </w:p>
          <w:p w:rsidR="00782AE4" w:rsidRPr="00E54F41" w:rsidRDefault="00782AE4" w:rsidP="00102926">
            <w:pPr>
              <w:keepNext/>
              <w:keepLines/>
              <w:jc w:val="center"/>
              <w:rPr>
                <w:b/>
                <w:szCs w:val="24"/>
              </w:rPr>
            </w:pPr>
          </w:p>
        </w:tc>
        <w:tc>
          <w:tcPr>
            <w:tcW w:w="4080" w:type="dxa"/>
            <w:tcMar>
              <w:left w:w="0" w:type="dxa"/>
              <w:right w:w="0" w:type="dxa"/>
            </w:tcMar>
          </w:tcPr>
          <w:p w:rsidR="00782AE4" w:rsidRPr="00E54F41" w:rsidRDefault="00782AE4" w:rsidP="00782AE4">
            <w:pPr>
              <w:keepNext/>
              <w:keepLines/>
              <w:rPr>
                <w:b/>
                <w:szCs w:val="24"/>
              </w:rPr>
            </w:pPr>
            <w:r w:rsidRPr="00E54F41">
              <w:rPr>
                <w:b/>
                <w:szCs w:val="24"/>
              </w:rPr>
              <w:t>SOMMAIRES DE JUGEMENTS RÉCENTS</w:t>
            </w:r>
          </w:p>
        </w:tc>
      </w:tr>
    </w:tbl>
    <w:p w:rsidR="000A5604" w:rsidRPr="00E54F41" w:rsidRDefault="000A5604" w:rsidP="0052229C">
      <w:pPr>
        <w:ind w:left="720" w:hanging="720"/>
        <w:rPr>
          <w:i/>
          <w:sz w:val="20"/>
          <w:szCs w:val="20"/>
        </w:rPr>
      </w:pPr>
    </w:p>
    <w:p w:rsidR="00266F79" w:rsidRPr="00E54F41" w:rsidRDefault="00266F79" w:rsidP="009A2821">
      <w:pPr>
        <w:rPr>
          <w:rFonts w:eastAsia="Calibri"/>
          <w:b/>
          <w:sz w:val="20"/>
          <w:szCs w:val="20"/>
          <w:lang w:val="fr-CA"/>
        </w:rPr>
      </w:pPr>
      <w:r w:rsidRPr="00E54F41">
        <w:rPr>
          <w:i/>
          <w:sz w:val="20"/>
          <w:szCs w:val="20"/>
          <w:lang w:val="fr-CA"/>
        </w:rPr>
        <w:t>Karine Lizotte, ès qualités de syndic adjoint de la Chambre de l’assurance de dommages c. Aviva,</w:t>
      </w:r>
      <w:r w:rsidR="009A2821" w:rsidRPr="00E54F41">
        <w:rPr>
          <w:i/>
          <w:sz w:val="20"/>
          <w:szCs w:val="20"/>
          <w:lang w:val="fr-CA"/>
        </w:rPr>
        <w:t xml:space="preserve"> </w:t>
      </w:r>
      <w:r w:rsidRPr="00E54F41">
        <w:rPr>
          <w:i/>
          <w:sz w:val="20"/>
          <w:szCs w:val="20"/>
          <w:lang w:val="fr-CA"/>
        </w:rPr>
        <w:t>Compagnie</w:t>
      </w:r>
      <w:r w:rsidR="009A2821" w:rsidRPr="00E54F41">
        <w:rPr>
          <w:i/>
          <w:sz w:val="20"/>
          <w:szCs w:val="20"/>
          <w:lang w:val="fr-CA"/>
        </w:rPr>
        <w:t xml:space="preserve"> </w:t>
      </w:r>
      <w:r w:rsidRPr="00E54F41">
        <w:rPr>
          <w:i/>
          <w:sz w:val="20"/>
          <w:szCs w:val="20"/>
          <w:lang w:val="fr-CA"/>
        </w:rPr>
        <w:t>d’assurance du Canada et Compag</w:t>
      </w:r>
      <w:r w:rsidR="009A2821" w:rsidRPr="00E54F41">
        <w:rPr>
          <w:i/>
          <w:sz w:val="20"/>
          <w:szCs w:val="20"/>
          <w:lang w:val="fr-CA"/>
        </w:rPr>
        <w:t>n</w:t>
      </w:r>
      <w:r w:rsidRPr="00E54F41">
        <w:rPr>
          <w:i/>
          <w:sz w:val="20"/>
          <w:szCs w:val="20"/>
          <w:lang w:val="fr-CA"/>
        </w:rPr>
        <w:t xml:space="preserve">ie d’assurance traders générale </w:t>
      </w:r>
      <w:r w:rsidRPr="00E54F41">
        <w:rPr>
          <w:sz w:val="20"/>
          <w:szCs w:val="20"/>
          <w:lang w:val="fr-CA"/>
        </w:rPr>
        <w:t>(Qc) (</w:t>
      </w:r>
      <w:r w:rsidR="00B904CB">
        <w:fldChar w:fldCharType="begin"/>
      </w:r>
      <w:r w:rsidR="00B904CB" w:rsidRPr="00B904CB">
        <w:rPr>
          <w:lang w:val="fr-CA"/>
        </w:rPr>
        <w:instrText xml:space="preserve"> HYPERLINK "http://www.scc-csc.ca/case-dossier/info/sum-som-fra.aspx?cas=36373" </w:instrText>
      </w:r>
      <w:r w:rsidR="00B904CB">
        <w:fldChar w:fldCharType="separate"/>
      </w:r>
      <w:r w:rsidRPr="00E54F41">
        <w:rPr>
          <w:rStyle w:val="Hyperlink"/>
          <w:sz w:val="20"/>
          <w:szCs w:val="20"/>
          <w:lang w:val="fr-CA"/>
        </w:rPr>
        <w:t>36373</w:t>
      </w:r>
      <w:r w:rsidR="00B904CB">
        <w:rPr>
          <w:rStyle w:val="Hyperlink"/>
          <w:sz w:val="20"/>
          <w:szCs w:val="20"/>
          <w:lang w:val="fr-CA"/>
        </w:rPr>
        <w:fldChar w:fldCharType="end"/>
      </w:r>
      <w:r w:rsidRPr="00E54F41">
        <w:rPr>
          <w:sz w:val="20"/>
          <w:szCs w:val="20"/>
          <w:lang w:val="fr-CA"/>
        </w:rPr>
        <w:t>)</w:t>
      </w:r>
    </w:p>
    <w:p w:rsidR="00266F79" w:rsidRPr="00E54F41" w:rsidRDefault="00266F79" w:rsidP="00266F79">
      <w:pPr>
        <w:jc w:val="both"/>
        <w:rPr>
          <w:b/>
          <w:sz w:val="20"/>
          <w:szCs w:val="20"/>
          <w:lang w:val="fr-CA"/>
        </w:rPr>
      </w:pPr>
      <w:proofErr w:type="spellStart"/>
      <w:r w:rsidRPr="00E54F41">
        <w:rPr>
          <w:b/>
          <w:sz w:val="20"/>
          <w:szCs w:val="20"/>
          <w:lang w:val="fr-CA"/>
        </w:rPr>
        <w:t>Indexed</w:t>
      </w:r>
      <w:proofErr w:type="spellEnd"/>
      <w:r w:rsidRPr="00E54F41">
        <w:rPr>
          <w:b/>
          <w:sz w:val="20"/>
          <w:szCs w:val="20"/>
          <w:lang w:val="fr-CA"/>
        </w:rPr>
        <w:t xml:space="preserve"> as: </w:t>
      </w:r>
      <w:proofErr w:type="spellStart"/>
      <w:r w:rsidRPr="00E54F41">
        <w:rPr>
          <w:b/>
          <w:sz w:val="20"/>
          <w:szCs w:val="20"/>
          <w:lang w:val="fr-CA"/>
        </w:rPr>
        <w:t>Lizotte</w:t>
      </w:r>
      <w:proofErr w:type="spellEnd"/>
      <w:r w:rsidRPr="00E54F41">
        <w:rPr>
          <w:b/>
          <w:sz w:val="20"/>
          <w:szCs w:val="20"/>
          <w:lang w:val="fr-CA"/>
        </w:rPr>
        <w:t xml:space="preserve"> </w:t>
      </w:r>
      <w:r w:rsidR="00336EE0" w:rsidRPr="00E54F41">
        <w:rPr>
          <w:b/>
          <w:i/>
          <w:sz w:val="20"/>
          <w:szCs w:val="20"/>
          <w:lang w:val="fr-CA"/>
        </w:rPr>
        <w:t>v</w:t>
      </w:r>
      <w:r w:rsidRPr="00E54F41">
        <w:rPr>
          <w:b/>
          <w:i/>
          <w:sz w:val="20"/>
          <w:szCs w:val="20"/>
          <w:lang w:val="fr-CA"/>
        </w:rPr>
        <w:t>.</w:t>
      </w:r>
      <w:r w:rsidRPr="00E54F41">
        <w:rPr>
          <w:b/>
          <w:sz w:val="20"/>
          <w:szCs w:val="20"/>
          <w:lang w:val="fr-CA"/>
        </w:rPr>
        <w:t xml:space="preserve"> Aviva </w:t>
      </w:r>
      <w:proofErr w:type="spellStart"/>
      <w:r w:rsidRPr="00E54F41">
        <w:rPr>
          <w:b/>
          <w:sz w:val="20"/>
          <w:szCs w:val="20"/>
          <w:lang w:val="fr-CA"/>
        </w:rPr>
        <w:t>Insurance</w:t>
      </w:r>
      <w:proofErr w:type="spellEnd"/>
      <w:r w:rsidRPr="00E54F41">
        <w:rPr>
          <w:b/>
          <w:sz w:val="20"/>
          <w:szCs w:val="20"/>
          <w:lang w:val="fr-CA"/>
        </w:rPr>
        <w:t xml:space="preserve"> </w:t>
      </w:r>
      <w:proofErr w:type="spellStart"/>
      <w:r w:rsidRPr="00E54F41">
        <w:rPr>
          <w:b/>
          <w:sz w:val="20"/>
          <w:szCs w:val="20"/>
          <w:lang w:val="fr-CA"/>
        </w:rPr>
        <w:t>Company</w:t>
      </w:r>
      <w:proofErr w:type="spellEnd"/>
      <w:r w:rsidRPr="00E54F41">
        <w:rPr>
          <w:b/>
          <w:sz w:val="20"/>
          <w:szCs w:val="20"/>
          <w:lang w:val="fr-CA"/>
        </w:rPr>
        <w:t xml:space="preserve"> of Canada</w:t>
      </w:r>
      <w:r w:rsidRPr="00E54F41">
        <w:rPr>
          <w:rStyle w:val="SCCAppellantForIndexChar"/>
          <w:rFonts w:eastAsiaTheme="minorHAnsi"/>
          <w:sz w:val="20"/>
        </w:rPr>
        <w:t xml:space="preserve"> / </w:t>
      </w:r>
      <w:r w:rsidRPr="00E54F41">
        <w:rPr>
          <w:b/>
          <w:sz w:val="20"/>
          <w:szCs w:val="20"/>
          <w:lang w:val="fr-CA"/>
        </w:rPr>
        <w:t xml:space="preserve">Répertorié : Lizotte </w:t>
      </w:r>
      <w:r w:rsidRPr="00E54F41">
        <w:rPr>
          <w:b/>
          <w:i/>
          <w:sz w:val="20"/>
          <w:szCs w:val="20"/>
          <w:lang w:val="fr-CA"/>
        </w:rPr>
        <w:t>c.</w:t>
      </w:r>
      <w:r w:rsidRPr="00E54F41">
        <w:rPr>
          <w:b/>
          <w:sz w:val="20"/>
          <w:szCs w:val="20"/>
          <w:lang w:val="fr-CA"/>
        </w:rPr>
        <w:t xml:space="preserve"> Aviva, Compagnie d’assurance du Canada</w:t>
      </w:r>
    </w:p>
    <w:p w:rsidR="00266F79" w:rsidRPr="00E54F41" w:rsidRDefault="00266F79" w:rsidP="00266F79">
      <w:pPr>
        <w:jc w:val="both"/>
        <w:rPr>
          <w:b/>
          <w:sz w:val="20"/>
          <w:szCs w:val="20"/>
          <w:lang w:val="fr-CA"/>
        </w:rPr>
      </w:pPr>
      <w:proofErr w:type="spellStart"/>
      <w:r w:rsidRPr="00E54F41">
        <w:rPr>
          <w:b/>
          <w:sz w:val="20"/>
          <w:lang w:val="fr-CA"/>
        </w:rPr>
        <w:t>Neutral</w:t>
      </w:r>
      <w:proofErr w:type="spellEnd"/>
      <w:r w:rsidRPr="00E54F41">
        <w:rPr>
          <w:b/>
          <w:sz w:val="20"/>
          <w:lang w:val="fr-CA"/>
        </w:rPr>
        <w:t xml:space="preserve"> citation: 2016 SCC 52 / Référence neutre : 2016 CSC 52</w:t>
      </w:r>
    </w:p>
    <w:p w:rsidR="00266F79" w:rsidRPr="00E54F41" w:rsidRDefault="00266F79" w:rsidP="00266F79">
      <w:pPr>
        <w:rPr>
          <w:sz w:val="20"/>
          <w:szCs w:val="20"/>
          <w:lang w:val="fr-CA"/>
        </w:rPr>
      </w:pPr>
      <w:proofErr w:type="spellStart"/>
      <w:r w:rsidRPr="00E54F41">
        <w:rPr>
          <w:sz w:val="20"/>
          <w:szCs w:val="20"/>
          <w:lang w:val="fr-CA"/>
        </w:rPr>
        <w:t>Hearing</w:t>
      </w:r>
      <w:proofErr w:type="spellEnd"/>
      <w:r w:rsidRPr="00E54F41">
        <w:rPr>
          <w:sz w:val="20"/>
          <w:szCs w:val="20"/>
          <w:lang w:val="fr-CA"/>
        </w:rPr>
        <w:t>: March 24, 2016 / Judgment: November 25, 2016</w:t>
      </w:r>
    </w:p>
    <w:p w:rsidR="00266F79" w:rsidRPr="00E54F41" w:rsidRDefault="00266F79" w:rsidP="00266F79">
      <w:pPr>
        <w:rPr>
          <w:sz w:val="20"/>
          <w:szCs w:val="20"/>
          <w:lang w:val="fr-CA"/>
        </w:rPr>
      </w:pPr>
      <w:r w:rsidRPr="00E54F41">
        <w:rPr>
          <w:sz w:val="20"/>
          <w:szCs w:val="20"/>
          <w:lang w:val="fr-CA"/>
        </w:rPr>
        <w:t>Audition : Le 24 mars 2016 / Jugement : Le 25 novembre 2016</w:t>
      </w:r>
    </w:p>
    <w:p w:rsidR="005C6840" w:rsidRPr="00E54F41" w:rsidRDefault="00B904CB" w:rsidP="005C6840">
      <w:pPr>
        <w:rPr>
          <w:sz w:val="20"/>
          <w:szCs w:val="20"/>
          <w:lang w:val="fr-CA"/>
        </w:rPr>
      </w:pPr>
      <w:r>
        <w:rPr>
          <w:i/>
          <w:sz w:val="20"/>
          <w:szCs w:val="20"/>
        </w:rPr>
        <w:pict>
          <v:rect id="_x0000_i1064" style="width:480.95pt;height:1pt" o:hralign="center" o:hrstd="t" o:hrnoshade="t" o:hr="t" fillcolor="black [3213]" stroked="f"/>
        </w:pict>
      </w:r>
    </w:p>
    <w:p w:rsidR="005C6840" w:rsidRPr="00E54F41" w:rsidRDefault="005C6840" w:rsidP="005C6840">
      <w:pPr>
        <w:spacing w:line="0" w:lineRule="atLeast"/>
        <w:rPr>
          <w:sz w:val="20"/>
          <w:szCs w:val="20"/>
          <w:lang w:val="fr-CA"/>
        </w:rPr>
      </w:pPr>
    </w:p>
    <w:p w:rsidR="00266F79" w:rsidRPr="00E54F41" w:rsidRDefault="00266F79" w:rsidP="005C6840">
      <w:pPr>
        <w:spacing w:line="0" w:lineRule="atLeast"/>
        <w:rPr>
          <w:sz w:val="20"/>
          <w:szCs w:val="20"/>
          <w:lang w:val="fr-CA"/>
        </w:rPr>
      </w:pPr>
      <w:r w:rsidRPr="00E54F41">
        <w:rPr>
          <w:sz w:val="20"/>
          <w:szCs w:val="20"/>
          <w:lang w:val="fr-CA"/>
        </w:rPr>
        <w:t>Présents : La juge en chef McLachlin et les juges Abella, Cromwell, Moldaver, Karakatsanis, Wagner, Gascon, Côté et Brown</w:t>
      </w:r>
    </w:p>
    <w:p w:rsidR="00F83180" w:rsidRPr="00E54F41" w:rsidRDefault="00F83180" w:rsidP="0052229C">
      <w:pPr>
        <w:pStyle w:val="SCCNormalDoubleSpacing"/>
        <w:spacing w:line="240" w:lineRule="auto"/>
        <w:rPr>
          <w:sz w:val="20"/>
          <w:lang w:val="fr-CA"/>
        </w:rPr>
      </w:pPr>
    </w:p>
    <w:p w:rsidR="00266F79" w:rsidRPr="00E54F41" w:rsidRDefault="00266F79" w:rsidP="00266F79">
      <w:pPr>
        <w:pStyle w:val="SCCNormalDoubleSpacing"/>
        <w:spacing w:line="240" w:lineRule="auto"/>
        <w:rPr>
          <w:i/>
          <w:sz w:val="20"/>
          <w:lang w:val="fr-CA"/>
        </w:rPr>
      </w:pPr>
      <w:r w:rsidRPr="00E54F41">
        <w:rPr>
          <w:i/>
          <w:sz w:val="20"/>
          <w:lang w:val="fr-CA"/>
        </w:rPr>
        <w:t>Droit des professions — Déontologie — Pouvoirs d’enquête du syndic — Production de documents — Privilège relatif au litige — Enquête du syndic de la Chambre de l’assurance de dommages sur la conduite d’un expert en sinistre — Une disposition législative prévoyant l’obligation de fournir « tout document » à la demande du syndic peut</w:t>
      </w:r>
      <w:r w:rsidRPr="00E54F41">
        <w:rPr>
          <w:i/>
          <w:sz w:val="20"/>
          <w:lang w:val="fr-CA"/>
        </w:rPr>
        <w:noBreakHyphen/>
        <w:t>elle être interprétée comme écartant le privilège relatif au litige? — Loi sur la distribution de produits et services financiers, RLRQ, c. D</w:t>
      </w:r>
      <w:r w:rsidRPr="00E54F41">
        <w:rPr>
          <w:i/>
          <w:sz w:val="20"/>
          <w:lang w:val="fr-CA"/>
        </w:rPr>
        <w:noBreakHyphen/>
        <w:t>9.2, art. 337.</w:t>
      </w:r>
    </w:p>
    <w:p w:rsidR="00266F79" w:rsidRPr="00E54F41" w:rsidRDefault="00266F79" w:rsidP="00266F79">
      <w:pPr>
        <w:pStyle w:val="SCCNormalDoubleSpacing"/>
        <w:spacing w:line="240" w:lineRule="auto"/>
        <w:rPr>
          <w:i/>
          <w:sz w:val="20"/>
          <w:lang w:val="fr-CA"/>
        </w:rPr>
      </w:pPr>
    </w:p>
    <w:p w:rsidR="00266F79" w:rsidRPr="00E54F41" w:rsidRDefault="00266F79" w:rsidP="00266F79">
      <w:pPr>
        <w:pStyle w:val="SCCNormalDoubleSpacing"/>
        <w:spacing w:line="240" w:lineRule="auto"/>
        <w:rPr>
          <w:sz w:val="20"/>
          <w:lang w:val="fr-CA"/>
        </w:rPr>
      </w:pPr>
      <w:r w:rsidRPr="00E54F41">
        <w:rPr>
          <w:sz w:val="20"/>
          <w:lang w:val="fr-CA"/>
        </w:rPr>
        <w:tab/>
        <w:t xml:space="preserve">Dans le cadre d’une enquête sur un expert en sinistre, la syndique adjointe de la Chambre de l’assurance de dommages (« la syndique ») demande à l’assureur A de lui communiquer une copie complète de son dossier de réclamation relatif à une de ses assurées. La syndique s’appuie à cette fin sur l’art. 337 de la </w:t>
      </w:r>
      <w:r w:rsidRPr="00E54F41">
        <w:rPr>
          <w:i/>
          <w:sz w:val="20"/>
          <w:lang w:val="fr-CA"/>
        </w:rPr>
        <w:t xml:space="preserve">Loi sur la distribution de produits et services financiers </w:t>
      </w:r>
      <w:r w:rsidRPr="00E54F41">
        <w:rPr>
          <w:sz w:val="20"/>
          <w:lang w:val="fr-CA"/>
        </w:rPr>
        <w:t>(« </w:t>
      </w:r>
      <w:r w:rsidRPr="00E54F41">
        <w:rPr>
          <w:i/>
          <w:sz w:val="20"/>
          <w:lang w:val="fr-CA"/>
        </w:rPr>
        <w:t>LDPSF</w:t>
      </w:r>
      <w:r w:rsidRPr="00E54F41">
        <w:rPr>
          <w:sz w:val="20"/>
          <w:lang w:val="fr-CA"/>
        </w:rPr>
        <w:t> »). En réponse, l’assureur transmet plusieurs documents, mais explique en avoir retranché certains au motif que ceux</w:t>
      </w:r>
      <w:r w:rsidRPr="00E54F41">
        <w:rPr>
          <w:sz w:val="20"/>
          <w:lang w:val="fr-CA"/>
        </w:rPr>
        <w:noBreakHyphen/>
        <w:t xml:space="preserve">ci sont visés soit par le secret professionnel de l’avocat, soit par le privilège relatif au litige. Devant ce refus, la syndique présente une requête en jugement déclaratoire. </w:t>
      </w:r>
    </w:p>
    <w:p w:rsidR="00266F79" w:rsidRPr="00E54F41" w:rsidRDefault="00266F79" w:rsidP="00266F79">
      <w:pPr>
        <w:pStyle w:val="SCCNormalDoubleSpacing"/>
        <w:spacing w:line="240" w:lineRule="auto"/>
        <w:rPr>
          <w:sz w:val="20"/>
          <w:lang w:val="fr-CA"/>
        </w:rPr>
      </w:pPr>
    </w:p>
    <w:p w:rsidR="00266F79" w:rsidRPr="00E54F41" w:rsidRDefault="00266F79" w:rsidP="00266F79">
      <w:pPr>
        <w:pStyle w:val="SCCNormalDoubleSpacing"/>
        <w:spacing w:line="240" w:lineRule="auto"/>
        <w:rPr>
          <w:sz w:val="20"/>
          <w:lang w:val="fr-CA"/>
        </w:rPr>
      </w:pPr>
      <w:r w:rsidRPr="00E54F41">
        <w:rPr>
          <w:sz w:val="20"/>
          <w:lang w:val="fr-CA"/>
        </w:rPr>
        <w:tab/>
        <w:t xml:space="preserve">En première instance, la syndique concède que le secret professionnel de l’avocat lui est opposable, de sorte que la question à résoudre se limite au seul privilège relatif au litige. </w:t>
      </w:r>
      <w:proofErr w:type="gramStart"/>
      <w:r w:rsidRPr="00E54F41">
        <w:rPr>
          <w:sz w:val="20"/>
          <w:lang w:val="fr-CA"/>
        </w:rPr>
        <w:t>Elle soutient</w:t>
      </w:r>
      <w:proofErr w:type="gramEnd"/>
      <w:r w:rsidRPr="00E54F41">
        <w:rPr>
          <w:sz w:val="20"/>
          <w:lang w:val="fr-CA"/>
        </w:rPr>
        <w:t xml:space="preserve"> que l’art. 337 </w:t>
      </w:r>
      <w:r w:rsidRPr="00E54F41">
        <w:rPr>
          <w:i/>
          <w:sz w:val="20"/>
          <w:lang w:val="fr-CA"/>
        </w:rPr>
        <w:t>LDPSF</w:t>
      </w:r>
      <w:r w:rsidRPr="00E54F41">
        <w:rPr>
          <w:sz w:val="20"/>
          <w:lang w:val="fr-CA"/>
        </w:rPr>
        <w:t xml:space="preserve"> suffit pour écarter ce privilège puisqu’il prévoit l’obligation de fournir « tout document » sur les activités d’un représentant soumis à la supervision déontologique de la Chambre de l’assurance de dommages. La Cour supérieure conclut que le privilège relatif au litige ne peut être abrogé que par une disposition expresse. La Cour d’appel confirme ce jugement. Elle statue que même si le privilège relatif au litige se distingue du secret professionnel de l’avocat, il s’agit d’une règle d’importance tout aussi fondamentale qui ne peut être écartée que par des termes exprès. </w:t>
      </w:r>
    </w:p>
    <w:p w:rsidR="00266F79" w:rsidRPr="00E54F41" w:rsidRDefault="00266F79" w:rsidP="00266F79">
      <w:pPr>
        <w:pStyle w:val="SCCNormalDoubleSpacing"/>
        <w:spacing w:line="240" w:lineRule="auto"/>
        <w:rPr>
          <w:sz w:val="20"/>
          <w:lang w:val="fr-CA"/>
        </w:rPr>
      </w:pPr>
      <w:r w:rsidRPr="00E54F41">
        <w:rPr>
          <w:sz w:val="20"/>
          <w:lang w:val="fr-CA"/>
        </w:rPr>
        <w:tab/>
      </w:r>
      <w:r w:rsidRPr="00E54F41">
        <w:rPr>
          <w:i/>
          <w:sz w:val="20"/>
          <w:lang w:val="fr-CA"/>
        </w:rPr>
        <w:t>Arrêt</w:t>
      </w:r>
      <w:r w:rsidRPr="00E54F41">
        <w:rPr>
          <w:sz w:val="20"/>
          <w:lang w:val="fr-CA"/>
        </w:rPr>
        <w:t> : Le pourvoi est rejeté.</w:t>
      </w:r>
    </w:p>
    <w:p w:rsidR="00266F79" w:rsidRPr="00E54F41" w:rsidRDefault="00266F79" w:rsidP="00266F79">
      <w:pPr>
        <w:pStyle w:val="SCCNormalDoubleSpacing"/>
        <w:spacing w:line="240" w:lineRule="auto"/>
        <w:rPr>
          <w:sz w:val="20"/>
          <w:lang w:val="fr-CA"/>
        </w:rPr>
      </w:pPr>
    </w:p>
    <w:p w:rsidR="00266F79" w:rsidRPr="00E54F41" w:rsidRDefault="00266F79" w:rsidP="00266F79">
      <w:pPr>
        <w:pStyle w:val="SCCNormalDoubleSpacing"/>
        <w:spacing w:line="240" w:lineRule="auto"/>
        <w:rPr>
          <w:sz w:val="20"/>
          <w:lang w:val="fr-CA"/>
        </w:rPr>
      </w:pPr>
      <w:r w:rsidRPr="00E54F41">
        <w:rPr>
          <w:sz w:val="20"/>
          <w:lang w:val="fr-CA"/>
        </w:rPr>
        <w:tab/>
        <w:t xml:space="preserve">Le privilège relatif au litige est une règle de </w:t>
      </w:r>
      <w:proofErr w:type="spellStart"/>
      <w:r w:rsidRPr="00E54F41">
        <w:rPr>
          <w:sz w:val="20"/>
          <w:lang w:val="fr-CA"/>
        </w:rPr>
        <w:t>common</w:t>
      </w:r>
      <w:proofErr w:type="spellEnd"/>
      <w:r w:rsidRPr="00E54F41">
        <w:rPr>
          <w:sz w:val="20"/>
          <w:lang w:val="fr-CA"/>
        </w:rPr>
        <w:t xml:space="preserve"> </w:t>
      </w:r>
      <w:proofErr w:type="spellStart"/>
      <w:r w:rsidRPr="00E54F41">
        <w:rPr>
          <w:sz w:val="20"/>
          <w:lang w:val="fr-CA"/>
        </w:rPr>
        <w:t>law</w:t>
      </w:r>
      <w:proofErr w:type="spellEnd"/>
      <w:r w:rsidRPr="00E54F41">
        <w:rPr>
          <w:sz w:val="20"/>
          <w:lang w:val="fr-CA"/>
        </w:rPr>
        <w:t xml:space="preserve"> qui crée une immunité de divulgation pour les documents et communications dont l’objet principal est la préparation d’un litige. Ce privilège a parfois été confondu avec le secret professionnel de l’avocat, tant en </w:t>
      </w:r>
      <w:proofErr w:type="spellStart"/>
      <w:r w:rsidRPr="00E54F41">
        <w:rPr>
          <w:sz w:val="20"/>
          <w:lang w:val="fr-CA"/>
        </w:rPr>
        <w:t>common</w:t>
      </w:r>
      <w:proofErr w:type="spellEnd"/>
      <w:r w:rsidRPr="00E54F41">
        <w:rPr>
          <w:sz w:val="20"/>
          <w:lang w:val="fr-CA"/>
        </w:rPr>
        <w:t xml:space="preserve"> </w:t>
      </w:r>
      <w:proofErr w:type="spellStart"/>
      <w:r w:rsidRPr="00E54F41">
        <w:rPr>
          <w:sz w:val="20"/>
          <w:lang w:val="fr-CA"/>
        </w:rPr>
        <w:t>law</w:t>
      </w:r>
      <w:proofErr w:type="spellEnd"/>
      <w:r w:rsidRPr="00E54F41">
        <w:rPr>
          <w:sz w:val="20"/>
          <w:lang w:val="fr-CA"/>
        </w:rPr>
        <w:t xml:space="preserve"> qu’en droit québécois. Toutefois, depuis l’arrêt </w:t>
      </w:r>
      <w:proofErr w:type="spellStart"/>
      <w:r w:rsidRPr="00E54F41">
        <w:rPr>
          <w:i/>
          <w:sz w:val="20"/>
          <w:lang w:val="fr-CA"/>
        </w:rPr>
        <w:t>Blank</w:t>
      </w:r>
      <w:proofErr w:type="spellEnd"/>
      <w:r w:rsidRPr="00E54F41">
        <w:rPr>
          <w:i/>
          <w:sz w:val="20"/>
          <w:lang w:val="fr-CA"/>
        </w:rPr>
        <w:t xml:space="preserve"> c. Canada (Ministre de la Justice)</w:t>
      </w:r>
      <w:r w:rsidRPr="00E54F41">
        <w:rPr>
          <w:sz w:val="20"/>
          <w:lang w:val="fr-CA"/>
        </w:rPr>
        <w:t>, 2006 CSC 39,</w:t>
      </w:r>
      <w:r w:rsidRPr="00E54F41">
        <w:rPr>
          <w:i/>
          <w:sz w:val="20"/>
          <w:lang w:val="fr-CA"/>
        </w:rPr>
        <w:t xml:space="preserve"> </w:t>
      </w:r>
      <w:r w:rsidRPr="00E54F41">
        <w:rPr>
          <w:sz w:val="20"/>
          <w:lang w:val="fr-CA"/>
        </w:rPr>
        <w:t xml:space="preserve">[2006] 2 R.C.S. 319, il est établi que le secret professionnel de l’avocat et le privilège relatif au litige sont distincts : le secret professionnel de l’avocat vise à préserver une relation alors que le privilège relatif au litige vise à assurer l’efficacité du processus contradictoire; par ailleurs, le secret professionnel de l’avocat est permanent, tandis que le privilège relatif au litige est temporaire et s’éteint avec le litige; enfin, le privilège relatif au litige s’applique à des parties non représentées, couvre des documents non confidentiels et n’a pas pour cible les communications entre un avocat et son client en tant que telles. </w:t>
      </w:r>
    </w:p>
    <w:p w:rsidR="00266F79" w:rsidRPr="00E54F41" w:rsidRDefault="00266F79" w:rsidP="00266F79">
      <w:pPr>
        <w:pStyle w:val="SCCNormalDoubleSpacing"/>
        <w:spacing w:line="240" w:lineRule="auto"/>
        <w:rPr>
          <w:sz w:val="20"/>
          <w:lang w:val="fr-CA"/>
        </w:rPr>
      </w:pPr>
    </w:p>
    <w:p w:rsidR="00266F79" w:rsidRPr="00E54F41" w:rsidRDefault="00266F79" w:rsidP="00266F79">
      <w:pPr>
        <w:pStyle w:val="SCCNormalDoubleSpacing"/>
        <w:spacing w:line="240" w:lineRule="auto"/>
        <w:rPr>
          <w:sz w:val="20"/>
          <w:lang w:val="fr-CA"/>
        </w:rPr>
      </w:pPr>
      <w:r w:rsidRPr="00E54F41">
        <w:rPr>
          <w:sz w:val="20"/>
          <w:lang w:val="fr-CA"/>
        </w:rPr>
        <w:tab/>
        <w:t xml:space="preserve">Les distinctions posées dans l’arrêt </w:t>
      </w:r>
      <w:proofErr w:type="spellStart"/>
      <w:r w:rsidRPr="00E54F41">
        <w:rPr>
          <w:i/>
          <w:sz w:val="20"/>
          <w:lang w:val="fr-CA"/>
        </w:rPr>
        <w:t>Blank</w:t>
      </w:r>
      <w:proofErr w:type="spellEnd"/>
      <w:r w:rsidRPr="00E54F41">
        <w:rPr>
          <w:sz w:val="20"/>
          <w:lang w:val="fr-CA"/>
        </w:rPr>
        <w:t xml:space="preserve"> entre le secret professionnel de l’avocat et le privilège relatif au litige ont été suivies en droit québécois. Ainsi, malgré certains traits communs, le privilège relatif au litige n’est pas absorbé dans l’institution du secret professionnel et n’en constitue pas une composante ou une sous</w:t>
      </w:r>
      <w:r w:rsidRPr="00E54F41">
        <w:rPr>
          <w:sz w:val="20"/>
          <w:lang w:val="fr-CA"/>
        </w:rPr>
        <w:noBreakHyphen/>
        <w:t>catégorie.</w:t>
      </w:r>
    </w:p>
    <w:p w:rsidR="00266F79" w:rsidRPr="00E54F41" w:rsidRDefault="00266F79" w:rsidP="00266F79">
      <w:pPr>
        <w:pStyle w:val="SCCNormalDoubleSpacing"/>
        <w:spacing w:line="240" w:lineRule="auto"/>
        <w:rPr>
          <w:sz w:val="20"/>
          <w:lang w:val="fr-CA"/>
        </w:rPr>
      </w:pPr>
    </w:p>
    <w:p w:rsidR="00266F79" w:rsidRPr="00E54F41" w:rsidRDefault="00266F79" w:rsidP="00266F79">
      <w:pPr>
        <w:pStyle w:val="SCCNormalDoubleSpacing"/>
        <w:spacing w:line="240" w:lineRule="auto"/>
        <w:rPr>
          <w:sz w:val="20"/>
          <w:lang w:val="fr-CA"/>
        </w:rPr>
      </w:pPr>
      <w:r w:rsidRPr="00E54F41">
        <w:rPr>
          <w:sz w:val="20"/>
          <w:lang w:val="fr-CA"/>
        </w:rPr>
        <w:tab/>
        <w:t xml:space="preserve">S’il se distingue du secret professionnel de l’avocat, le privilège relatif au litige constitue néanmoins un privilège générique et il fait naître une présomption d’inadmissibilité pour une catégorie de communications, soit celles dont l’objet </w:t>
      </w:r>
      <w:r w:rsidRPr="00E54F41">
        <w:rPr>
          <w:sz w:val="20"/>
          <w:lang w:val="fr-CA"/>
        </w:rPr>
        <w:lastRenderedPageBreak/>
        <w:t xml:space="preserve">principal est la préparation d’un litige. Ainsi, à moins que l’on soit dans un cas visé par une des exceptions au privilège relatif au litige, tout document satisfaisant aux conditions de son application sera couvert par une immunité de divulgation. </w:t>
      </w:r>
    </w:p>
    <w:p w:rsidR="00266F79" w:rsidRPr="00E54F41" w:rsidRDefault="00266F79" w:rsidP="00266F79">
      <w:pPr>
        <w:pStyle w:val="SCCNormalDoubleSpacing"/>
        <w:spacing w:line="240" w:lineRule="auto"/>
        <w:rPr>
          <w:sz w:val="20"/>
          <w:lang w:val="fr-CA"/>
        </w:rPr>
      </w:pPr>
      <w:r w:rsidRPr="00E54F41">
        <w:rPr>
          <w:sz w:val="20"/>
          <w:lang w:val="fr-CA"/>
        </w:rPr>
        <w:tab/>
        <w:t xml:space="preserve">Le privilège relatif au litige est sujet à des exceptions clairement définies, et non à une mise en balance au cas par cas. En matière de privilège, la mise en balance des intérêts est le propre des privilèges reconnus au cas par cas, et non des privilèges génériques. Les exceptions au secret professionnel de l’avocat sont toutes applicables au privilège relatif au litige. Cela comprend les exceptions relatives à la sécurité publique, à l’innocence de l’accusé et aux communications de nature criminelle. S’y ajoute l’exception reconnue dans </w:t>
      </w:r>
      <w:proofErr w:type="spellStart"/>
      <w:r w:rsidRPr="00E54F41">
        <w:rPr>
          <w:i/>
          <w:sz w:val="20"/>
          <w:lang w:val="fr-CA"/>
        </w:rPr>
        <w:t>Blank</w:t>
      </w:r>
      <w:proofErr w:type="spellEnd"/>
      <w:r w:rsidRPr="00E54F41">
        <w:rPr>
          <w:i/>
          <w:sz w:val="20"/>
          <w:lang w:val="fr-CA"/>
        </w:rPr>
        <w:t xml:space="preserve"> </w:t>
      </w:r>
      <w:r w:rsidRPr="00E54F41">
        <w:rPr>
          <w:sz w:val="20"/>
          <w:lang w:val="fr-CA"/>
        </w:rPr>
        <w:t>pour la divulgation d’éléments de preuve démontrant un abus de procédure ou une conduite répréhensible similaire de la part de la partie qui revendique le privilège relatif au litige. D’autres exceptions pourront être reconnues à l’avenir, mais toujours sur la base de catégories restreintes qui s’appliqueront dans des circonstances précises. </w:t>
      </w:r>
    </w:p>
    <w:p w:rsidR="00266F79" w:rsidRPr="00E54F41" w:rsidRDefault="00266F79" w:rsidP="00266F79">
      <w:pPr>
        <w:pStyle w:val="SCCNormalDoubleSpacing"/>
        <w:spacing w:line="240" w:lineRule="auto"/>
        <w:rPr>
          <w:sz w:val="20"/>
          <w:lang w:val="fr-CA"/>
        </w:rPr>
      </w:pPr>
    </w:p>
    <w:p w:rsidR="00266F79" w:rsidRPr="00E54F41" w:rsidRDefault="00266F79" w:rsidP="00266F79">
      <w:pPr>
        <w:pStyle w:val="SCCNormalDoubleSpacing"/>
        <w:spacing w:line="240" w:lineRule="auto"/>
        <w:rPr>
          <w:sz w:val="20"/>
          <w:lang w:val="fr-CA"/>
        </w:rPr>
      </w:pPr>
      <w:r w:rsidRPr="00E54F41">
        <w:rPr>
          <w:sz w:val="20"/>
          <w:lang w:val="fr-CA"/>
        </w:rPr>
        <w:tab/>
        <w:t xml:space="preserve">Finalement, le privilège relatif au litige est opposable aux tiers, y compris aux tiers enquêteurs ayant une obligation de confidentialité. Il n’est pas souhaitable d’exclure les tiers de son application ou de l’exposer aux aléas de procédures disciplinaires et judiciaires qui pourraient mener à la divulgation de documents qui seraient autrement protégés. Laisser planer quelque incertitude à ce chapitre risquerait d’avoir un effet paralysant sur les parties se préparant à un litige en raison de la crainte que soient rendus publics des documents autrement couverts par le privilège relatif au litige. </w:t>
      </w:r>
    </w:p>
    <w:p w:rsidR="00266F79" w:rsidRPr="00E54F41" w:rsidRDefault="00266F79" w:rsidP="00266F79">
      <w:pPr>
        <w:pStyle w:val="SCCNormalDoubleSpacing"/>
        <w:spacing w:line="240" w:lineRule="auto"/>
        <w:rPr>
          <w:sz w:val="20"/>
          <w:lang w:val="fr-CA"/>
        </w:rPr>
      </w:pPr>
    </w:p>
    <w:p w:rsidR="00266F79" w:rsidRPr="00E54F41" w:rsidRDefault="00266F79" w:rsidP="00266F79">
      <w:pPr>
        <w:pStyle w:val="SCCNormalDoubleSpacing"/>
        <w:spacing w:line="240" w:lineRule="auto"/>
        <w:rPr>
          <w:sz w:val="20"/>
          <w:lang w:val="fr-CA"/>
        </w:rPr>
      </w:pPr>
      <w:r w:rsidRPr="00E54F41">
        <w:rPr>
          <w:sz w:val="20"/>
          <w:lang w:val="fr-CA"/>
        </w:rPr>
        <w:tab/>
        <w:t xml:space="preserve">En l’espèce, le privilège relatif au litige invoqué par l’assureur est opposable à la syndique et aucune des exceptions à son application ne justifie d’y passer outre. De plus, ce privilège ne peut être mis à l’écart par l’application de l’art. 337 </w:t>
      </w:r>
      <w:r w:rsidRPr="00E54F41">
        <w:rPr>
          <w:i/>
          <w:sz w:val="20"/>
          <w:lang w:val="fr-CA"/>
        </w:rPr>
        <w:t xml:space="preserve">LDPSF. </w:t>
      </w:r>
      <w:r w:rsidRPr="00E54F41">
        <w:rPr>
          <w:sz w:val="20"/>
          <w:lang w:val="fr-CA"/>
        </w:rPr>
        <w:t xml:space="preserve">Il existe en effet un solide courant de jurisprudence établissant qu’une partie ne devrait pas être privée du droit de revendiquer le privilège relatif au litige sans qu’un texte législatif clair et explicite ne le </w:t>
      </w:r>
      <w:proofErr w:type="gramStart"/>
      <w:r w:rsidRPr="00E54F41">
        <w:rPr>
          <w:sz w:val="20"/>
          <w:lang w:val="fr-CA"/>
        </w:rPr>
        <w:t>prévoit</w:t>
      </w:r>
      <w:proofErr w:type="gramEnd"/>
      <w:r w:rsidRPr="00E54F41">
        <w:rPr>
          <w:sz w:val="20"/>
          <w:lang w:val="fr-CA"/>
        </w:rPr>
        <w:t xml:space="preserve">. C’est l’importance fondamentale de ce privilège qui mène la Cour à exiger des termes explicites pour sa mise à l’écart. Il est indéniable que le privilège relatif au litige n’a pas le même statut que le secret professionnel de l’avocat, et il n’est pas aussi absolu que ce dernier. Il n’en reste pas moins que, comme le secret professionnel de l’avocat, le privilège relatif au litige est essentiel au bon fonctionnement du système de justice et il se situe au cœur du système accusatoire et contradictoire que le Québec partage avec les autres provinces. La capacité des parties d’élaborer leur stratégie en toute confiance et à l’abri d’une divulgation forcée est une condition </w:t>
      </w:r>
      <w:r w:rsidRPr="00E54F41">
        <w:rPr>
          <w:i/>
          <w:sz w:val="20"/>
          <w:lang w:val="fr-CA"/>
        </w:rPr>
        <w:t>sine qua non</w:t>
      </w:r>
      <w:r w:rsidRPr="00E54F41">
        <w:rPr>
          <w:sz w:val="20"/>
          <w:lang w:val="fr-CA"/>
        </w:rPr>
        <w:t xml:space="preserve"> de l’efficacité du processus contradictoire. Ainsi, le privilège relatif au litige ne peut être supprimé par inférence et des termes clairs, explicites et non équivoques sont nécessaires pour l’écarter. Or, l’art. 337 </w:t>
      </w:r>
      <w:r w:rsidRPr="00E54F41">
        <w:rPr>
          <w:i/>
          <w:sz w:val="20"/>
          <w:lang w:val="fr-CA"/>
        </w:rPr>
        <w:t>LDPSF</w:t>
      </w:r>
      <w:r w:rsidRPr="00E54F41">
        <w:rPr>
          <w:sz w:val="20"/>
          <w:lang w:val="fr-CA"/>
        </w:rPr>
        <w:t xml:space="preserve"> sur lequel </w:t>
      </w:r>
      <w:proofErr w:type="gramStart"/>
      <w:r w:rsidRPr="00E54F41">
        <w:rPr>
          <w:sz w:val="20"/>
          <w:lang w:val="fr-CA"/>
        </w:rPr>
        <w:t>s’appuie la</w:t>
      </w:r>
      <w:proofErr w:type="gramEnd"/>
      <w:r w:rsidRPr="00E54F41">
        <w:rPr>
          <w:sz w:val="20"/>
          <w:lang w:val="fr-CA"/>
        </w:rPr>
        <w:t xml:space="preserve"> syndique n’autorise que la demande de communication de « tout document », sans plus. Il s’agit d’une disposition générale relative à la production de documents qui ne précise pas clairement qu’elle s’applique aux documents à l’égard desquels est invoqué le privilège. Une disposition qui traite simplement de la communication de « tout document » ne contient pas de termes suffisamment clairs, explicites et non équivoques pour écarter le privilège relatif au litige. Il s’ensuit que l’assureur pouvait invoquer ici le privilège relatif au litige et refuser de fournir à la syndique les documents visés par celui</w:t>
      </w:r>
      <w:r w:rsidRPr="00E54F41">
        <w:rPr>
          <w:sz w:val="20"/>
          <w:lang w:val="fr-CA"/>
        </w:rPr>
        <w:noBreakHyphen/>
        <w:t>ci.</w:t>
      </w:r>
    </w:p>
    <w:p w:rsidR="00266F79" w:rsidRPr="00E54F41" w:rsidRDefault="00266F79" w:rsidP="0052229C">
      <w:pPr>
        <w:pStyle w:val="SCCNormalDoubleSpacing"/>
        <w:spacing w:line="240" w:lineRule="auto"/>
        <w:rPr>
          <w:sz w:val="20"/>
          <w:lang w:val="fr-CA"/>
        </w:rPr>
      </w:pPr>
    </w:p>
    <w:p w:rsidR="00266F79" w:rsidRPr="00E54F41" w:rsidRDefault="00266F79" w:rsidP="00266F79">
      <w:pPr>
        <w:pStyle w:val="SCCNormalDoubleSpacing"/>
        <w:spacing w:line="240" w:lineRule="auto"/>
        <w:ind w:firstLine="720"/>
        <w:rPr>
          <w:sz w:val="20"/>
          <w:lang w:val="fr-CA"/>
        </w:rPr>
      </w:pPr>
      <w:r w:rsidRPr="00E54F41">
        <w:rPr>
          <w:sz w:val="20"/>
          <w:lang w:val="fr-CA"/>
        </w:rPr>
        <w:t xml:space="preserve">POURVOI contre un arrêt de la Cour d’appel du Québec (les juges </w:t>
      </w:r>
      <w:proofErr w:type="spellStart"/>
      <w:r w:rsidRPr="00E54F41">
        <w:rPr>
          <w:sz w:val="20"/>
          <w:lang w:val="fr-CA"/>
        </w:rPr>
        <w:t>Bich</w:t>
      </w:r>
      <w:proofErr w:type="spellEnd"/>
      <w:r w:rsidRPr="00E54F41">
        <w:rPr>
          <w:sz w:val="20"/>
          <w:lang w:val="fr-CA"/>
        </w:rPr>
        <w:t>, Gagnon et St</w:t>
      </w:r>
      <w:r w:rsidRPr="00E54F41">
        <w:rPr>
          <w:sz w:val="20"/>
          <w:lang w:val="fr-CA"/>
        </w:rPr>
        <w:noBreakHyphen/>
        <w:t>Pierre), 2015 QCCA 152, [2015] AZ</w:t>
      </w:r>
      <w:r w:rsidRPr="00E54F41">
        <w:rPr>
          <w:sz w:val="20"/>
          <w:lang w:val="fr-CA"/>
        </w:rPr>
        <w:noBreakHyphen/>
        <w:t>51145074, [2015] J.Q. n</w:t>
      </w:r>
      <w:r w:rsidRPr="00E54F41">
        <w:rPr>
          <w:sz w:val="20"/>
          <w:vertAlign w:val="superscript"/>
          <w:lang w:val="fr-CA"/>
        </w:rPr>
        <w:t>o</w:t>
      </w:r>
      <w:r w:rsidRPr="00E54F41">
        <w:rPr>
          <w:sz w:val="20"/>
          <w:lang w:val="fr-CA"/>
        </w:rPr>
        <w:t xml:space="preserve"> 383 (QL), 2015 </w:t>
      </w:r>
      <w:proofErr w:type="spellStart"/>
      <w:r w:rsidRPr="00E54F41">
        <w:rPr>
          <w:sz w:val="20"/>
          <w:lang w:val="fr-CA"/>
        </w:rPr>
        <w:t>CarswellQue</w:t>
      </w:r>
      <w:proofErr w:type="spellEnd"/>
      <w:r w:rsidRPr="00E54F41">
        <w:rPr>
          <w:sz w:val="20"/>
          <w:lang w:val="fr-CA"/>
        </w:rPr>
        <w:t xml:space="preserve"> 384 (WL Can.), qui a infirmé en partie une décision du juge Gagnon, 2013 QCCS 6397, [2013] AZ</w:t>
      </w:r>
      <w:r w:rsidRPr="00E54F41">
        <w:rPr>
          <w:sz w:val="20"/>
          <w:lang w:val="fr-CA"/>
        </w:rPr>
        <w:noBreakHyphen/>
        <w:t>51031246, [2013] J.Q. n</w:t>
      </w:r>
      <w:r w:rsidRPr="00E54F41">
        <w:rPr>
          <w:sz w:val="20"/>
          <w:vertAlign w:val="superscript"/>
          <w:lang w:val="fr-CA"/>
        </w:rPr>
        <w:t>o</w:t>
      </w:r>
      <w:r w:rsidRPr="00E54F41">
        <w:rPr>
          <w:sz w:val="20"/>
          <w:lang w:val="fr-CA"/>
        </w:rPr>
        <w:t xml:space="preserve"> 14254 (QL), 2013 </w:t>
      </w:r>
      <w:proofErr w:type="spellStart"/>
      <w:r w:rsidRPr="00E54F41">
        <w:rPr>
          <w:sz w:val="20"/>
          <w:lang w:val="fr-CA"/>
        </w:rPr>
        <w:t>CarswellQue</w:t>
      </w:r>
      <w:proofErr w:type="spellEnd"/>
      <w:r w:rsidRPr="00E54F41">
        <w:rPr>
          <w:sz w:val="20"/>
          <w:lang w:val="fr-CA"/>
        </w:rPr>
        <w:t xml:space="preserve"> 13283 (WL Can.). Pourvoi rejeté.</w:t>
      </w:r>
    </w:p>
    <w:p w:rsidR="00266F79" w:rsidRPr="00E54F41" w:rsidRDefault="00266F79" w:rsidP="00266F79">
      <w:pPr>
        <w:pStyle w:val="SCCNormalDoubleSpacing"/>
        <w:spacing w:line="240" w:lineRule="auto"/>
        <w:ind w:firstLine="720"/>
        <w:rPr>
          <w:sz w:val="20"/>
          <w:lang w:val="fr-CA"/>
        </w:rPr>
      </w:pPr>
    </w:p>
    <w:p w:rsidR="00266F79" w:rsidRPr="00E54F41" w:rsidRDefault="00266F79" w:rsidP="00266F79">
      <w:pPr>
        <w:pStyle w:val="SCCNormalDoubleSpacing"/>
        <w:spacing w:line="240" w:lineRule="auto"/>
        <w:rPr>
          <w:sz w:val="20"/>
          <w:lang w:val="fr-CA"/>
        </w:rPr>
      </w:pPr>
      <w:r w:rsidRPr="00E54F41">
        <w:rPr>
          <w:i/>
          <w:sz w:val="20"/>
          <w:lang w:val="fr-CA"/>
        </w:rPr>
        <w:tab/>
        <w:t>Claude G. Leduc</w:t>
      </w:r>
      <w:r w:rsidRPr="00E54F41">
        <w:rPr>
          <w:sz w:val="20"/>
          <w:lang w:val="fr-CA"/>
        </w:rPr>
        <w:t xml:space="preserve"> et </w:t>
      </w:r>
      <w:r w:rsidRPr="00E54F41">
        <w:rPr>
          <w:i/>
          <w:sz w:val="20"/>
          <w:lang w:val="fr-CA"/>
        </w:rPr>
        <w:t>Olivier Charbonneau</w:t>
      </w:r>
      <w:r w:rsidRPr="00E54F41">
        <w:rPr>
          <w:i/>
          <w:sz w:val="20"/>
          <w:lang w:val="fr-CA"/>
        </w:rPr>
        <w:noBreakHyphen/>
        <w:t>Saulnier</w:t>
      </w:r>
      <w:r w:rsidRPr="00E54F41">
        <w:rPr>
          <w:sz w:val="20"/>
          <w:lang w:val="fr-CA"/>
        </w:rPr>
        <w:t>, pour l’appelante.</w:t>
      </w:r>
    </w:p>
    <w:p w:rsidR="00266F79" w:rsidRPr="00E54F41" w:rsidRDefault="00266F79" w:rsidP="00266F79">
      <w:pPr>
        <w:pStyle w:val="SCCNormalDoubleSpacing"/>
        <w:spacing w:line="240" w:lineRule="auto"/>
        <w:rPr>
          <w:sz w:val="20"/>
          <w:lang w:val="fr-CA"/>
        </w:rPr>
      </w:pPr>
    </w:p>
    <w:p w:rsidR="00266F79" w:rsidRPr="00E54F41" w:rsidRDefault="00266F79" w:rsidP="00266F79">
      <w:pPr>
        <w:pStyle w:val="SCCNormalDoubleSpacing"/>
        <w:spacing w:line="240" w:lineRule="auto"/>
        <w:rPr>
          <w:sz w:val="20"/>
          <w:lang w:val="fr-CA"/>
        </w:rPr>
      </w:pPr>
      <w:r w:rsidRPr="00E54F41">
        <w:rPr>
          <w:i/>
          <w:sz w:val="20"/>
          <w:lang w:val="fr-CA"/>
        </w:rPr>
        <w:tab/>
        <w:t xml:space="preserve">Éric </w:t>
      </w:r>
      <w:proofErr w:type="spellStart"/>
      <w:r w:rsidRPr="00E54F41">
        <w:rPr>
          <w:i/>
          <w:sz w:val="20"/>
          <w:lang w:val="fr-CA"/>
        </w:rPr>
        <w:t>Azran</w:t>
      </w:r>
      <w:proofErr w:type="spellEnd"/>
      <w:r w:rsidRPr="00E54F41">
        <w:rPr>
          <w:sz w:val="20"/>
          <w:lang w:val="fr-CA"/>
        </w:rPr>
        <w:t xml:space="preserve"> et </w:t>
      </w:r>
      <w:r w:rsidRPr="00E54F41">
        <w:rPr>
          <w:i/>
          <w:sz w:val="20"/>
          <w:lang w:val="fr-CA"/>
        </w:rPr>
        <w:t>Patrick Girard</w:t>
      </w:r>
      <w:r w:rsidRPr="00E54F41">
        <w:rPr>
          <w:sz w:val="20"/>
          <w:lang w:val="fr-CA"/>
        </w:rPr>
        <w:t>, pour les intimées.</w:t>
      </w:r>
    </w:p>
    <w:p w:rsidR="00266F79" w:rsidRPr="00E54F41" w:rsidRDefault="00266F79" w:rsidP="00266F79">
      <w:pPr>
        <w:pStyle w:val="SCCNormalDoubleSpacing"/>
        <w:spacing w:line="240" w:lineRule="auto"/>
        <w:rPr>
          <w:sz w:val="20"/>
          <w:lang w:val="fr-CA"/>
        </w:rPr>
      </w:pPr>
    </w:p>
    <w:p w:rsidR="00266F79" w:rsidRPr="00E54F41" w:rsidRDefault="00266F79" w:rsidP="00266F79">
      <w:pPr>
        <w:pStyle w:val="SCCNormalDoubleSpacing"/>
        <w:spacing w:line="240" w:lineRule="auto"/>
        <w:rPr>
          <w:sz w:val="20"/>
          <w:lang w:val="fr-CA"/>
        </w:rPr>
      </w:pPr>
      <w:r w:rsidRPr="00E54F41">
        <w:rPr>
          <w:i/>
          <w:sz w:val="20"/>
          <w:lang w:val="fr-CA"/>
        </w:rPr>
        <w:tab/>
        <w:t>Mahmud Jamal</w:t>
      </w:r>
      <w:r w:rsidRPr="00E54F41">
        <w:rPr>
          <w:sz w:val="20"/>
          <w:lang w:val="fr-CA"/>
        </w:rPr>
        <w:t xml:space="preserve">, </w:t>
      </w:r>
      <w:r w:rsidRPr="00E54F41">
        <w:rPr>
          <w:i/>
          <w:sz w:val="20"/>
          <w:lang w:val="fr-CA"/>
        </w:rPr>
        <w:t>Alexandre Fallon</w:t>
      </w:r>
      <w:r w:rsidRPr="00E54F41">
        <w:rPr>
          <w:sz w:val="20"/>
          <w:lang w:val="fr-CA"/>
        </w:rPr>
        <w:t xml:space="preserve"> et </w:t>
      </w:r>
      <w:r w:rsidRPr="00E54F41">
        <w:rPr>
          <w:i/>
          <w:sz w:val="20"/>
          <w:lang w:val="fr-CA"/>
        </w:rPr>
        <w:t xml:space="preserve">W. David </w:t>
      </w:r>
      <w:proofErr w:type="spellStart"/>
      <w:r w:rsidRPr="00E54F41">
        <w:rPr>
          <w:i/>
          <w:sz w:val="20"/>
          <w:lang w:val="fr-CA"/>
        </w:rPr>
        <w:t>Rankin</w:t>
      </w:r>
      <w:proofErr w:type="spellEnd"/>
      <w:r w:rsidRPr="00E54F41">
        <w:rPr>
          <w:sz w:val="20"/>
          <w:lang w:val="fr-CA"/>
        </w:rPr>
        <w:t>, pour l’intervenante l’Association du Barreau canadien.</w:t>
      </w:r>
    </w:p>
    <w:p w:rsidR="00266F79" w:rsidRPr="00E54F41" w:rsidRDefault="00266F79" w:rsidP="00266F79">
      <w:pPr>
        <w:pStyle w:val="SCCNormalDoubleSpacing"/>
        <w:spacing w:line="240" w:lineRule="auto"/>
        <w:rPr>
          <w:sz w:val="20"/>
          <w:lang w:val="fr-CA"/>
        </w:rPr>
      </w:pPr>
    </w:p>
    <w:p w:rsidR="00266F79" w:rsidRPr="00E54F41" w:rsidRDefault="00266F79" w:rsidP="00266F79">
      <w:pPr>
        <w:pStyle w:val="SCCNormalDoubleSpacing"/>
        <w:spacing w:line="240" w:lineRule="auto"/>
        <w:rPr>
          <w:sz w:val="20"/>
          <w:lang w:val="fr-CA"/>
        </w:rPr>
      </w:pPr>
      <w:r w:rsidRPr="00E54F41">
        <w:rPr>
          <w:i/>
          <w:sz w:val="20"/>
          <w:lang w:val="fr-CA"/>
        </w:rPr>
        <w:tab/>
        <w:t>Douglas C. Mitchell</w:t>
      </w:r>
      <w:r w:rsidRPr="00E54F41">
        <w:rPr>
          <w:sz w:val="20"/>
          <w:lang w:val="fr-CA"/>
        </w:rPr>
        <w:t xml:space="preserve"> et </w:t>
      </w:r>
      <w:r w:rsidRPr="00E54F41">
        <w:rPr>
          <w:i/>
          <w:sz w:val="20"/>
          <w:lang w:val="fr-CA"/>
        </w:rPr>
        <w:t xml:space="preserve">Audrey </w:t>
      </w:r>
      <w:proofErr w:type="spellStart"/>
      <w:r w:rsidRPr="00E54F41">
        <w:rPr>
          <w:i/>
          <w:sz w:val="20"/>
          <w:lang w:val="fr-CA"/>
        </w:rPr>
        <w:t>Boctor</w:t>
      </w:r>
      <w:proofErr w:type="spellEnd"/>
      <w:r w:rsidRPr="00E54F41">
        <w:rPr>
          <w:sz w:val="20"/>
          <w:lang w:val="fr-CA"/>
        </w:rPr>
        <w:t xml:space="preserve">, pour l’intervenante </w:t>
      </w:r>
      <w:proofErr w:type="spellStart"/>
      <w:r w:rsidRPr="00E54F41">
        <w:rPr>
          <w:sz w:val="20"/>
          <w:lang w:val="fr-CA"/>
        </w:rPr>
        <w:t>Advocates</w:t>
      </w:r>
      <w:proofErr w:type="spellEnd"/>
      <w:r w:rsidRPr="00E54F41">
        <w:rPr>
          <w:sz w:val="20"/>
          <w:lang w:val="fr-CA"/>
        </w:rPr>
        <w:t>’ Society.</w:t>
      </w:r>
    </w:p>
    <w:p w:rsidR="00266F79" w:rsidRPr="00E54F41" w:rsidRDefault="00266F79" w:rsidP="00266F79">
      <w:pPr>
        <w:pStyle w:val="SCCNormalDoubleSpacing"/>
        <w:spacing w:line="240" w:lineRule="auto"/>
        <w:rPr>
          <w:sz w:val="20"/>
          <w:lang w:val="fr-CA"/>
        </w:rPr>
      </w:pPr>
    </w:p>
    <w:p w:rsidR="00266F79" w:rsidRPr="00E54F41" w:rsidRDefault="00266F79" w:rsidP="00266F79">
      <w:pPr>
        <w:pStyle w:val="SCCNormalDoubleSpacing"/>
        <w:spacing w:line="240" w:lineRule="auto"/>
        <w:rPr>
          <w:sz w:val="20"/>
          <w:lang w:val="fr-CA"/>
        </w:rPr>
      </w:pPr>
      <w:r w:rsidRPr="00E54F41">
        <w:rPr>
          <w:i/>
          <w:sz w:val="20"/>
          <w:lang w:val="fr-CA"/>
        </w:rPr>
        <w:tab/>
        <w:t xml:space="preserve">François </w:t>
      </w:r>
      <w:proofErr w:type="spellStart"/>
      <w:r w:rsidRPr="00E54F41">
        <w:rPr>
          <w:i/>
          <w:sz w:val="20"/>
          <w:lang w:val="fr-CA"/>
        </w:rPr>
        <w:t>LeBel</w:t>
      </w:r>
      <w:proofErr w:type="spellEnd"/>
      <w:r w:rsidRPr="00E54F41">
        <w:rPr>
          <w:sz w:val="20"/>
          <w:lang w:val="fr-CA"/>
        </w:rPr>
        <w:t xml:space="preserve">, </w:t>
      </w:r>
      <w:r w:rsidRPr="00E54F41">
        <w:rPr>
          <w:i/>
          <w:sz w:val="20"/>
          <w:lang w:val="fr-CA"/>
        </w:rPr>
        <w:t>Jean</w:t>
      </w:r>
      <w:r w:rsidRPr="00E54F41">
        <w:rPr>
          <w:i/>
          <w:sz w:val="20"/>
          <w:lang w:val="fr-CA"/>
        </w:rPr>
        <w:noBreakHyphen/>
        <w:t>Benoît Pouliot</w:t>
      </w:r>
      <w:r w:rsidRPr="00E54F41">
        <w:rPr>
          <w:sz w:val="20"/>
          <w:lang w:val="fr-CA"/>
        </w:rPr>
        <w:t xml:space="preserve"> et </w:t>
      </w:r>
      <w:r w:rsidRPr="00E54F41">
        <w:rPr>
          <w:i/>
          <w:sz w:val="20"/>
          <w:lang w:val="fr-CA"/>
        </w:rPr>
        <w:t>Sylvie Champagne</w:t>
      </w:r>
      <w:r w:rsidRPr="00E54F41">
        <w:rPr>
          <w:sz w:val="20"/>
          <w:lang w:val="fr-CA"/>
        </w:rPr>
        <w:t>, pour l’intervenant le Barreau du Québec.</w:t>
      </w:r>
    </w:p>
    <w:p w:rsidR="00266F79" w:rsidRPr="00E54F41" w:rsidRDefault="00266F79" w:rsidP="00266F79">
      <w:pPr>
        <w:pStyle w:val="SCCNormalDoubleSpacing"/>
        <w:spacing w:line="240" w:lineRule="auto"/>
        <w:rPr>
          <w:sz w:val="20"/>
          <w:lang w:val="fr-CA"/>
        </w:rPr>
      </w:pPr>
    </w:p>
    <w:p w:rsidR="00266F79" w:rsidRPr="00E54F41" w:rsidRDefault="00266F79" w:rsidP="00266F79">
      <w:pPr>
        <w:pStyle w:val="SCCNormalDoubleSpacing"/>
        <w:spacing w:line="240" w:lineRule="auto"/>
        <w:rPr>
          <w:i/>
          <w:sz w:val="20"/>
          <w:lang w:val="fr-CA"/>
        </w:rPr>
      </w:pPr>
      <w:r w:rsidRPr="00E54F41">
        <w:rPr>
          <w:i/>
          <w:sz w:val="20"/>
          <w:lang w:val="fr-CA"/>
        </w:rPr>
        <w:tab/>
        <w:t>Procureurs de l’appelante : Mercier Leduc, Montréal.</w:t>
      </w:r>
    </w:p>
    <w:p w:rsidR="00266F79" w:rsidRPr="00E54F41" w:rsidRDefault="00266F79" w:rsidP="00266F79">
      <w:pPr>
        <w:pStyle w:val="SCCNormalDoubleSpacing"/>
        <w:spacing w:line="240" w:lineRule="auto"/>
        <w:rPr>
          <w:i/>
          <w:sz w:val="20"/>
          <w:lang w:val="fr-CA"/>
        </w:rPr>
      </w:pPr>
    </w:p>
    <w:p w:rsidR="00266F79" w:rsidRPr="00E54F41" w:rsidRDefault="00266F79" w:rsidP="00266F79">
      <w:pPr>
        <w:pStyle w:val="SCCNormalDoubleSpacing"/>
        <w:spacing w:line="240" w:lineRule="auto"/>
        <w:rPr>
          <w:i/>
          <w:sz w:val="20"/>
          <w:lang w:val="fr-CA"/>
        </w:rPr>
      </w:pPr>
      <w:r w:rsidRPr="00E54F41">
        <w:rPr>
          <w:i/>
          <w:sz w:val="20"/>
          <w:lang w:val="fr-CA"/>
        </w:rPr>
        <w:lastRenderedPageBreak/>
        <w:tab/>
        <w:t>Procureurs des intimées : </w:t>
      </w:r>
      <w:proofErr w:type="spellStart"/>
      <w:r w:rsidRPr="00E54F41">
        <w:rPr>
          <w:i/>
          <w:sz w:val="20"/>
          <w:lang w:val="fr-CA"/>
        </w:rPr>
        <w:t>Stikeman</w:t>
      </w:r>
      <w:proofErr w:type="spellEnd"/>
      <w:r w:rsidRPr="00E54F41">
        <w:rPr>
          <w:i/>
          <w:sz w:val="20"/>
          <w:lang w:val="fr-CA"/>
        </w:rPr>
        <w:t xml:space="preserve"> Elliott, Montréal.</w:t>
      </w:r>
    </w:p>
    <w:p w:rsidR="00266F79" w:rsidRPr="00E54F41" w:rsidRDefault="00266F79" w:rsidP="00266F79">
      <w:pPr>
        <w:pStyle w:val="SCCNormalDoubleSpacing"/>
        <w:spacing w:line="240" w:lineRule="auto"/>
        <w:rPr>
          <w:i/>
          <w:sz w:val="20"/>
          <w:lang w:val="fr-CA"/>
        </w:rPr>
      </w:pPr>
    </w:p>
    <w:p w:rsidR="00266F79" w:rsidRPr="00E54F41" w:rsidRDefault="00266F79" w:rsidP="00266F79">
      <w:pPr>
        <w:pStyle w:val="SCCNormalDoubleSpacing"/>
        <w:spacing w:line="240" w:lineRule="auto"/>
        <w:rPr>
          <w:i/>
          <w:sz w:val="20"/>
          <w:lang w:val="fr-CA"/>
        </w:rPr>
      </w:pPr>
      <w:r w:rsidRPr="00E54F41">
        <w:rPr>
          <w:i/>
          <w:sz w:val="20"/>
          <w:lang w:val="fr-CA"/>
        </w:rPr>
        <w:tab/>
        <w:t xml:space="preserve">Procureurs de l’intervenante l’Association du Barreau canadien : Osler, </w:t>
      </w:r>
      <w:proofErr w:type="spellStart"/>
      <w:r w:rsidRPr="00E54F41">
        <w:rPr>
          <w:i/>
          <w:sz w:val="20"/>
          <w:lang w:val="fr-CA"/>
        </w:rPr>
        <w:t>Hoskin</w:t>
      </w:r>
      <w:proofErr w:type="spellEnd"/>
      <w:r w:rsidRPr="00E54F41">
        <w:rPr>
          <w:i/>
          <w:sz w:val="20"/>
          <w:lang w:val="fr-CA"/>
        </w:rPr>
        <w:t xml:space="preserve"> &amp; Harcourt, Montréal.</w:t>
      </w:r>
    </w:p>
    <w:p w:rsidR="00266F79" w:rsidRPr="00E54F41" w:rsidRDefault="00266F79" w:rsidP="00266F79">
      <w:pPr>
        <w:pStyle w:val="SCCNormalDoubleSpacing"/>
        <w:spacing w:line="240" w:lineRule="auto"/>
        <w:rPr>
          <w:i/>
          <w:sz w:val="20"/>
          <w:lang w:val="fr-CA"/>
        </w:rPr>
      </w:pPr>
    </w:p>
    <w:p w:rsidR="00266F79" w:rsidRPr="00E54F41" w:rsidRDefault="00266F79" w:rsidP="00266F79">
      <w:pPr>
        <w:pStyle w:val="SCCNormalDoubleSpacing"/>
        <w:spacing w:line="240" w:lineRule="auto"/>
        <w:rPr>
          <w:i/>
          <w:sz w:val="20"/>
          <w:lang w:val="fr-CA"/>
        </w:rPr>
      </w:pPr>
      <w:r w:rsidRPr="00E54F41">
        <w:rPr>
          <w:i/>
          <w:sz w:val="20"/>
          <w:lang w:val="fr-CA"/>
        </w:rPr>
        <w:tab/>
        <w:t xml:space="preserve">Procureurs de l’intervenante </w:t>
      </w:r>
      <w:proofErr w:type="spellStart"/>
      <w:r w:rsidRPr="00E54F41">
        <w:rPr>
          <w:i/>
          <w:sz w:val="20"/>
          <w:lang w:val="fr-CA"/>
        </w:rPr>
        <w:t>Advocates</w:t>
      </w:r>
      <w:proofErr w:type="spellEnd"/>
      <w:r w:rsidRPr="00E54F41">
        <w:rPr>
          <w:i/>
          <w:sz w:val="20"/>
          <w:lang w:val="fr-CA"/>
        </w:rPr>
        <w:t xml:space="preserve">’ Society : Irving Mitchell </w:t>
      </w:r>
      <w:proofErr w:type="spellStart"/>
      <w:r w:rsidRPr="00E54F41">
        <w:rPr>
          <w:i/>
          <w:sz w:val="20"/>
          <w:lang w:val="fr-CA"/>
        </w:rPr>
        <w:t>Kalichman</w:t>
      </w:r>
      <w:proofErr w:type="spellEnd"/>
      <w:r w:rsidRPr="00E54F41">
        <w:rPr>
          <w:i/>
          <w:sz w:val="20"/>
          <w:lang w:val="fr-CA"/>
        </w:rPr>
        <w:t>, Montréal.</w:t>
      </w:r>
    </w:p>
    <w:p w:rsidR="00266F79" w:rsidRPr="00E54F41" w:rsidRDefault="00266F79" w:rsidP="00266F79">
      <w:pPr>
        <w:pStyle w:val="SCCNormalDoubleSpacing"/>
        <w:spacing w:line="240" w:lineRule="auto"/>
        <w:rPr>
          <w:i/>
          <w:sz w:val="20"/>
          <w:lang w:val="fr-CA"/>
        </w:rPr>
      </w:pPr>
    </w:p>
    <w:p w:rsidR="00266F79" w:rsidRPr="00E54F41" w:rsidRDefault="00266F79" w:rsidP="00266F79">
      <w:pPr>
        <w:pStyle w:val="SCCNormalDoubleSpacing"/>
        <w:spacing w:line="240" w:lineRule="auto"/>
        <w:rPr>
          <w:i/>
          <w:sz w:val="20"/>
          <w:lang w:val="fr-CA"/>
        </w:rPr>
      </w:pPr>
      <w:r w:rsidRPr="00E54F41">
        <w:rPr>
          <w:i/>
          <w:sz w:val="20"/>
          <w:lang w:val="fr-CA"/>
        </w:rPr>
        <w:tab/>
        <w:t>Procureurs de l’intervenant le Barreau du Québec : Langlois avocats, Québec.</w:t>
      </w:r>
    </w:p>
    <w:p w:rsidR="00266F79" w:rsidRPr="00E54F41" w:rsidRDefault="00266F79" w:rsidP="00266F79">
      <w:pPr>
        <w:pStyle w:val="SCCNormalDoubleSpacing"/>
        <w:spacing w:line="240" w:lineRule="auto"/>
        <w:rPr>
          <w:i/>
          <w:sz w:val="20"/>
          <w:lang w:val="fr-CA"/>
        </w:rPr>
      </w:pPr>
    </w:p>
    <w:p w:rsidR="00266F79" w:rsidRPr="00E54F41" w:rsidRDefault="00266F79" w:rsidP="00266F79">
      <w:pPr>
        <w:pStyle w:val="SCCNormalDoubleSpacing"/>
        <w:spacing w:line="240" w:lineRule="auto"/>
        <w:rPr>
          <w:i/>
          <w:sz w:val="20"/>
          <w:lang w:val="fr-CA"/>
        </w:rPr>
      </w:pPr>
      <w:r w:rsidRPr="00E54F41">
        <w:rPr>
          <w:sz w:val="20"/>
          <w:lang w:val="fr-CA"/>
        </w:rPr>
        <w:tab/>
      </w:r>
      <w:r w:rsidRPr="00E54F41">
        <w:rPr>
          <w:i/>
          <w:sz w:val="20"/>
          <w:lang w:val="fr-CA"/>
        </w:rPr>
        <w:t>Pourvoi rejeté avec dépens.</w:t>
      </w:r>
    </w:p>
    <w:p w:rsidR="00266F79" w:rsidRPr="00E54F41" w:rsidRDefault="00266F79" w:rsidP="00266F79">
      <w:pPr>
        <w:pStyle w:val="SCCNormalDoubleSpacing"/>
        <w:spacing w:line="240" w:lineRule="auto"/>
        <w:rPr>
          <w:i/>
          <w:sz w:val="20"/>
          <w:lang w:val="fr-CA"/>
        </w:rPr>
      </w:pPr>
    </w:p>
    <w:p w:rsidR="00266F79" w:rsidRPr="00E54F41" w:rsidRDefault="00266F79" w:rsidP="00266F79">
      <w:pPr>
        <w:pStyle w:val="SCCNormalDoubleSpacing"/>
        <w:spacing w:line="240" w:lineRule="auto"/>
        <w:rPr>
          <w:i/>
          <w:sz w:val="20"/>
          <w:lang w:val="fr-CA"/>
        </w:rPr>
      </w:pPr>
      <w:r w:rsidRPr="00E54F41">
        <w:rPr>
          <w:i/>
          <w:sz w:val="20"/>
          <w:lang w:val="fr-CA"/>
        </w:rPr>
        <w:tab/>
        <w:t>Procureurs de l’appelante : Mercier Leduc, Montréal.</w:t>
      </w:r>
    </w:p>
    <w:p w:rsidR="00266F79" w:rsidRPr="00E54F41" w:rsidRDefault="00266F79" w:rsidP="00266F79">
      <w:pPr>
        <w:pStyle w:val="SCCNormalDoubleSpacing"/>
        <w:spacing w:line="240" w:lineRule="auto"/>
        <w:rPr>
          <w:i/>
          <w:sz w:val="20"/>
          <w:lang w:val="fr-CA"/>
        </w:rPr>
      </w:pPr>
    </w:p>
    <w:p w:rsidR="00266F79" w:rsidRPr="00E54F41" w:rsidRDefault="00266F79" w:rsidP="00266F79">
      <w:pPr>
        <w:pStyle w:val="SCCNormalDoubleSpacing"/>
        <w:spacing w:line="240" w:lineRule="auto"/>
        <w:rPr>
          <w:i/>
          <w:sz w:val="20"/>
          <w:lang w:val="fr-CA"/>
        </w:rPr>
      </w:pPr>
      <w:r w:rsidRPr="00E54F41">
        <w:rPr>
          <w:i/>
          <w:sz w:val="20"/>
          <w:lang w:val="fr-CA"/>
        </w:rPr>
        <w:tab/>
        <w:t>Procureurs des intimées : </w:t>
      </w:r>
      <w:proofErr w:type="spellStart"/>
      <w:r w:rsidRPr="00E54F41">
        <w:rPr>
          <w:i/>
          <w:sz w:val="20"/>
          <w:lang w:val="fr-CA"/>
        </w:rPr>
        <w:t>Stikeman</w:t>
      </w:r>
      <w:proofErr w:type="spellEnd"/>
      <w:r w:rsidRPr="00E54F41">
        <w:rPr>
          <w:i/>
          <w:sz w:val="20"/>
          <w:lang w:val="fr-CA"/>
        </w:rPr>
        <w:t xml:space="preserve"> Elliott, Montréal.</w:t>
      </w:r>
    </w:p>
    <w:p w:rsidR="00266F79" w:rsidRPr="00E54F41" w:rsidRDefault="00266F79" w:rsidP="00266F79">
      <w:pPr>
        <w:pStyle w:val="SCCNormalDoubleSpacing"/>
        <w:spacing w:line="240" w:lineRule="auto"/>
        <w:rPr>
          <w:i/>
          <w:sz w:val="20"/>
          <w:lang w:val="fr-CA"/>
        </w:rPr>
      </w:pPr>
    </w:p>
    <w:p w:rsidR="00266F79" w:rsidRPr="00E54F41" w:rsidRDefault="00266F79" w:rsidP="00266F79">
      <w:pPr>
        <w:pStyle w:val="SCCNormalDoubleSpacing"/>
        <w:spacing w:line="240" w:lineRule="auto"/>
        <w:rPr>
          <w:i/>
          <w:sz w:val="20"/>
          <w:lang w:val="fr-CA"/>
        </w:rPr>
      </w:pPr>
      <w:r w:rsidRPr="00E54F41">
        <w:rPr>
          <w:i/>
          <w:sz w:val="20"/>
          <w:lang w:val="fr-CA"/>
        </w:rPr>
        <w:tab/>
        <w:t xml:space="preserve">Procureurs de l’intervenante l’Association du Barreau canadien : Osler, </w:t>
      </w:r>
      <w:proofErr w:type="spellStart"/>
      <w:r w:rsidRPr="00E54F41">
        <w:rPr>
          <w:i/>
          <w:sz w:val="20"/>
          <w:lang w:val="fr-CA"/>
        </w:rPr>
        <w:t>Hoskin</w:t>
      </w:r>
      <w:proofErr w:type="spellEnd"/>
      <w:r w:rsidRPr="00E54F41">
        <w:rPr>
          <w:i/>
          <w:sz w:val="20"/>
          <w:lang w:val="fr-CA"/>
        </w:rPr>
        <w:t xml:space="preserve"> &amp; Harcourt, Montréal.</w:t>
      </w:r>
    </w:p>
    <w:p w:rsidR="00266F79" w:rsidRPr="00E54F41" w:rsidRDefault="00266F79" w:rsidP="00266F79">
      <w:pPr>
        <w:pStyle w:val="SCCNormalDoubleSpacing"/>
        <w:spacing w:line="240" w:lineRule="auto"/>
        <w:rPr>
          <w:i/>
          <w:sz w:val="20"/>
          <w:lang w:val="fr-CA"/>
        </w:rPr>
      </w:pPr>
    </w:p>
    <w:p w:rsidR="00266F79" w:rsidRPr="00E54F41" w:rsidRDefault="00266F79" w:rsidP="00266F79">
      <w:pPr>
        <w:pStyle w:val="SCCNormalDoubleSpacing"/>
        <w:spacing w:line="240" w:lineRule="auto"/>
        <w:rPr>
          <w:i/>
          <w:sz w:val="20"/>
          <w:lang w:val="fr-CA"/>
        </w:rPr>
      </w:pPr>
      <w:r w:rsidRPr="00E54F41">
        <w:rPr>
          <w:i/>
          <w:sz w:val="20"/>
          <w:lang w:val="fr-CA"/>
        </w:rPr>
        <w:tab/>
        <w:t xml:space="preserve">Procureurs de l’intervenante </w:t>
      </w:r>
      <w:proofErr w:type="spellStart"/>
      <w:r w:rsidRPr="00E54F41">
        <w:rPr>
          <w:i/>
          <w:sz w:val="20"/>
          <w:lang w:val="fr-CA"/>
        </w:rPr>
        <w:t>Advocates</w:t>
      </w:r>
      <w:proofErr w:type="spellEnd"/>
      <w:r w:rsidRPr="00E54F41">
        <w:rPr>
          <w:i/>
          <w:sz w:val="20"/>
          <w:lang w:val="fr-CA"/>
        </w:rPr>
        <w:t xml:space="preserve">’ Society : Irving Mitchell </w:t>
      </w:r>
      <w:proofErr w:type="spellStart"/>
      <w:r w:rsidRPr="00E54F41">
        <w:rPr>
          <w:i/>
          <w:sz w:val="20"/>
          <w:lang w:val="fr-CA"/>
        </w:rPr>
        <w:t>Kalichman</w:t>
      </w:r>
      <w:proofErr w:type="spellEnd"/>
      <w:r w:rsidRPr="00E54F41">
        <w:rPr>
          <w:i/>
          <w:sz w:val="20"/>
          <w:lang w:val="fr-CA"/>
        </w:rPr>
        <w:t>, Montréal.</w:t>
      </w:r>
    </w:p>
    <w:p w:rsidR="00266F79" w:rsidRPr="00E54F41" w:rsidRDefault="00266F79" w:rsidP="00266F79">
      <w:pPr>
        <w:pStyle w:val="SCCNormalDoubleSpacing"/>
        <w:spacing w:line="240" w:lineRule="auto"/>
        <w:rPr>
          <w:i/>
          <w:sz w:val="20"/>
          <w:lang w:val="fr-CA"/>
        </w:rPr>
      </w:pPr>
    </w:p>
    <w:p w:rsidR="00266F79" w:rsidRPr="00E54F41" w:rsidRDefault="00266F79" w:rsidP="00266F79">
      <w:pPr>
        <w:pStyle w:val="SCCNormalDoubleSpacing"/>
        <w:spacing w:line="240" w:lineRule="auto"/>
        <w:rPr>
          <w:i/>
          <w:sz w:val="20"/>
          <w:lang w:val="fr-CA"/>
        </w:rPr>
      </w:pPr>
      <w:r w:rsidRPr="00E54F41">
        <w:rPr>
          <w:i/>
          <w:sz w:val="20"/>
          <w:lang w:val="fr-CA"/>
        </w:rPr>
        <w:tab/>
        <w:t>Procureurs de l’intervenant le Barreau du Québec : Langlois avocats, Québec.</w:t>
      </w:r>
    </w:p>
    <w:p w:rsidR="005F3164" w:rsidRPr="00B904CB" w:rsidRDefault="005F3164" w:rsidP="005F3164">
      <w:pPr>
        <w:rPr>
          <w:sz w:val="20"/>
          <w:szCs w:val="20"/>
          <w:lang w:val="en-US"/>
        </w:rPr>
      </w:pPr>
      <w:r w:rsidRPr="00B904CB">
        <w:rPr>
          <w:sz w:val="20"/>
          <w:szCs w:val="20"/>
          <w:lang w:val="en-US"/>
        </w:rPr>
        <w:t>________________________</w:t>
      </w:r>
    </w:p>
    <w:p w:rsidR="005F3164" w:rsidRPr="00B904CB" w:rsidRDefault="005F3164" w:rsidP="005F3164">
      <w:pPr>
        <w:rPr>
          <w:sz w:val="20"/>
          <w:szCs w:val="20"/>
          <w:lang w:val="en-US"/>
        </w:rPr>
      </w:pPr>
    </w:p>
    <w:p w:rsidR="00266F79" w:rsidRPr="00E54F41" w:rsidRDefault="00266F79" w:rsidP="00266F79">
      <w:pPr>
        <w:jc w:val="both"/>
        <w:rPr>
          <w:sz w:val="20"/>
        </w:rPr>
      </w:pPr>
      <w:r w:rsidRPr="00E54F41">
        <w:rPr>
          <w:sz w:val="20"/>
        </w:rPr>
        <w:t>Present: McLachlin C.J. and Abella, Cromwell, Moldaver, Karakatsanis, Wagner, Gascon, Côté and Brown JJ.</w:t>
      </w:r>
    </w:p>
    <w:p w:rsidR="00BD488B" w:rsidRPr="00E54F41" w:rsidRDefault="00BD488B" w:rsidP="00266F79">
      <w:pPr>
        <w:jc w:val="both"/>
        <w:rPr>
          <w:sz w:val="20"/>
        </w:rPr>
      </w:pPr>
    </w:p>
    <w:p w:rsidR="00266F79" w:rsidRPr="00E54F41" w:rsidRDefault="00266F79" w:rsidP="00266F79">
      <w:pPr>
        <w:jc w:val="both"/>
        <w:rPr>
          <w:i/>
          <w:sz w:val="20"/>
        </w:rPr>
      </w:pPr>
      <w:r w:rsidRPr="00E54F41">
        <w:rPr>
          <w:i/>
          <w:sz w:val="20"/>
        </w:rPr>
        <w:t xml:space="preserve">Law of professions — Ethics — Powers of investigation of syndic — Production of documents — Litigation privilege — Inquiry by syndic of </w:t>
      </w:r>
      <w:proofErr w:type="spellStart"/>
      <w:r w:rsidRPr="00E54F41">
        <w:rPr>
          <w:i/>
          <w:sz w:val="20"/>
        </w:rPr>
        <w:t>Chambre</w:t>
      </w:r>
      <w:proofErr w:type="spellEnd"/>
      <w:r w:rsidRPr="00E54F41">
        <w:rPr>
          <w:i/>
          <w:sz w:val="20"/>
        </w:rPr>
        <w:t xml:space="preserve"> de </w:t>
      </w:r>
      <w:proofErr w:type="spellStart"/>
      <w:r w:rsidRPr="00E54F41">
        <w:rPr>
          <w:i/>
          <w:sz w:val="20"/>
        </w:rPr>
        <w:t>l’assurance</w:t>
      </w:r>
      <w:proofErr w:type="spellEnd"/>
      <w:r w:rsidRPr="00E54F41">
        <w:rPr>
          <w:i/>
          <w:sz w:val="20"/>
        </w:rPr>
        <w:t xml:space="preserve"> de </w:t>
      </w:r>
      <w:proofErr w:type="spellStart"/>
      <w:r w:rsidRPr="00E54F41">
        <w:rPr>
          <w:i/>
          <w:sz w:val="20"/>
        </w:rPr>
        <w:t>dommages</w:t>
      </w:r>
      <w:proofErr w:type="spellEnd"/>
      <w:r w:rsidRPr="00E54F41">
        <w:rPr>
          <w:i/>
          <w:sz w:val="20"/>
        </w:rPr>
        <w:t xml:space="preserve"> into conduct of claims adjuster — Whether statutory provision creating obligation to produce “</w:t>
      </w:r>
      <w:proofErr w:type="gramStart"/>
      <w:r w:rsidRPr="00E54F41">
        <w:rPr>
          <w:i/>
          <w:sz w:val="20"/>
        </w:rPr>
        <w:t>any .</w:t>
      </w:r>
      <w:proofErr w:type="gramEnd"/>
      <w:r w:rsidRPr="00E54F41">
        <w:rPr>
          <w:i/>
          <w:sz w:val="20"/>
        </w:rPr>
        <w:t> . . document” at request of syndic can be interpreted as abrogating litigation privilege — Act respecting the distribution of financial products and services, CQLR, c. D</w:t>
      </w:r>
      <w:r w:rsidRPr="00E54F41">
        <w:rPr>
          <w:i/>
          <w:sz w:val="20"/>
        </w:rPr>
        <w:noBreakHyphen/>
        <w:t>9.2, s. 337.</w:t>
      </w:r>
    </w:p>
    <w:p w:rsidR="00266F79" w:rsidRPr="00E54F41" w:rsidRDefault="00266F79" w:rsidP="00266F79">
      <w:pPr>
        <w:jc w:val="both"/>
        <w:rPr>
          <w:i/>
          <w:sz w:val="20"/>
        </w:rPr>
      </w:pPr>
    </w:p>
    <w:p w:rsidR="00266F79" w:rsidRPr="00E54F41" w:rsidRDefault="00266F79" w:rsidP="00266F79">
      <w:pPr>
        <w:jc w:val="both"/>
        <w:rPr>
          <w:sz w:val="20"/>
        </w:rPr>
      </w:pPr>
      <w:r w:rsidRPr="00E54F41">
        <w:rPr>
          <w:sz w:val="20"/>
        </w:rPr>
        <w:tab/>
        <w:t xml:space="preserve">In the course of an inquiry into a claims adjuster, the assistant syndic of the </w:t>
      </w:r>
      <w:proofErr w:type="spellStart"/>
      <w:r w:rsidRPr="00E54F41">
        <w:rPr>
          <w:sz w:val="20"/>
        </w:rPr>
        <w:t>Chambre</w:t>
      </w:r>
      <w:proofErr w:type="spellEnd"/>
      <w:r w:rsidRPr="00E54F41">
        <w:rPr>
          <w:sz w:val="20"/>
        </w:rPr>
        <w:t xml:space="preserve"> de </w:t>
      </w:r>
      <w:proofErr w:type="spellStart"/>
      <w:r w:rsidRPr="00E54F41">
        <w:rPr>
          <w:sz w:val="20"/>
        </w:rPr>
        <w:t>l’assurance</w:t>
      </w:r>
      <w:proofErr w:type="spellEnd"/>
      <w:r w:rsidRPr="00E54F41">
        <w:rPr>
          <w:sz w:val="20"/>
        </w:rPr>
        <w:t xml:space="preserve"> de </w:t>
      </w:r>
      <w:proofErr w:type="spellStart"/>
      <w:r w:rsidRPr="00E54F41">
        <w:rPr>
          <w:sz w:val="20"/>
        </w:rPr>
        <w:t>dommages</w:t>
      </w:r>
      <w:proofErr w:type="spellEnd"/>
      <w:r w:rsidRPr="00E54F41">
        <w:rPr>
          <w:sz w:val="20"/>
        </w:rPr>
        <w:t xml:space="preserve"> (“the syndic”) asked insurer A to send her a complete copy of its claim file with respect to one of its insured. The syndic based this request on s. 337 of the </w:t>
      </w:r>
      <w:r w:rsidRPr="00E54F41">
        <w:rPr>
          <w:i/>
          <w:sz w:val="20"/>
        </w:rPr>
        <w:t>Act respecting the distribution of financial products and services</w:t>
      </w:r>
      <w:r w:rsidRPr="00E54F41">
        <w:rPr>
          <w:sz w:val="20"/>
        </w:rPr>
        <w:t xml:space="preserve"> (“</w:t>
      </w:r>
      <w:r w:rsidRPr="00E54F41">
        <w:rPr>
          <w:i/>
          <w:sz w:val="20"/>
        </w:rPr>
        <w:t>ADFPS</w:t>
      </w:r>
      <w:r w:rsidRPr="00E54F41">
        <w:rPr>
          <w:sz w:val="20"/>
        </w:rPr>
        <w:t xml:space="preserve">”). In response, the insurer produced a number of documents, but explained that it had withheld some on the basis that they were covered either by solicitor-client privilege or by litigation privilege. The syndic responded to this refusal by filing a motion for a declaratory judgment. </w:t>
      </w:r>
    </w:p>
    <w:p w:rsidR="00266F79" w:rsidRPr="00E54F41" w:rsidRDefault="00266F79" w:rsidP="00266F79">
      <w:pPr>
        <w:jc w:val="both"/>
        <w:rPr>
          <w:sz w:val="20"/>
        </w:rPr>
      </w:pPr>
    </w:p>
    <w:p w:rsidR="00266F79" w:rsidRPr="00E54F41" w:rsidRDefault="00266F79" w:rsidP="00266F79">
      <w:pPr>
        <w:jc w:val="both"/>
        <w:rPr>
          <w:sz w:val="20"/>
        </w:rPr>
      </w:pPr>
      <w:r w:rsidRPr="00E54F41">
        <w:rPr>
          <w:sz w:val="20"/>
        </w:rPr>
        <w:tab/>
        <w:t xml:space="preserve">At the hearing of the motion, the syndic conceded that solicitor-client privilege could be asserted against her and that the issue before the court was therefore limited to litigation privilege. She argued that s. 337 </w:t>
      </w:r>
      <w:r w:rsidRPr="00E54F41">
        <w:rPr>
          <w:i/>
          <w:sz w:val="20"/>
        </w:rPr>
        <w:t>ADFPS</w:t>
      </w:r>
      <w:r w:rsidRPr="00E54F41">
        <w:rPr>
          <w:sz w:val="20"/>
        </w:rPr>
        <w:t xml:space="preserve"> was sufficient to lift the privilege, because it created an obligation to produce “</w:t>
      </w:r>
      <w:proofErr w:type="gramStart"/>
      <w:r w:rsidRPr="00E54F41">
        <w:rPr>
          <w:sz w:val="20"/>
        </w:rPr>
        <w:t>any .</w:t>
      </w:r>
      <w:proofErr w:type="gramEnd"/>
      <w:r w:rsidRPr="00E54F41">
        <w:rPr>
          <w:sz w:val="20"/>
        </w:rPr>
        <w:t xml:space="preserve"> . . document” concerning the activities of a representative whose professional conduct is being investigated by the </w:t>
      </w:r>
      <w:proofErr w:type="spellStart"/>
      <w:r w:rsidRPr="00E54F41">
        <w:rPr>
          <w:sz w:val="20"/>
        </w:rPr>
        <w:t>Chambre</w:t>
      </w:r>
      <w:proofErr w:type="spellEnd"/>
      <w:r w:rsidRPr="00E54F41">
        <w:rPr>
          <w:sz w:val="20"/>
        </w:rPr>
        <w:t xml:space="preserve"> de </w:t>
      </w:r>
      <w:proofErr w:type="spellStart"/>
      <w:r w:rsidRPr="00E54F41">
        <w:rPr>
          <w:sz w:val="20"/>
        </w:rPr>
        <w:t>l’assurance</w:t>
      </w:r>
      <w:proofErr w:type="spellEnd"/>
      <w:r w:rsidRPr="00E54F41">
        <w:rPr>
          <w:sz w:val="20"/>
        </w:rPr>
        <w:t xml:space="preserve"> de </w:t>
      </w:r>
      <w:proofErr w:type="spellStart"/>
      <w:r w:rsidRPr="00E54F41">
        <w:rPr>
          <w:sz w:val="20"/>
        </w:rPr>
        <w:t>dommages</w:t>
      </w:r>
      <w:proofErr w:type="spellEnd"/>
      <w:r w:rsidRPr="00E54F41">
        <w:rPr>
          <w:sz w:val="20"/>
        </w:rPr>
        <w:t xml:space="preserve">. The Superior Court concluded that litigation privilege cannot be abrogated absent an express provision. The Court of Appeal upheld the Superior Court’s judgment, holding that even though litigation privilege is distinguishable from solicitor-client privilege, it is, to the same extent, a fundamentally important principle that cannot be overridden without express language. </w:t>
      </w:r>
    </w:p>
    <w:p w:rsidR="00266F79" w:rsidRPr="00E54F41" w:rsidRDefault="00266F79" w:rsidP="00266F79">
      <w:pPr>
        <w:jc w:val="both"/>
        <w:rPr>
          <w:sz w:val="20"/>
        </w:rPr>
      </w:pPr>
    </w:p>
    <w:p w:rsidR="00266F79" w:rsidRPr="00E54F41" w:rsidRDefault="00266F79" w:rsidP="00266F79">
      <w:pPr>
        <w:jc w:val="both"/>
        <w:rPr>
          <w:sz w:val="20"/>
        </w:rPr>
      </w:pPr>
      <w:r w:rsidRPr="00E54F41">
        <w:rPr>
          <w:sz w:val="20"/>
        </w:rPr>
        <w:tab/>
      </w:r>
      <w:r w:rsidRPr="00E54F41">
        <w:rPr>
          <w:i/>
          <w:sz w:val="20"/>
        </w:rPr>
        <w:t>Held</w:t>
      </w:r>
      <w:r w:rsidRPr="00E54F41">
        <w:rPr>
          <w:sz w:val="20"/>
        </w:rPr>
        <w:t>: The appeal should be dismissed.</w:t>
      </w:r>
    </w:p>
    <w:p w:rsidR="00266F79" w:rsidRPr="00E54F41" w:rsidRDefault="00266F79" w:rsidP="00266F79">
      <w:pPr>
        <w:jc w:val="both"/>
        <w:rPr>
          <w:sz w:val="20"/>
        </w:rPr>
      </w:pPr>
    </w:p>
    <w:p w:rsidR="00266F79" w:rsidRPr="00E54F41" w:rsidRDefault="00266F79" w:rsidP="00266F79">
      <w:pPr>
        <w:jc w:val="both"/>
        <w:rPr>
          <w:sz w:val="20"/>
        </w:rPr>
      </w:pPr>
      <w:r w:rsidRPr="00E54F41">
        <w:rPr>
          <w:sz w:val="20"/>
        </w:rPr>
        <w:tab/>
        <w:t>Litigation privilege is a common law rule that gives rise to an immunity from disclosure for documents and communications whose dominant purpose is preparation for litigation. This privilege has sometimes been confused with solicitor</w:t>
      </w:r>
      <w:r w:rsidRPr="00E54F41">
        <w:rPr>
          <w:sz w:val="20"/>
        </w:rPr>
        <w:noBreakHyphen/>
        <w:t xml:space="preserve">client privilege, both at common law and in Quebec law. However, since </w:t>
      </w:r>
      <w:r w:rsidRPr="00E54F41">
        <w:rPr>
          <w:i/>
          <w:sz w:val="20"/>
        </w:rPr>
        <w:t>Blank v. Canada (Minister of Justice)</w:t>
      </w:r>
      <w:r w:rsidRPr="00E54F41">
        <w:rPr>
          <w:sz w:val="20"/>
        </w:rPr>
        <w:t>, 2006 SCC 39, [2006] 2 S.C.R. 319, it has been settled law that solicitor</w:t>
      </w:r>
      <w:r w:rsidRPr="00E54F41">
        <w:rPr>
          <w:sz w:val="20"/>
        </w:rPr>
        <w:noBreakHyphen/>
        <w:t>client privilege and litigation privilege are distinct: the purpose of solicitor</w:t>
      </w:r>
      <w:r w:rsidRPr="00E54F41">
        <w:rPr>
          <w:sz w:val="20"/>
        </w:rPr>
        <w:noBreakHyphen/>
        <w:t>client privilege is to protect a relationship, while that of litigation privilege is to ensure the efficacy of the adversarial process; solicitor</w:t>
      </w:r>
      <w:r w:rsidRPr="00E54F41">
        <w:rPr>
          <w:sz w:val="20"/>
        </w:rPr>
        <w:noBreakHyphen/>
        <w:t xml:space="preserve">client privilege is permanent, whereas litigation privilege is temporary and lapses </w:t>
      </w:r>
      <w:r w:rsidRPr="00E54F41">
        <w:rPr>
          <w:sz w:val="20"/>
        </w:rPr>
        <w:lastRenderedPageBreak/>
        <w:t xml:space="preserve">when the litigation ends; and, finally, litigation privilege applies to unrepresented parties and to non-confidential documents, and is not directed at communications between solicitors and clients as such. </w:t>
      </w:r>
    </w:p>
    <w:p w:rsidR="00266F79" w:rsidRPr="00E54F41" w:rsidRDefault="00266F79" w:rsidP="00266F79">
      <w:pPr>
        <w:jc w:val="both"/>
        <w:rPr>
          <w:sz w:val="20"/>
        </w:rPr>
      </w:pPr>
    </w:p>
    <w:p w:rsidR="00266F79" w:rsidRPr="00E54F41" w:rsidRDefault="00266F79" w:rsidP="00266F79">
      <w:pPr>
        <w:jc w:val="both"/>
        <w:rPr>
          <w:sz w:val="20"/>
        </w:rPr>
      </w:pPr>
      <w:r w:rsidRPr="00E54F41">
        <w:rPr>
          <w:sz w:val="20"/>
        </w:rPr>
        <w:tab/>
        <w:t xml:space="preserve">The differences identified in </w:t>
      </w:r>
      <w:r w:rsidRPr="00E54F41">
        <w:rPr>
          <w:i/>
          <w:sz w:val="20"/>
        </w:rPr>
        <w:t>Blank</w:t>
      </w:r>
      <w:r w:rsidRPr="00E54F41">
        <w:rPr>
          <w:sz w:val="20"/>
        </w:rPr>
        <w:t xml:space="preserve"> between solicitor</w:t>
      </w:r>
      <w:r w:rsidRPr="00E54F41">
        <w:rPr>
          <w:sz w:val="20"/>
        </w:rPr>
        <w:noBreakHyphen/>
        <w:t>client privilege and litigation privilege have been adopted in Quebec law. Thus, despite certain common characteristics, litigation privilege has not been absorbed into, and does not constitute a component or subcategory of, the institution of professional secrecy.</w:t>
      </w:r>
    </w:p>
    <w:p w:rsidR="00266F79" w:rsidRPr="00E54F41" w:rsidRDefault="00266F79" w:rsidP="00266F79">
      <w:pPr>
        <w:jc w:val="both"/>
        <w:rPr>
          <w:sz w:val="20"/>
        </w:rPr>
      </w:pPr>
    </w:p>
    <w:p w:rsidR="00266F79" w:rsidRPr="00E54F41" w:rsidRDefault="00266F79" w:rsidP="00266F79">
      <w:pPr>
        <w:jc w:val="both"/>
        <w:rPr>
          <w:sz w:val="20"/>
        </w:rPr>
      </w:pPr>
      <w:r w:rsidRPr="00E54F41">
        <w:rPr>
          <w:sz w:val="20"/>
        </w:rPr>
        <w:tab/>
        <w:t>Although litigation privilege is distinguishable from solicitor</w:t>
      </w:r>
      <w:r w:rsidRPr="00E54F41">
        <w:rPr>
          <w:sz w:val="20"/>
        </w:rPr>
        <w:noBreakHyphen/>
        <w:t xml:space="preserve">client privilege, it is nevertheless a class privilege and gives rise to a presumption of inadmissibility for a class of communications, namely those whose dominant purpose is preparation for litigation. Thus, any document that meets the conditions for the application of litigation privilege will be protected by an immunity from disclosure unless the case is one to which one of the exceptions to that privilege applies. </w:t>
      </w:r>
    </w:p>
    <w:p w:rsidR="00266F79" w:rsidRPr="00E54F41" w:rsidRDefault="00266F79" w:rsidP="00266F79">
      <w:pPr>
        <w:jc w:val="both"/>
        <w:rPr>
          <w:sz w:val="20"/>
        </w:rPr>
      </w:pPr>
    </w:p>
    <w:p w:rsidR="00266F79" w:rsidRPr="00E54F41" w:rsidRDefault="00266F79" w:rsidP="00266F79">
      <w:pPr>
        <w:jc w:val="both"/>
        <w:rPr>
          <w:sz w:val="20"/>
        </w:rPr>
      </w:pPr>
      <w:r w:rsidRPr="00E54F41">
        <w:rPr>
          <w:sz w:val="20"/>
        </w:rPr>
        <w:tab/>
        <w:t>Litigation privilege is subject to clearly defined exceptions, not to a case</w:t>
      </w:r>
      <w:r w:rsidRPr="00E54F41">
        <w:rPr>
          <w:sz w:val="20"/>
        </w:rPr>
        <w:noBreakHyphen/>
        <w:t>by</w:t>
      </w:r>
      <w:r w:rsidRPr="00E54F41">
        <w:rPr>
          <w:sz w:val="20"/>
        </w:rPr>
        <w:noBreakHyphen/>
        <w:t>case balancing test. In the context of privileges, the exercise of balancing competing interests is associated with case</w:t>
      </w:r>
      <w:r w:rsidRPr="00E54F41">
        <w:rPr>
          <w:sz w:val="20"/>
        </w:rPr>
        <w:noBreakHyphen/>
        <w:t>by</w:t>
      </w:r>
      <w:r w:rsidRPr="00E54F41">
        <w:rPr>
          <w:sz w:val="20"/>
        </w:rPr>
        <w:noBreakHyphen/>
        <w:t>case privileges, not class privileges. The exceptions that apply to solicitor</w:t>
      </w:r>
      <w:r w:rsidRPr="00E54F41">
        <w:rPr>
          <w:sz w:val="20"/>
        </w:rPr>
        <w:noBreakHyphen/>
        <w:t xml:space="preserve">client privilege are all applicable to litigation privilege. These include the exceptions relating to public safety, to the innocence of the accused and to criminal communications. They also include the exception recognized in </w:t>
      </w:r>
      <w:r w:rsidRPr="00E54F41">
        <w:rPr>
          <w:i/>
          <w:sz w:val="20"/>
        </w:rPr>
        <w:t xml:space="preserve">Blank </w:t>
      </w:r>
      <w:r w:rsidRPr="00E54F41">
        <w:rPr>
          <w:sz w:val="20"/>
        </w:rPr>
        <w:t>for evidence of the claimant party’s abuse of process or similar blameworthy conduct. Other exceptions may be identified in the future, but they will always be based on narrow classes that apply in specific circumstances. </w:t>
      </w:r>
    </w:p>
    <w:p w:rsidR="00266F79" w:rsidRPr="00E54F41" w:rsidRDefault="00266F79" w:rsidP="00266F79">
      <w:pPr>
        <w:jc w:val="both"/>
        <w:rPr>
          <w:sz w:val="20"/>
        </w:rPr>
      </w:pPr>
    </w:p>
    <w:p w:rsidR="00266F79" w:rsidRPr="00E54F41" w:rsidRDefault="00266F79" w:rsidP="00266F79">
      <w:pPr>
        <w:jc w:val="both"/>
        <w:rPr>
          <w:sz w:val="20"/>
        </w:rPr>
      </w:pPr>
      <w:r w:rsidRPr="00E54F41">
        <w:rPr>
          <w:sz w:val="20"/>
        </w:rPr>
        <w:tab/>
        <w:t xml:space="preserve">Finally, litigation privilege can be asserted against third parties, including third party investigators who have a duty of confidentiality. It would not be appropriate to exclude third parties from the application of this privilege or to expose the privilege to the uncertainties of disciplinary and legal proceedings that could result in the disclosure of documents that would otherwise be protected. Any uncertainty in this regard could have a chilling effect on parties preparing for litigation, who may fear that documents otherwise covered by litigation privilege could be made public. </w:t>
      </w:r>
    </w:p>
    <w:p w:rsidR="00266F79" w:rsidRPr="00E54F41" w:rsidRDefault="00266F79" w:rsidP="00266F79">
      <w:pPr>
        <w:jc w:val="both"/>
        <w:rPr>
          <w:sz w:val="20"/>
        </w:rPr>
      </w:pPr>
    </w:p>
    <w:p w:rsidR="00266F79" w:rsidRPr="00E54F41" w:rsidRDefault="00266F79" w:rsidP="00266F79">
      <w:pPr>
        <w:jc w:val="both"/>
        <w:rPr>
          <w:sz w:val="20"/>
          <w:szCs w:val="20"/>
        </w:rPr>
      </w:pPr>
      <w:r w:rsidRPr="00E54F41">
        <w:rPr>
          <w:sz w:val="20"/>
        </w:rPr>
        <w:tab/>
        <w:t xml:space="preserve">In this case, the litigation privilege invoked by the insurer can be asserted against the syndic, and none of the exceptions to its application justify lifting the privilege. Moreover, this privilege cannot be lifted by applying s. 337 </w:t>
      </w:r>
      <w:r w:rsidRPr="00E54F41">
        <w:rPr>
          <w:i/>
          <w:sz w:val="20"/>
        </w:rPr>
        <w:t xml:space="preserve">ADFPS. </w:t>
      </w:r>
      <w:r w:rsidRPr="00E54F41">
        <w:rPr>
          <w:sz w:val="20"/>
        </w:rPr>
        <w:t xml:space="preserve">There is a robust line of authority according to which a party should not be denied the right to claim litigation privilege without clear and explicit legislative language to that effect. It was the fundamental importance of that privilege that led the Court to require explicit language for its abrogation. There is no question that litigation privilege does not </w:t>
      </w:r>
      <w:r w:rsidRPr="00E54F41">
        <w:rPr>
          <w:sz w:val="20"/>
          <w:szCs w:val="20"/>
        </w:rPr>
        <w:t>have the same status as solicitor</w:t>
      </w:r>
      <w:r w:rsidRPr="00E54F41">
        <w:rPr>
          <w:sz w:val="20"/>
          <w:szCs w:val="20"/>
        </w:rPr>
        <w:noBreakHyphen/>
        <w:t>client privilege, and it is less absolute than the latter. Nonetheless, like solicitor</w:t>
      </w:r>
      <w:r w:rsidRPr="00E54F41">
        <w:rPr>
          <w:sz w:val="20"/>
          <w:szCs w:val="20"/>
        </w:rPr>
        <w:noBreakHyphen/>
        <w:t xml:space="preserve">client privilege, litigation privilege is fundamental to the proper functioning of our legal system and is central to the adversarial system that Quebec shares with the other provinces. The parties’ ability to confidently develop strategies knowing that they cannot be compelled to disclose them is essential to the effectiveness of the adversarial process. Litigation privilege cannot therefore be abrogated by inference, and clear, explicit and unequivocal language is required in order to lift it. However, s. 337 </w:t>
      </w:r>
      <w:r w:rsidRPr="00E54F41">
        <w:rPr>
          <w:i/>
          <w:sz w:val="20"/>
          <w:szCs w:val="20"/>
        </w:rPr>
        <w:t>ADFPS</w:t>
      </w:r>
      <w:r w:rsidRPr="00E54F41">
        <w:rPr>
          <w:sz w:val="20"/>
          <w:szCs w:val="20"/>
        </w:rPr>
        <w:t>, on which the syndic is relying, merely authorizes a request for the production of “</w:t>
      </w:r>
      <w:proofErr w:type="gramStart"/>
      <w:r w:rsidRPr="00E54F41">
        <w:rPr>
          <w:sz w:val="20"/>
          <w:szCs w:val="20"/>
        </w:rPr>
        <w:t>any .</w:t>
      </w:r>
      <w:proofErr w:type="gramEnd"/>
      <w:r w:rsidRPr="00E54F41">
        <w:rPr>
          <w:sz w:val="20"/>
          <w:szCs w:val="20"/>
        </w:rPr>
        <w:t> . . document” without further precision. This is a general production provision that does not specifically indicate that the production must include records for which privilege is claimed. A provision that merely refers to the production of “</w:t>
      </w:r>
      <w:proofErr w:type="gramStart"/>
      <w:r w:rsidRPr="00E54F41">
        <w:rPr>
          <w:sz w:val="20"/>
          <w:szCs w:val="20"/>
        </w:rPr>
        <w:t>any .</w:t>
      </w:r>
      <w:proofErr w:type="gramEnd"/>
      <w:r w:rsidRPr="00E54F41">
        <w:rPr>
          <w:sz w:val="20"/>
          <w:szCs w:val="20"/>
        </w:rPr>
        <w:t> . . document” does not contain sufficiently clear, explicit and unequivocal language to abrogate litigation privilege. It follows that the insurer was entitled to assert litigation privilege in this case and to refuse to provide the syndic with the documents that fall within the scope of that privilege.</w:t>
      </w:r>
    </w:p>
    <w:p w:rsidR="00266F79" w:rsidRPr="00E54F41" w:rsidRDefault="00266F79" w:rsidP="00266F79">
      <w:pPr>
        <w:jc w:val="both"/>
        <w:rPr>
          <w:sz w:val="20"/>
          <w:szCs w:val="20"/>
        </w:rPr>
      </w:pPr>
    </w:p>
    <w:p w:rsidR="00266F79" w:rsidRPr="00E54F41" w:rsidRDefault="00266F79" w:rsidP="00266F79">
      <w:pPr>
        <w:ind w:firstLine="720"/>
        <w:jc w:val="both"/>
        <w:rPr>
          <w:sz w:val="20"/>
          <w:szCs w:val="20"/>
          <w:lang w:val="en-US"/>
        </w:rPr>
      </w:pPr>
      <w:r w:rsidRPr="00E54F41">
        <w:rPr>
          <w:sz w:val="20"/>
          <w:szCs w:val="20"/>
        </w:rPr>
        <w:t>APPEAL from a judgment of the Quebec Court of Appeal (</w:t>
      </w:r>
      <w:proofErr w:type="spellStart"/>
      <w:r w:rsidRPr="00E54F41">
        <w:rPr>
          <w:sz w:val="20"/>
          <w:szCs w:val="20"/>
        </w:rPr>
        <w:t>Bich</w:t>
      </w:r>
      <w:proofErr w:type="spellEnd"/>
      <w:r w:rsidRPr="00E54F41">
        <w:rPr>
          <w:sz w:val="20"/>
          <w:szCs w:val="20"/>
        </w:rPr>
        <w:t>, Gagnon and St</w:t>
      </w:r>
      <w:r w:rsidRPr="00E54F41">
        <w:rPr>
          <w:sz w:val="20"/>
          <w:szCs w:val="20"/>
        </w:rPr>
        <w:noBreakHyphen/>
        <w:t>Pierre JJ.A.), 2015 QCCA 152, [2015] AZ</w:t>
      </w:r>
      <w:r w:rsidRPr="00E54F41">
        <w:rPr>
          <w:sz w:val="20"/>
          <w:szCs w:val="20"/>
        </w:rPr>
        <w:noBreakHyphen/>
        <w:t>51145074, [2015] J.Q. n</w:t>
      </w:r>
      <w:r w:rsidRPr="00E54F41">
        <w:rPr>
          <w:sz w:val="20"/>
          <w:szCs w:val="20"/>
          <w:vertAlign w:val="superscript"/>
        </w:rPr>
        <w:t>o</w:t>
      </w:r>
      <w:r w:rsidRPr="00E54F41">
        <w:rPr>
          <w:sz w:val="20"/>
          <w:szCs w:val="20"/>
        </w:rPr>
        <w:t xml:space="preserve"> 383 (QL), 2015 </w:t>
      </w:r>
      <w:proofErr w:type="spellStart"/>
      <w:r w:rsidRPr="00E54F41">
        <w:rPr>
          <w:sz w:val="20"/>
          <w:szCs w:val="20"/>
        </w:rPr>
        <w:t>CarswellQue</w:t>
      </w:r>
      <w:proofErr w:type="spellEnd"/>
      <w:r w:rsidRPr="00E54F41">
        <w:rPr>
          <w:sz w:val="20"/>
          <w:szCs w:val="20"/>
        </w:rPr>
        <w:t xml:space="preserve"> 384 (WL Can.), setting aside in part a decision of Gagnon J., 2013 QCCS 6397, [2013] AZ</w:t>
      </w:r>
      <w:r w:rsidRPr="00E54F41">
        <w:rPr>
          <w:sz w:val="20"/>
          <w:szCs w:val="20"/>
        </w:rPr>
        <w:noBreakHyphen/>
        <w:t xml:space="preserve">51031246, </w:t>
      </w:r>
      <w:r w:rsidRPr="00E54F41">
        <w:rPr>
          <w:sz w:val="20"/>
          <w:szCs w:val="20"/>
          <w:lang w:val="en-US"/>
        </w:rPr>
        <w:t>[2013] J.Q. n</w:t>
      </w:r>
      <w:r w:rsidRPr="00E54F41">
        <w:rPr>
          <w:sz w:val="20"/>
          <w:szCs w:val="20"/>
          <w:vertAlign w:val="superscript"/>
          <w:lang w:val="en-US"/>
        </w:rPr>
        <w:t>o</w:t>
      </w:r>
      <w:r w:rsidRPr="00E54F41">
        <w:rPr>
          <w:sz w:val="20"/>
          <w:szCs w:val="20"/>
          <w:lang w:val="en-US"/>
        </w:rPr>
        <w:t xml:space="preserve"> 14254 (QL), 2013 </w:t>
      </w:r>
      <w:proofErr w:type="spellStart"/>
      <w:r w:rsidRPr="00E54F41">
        <w:rPr>
          <w:sz w:val="20"/>
          <w:szCs w:val="20"/>
          <w:lang w:val="en-US"/>
        </w:rPr>
        <w:t>CarswellQue</w:t>
      </w:r>
      <w:proofErr w:type="spellEnd"/>
      <w:r w:rsidRPr="00E54F41">
        <w:rPr>
          <w:sz w:val="20"/>
          <w:szCs w:val="20"/>
          <w:lang w:val="en-US"/>
        </w:rPr>
        <w:t xml:space="preserve"> 13283 (WL Can.). Appeal dismissed.</w:t>
      </w:r>
    </w:p>
    <w:p w:rsidR="00266F79" w:rsidRPr="00E54F41" w:rsidRDefault="00266F79" w:rsidP="00266F79">
      <w:pPr>
        <w:ind w:firstLine="720"/>
        <w:jc w:val="both"/>
        <w:rPr>
          <w:sz w:val="20"/>
          <w:szCs w:val="20"/>
          <w:lang w:val="en-US"/>
        </w:rPr>
      </w:pPr>
    </w:p>
    <w:p w:rsidR="00266F79" w:rsidRPr="00E54F41" w:rsidRDefault="00266F79" w:rsidP="00266F79">
      <w:pPr>
        <w:jc w:val="both"/>
        <w:rPr>
          <w:sz w:val="20"/>
          <w:szCs w:val="20"/>
        </w:rPr>
      </w:pPr>
      <w:r w:rsidRPr="00E54F41">
        <w:rPr>
          <w:i/>
          <w:sz w:val="20"/>
          <w:szCs w:val="20"/>
        </w:rPr>
        <w:tab/>
        <w:t>Claude G. Leduc</w:t>
      </w:r>
      <w:r w:rsidRPr="00E54F41">
        <w:rPr>
          <w:sz w:val="20"/>
          <w:szCs w:val="20"/>
        </w:rPr>
        <w:t xml:space="preserve"> and </w:t>
      </w:r>
      <w:r w:rsidRPr="00E54F41">
        <w:rPr>
          <w:i/>
          <w:sz w:val="20"/>
          <w:szCs w:val="20"/>
        </w:rPr>
        <w:t>Olivier Charbonneau</w:t>
      </w:r>
      <w:r w:rsidRPr="00E54F41">
        <w:rPr>
          <w:i/>
          <w:sz w:val="20"/>
          <w:szCs w:val="20"/>
        </w:rPr>
        <w:noBreakHyphen/>
      </w:r>
      <w:proofErr w:type="spellStart"/>
      <w:r w:rsidRPr="00E54F41">
        <w:rPr>
          <w:i/>
          <w:sz w:val="20"/>
          <w:szCs w:val="20"/>
        </w:rPr>
        <w:t>Saulnier</w:t>
      </w:r>
      <w:proofErr w:type="spellEnd"/>
      <w:r w:rsidRPr="00E54F41">
        <w:rPr>
          <w:sz w:val="20"/>
          <w:szCs w:val="20"/>
        </w:rPr>
        <w:t>, for the appellant.</w:t>
      </w:r>
    </w:p>
    <w:p w:rsidR="00266F79" w:rsidRPr="00E54F41" w:rsidRDefault="00266F79" w:rsidP="00266F79">
      <w:pPr>
        <w:jc w:val="both"/>
        <w:rPr>
          <w:sz w:val="20"/>
          <w:szCs w:val="20"/>
        </w:rPr>
      </w:pPr>
    </w:p>
    <w:p w:rsidR="00266F79" w:rsidRPr="00E54F41" w:rsidRDefault="00266F79" w:rsidP="00266F79">
      <w:pPr>
        <w:jc w:val="both"/>
        <w:rPr>
          <w:sz w:val="20"/>
          <w:szCs w:val="20"/>
        </w:rPr>
      </w:pPr>
      <w:r w:rsidRPr="00E54F41">
        <w:rPr>
          <w:i/>
          <w:sz w:val="20"/>
          <w:szCs w:val="20"/>
        </w:rPr>
        <w:tab/>
      </w:r>
      <w:proofErr w:type="spellStart"/>
      <w:r w:rsidRPr="00E54F41">
        <w:rPr>
          <w:i/>
          <w:sz w:val="20"/>
          <w:szCs w:val="20"/>
        </w:rPr>
        <w:t>Éric</w:t>
      </w:r>
      <w:proofErr w:type="spellEnd"/>
      <w:r w:rsidRPr="00E54F41">
        <w:rPr>
          <w:i/>
          <w:sz w:val="20"/>
          <w:szCs w:val="20"/>
        </w:rPr>
        <w:t xml:space="preserve"> </w:t>
      </w:r>
      <w:proofErr w:type="spellStart"/>
      <w:r w:rsidRPr="00E54F41">
        <w:rPr>
          <w:i/>
          <w:sz w:val="20"/>
          <w:szCs w:val="20"/>
        </w:rPr>
        <w:t>Azran</w:t>
      </w:r>
      <w:proofErr w:type="spellEnd"/>
      <w:r w:rsidRPr="00E54F41">
        <w:rPr>
          <w:sz w:val="20"/>
          <w:szCs w:val="20"/>
        </w:rPr>
        <w:t xml:space="preserve"> and </w:t>
      </w:r>
      <w:r w:rsidRPr="00E54F41">
        <w:rPr>
          <w:i/>
          <w:sz w:val="20"/>
          <w:szCs w:val="20"/>
        </w:rPr>
        <w:t>Patrick Girard</w:t>
      </w:r>
      <w:r w:rsidRPr="00E54F41">
        <w:rPr>
          <w:sz w:val="20"/>
          <w:szCs w:val="20"/>
        </w:rPr>
        <w:t>, for the respondents.</w:t>
      </w:r>
    </w:p>
    <w:p w:rsidR="00266F79" w:rsidRPr="00E54F41" w:rsidRDefault="00266F79" w:rsidP="00266F79">
      <w:pPr>
        <w:jc w:val="both"/>
        <w:rPr>
          <w:sz w:val="20"/>
          <w:szCs w:val="20"/>
        </w:rPr>
      </w:pPr>
    </w:p>
    <w:p w:rsidR="00266F79" w:rsidRPr="00E54F41" w:rsidRDefault="00266F79" w:rsidP="00266F79">
      <w:pPr>
        <w:jc w:val="both"/>
        <w:rPr>
          <w:sz w:val="20"/>
          <w:szCs w:val="20"/>
        </w:rPr>
      </w:pPr>
      <w:r w:rsidRPr="00E54F41">
        <w:rPr>
          <w:i/>
          <w:sz w:val="20"/>
          <w:szCs w:val="20"/>
        </w:rPr>
        <w:tab/>
        <w:t>Mahmud Jamal</w:t>
      </w:r>
      <w:r w:rsidRPr="00E54F41">
        <w:rPr>
          <w:sz w:val="20"/>
          <w:szCs w:val="20"/>
        </w:rPr>
        <w:t xml:space="preserve">, </w:t>
      </w:r>
      <w:r w:rsidRPr="00E54F41">
        <w:rPr>
          <w:i/>
          <w:sz w:val="20"/>
          <w:szCs w:val="20"/>
        </w:rPr>
        <w:t>Alexandre Fallon</w:t>
      </w:r>
      <w:r w:rsidRPr="00E54F41">
        <w:rPr>
          <w:sz w:val="20"/>
          <w:szCs w:val="20"/>
        </w:rPr>
        <w:t xml:space="preserve"> and </w:t>
      </w:r>
      <w:r w:rsidRPr="00E54F41">
        <w:rPr>
          <w:i/>
          <w:sz w:val="20"/>
          <w:szCs w:val="20"/>
        </w:rPr>
        <w:t>W. David Rankin</w:t>
      </w:r>
      <w:r w:rsidRPr="00E54F41">
        <w:rPr>
          <w:sz w:val="20"/>
          <w:szCs w:val="20"/>
        </w:rPr>
        <w:t>, for the intervener the Canadian Bar Association.</w:t>
      </w:r>
    </w:p>
    <w:p w:rsidR="00266F79" w:rsidRPr="00E54F41" w:rsidRDefault="00266F79" w:rsidP="00266F79">
      <w:pPr>
        <w:jc w:val="both"/>
        <w:rPr>
          <w:sz w:val="20"/>
          <w:szCs w:val="20"/>
        </w:rPr>
      </w:pPr>
    </w:p>
    <w:p w:rsidR="00266F79" w:rsidRPr="00E54F41" w:rsidRDefault="00266F79" w:rsidP="00266F79">
      <w:pPr>
        <w:jc w:val="both"/>
        <w:rPr>
          <w:sz w:val="20"/>
          <w:szCs w:val="20"/>
        </w:rPr>
      </w:pPr>
      <w:r w:rsidRPr="00E54F41">
        <w:rPr>
          <w:i/>
          <w:sz w:val="20"/>
          <w:szCs w:val="20"/>
        </w:rPr>
        <w:tab/>
        <w:t xml:space="preserve">Douglas C. Mitchell </w:t>
      </w:r>
      <w:r w:rsidRPr="00E54F41">
        <w:rPr>
          <w:sz w:val="20"/>
          <w:szCs w:val="20"/>
        </w:rPr>
        <w:t>and</w:t>
      </w:r>
      <w:r w:rsidRPr="00E54F41">
        <w:rPr>
          <w:i/>
          <w:sz w:val="20"/>
          <w:szCs w:val="20"/>
        </w:rPr>
        <w:t xml:space="preserve"> Audrey </w:t>
      </w:r>
      <w:proofErr w:type="spellStart"/>
      <w:r w:rsidRPr="00E54F41">
        <w:rPr>
          <w:i/>
          <w:sz w:val="20"/>
          <w:szCs w:val="20"/>
        </w:rPr>
        <w:t>Boctor</w:t>
      </w:r>
      <w:proofErr w:type="spellEnd"/>
      <w:r w:rsidRPr="00E54F41">
        <w:rPr>
          <w:i/>
          <w:sz w:val="20"/>
          <w:szCs w:val="20"/>
        </w:rPr>
        <w:t xml:space="preserve">, </w:t>
      </w:r>
      <w:r w:rsidRPr="00E54F41">
        <w:rPr>
          <w:sz w:val="20"/>
          <w:szCs w:val="20"/>
        </w:rPr>
        <w:t>for the intervener the Advocates’ Society.</w:t>
      </w:r>
    </w:p>
    <w:p w:rsidR="00266F79" w:rsidRPr="00E54F41" w:rsidRDefault="00266F79" w:rsidP="00266F79">
      <w:pPr>
        <w:jc w:val="both"/>
        <w:rPr>
          <w:sz w:val="20"/>
          <w:szCs w:val="20"/>
        </w:rPr>
      </w:pPr>
    </w:p>
    <w:p w:rsidR="00266F79" w:rsidRPr="00E54F41" w:rsidRDefault="00266F79" w:rsidP="00266F79">
      <w:pPr>
        <w:jc w:val="both"/>
        <w:rPr>
          <w:sz w:val="20"/>
          <w:szCs w:val="20"/>
          <w:lang w:val="fr-CA"/>
        </w:rPr>
      </w:pPr>
      <w:r w:rsidRPr="00E54F41">
        <w:rPr>
          <w:i/>
          <w:sz w:val="20"/>
          <w:szCs w:val="20"/>
        </w:rPr>
        <w:tab/>
      </w:r>
      <w:r w:rsidRPr="00E54F41">
        <w:rPr>
          <w:i/>
          <w:sz w:val="20"/>
          <w:szCs w:val="20"/>
          <w:lang w:val="fr-CA"/>
        </w:rPr>
        <w:t xml:space="preserve">François </w:t>
      </w:r>
      <w:proofErr w:type="spellStart"/>
      <w:r w:rsidRPr="00E54F41">
        <w:rPr>
          <w:i/>
          <w:sz w:val="20"/>
          <w:szCs w:val="20"/>
          <w:lang w:val="fr-CA"/>
        </w:rPr>
        <w:t>LeBel</w:t>
      </w:r>
      <w:proofErr w:type="spellEnd"/>
      <w:r w:rsidRPr="00E54F41">
        <w:rPr>
          <w:sz w:val="20"/>
          <w:szCs w:val="20"/>
          <w:lang w:val="fr-CA"/>
        </w:rPr>
        <w:t xml:space="preserve">, </w:t>
      </w:r>
      <w:r w:rsidRPr="00E54F41">
        <w:rPr>
          <w:i/>
          <w:sz w:val="20"/>
          <w:szCs w:val="20"/>
          <w:lang w:val="fr-CA"/>
        </w:rPr>
        <w:t>Jean</w:t>
      </w:r>
      <w:r w:rsidRPr="00E54F41">
        <w:rPr>
          <w:i/>
          <w:sz w:val="20"/>
          <w:szCs w:val="20"/>
          <w:lang w:val="fr-CA"/>
        </w:rPr>
        <w:noBreakHyphen/>
        <w:t>Benoît Pouliot</w:t>
      </w:r>
      <w:r w:rsidRPr="00E54F41">
        <w:rPr>
          <w:sz w:val="20"/>
          <w:szCs w:val="20"/>
          <w:lang w:val="fr-CA"/>
        </w:rPr>
        <w:t xml:space="preserve"> and </w:t>
      </w:r>
      <w:r w:rsidRPr="00E54F41">
        <w:rPr>
          <w:i/>
          <w:sz w:val="20"/>
          <w:szCs w:val="20"/>
          <w:lang w:val="fr-CA"/>
        </w:rPr>
        <w:t>Sylvie Champagne</w:t>
      </w:r>
      <w:r w:rsidRPr="00E54F41">
        <w:rPr>
          <w:sz w:val="20"/>
          <w:szCs w:val="20"/>
          <w:lang w:val="fr-CA"/>
        </w:rPr>
        <w:t xml:space="preserve">, for the </w:t>
      </w:r>
      <w:proofErr w:type="spellStart"/>
      <w:r w:rsidRPr="00E54F41">
        <w:rPr>
          <w:sz w:val="20"/>
          <w:szCs w:val="20"/>
          <w:lang w:val="fr-CA"/>
        </w:rPr>
        <w:t>intervener</w:t>
      </w:r>
      <w:proofErr w:type="spellEnd"/>
      <w:r w:rsidRPr="00E54F41">
        <w:rPr>
          <w:sz w:val="20"/>
          <w:szCs w:val="20"/>
          <w:lang w:val="fr-CA"/>
        </w:rPr>
        <w:t xml:space="preserve"> Barreau du Québec.</w:t>
      </w:r>
    </w:p>
    <w:p w:rsidR="00266F79" w:rsidRPr="00E54F41" w:rsidRDefault="00266F79" w:rsidP="00266F79">
      <w:pPr>
        <w:jc w:val="both"/>
        <w:rPr>
          <w:sz w:val="20"/>
          <w:szCs w:val="20"/>
          <w:lang w:val="fr-CA"/>
        </w:rPr>
      </w:pPr>
    </w:p>
    <w:p w:rsidR="00266F79" w:rsidRPr="00E54F41" w:rsidRDefault="00266F79" w:rsidP="00266F79">
      <w:pPr>
        <w:jc w:val="both"/>
        <w:rPr>
          <w:i/>
          <w:sz w:val="20"/>
          <w:szCs w:val="20"/>
        </w:rPr>
      </w:pPr>
      <w:r w:rsidRPr="00E54F41">
        <w:rPr>
          <w:i/>
          <w:sz w:val="20"/>
          <w:szCs w:val="20"/>
          <w:lang w:val="fr-CA"/>
        </w:rPr>
        <w:tab/>
      </w:r>
      <w:r w:rsidRPr="00E54F41">
        <w:rPr>
          <w:i/>
          <w:sz w:val="20"/>
          <w:szCs w:val="20"/>
        </w:rPr>
        <w:t>Solicitors for the appellant: Mercier Leduc, Montréal.</w:t>
      </w:r>
    </w:p>
    <w:p w:rsidR="00266F79" w:rsidRPr="00E54F41" w:rsidRDefault="00266F79" w:rsidP="00266F79">
      <w:pPr>
        <w:jc w:val="both"/>
        <w:rPr>
          <w:i/>
          <w:sz w:val="20"/>
          <w:szCs w:val="20"/>
        </w:rPr>
      </w:pPr>
    </w:p>
    <w:p w:rsidR="00266F79" w:rsidRPr="00E54F41" w:rsidRDefault="00266F79" w:rsidP="00266F79">
      <w:pPr>
        <w:jc w:val="both"/>
        <w:rPr>
          <w:i/>
          <w:sz w:val="20"/>
          <w:szCs w:val="20"/>
        </w:rPr>
      </w:pPr>
      <w:r w:rsidRPr="00E54F41">
        <w:rPr>
          <w:i/>
          <w:sz w:val="20"/>
          <w:szCs w:val="20"/>
        </w:rPr>
        <w:tab/>
        <w:t>Solicitors for the respondents: </w:t>
      </w:r>
      <w:proofErr w:type="spellStart"/>
      <w:r w:rsidRPr="00E54F41">
        <w:rPr>
          <w:i/>
          <w:sz w:val="20"/>
          <w:szCs w:val="20"/>
        </w:rPr>
        <w:t>Stikeman</w:t>
      </w:r>
      <w:proofErr w:type="spellEnd"/>
      <w:r w:rsidRPr="00E54F41">
        <w:rPr>
          <w:i/>
          <w:sz w:val="20"/>
          <w:szCs w:val="20"/>
        </w:rPr>
        <w:t xml:space="preserve"> Elliott, Montréal.</w:t>
      </w:r>
    </w:p>
    <w:p w:rsidR="00266F79" w:rsidRPr="00E54F41" w:rsidRDefault="00266F79" w:rsidP="00266F79">
      <w:pPr>
        <w:jc w:val="both"/>
        <w:rPr>
          <w:i/>
          <w:sz w:val="20"/>
          <w:szCs w:val="20"/>
        </w:rPr>
      </w:pPr>
    </w:p>
    <w:p w:rsidR="00266F79" w:rsidRPr="00E54F41" w:rsidRDefault="00266F79" w:rsidP="00266F79">
      <w:pPr>
        <w:jc w:val="both"/>
        <w:rPr>
          <w:i/>
          <w:sz w:val="20"/>
          <w:szCs w:val="20"/>
        </w:rPr>
      </w:pPr>
      <w:r w:rsidRPr="00E54F41">
        <w:rPr>
          <w:i/>
          <w:sz w:val="20"/>
          <w:szCs w:val="20"/>
        </w:rPr>
        <w:tab/>
        <w:t xml:space="preserve">Solicitors for the intervener the Canadian Bar Association: Osler, </w:t>
      </w:r>
      <w:proofErr w:type="spellStart"/>
      <w:r w:rsidRPr="00E54F41">
        <w:rPr>
          <w:i/>
          <w:sz w:val="20"/>
          <w:szCs w:val="20"/>
        </w:rPr>
        <w:t>Hoskin</w:t>
      </w:r>
      <w:proofErr w:type="spellEnd"/>
      <w:r w:rsidRPr="00E54F41">
        <w:rPr>
          <w:i/>
          <w:sz w:val="20"/>
          <w:szCs w:val="20"/>
        </w:rPr>
        <w:t xml:space="preserve"> &amp; Harcourt, Montréal.</w:t>
      </w:r>
    </w:p>
    <w:p w:rsidR="00266F79" w:rsidRPr="00E54F41" w:rsidRDefault="00266F79" w:rsidP="00266F79">
      <w:pPr>
        <w:jc w:val="both"/>
        <w:rPr>
          <w:i/>
          <w:sz w:val="20"/>
          <w:szCs w:val="20"/>
        </w:rPr>
      </w:pPr>
    </w:p>
    <w:p w:rsidR="00266F79" w:rsidRPr="00E54F41" w:rsidRDefault="00266F79" w:rsidP="00266F79">
      <w:pPr>
        <w:jc w:val="both"/>
        <w:rPr>
          <w:i/>
          <w:sz w:val="20"/>
          <w:szCs w:val="20"/>
        </w:rPr>
      </w:pPr>
      <w:r w:rsidRPr="00E54F41">
        <w:rPr>
          <w:i/>
          <w:sz w:val="20"/>
          <w:szCs w:val="20"/>
        </w:rPr>
        <w:tab/>
        <w:t xml:space="preserve">Solicitors for the intervener the Advocates’ Society: Irving Mitchell </w:t>
      </w:r>
      <w:proofErr w:type="spellStart"/>
      <w:r w:rsidRPr="00E54F41">
        <w:rPr>
          <w:i/>
          <w:sz w:val="20"/>
          <w:szCs w:val="20"/>
        </w:rPr>
        <w:t>Kalichman</w:t>
      </w:r>
      <w:proofErr w:type="spellEnd"/>
      <w:r w:rsidRPr="00E54F41">
        <w:rPr>
          <w:i/>
          <w:sz w:val="20"/>
          <w:szCs w:val="20"/>
        </w:rPr>
        <w:t>, Montréal.</w:t>
      </w:r>
    </w:p>
    <w:p w:rsidR="00266F79" w:rsidRPr="00E54F41" w:rsidRDefault="00266F79" w:rsidP="00266F79">
      <w:pPr>
        <w:jc w:val="both"/>
        <w:rPr>
          <w:i/>
          <w:sz w:val="20"/>
          <w:szCs w:val="20"/>
        </w:rPr>
      </w:pPr>
    </w:p>
    <w:p w:rsidR="00266F79" w:rsidRPr="00E54F41" w:rsidRDefault="00266F79" w:rsidP="00266F79">
      <w:pPr>
        <w:jc w:val="both"/>
        <w:rPr>
          <w:i/>
          <w:sz w:val="20"/>
          <w:szCs w:val="20"/>
          <w:lang w:val="fr-CA"/>
        </w:rPr>
      </w:pPr>
      <w:r w:rsidRPr="00E54F41">
        <w:rPr>
          <w:i/>
          <w:sz w:val="20"/>
          <w:szCs w:val="20"/>
        </w:rPr>
        <w:tab/>
      </w:r>
      <w:r w:rsidRPr="00E54F41">
        <w:rPr>
          <w:i/>
          <w:sz w:val="20"/>
          <w:szCs w:val="20"/>
          <w:lang w:val="fr-CA"/>
        </w:rPr>
        <w:t xml:space="preserve">Solicitors for the </w:t>
      </w:r>
      <w:proofErr w:type="spellStart"/>
      <w:r w:rsidRPr="00E54F41">
        <w:rPr>
          <w:i/>
          <w:sz w:val="20"/>
          <w:szCs w:val="20"/>
          <w:lang w:val="fr-CA"/>
        </w:rPr>
        <w:t>intervener</w:t>
      </w:r>
      <w:proofErr w:type="spellEnd"/>
      <w:r w:rsidRPr="00E54F41">
        <w:rPr>
          <w:i/>
          <w:sz w:val="20"/>
          <w:szCs w:val="20"/>
          <w:lang w:val="fr-CA"/>
        </w:rPr>
        <w:t xml:space="preserve"> Barreau du Québec: Langlois </w:t>
      </w:r>
      <w:proofErr w:type="spellStart"/>
      <w:r w:rsidRPr="00E54F41">
        <w:rPr>
          <w:i/>
          <w:sz w:val="20"/>
          <w:szCs w:val="20"/>
          <w:lang w:val="fr-CA"/>
        </w:rPr>
        <w:t>lawyers</w:t>
      </w:r>
      <w:proofErr w:type="spellEnd"/>
      <w:r w:rsidRPr="00E54F41">
        <w:rPr>
          <w:i/>
          <w:sz w:val="20"/>
          <w:szCs w:val="20"/>
          <w:lang w:val="fr-CA"/>
        </w:rPr>
        <w:t>, Québec.</w:t>
      </w:r>
    </w:p>
    <w:p w:rsidR="00266F79" w:rsidRPr="00E54F41" w:rsidRDefault="00266F79" w:rsidP="00266F79">
      <w:pPr>
        <w:jc w:val="both"/>
        <w:rPr>
          <w:i/>
          <w:sz w:val="20"/>
          <w:szCs w:val="20"/>
          <w:lang w:val="fr-CA"/>
        </w:rPr>
      </w:pPr>
    </w:p>
    <w:p w:rsidR="00266F79" w:rsidRPr="00E54F41" w:rsidRDefault="00266F79" w:rsidP="00266F79">
      <w:pPr>
        <w:jc w:val="both"/>
        <w:rPr>
          <w:i/>
          <w:sz w:val="20"/>
          <w:szCs w:val="20"/>
        </w:rPr>
      </w:pPr>
      <w:r w:rsidRPr="00E54F41">
        <w:rPr>
          <w:sz w:val="20"/>
          <w:szCs w:val="20"/>
          <w:lang w:val="fr-CA"/>
        </w:rPr>
        <w:tab/>
      </w:r>
      <w:r w:rsidRPr="00E54F41">
        <w:rPr>
          <w:i/>
          <w:sz w:val="20"/>
          <w:szCs w:val="20"/>
        </w:rPr>
        <w:t>Appeal dismissed with costs.</w:t>
      </w:r>
    </w:p>
    <w:p w:rsidR="00266F79" w:rsidRPr="00E54F41" w:rsidRDefault="00266F79" w:rsidP="00266F79">
      <w:pPr>
        <w:jc w:val="both"/>
        <w:rPr>
          <w:sz w:val="20"/>
          <w:szCs w:val="20"/>
        </w:rPr>
      </w:pPr>
    </w:p>
    <w:p w:rsidR="00266F79" w:rsidRPr="00E54F41" w:rsidRDefault="00266F79" w:rsidP="00266F79">
      <w:pPr>
        <w:jc w:val="both"/>
        <w:rPr>
          <w:i/>
          <w:sz w:val="20"/>
          <w:szCs w:val="20"/>
        </w:rPr>
      </w:pPr>
      <w:r w:rsidRPr="00E54F41">
        <w:rPr>
          <w:i/>
          <w:sz w:val="20"/>
          <w:szCs w:val="20"/>
        </w:rPr>
        <w:tab/>
        <w:t>Solicitors for the appellant: Mercier Leduc, Montréal.</w:t>
      </w:r>
    </w:p>
    <w:p w:rsidR="00266F79" w:rsidRPr="00E54F41" w:rsidRDefault="00266F79" w:rsidP="00266F79">
      <w:pPr>
        <w:jc w:val="both"/>
        <w:rPr>
          <w:i/>
          <w:sz w:val="20"/>
          <w:szCs w:val="20"/>
        </w:rPr>
      </w:pPr>
    </w:p>
    <w:p w:rsidR="00266F79" w:rsidRPr="00E54F41" w:rsidRDefault="00266F79" w:rsidP="00266F79">
      <w:pPr>
        <w:jc w:val="both"/>
        <w:rPr>
          <w:i/>
          <w:sz w:val="20"/>
          <w:szCs w:val="20"/>
        </w:rPr>
      </w:pPr>
      <w:r w:rsidRPr="00E54F41">
        <w:rPr>
          <w:i/>
          <w:sz w:val="20"/>
          <w:szCs w:val="20"/>
        </w:rPr>
        <w:tab/>
        <w:t>Solicitors for the respondents: </w:t>
      </w:r>
      <w:proofErr w:type="spellStart"/>
      <w:r w:rsidRPr="00E54F41">
        <w:rPr>
          <w:i/>
          <w:sz w:val="20"/>
          <w:szCs w:val="20"/>
        </w:rPr>
        <w:t>Stikeman</w:t>
      </w:r>
      <w:proofErr w:type="spellEnd"/>
      <w:r w:rsidRPr="00E54F41">
        <w:rPr>
          <w:i/>
          <w:sz w:val="20"/>
          <w:szCs w:val="20"/>
        </w:rPr>
        <w:t xml:space="preserve"> Elliott, Montréal.</w:t>
      </w:r>
    </w:p>
    <w:p w:rsidR="00266F79" w:rsidRPr="00E54F41" w:rsidRDefault="00266F79" w:rsidP="00266F79">
      <w:pPr>
        <w:jc w:val="both"/>
        <w:rPr>
          <w:i/>
          <w:sz w:val="20"/>
          <w:szCs w:val="20"/>
        </w:rPr>
      </w:pPr>
    </w:p>
    <w:p w:rsidR="00266F79" w:rsidRPr="00E54F41" w:rsidRDefault="00266F79" w:rsidP="00266F79">
      <w:pPr>
        <w:jc w:val="both"/>
        <w:rPr>
          <w:i/>
          <w:sz w:val="20"/>
          <w:szCs w:val="20"/>
        </w:rPr>
      </w:pPr>
      <w:r w:rsidRPr="00E54F41">
        <w:rPr>
          <w:i/>
          <w:sz w:val="20"/>
          <w:szCs w:val="20"/>
        </w:rPr>
        <w:tab/>
        <w:t xml:space="preserve">Solicitors for the intervener the Canadian Bar Association: Osler, </w:t>
      </w:r>
      <w:proofErr w:type="spellStart"/>
      <w:r w:rsidRPr="00E54F41">
        <w:rPr>
          <w:i/>
          <w:sz w:val="20"/>
          <w:szCs w:val="20"/>
        </w:rPr>
        <w:t>Hoskin</w:t>
      </w:r>
      <w:proofErr w:type="spellEnd"/>
      <w:r w:rsidRPr="00E54F41">
        <w:rPr>
          <w:i/>
          <w:sz w:val="20"/>
          <w:szCs w:val="20"/>
        </w:rPr>
        <w:t xml:space="preserve"> &amp; Harcourt, Montréal.</w:t>
      </w:r>
    </w:p>
    <w:p w:rsidR="00266F79" w:rsidRPr="00E54F41" w:rsidRDefault="00266F79" w:rsidP="00266F79">
      <w:pPr>
        <w:jc w:val="both"/>
        <w:rPr>
          <w:i/>
          <w:sz w:val="20"/>
          <w:szCs w:val="20"/>
        </w:rPr>
      </w:pPr>
    </w:p>
    <w:p w:rsidR="00266F79" w:rsidRPr="00E54F41" w:rsidRDefault="00266F79" w:rsidP="00266F79">
      <w:pPr>
        <w:jc w:val="both"/>
        <w:rPr>
          <w:i/>
          <w:sz w:val="20"/>
          <w:szCs w:val="20"/>
        </w:rPr>
      </w:pPr>
      <w:r w:rsidRPr="00E54F41">
        <w:rPr>
          <w:i/>
          <w:sz w:val="20"/>
          <w:szCs w:val="20"/>
        </w:rPr>
        <w:tab/>
        <w:t xml:space="preserve">Solicitors for the intervener the Advocates’ Society: Irving Mitchell </w:t>
      </w:r>
      <w:proofErr w:type="spellStart"/>
      <w:r w:rsidRPr="00E54F41">
        <w:rPr>
          <w:i/>
          <w:sz w:val="20"/>
          <w:szCs w:val="20"/>
        </w:rPr>
        <w:t>Kalichman</w:t>
      </w:r>
      <w:proofErr w:type="spellEnd"/>
      <w:r w:rsidRPr="00E54F41">
        <w:rPr>
          <w:i/>
          <w:sz w:val="20"/>
          <w:szCs w:val="20"/>
        </w:rPr>
        <w:t>, Montréal.</w:t>
      </w:r>
    </w:p>
    <w:p w:rsidR="00266F79" w:rsidRPr="00E54F41" w:rsidRDefault="00266F79" w:rsidP="00266F79">
      <w:pPr>
        <w:jc w:val="both"/>
        <w:rPr>
          <w:i/>
          <w:sz w:val="20"/>
          <w:szCs w:val="20"/>
        </w:rPr>
      </w:pPr>
    </w:p>
    <w:p w:rsidR="00266F79" w:rsidRPr="00E54F41" w:rsidRDefault="00266F79" w:rsidP="00266F79">
      <w:pPr>
        <w:jc w:val="both"/>
        <w:rPr>
          <w:i/>
          <w:sz w:val="20"/>
          <w:szCs w:val="20"/>
          <w:lang w:val="fr-CA"/>
        </w:rPr>
      </w:pPr>
      <w:r w:rsidRPr="00E54F41">
        <w:rPr>
          <w:i/>
          <w:sz w:val="20"/>
          <w:szCs w:val="20"/>
        </w:rPr>
        <w:tab/>
      </w:r>
      <w:r w:rsidRPr="00E54F41">
        <w:rPr>
          <w:i/>
          <w:sz w:val="20"/>
          <w:szCs w:val="20"/>
          <w:lang w:val="fr-CA"/>
        </w:rPr>
        <w:t xml:space="preserve">Solicitors for the </w:t>
      </w:r>
      <w:proofErr w:type="spellStart"/>
      <w:r w:rsidRPr="00E54F41">
        <w:rPr>
          <w:i/>
          <w:sz w:val="20"/>
          <w:szCs w:val="20"/>
          <w:lang w:val="fr-CA"/>
        </w:rPr>
        <w:t>intervener</w:t>
      </w:r>
      <w:proofErr w:type="spellEnd"/>
      <w:r w:rsidRPr="00E54F41">
        <w:rPr>
          <w:i/>
          <w:sz w:val="20"/>
          <w:szCs w:val="20"/>
          <w:lang w:val="fr-CA"/>
        </w:rPr>
        <w:t xml:space="preserve"> Barreau du Québec: Langlois </w:t>
      </w:r>
      <w:proofErr w:type="spellStart"/>
      <w:r w:rsidRPr="00E54F41">
        <w:rPr>
          <w:i/>
          <w:sz w:val="20"/>
          <w:szCs w:val="20"/>
          <w:lang w:val="fr-CA"/>
        </w:rPr>
        <w:t>lawyers</w:t>
      </w:r>
      <w:proofErr w:type="spellEnd"/>
      <w:r w:rsidRPr="00E54F41">
        <w:rPr>
          <w:i/>
          <w:sz w:val="20"/>
          <w:szCs w:val="20"/>
          <w:lang w:val="fr-CA"/>
        </w:rPr>
        <w:t>, Québec.</w:t>
      </w:r>
    </w:p>
    <w:p w:rsidR="00266F79" w:rsidRPr="00E54F41" w:rsidRDefault="00266F79" w:rsidP="00266F79">
      <w:pPr>
        <w:jc w:val="both"/>
        <w:rPr>
          <w:i/>
          <w:sz w:val="20"/>
          <w:szCs w:val="20"/>
          <w:lang w:val="fr-CA"/>
        </w:rPr>
      </w:pPr>
    </w:p>
    <w:p w:rsidR="00266F79" w:rsidRPr="00E54F41" w:rsidRDefault="00B904CB" w:rsidP="00266F79">
      <w:pPr>
        <w:spacing w:after="720"/>
        <w:jc w:val="both"/>
        <w:rPr>
          <w:sz w:val="20"/>
          <w:lang w:val="fr-CA"/>
        </w:rPr>
      </w:pPr>
      <w:r>
        <w:rPr>
          <w:sz w:val="20"/>
          <w:lang w:val="fr-CA"/>
        </w:rPr>
        <w:pict>
          <v:rect id="_x0000_i1065" style="width:144.3pt;height:1pt" o:hrpct="300" o:hralign="center" o:hrstd="t" o:hrnoshade="t" o:hr="t" fillcolor="black [3213]" stroked="f"/>
        </w:pict>
      </w:r>
    </w:p>
    <w:p w:rsidR="00BD488B" w:rsidRPr="00E54F41" w:rsidRDefault="00BD488B">
      <w:pPr>
        <w:rPr>
          <w:sz w:val="20"/>
          <w:lang w:val="fr-CA"/>
        </w:rPr>
      </w:pPr>
      <w:r w:rsidRPr="00E54F41">
        <w:rPr>
          <w:sz w:val="20"/>
          <w:lang w:val="fr-CA"/>
        </w:rPr>
        <w:br w:type="page"/>
      </w:r>
    </w:p>
    <w:p w:rsidR="00266F79" w:rsidRPr="00E54F41" w:rsidRDefault="00266F79" w:rsidP="005F3164">
      <w:pPr>
        <w:rPr>
          <w:sz w:val="20"/>
          <w:szCs w:val="20"/>
        </w:rPr>
      </w:pPr>
      <w:r w:rsidRPr="00E54F41">
        <w:rPr>
          <w:rFonts w:eastAsia="Calibri"/>
          <w:i/>
          <w:sz w:val="20"/>
          <w:szCs w:val="20"/>
        </w:rPr>
        <w:lastRenderedPageBreak/>
        <w:t>Information and Privacy Commissioner of Alberta v. Board of Governors of the University of Calgary</w:t>
      </w:r>
      <w:r w:rsidR="005F3164" w:rsidRPr="00E54F41">
        <w:rPr>
          <w:rFonts w:eastAsia="Calibri"/>
          <w:i/>
          <w:sz w:val="20"/>
          <w:szCs w:val="20"/>
        </w:rPr>
        <w:t xml:space="preserve"> </w:t>
      </w:r>
      <w:r w:rsidRPr="00E54F41">
        <w:rPr>
          <w:sz w:val="20"/>
          <w:szCs w:val="20"/>
        </w:rPr>
        <w:t>(Alta.) (</w:t>
      </w:r>
      <w:hyperlink r:id="rId54" w:history="1">
        <w:r w:rsidRPr="00E54F41">
          <w:rPr>
            <w:rStyle w:val="Hyperlink"/>
            <w:sz w:val="20"/>
            <w:szCs w:val="20"/>
          </w:rPr>
          <w:t>36460</w:t>
        </w:r>
      </w:hyperlink>
      <w:r w:rsidRPr="00E54F41">
        <w:rPr>
          <w:sz w:val="20"/>
          <w:szCs w:val="20"/>
        </w:rPr>
        <w:t>)</w:t>
      </w:r>
    </w:p>
    <w:p w:rsidR="00266F79" w:rsidRPr="00E54F41" w:rsidRDefault="00266F79" w:rsidP="00266F79">
      <w:pPr>
        <w:jc w:val="both"/>
        <w:rPr>
          <w:rStyle w:val="SCCRespondentForIndexChar"/>
          <w:rFonts w:eastAsiaTheme="minorHAnsi"/>
          <w:sz w:val="20"/>
        </w:rPr>
      </w:pPr>
      <w:r w:rsidRPr="00E54F41">
        <w:rPr>
          <w:b/>
          <w:sz w:val="20"/>
          <w:szCs w:val="20"/>
        </w:rPr>
        <w:t>Indexed as: Alberta (Information and Privacy Commissioner</w:t>
      </w:r>
      <w:r w:rsidR="00AE2572" w:rsidRPr="00E54F41">
        <w:rPr>
          <w:b/>
          <w:sz w:val="20"/>
          <w:szCs w:val="20"/>
        </w:rPr>
        <w:t>)</w:t>
      </w:r>
      <w:r w:rsidRPr="00E54F41">
        <w:rPr>
          <w:b/>
          <w:sz w:val="20"/>
          <w:szCs w:val="20"/>
        </w:rPr>
        <w:t xml:space="preserve"> </w:t>
      </w:r>
      <w:r w:rsidRPr="00E54F41">
        <w:rPr>
          <w:b/>
          <w:i/>
          <w:sz w:val="20"/>
          <w:szCs w:val="20"/>
        </w:rPr>
        <w:t>v.</w:t>
      </w:r>
      <w:r w:rsidRPr="00E54F41">
        <w:rPr>
          <w:b/>
          <w:sz w:val="20"/>
          <w:szCs w:val="20"/>
        </w:rPr>
        <w:t xml:space="preserve"> University of Calgary</w:t>
      </w:r>
      <w:r w:rsidRPr="00E54F41">
        <w:rPr>
          <w:rStyle w:val="SCCRespondentForIndexChar"/>
          <w:rFonts w:eastAsiaTheme="minorHAnsi"/>
          <w:sz w:val="20"/>
        </w:rPr>
        <w:t xml:space="preserve"> / </w:t>
      </w:r>
      <w:proofErr w:type="spellStart"/>
      <w:r w:rsidRPr="00E54F41">
        <w:rPr>
          <w:b/>
          <w:sz w:val="20"/>
          <w:szCs w:val="20"/>
        </w:rPr>
        <w:t>Répertorié</w:t>
      </w:r>
      <w:proofErr w:type="spellEnd"/>
      <w:r w:rsidRPr="00E54F41">
        <w:rPr>
          <w:b/>
          <w:sz w:val="20"/>
          <w:szCs w:val="20"/>
        </w:rPr>
        <w:t>: Alberta (Information and Privacy Commissioner</w:t>
      </w:r>
      <w:r w:rsidR="00AE2572" w:rsidRPr="00E54F41">
        <w:rPr>
          <w:b/>
          <w:sz w:val="20"/>
          <w:szCs w:val="20"/>
        </w:rPr>
        <w:t>)</w:t>
      </w:r>
      <w:r w:rsidRPr="00E54F41">
        <w:rPr>
          <w:b/>
          <w:sz w:val="20"/>
          <w:szCs w:val="20"/>
        </w:rPr>
        <w:t xml:space="preserve"> </w:t>
      </w:r>
      <w:r w:rsidRPr="00E54F41">
        <w:rPr>
          <w:b/>
          <w:i/>
          <w:sz w:val="20"/>
          <w:szCs w:val="20"/>
        </w:rPr>
        <w:t>c.</w:t>
      </w:r>
      <w:r w:rsidRPr="00E54F41">
        <w:rPr>
          <w:b/>
          <w:sz w:val="20"/>
          <w:szCs w:val="20"/>
        </w:rPr>
        <w:t xml:space="preserve"> University of Calgary</w:t>
      </w:r>
    </w:p>
    <w:p w:rsidR="00266F79" w:rsidRPr="00E54F41" w:rsidRDefault="00266F79" w:rsidP="00266F79">
      <w:pPr>
        <w:jc w:val="both"/>
        <w:rPr>
          <w:b/>
          <w:sz w:val="20"/>
          <w:lang w:val="fr-CA"/>
        </w:rPr>
      </w:pPr>
      <w:proofErr w:type="spellStart"/>
      <w:r w:rsidRPr="00E54F41">
        <w:rPr>
          <w:b/>
          <w:sz w:val="20"/>
          <w:lang w:val="fr-CA"/>
        </w:rPr>
        <w:t>Neutral</w:t>
      </w:r>
      <w:proofErr w:type="spellEnd"/>
      <w:r w:rsidRPr="00E54F41">
        <w:rPr>
          <w:b/>
          <w:sz w:val="20"/>
          <w:lang w:val="fr-CA"/>
        </w:rPr>
        <w:t xml:space="preserve"> citation: 2016 SCC 53 / Référence neutre : 2016 CSC 53</w:t>
      </w:r>
    </w:p>
    <w:p w:rsidR="00266F79" w:rsidRPr="00E54F41" w:rsidRDefault="00266F79" w:rsidP="00266F79">
      <w:pPr>
        <w:rPr>
          <w:rFonts w:cs="Times New Roman"/>
          <w:sz w:val="20"/>
          <w:szCs w:val="20"/>
          <w:lang w:val="fr-CA"/>
        </w:rPr>
      </w:pPr>
      <w:proofErr w:type="spellStart"/>
      <w:r w:rsidRPr="00E54F41">
        <w:rPr>
          <w:rFonts w:cs="Times New Roman"/>
          <w:sz w:val="20"/>
          <w:szCs w:val="20"/>
          <w:lang w:val="fr-CA"/>
        </w:rPr>
        <w:t>Hearing</w:t>
      </w:r>
      <w:proofErr w:type="spellEnd"/>
      <w:r w:rsidRPr="00E54F41">
        <w:rPr>
          <w:rFonts w:cs="Times New Roman"/>
          <w:sz w:val="20"/>
          <w:szCs w:val="20"/>
          <w:lang w:val="fr-CA"/>
        </w:rPr>
        <w:t>: April 1, 2016 / Judgment: November 25, 2016</w:t>
      </w:r>
    </w:p>
    <w:p w:rsidR="00266F79" w:rsidRPr="00E54F41" w:rsidRDefault="00266F79" w:rsidP="00266F79">
      <w:pPr>
        <w:rPr>
          <w:rFonts w:cs="Times New Roman"/>
          <w:sz w:val="20"/>
          <w:szCs w:val="20"/>
          <w:lang w:val="fr-CA"/>
        </w:rPr>
      </w:pPr>
      <w:r w:rsidRPr="00E54F41">
        <w:rPr>
          <w:rFonts w:cs="Times New Roman"/>
          <w:sz w:val="20"/>
          <w:szCs w:val="20"/>
          <w:lang w:val="fr-CA"/>
        </w:rPr>
        <w:t>Audition : Le 1 avril 2016 / Jugement : 25 novembre 2016</w:t>
      </w:r>
    </w:p>
    <w:p w:rsidR="005F3164" w:rsidRPr="00E54F41" w:rsidRDefault="00B904CB" w:rsidP="00266F79">
      <w:pPr>
        <w:rPr>
          <w:rFonts w:cs="Times New Roman"/>
          <w:sz w:val="20"/>
          <w:szCs w:val="20"/>
          <w:lang w:val="fr-CA"/>
        </w:rPr>
      </w:pPr>
      <w:r>
        <w:rPr>
          <w:i/>
          <w:sz w:val="20"/>
          <w:szCs w:val="20"/>
        </w:rPr>
        <w:pict>
          <v:rect id="_x0000_i1066" style="width:480.95pt;height:1pt" o:hralign="center" o:hrstd="t" o:hrnoshade="t" o:hr="t" fillcolor="black [3213]" stroked="f"/>
        </w:pict>
      </w:r>
    </w:p>
    <w:p w:rsidR="00120BD1" w:rsidRPr="00E54F41" w:rsidRDefault="00120BD1" w:rsidP="000C17B3">
      <w:pPr>
        <w:spacing w:line="0" w:lineRule="atLeast"/>
        <w:jc w:val="both"/>
        <w:rPr>
          <w:sz w:val="20"/>
          <w:szCs w:val="20"/>
          <w:lang w:val="fr-CA"/>
        </w:rPr>
      </w:pPr>
    </w:p>
    <w:p w:rsidR="005F3164" w:rsidRPr="00E54F41" w:rsidRDefault="005F3164" w:rsidP="005F3164">
      <w:pPr>
        <w:jc w:val="both"/>
        <w:rPr>
          <w:sz w:val="20"/>
        </w:rPr>
      </w:pPr>
      <w:r w:rsidRPr="00E54F41">
        <w:rPr>
          <w:sz w:val="20"/>
        </w:rPr>
        <w:t xml:space="preserve">Present: </w:t>
      </w:r>
      <w:r w:rsidR="00613DD8" w:rsidRPr="00E54F41">
        <w:rPr>
          <w:sz w:val="20"/>
        </w:rPr>
        <w:t>Abella, Cromwell, Moldaver, Karakatsanis, Wagner, Gascon and Côté JJ.</w:t>
      </w:r>
    </w:p>
    <w:p w:rsidR="005F3164" w:rsidRPr="00E54F41" w:rsidRDefault="005F3164" w:rsidP="006E330A">
      <w:pPr>
        <w:jc w:val="both"/>
        <w:rPr>
          <w:sz w:val="20"/>
          <w:szCs w:val="20"/>
        </w:rPr>
      </w:pPr>
    </w:p>
    <w:p w:rsidR="006E330A" w:rsidRPr="00E54F41" w:rsidRDefault="006E330A" w:rsidP="006E330A">
      <w:pPr>
        <w:tabs>
          <w:tab w:val="left" w:pos="1168"/>
        </w:tabs>
        <w:jc w:val="both"/>
        <w:rPr>
          <w:rFonts w:eastAsia="Times New Roman" w:cs="Times New Roman"/>
          <w:i/>
          <w:sz w:val="20"/>
          <w:szCs w:val="20"/>
          <w:lang w:eastAsia="en-CA"/>
        </w:rPr>
      </w:pPr>
      <w:r w:rsidRPr="006E330A">
        <w:rPr>
          <w:rFonts w:eastAsia="Times New Roman" w:cs="Times New Roman"/>
          <w:sz w:val="20"/>
          <w:szCs w:val="20"/>
          <w:lang w:eastAsia="en-CA"/>
        </w:rPr>
        <w:tab/>
      </w:r>
      <w:r w:rsidRPr="006E330A">
        <w:rPr>
          <w:rFonts w:eastAsia="Times New Roman" w:cs="Times New Roman"/>
          <w:i/>
          <w:sz w:val="20"/>
          <w:szCs w:val="20"/>
          <w:lang w:eastAsia="en-CA"/>
        </w:rPr>
        <w:t>Privacy — Investigation of complaints — Powers of Information and Privacy Commissioner — Production of documents — Solicitor</w:t>
      </w:r>
      <w:r w:rsidRPr="006E330A">
        <w:rPr>
          <w:rFonts w:eastAsia="Times New Roman" w:cs="Times New Roman"/>
          <w:i/>
          <w:sz w:val="20"/>
          <w:szCs w:val="20"/>
          <w:lang w:eastAsia="en-CA"/>
        </w:rPr>
        <w:noBreakHyphen/>
        <w:t>client privilege — Dismissed employee filing complaint with Commissioner and seeking access to her personal employment information — Employer claiming solicitor</w:t>
      </w:r>
      <w:r w:rsidRPr="006E330A">
        <w:rPr>
          <w:rFonts w:eastAsia="Times New Roman" w:cs="Times New Roman"/>
          <w:i/>
          <w:sz w:val="20"/>
          <w:szCs w:val="20"/>
          <w:lang w:eastAsia="en-CA"/>
        </w:rPr>
        <w:noBreakHyphen/>
        <w:t>client privilege over some documents — Whether statutory provision which requires public body to produce records to Commissioner “despite . . . any privilege of the law of evidence” allows Commissioner to review documents over which solicitor</w:t>
      </w:r>
      <w:r w:rsidRPr="006E330A">
        <w:rPr>
          <w:rFonts w:eastAsia="Times New Roman" w:cs="Times New Roman"/>
          <w:i/>
          <w:sz w:val="20"/>
          <w:szCs w:val="20"/>
          <w:lang w:eastAsia="en-CA"/>
        </w:rPr>
        <w:noBreakHyphen/>
        <w:t>client privilege is claimed — If so, whether Commissioner made reviewable error by ordering production of documents — Freedom of Information and Protection of Privacy Act, R.S.A. 2000, c. F</w:t>
      </w:r>
      <w:r w:rsidRPr="006E330A">
        <w:rPr>
          <w:rFonts w:eastAsia="Times New Roman" w:cs="Times New Roman"/>
          <w:i/>
          <w:sz w:val="20"/>
          <w:szCs w:val="20"/>
          <w:lang w:eastAsia="en-CA"/>
        </w:rPr>
        <w:noBreakHyphen/>
        <w:t>25, s. 56(3).</w:t>
      </w:r>
    </w:p>
    <w:p w:rsidR="006E330A" w:rsidRPr="006E330A" w:rsidRDefault="006E330A" w:rsidP="006E330A">
      <w:pPr>
        <w:tabs>
          <w:tab w:val="left" w:pos="1168"/>
        </w:tabs>
        <w:jc w:val="both"/>
        <w:rPr>
          <w:rFonts w:eastAsia="Times New Roman" w:cs="Times New Roman"/>
          <w:sz w:val="20"/>
          <w:szCs w:val="20"/>
          <w:lang w:eastAsia="en-CA"/>
        </w:rPr>
      </w:pPr>
    </w:p>
    <w:p w:rsidR="006E330A" w:rsidRPr="00E54F41" w:rsidRDefault="006E330A" w:rsidP="006E330A">
      <w:pPr>
        <w:tabs>
          <w:tab w:val="left" w:pos="1168"/>
        </w:tabs>
        <w:jc w:val="both"/>
        <w:rPr>
          <w:rFonts w:eastAsia="Times New Roman" w:cs="Times New Roman"/>
          <w:i/>
          <w:sz w:val="20"/>
          <w:szCs w:val="20"/>
          <w:lang w:eastAsia="en-CA"/>
        </w:rPr>
      </w:pPr>
      <w:r w:rsidRPr="006E330A">
        <w:rPr>
          <w:rFonts w:eastAsia="Times New Roman" w:cs="Times New Roman"/>
          <w:sz w:val="20"/>
          <w:szCs w:val="20"/>
          <w:lang w:eastAsia="en-CA"/>
        </w:rPr>
        <w:tab/>
      </w:r>
      <w:r w:rsidRPr="006E330A">
        <w:rPr>
          <w:rFonts w:eastAsia="Times New Roman" w:cs="Times New Roman"/>
          <w:i/>
          <w:sz w:val="20"/>
          <w:szCs w:val="20"/>
          <w:lang w:eastAsia="en-CA"/>
        </w:rPr>
        <w:t>Administrative law — Judicial review — Standard of review — Information and Privacy Commissioner — Standard of review applicable to Commissioner’s decision to compel production of records over which solicitor</w:t>
      </w:r>
      <w:r w:rsidRPr="006E330A">
        <w:rPr>
          <w:rFonts w:eastAsia="Times New Roman" w:cs="Times New Roman"/>
          <w:i/>
          <w:sz w:val="20"/>
          <w:szCs w:val="20"/>
          <w:lang w:eastAsia="en-CA"/>
        </w:rPr>
        <w:noBreakHyphen/>
        <w:t>client privilege is asserted — Freedom of Information and Protection of Privacy Act, R.S.A. 2000, c. F</w:t>
      </w:r>
      <w:r w:rsidRPr="006E330A">
        <w:rPr>
          <w:rFonts w:eastAsia="Times New Roman" w:cs="Times New Roman"/>
          <w:i/>
          <w:sz w:val="20"/>
          <w:szCs w:val="20"/>
          <w:lang w:eastAsia="en-CA"/>
        </w:rPr>
        <w:noBreakHyphen/>
        <w:t>25, s. 56(3).</w:t>
      </w:r>
    </w:p>
    <w:p w:rsidR="006E330A" w:rsidRPr="006E330A" w:rsidRDefault="006E330A" w:rsidP="006E330A">
      <w:pPr>
        <w:tabs>
          <w:tab w:val="left" w:pos="1168"/>
        </w:tabs>
        <w:jc w:val="both"/>
        <w:rPr>
          <w:rFonts w:eastAsia="Times New Roman" w:cs="Times New Roman"/>
          <w:i/>
          <w:sz w:val="20"/>
          <w:szCs w:val="20"/>
          <w:lang w:eastAsia="en-CA"/>
        </w:rPr>
      </w:pPr>
    </w:p>
    <w:p w:rsidR="006E330A" w:rsidRPr="00E54F41" w:rsidRDefault="006E330A" w:rsidP="006E330A">
      <w:pPr>
        <w:tabs>
          <w:tab w:val="left" w:pos="1170"/>
        </w:tabs>
        <w:jc w:val="both"/>
        <w:rPr>
          <w:rFonts w:eastAsiaTheme="minorEastAsia" w:cs="Times New Roman"/>
          <w:sz w:val="20"/>
          <w:szCs w:val="20"/>
        </w:rPr>
      </w:pPr>
      <w:r w:rsidRPr="006E330A">
        <w:rPr>
          <w:rFonts w:eastAsiaTheme="minorEastAsia" w:cs="Times New Roman"/>
          <w:sz w:val="20"/>
          <w:szCs w:val="20"/>
        </w:rPr>
        <w:tab/>
        <w:t>In the context of a constructive dismissal claim, a delegate of the Information and Privacy Commissioner of Alberta ordered the production of records over which the University of Calgary had claimed solicitor</w:t>
      </w:r>
      <w:r w:rsidRPr="006E330A">
        <w:rPr>
          <w:rFonts w:eastAsiaTheme="minorEastAsia" w:cs="Times New Roman"/>
          <w:sz w:val="20"/>
          <w:szCs w:val="20"/>
        </w:rPr>
        <w:noBreakHyphen/>
        <w:t>client privilege. The delegate was acting in accordance with the Office of the Commissioner’s “Solicitor</w:t>
      </w:r>
      <w:r w:rsidRPr="006E330A">
        <w:rPr>
          <w:rFonts w:eastAsiaTheme="minorEastAsia" w:cs="Times New Roman"/>
          <w:sz w:val="20"/>
          <w:szCs w:val="20"/>
        </w:rPr>
        <w:noBreakHyphen/>
        <w:t>Client Privilege Adjudication Protocol”, which required the provision of a copy of “the records at issue” or two copies of “an affidavit or unsworn evidence verifying solicitor</w:t>
      </w:r>
      <w:r w:rsidRPr="006E330A">
        <w:rPr>
          <w:rFonts w:eastAsiaTheme="minorEastAsia" w:cs="Times New Roman"/>
          <w:sz w:val="20"/>
          <w:szCs w:val="20"/>
        </w:rPr>
        <w:noBreakHyphen/>
        <w:t>client privilege over the records” to substantiate the claim of solicitor</w:t>
      </w:r>
      <w:r w:rsidRPr="006E330A">
        <w:rPr>
          <w:rFonts w:eastAsiaTheme="minorEastAsia" w:cs="Times New Roman"/>
          <w:sz w:val="20"/>
          <w:szCs w:val="20"/>
        </w:rPr>
        <w:noBreakHyphen/>
        <w:t>client privilege. In compliance with the law and the practice regarding identification of solicitor</w:t>
      </w:r>
      <w:r w:rsidRPr="006E330A">
        <w:rPr>
          <w:rFonts w:eastAsiaTheme="minorEastAsia" w:cs="Times New Roman"/>
          <w:sz w:val="20"/>
          <w:szCs w:val="20"/>
        </w:rPr>
        <w:noBreakHyphen/>
        <w:t>client privileged documents in civil litigation in Alberta at that time, the University provided a list of documents identified by page numbers, along with a sworn affidavit indicating solicitor</w:t>
      </w:r>
      <w:r w:rsidRPr="006E330A">
        <w:rPr>
          <w:rFonts w:eastAsiaTheme="minorEastAsia" w:cs="Times New Roman"/>
          <w:sz w:val="20"/>
          <w:szCs w:val="20"/>
        </w:rPr>
        <w:noBreakHyphen/>
        <w:t>client privilege had been asserted over the records.</w:t>
      </w:r>
    </w:p>
    <w:p w:rsidR="006E330A" w:rsidRPr="006E330A" w:rsidRDefault="006E330A" w:rsidP="006E330A">
      <w:pPr>
        <w:tabs>
          <w:tab w:val="left" w:pos="1170"/>
        </w:tabs>
        <w:jc w:val="both"/>
        <w:rPr>
          <w:rFonts w:eastAsiaTheme="minorEastAsia" w:cs="Times New Roman"/>
          <w:sz w:val="20"/>
          <w:szCs w:val="20"/>
        </w:rPr>
      </w:pPr>
    </w:p>
    <w:p w:rsidR="006E330A" w:rsidRPr="00E54F41" w:rsidRDefault="006E330A" w:rsidP="006E330A">
      <w:pPr>
        <w:tabs>
          <w:tab w:val="left" w:pos="1170"/>
        </w:tabs>
        <w:jc w:val="both"/>
        <w:rPr>
          <w:rFonts w:eastAsiaTheme="minorEastAsia" w:cs="Times New Roman"/>
          <w:sz w:val="20"/>
          <w:szCs w:val="20"/>
        </w:rPr>
      </w:pPr>
      <w:r w:rsidRPr="006E330A">
        <w:rPr>
          <w:rFonts w:eastAsiaTheme="minorEastAsia" w:cs="Times New Roman"/>
          <w:sz w:val="20"/>
          <w:szCs w:val="20"/>
        </w:rPr>
        <w:tab/>
        <w:t xml:space="preserve">After a further request to substantiate the claim of privilege, the delegate issued a Notice to Produce Records under s. 56(3) of the </w:t>
      </w:r>
      <w:r w:rsidRPr="006E330A">
        <w:rPr>
          <w:rFonts w:eastAsiaTheme="minorEastAsia" w:cs="Times New Roman"/>
          <w:i/>
          <w:sz w:val="20"/>
          <w:szCs w:val="20"/>
        </w:rPr>
        <w:t>Freedom of Information and</w:t>
      </w:r>
      <w:r w:rsidRPr="006E330A">
        <w:rPr>
          <w:rFonts w:eastAsiaTheme="minorEastAsia" w:cs="Times New Roman"/>
          <w:sz w:val="20"/>
          <w:szCs w:val="20"/>
        </w:rPr>
        <w:t xml:space="preserve"> </w:t>
      </w:r>
      <w:r w:rsidRPr="006E330A">
        <w:rPr>
          <w:rFonts w:eastAsiaTheme="minorEastAsia" w:cs="Times New Roman"/>
          <w:i/>
          <w:sz w:val="20"/>
          <w:szCs w:val="20"/>
        </w:rPr>
        <w:t>Protection of Privacy Act</w:t>
      </w:r>
      <w:r w:rsidRPr="006E330A">
        <w:rPr>
          <w:rFonts w:eastAsiaTheme="minorEastAsia" w:cs="Times New Roman"/>
          <w:sz w:val="20"/>
          <w:szCs w:val="20"/>
        </w:rPr>
        <w:t xml:space="preserve"> (“</w:t>
      </w:r>
      <w:r w:rsidRPr="006E330A">
        <w:rPr>
          <w:rFonts w:eastAsiaTheme="minorEastAsia" w:cs="Times New Roman"/>
          <w:i/>
          <w:sz w:val="20"/>
          <w:szCs w:val="20"/>
        </w:rPr>
        <w:t>FOIPP</w:t>
      </w:r>
      <w:r w:rsidRPr="006E330A">
        <w:rPr>
          <w:rFonts w:eastAsiaTheme="minorEastAsia" w:cs="Times New Roman"/>
          <w:sz w:val="20"/>
          <w:szCs w:val="20"/>
        </w:rPr>
        <w:t>”). Under that section, a public body must produce required records to the Commissioner “[d]</w:t>
      </w:r>
      <w:proofErr w:type="spellStart"/>
      <w:proofErr w:type="gramStart"/>
      <w:r w:rsidRPr="006E330A">
        <w:rPr>
          <w:rFonts w:eastAsiaTheme="minorEastAsia" w:cs="Times New Roman"/>
          <w:sz w:val="20"/>
          <w:szCs w:val="20"/>
        </w:rPr>
        <w:t>espite</w:t>
      </w:r>
      <w:proofErr w:type="spellEnd"/>
      <w:r w:rsidRPr="006E330A">
        <w:rPr>
          <w:rFonts w:eastAsiaTheme="minorEastAsia" w:cs="Times New Roman"/>
          <w:sz w:val="20"/>
          <w:szCs w:val="20"/>
        </w:rPr>
        <w:t xml:space="preserve"> .</w:t>
      </w:r>
      <w:proofErr w:type="gramEnd"/>
      <w:r w:rsidRPr="006E330A">
        <w:rPr>
          <w:rFonts w:eastAsiaTheme="minorEastAsia" w:cs="Times New Roman"/>
          <w:sz w:val="20"/>
          <w:szCs w:val="20"/>
        </w:rPr>
        <w:t> . . any privilege of the law of evidence”. The University sought judicial review of the delegate’s decision to issue the Notice. On judicial review, the Commissioner’s decision was upheld, but on appeal, it was found that “any privilege of the law of evidence”, as used in s. 56(3), did not refer to solicitor</w:t>
      </w:r>
      <w:r w:rsidRPr="006E330A">
        <w:rPr>
          <w:rFonts w:eastAsiaTheme="minorEastAsia" w:cs="Times New Roman"/>
          <w:sz w:val="20"/>
          <w:szCs w:val="20"/>
        </w:rPr>
        <w:noBreakHyphen/>
        <w:t>client privilege.</w:t>
      </w:r>
    </w:p>
    <w:p w:rsidR="006E330A" w:rsidRPr="006E330A" w:rsidRDefault="006E330A" w:rsidP="006E330A">
      <w:pPr>
        <w:tabs>
          <w:tab w:val="left" w:pos="1170"/>
        </w:tabs>
        <w:jc w:val="both"/>
        <w:rPr>
          <w:rFonts w:eastAsiaTheme="minorEastAsia" w:cs="Times New Roman"/>
          <w:sz w:val="20"/>
          <w:szCs w:val="20"/>
        </w:rPr>
      </w:pPr>
    </w:p>
    <w:p w:rsidR="006E330A" w:rsidRPr="00E54F41" w:rsidRDefault="006E330A" w:rsidP="006E330A">
      <w:pPr>
        <w:tabs>
          <w:tab w:val="left" w:pos="1168"/>
        </w:tabs>
        <w:jc w:val="both"/>
        <w:rPr>
          <w:rFonts w:eastAsia="Times New Roman" w:cs="Times New Roman"/>
          <w:sz w:val="20"/>
          <w:szCs w:val="20"/>
          <w:lang w:eastAsia="en-CA"/>
        </w:rPr>
      </w:pPr>
      <w:r w:rsidRPr="006E330A">
        <w:rPr>
          <w:rFonts w:eastAsia="Times New Roman" w:cs="Times New Roman"/>
          <w:sz w:val="20"/>
          <w:szCs w:val="20"/>
          <w:lang w:eastAsia="en-CA"/>
        </w:rPr>
        <w:tab/>
      </w:r>
      <w:r w:rsidRPr="006E330A">
        <w:rPr>
          <w:rFonts w:eastAsia="Times New Roman" w:cs="Times New Roman"/>
          <w:i/>
          <w:sz w:val="20"/>
          <w:szCs w:val="20"/>
          <w:lang w:eastAsia="en-CA"/>
        </w:rPr>
        <w:t>Held:</w:t>
      </w:r>
      <w:r w:rsidRPr="006E330A">
        <w:rPr>
          <w:rFonts w:eastAsia="Times New Roman" w:cs="Times New Roman"/>
          <w:sz w:val="20"/>
          <w:szCs w:val="20"/>
          <w:lang w:eastAsia="en-CA"/>
        </w:rPr>
        <w:t xml:space="preserve"> The appeal should be dismissed.</w:t>
      </w:r>
    </w:p>
    <w:p w:rsidR="006E330A" w:rsidRPr="006E330A" w:rsidRDefault="006E330A" w:rsidP="006E330A">
      <w:pPr>
        <w:tabs>
          <w:tab w:val="left" w:pos="1168"/>
        </w:tabs>
        <w:jc w:val="both"/>
        <w:rPr>
          <w:rFonts w:eastAsia="Times New Roman" w:cs="Times New Roman"/>
          <w:sz w:val="20"/>
          <w:szCs w:val="20"/>
          <w:lang w:eastAsia="en-CA"/>
        </w:rPr>
      </w:pPr>
    </w:p>
    <w:p w:rsidR="006E330A" w:rsidRPr="00E54F41" w:rsidRDefault="006E330A" w:rsidP="006E330A">
      <w:pPr>
        <w:tabs>
          <w:tab w:val="left" w:pos="1168"/>
        </w:tabs>
        <w:jc w:val="both"/>
        <w:rPr>
          <w:rFonts w:eastAsia="Times New Roman" w:cs="Times New Roman"/>
          <w:sz w:val="20"/>
          <w:szCs w:val="20"/>
          <w:lang w:eastAsia="en-CA"/>
        </w:rPr>
      </w:pPr>
      <w:r w:rsidRPr="006E330A">
        <w:rPr>
          <w:rFonts w:eastAsia="Times New Roman" w:cs="Times New Roman"/>
          <w:sz w:val="20"/>
          <w:szCs w:val="20"/>
          <w:lang w:eastAsia="en-CA"/>
        </w:rPr>
        <w:tab/>
      </w:r>
      <w:r w:rsidRPr="006E330A">
        <w:rPr>
          <w:rFonts w:eastAsiaTheme="minorEastAsia" w:cs="Times New Roman"/>
          <w:i/>
          <w:sz w:val="20"/>
          <w:szCs w:val="20"/>
        </w:rPr>
        <w:t>Per</w:t>
      </w:r>
      <w:r w:rsidRPr="006E330A">
        <w:rPr>
          <w:rFonts w:eastAsiaTheme="minorEastAsia" w:cs="Times New Roman"/>
          <w:sz w:val="20"/>
          <w:szCs w:val="20"/>
        </w:rPr>
        <w:t xml:space="preserve"> Moldaver, Karakatsanis, Wagner, Gascon and </w:t>
      </w:r>
      <w:r w:rsidRPr="006E330A">
        <w:rPr>
          <w:rFonts w:eastAsiaTheme="minorEastAsia" w:cs="Times New Roman"/>
          <w:b/>
          <w:sz w:val="20"/>
          <w:szCs w:val="20"/>
        </w:rPr>
        <w:t>Côté</w:t>
      </w:r>
      <w:r w:rsidRPr="006E330A">
        <w:rPr>
          <w:rFonts w:eastAsiaTheme="minorEastAsia" w:cs="Times New Roman"/>
          <w:sz w:val="20"/>
          <w:szCs w:val="20"/>
        </w:rPr>
        <w:t> JJ.:</w:t>
      </w:r>
      <w:r w:rsidRPr="006E330A">
        <w:rPr>
          <w:rFonts w:eastAsia="Times New Roman" w:cs="Times New Roman"/>
          <w:sz w:val="20"/>
          <w:szCs w:val="20"/>
          <w:lang w:eastAsia="en-CA"/>
        </w:rPr>
        <w:t xml:space="preserve"> Whether s. 56(3) of </w:t>
      </w:r>
      <w:r w:rsidRPr="006E330A">
        <w:rPr>
          <w:rFonts w:eastAsia="Times New Roman" w:cs="Times New Roman"/>
          <w:i/>
          <w:sz w:val="20"/>
          <w:szCs w:val="20"/>
          <w:lang w:eastAsia="en-CA"/>
        </w:rPr>
        <w:t>FOIPP</w:t>
      </w:r>
      <w:r w:rsidRPr="006E330A">
        <w:rPr>
          <w:rFonts w:eastAsia="Times New Roman" w:cs="Times New Roman"/>
          <w:sz w:val="20"/>
          <w:szCs w:val="20"/>
          <w:lang w:eastAsia="en-CA"/>
        </w:rPr>
        <w:t xml:space="preserve"> allows the review of documents over which solicitor</w:t>
      </w:r>
      <w:r w:rsidRPr="006E330A">
        <w:rPr>
          <w:rFonts w:eastAsia="Times New Roman" w:cs="Times New Roman"/>
          <w:sz w:val="20"/>
          <w:szCs w:val="20"/>
          <w:lang w:eastAsia="en-CA"/>
        </w:rPr>
        <w:noBreakHyphen/>
        <w:t>client privilege is claimed is a question of central importance to the legal system as a whole and outside the Commissioner’s specialized area of expertise. The question of what statutory language is sufficient to authorize administrative tribunals to infringe solicitor</w:t>
      </w:r>
      <w:r w:rsidRPr="006E330A">
        <w:rPr>
          <w:rFonts w:eastAsia="Times New Roman" w:cs="Times New Roman"/>
          <w:sz w:val="20"/>
          <w:szCs w:val="20"/>
          <w:lang w:eastAsia="en-CA"/>
        </w:rPr>
        <w:noBreakHyphen/>
        <w:t>client privilege is one that has potentially wide implications on other statutes. Therefore, the applicable standard of review is correctness for both (</w:t>
      </w:r>
      <w:proofErr w:type="spellStart"/>
      <w:r w:rsidRPr="006E330A">
        <w:rPr>
          <w:rFonts w:eastAsia="Times New Roman" w:cs="Times New Roman"/>
          <w:sz w:val="20"/>
          <w:szCs w:val="20"/>
          <w:lang w:eastAsia="en-CA"/>
        </w:rPr>
        <w:t>i</w:t>
      </w:r>
      <w:proofErr w:type="spellEnd"/>
      <w:r w:rsidRPr="006E330A">
        <w:rPr>
          <w:rFonts w:eastAsia="Times New Roman" w:cs="Times New Roman"/>
          <w:sz w:val="20"/>
          <w:szCs w:val="20"/>
          <w:lang w:eastAsia="en-CA"/>
        </w:rPr>
        <w:t>) the decision that the Commissioner has the authority to require the production of records over which solicitor</w:t>
      </w:r>
      <w:r w:rsidRPr="006E330A">
        <w:rPr>
          <w:rFonts w:eastAsia="Times New Roman" w:cs="Times New Roman"/>
          <w:sz w:val="20"/>
          <w:szCs w:val="20"/>
          <w:lang w:eastAsia="en-CA"/>
        </w:rPr>
        <w:noBreakHyphen/>
        <w:t>client privilege is asserted, and (ii) the decision to issue the Notice to Produce Records.</w:t>
      </w:r>
    </w:p>
    <w:p w:rsidR="006E330A" w:rsidRPr="006E330A" w:rsidRDefault="006E330A" w:rsidP="006E330A">
      <w:pPr>
        <w:tabs>
          <w:tab w:val="left" w:pos="1168"/>
        </w:tabs>
        <w:jc w:val="both"/>
        <w:rPr>
          <w:rFonts w:eastAsia="Times New Roman" w:cs="Times New Roman"/>
          <w:sz w:val="20"/>
          <w:szCs w:val="20"/>
          <w:lang w:eastAsia="en-CA"/>
        </w:rPr>
      </w:pPr>
    </w:p>
    <w:p w:rsidR="006E330A" w:rsidRPr="00E54F41" w:rsidRDefault="006E330A" w:rsidP="006E330A">
      <w:pPr>
        <w:tabs>
          <w:tab w:val="left" w:pos="1168"/>
        </w:tabs>
        <w:jc w:val="both"/>
        <w:rPr>
          <w:rFonts w:eastAsia="Times New Roman" w:cs="Times New Roman"/>
          <w:sz w:val="20"/>
          <w:szCs w:val="20"/>
          <w:lang w:eastAsia="en-CA"/>
        </w:rPr>
      </w:pPr>
      <w:r w:rsidRPr="006E330A">
        <w:rPr>
          <w:rFonts w:eastAsia="Times New Roman" w:cs="Times New Roman"/>
          <w:sz w:val="20"/>
          <w:szCs w:val="20"/>
          <w:lang w:eastAsia="en-CA"/>
        </w:rPr>
        <w:tab/>
        <w:t>The expression “any privilege of the law of evidence” does not require a public body to produce to the Commissioner documents over which solicitor</w:t>
      </w:r>
      <w:r w:rsidRPr="006E330A">
        <w:rPr>
          <w:rFonts w:eastAsia="Times New Roman" w:cs="Times New Roman"/>
          <w:sz w:val="20"/>
          <w:szCs w:val="20"/>
          <w:lang w:eastAsia="en-CA"/>
        </w:rPr>
        <w:noBreakHyphen/>
        <w:t>client privilege is claimed. Solicitor</w:t>
      </w:r>
      <w:r w:rsidRPr="006E330A">
        <w:rPr>
          <w:rFonts w:eastAsia="Times New Roman" w:cs="Times New Roman"/>
          <w:sz w:val="20"/>
          <w:szCs w:val="20"/>
          <w:lang w:eastAsia="en-CA"/>
        </w:rPr>
        <w:noBreakHyphen/>
        <w:t>client privilege is no longer merely a privilege of the law of evidence, but a substantive right that is fundamental to the proper functioning of our legal system. The disclosure of documents pursuant to a statutorily established access to information regime, separate from a judicial proceeding, engages solicitor</w:t>
      </w:r>
      <w:r w:rsidRPr="006E330A">
        <w:rPr>
          <w:rFonts w:eastAsia="Times New Roman" w:cs="Times New Roman"/>
          <w:sz w:val="20"/>
          <w:szCs w:val="20"/>
          <w:lang w:eastAsia="en-CA"/>
        </w:rPr>
        <w:noBreakHyphen/>
        <w:t xml:space="preserve">client privilege in its substantive, rather than evidentiary, context. To give effect to </w:t>
      </w:r>
      <w:r w:rsidRPr="006E330A">
        <w:rPr>
          <w:rFonts w:eastAsia="Times New Roman" w:cs="Times New Roman"/>
          <w:sz w:val="20"/>
          <w:szCs w:val="20"/>
          <w:lang w:eastAsia="en-CA"/>
        </w:rPr>
        <w:lastRenderedPageBreak/>
        <w:t>solicitor</w:t>
      </w:r>
      <w:r w:rsidRPr="006E330A">
        <w:rPr>
          <w:rFonts w:eastAsia="Times New Roman" w:cs="Times New Roman"/>
          <w:sz w:val="20"/>
          <w:szCs w:val="20"/>
          <w:lang w:eastAsia="en-CA"/>
        </w:rPr>
        <w:noBreakHyphen/>
        <w:t>client privilege as a fundamental policy of the law, legislative language purporting to abrogate it, set it aside or infringe it must be interpreted restrictively and must demonstrate a clear and unambiguous legislative intent to do so. Section 56(3) does not meet this standard and therefore fails to evince clear and unambiguous legislative intent to set aside solicitor</w:t>
      </w:r>
      <w:r w:rsidRPr="006E330A">
        <w:rPr>
          <w:rFonts w:eastAsia="Times New Roman" w:cs="Times New Roman"/>
          <w:sz w:val="20"/>
          <w:szCs w:val="20"/>
          <w:lang w:eastAsia="en-CA"/>
        </w:rPr>
        <w:noBreakHyphen/>
        <w:t>client privilege. This interpretive approach is not a renunciation of the modern approach to statutory interpretation, but recognizes legislative respect for fundamental values.</w:t>
      </w:r>
    </w:p>
    <w:p w:rsidR="006E330A" w:rsidRPr="006E330A" w:rsidRDefault="006E330A" w:rsidP="006E330A">
      <w:pPr>
        <w:tabs>
          <w:tab w:val="left" w:pos="1168"/>
        </w:tabs>
        <w:jc w:val="both"/>
        <w:rPr>
          <w:rFonts w:eastAsia="Times New Roman" w:cs="Times New Roman"/>
          <w:sz w:val="20"/>
          <w:szCs w:val="20"/>
          <w:lang w:eastAsia="en-CA"/>
        </w:rPr>
      </w:pPr>
    </w:p>
    <w:p w:rsidR="006E330A" w:rsidRPr="00E54F41" w:rsidRDefault="006E330A" w:rsidP="006E330A">
      <w:pPr>
        <w:tabs>
          <w:tab w:val="left" w:pos="1168"/>
        </w:tabs>
        <w:jc w:val="both"/>
        <w:rPr>
          <w:rFonts w:eastAsia="Times New Roman" w:cs="Times New Roman"/>
          <w:sz w:val="20"/>
          <w:szCs w:val="20"/>
          <w:lang w:eastAsia="en-CA"/>
        </w:rPr>
      </w:pPr>
      <w:r w:rsidRPr="006E330A">
        <w:rPr>
          <w:rFonts w:eastAsia="Times New Roman" w:cs="Times New Roman"/>
          <w:sz w:val="20"/>
          <w:szCs w:val="20"/>
          <w:lang w:eastAsia="en-CA"/>
        </w:rPr>
        <w:tab/>
        <w:t>Reading s. 56(3) in the context of the statute as a whole supports the conclusion that the legislature did not intend to set aside solicitor</w:t>
      </w:r>
      <w:r w:rsidRPr="006E330A">
        <w:rPr>
          <w:rFonts w:eastAsia="Times New Roman" w:cs="Times New Roman"/>
          <w:sz w:val="20"/>
          <w:szCs w:val="20"/>
          <w:lang w:eastAsia="en-CA"/>
        </w:rPr>
        <w:noBreakHyphen/>
        <w:t xml:space="preserve">client privilege. First, s. 27(1) of </w:t>
      </w:r>
      <w:r w:rsidRPr="006E330A">
        <w:rPr>
          <w:rFonts w:eastAsia="Times New Roman" w:cs="Times New Roman"/>
          <w:i/>
          <w:sz w:val="20"/>
          <w:szCs w:val="20"/>
          <w:lang w:eastAsia="en-CA"/>
        </w:rPr>
        <w:t>FOIPP</w:t>
      </w:r>
      <w:r w:rsidRPr="006E330A">
        <w:rPr>
          <w:rFonts w:eastAsia="Times New Roman" w:cs="Times New Roman"/>
          <w:sz w:val="20"/>
          <w:szCs w:val="20"/>
          <w:lang w:eastAsia="en-CA"/>
        </w:rPr>
        <w:t xml:space="preserve"> unequivocally establishes that a public body may refuse to disclose “information that is subject to any type of legal privilege, including solicitor</w:t>
      </w:r>
      <w:r w:rsidRPr="006E330A">
        <w:rPr>
          <w:rFonts w:eastAsia="Times New Roman" w:cs="Times New Roman"/>
          <w:sz w:val="20"/>
          <w:szCs w:val="20"/>
          <w:lang w:eastAsia="en-CA"/>
        </w:rPr>
        <w:noBreakHyphen/>
        <w:t>client privilege”. Second, this interpretation is coherent. “[P]</w:t>
      </w:r>
      <w:proofErr w:type="spellStart"/>
      <w:r w:rsidRPr="006E330A">
        <w:rPr>
          <w:rFonts w:eastAsia="Times New Roman" w:cs="Times New Roman"/>
          <w:sz w:val="20"/>
          <w:szCs w:val="20"/>
          <w:lang w:eastAsia="en-CA"/>
        </w:rPr>
        <w:t>rivilege</w:t>
      </w:r>
      <w:proofErr w:type="spellEnd"/>
      <w:r w:rsidRPr="006E330A">
        <w:rPr>
          <w:rFonts w:eastAsia="Times New Roman" w:cs="Times New Roman"/>
          <w:sz w:val="20"/>
          <w:szCs w:val="20"/>
          <w:lang w:eastAsia="en-CA"/>
        </w:rPr>
        <w:t>[s] of the law of evidence”, as referenced in s. 56(3), are a narrower category falling within the scope of the broader category of “legal privileges”, as laid out in s. 27(1). Read together, therefore, these two sections provide that a public body can refuse to disclose documents subject to any “legal privilege”, while the Commissioner can obtain production of those documents over which a “privilege of the law of evidence” is asserted in order to adjudicate the claims of privilege. Third, given its fundamental importance, one would expect that if the legislature had intended to set aside solicitor</w:t>
      </w:r>
      <w:r w:rsidRPr="006E330A">
        <w:rPr>
          <w:rFonts w:eastAsia="Times New Roman" w:cs="Times New Roman"/>
          <w:sz w:val="20"/>
          <w:szCs w:val="20"/>
          <w:lang w:eastAsia="en-CA"/>
        </w:rPr>
        <w:noBreakHyphen/>
        <w:t>client privilege, it would have legislated safeguards to ensure that solicitor</w:t>
      </w:r>
      <w:r w:rsidRPr="006E330A">
        <w:rPr>
          <w:rFonts w:eastAsia="Times New Roman" w:cs="Times New Roman"/>
          <w:sz w:val="20"/>
          <w:szCs w:val="20"/>
          <w:lang w:eastAsia="en-CA"/>
        </w:rPr>
        <w:noBreakHyphen/>
        <w:t>client privileged documents are not disclosed in a manner that compromises the substantive right or addressed whether disclosure of solicitor</w:t>
      </w:r>
      <w:r w:rsidRPr="006E330A">
        <w:rPr>
          <w:rFonts w:eastAsia="Times New Roman" w:cs="Times New Roman"/>
          <w:sz w:val="20"/>
          <w:szCs w:val="20"/>
          <w:lang w:eastAsia="en-CA"/>
        </w:rPr>
        <w:noBreakHyphen/>
        <w:t>client privileged documents to the Commissioner constitutes a waiver of privilege with respect to any other person.</w:t>
      </w:r>
    </w:p>
    <w:p w:rsidR="006E330A" w:rsidRPr="006E330A" w:rsidRDefault="006E330A" w:rsidP="006E330A">
      <w:pPr>
        <w:tabs>
          <w:tab w:val="left" w:pos="1168"/>
        </w:tabs>
        <w:jc w:val="both"/>
        <w:rPr>
          <w:rFonts w:eastAsia="Times New Roman" w:cs="Times New Roman"/>
          <w:sz w:val="20"/>
          <w:szCs w:val="20"/>
          <w:lang w:eastAsia="en-CA"/>
        </w:rPr>
      </w:pPr>
    </w:p>
    <w:p w:rsidR="006E330A" w:rsidRPr="00E54F41" w:rsidRDefault="006E330A" w:rsidP="006E330A">
      <w:pPr>
        <w:tabs>
          <w:tab w:val="left" w:pos="1168"/>
        </w:tabs>
        <w:jc w:val="both"/>
        <w:rPr>
          <w:rFonts w:eastAsia="Times New Roman" w:cs="Times New Roman"/>
          <w:sz w:val="20"/>
          <w:szCs w:val="20"/>
          <w:lang w:eastAsia="en-CA"/>
        </w:rPr>
      </w:pPr>
      <w:r w:rsidRPr="006E330A">
        <w:rPr>
          <w:rFonts w:eastAsia="Times New Roman" w:cs="Times New Roman"/>
          <w:sz w:val="20"/>
          <w:szCs w:val="20"/>
          <w:lang w:eastAsia="en-CA"/>
        </w:rPr>
        <w:tab/>
        <w:t>Lastly, even if the language of s. 56(3) did clearly evince legislative intent to set aside solicitor</w:t>
      </w:r>
      <w:r w:rsidRPr="006E330A">
        <w:rPr>
          <w:rFonts w:eastAsia="Times New Roman" w:cs="Times New Roman"/>
          <w:sz w:val="20"/>
          <w:szCs w:val="20"/>
          <w:lang w:eastAsia="en-CA"/>
        </w:rPr>
        <w:noBreakHyphen/>
        <w:t>client privilege, this was not an appropriate case in which to order production to the Commissioner. Although the delegate found that it was necessary to review the records because the University failed to present evidence of its claim of solicitor</w:t>
      </w:r>
      <w:r w:rsidRPr="006E330A">
        <w:rPr>
          <w:rFonts w:eastAsia="Times New Roman" w:cs="Times New Roman"/>
          <w:sz w:val="20"/>
          <w:szCs w:val="20"/>
          <w:lang w:eastAsia="en-CA"/>
        </w:rPr>
        <w:noBreakHyphen/>
        <w:t>client privilege as required by the Protocol, the Protocol is not law. Rather, it is a guide established by the Commissioner to assist adjudicators and public bodies. At the time, the prevailing authority in Alberta in civil litigation allowed a party to bundle and identify solicitor</w:t>
      </w:r>
      <w:r w:rsidRPr="006E330A">
        <w:rPr>
          <w:rFonts w:eastAsia="Times New Roman" w:cs="Times New Roman"/>
          <w:sz w:val="20"/>
          <w:szCs w:val="20"/>
          <w:lang w:eastAsia="en-CA"/>
        </w:rPr>
        <w:noBreakHyphen/>
        <w:t>client privileged documents by document numbers, and no evidence or argument was made to suggest that solicitor</w:t>
      </w:r>
      <w:r w:rsidRPr="006E330A">
        <w:rPr>
          <w:rFonts w:eastAsia="Times New Roman" w:cs="Times New Roman"/>
          <w:sz w:val="20"/>
          <w:szCs w:val="20"/>
          <w:lang w:eastAsia="en-CA"/>
        </w:rPr>
        <w:noBreakHyphen/>
        <w:t>client privilege had been falsely claimed by the University. In these circumstances, the delegate erred in concluding that the claim needed to be reviewed to fairly decide the issue.</w:t>
      </w:r>
    </w:p>
    <w:p w:rsidR="006E330A" w:rsidRPr="006E330A" w:rsidRDefault="006E330A" w:rsidP="006E330A">
      <w:pPr>
        <w:tabs>
          <w:tab w:val="left" w:pos="1168"/>
        </w:tabs>
        <w:jc w:val="both"/>
        <w:rPr>
          <w:rFonts w:eastAsia="Times New Roman" w:cs="Times New Roman"/>
          <w:sz w:val="20"/>
          <w:szCs w:val="20"/>
          <w:lang w:eastAsia="en-CA"/>
        </w:rPr>
      </w:pPr>
    </w:p>
    <w:p w:rsidR="006E330A" w:rsidRPr="00E54F41" w:rsidRDefault="006E330A" w:rsidP="006E330A">
      <w:pPr>
        <w:tabs>
          <w:tab w:val="left" w:pos="1168"/>
        </w:tabs>
        <w:jc w:val="both"/>
        <w:rPr>
          <w:rFonts w:eastAsia="Times New Roman" w:cs="Times New Roman"/>
          <w:sz w:val="20"/>
          <w:szCs w:val="20"/>
          <w:lang w:eastAsia="en-CA"/>
        </w:rPr>
      </w:pPr>
      <w:r w:rsidRPr="006E330A">
        <w:rPr>
          <w:rFonts w:eastAsiaTheme="minorEastAsia" w:cs="Times New Roman"/>
          <w:sz w:val="20"/>
          <w:szCs w:val="20"/>
        </w:rPr>
        <w:tab/>
      </w:r>
      <w:r w:rsidRPr="006E330A">
        <w:rPr>
          <w:rFonts w:eastAsiaTheme="minorEastAsia" w:cs="Times New Roman"/>
          <w:i/>
          <w:sz w:val="20"/>
          <w:szCs w:val="20"/>
        </w:rPr>
        <w:t>Per</w:t>
      </w:r>
      <w:r w:rsidRPr="006E330A">
        <w:rPr>
          <w:rFonts w:eastAsiaTheme="minorEastAsia" w:cs="Times New Roman"/>
          <w:sz w:val="20"/>
          <w:szCs w:val="20"/>
        </w:rPr>
        <w:t xml:space="preserve"> </w:t>
      </w:r>
      <w:r w:rsidRPr="006E330A">
        <w:rPr>
          <w:rFonts w:eastAsiaTheme="minorEastAsia" w:cs="Times New Roman"/>
          <w:b/>
          <w:sz w:val="20"/>
          <w:szCs w:val="20"/>
        </w:rPr>
        <w:t>Cromwell </w:t>
      </w:r>
      <w:r w:rsidRPr="006E330A">
        <w:rPr>
          <w:rFonts w:eastAsiaTheme="minorEastAsia" w:cs="Times New Roman"/>
          <w:sz w:val="20"/>
          <w:szCs w:val="20"/>
        </w:rPr>
        <w:t xml:space="preserve">J.: </w:t>
      </w:r>
      <w:r w:rsidRPr="006E330A">
        <w:rPr>
          <w:rFonts w:eastAsia="Times New Roman" w:cs="Times New Roman"/>
          <w:sz w:val="20"/>
          <w:szCs w:val="20"/>
          <w:lang w:eastAsia="en-CA"/>
        </w:rPr>
        <w:t xml:space="preserve">The express language and the full context of s. 56(3) of the </w:t>
      </w:r>
      <w:r w:rsidRPr="006E330A">
        <w:rPr>
          <w:rFonts w:eastAsia="Times New Roman" w:cs="Times New Roman"/>
          <w:i/>
          <w:sz w:val="20"/>
          <w:szCs w:val="20"/>
          <w:lang w:eastAsia="en-CA"/>
        </w:rPr>
        <w:t>Freedom of Information and Protection of Privacy Act</w:t>
      </w:r>
      <w:r w:rsidRPr="006E330A">
        <w:rPr>
          <w:rFonts w:eastAsia="Times New Roman" w:cs="Times New Roman"/>
          <w:sz w:val="20"/>
          <w:szCs w:val="20"/>
          <w:lang w:eastAsia="en-CA"/>
        </w:rPr>
        <w:t xml:space="preserve"> demonstrate that the legislature intended to abrogate solicitor</w:t>
      </w:r>
      <w:r w:rsidRPr="006E330A">
        <w:rPr>
          <w:rFonts w:eastAsia="Times New Roman" w:cs="Times New Roman"/>
          <w:sz w:val="20"/>
          <w:szCs w:val="20"/>
          <w:lang w:eastAsia="en-CA"/>
        </w:rPr>
        <w:noBreakHyphen/>
        <w:t>client privilege to the extent of permitting the Commissioner to order production of records over which solicitor</w:t>
      </w:r>
      <w:r w:rsidRPr="006E330A">
        <w:rPr>
          <w:rFonts w:eastAsia="Times New Roman" w:cs="Times New Roman"/>
          <w:sz w:val="20"/>
          <w:szCs w:val="20"/>
          <w:lang w:eastAsia="en-CA"/>
        </w:rPr>
        <w:noBreakHyphen/>
        <w:t>client privilege is asserted when necessary to adjudicate the validity of that claim.</w:t>
      </w:r>
      <w:r w:rsidRPr="006E330A">
        <w:rPr>
          <w:rFonts w:eastAsia="Times New Roman" w:cs="Times New Roman"/>
          <w:sz w:val="20"/>
          <w:szCs w:val="20"/>
          <w:lang w:val="en-US" w:eastAsia="en-CA"/>
        </w:rPr>
        <w:t xml:space="preserve"> </w:t>
      </w:r>
      <w:r w:rsidRPr="006E330A">
        <w:rPr>
          <w:rFonts w:eastAsia="Times New Roman" w:cs="Times New Roman"/>
          <w:sz w:val="20"/>
          <w:szCs w:val="20"/>
          <w:lang w:eastAsia="en-CA"/>
        </w:rPr>
        <w:t>Section 56(3) explicitly grants that authority “[d]</w:t>
      </w:r>
      <w:proofErr w:type="spellStart"/>
      <w:proofErr w:type="gramStart"/>
      <w:r w:rsidRPr="006E330A">
        <w:rPr>
          <w:rFonts w:eastAsia="Times New Roman" w:cs="Times New Roman"/>
          <w:sz w:val="20"/>
          <w:szCs w:val="20"/>
          <w:lang w:eastAsia="en-CA"/>
        </w:rPr>
        <w:t>espite</w:t>
      </w:r>
      <w:proofErr w:type="spellEnd"/>
      <w:r w:rsidRPr="006E330A">
        <w:rPr>
          <w:rFonts w:eastAsia="Times New Roman" w:cs="Times New Roman"/>
          <w:sz w:val="20"/>
          <w:szCs w:val="20"/>
          <w:lang w:eastAsia="en-CA"/>
        </w:rPr>
        <w:t xml:space="preserve"> .</w:t>
      </w:r>
      <w:proofErr w:type="gramEnd"/>
      <w:r w:rsidRPr="006E330A">
        <w:rPr>
          <w:rFonts w:eastAsia="Times New Roman" w:cs="Times New Roman"/>
          <w:sz w:val="20"/>
          <w:szCs w:val="20"/>
          <w:lang w:eastAsia="en-CA"/>
        </w:rPr>
        <w:t> . . any privilege of the law of evidence”, and to hold that solicitor</w:t>
      </w:r>
      <w:r w:rsidRPr="006E330A">
        <w:rPr>
          <w:rFonts w:eastAsia="Times New Roman" w:cs="Times New Roman"/>
          <w:sz w:val="20"/>
          <w:szCs w:val="20"/>
          <w:lang w:eastAsia="en-CA"/>
        </w:rPr>
        <w:noBreakHyphen/>
        <w:t xml:space="preserve">client privilege is a legal privilege but not a “privilege of the law of evidence” in </w:t>
      </w:r>
      <w:r w:rsidRPr="006E330A">
        <w:rPr>
          <w:rFonts w:eastAsia="Times New Roman" w:cs="Times New Roman"/>
          <w:i/>
          <w:sz w:val="20"/>
          <w:szCs w:val="20"/>
          <w:lang w:eastAsia="en-CA"/>
        </w:rPr>
        <w:t>FOIPP</w:t>
      </w:r>
      <w:r w:rsidRPr="006E330A">
        <w:rPr>
          <w:rFonts w:eastAsia="Times New Roman" w:cs="Times New Roman"/>
          <w:sz w:val="20"/>
          <w:szCs w:val="20"/>
          <w:lang w:eastAsia="en-CA"/>
        </w:rPr>
        <w:t xml:space="preserve"> is not justified.</w:t>
      </w:r>
    </w:p>
    <w:p w:rsidR="006E330A" w:rsidRPr="006E330A" w:rsidRDefault="006E330A" w:rsidP="006E330A">
      <w:pPr>
        <w:tabs>
          <w:tab w:val="left" w:pos="1168"/>
        </w:tabs>
        <w:jc w:val="both"/>
        <w:rPr>
          <w:rFonts w:eastAsia="Times New Roman" w:cs="Times New Roman"/>
          <w:sz w:val="20"/>
          <w:szCs w:val="20"/>
          <w:lang w:eastAsia="en-CA"/>
        </w:rPr>
      </w:pPr>
    </w:p>
    <w:p w:rsidR="006E330A" w:rsidRPr="00E54F41" w:rsidRDefault="006E330A" w:rsidP="006E330A">
      <w:pPr>
        <w:tabs>
          <w:tab w:val="left" w:pos="1168"/>
        </w:tabs>
        <w:jc w:val="both"/>
        <w:rPr>
          <w:rFonts w:eastAsia="Times New Roman" w:cs="Times New Roman"/>
          <w:sz w:val="20"/>
          <w:szCs w:val="20"/>
          <w:lang w:eastAsia="en-CA"/>
        </w:rPr>
      </w:pPr>
      <w:r w:rsidRPr="006E330A">
        <w:rPr>
          <w:rFonts w:eastAsia="Times New Roman" w:cs="Times New Roman"/>
          <w:sz w:val="20"/>
          <w:szCs w:val="20"/>
          <w:lang w:eastAsia="en-CA"/>
        </w:rPr>
        <w:tab/>
        <w:t>The grammatical and ordinary meaning of the words “any privilege of the law of evidence” in s. 56(3) includes solicitor</w:t>
      </w:r>
      <w:r w:rsidRPr="006E330A">
        <w:rPr>
          <w:rFonts w:eastAsia="Times New Roman" w:cs="Times New Roman"/>
          <w:sz w:val="20"/>
          <w:szCs w:val="20"/>
          <w:lang w:eastAsia="en-CA"/>
        </w:rPr>
        <w:noBreakHyphen/>
        <w:t>client privilege. Solicitor</w:t>
      </w:r>
      <w:r w:rsidRPr="006E330A">
        <w:rPr>
          <w:rFonts w:eastAsia="Times New Roman" w:cs="Times New Roman"/>
          <w:sz w:val="20"/>
          <w:szCs w:val="20"/>
          <w:lang w:eastAsia="en-CA"/>
        </w:rPr>
        <w:noBreakHyphen/>
        <w:t xml:space="preserve">client privilege is both an evidentiary privilege and a substantive principle, but, as the University is seeking immunity from forced production by virtue of the Commissioner’s statutory powers, the evidentiary privilege is at issue here. The fact that s. 27(1) of </w:t>
      </w:r>
      <w:r w:rsidRPr="006E330A">
        <w:rPr>
          <w:rFonts w:eastAsia="Times New Roman" w:cs="Times New Roman"/>
          <w:i/>
          <w:sz w:val="20"/>
          <w:szCs w:val="20"/>
          <w:lang w:eastAsia="en-CA"/>
        </w:rPr>
        <w:t>FOIPP</w:t>
      </w:r>
      <w:r w:rsidRPr="006E330A">
        <w:rPr>
          <w:rFonts w:eastAsia="Times New Roman" w:cs="Times New Roman"/>
          <w:sz w:val="20"/>
          <w:szCs w:val="20"/>
          <w:lang w:eastAsia="en-CA"/>
        </w:rPr>
        <w:t xml:space="preserve"> specifically includes the words “solicitor</w:t>
      </w:r>
      <w:r w:rsidRPr="006E330A">
        <w:rPr>
          <w:rFonts w:eastAsia="Times New Roman" w:cs="Times New Roman"/>
          <w:sz w:val="20"/>
          <w:szCs w:val="20"/>
          <w:lang w:eastAsia="en-CA"/>
        </w:rPr>
        <w:noBreakHyphen/>
        <w:t>client privilege” does not detract from this interpretation of s. 56(3) because these provisions perform different functions. Section 27(1) sets out a number of grounds upon which a public body can refuse to order disclosure, whereas s. 56 provides what the Commissioner can and cannot do in the context of conducting an inquiry. Nothing in either section can be read as saying that the Commissioner is prevented from ordering the production of documents subject to a claim of solicitor</w:t>
      </w:r>
      <w:r w:rsidRPr="006E330A">
        <w:rPr>
          <w:rFonts w:eastAsia="Times New Roman" w:cs="Times New Roman"/>
          <w:sz w:val="20"/>
          <w:szCs w:val="20"/>
          <w:lang w:eastAsia="en-CA"/>
        </w:rPr>
        <w:noBreakHyphen/>
        <w:t>client privilege in the context of answering all questions of law and fact that arise in the course of an inquiry.</w:t>
      </w:r>
    </w:p>
    <w:p w:rsidR="006E330A" w:rsidRPr="006E330A" w:rsidRDefault="006E330A" w:rsidP="006E330A">
      <w:pPr>
        <w:tabs>
          <w:tab w:val="left" w:pos="1168"/>
        </w:tabs>
        <w:jc w:val="both"/>
        <w:rPr>
          <w:rFonts w:eastAsia="Times New Roman" w:cs="Times New Roman"/>
          <w:sz w:val="20"/>
          <w:szCs w:val="20"/>
          <w:lang w:eastAsia="en-CA"/>
        </w:rPr>
      </w:pPr>
    </w:p>
    <w:p w:rsidR="006E330A" w:rsidRPr="00E54F41" w:rsidRDefault="006E330A" w:rsidP="006E330A">
      <w:pPr>
        <w:tabs>
          <w:tab w:val="left" w:pos="1168"/>
        </w:tabs>
        <w:jc w:val="both"/>
        <w:rPr>
          <w:rFonts w:eastAsia="Times New Roman" w:cs="Times New Roman"/>
          <w:sz w:val="20"/>
          <w:szCs w:val="20"/>
          <w:lang w:eastAsia="en-CA"/>
        </w:rPr>
      </w:pPr>
      <w:r w:rsidRPr="006E330A">
        <w:rPr>
          <w:rFonts w:eastAsia="Times New Roman" w:cs="Times New Roman"/>
          <w:sz w:val="20"/>
          <w:szCs w:val="20"/>
          <w:lang w:eastAsia="en-CA"/>
        </w:rPr>
        <w:tab/>
        <w:t xml:space="preserve">This interpretation is also supported by a number of contextual factors. First, the statutory scheme unambiguously supports the view that the legislature intended the Commissioner to have the powers required to decide whether or not records should be produced by a public body — including ruling on claims of privilege — subject to judicial review of the exercise of those powers. Specifically, </w:t>
      </w:r>
      <w:r w:rsidRPr="006E330A">
        <w:rPr>
          <w:rFonts w:eastAsia="Times New Roman" w:cs="Times New Roman"/>
          <w:i/>
          <w:sz w:val="20"/>
          <w:szCs w:val="20"/>
          <w:lang w:eastAsia="en-CA"/>
        </w:rPr>
        <w:t>FOIPP</w:t>
      </w:r>
      <w:r w:rsidRPr="006E330A">
        <w:rPr>
          <w:rFonts w:eastAsia="Times New Roman" w:cs="Times New Roman"/>
          <w:sz w:val="20"/>
          <w:szCs w:val="20"/>
          <w:lang w:eastAsia="en-CA"/>
        </w:rPr>
        <w:t xml:space="preserve"> provides a detailed, self</w:t>
      </w:r>
      <w:r w:rsidRPr="006E330A">
        <w:rPr>
          <w:rFonts w:eastAsia="Times New Roman" w:cs="Times New Roman"/>
          <w:sz w:val="20"/>
          <w:szCs w:val="20"/>
          <w:lang w:eastAsia="en-CA"/>
        </w:rPr>
        <w:noBreakHyphen/>
        <w:t>contained process for the disclosure of information to an applicant, and the Commissioner would not be able to fulfill her statutory mandate without the power to review a claim of solicitor</w:t>
      </w:r>
      <w:r w:rsidRPr="006E330A">
        <w:rPr>
          <w:rFonts w:eastAsia="Times New Roman" w:cs="Times New Roman"/>
          <w:sz w:val="20"/>
          <w:szCs w:val="20"/>
          <w:lang w:eastAsia="en-CA"/>
        </w:rPr>
        <w:noBreakHyphen/>
        <w:t>client privilege.</w:t>
      </w:r>
    </w:p>
    <w:p w:rsidR="006E330A" w:rsidRPr="006E330A" w:rsidRDefault="006E330A" w:rsidP="006E330A">
      <w:pPr>
        <w:tabs>
          <w:tab w:val="left" w:pos="1168"/>
        </w:tabs>
        <w:jc w:val="both"/>
        <w:rPr>
          <w:rFonts w:eastAsia="Times New Roman" w:cs="Times New Roman"/>
          <w:sz w:val="20"/>
          <w:szCs w:val="20"/>
          <w:lang w:eastAsia="en-CA"/>
        </w:rPr>
      </w:pPr>
    </w:p>
    <w:p w:rsidR="006E330A" w:rsidRPr="00E54F41" w:rsidRDefault="006E330A" w:rsidP="006E330A">
      <w:pPr>
        <w:tabs>
          <w:tab w:val="left" w:pos="1168"/>
        </w:tabs>
        <w:jc w:val="both"/>
        <w:rPr>
          <w:rFonts w:eastAsia="Times New Roman" w:cs="Times New Roman"/>
          <w:sz w:val="20"/>
          <w:szCs w:val="20"/>
          <w:lang w:eastAsia="en-CA"/>
        </w:rPr>
      </w:pPr>
      <w:r w:rsidRPr="006E330A">
        <w:rPr>
          <w:rFonts w:eastAsia="Times New Roman" w:cs="Times New Roman"/>
          <w:sz w:val="20"/>
          <w:szCs w:val="20"/>
          <w:lang w:eastAsia="en-CA"/>
        </w:rPr>
        <w:lastRenderedPageBreak/>
        <w:tab/>
        <w:t>Second, none of the factors that weigh against a finding that a statute abrogates solicitor</w:t>
      </w:r>
      <w:r w:rsidRPr="006E330A">
        <w:rPr>
          <w:rFonts w:eastAsia="Times New Roman" w:cs="Times New Roman"/>
          <w:sz w:val="20"/>
          <w:szCs w:val="20"/>
          <w:lang w:eastAsia="en-CA"/>
        </w:rPr>
        <w:noBreakHyphen/>
        <w:t>client privilege are in play here: the Commissioner has adjudicative powers; the Commissioner does not appear on behalf of the complainant; and the language used in s. 56(3) is not open</w:t>
      </w:r>
      <w:r w:rsidRPr="006E330A">
        <w:rPr>
          <w:rFonts w:eastAsia="Times New Roman" w:cs="Times New Roman"/>
          <w:sz w:val="20"/>
          <w:szCs w:val="20"/>
          <w:lang w:eastAsia="en-CA"/>
        </w:rPr>
        <w:noBreakHyphen/>
        <w:t>textured language governing production of documents. On the contrary, s. 56(3) expressly provides that the power to order production applies notwithstanding any privilege of the law of evidence.</w:t>
      </w:r>
    </w:p>
    <w:p w:rsidR="006E330A" w:rsidRPr="006E330A" w:rsidRDefault="006E330A" w:rsidP="006E330A">
      <w:pPr>
        <w:tabs>
          <w:tab w:val="left" w:pos="1168"/>
        </w:tabs>
        <w:jc w:val="both"/>
        <w:rPr>
          <w:rFonts w:eastAsiaTheme="minorEastAsia" w:cs="Times New Roman"/>
          <w:sz w:val="20"/>
          <w:szCs w:val="20"/>
        </w:rPr>
      </w:pPr>
    </w:p>
    <w:p w:rsidR="006E330A" w:rsidRPr="00E54F41" w:rsidRDefault="006E330A" w:rsidP="006E330A">
      <w:pPr>
        <w:tabs>
          <w:tab w:val="left" w:pos="1168"/>
        </w:tabs>
        <w:jc w:val="both"/>
        <w:rPr>
          <w:rFonts w:eastAsia="Times New Roman" w:cs="Times New Roman"/>
          <w:sz w:val="20"/>
          <w:szCs w:val="20"/>
          <w:lang w:eastAsia="en-CA"/>
        </w:rPr>
      </w:pPr>
      <w:r w:rsidRPr="006E330A">
        <w:rPr>
          <w:rFonts w:eastAsia="Times New Roman" w:cs="Times New Roman"/>
          <w:sz w:val="20"/>
          <w:szCs w:val="20"/>
          <w:lang w:eastAsia="en-CA"/>
        </w:rPr>
        <w:tab/>
        <w:t xml:space="preserve">Finally, the debates leading up to the enactment of the first version of </w:t>
      </w:r>
      <w:r w:rsidRPr="006E330A">
        <w:rPr>
          <w:rFonts w:eastAsia="Times New Roman" w:cs="Times New Roman"/>
          <w:i/>
          <w:sz w:val="20"/>
          <w:szCs w:val="20"/>
          <w:lang w:eastAsia="en-CA"/>
        </w:rPr>
        <w:t>FOIPP</w:t>
      </w:r>
      <w:r w:rsidRPr="006E330A">
        <w:rPr>
          <w:rFonts w:eastAsia="Times New Roman" w:cs="Times New Roman"/>
          <w:sz w:val="20"/>
          <w:szCs w:val="20"/>
          <w:lang w:eastAsia="en-CA"/>
        </w:rPr>
        <w:t xml:space="preserve"> support an interpretation of s. 56(3) as abrogating solicitor</w:t>
      </w:r>
      <w:r w:rsidRPr="006E330A">
        <w:rPr>
          <w:rFonts w:eastAsia="Times New Roman" w:cs="Times New Roman"/>
          <w:sz w:val="20"/>
          <w:szCs w:val="20"/>
          <w:lang w:eastAsia="en-CA"/>
        </w:rPr>
        <w:noBreakHyphen/>
        <w:t>client privilege, as does the fact that the same expression in the parallel British Columbia legislation clearly includes solicitor</w:t>
      </w:r>
      <w:r w:rsidRPr="006E330A">
        <w:rPr>
          <w:rFonts w:eastAsia="Times New Roman" w:cs="Times New Roman"/>
          <w:sz w:val="20"/>
          <w:szCs w:val="20"/>
          <w:lang w:eastAsia="en-CA"/>
        </w:rPr>
        <w:noBreakHyphen/>
        <w:t>client privilege.</w:t>
      </w:r>
    </w:p>
    <w:p w:rsidR="006E330A" w:rsidRPr="006E330A" w:rsidRDefault="006E330A" w:rsidP="006E330A">
      <w:pPr>
        <w:tabs>
          <w:tab w:val="left" w:pos="1168"/>
        </w:tabs>
        <w:jc w:val="both"/>
        <w:rPr>
          <w:rFonts w:eastAsia="Times New Roman" w:cs="Times New Roman"/>
          <w:sz w:val="20"/>
          <w:szCs w:val="20"/>
          <w:lang w:eastAsia="en-CA"/>
        </w:rPr>
      </w:pPr>
    </w:p>
    <w:p w:rsidR="006E330A" w:rsidRPr="00E54F41" w:rsidRDefault="006E330A" w:rsidP="006E330A">
      <w:pPr>
        <w:tabs>
          <w:tab w:val="left" w:pos="1168"/>
        </w:tabs>
        <w:jc w:val="both"/>
        <w:rPr>
          <w:rFonts w:eastAsia="Times New Roman" w:cs="Times New Roman"/>
          <w:sz w:val="20"/>
          <w:szCs w:val="20"/>
          <w:lang w:eastAsia="en-CA"/>
        </w:rPr>
      </w:pPr>
      <w:r w:rsidRPr="006E330A">
        <w:rPr>
          <w:rFonts w:eastAsia="Times New Roman" w:cs="Times New Roman"/>
          <w:sz w:val="20"/>
          <w:szCs w:val="20"/>
          <w:lang w:eastAsia="en-CA"/>
        </w:rPr>
        <w:tab/>
        <w:t>Even though the Commissioner has the authority to compel production for review of records over which solicitor</w:t>
      </w:r>
      <w:r w:rsidRPr="006E330A">
        <w:rPr>
          <w:rFonts w:eastAsia="Times New Roman" w:cs="Times New Roman"/>
          <w:sz w:val="20"/>
          <w:szCs w:val="20"/>
          <w:lang w:eastAsia="en-CA"/>
        </w:rPr>
        <w:noBreakHyphen/>
        <w:t>client privilege is asserted and assuming, without deciding, that the correctness standard of review applies, she made a reviewable error to order production in the face of the evidence submitted in relation to the claim of privilege. The University’s claim of privilege complied with the requirements of Alberta civil litigation practice at the time, and it was a reviewable error for the Commissioner’s delegate to impose a more onerous standard on the University in relation to its assertion of privilege than that applicable in civil litigation before the courts. The evidence filed with the Commissioner clearly asserts that the documents are communications between solicitor and client which entails the seeking or giving of legal advice, and which is intended to be confidential by the parties.</w:t>
      </w:r>
    </w:p>
    <w:p w:rsidR="006E330A" w:rsidRPr="006E330A" w:rsidRDefault="006E330A" w:rsidP="006E330A">
      <w:pPr>
        <w:tabs>
          <w:tab w:val="left" w:pos="1168"/>
        </w:tabs>
        <w:jc w:val="both"/>
        <w:rPr>
          <w:rFonts w:eastAsia="Times New Roman" w:cs="Times New Roman"/>
          <w:i/>
          <w:sz w:val="20"/>
          <w:szCs w:val="20"/>
          <w:lang w:eastAsia="en-CA"/>
        </w:rPr>
      </w:pPr>
    </w:p>
    <w:p w:rsidR="006E330A" w:rsidRPr="00E54F41" w:rsidRDefault="006E330A" w:rsidP="006E330A">
      <w:pPr>
        <w:tabs>
          <w:tab w:val="left" w:pos="1166"/>
        </w:tabs>
        <w:jc w:val="both"/>
        <w:rPr>
          <w:rFonts w:eastAsiaTheme="minorEastAsia" w:cs="Times New Roman"/>
          <w:sz w:val="20"/>
          <w:szCs w:val="20"/>
        </w:rPr>
      </w:pPr>
      <w:r w:rsidRPr="006E330A">
        <w:rPr>
          <w:rFonts w:eastAsiaTheme="minorEastAsia" w:cs="Times New Roman"/>
          <w:sz w:val="20"/>
          <w:szCs w:val="20"/>
        </w:rPr>
        <w:tab/>
      </w:r>
      <w:r w:rsidRPr="006E330A">
        <w:rPr>
          <w:rFonts w:eastAsiaTheme="minorEastAsia" w:cs="Times New Roman"/>
          <w:i/>
          <w:sz w:val="20"/>
          <w:szCs w:val="20"/>
        </w:rPr>
        <w:t>Per</w:t>
      </w:r>
      <w:r w:rsidRPr="006E330A">
        <w:rPr>
          <w:rFonts w:eastAsiaTheme="minorEastAsia" w:cs="Times New Roman"/>
          <w:sz w:val="20"/>
          <w:szCs w:val="20"/>
        </w:rPr>
        <w:t xml:space="preserve"> </w:t>
      </w:r>
      <w:r w:rsidRPr="006E330A">
        <w:rPr>
          <w:rFonts w:eastAsiaTheme="minorEastAsia" w:cs="Times New Roman"/>
          <w:b/>
          <w:sz w:val="20"/>
          <w:szCs w:val="20"/>
        </w:rPr>
        <w:t>Abella</w:t>
      </w:r>
      <w:r w:rsidRPr="006E330A">
        <w:rPr>
          <w:rFonts w:eastAsiaTheme="minorEastAsia" w:cs="Times New Roman"/>
          <w:sz w:val="20"/>
          <w:szCs w:val="20"/>
        </w:rPr>
        <w:t> J.: The standard of review in this case should be reasonableness in accordance with this Court’s jurisprudence reviewing decisions of Information and Privacy Commissioners, including decisions involving solicitor</w:t>
      </w:r>
      <w:r w:rsidRPr="006E330A">
        <w:rPr>
          <w:rFonts w:eastAsiaTheme="minorEastAsia" w:cs="Times New Roman"/>
          <w:sz w:val="20"/>
          <w:szCs w:val="20"/>
        </w:rPr>
        <w:noBreakHyphen/>
        <w:t xml:space="preserve">client privilege. The question in this case does not fall within any of the categories which attract correctness review under </w:t>
      </w:r>
      <w:r w:rsidRPr="006E330A">
        <w:rPr>
          <w:rFonts w:eastAsiaTheme="minorEastAsia" w:cs="Times New Roman"/>
          <w:i/>
          <w:sz w:val="20"/>
          <w:szCs w:val="20"/>
        </w:rPr>
        <w:t>Dunsmuir v. New Brunswick</w:t>
      </w:r>
      <w:r w:rsidRPr="006E330A">
        <w:rPr>
          <w:rFonts w:eastAsiaTheme="minorEastAsia" w:cs="Times New Roman"/>
          <w:sz w:val="20"/>
          <w:szCs w:val="20"/>
        </w:rPr>
        <w:t>, [2008] 1 S.C.R. 190. On the contrary, the Commissioner is interpreting her home statute, which includes the express mandate to consider the application of solicitor</w:t>
      </w:r>
      <w:r w:rsidRPr="006E330A">
        <w:rPr>
          <w:rFonts w:eastAsiaTheme="minorEastAsia" w:cs="Times New Roman"/>
          <w:sz w:val="20"/>
          <w:szCs w:val="20"/>
        </w:rPr>
        <w:noBreakHyphen/>
        <w:t>client privilege. This is classic “reasonableness review” territory.</w:t>
      </w:r>
    </w:p>
    <w:p w:rsidR="006E330A" w:rsidRPr="006E330A" w:rsidRDefault="006E330A" w:rsidP="006E330A">
      <w:pPr>
        <w:tabs>
          <w:tab w:val="left" w:pos="1166"/>
        </w:tabs>
        <w:jc w:val="both"/>
        <w:rPr>
          <w:rFonts w:eastAsiaTheme="minorEastAsia" w:cs="Times New Roman"/>
          <w:sz w:val="20"/>
          <w:szCs w:val="20"/>
        </w:rPr>
      </w:pPr>
    </w:p>
    <w:p w:rsidR="006E330A" w:rsidRPr="006E330A" w:rsidRDefault="006E330A" w:rsidP="006E330A">
      <w:pPr>
        <w:tabs>
          <w:tab w:val="left" w:pos="1166"/>
        </w:tabs>
        <w:jc w:val="both"/>
        <w:rPr>
          <w:rFonts w:eastAsiaTheme="minorEastAsia" w:cs="Times New Roman"/>
          <w:sz w:val="20"/>
          <w:szCs w:val="20"/>
          <w:lang w:val="en-US"/>
        </w:rPr>
      </w:pPr>
      <w:r w:rsidRPr="006E330A">
        <w:rPr>
          <w:rFonts w:eastAsiaTheme="minorEastAsia" w:cs="Times New Roman"/>
          <w:sz w:val="20"/>
          <w:szCs w:val="20"/>
        </w:rPr>
        <w:tab/>
        <w:t>But the Commissioner’s decision to order disclosure was unreasonable. The Commissioner should have exercised her discretion in a manner that interfered with solicitor</w:t>
      </w:r>
      <w:r w:rsidRPr="006E330A">
        <w:rPr>
          <w:rFonts w:eastAsiaTheme="minorEastAsia" w:cs="Times New Roman"/>
          <w:sz w:val="20"/>
          <w:szCs w:val="20"/>
        </w:rPr>
        <w:noBreakHyphen/>
        <w:t>client privilege only to the extent absolutely necessary to achieve the ends sought by her enabling legislation. In ordering disclosure, she did not sufficiently take into account the fact that the University provided adequate justification for solicitor</w:t>
      </w:r>
      <w:r w:rsidRPr="006E330A">
        <w:rPr>
          <w:rFonts w:eastAsiaTheme="minorEastAsia" w:cs="Times New Roman"/>
          <w:sz w:val="20"/>
          <w:szCs w:val="20"/>
        </w:rPr>
        <w:noBreakHyphen/>
        <w:t>client privilege, particularly in light of the laws and practices applicable in the civil litigation context in Alberta.</w:t>
      </w:r>
    </w:p>
    <w:p w:rsidR="005F3164" w:rsidRPr="00E54F41" w:rsidRDefault="005F3164" w:rsidP="00224B0D">
      <w:pPr>
        <w:jc w:val="both"/>
        <w:rPr>
          <w:sz w:val="20"/>
          <w:szCs w:val="20"/>
        </w:rPr>
      </w:pPr>
    </w:p>
    <w:p w:rsidR="00224B0D" w:rsidRPr="00E54F41" w:rsidRDefault="00224B0D" w:rsidP="00224B0D">
      <w:pPr>
        <w:tabs>
          <w:tab w:val="left" w:pos="1168"/>
        </w:tabs>
        <w:jc w:val="both"/>
        <w:rPr>
          <w:rFonts w:eastAsia="Times New Roman" w:cs="Times New Roman"/>
          <w:sz w:val="20"/>
          <w:szCs w:val="20"/>
          <w:lang w:eastAsia="en-CA"/>
        </w:rPr>
      </w:pPr>
      <w:r w:rsidRPr="00224B0D">
        <w:rPr>
          <w:rFonts w:eastAsia="Times New Roman" w:cs="Times New Roman"/>
          <w:sz w:val="20"/>
          <w:szCs w:val="20"/>
          <w:lang w:eastAsia="en-CA"/>
        </w:rPr>
        <w:tab/>
        <w:t>APPEAL from a judgment of the Alberta Court of Appeal (</w:t>
      </w:r>
      <w:proofErr w:type="spellStart"/>
      <w:r w:rsidRPr="00224B0D">
        <w:rPr>
          <w:rFonts w:eastAsia="Times New Roman" w:cs="Times New Roman"/>
          <w:sz w:val="20"/>
          <w:szCs w:val="20"/>
          <w:lang w:eastAsia="en-CA"/>
        </w:rPr>
        <w:t>Rowbotham</w:t>
      </w:r>
      <w:proofErr w:type="spellEnd"/>
      <w:r w:rsidRPr="00224B0D">
        <w:rPr>
          <w:rFonts w:eastAsia="Times New Roman" w:cs="Times New Roman"/>
          <w:sz w:val="20"/>
          <w:szCs w:val="20"/>
          <w:lang w:eastAsia="en-CA"/>
        </w:rPr>
        <w:t xml:space="preserve">, </w:t>
      </w:r>
      <w:proofErr w:type="spellStart"/>
      <w:r w:rsidRPr="00224B0D">
        <w:rPr>
          <w:rFonts w:eastAsia="Times New Roman" w:cs="Times New Roman"/>
          <w:sz w:val="20"/>
          <w:szCs w:val="20"/>
          <w:lang w:eastAsia="en-CA"/>
        </w:rPr>
        <w:t>Bielby</w:t>
      </w:r>
      <w:proofErr w:type="spellEnd"/>
      <w:r w:rsidRPr="00224B0D">
        <w:rPr>
          <w:rFonts w:eastAsia="Times New Roman" w:cs="Times New Roman"/>
          <w:sz w:val="20"/>
          <w:szCs w:val="20"/>
          <w:lang w:eastAsia="en-CA"/>
        </w:rPr>
        <w:t xml:space="preserve"> and Brown JJ.A.), 2015 ABCA 118, 602 A.R. 35, 647 W.A.C. 35, 12 Alta. L.R. (6th) 272, 81 Admin. L.R. (5th) 257, 382 D.L.R. (4th) 299, [2015] 7 W.W.R. 213, [2015] A.J. No. 348 (QL), 2015 </w:t>
      </w:r>
      <w:proofErr w:type="spellStart"/>
      <w:r w:rsidRPr="00224B0D">
        <w:rPr>
          <w:rFonts w:eastAsia="Times New Roman" w:cs="Times New Roman"/>
          <w:sz w:val="20"/>
          <w:szCs w:val="20"/>
          <w:lang w:eastAsia="en-CA"/>
        </w:rPr>
        <w:t>CarswellAlta</w:t>
      </w:r>
      <w:proofErr w:type="spellEnd"/>
      <w:r w:rsidRPr="00224B0D">
        <w:rPr>
          <w:rFonts w:eastAsia="Times New Roman" w:cs="Times New Roman"/>
          <w:sz w:val="20"/>
          <w:szCs w:val="20"/>
          <w:lang w:eastAsia="en-CA"/>
        </w:rPr>
        <w:t xml:space="preserve"> 574 (WL Can.), setting aside a decision of Jones J., 2013 ABQB 652, 90 Alta. L.R. (5th) 94, 574 A.R. 137, 66 Admin. L.R. (5th) 254, [2013] A.J. No. 1233 (QL), 2013 </w:t>
      </w:r>
      <w:proofErr w:type="spellStart"/>
      <w:r w:rsidRPr="00224B0D">
        <w:rPr>
          <w:rFonts w:eastAsia="Times New Roman" w:cs="Times New Roman"/>
          <w:sz w:val="20"/>
          <w:szCs w:val="20"/>
          <w:lang w:eastAsia="en-CA"/>
        </w:rPr>
        <w:t>CarswellAlta</w:t>
      </w:r>
      <w:proofErr w:type="spellEnd"/>
      <w:r w:rsidRPr="00224B0D">
        <w:rPr>
          <w:rFonts w:eastAsia="Times New Roman" w:cs="Times New Roman"/>
          <w:sz w:val="20"/>
          <w:szCs w:val="20"/>
          <w:lang w:eastAsia="en-CA"/>
        </w:rPr>
        <w:t xml:space="preserve"> 2198 (WL Can.). Appeal dismissed.</w:t>
      </w:r>
    </w:p>
    <w:p w:rsidR="00224B0D" w:rsidRPr="00224B0D" w:rsidRDefault="00224B0D" w:rsidP="00224B0D">
      <w:pPr>
        <w:tabs>
          <w:tab w:val="left" w:pos="1168"/>
        </w:tabs>
        <w:jc w:val="both"/>
        <w:rPr>
          <w:rFonts w:eastAsia="Times New Roman" w:cs="Times New Roman"/>
          <w:sz w:val="20"/>
          <w:szCs w:val="20"/>
          <w:lang w:eastAsia="en-CA"/>
        </w:rPr>
      </w:pPr>
    </w:p>
    <w:p w:rsidR="00224B0D" w:rsidRPr="00E54F41" w:rsidRDefault="00224B0D" w:rsidP="00224B0D">
      <w:pPr>
        <w:tabs>
          <w:tab w:val="left" w:pos="1168"/>
        </w:tabs>
        <w:jc w:val="both"/>
        <w:rPr>
          <w:rFonts w:eastAsia="Times New Roman" w:cs="Times New Roman"/>
          <w:sz w:val="20"/>
          <w:szCs w:val="20"/>
          <w:lang w:eastAsia="en-CA"/>
        </w:rPr>
      </w:pPr>
      <w:r w:rsidRPr="00224B0D">
        <w:rPr>
          <w:rFonts w:eastAsia="Times New Roman" w:cs="Times New Roman"/>
          <w:i/>
          <w:sz w:val="20"/>
          <w:szCs w:val="20"/>
          <w:lang w:eastAsia="en-CA"/>
        </w:rPr>
        <w:tab/>
        <w:t>Glenn Solomon, Q.C.</w:t>
      </w:r>
      <w:r w:rsidRPr="00224B0D">
        <w:rPr>
          <w:rFonts w:eastAsia="Times New Roman" w:cs="Times New Roman"/>
          <w:sz w:val="20"/>
          <w:szCs w:val="20"/>
          <w:lang w:eastAsia="en-CA"/>
        </w:rPr>
        <w:t xml:space="preserve">, and </w:t>
      </w:r>
      <w:r w:rsidRPr="00224B0D">
        <w:rPr>
          <w:rFonts w:eastAsia="Times New Roman" w:cs="Times New Roman"/>
          <w:i/>
          <w:sz w:val="20"/>
          <w:szCs w:val="20"/>
          <w:lang w:eastAsia="en-CA"/>
        </w:rPr>
        <w:t xml:space="preserve">Elizabeth </w:t>
      </w:r>
      <w:proofErr w:type="spellStart"/>
      <w:r w:rsidRPr="00224B0D">
        <w:rPr>
          <w:rFonts w:eastAsia="Times New Roman" w:cs="Times New Roman"/>
          <w:i/>
          <w:sz w:val="20"/>
          <w:szCs w:val="20"/>
          <w:lang w:eastAsia="en-CA"/>
        </w:rPr>
        <w:t>Aspinall</w:t>
      </w:r>
      <w:proofErr w:type="spellEnd"/>
      <w:r w:rsidRPr="00224B0D">
        <w:rPr>
          <w:rFonts w:eastAsia="Times New Roman" w:cs="Times New Roman"/>
          <w:sz w:val="20"/>
          <w:szCs w:val="20"/>
          <w:lang w:eastAsia="en-CA"/>
        </w:rPr>
        <w:t>, for the appellant.</w:t>
      </w:r>
    </w:p>
    <w:p w:rsidR="00224B0D" w:rsidRPr="00224B0D" w:rsidRDefault="00224B0D" w:rsidP="00224B0D">
      <w:pPr>
        <w:tabs>
          <w:tab w:val="left" w:pos="1168"/>
        </w:tabs>
        <w:jc w:val="both"/>
        <w:rPr>
          <w:rFonts w:eastAsia="Times New Roman" w:cs="Times New Roman"/>
          <w:sz w:val="20"/>
          <w:szCs w:val="20"/>
          <w:lang w:eastAsia="en-CA"/>
        </w:rPr>
      </w:pPr>
    </w:p>
    <w:p w:rsidR="00224B0D" w:rsidRPr="00E54F41" w:rsidRDefault="00224B0D" w:rsidP="00224B0D">
      <w:pPr>
        <w:tabs>
          <w:tab w:val="left" w:pos="1168"/>
        </w:tabs>
        <w:jc w:val="both"/>
        <w:rPr>
          <w:rFonts w:eastAsia="Times New Roman" w:cs="Times New Roman"/>
          <w:sz w:val="20"/>
          <w:szCs w:val="20"/>
          <w:lang w:eastAsia="en-CA"/>
        </w:rPr>
      </w:pPr>
      <w:r w:rsidRPr="00224B0D">
        <w:rPr>
          <w:rFonts w:eastAsia="Times New Roman" w:cs="Times New Roman"/>
          <w:i/>
          <w:sz w:val="20"/>
          <w:szCs w:val="20"/>
          <w:lang w:eastAsia="en-CA"/>
        </w:rPr>
        <w:tab/>
        <w:t>Robert W. Calvert, Q.C.</w:t>
      </w:r>
      <w:r w:rsidRPr="00224B0D">
        <w:rPr>
          <w:rFonts w:eastAsia="Times New Roman" w:cs="Times New Roman"/>
          <w:sz w:val="20"/>
          <w:szCs w:val="20"/>
          <w:lang w:eastAsia="en-CA"/>
        </w:rPr>
        <w:t xml:space="preserve">, and </w:t>
      </w:r>
      <w:r w:rsidRPr="00224B0D">
        <w:rPr>
          <w:rFonts w:eastAsia="Times New Roman" w:cs="Times New Roman"/>
          <w:i/>
          <w:sz w:val="20"/>
          <w:szCs w:val="20"/>
          <w:lang w:eastAsia="en-CA"/>
        </w:rPr>
        <w:t>Michael D. A. Ford, Q.C.</w:t>
      </w:r>
      <w:r w:rsidRPr="00224B0D">
        <w:rPr>
          <w:rFonts w:eastAsia="Times New Roman" w:cs="Times New Roman"/>
          <w:sz w:val="20"/>
          <w:szCs w:val="20"/>
          <w:lang w:eastAsia="en-CA"/>
        </w:rPr>
        <w:t>, for the respondent.</w:t>
      </w:r>
    </w:p>
    <w:p w:rsidR="00224B0D" w:rsidRPr="00224B0D" w:rsidRDefault="00224B0D" w:rsidP="00224B0D">
      <w:pPr>
        <w:tabs>
          <w:tab w:val="left" w:pos="1168"/>
        </w:tabs>
        <w:jc w:val="both"/>
        <w:rPr>
          <w:rFonts w:eastAsia="Times New Roman" w:cs="Times New Roman"/>
          <w:sz w:val="20"/>
          <w:szCs w:val="20"/>
          <w:lang w:eastAsia="en-CA"/>
        </w:rPr>
      </w:pPr>
    </w:p>
    <w:p w:rsidR="00224B0D" w:rsidRPr="00E54F41" w:rsidRDefault="00224B0D" w:rsidP="00224B0D">
      <w:pPr>
        <w:tabs>
          <w:tab w:val="left" w:pos="1168"/>
        </w:tabs>
        <w:jc w:val="both"/>
        <w:rPr>
          <w:rFonts w:eastAsia="Times New Roman" w:cs="Times New Roman"/>
          <w:sz w:val="20"/>
          <w:szCs w:val="20"/>
          <w:lang w:eastAsia="en-CA"/>
        </w:rPr>
      </w:pPr>
      <w:r w:rsidRPr="00224B0D">
        <w:rPr>
          <w:rFonts w:eastAsia="Times New Roman" w:cs="Times New Roman"/>
          <w:i/>
          <w:sz w:val="20"/>
          <w:szCs w:val="20"/>
          <w:lang w:eastAsia="en-CA"/>
        </w:rPr>
        <w:tab/>
        <w:t>David Phillip Jones, Q.C.</w:t>
      </w:r>
      <w:r w:rsidRPr="00224B0D">
        <w:rPr>
          <w:rFonts w:eastAsia="Times New Roman" w:cs="Times New Roman"/>
          <w:sz w:val="20"/>
          <w:szCs w:val="20"/>
          <w:lang w:eastAsia="en-CA"/>
        </w:rPr>
        <w:t xml:space="preserve">, and </w:t>
      </w:r>
      <w:r w:rsidRPr="00224B0D">
        <w:rPr>
          <w:rFonts w:eastAsia="Times New Roman" w:cs="Times New Roman"/>
          <w:i/>
          <w:sz w:val="20"/>
          <w:szCs w:val="20"/>
          <w:lang w:eastAsia="en-CA"/>
        </w:rPr>
        <w:t>Victoria A. Jones</w:t>
      </w:r>
      <w:r w:rsidRPr="00224B0D">
        <w:rPr>
          <w:rFonts w:eastAsia="Times New Roman" w:cs="Times New Roman"/>
          <w:sz w:val="20"/>
          <w:szCs w:val="20"/>
          <w:lang w:eastAsia="en-CA"/>
        </w:rPr>
        <w:t>, for the intervener the Law Society of Alberta.</w:t>
      </w:r>
    </w:p>
    <w:p w:rsidR="00224B0D" w:rsidRPr="00224B0D" w:rsidRDefault="00224B0D" w:rsidP="00224B0D">
      <w:pPr>
        <w:tabs>
          <w:tab w:val="left" w:pos="1168"/>
        </w:tabs>
        <w:jc w:val="both"/>
        <w:rPr>
          <w:rFonts w:eastAsia="Times New Roman" w:cs="Times New Roman"/>
          <w:sz w:val="20"/>
          <w:szCs w:val="20"/>
          <w:lang w:eastAsia="en-CA"/>
        </w:rPr>
      </w:pPr>
    </w:p>
    <w:p w:rsidR="00224B0D" w:rsidRPr="00E54F41" w:rsidRDefault="00224B0D" w:rsidP="00224B0D">
      <w:pPr>
        <w:tabs>
          <w:tab w:val="left" w:pos="1168"/>
        </w:tabs>
        <w:jc w:val="both"/>
        <w:rPr>
          <w:rFonts w:eastAsia="Times New Roman" w:cs="Times New Roman"/>
          <w:sz w:val="20"/>
          <w:szCs w:val="20"/>
          <w:lang w:eastAsia="en-CA"/>
        </w:rPr>
      </w:pPr>
      <w:r w:rsidRPr="00224B0D">
        <w:rPr>
          <w:rFonts w:eastAsia="Times New Roman" w:cs="Times New Roman"/>
          <w:i/>
          <w:sz w:val="20"/>
          <w:szCs w:val="20"/>
          <w:lang w:eastAsia="en-CA"/>
        </w:rPr>
        <w:tab/>
        <w:t xml:space="preserve">Written submissions only by Michael A. </w:t>
      </w:r>
      <w:proofErr w:type="spellStart"/>
      <w:r w:rsidRPr="00224B0D">
        <w:rPr>
          <w:rFonts w:eastAsia="Times New Roman" w:cs="Times New Roman"/>
          <w:i/>
          <w:sz w:val="20"/>
          <w:szCs w:val="20"/>
          <w:lang w:eastAsia="en-CA"/>
        </w:rPr>
        <w:t>Feder</w:t>
      </w:r>
      <w:proofErr w:type="spellEnd"/>
      <w:r w:rsidRPr="00224B0D">
        <w:rPr>
          <w:rFonts w:eastAsia="Times New Roman" w:cs="Times New Roman"/>
          <w:sz w:val="20"/>
          <w:szCs w:val="20"/>
          <w:lang w:eastAsia="en-CA"/>
        </w:rPr>
        <w:t xml:space="preserve"> and </w:t>
      </w:r>
      <w:r w:rsidRPr="00224B0D">
        <w:rPr>
          <w:rFonts w:eastAsia="Times New Roman" w:cs="Times New Roman"/>
          <w:i/>
          <w:sz w:val="20"/>
          <w:szCs w:val="20"/>
          <w:lang w:eastAsia="en-CA"/>
        </w:rPr>
        <w:t>Emily MacKinnon</w:t>
      </w:r>
      <w:r w:rsidRPr="00224B0D">
        <w:rPr>
          <w:rFonts w:eastAsia="Times New Roman" w:cs="Times New Roman"/>
          <w:sz w:val="20"/>
          <w:szCs w:val="20"/>
          <w:lang w:eastAsia="en-CA"/>
        </w:rPr>
        <w:t>, for the intervener the British Columbia Freedom of Information and Privacy Association.</w:t>
      </w:r>
    </w:p>
    <w:p w:rsidR="00224B0D" w:rsidRPr="00224B0D" w:rsidRDefault="00224B0D" w:rsidP="00224B0D">
      <w:pPr>
        <w:tabs>
          <w:tab w:val="left" w:pos="1168"/>
        </w:tabs>
        <w:jc w:val="both"/>
        <w:rPr>
          <w:rFonts w:eastAsia="Times New Roman" w:cs="Times New Roman"/>
          <w:sz w:val="20"/>
          <w:szCs w:val="20"/>
          <w:lang w:eastAsia="en-CA"/>
        </w:rPr>
      </w:pPr>
    </w:p>
    <w:p w:rsidR="00224B0D" w:rsidRPr="00E54F41" w:rsidRDefault="00224B0D" w:rsidP="00224B0D">
      <w:pPr>
        <w:tabs>
          <w:tab w:val="left" w:pos="1168"/>
        </w:tabs>
        <w:jc w:val="both"/>
        <w:rPr>
          <w:rFonts w:eastAsia="Times New Roman" w:cs="Times New Roman"/>
          <w:sz w:val="20"/>
          <w:szCs w:val="20"/>
          <w:lang w:eastAsia="en-CA"/>
        </w:rPr>
      </w:pPr>
      <w:r w:rsidRPr="00224B0D">
        <w:rPr>
          <w:rFonts w:eastAsia="Times New Roman" w:cs="Times New Roman"/>
          <w:i/>
          <w:sz w:val="20"/>
          <w:szCs w:val="20"/>
          <w:lang w:eastAsia="en-CA"/>
        </w:rPr>
        <w:tab/>
      </w:r>
      <w:proofErr w:type="spellStart"/>
      <w:r w:rsidRPr="00224B0D">
        <w:rPr>
          <w:rFonts w:eastAsia="Times New Roman" w:cs="Times New Roman"/>
          <w:i/>
          <w:sz w:val="20"/>
          <w:szCs w:val="20"/>
          <w:lang w:eastAsia="en-CA"/>
        </w:rPr>
        <w:t>Lawren</w:t>
      </w:r>
      <w:proofErr w:type="spellEnd"/>
      <w:r w:rsidRPr="00224B0D">
        <w:rPr>
          <w:rFonts w:eastAsia="Times New Roman" w:cs="Times New Roman"/>
          <w:i/>
          <w:sz w:val="20"/>
          <w:szCs w:val="20"/>
          <w:lang w:eastAsia="en-CA"/>
        </w:rPr>
        <w:t xml:space="preserve"> Murray</w:t>
      </w:r>
      <w:r w:rsidRPr="00224B0D">
        <w:rPr>
          <w:rFonts w:eastAsia="Times New Roman" w:cs="Times New Roman"/>
          <w:sz w:val="20"/>
          <w:szCs w:val="20"/>
          <w:lang w:eastAsia="en-CA"/>
        </w:rPr>
        <w:t xml:space="preserve"> and </w:t>
      </w:r>
      <w:r w:rsidRPr="00224B0D">
        <w:rPr>
          <w:rFonts w:eastAsia="Times New Roman" w:cs="Times New Roman"/>
          <w:i/>
          <w:sz w:val="20"/>
          <w:szCs w:val="20"/>
          <w:lang w:eastAsia="en-CA"/>
        </w:rPr>
        <w:t xml:space="preserve">David </w:t>
      </w:r>
      <w:proofErr w:type="spellStart"/>
      <w:r w:rsidRPr="00224B0D">
        <w:rPr>
          <w:rFonts w:eastAsia="Times New Roman" w:cs="Times New Roman"/>
          <w:i/>
          <w:sz w:val="20"/>
          <w:szCs w:val="20"/>
          <w:lang w:eastAsia="en-CA"/>
        </w:rPr>
        <w:t>Goodis</w:t>
      </w:r>
      <w:proofErr w:type="spellEnd"/>
      <w:r w:rsidRPr="00224B0D">
        <w:rPr>
          <w:rFonts w:eastAsia="Times New Roman" w:cs="Times New Roman"/>
          <w:sz w:val="20"/>
          <w:szCs w:val="20"/>
          <w:lang w:eastAsia="en-CA"/>
        </w:rPr>
        <w:t>, for the intervener the Information and Privacy Commissioner of Ontario.</w:t>
      </w:r>
    </w:p>
    <w:p w:rsidR="00224B0D" w:rsidRPr="00224B0D" w:rsidRDefault="00224B0D" w:rsidP="00224B0D">
      <w:pPr>
        <w:tabs>
          <w:tab w:val="left" w:pos="1168"/>
        </w:tabs>
        <w:jc w:val="both"/>
        <w:rPr>
          <w:rFonts w:eastAsia="Times New Roman" w:cs="Times New Roman"/>
          <w:sz w:val="20"/>
          <w:szCs w:val="20"/>
          <w:lang w:eastAsia="en-CA"/>
        </w:rPr>
      </w:pPr>
    </w:p>
    <w:p w:rsidR="00224B0D" w:rsidRPr="00E54F41" w:rsidRDefault="00224B0D" w:rsidP="00224B0D">
      <w:pPr>
        <w:tabs>
          <w:tab w:val="left" w:pos="1168"/>
        </w:tabs>
        <w:jc w:val="both"/>
        <w:rPr>
          <w:rFonts w:eastAsia="Times New Roman" w:cs="Times New Roman"/>
          <w:sz w:val="20"/>
          <w:szCs w:val="20"/>
          <w:lang w:eastAsia="en-CA"/>
        </w:rPr>
      </w:pPr>
      <w:r w:rsidRPr="00224B0D">
        <w:rPr>
          <w:rFonts w:eastAsia="Times New Roman" w:cs="Times New Roman"/>
          <w:i/>
          <w:sz w:val="20"/>
          <w:szCs w:val="20"/>
          <w:lang w:eastAsia="en-CA"/>
        </w:rPr>
        <w:tab/>
        <w:t>Ivan Bernardo, Q.C.</w:t>
      </w:r>
      <w:r w:rsidRPr="00224B0D">
        <w:rPr>
          <w:rFonts w:eastAsia="Times New Roman" w:cs="Times New Roman"/>
          <w:sz w:val="20"/>
          <w:szCs w:val="20"/>
          <w:lang w:eastAsia="en-CA"/>
        </w:rPr>
        <w:t xml:space="preserve">, </w:t>
      </w:r>
      <w:r w:rsidRPr="00224B0D">
        <w:rPr>
          <w:rFonts w:eastAsia="Times New Roman" w:cs="Times New Roman"/>
          <w:i/>
          <w:sz w:val="20"/>
          <w:szCs w:val="20"/>
          <w:lang w:eastAsia="en-CA"/>
        </w:rPr>
        <w:t xml:space="preserve">Gerald </w:t>
      </w:r>
      <w:proofErr w:type="spellStart"/>
      <w:r w:rsidRPr="00224B0D">
        <w:rPr>
          <w:rFonts w:eastAsia="Times New Roman" w:cs="Times New Roman"/>
          <w:i/>
          <w:sz w:val="20"/>
          <w:szCs w:val="20"/>
          <w:lang w:eastAsia="en-CA"/>
        </w:rPr>
        <w:t>Chipeur</w:t>
      </w:r>
      <w:proofErr w:type="spellEnd"/>
      <w:r w:rsidRPr="00224B0D">
        <w:rPr>
          <w:rFonts w:eastAsia="Times New Roman" w:cs="Times New Roman"/>
          <w:i/>
          <w:sz w:val="20"/>
          <w:szCs w:val="20"/>
          <w:lang w:eastAsia="en-CA"/>
        </w:rPr>
        <w:t>, Q.C.</w:t>
      </w:r>
      <w:r w:rsidRPr="00224B0D">
        <w:rPr>
          <w:rFonts w:eastAsia="Times New Roman" w:cs="Times New Roman"/>
          <w:sz w:val="20"/>
          <w:szCs w:val="20"/>
          <w:lang w:eastAsia="en-CA"/>
        </w:rPr>
        <w:t xml:space="preserve">, and </w:t>
      </w:r>
      <w:r w:rsidRPr="00224B0D">
        <w:rPr>
          <w:rFonts w:eastAsia="Times New Roman" w:cs="Times New Roman"/>
          <w:i/>
          <w:sz w:val="20"/>
          <w:szCs w:val="20"/>
          <w:lang w:eastAsia="en-CA"/>
        </w:rPr>
        <w:t xml:space="preserve">Jill W. </w:t>
      </w:r>
      <w:proofErr w:type="spellStart"/>
      <w:r w:rsidRPr="00224B0D">
        <w:rPr>
          <w:rFonts w:eastAsia="Times New Roman" w:cs="Times New Roman"/>
          <w:i/>
          <w:sz w:val="20"/>
          <w:szCs w:val="20"/>
          <w:lang w:eastAsia="en-CA"/>
        </w:rPr>
        <w:t>Wilkie</w:t>
      </w:r>
      <w:proofErr w:type="spellEnd"/>
      <w:r w:rsidRPr="00224B0D">
        <w:rPr>
          <w:rFonts w:eastAsia="Times New Roman" w:cs="Times New Roman"/>
          <w:sz w:val="20"/>
          <w:szCs w:val="20"/>
          <w:lang w:eastAsia="en-CA"/>
        </w:rPr>
        <w:t>, for the intervener the Information and Privacy Commissioner for British Columbia.</w:t>
      </w:r>
    </w:p>
    <w:p w:rsidR="00224B0D" w:rsidRPr="00224B0D" w:rsidRDefault="00224B0D" w:rsidP="00224B0D">
      <w:pPr>
        <w:tabs>
          <w:tab w:val="left" w:pos="1168"/>
        </w:tabs>
        <w:jc w:val="both"/>
        <w:rPr>
          <w:rFonts w:eastAsia="Times New Roman" w:cs="Times New Roman"/>
          <w:sz w:val="20"/>
          <w:szCs w:val="20"/>
          <w:lang w:eastAsia="en-CA"/>
        </w:rPr>
      </w:pPr>
    </w:p>
    <w:p w:rsidR="00224B0D" w:rsidRPr="00E54F41" w:rsidRDefault="00224B0D" w:rsidP="00224B0D">
      <w:pPr>
        <w:tabs>
          <w:tab w:val="left" w:pos="1168"/>
        </w:tabs>
        <w:jc w:val="both"/>
        <w:rPr>
          <w:rFonts w:eastAsia="Times New Roman" w:cs="Times New Roman"/>
          <w:sz w:val="20"/>
          <w:szCs w:val="20"/>
          <w:lang w:eastAsia="en-CA"/>
        </w:rPr>
      </w:pPr>
      <w:r w:rsidRPr="00224B0D">
        <w:rPr>
          <w:rFonts w:eastAsia="Times New Roman" w:cs="Times New Roman"/>
          <w:i/>
          <w:sz w:val="20"/>
          <w:szCs w:val="20"/>
          <w:lang w:eastAsia="en-CA"/>
        </w:rPr>
        <w:lastRenderedPageBreak/>
        <w:tab/>
        <w:t>Andrew A. Fitzgerald</w:t>
      </w:r>
      <w:r w:rsidRPr="00224B0D">
        <w:rPr>
          <w:rFonts w:eastAsia="Times New Roman" w:cs="Times New Roman"/>
          <w:sz w:val="20"/>
          <w:szCs w:val="20"/>
          <w:lang w:eastAsia="en-CA"/>
        </w:rPr>
        <w:t>, for the intervener the Information and Privacy Commissioner for the Province of Newfoundland and Labrador.</w:t>
      </w:r>
    </w:p>
    <w:p w:rsidR="00224B0D" w:rsidRPr="00224B0D" w:rsidRDefault="00224B0D" w:rsidP="00224B0D">
      <w:pPr>
        <w:tabs>
          <w:tab w:val="left" w:pos="1168"/>
        </w:tabs>
        <w:jc w:val="both"/>
        <w:rPr>
          <w:rFonts w:eastAsia="Times New Roman" w:cs="Times New Roman"/>
          <w:sz w:val="20"/>
          <w:szCs w:val="20"/>
          <w:lang w:eastAsia="en-CA"/>
        </w:rPr>
      </w:pPr>
    </w:p>
    <w:p w:rsidR="00224B0D" w:rsidRPr="00E54F41" w:rsidRDefault="00224B0D" w:rsidP="00224B0D">
      <w:pPr>
        <w:tabs>
          <w:tab w:val="left" w:pos="1168"/>
        </w:tabs>
        <w:jc w:val="both"/>
        <w:rPr>
          <w:rFonts w:eastAsia="Times New Roman" w:cs="Times New Roman"/>
          <w:sz w:val="20"/>
          <w:szCs w:val="20"/>
          <w:lang w:eastAsia="en-CA"/>
        </w:rPr>
      </w:pPr>
      <w:r w:rsidRPr="00224B0D">
        <w:rPr>
          <w:rFonts w:eastAsia="Times New Roman" w:cs="Times New Roman"/>
          <w:i/>
          <w:sz w:val="20"/>
          <w:szCs w:val="20"/>
          <w:lang w:eastAsia="en-CA"/>
        </w:rPr>
        <w:tab/>
        <w:t>Perry R. Mack, Q.C.</w:t>
      </w:r>
      <w:r w:rsidRPr="00224B0D">
        <w:rPr>
          <w:rFonts w:eastAsia="Times New Roman" w:cs="Times New Roman"/>
          <w:sz w:val="20"/>
          <w:szCs w:val="20"/>
          <w:lang w:eastAsia="en-CA"/>
        </w:rPr>
        <w:t>, for the intervener the Advocates’ Society.</w:t>
      </w:r>
    </w:p>
    <w:p w:rsidR="00224B0D" w:rsidRPr="00224B0D" w:rsidRDefault="00224B0D" w:rsidP="00224B0D">
      <w:pPr>
        <w:tabs>
          <w:tab w:val="left" w:pos="1168"/>
        </w:tabs>
        <w:jc w:val="both"/>
        <w:rPr>
          <w:rFonts w:eastAsia="Times New Roman" w:cs="Times New Roman"/>
          <w:sz w:val="20"/>
          <w:szCs w:val="20"/>
          <w:lang w:eastAsia="en-CA"/>
        </w:rPr>
      </w:pPr>
    </w:p>
    <w:p w:rsidR="00224B0D" w:rsidRPr="00E54F41" w:rsidRDefault="00224B0D" w:rsidP="00224B0D">
      <w:pPr>
        <w:tabs>
          <w:tab w:val="left" w:pos="1168"/>
        </w:tabs>
        <w:jc w:val="both"/>
        <w:rPr>
          <w:rFonts w:eastAsia="Times New Roman" w:cs="Times New Roman"/>
          <w:sz w:val="20"/>
          <w:szCs w:val="20"/>
          <w:lang w:eastAsia="en-CA"/>
        </w:rPr>
      </w:pPr>
      <w:r w:rsidRPr="00224B0D">
        <w:rPr>
          <w:rFonts w:eastAsia="Times New Roman" w:cs="Times New Roman"/>
          <w:i/>
          <w:sz w:val="20"/>
          <w:szCs w:val="20"/>
          <w:lang w:eastAsia="en-CA"/>
        </w:rPr>
        <w:tab/>
        <w:t>Mahmud Jamal</w:t>
      </w:r>
      <w:r w:rsidRPr="00224B0D">
        <w:rPr>
          <w:rFonts w:eastAsia="Times New Roman" w:cs="Times New Roman"/>
          <w:sz w:val="20"/>
          <w:szCs w:val="20"/>
          <w:lang w:eastAsia="en-CA"/>
        </w:rPr>
        <w:t xml:space="preserve"> and </w:t>
      </w:r>
      <w:r w:rsidRPr="00224B0D">
        <w:rPr>
          <w:rFonts w:eastAsia="Times New Roman" w:cs="Times New Roman"/>
          <w:i/>
          <w:sz w:val="20"/>
          <w:szCs w:val="20"/>
          <w:lang w:eastAsia="en-CA"/>
        </w:rPr>
        <w:t>David Rankin</w:t>
      </w:r>
      <w:r w:rsidRPr="00224B0D">
        <w:rPr>
          <w:rFonts w:eastAsia="Times New Roman" w:cs="Times New Roman"/>
          <w:sz w:val="20"/>
          <w:szCs w:val="20"/>
          <w:lang w:eastAsia="en-CA"/>
        </w:rPr>
        <w:t>, for the intervener the Federation of Law Societies of Canada.</w:t>
      </w:r>
    </w:p>
    <w:p w:rsidR="00224B0D" w:rsidRPr="00224B0D" w:rsidRDefault="00224B0D" w:rsidP="00224B0D">
      <w:pPr>
        <w:tabs>
          <w:tab w:val="left" w:pos="1168"/>
        </w:tabs>
        <w:jc w:val="both"/>
        <w:rPr>
          <w:rFonts w:eastAsia="Times New Roman" w:cs="Times New Roman"/>
          <w:sz w:val="20"/>
          <w:szCs w:val="20"/>
          <w:lang w:eastAsia="en-CA"/>
        </w:rPr>
      </w:pPr>
    </w:p>
    <w:p w:rsidR="00224B0D" w:rsidRPr="00E54F41" w:rsidRDefault="00224B0D" w:rsidP="00224B0D">
      <w:pPr>
        <w:tabs>
          <w:tab w:val="left" w:pos="1168"/>
        </w:tabs>
        <w:jc w:val="both"/>
        <w:rPr>
          <w:rFonts w:eastAsia="Times New Roman" w:cs="Times New Roman"/>
          <w:sz w:val="20"/>
          <w:szCs w:val="20"/>
          <w:lang w:eastAsia="en-CA"/>
        </w:rPr>
      </w:pPr>
      <w:r w:rsidRPr="00224B0D">
        <w:rPr>
          <w:rFonts w:eastAsia="Times New Roman" w:cs="Times New Roman"/>
          <w:i/>
          <w:sz w:val="20"/>
          <w:szCs w:val="20"/>
          <w:lang w:eastAsia="en-CA"/>
        </w:rPr>
        <w:tab/>
        <w:t>Michele H. Hollins, Q.C.</w:t>
      </w:r>
      <w:r w:rsidRPr="00224B0D">
        <w:rPr>
          <w:rFonts w:eastAsia="Times New Roman" w:cs="Times New Roman"/>
          <w:sz w:val="20"/>
          <w:szCs w:val="20"/>
          <w:lang w:eastAsia="en-CA"/>
        </w:rPr>
        <w:t xml:space="preserve">, </w:t>
      </w:r>
      <w:r w:rsidRPr="00224B0D">
        <w:rPr>
          <w:rFonts w:eastAsia="Times New Roman" w:cs="Times New Roman"/>
          <w:i/>
          <w:sz w:val="20"/>
          <w:szCs w:val="20"/>
          <w:lang w:eastAsia="en-CA"/>
        </w:rPr>
        <w:t>James L. Lebo, Q.C.</w:t>
      </w:r>
      <w:r w:rsidRPr="00224B0D">
        <w:rPr>
          <w:rFonts w:eastAsia="Times New Roman" w:cs="Times New Roman"/>
          <w:sz w:val="20"/>
          <w:szCs w:val="20"/>
          <w:lang w:eastAsia="en-CA"/>
        </w:rPr>
        <w:t xml:space="preserve">, and </w:t>
      </w:r>
      <w:r w:rsidRPr="00224B0D">
        <w:rPr>
          <w:rFonts w:eastAsia="Times New Roman" w:cs="Times New Roman"/>
          <w:i/>
          <w:sz w:val="20"/>
          <w:szCs w:val="20"/>
          <w:lang w:eastAsia="en-CA"/>
        </w:rPr>
        <w:t xml:space="preserve">Jason L. </w:t>
      </w:r>
      <w:proofErr w:type="spellStart"/>
      <w:r w:rsidRPr="00224B0D">
        <w:rPr>
          <w:rFonts w:eastAsia="Times New Roman" w:cs="Times New Roman"/>
          <w:i/>
          <w:sz w:val="20"/>
          <w:szCs w:val="20"/>
          <w:lang w:eastAsia="en-CA"/>
        </w:rPr>
        <w:t>Wilkins</w:t>
      </w:r>
      <w:proofErr w:type="spellEnd"/>
      <w:r w:rsidRPr="00224B0D">
        <w:rPr>
          <w:rFonts w:eastAsia="Times New Roman" w:cs="Times New Roman"/>
          <w:sz w:val="20"/>
          <w:szCs w:val="20"/>
          <w:lang w:eastAsia="en-CA"/>
        </w:rPr>
        <w:t>, for the intervener the Canadian Bar Association.</w:t>
      </w:r>
    </w:p>
    <w:p w:rsidR="00224B0D" w:rsidRPr="00224B0D" w:rsidRDefault="00224B0D" w:rsidP="00224B0D">
      <w:pPr>
        <w:tabs>
          <w:tab w:val="left" w:pos="1168"/>
        </w:tabs>
        <w:jc w:val="both"/>
        <w:rPr>
          <w:rFonts w:eastAsia="Times New Roman" w:cs="Times New Roman"/>
          <w:sz w:val="20"/>
          <w:szCs w:val="20"/>
          <w:lang w:eastAsia="en-CA"/>
        </w:rPr>
      </w:pPr>
    </w:p>
    <w:p w:rsidR="00224B0D" w:rsidRPr="00E54F41" w:rsidRDefault="00224B0D" w:rsidP="00224B0D">
      <w:pPr>
        <w:tabs>
          <w:tab w:val="left" w:pos="1168"/>
        </w:tabs>
        <w:jc w:val="both"/>
        <w:rPr>
          <w:rFonts w:eastAsia="Times New Roman" w:cs="Times New Roman"/>
          <w:sz w:val="20"/>
          <w:szCs w:val="20"/>
          <w:lang w:eastAsia="en-CA"/>
        </w:rPr>
      </w:pPr>
      <w:r w:rsidRPr="00224B0D">
        <w:rPr>
          <w:rFonts w:eastAsia="Times New Roman" w:cs="Times New Roman"/>
          <w:i/>
          <w:sz w:val="20"/>
          <w:szCs w:val="20"/>
          <w:lang w:eastAsia="en-CA"/>
        </w:rPr>
        <w:tab/>
      </w:r>
      <w:proofErr w:type="spellStart"/>
      <w:r w:rsidRPr="00224B0D">
        <w:rPr>
          <w:rFonts w:eastAsia="Times New Roman" w:cs="Times New Roman"/>
          <w:i/>
          <w:sz w:val="20"/>
          <w:szCs w:val="20"/>
          <w:lang w:eastAsia="en-CA"/>
        </w:rPr>
        <w:t>Marlys</w:t>
      </w:r>
      <w:proofErr w:type="spellEnd"/>
      <w:r w:rsidRPr="00224B0D">
        <w:rPr>
          <w:rFonts w:eastAsia="Times New Roman" w:cs="Times New Roman"/>
          <w:i/>
          <w:sz w:val="20"/>
          <w:szCs w:val="20"/>
          <w:lang w:eastAsia="en-CA"/>
        </w:rPr>
        <w:t xml:space="preserve"> A. </w:t>
      </w:r>
      <w:proofErr w:type="spellStart"/>
      <w:r w:rsidRPr="00224B0D">
        <w:rPr>
          <w:rFonts w:eastAsia="Times New Roman" w:cs="Times New Roman"/>
          <w:i/>
          <w:sz w:val="20"/>
          <w:szCs w:val="20"/>
          <w:lang w:eastAsia="en-CA"/>
        </w:rPr>
        <w:t>Edwardh</w:t>
      </w:r>
      <w:proofErr w:type="spellEnd"/>
      <w:r w:rsidRPr="00224B0D">
        <w:rPr>
          <w:rFonts w:eastAsia="Times New Roman" w:cs="Times New Roman"/>
          <w:sz w:val="20"/>
          <w:szCs w:val="20"/>
          <w:lang w:eastAsia="en-CA"/>
        </w:rPr>
        <w:t xml:space="preserve">, </w:t>
      </w:r>
      <w:r w:rsidRPr="00224B0D">
        <w:rPr>
          <w:rFonts w:eastAsia="Times New Roman" w:cs="Times New Roman"/>
          <w:i/>
          <w:sz w:val="20"/>
          <w:szCs w:val="20"/>
          <w:lang w:eastAsia="en-CA"/>
        </w:rPr>
        <w:t xml:space="preserve">Daniel Sheppard, Regan Morris, Diane </w:t>
      </w:r>
      <w:proofErr w:type="spellStart"/>
      <w:r w:rsidRPr="00224B0D">
        <w:rPr>
          <w:rFonts w:eastAsia="Times New Roman" w:cs="Times New Roman"/>
          <w:i/>
          <w:sz w:val="20"/>
          <w:szCs w:val="20"/>
          <w:lang w:eastAsia="en-CA"/>
        </w:rPr>
        <w:t>Therrien</w:t>
      </w:r>
      <w:proofErr w:type="spellEnd"/>
      <w:r w:rsidRPr="00224B0D">
        <w:rPr>
          <w:rFonts w:eastAsia="Times New Roman" w:cs="Times New Roman"/>
          <w:sz w:val="20"/>
          <w:szCs w:val="20"/>
          <w:lang w:eastAsia="en-CA"/>
        </w:rPr>
        <w:t xml:space="preserve"> and </w:t>
      </w:r>
      <w:r w:rsidRPr="00224B0D">
        <w:rPr>
          <w:rFonts w:eastAsia="Times New Roman" w:cs="Times New Roman"/>
          <w:i/>
          <w:sz w:val="20"/>
          <w:szCs w:val="20"/>
          <w:lang w:eastAsia="en-CA"/>
        </w:rPr>
        <w:t>Aditya Ramachandran</w:t>
      </w:r>
      <w:r w:rsidRPr="00224B0D">
        <w:rPr>
          <w:rFonts w:eastAsia="Times New Roman" w:cs="Times New Roman"/>
          <w:sz w:val="20"/>
          <w:szCs w:val="20"/>
          <w:lang w:eastAsia="en-CA"/>
        </w:rPr>
        <w:t>, for the interveners the Information Commissioner of Canada, the Privacy Commissioner of Canada, the Manitoba Ombudsman, the Northwest Territories Information and Privacy Commissioner, the Nova Scotia Information and Privacy Commissioner [Review Officer], the Nunavut Information and Privacy Commissioner, the Saskatchewan Information and Privacy Commissioner and the Yukon Ombudsman and Information and Privacy Commissioner.</w:t>
      </w:r>
    </w:p>
    <w:p w:rsidR="00224B0D" w:rsidRPr="00224B0D" w:rsidRDefault="00224B0D" w:rsidP="00224B0D">
      <w:pPr>
        <w:tabs>
          <w:tab w:val="left" w:pos="1168"/>
        </w:tabs>
        <w:jc w:val="both"/>
        <w:rPr>
          <w:rFonts w:eastAsia="Times New Roman" w:cs="Times New Roman"/>
          <w:sz w:val="20"/>
          <w:szCs w:val="20"/>
          <w:lang w:eastAsia="en-CA"/>
        </w:rPr>
      </w:pPr>
    </w:p>
    <w:p w:rsidR="00224B0D" w:rsidRPr="00E54F41" w:rsidRDefault="00224B0D" w:rsidP="00224B0D">
      <w:pPr>
        <w:tabs>
          <w:tab w:val="left" w:pos="1168"/>
        </w:tabs>
        <w:jc w:val="both"/>
        <w:rPr>
          <w:rFonts w:eastAsia="Times New Roman" w:cs="Times New Roman"/>
          <w:sz w:val="20"/>
          <w:szCs w:val="20"/>
          <w:lang w:eastAsia="en-CA"/>
        </w:rPr>
      </w:pPr>
      <w:r w:rsidRPr="00224B0D">
        <w:rPr>
          <w:rFonts w:eastAsia="Times New Roman" w:cs="Times New Roman"/>
          <w:i/>
          <w:sz w:val="20"/>
          <w:szCs w:val="20"/>
          <w:lang w:eastAsia="en-CA"/>
        </w:rPr>
        <w:tab/>
        <w:t xml:space="preserve">Written submissions only by Brian </w:t>
      </w:r>
      <w:proofErr w:type="spellStart"/>
      <w:r w:rsidRPr="00224B0D">
        <w:rPr>
          <w:rFonts w:eastAsia="Times New Roman" w:cs="Times New Roman"/>
          <w:i/>
          <w:sz w:val="20"/>
          <w:szCs w:val="20"/>
          <w:lang w:eastAsia="en-CA"/>
        </w:rPr>
        <w:t>Gover</w:t>
      </w:r>
      <w:proofErr w:type="spellEnd"/>
      <w:r w:rsidRPr="00224B0D">
        <w:rPr>
          <w:rFonts w:eastAsia="Times New Roman" w:cs="Times New Roman"/>
          <w:sz w:val="20"/>
          <w:szCs w:val="20"/>
          <w:lang w:eastAsia="en-CA"/>
        </w:rPr>
        <w:t xml:space="preserve">, </w:t>
      </w:r>
      <w:r w:rsidRPr="00224B0D">
        <w:rPr>
          <w:rFonts w:eastAsia="Times New Roman" w:cs="Times New Roman"/>
          <w:i/>
          <w:sz w:val="20"/>
          <w:szCs w:val="20"/>
          <w:lang w:eastAsia="en-CA"/>
        </w:rPr>
        <w:t xml:space="preserve">Justin </w:t>
      </w:r>
      <w:proofErr w:type="spellStart"/>
      <w:r w:rsidRPr="00224B0D">
        <w:rPr>
          <w:rFonts w:eastAsia="Times New Roman" w:cs="Times New Roman"/>
          <w:i/>
          <w:sz w:val="20"/>
          <w:szCs w:val="20"/>
          <w:lang w:eastAsia="en-CA"/>
        </w:rPr>
        <w:t>Safayeni</w:t>
      </w:r>
      <w:proofErr w:type="spellEnd"/>
      <w:r w:rsidRPr="00224B0D">
        <w:rPr>
          <w:rFonts w:eastAsia="Times New Roman" w:cs="Times New Roman"/>
          <w:sz w:val="20"/>
          <w:szCs w:val="20"/>
          <w:lang w:eastAsia="en-CA"/>
        </w:rPr>
        <w:t xml:space="preserve"> and </w:t>
      </w:r>
      <w:r w:rsidRPr="00224B0D">
        <w:rPr>
          <w:rFonts w:eastAsia="Times New Roman" w:cs="Times New Roman"/>
          <w:i/>
          <w:sz w:val="20"/>
          <w:szCs w:val="20"/>
          <w:lang w:eastAsia="en-CA"/>
        </w:rPr>
        <w:t>Carlo Di Carlo</w:t>
      </w:r>
      <w:r w:rsidRPr="00224B0D">
        <w:rPr>
          <w:rFonts w:eastAsia="Times New Roman" w:cs="Times New Roman"/>
          <w:sz w:val="20"/>
          <w:szCs w:val="20"/>
          <w:lang w:eastAsia="en-CA"/>
        </w:rPr>
        <w:t>, for the intervener the Criminal Lawyers’ Association.</w:t>
      </w:r>
    </w:p>
    <w:p w:rsidR="00224B0D" w:rsidRPr="00224B0D" w:rsidRDefault="00224B0D" w:rsidP="00224B0D">
      <w:pPr>
        <w:tabs>
          <w:tab w:val="left" w:pos="1168"/>
        </w:tabs>
        <w:jc w:val="both"/>
        <w:rPr>
          <w:rFonts w:eastAsia="Times New Roman" w:cs="Times New Roman"/>
          <w:sz w:val="20"/>
          <w:szCs w:val="20"/>
          <w:lang w:eastAsia="en-CA"/>
        </w:rPr>
      </w:pPr>
    </w:p>
    <w:p w:rsidR="00224B0D" w:rsidRPr="00E54F41" w:rsidRDefault="00224B0D" w:rsidP="00224B0D">
      <w:pPr>
        <w:tabs>
          <w:tab w:val="left" w:pos="1168"/>
        </w:tabs>
        <w:jc w:val="both"/>
        <w:rPr>
          <w:rFonts w:eastAsia="Times New Roman" w:cs="Times New Roman"/>
          <w:i/>
          <w:sz w:val="20"/>
          <w:szCs w:val="20"/>
          <w:lang w:eastAsia="en-CA"/>
        </w:rPr>
      </w:pPr>
      <w:r w:rsidRPr="00224B0D">
        <w:rPr>
          <w:rFonts w:eastAsia="Times New Roman" w:cs="Times New Roman"/>
          <w:i/>
          <w:sz w:val="20"/>
          <w:szCs w:val="20"/>
          <w:lang w:eastAsia="en-CA"/>
        </w:rPr>
        <w:tab/>
        <w:t xml:space="preserve">Solicitors for the appellant: Jensen </w:t>
      </w:r>
      <w:proofErr w:type="spellStart"/>
      <w:r w:rsidRPr="00224B0D">
        <w:rPr>
          <w:rFonts w:eastAsia="Times New Roman" w:cs="Times New Roman"/>
          <w:i/>
          <w:sz w:val="20"/>
          <w:szCs w:val="20"/>
          <w:lang w:eastAsia="en-CA"/>
        </w:rPr>
        <w:t>Shawa</w:t>
      </w:r>
      <w:proofErr w:type="spellEnd"/>
      <w:r w:rsidRPr="00224B0D">
        <w:rPr>
          <w:rFonts w:eastAsia="Times New Roman" w:cs="Times New Roman"/>
          <w:i/>
          <w:sz w:val="20"/>
          <w:szCs w:val="20"/>
          <w:lang w:eastAsia="en-CA"/>
        </w:rPr>
        <w:t xml:space="preserve"> Solomon </w:t>
      </w:r>
      <w:proofErr w:type="spellStart"/>
      <w:r w:rsidRPr="00224B0D">
        <w:rPr>
          <w:rFonts w:eastAsia="Times New Roman" w:cs="Times New Roman"/>
          <w:i/>
          <w:sz w:val="20"/>
          <w:szCs w:val="20"/>
          <w:lang w:eastAsia="en-CA"/>
        </w:rPr>
        <w:t>Duguid</w:t>
      </w:r>
      <w:proofErr w:type="spellEnd"/>
      <w:r w:rsidRPr="00224B0D">
        <w:rPr>
          <w:rFonts w:eastAsia="Times New Roman" w:cs="Times New Roman"/>
          <w:i/>
          <w:sz w:val="20"/>
          <w:szCs w:val="20"/>
          <w:lang w:eastAsia="en-CA"/>
        </w:rPr>
        <w:t xml:space="preserve"> Hawkes, Calgary.</w:t>
      </w:r>
    </w:p>
    <w:p w:rsidR="00224B0D" w:rsidRPr="00224B0D" w:rsidRDefault="00224B0D" w:rsidP="00224B0D">
      <w:pPr>
        <w:tabs>
          <w:tab w:val="left" w:pos="1168"/>
        </w:tabs>
        <w:jc w:val="both"/>
        <w:rPr>
          <w:rFonts w:eastAsia="Times New Roman" w:cs="Times New Roman"/>
          <w:i/>
          <w:sz w:val="20"/>
          <w:szCs w:val="20"/>
          <w:lang w:eastAsia="en-CA"/>
        </w:rPr>
      </w:pPr>
    </w:p>
    <w:p w:rsidR="00224B0D" w:rsidRPr="00E54F41" w:rsidRDefault="00224B0D" w:rsidP="00224B0D">
      <w:pPr>
        <w:tabs>
          <w:tab w:val="left" w:pos="1168"/>
        </w:tabs>
        <w:jc w:val="both"/>
        <w:rPr>
          <w:rFonts w:eastAsia="Times New Roman" w:cs="Times New Roman"/>
          <w:i/>
          <w:sz w:val="20"/>
          <w:szCs w:val="20"/>
          <w:lang w:eastAsia="en-CA"/>
        </w:rPr>
      </w:pPr>
      <w:r w:rsidRPr="00224B0D">
        <w:rPr>
          <w:rFonts w:eastAsia="Times New Roman" w:cs="Times New Roman"/>
          <w:i/>
          <w:sz w:val="20"/>
          <w:szCs w:val="20"/>
          <w:lang w:eastAsia="en-CA"/>
        </w:rPr>
        <w:tab/>
        <w:t>Solicitors for the respondent: DLA Piper (Canada), Calgary.</w:t>
      </w:r>
    </w:p>
    <w:p w:rsidR="00224B0D" w:rsidRPr="00224B0D" w:rsidRDefault="00224B0D" w:rsidP="00224B0D">
      <w:pPr>
        <w:tabs>
          <w:tab w:val="left" w:pos="1168"/>
        </w:tabs>
        <w:jc w:val="both"/>
        <w:rPr>
          <w:rFonts w:eastAsia="Times New Roman" w:cs="Times New Roman"/>
          <w:i/>
          <w:sz w:val="20"/>
          <w:szCs w:val="20"/>
          <w:lang w:eastAsia="en-CA"/>
        </w:rPr>
      </w:pPr>
    </w:p>
    <w:p w:rsidR="00224B0D" w:rsidRPr="00E54F41" w:rsidRDefault="00224B0D" w:rsidP="00224B0D">
      <w:pPr>
        <w:tabs>
          <w:tab w:val="left" w:pos="1168"/>
        </w:tabs>
        <w:jc w:val="both"/>
        <w:rPr>
          <w:rFonts w:eastAsia="Times New Roman" w:cs="Times New Roman"/>
          <w:i/>
          <w:sz w:val="20"/>
          <w:szCs w:val="20"/>
          <w:lang w:eastAsia="en-CA"/>
        </w:rPr>
      </w:pPr>
      <w:r w:rsidRPr="00224B0D">
        <w:rPr>
          <w:rFonts w:eastAsia="Times New Roman" w:cs="Times New Roman"/>
          <w:i/>
          <w:sz w:val="20"/>
          <w:szCs w:val="20"/>
          <w:lang w:eastAsia="en-CA"/>
        </w:rPr>
        <w:tab/>
        <w:t>Solicitors for the intervener the Law Society of Alberta: de Villars Jones, Edmonton.</w:t>
      </w:r>
    </w:p>
    <w:p w:rsidR="00224B0D" w:rsidRPr="00224B0D" w:rsidRDefault="00224B0D" w:rsidP="00224B0D">
      <w:pPr>
        <w:tabs>
          <w:tab w:val="left" w:pos="1168"/>
        </w:tabs>
        <w:jc w:val="both"/>
        <w:rPr>
          <w:rFonts w:eastAsia="Times New Roman" w:cs="Times New Roman"/>
          <w:i/>
          <w:sz w:val="20"/>
          <w:szCs w:val="20"/>
          <w:lang w:eastAsia="en-CA"/>
        </w:rPr>
      </w:pPr>
    </w:p>
    <w:p w:rsidR="00224B0D" w:rsidRPr="00E54F41" w:rsidRDefault="00224B0D" w:rsidP="00224B0D">
      <w:pPr>
        <w:tabs>
          <w:tab w:val="left" w:pos="1168"/>
        </w:tabs>
        <w:jc w:val="both"/>
        <w:rPr>
          <w:rFonts w:eastAsia="Times New Roman" w:cs="Times New Roman"/>
          <w:i/>
          <w:sz w:val="20"/>
          <w:szCs w:val="20"/>
          <w:lang w:eastAsia="en-CA"/>
        </w:rPr>
      </w:pPr>
      <w:r w:rsidRPr="00224B0D">
        <w:rPr>
          <w:rFonts w:eastAsia="Times New Roman" w:cs="Times New Roman"/>
          <w:i/>
          <w:sz w:val="20"/>
          <w:szCs w:val="20"/>
          <w:lang w:eastAsia="en-CA"/>
        </w:rPr>
        <w:tab/>
        <w:t xml:space="preserve">Solicitors for the intervener the British Columbia Freedom of Information and Privacy Association: McCarthy </w:t>
      </w:r>
      <w:proofErr w:type="spellStart"/>
      <w:r w:rsidRPr="00224B0D">
        <w:rPr>
          <w:rFonts w:eastAsia="Times New Roman" w:cs="Times New Roman"/>
          <w:i/>
          <w:sz w:val="20"/>
          <w:szCs w:val="20"/>
          <w:lang w:eastAsia="en-CA"/>
        </w:rPr>
        <w:t>Tétrault</w:t>
      </w:r>
      <w:proofErr w:type="spellEnd"/>
      <w:r w:rsidRPr="00224B0D">
        <w:rPr>
          <w:rFonts w:eastAsia="Times New Roman" w:cs="Times New Roman"/>
          <w:i/>
          <w:sz w:val="20"/>
          <w:szCs w:val="20"/>
          <w:lang w:eastAsia="en-CA"/>
        </w:rPr>
        <w:t>, Vancouver.</w:t>
      </w:r>
    </w:p>
    <w:p w:rsidR="00224B0D" w:rsidRPr="00224B0D" w:rsidRDefault="00224B0D" w:rsidP="00224B0D">
      <w:pPr>
        <w:tabs>
          <w:tab w:val="left" w:pos="1168"/>
        </w:tabs>
        <w:jc w:val="both"/>
        <w:rPr>
          <w:rFonts w:eastAsia="Times New Roman" w:cs="Times New Roman"/>
          <w:i/>
          <w:sz w:val="20"/>
          <w:szCs w:val="20"/>
          <w:lang w:eastAsia="en-CA"/>
        </w:rPr>
      </w:pPr>
    </w:p>
    <w:p w:rsidR="00224B0D" w:rsidRPr="00E54F41" w:rsidRDefault="00224B0D" w:rsidP="00224B0D">
      <w:pPr>
        <w:tabs>
          <w:tab w:val="left" w:pos="1168"/>
        </w:tabs>
        <w:jc w:val="both"/>
        <w:rPr>
          <w:rFonts w:eastAsia="Times New Roman" w:cs="Times New Roman"/>
          <w:i/>
          <w:sz w:val="20"/>
          <w:szCs w:val="20"/>
          <w:lang w:eastAsia="en-CA"/>
        </w:rPr>
      </w:pPr>
      <w:r w:rsidRPr="00224B0D">
        <w:rPr>
          <w:rFonts w:eastAsia="Times New Roman" w:cs="Times New Roman"/>
          <w:i/>
          <w:sz w:val="20"/>
          <w:szCs w:val="20"/>
          <w:lang w:eastAsia="en-CA"/>
        </w:rPr>
        <w:tab/>
        <w:t>Solicitor for the intervener the Information and Privacy Commissioner of Ontario: Information and Privacy Commissioner of Ontario, Toronto.</w:t>
      </w:r>
    </w:p>
    <w:p w:rsidR="00224B0D" w:rsidRPr="00224B0D" w:rsidRDefault="00224B0D" w:rsidP="00224B0D">
      <w:pPr>
        <w:tabs>
          <w:tab w:val="left" w:pos="1168"/>
        </w:tabs>
        <w:jc w:val="both"/>
        <w:rPr>
          <w:rFonts w:eastAsia="Times New Roman" w:cs="Times New Roman"/>
          <w:i/>
          <w:sz w:val="20"/>
          <w:szCs w:val="20"/>
          <w:lang w:eastAsia="en-CA"/>
        </w:rPr>
      </w:pPr>
    </w:p>
    <w:p w:rsidR="00224B0D" w:rsidRPr="00E54F41" w:rsidRDefault="00224B0D" w:rsidP="00224B0D">
      <w:pPr>
        <w:tabs>
          <w:tab w:val="left" w:pos="1168"/>
        </w:tabs>
        <w:jc w:val="both"/>
        <w:rPr>
          <w:rFonts w:eastAsia="Times New Roman" w:cs="Times New Roman"/>
          <w:i/>
          <w:sz w:val="20"/>
          <w:szCs w:val="20"/>
          <w:lang w:eastAsia="en-CA"/>
        </w:rPr>
      </w:pPr>
      <w:r w:rsidRPr="00224B0D">
        <w:rPr>
          <w:rFonts w:eastAsia="Times New Roman" w:cs="Times New Roman"/>
          <w:i/>
          <w:sz w:val="20"/>
          <w:szCs w:val="20"/>
          <w:lang w:eastAsia="en-CA"/>
        </w:rPr>
        <w:tab/>
        <w:t>Solicitors for the intervener the Information and Privacy Commissioner for British Columbia: Miller Thomson, Calgary.</w:t>
      </w:r>
    </w:p>
    <w:p w:rsidR="00224B0D" w:rsidRPr="00224B0D" w:rsidRDefault="00224B0D" w:rsidP="00224B0D">
      <w:pPr>
        <w:tabs>
          <w:tab w:val="left" w:pos="1168"/>
        </w:tabs>
        <w:jc w:val="both"/>
        <w:rPr>
          <w:rFonts w:eastAsia="Times New Roman" w:cs="Times New Roman"/>
          <w:i/>
          <w:sz w:val="20"/>
          <w:szCs w:val="20"/>
          <w:lang w:eastAsia="en-CA"/>
        </w:rPr>
      </w:pPr>
    </w:p>
    <w:p w:rsidR="00224B0D" w:rsidRPr="00E54F41" w:rsidRDefault="00224B0D" w:rsidP="00224B0D">
      <w:pPr>
        <w:tabs>
          <w:tab w:val="left" w:pos="1168"/>
        </w:tabs>
        <w:jc w:val="both"/>
        <w:rPr>
          <w:rFonts w:eastAsia="Times New Roman" w:cs="Times New Roman"/>
          <w:i/>
          <w:sz w:val="20"/>
          <w:szCs w:val="20"/>
          <w:lang w:eastAsia="en-CA"/>
        </w:rPr>
      </w:pPr>
      <w:r w:rsidRPr="00224B0D">
        <w:rPr>
          <w:rFonts w:eastAsia="Times New Roman" w:cs="Times New Roman"/>
          <w:i/>
          <w:sz w:val="20"/>
          <w:szCs w:val="20"/>
          <w:lang w:eastAsia="en-CA"/>
        </w:rPr>
        <w:tab/>
        <w:t xml:space="preserve">Solicitors for the intervener the Information and Privacy Commissioner for the Province of Newfoundland and Labrador: Lewis, </w:t>
      </w:r>
      <w:proofErr w:type="spellStart"/>
      <w:r w:rsidRPr="00224B0D">
        <w:rPr>
          <w:rFonts w:eastAsia="Times New Roman" w:cs="Times New Roman"/>
          <w:i/>
          <w:sz w:val="20"/>
          <w:szCs w:val="20"/>
          <w:lang w:eastAsia="en-CA"/>
        </w:rPr>
        <w:t>Sinnott</w:t>
      </w:r>
      <w:proofErr w:type="spellEnd"/>
      <w:r w:rsidRPr="00224B0D">
        <w:rPr>
          <w:rFonts w:eastAsia="Times New Roman" w:cs="Times New Roman"/>
          <w:i/>
          <w:sz w:val="20"/>
          <w:szCs w:val="20"/>
          <w:lang w:eastAsia="en-CA"/>
        </w:rPr>
        <w:t xml:space="preserve">, </w:t>
      </w:r>
      <w:proofErr w:type="spellStart"/>
      <w:r w:rsidRPr="00224B0D">
        <w:rPr>
          <w:rFonts w:eastAsia="Times New Roman" w:cs="Times New Roman"/>
          <w:i/>
          <w:sz w:val="20"/>
          <w:szCs w:val="20"/>
          <w:lang w:eastAsia="en-CA"/>
        </w:rPr>
        <w:t>Shortall</w:t>
      </w:r>
      <w:proofErr w:type="spellEnd"/>
      <w:r w:rsidRPr="00224B0D">
        <w:rPr>
          <w:rFonts w:eastAsia="Times New Roman" w:cs="Times New Roman"/>
          <w:i/>
          <w:sz w:val="20"/>
          <w:szCs w:val="20"/>
          <w:lang w:eastAsia="en-CA"/>
        </w:rPr>
        <w:t>, St. John’s.</w:t>
      </w:r>
    </w:p>
    <w:p w:rsidR="00224B0D" w:rsidRPr="00224B0D" w:rsidRDefault="00224B0D" w:rsidP="00224B0D">
      <w:pPr>
        <w:tabs>
          <w:tab w:val="left" w:pos="1168"/>
        </w:tabs>
        <w:jc w:val="both"/>
        <w:rPr>
          <w:rFonts w:eastAsia="Times New Roman" w:cs="Times New Roman"/>
          <w:i/>
          <w:sz w:val="20"/>
          <w:szCs w:val="20"/>
          <w:lang w:eastAsia="en-CA"/>
        </w:rPr>
      </w:pPr>
    </w:p>
    <w:p w:rsidR="00224B0D" w:rsidRPr="00E54F41" w:rsidRDefault="00224B0D" w:rsidP="00224B0D">
      <w:pPr>
        <w:tabs>
          <w:tab w:val="left" w:pos="1168"/>
        </w:tabs>
        <w:jc w:val="both"/>
        <w:rPr>
          <w:rFonts w:eastAsia="Times New Roman" w:cs="Times New Roman"/>
          <w:i/>
          <w:sz w:val="20"/>
          <w:szCs w:val="20"/>
          <w:lang w:eastAsia="en-CA"/>
        </w:rPr>
      </w:pPr>
      <w:r w:rsidRPr="00224B0D">
        <w:rPr>
          <w:rFonts w:eastAsia="Times New Roman" w:cs="Times New Roman"/>
          <w:i/>
          <w:sz w:val="20"/>
          <w:szCs w:val="20"/>
          <w:lang w:eastAsia="en-CA"/>
        </w:rPr>
        <w:tab/>
        <w:t>Solicitors for the intervener the Advocates’ Society: Peacock Linder Halt &amp; Mack, Calgary.</w:t>
      </w:r>
    </w:p>
    <w:p w:rsidR="00224B0D" w:rsidRPr="00224B0D" w:rsidRDefault="00224B0D" w:rsidP="00224B0D">
      <w:pPr>
        <w:tabs>
          <w:tab w:val="left" w:pos="1168"/>
        </w:tabs>
        <w:jc w:val="both"/>
        <w:rPr>
          <w:rFonts w:eastAsia="Times New Roman" w:cs="Times New Roman"/>
          <w:i/>
          <w:sz w:val="20"/>
          <w:szCs w:val="20"/>
          <w:lang w:eastAsia="en-CA"/>
        </w:rPr>
      </w:pPr>
    </w:p>
    <w:p w:rsidR="00224B0D" w:rsidRPr="00E54F41" w:rsidRDefault="00224B0D" w:rsidP="00224B0D">
      <w:pPr>
        <w:tabs>
          <w:tab w:val="left" w:pos="1168"/>
        </w:tabs>
        <w:jc w:val="both"/>
        <w:rPr>
          <w:rFonts w:eastAsia="Times New Roman" w:cs="Times New Roman"/>
          <w:i/>
          <w:sz w:val="20"/>
          <w:szCs w:val="20"/>
          <w:lang w:eastAsia="en-CA"/>
        </w:rPr>
      </w:pPr>
      <w:r w:rsidRPr="00224B0D">
        <w:rPr>
          <w:rFonts w:eastAsia="Times New Roman" w:cs="Times New Roman"/>
          <w:i/>
          <w:sz w:val="20"/>
          <w:szCs w:val="20"/>
          <w:lang w:eastAsia="en-CA"/>
        </w:rPr>
        <w:tab/>
        <w:t xml:space="preserve">Solicitors for the intervener the Federation of Law Societies of Canada: Osler, </w:t>
      </w:r>
      <w:proofErr w:type="spellStart"/>
      <w:r w:rsidRPr="00224B0D">
        <w:rPr>
          <w:rFonts w:eastAsia="Times New Roman" w:cs="Times New Roman"/>
          <w:i/>
          <w:sz w:val="20"/>
          <w:szCs w:val="20"/>
          <w:lang w:eastAsia="en-CA"/>
        </w:rPr>
        <w:t>Hoskin</w:t>
      </w:r>
      <w:proofErr w:type="spellEnd"/>
      <w:r w:rsidRPr="00224B0D">
        <w:rPr>
          <w:rFonts w:eastAsia="Times New Roman" w:cs="Times New Roman"/>
          <w:i/>
          <w:sz w:val="20"/>
          <w:szCs w:val="20"/>
          <w:lang w:eastAsia="en-CA"/>
        </w:rPr>
        <w:t xml:space="preserve"> &amp; Harcourt, Toronto.</w:t>
      </w:r>
    </w:p>
    <w:p w:rsidR="00224B0D" w:rsidRPr="00224B0D" w:rsidRDefault="00224B0D" w:rsidP="00224B0D">
      <w:pPr>
        <w:tabs>
          <w:tab w:val="left" w:pos="1168"/>
        </w:tabs>
        <w:jc w:val="both"/>
        <w:rPr>
          <w:rFonts w:eastAsia="Times New Roman" w:cs="Times New Roman"/>
          <w:i/>
          <w:sz w:val="20"/>
          <w:szCs w:val="20"/>
          <w:lang w:eastAsia="en-CA"/>
        </w:rPr>
      </w:pPr>
    </w:p>
    <w:p w:rsidR="00224B0D" w:rsidRPr="00E54F41" w:rsidRDefault="00224B0D" w:rsidP="00224B0D">
      <w:pPr>
        <w:tabs>
          <w:tab w:val="left" w:pos="1168"/>
        </w:tabs>
        <w:jc w:val="both"/>
        <w:rPr>
          <w:rFonts w:eastAsia="Times New Roman" w:cs="Times New Roman"/>
          <w:i/>
          <w:sz w:val="20"/>
          <w:szCs w:val="20"/>
          <w:lang w:eastAsia="en-CA"/>
        </w:rPr>
      </w:pPr>
      <w:r w:rsidRPr="00224B0D">
        <w:rPr>
          <w:rFonts w:eastAsia="Times New Roman" w:cs="Times New Roman"/>
          <w:i/>
          <w:sz w:val="20"/>
          <w:szCs w:val="20"/>
          <w:lang w:eastAsia="en-CA"/>
        </w:rPr>
        <w:tab/>
        <w:t>Solicitors for the intervener the Canadian Bar Association: </w:t>
      </w:r>
      <w:proofErr w:type="spellStart"/>
      <w:r w:rsidRPr="00224B0D">
        <w:rPr>
          <w:rFonts w:eastAsia="Times New Roman" w:cs="Times New Roman"/>
          <w:i/>
          <w:sz w:val="20"/>
          <w:szCs w:val="20"/>
          <w:lang w:eastAsia="en-CA"/>
        </w:rPr>
        <w:t>Dunphy</w:t>
      </w:r>
      <w:proofErr w:type="spellEnd"/>
      <w:r w:rsidRPr="00224B0D">
        <w:rPr>
          <w:rFonts w:eastAsia="Times New Roman" w:cs="Times New Roman"/>
          <w:i/>
          <w:sz w:val="20"/>
          <w:szCs w:val="20"/>
          <w:lang w:eastAsia="en-CA"/>
        </w:rPr>
        <w:t xml:space="preserve"> Best </w:t>
      </w:r>
      <w:proofErr w:type="spellStart"/>
      <w:r w:rsidRPr="00224B0D">
        <w:rPr>
          <w:rFonts w:eastAsia="Times New Roman" w:cs="Times New Roman"/>
          <w:i/>
          <w:sz w:val="20"/>
          <w:szCs w:val="20"/>
          <w:lang w:eastAsia="en-CA"/>
        </w:rPr>
        <w:t>Blocksom</w:t>
      </w:r>
      <w:proofErr w:type="spellEnd"/>
      <w:r w:rsidRPr="00224B0D">
        <w:rPr>
          <w:rFonts w:eastAsia="Times New Roman" w:cs="Times New Roman"/>
          <w:i/>
          <w:sz w:val="20"/>
          <w:szCs w:val="20"/>
          <w:lang w:eastAsia="en-CA"/>
        </w:rPr>
        <w:t>, Calgary; McLennan Ross, Calgary.</w:t>
      </w:r>
    </w:p>
    <w:p w:rsidR="00224B0D" w:rsidRPr="00224B0D" w:rsidRDefault="00224B0D" w:rsidP="00224B0D">
      <w:pPr>
        <w:tabs>
          <w:tab w:val="left" w:pos="1168"/>
        </w:tabs>
        <w:jc w:val="both"/>
        <w:rPr>
          <w:rFonts w:eastAsia="Times New Roman" w:cs="Times New Roman"/>
          <w:i/>
          <w:sz w:val="20"/>
          <w:szCs w:val="20"/>
          <w:lang w:eastAsia="en-CA"/>
        </w:rPr>
      </w:pPr>
    </w:p>
    <w:p w:rsidR="00224B0D" w:rsidRPr="00E54F41" w:rsidRDefault="00224B0D" w:rsidP="00224B0D">
      <w:pPr>
        <w:tabs>
          <w:tab w:val="left" w:pos="1168"/>
        </w:tabs>
        <w:jc w:val="both"/>
        <w:rPr>
          <w:rFonts w:eastAsia="Times New Roman" w:cs="Times New Roman"/>
          <w:i/>
          <w:sz w:val="20"/>
          <w:szCs w:val="20"/>
          <w:lang w:eastAsia="en-CA"/>
        </w:rPr>
      </w:pPr>
      <w:r w:rsidRPr="00224B0D">
        <w:rPr>
          <w:rFonts w:eastAsia="Times New Roman" w:cs="Times New Roman"/>
          <w:i/>
          <w:sz w:val="20"/>
          <w:szCs w:val="20"/>
          <w:lang w:eastAsia="en-CA"/>
        </w:rPr>
        <w:tab/>
        <w:t>Solicitors for the interveners the Information Commissioner of Canada, the Privacy Commissioner of Canada, the Manitoba Ombudsman, the Northwest Territories Information and Privacy Commissioner, the Nova Scotia Information and Privacy Commissioner [Review Officer], the Nunavut Information and Privacy Commissioner, the Saskatchewan Information and Privacy Commissioner and the Yukon Ombudsman and Information and Privacy Commissioner: </w:t>
      </w:r>
      <w:proofErr w:type="spellStart"/>
      <w:r w:rsidRPr="00224B0D">
        <w:rPr>
          <w:rFonts w:eastAsia="Times New Roman" w:cs="Times New Roman"/>
          <w:i/>
          <w:sz w:val="20"/>
          <w:szCs w:val="20"/>
          <w:lang w:eastAsia="en-CA"/>
        </w:rPr>
        <w:t>Goldblatt</w:t>
      </w:r>
      <w:proofErr w:type="spellEnd"/>
      <w:r w:rsidRPr="00224B0D">
        <w:rPr>
          <w:rFonts w:eastAsia="Times New Roman" w:cs="Times New Roman"/>
          <w:i/>
          <w:sz w:val="20"/>
          <w:szCs w:val="20"/>
          <w:lang w:eastAsia="en-CA"/>
        </w:rPr>
        <w:t xml:space="preserve"> Partners, Toronto; Office of the Privacy Commissioner of Canada, Gatineau; Office of the Information Commissioner of Canada, Gatineau.</w:t>
      </w:r>
    </w:p>
    <w:p w:rsidR="00224B0D" w:rsidRPr="00224B0D" w:rsidRDefault="00224B0D" w:rsidP="00224B0D">
      <w:pPr>
        <w:tabs>
          <w:tab w:val="left" w:pos="1168"/>
        </w:tabs>
        <w:jc w:val="both"/>
        <w:rPr>
          <w:rFonts w:eastAsia="Times New Roman" w:cs="Times New Roman"/>
          <w:i/>
          <w:sz w:val="20"/>
          <w:szCs w:val="20"/>
          <w:lang w:eastAsia="en-CA"/>
        </w:rPr>
      </w:pPr>
    </w:p>
    <w:p w:rsidR="00224B0D" w:rsidRPr="00224B0D" w:rsidRDefault="00224B0D" w:rsidP="00224B0D">
      <w:pPr>
        <w:tabs>
          <w:tab w:val="left" w:pos="1168"/>
        </w:tabs>
        <w:jc w:val="both"/>
        <w:rPr>
          <w:rFonts w:eastAsia="Times New Roman" w:cs="Times New Roman"/>
          <w:i/>
          <w:sz w:val="20"/>
          <w:szCs w:val="20"/>
          <w:lang w:eastAsia="en-CA"/>
        </w:rPr>
      </w:pPr>
      <w:r w:rsidRPr="00224B0D">
        <w:rPr>
          <w:rFonts w:eastAsia="Times New Roman" w:cs="Times New Roman"/>
          <w:i/>
          <w:sz w:val="20"/>
          <w:szCs w:val="20"/>
          <w:lang w:eastAsia="en-CA"/>
        </w:rPr>
        <w:tab/>
        <w:t>Solicitors for the intervener the Criminal Lawyers’ Association: </w:t>
      </w:r>
      <w:proofErr w:type="spellStart"/>
      <w:r w:rsidRPr="00224B0D">
        <w:rPr>
          <w:rFonts w:eastAsia="Times New Roman" w:cs="Times New Roman"/>
          <w:i/>
          <w:sz w:val="20"/>
          <w:szCs w:val="20"/>
          <w:lang w:eastAsia="en-CA"/>
        </w:rPr>
        <w:t>Stockwoods</w:t>
      </w:r>
      <w:proofErr w:type="spellEnd"/>
      <w:r w:rsidRPr="00224B0D">
        <w:rPr>
          <w:rFonts w:eastAsia="Times New Roman" w:cs="Times New Roman"/>
          <w:i/>
          <w:sz w:val="20"/>
          <w:szCs w:val="20"/>
          <w:lang w:eastAsia="en-CA"/>
        </w:rPr>
        <w:t>, Toronto.</w:t>
      </w:r>
    </w:p>
    <w:p w:rsidR="005F3164" w:rsidRPr="00E54F41" w:rsidRDefault="005F3164" w:rsidP="00224B0D">
      <w:pPr>
        <w:rPr>
          <w:sz w:val="20"/>
          <w:szCs w:val="20"/>
          <w:lang w:val="fr-CA"/>
        </w:rPr>
      </w:pPr>
      <w:r w:rsidRPr="00E54F41">
        <w:rPr>
          <w:sz w:val="20"/>
          <w:szCs w:val="20"/>
          <w:lang w:val="fr-CA"/>
        </w:rPr>
        <w:lastRenderedPageBreak/>
        <w:t>________________________</w:t>
      </w:r>
    </w:p>
    <w:p w:rsidR="005F3164" w:rsidRPr="00E54F41" w:rsidRDefault="005F3164" w:rsidP="005F3164">
      <w:pPr>
        <w:rPr>
          <w:sz w:val="20"/>
          <w:szCs w:val="20"/>
          <w:lang w:val="fr-CA"/>
        </w:rPr>
      </w:pPr>
    </w:p>
    <w:p w:rsidR="005F3164" w:rsidRPr="00E54F41" w:rsidRDefault="005F3164" w:rsidP="005F3164">
      <w:pPr>
        <w:spacing w:line="0" w:lineRule="atLeast"/>
        <w:rPr>
          <w:sz w:val="20"/>
          <w:szCs w:val="20"/>
          <w:lang w:val="fr-CA"/>
        </w:rPr>
      </w:pPr>
      <w:r w:rsidRPr="00E54F41">
        <w:rPr>
          <w:sz w:val="20"/>
          <w:szCs w:val="20"/>
          <w:lang w:val="fr-CA"/>
        </w:rPr>
        <w:t xml:space="preserve">Présents : </w:t>
      </w:r>
      <w:r w:rsidR="00157AA7" w:rsidRPr="00E54F41">
        <w:rPr>
          <w:sz w:val="20"/>
          <w:szCs w:val="20"/>
          <w:lang w:val="fr-CA"/>
        </w:rPr>
        <w:t>Les juges Abella, Cromwell, Moldaver, Karakatsanis, Wagner, Gascon et Côté.</w:t>
      </w:r>
    </w:p>
    <w:p w:rsidR="005F3164" w:rsidRPr="00E54F41" w:rsidRDefault="005F3164" w:rsidP="00DA1A23">
      <w:pPr>
        <w:pStyle w:val="SCCNormalDoubleSpacing"/>
        <w:spacing w:line="240" w:lineRule="auto"/>
        <w:rPr>
          <w:sz w:val="20"/>
          <w:lang w:val="fr-CA"/>
        </w:rPr>
      </w:pPr>
    </w:p>
    <w:p w:rsidR="00DA1A23" w:rsidRPr="00E54F41" w:rsidRDefault="00DA1A23" w:rsidP="00DA1A23">
      <w:pPr>
        <w:tabs>
          <w:tab w:val="left" w:pos="1168"/>
        </w:tabs>
        <w:jc w:val="both"/>
        <w:rPr>
          <w:rFonts w:eastAsia="Times New Roman" w:cs="Times New Roman"/>
          <w:i/>
          <w:sz w:val="20"/>
          <w:szCs w:val="20"/>
          <w:lang w:val="fr-CA" w:eastAsia="en-CA"/>
        </w:rPr>
      </w:pPr>
      <w:r w:rsidRPr="00DA1A23">
        <w:rPr>
          <w:rFonts w:eastAsia="Times New Roman" w:cs="Times New Roman"/>
          <w:sz w:val="20"/>
          <w:szCs w:val="20"/>
          <w:lang w:val="fr-CA" w:eastAsia="en-CA"/>
        </w:rPr>
        <w:tab/>
      </w:r>
      <w:r w:rsidRPr="00DA1A23">
        <w:rPr>
          <w:rFonts w:eastAsia="Times New Roman" w:cs="Times New Roman"/>
          <w:i/>
          <w:sz w:val="20"/>
          <w:szCs w:val="20"/>
          <w:lang w:val="fr-CA" w:eastAsia="en-CA"/>
        </w:rPr>
        <w:t>Protection des renseignements personnels — Examen des plaintes — Pouvoirs du commissaire à l’information et à la protection de la vie privée — Production de documents — Secret professionnel de l’avocat —Commissaire saisie de la plainte d’une employée congédiée et de sa demande d’accès à ses données personnelles d’emploi — Secret professionnel de l’avocat invoqué par l’employeur à l’égard de certains documents — La disposition législative qui oblige un organisme public à produire des documents à l’intention du commissaire [</w:t>
      </w:r>
      <w:r w:rsidRPr="00DA1A23">
        <w:rPr>
          <w:rFonts w:eastAsia="Times New Roman" w:cs="Times New Roman"/>
          <w:i/>
          <w:smallCaps/>
          <w:sz w:val="20"/>
          <w:szCs w:val="20"/>
          <w:lang w:val="fr-CA" w:eastAsia="en-CA"/>
        </w:rPr>
        <w:t>traduction</w:t>
      </w:r>
      <w:r w:rsidRPr="00DA1A23">
        <w:rPr>
          <w:rFonts w:eastAsia="Times New Roman" w:cs="Times New Roman"/>
          <w:i/>
          <w:sz w:val="20"/>
          <w:szCs w:val="20"/>
          <w:lang w:val="fr-CA" w:eastAsia="en-CA"/>
        </w:rPr>
        <w:t>] « malgré [. . .] tout privilège que reconnaît le droit de la preuve » permet</w:t>
      </w:r>
      <w:r w:rsidRPr="00DA1A23">
        <w:rPr>
          <w:rFonts w:eastAsia="Times New Roman" w:cs="Times New Roman"/>
          <w:i/>
          <w:sz w:val="20"/>
          <w:szCs w:val="20"/>
          <w:lang w:val="fr-CA" w:eastAsia="en-CA"/>
        </w:rPr>
        <w:noBreakHyphen/>
        <w:t>elle à ce dernier d’examiner les documents à l’égard desquels est invoqué le secret professionnel de l’avocat? — Dans l’affirmative, la Commissaire a</w:t>
      </w:r>
      <w:r w:rsidRPr="00DA1A23">
        <w:rPr>
          <w:rFonts w:eastAsia="Times New Roman" w:cs="Times New Roman"/>
          <w:i/>
          <w:sz w:val="20"/>
          <w:szCs w:val="20"/>
          <w:lang w:val="fr-CA" w:eastAsia="en-CA"/>
        </w:rPr>
        <w:noBreakHyphen/>
        <w:t>t</w:t>
      </w:r>
      <w:r w:rsidRPr="00DA1A23">
        <w:rPr>
          <w:rFonts w:eastAsia="Times New Roman" w:cs="Times New Roman"/>
          <w:i/>
          <w:sz w:val="20"/>
          <w:szCs w:val="20"/>
          <w:lang w:val="fr-CA" w:eastAsia="en-CA"/>
        </w:rPr>
        <w:noBreakHyphen/>
        <w:t xml:space="preserve">elle commis une erreur susceptible de contrôle en ordonnant la production de documents? — </w:t>
      </w:r>
      <w:proofErr w:type="spellStart"/>
      <w:r w:rsidRPr="00DA1A23">
        <w:rPr>
          <w:rFonts w:eastAsia="Times New Roman" w:cs="Times New Roman"/>
          <w:i/>
          <w:sz w:val="20"/>
          <w:szCs w:val="20"/>
          <w:lang w:val="fr-CA" w:eastAsia="en-CA"/>
        </w:rPr>
        <w:t>Freedom</w:t>
      </w:r>
      <w:proofErr w:type="spellEnd"/>
      <w:r w:rsidRPr="00DA1A23">
        <w:rPr>
          <w:rFonts w:eastAsia="Times New Roman" w:cs="Times New Roman"/>
          <w:i/>
          <w:sz w:val="20"/>
          <w:szCs w:val="20"/>
          <w:lang w:val="fr-CA" w:eastAsia="en-CA"/>
        </w:rPr>
        <w:t xml:space="preserve"> of Information and Protection of </w:t>
      </w:r>
      <w:proofErr w:type="spellStart"/>
      <w:r w:rsidRPr="00DA1A23">
        <w:rPr>
          <w:rFonts w:eastAsia="Times New Roman" w:cs="Times New Roman"/>
          <w:i/>
          <w:sz w:val="20"/>
          <w:szCs w:val="20"/>
          <w:lang w:val="fr-CA" w:eastAsia="en-CA"/>
        </w:rPr>
        <w:t>Privacy</w:t>
      </w:r>
      <w:proofErr w:type="spellEnd"/>
      <w:r w:rsidRPr="00DA1A23">
        <w:rPr>
          <w:rFonts w:eastAsia="Times New Roman" w:cs="Times New Roman"/>
          <w:i/>
          <w:sz w:val="20"/>
          <w:szCs w:val="20"/>
          <w:lang w:val="fr-CA" w:eastAsia="en-CA"/>
        </w:rPr>
        <w:t xml:space="preserve"> </w:t>
      </w:r>
      <w:proofErr w:type="spellStart"/>
      <w:r w:rsidRPr="00DA1A23">
        <w:rPr>
          <w:rFonts w:eastAsia="Times New Roman" w:cs="Times New Roman"/>
          <w:i/>
          <w:sz w:val="20"/>
          <w:szCs w:val="20"/>
          <w:lang w:val="fr-CA" w:eastAsia="en-CA"/>
        </w:rPr>
        <w:t>Act</w:t>
      </w:r>
      <w:proofErr w:type="spellEnd"/>
      <w:r w:rsidRPr="00DA1A23">
        <w:rPr>
          <w:rFonts w:eastAsia="Times New Roman" w:cs="Times New Roman"/>
          <w:i/>
          <w:sz w:val="20"/>
          <w:szCs w:val="20"/>
          <w:lang w:val="fr-CA" w:eastAsia="en-CA"/>
        </w:rPr>
        <w:t>, R.S.A. 2000, c. F</w:t>
      </w:r>
      <w:r w:rsidRPr="00DA1A23">
        <w:rPr>
          <w:rFonts w:eastAsia="Times New Roman" w:cs="Times New Roman"/>
          <w:i/>
          <w:sz w:val="20"/>
          <w:szCs w:val="20"/>
          <w:lang w:val="fr-CA" w:eastAsia="en-CA"/>
        </w:rPr>
        <w:noBreakHyphen/>
        <w:t>25, art. 56(3).</w:t>
      </w:r>
    </w:p>
    <w:p w:rsidR="00DA1A23" w:rsidRPr="00DA1A23" w:rsidRDefault="00DA1A23" w:rsidP="00DA1A23">
      <w:pPr>
        <w:tabs>
          <w:tab w:val="left" w:pos="1168"/>
        </w:tabs>
        <w:jc w:val="both"/>
        <w:rPr>
          <w:rFonts w:eastAsia="Times New Roman" w:cs="Times New Roman"/>
          <w:i/>
          <w:sz w:val="20"/>
          <w:szCs w:val="20"/>
          <w:lang w:val="fr-CA" w:eastAsia="en-CA"/>
        </w:rPr>
      </w:pPr>
    </w:p>
    <w:p w:rsidR="00DA1A23" w:rsidRPr="00E54F41" w:rsidRDefault="00DA1A23" w:rsidP="00DA1A23">
      <w:pPr>
        <w:tabs>
          <w:tab w:val="left" w:pos="1168"/>
        </w:tabs>
        <w:jc w:val="both"/>
        <w:rPr>
          <w:rFonts w:eastAsia="Times New Roman" w:cs="Times New Roman"/>
          <w:i/>
          <w:sz w:val="20"/>
          <w:szCs w:val="20"/>
          <w:lang w:val="fr-CA" w:eastAsia="en-CA"/>
        </w:rPr>
      </w:pPr>
      <w:r w:rsidRPr="00DA1A23">
        <w:rPr>
          <w:rFonts w:eastAsia="Times New Roman" w:cs="Times New Roman"/>
          <w:i/>
          <w:sz w:val="20"/>
          <w:szCs w:val="20"/>
          <w:lang w:val="fr-CA" w:eastAsia="en-CA"/>
        </w:rPr>
        <w:tab/>
        <w:t xml:space="preserve">Droit administratif — Contrôle judiciaire — Norme de contrôle — Commissaire à l’information et à la protection de la vie privée — Norme de contrôle applicable à la décision de la Commissaire d’ordonner la production de documents à l’égard desquels est invoqué le secret professionnel de l’avocat — </w:t>
      </w:r>
      <w:proofErr w:type="spellStart"/>
      <w:r w:rsidRPr="00DA1A23">
        <w:rPr>
          <w:rFonts w:eastAsia="Times New Roman" w:cs="Times New Roman"/>
          <w:i/>
          <w:sz w:val="20"/>
          <w:szCs w:val="20"/>
          <w:lang w:val="fr-CA" w:eastAsia="en-CA"/>
        </w:rPr>
        <w:t>Freedom</w:t>
      </w:r>
      <w:proofErr w:type="spellEnd"/>
      <w:r w:rsidRPr="00DA1A23">
        <w:rPr>
          <w:rFonts w:eastAsia="Times New Roman" w:cs="Times New Roman"/>
          <w:i/>
          <w:sz w:val="20"/>
          <w:szCs w:val="20"/>
          <w:lang w:val="fr-CA" w:eastAsia="en-CA"/>
        </w:rPr>
        <w:t xml:space="preserve"> of Information and Protection of </w:t>
      </w:r>
      <w:proofErr w:type="spellStart"/>
      <w:r w:rsidRPr="00DA1A23">
        <w:rPr>
          <w:rFonts w:eastAsia="Times New Roman" w:cs="Times New Roman"/>
          <w:i/>
          <w:sz w:val="20"/>
          <w:szCs w:val="20"/>
          <w:lang w:val="fr-CA" w:eastAsia="en-CA"/>
        </w:rPr>
        <w:t>Privacy</w:t>
      </w:r>
      <w:proofErr w:type="spellEnd"/>
      <w:r w:rsidRPr="00DA1A23">
        <w:rPr>
          <w:rFonts w:eastAsia="Times New Roman" w:cs="Times New Roman"/>
          <w:i/>
          <w:sz w:val="20"/>
          <w:szCs w:val="20"/>
          <w:lang w:val="fr-CA" w:eastAsia="en-CA"/>
        </w:rPr>
        <w:t xml:space="preserve"> </w:t>
      </w:r>
      <w:proofErr w:type="spellStart"/>
      <w:r w:rsidRPr="00DA1A23">
        <w:rPr>
          <w:rFonts w:eastAsia="Times New Roman" w:cs="Times New Roman"/>
          <w:i/>
          <w:sz w:val="20"/>
          <w:szCs w:val="20"/>
          <w:lang w:val="fr-CA" w:eastAsia="en-CA"/>
        </w:rPr>
        <w:t>Act</w:t>
      </w:r>
      <w:proofErr w:type="spellEnd"/>
      <w:r w:rsidRPr="00DA1A23">
        <w:rPr>
          <w:rFonts w:eastAsia="Times New Roman" w:cs="Times New Roman"/>
          <w:i/>
          <w:sz w:val="20"/>
          <w:szCs w:val="20"/>
          <w:lang w:val="fr-CA" w:eastAsia="en-CA"/>
        </w:rPr>
        <w:t>, R.S.A. 2000, c. F</w:t>
      </w:r>
      <w:r w:rsidRPr="00DA1A23">
        <w:rPr>
          <w:rFonts w:eastAsia="Times New Roman" w:cs="Times New Roman"/>
          <w:i/>
          <w:sz w:val="20"/>
          <w:szCs w:val="20"/>
          <w:lang w:val="fr-CA" w:eastAsia="en-CA"/>
        </w:rPr>
        <w:noBreakHyphen/>
        <w:t>25, art. 56(3).</w:t>
      </w:r>
    </w:p>
    <w:p w:rsidR="00DA1A23" w:rsidRPr="00DA1A23" w:rsidRDefault="00DA1A23" w:rsidP="00DA1A23">
      <w:pPr>
        <w:tabs>
          <w:tab w:val="left" w:pos="1168"/>
        </w:tabs>
        <w:jc w:val="both"/>
        <w:rPr>
          <w:rFonts w:eastAsia="Times New Roman" w:cs="Times New Roman"/>
          <w:i/>
          <w:sz w:val="20"/>
          <w:szCs w:val="20"/>
          <w:lang w:val="fr-CA" w:eastAsia="en-CA"/>
        </w:rPr>
      </w:pP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t xml:space="preserve">Dans le contexte d’une allégation de congédiement déguisé, un délégué de la Commissaire à l’information et à la protection de la vie privée de l’Alberta a ordonné la production de documents à l’égard desquels l’Université de Calgary avait invoqué le secret professionnel de l’avocat. Le délégué s’autorisait du « Protocole décisionnel applicable à l’égard du secret professionnel de l’avocat » du Commissariat qui exigeait la remise d’une copie « des documents en cause » ou de deux copies « d’un affidavit ou d’une simple déclaration confirmant que le secret professionnel de l’avocat s’applique aux documents » à l’appui de l’allégation du secret professionnel de l’avocat. Conformément au droit et à la pratique qui avaient alors cours en Alberta pour identifier un document protégé par le secret professionnel de l’avocat dans une instance civile, l’Université a remis une liste de documents identifiés par le numéro des pages en cause, ainsi qu’un affidavit selon lequel le secret professionnel de l’avocat était invoqué relativement à ces documents. </w:t>
      </w:r>
    </w:p>
    <w:p w:rsidR="00DA1A23" w:rsidRPr="00DA1A23" w:rsidRDefault="00DA1A23" w:rsidP="00DA1A23">
      <w:pPr>
        <w:tabs>
          <w:tab w:val="left" w:pos="1168"/>
        </w:tabs>
        <w:jc w:val="both"/>
        <w:rPr>
          <w:rFonts w:eastAsia="Times New Roman" w:cs="Times New Roman"/>
          <w:sz w:val="20"/>
          <w:szCs w:val="20"/>
          <w:lang w:val="fr-CA" w:eastAsia="en-CA"/>
        </w:rPr>
      </w:pP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t xml:space="preserve">Après une nouvelle demande d’étayer l’allégation du privilège, le délégué a donné un avis de production de documents fondé sur le par. 56(3) de la </w:t>
      </w:r>
      <w:proofErr w:type="spellStart"/>
      <w:r w:rsidRPr="00DA1A23">
        <w:rPr>
          <w:rFonts w:eastAsia="Times New Roman" w:cs="Times New Roman"/>
          <w:i/>
          <w:sz w:val="20"/>
          <w:szCs w:val="20"/>
          <w:lang w:val="fr-CA" w:eastAsia="en-CA"/>
        </w:rPr>
        <w:t>Freedom</w:t>
      </w:r>
      <w:proofErr w:type="spellEnd"/>
      <w:r w:rsidRPr="00DA1A23">
        <w:rPr>
          <w:rFonts w:eastAsia="Times New Roman" w:cs="Times New Roman"/>
          <w:i/>
          <w:sz w:val="20"/>
          <w:szCs w:val="20"/>
          <w:lang w:val="fr-CA" w:eastAsia="en-CA"/>
        </w:rPr>
        <w:t xml:space="preserve"> of Information and Protection of </w:t>
      </w:r>
      <w:proofErr w:type="spellStart"/>
      <w:r w:rsidRPr="00DA1A23">
        <w:rPr>
          <w:rFonts w:eastAsia="Times New Roman" w:cs="Times New Roman"/>
          <w:i/>
          <w:sz w:val="20"/>
          <w:szCs w:val="20"/>
          <w:lang w:val="fr-CA" w:eastAsia="en-CA"/>
        </w:rPr>
        <w:t>Privacy</w:t>
      </w:r>
      <w:proofErr w:type="spellEnd"/>
      <w:r w:rsidRPr="00DA1A23">
        <w:rPr>
          <w:rFonts w:eastAsia="Times New Roman" w:cs="Times New Roman"/>
          <w:i/>
          <w:sz w:val="20"/>
          <w:szCs w:val="20"/>
          <w:lang w:val="fr-CA" w:eastAsia="en-CA"/>
        </w:rPr>
        <w:t xml:space="preserve"> </w:t>
      </w:r>
      <w:proofErr w:type="spellStart"/>
      <w:r w:rsidRPr="00DA1A23">
        <w:rPr>
          <w:rFonts w:eastAsia="Times New Roman" w:cs="Times New Roman"/>
          <w:i/>
          <w:sz w:val="20"/>
          <w:szCs w:val="20"/>
          <w:lang w:val="fr-CA" w:eastAsia="en-CA"/>
        </w:rPr>
        <w:t>Act</w:t>
      </w:r>
      <w:proofErr w:type="spellEnd"/>
      <w:r w:rsidRPr="00DA1A23">
        <w:rPr>
          <w:rFonts w:eastAsia="Times New Roman" w:cs="Times New Roman"/>
          <w:i/>
          <w:sz w:val="20"/>
          <w:szCs w:val="20"/>
          <w:lang w:val="fr-CA" w:eastAsia="en-CA"/>
        </w:rPr>
        <w:t xml:space="preserve"> </w:t>
      </w:r>
      <w:r w:rsidRPr="00DA1A23">
        <w:rPr>
          <w:rFonts w:eastAsia="Times New Roman" w:cs="Times New Roman"/>
          <w:sz w:val="20"/>
          <w:szCs w:val="20"/>
          <w:lang w:val="fr-CA" w:eastAsia="en-CA"/>
        </w:rPr>
        <w:t>(« </w:t>
      </w:r>
      <w:r w:rsidRPr="00DA1A23">
        <w:rPr>
          <w:rFonts w:eastAsia="Times New Roman" w:cs="Times New Roman"/>
          <w:i/>
          <w:sz w:val="20"/>
          <w:szCs w:val="20"/>
          <w:lang w:val="fr-CA" w:eastAsia="en-CA"/>
        </w:rPr>
        <w:t>FOIPP</w:t>
      </w:r>
      <w:r w:rsidRPr="00DA1A23">
        <w:rPr>
          <w:rFonts w:eastAsia="Times New Roman" w:cs="Times New Roman"/>
          <w:sz w:val="20"/>
          <w:szCs w:val="20"/>
          <w:lang w:val="fr-CA" w:eastAsia="en-CA"/>
        </w:rPr>
        <w:t> »). Suivant cette disposition, un organisme public est tenu de produire les documents exigés par le commissaire [</w:t>
      </w:r>
      <w:r w:rsidRPr="00DA1A23">
        <w:rPr>
          <w:rFonts w:eastAsia="Times New Roman" w:cs="Times New Roman"/>
          <w:smallCaps/>
          <w:sz w:val="20"/>
          <w:szCs w:val="20"/>
          <w:lang w:val="fr-CA" w:eastAsia="en-CA"/>
        </w:rPr>
        <w:t>traduction</w:t>
      </w:r>
      <w:r w:rsidRPr="00DA1A23">
        <w:rPr>
          <w:rFonts w:eastAsia="Times New Roman" w:cs="Times New Roman"/>
          <w:sz w:val="20"/>
          <w:szCs w:val="20"/>
          <w:lang w:val="fr-CA" w:eastAsia="en-CA"/>
        </w:rPr>
        <w:t>] « [m]</w:t>
      </w:r>
      <w:proofErr w:type="spellStart"/>
      <w:r w:rsidRPr="00DA1A23">
        <w:rPr>
          <w:rFonts w:eastAsia="Times New Roman" w:cs="Times New Roman"/>
          <w:sz w:val="20"/>
          <w:szCs w:val="20"/>
          <w:lang w:val="fr-CA" w:eastAsia="en-CA"/>
        </w:rPr>
        <w:t>algré</w:t>
      </w:r>
      <w:proofErr w:type="spellEnd"/>
      <w:r w:rsidRPr="00DA1A23">
        <w:rPr>
          <w:rFonts w:eastAsia="Times New Roman" w:cs="Times New Roman"/>
          <w:sz w:val="20"/>
          <w:szCs w:val="20"/>
          <w:lang w:val="fr-CA" w:eastAsia="en-CA"/>
        </w:rPr>
        <w:t xml:space="preserve"> [. . .] tout privilège que reconnaît le droit de la preuve ». L’Université a demandé le contrôle judiciaire de la décision du délégué de donner l’avis, mais elle n’a pas eu gain de cause. Toutefois, en appel, il a été décidé que l’expression « tout privilège que reconnaît le droit de la preuve » employée au </w:t>
      </w:r>
      <w:proofErr w:type="spellStart"/>
      <w:r w:rsidRPr="00DA1A23">
        <w:rPr>
          <w:rFonts w:eastAsia="Times New Roman" w:cs="Times New Roman"/>
          <w:sz w:val="20"/>
          <w:szCs w:val="20"/>
          <w:lang w:val="fr-CA" w:eastAsia="en-CA"/>
        </w:rPr>
        <w:t>par</w:t>
      </w:r>
      <w:proofErr w:type="spellEnd"/>
      <w:r w:rsidRPr="00DA1A23">
        <w:rPr>
          <w:rFonts w:eastAsia="Times New Roman" w:cs="Times New Roman"/>
          <w:sz w:val="20"/>
          <w:szCs w:val="20"/>
          <w:lang w:val="fr-CA" w:eastAsia="en-CA"/>
        </w:rPr>
        <w:t>. 56(3) n’englobait pas le secret professionnel de l’avocat.</w:t>
      </w:r>
    </w:p>
    <w:p w:rsidR="00DA1A23" w:rsidRPr="00DA1A23" w:rsidRDefault="00DA1A23" w:rsidP="00DA1A23">
      <w:pPr>
        <w:tabs>
          <w:tab w:val="left" w:pos="1168"/>
        </w:tabs>
        <w:jc w:val="both"/>
        <w:rPr>
          <w:rFonts w:eastAsia="Times New Roman" w:cs="Times New Roman"/>
          <w:sz w:val="20"/>
          <w:szCs w:val="20"/>
          <w:lang w:val="fr-CA" w:eastAsia="en-CA"/>
        </w:rPr>
      </w:pP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r>
      <w:r w:rsidRPr="00DA1A23">
        <w:rPr>
          <w:rFonts w:eastAsia="Times New Roman" w:cs="Times New Roman"/>
          <w:i/>
          <w:sz w:val="20"/>
          <w:szCs w:val="20"/>
          <w:lang w:val="fr-CA" w:eastAsia="en-CA"/>
        </w:rPr>
        <w:t>Arrêt</w:t>
      </w:r>
      <w:r w:rsidRPr="00DA1A23">
        <w:rPr>
          <w:rFonts w:eastAsia="Times New Roman" w:cs="Times New Roman"/>
          <w:sz w:val="20"/>
          <w:szCs w:val="20"/>
          <w:lang w:val="fr-CA" w:eastAsia="en-CA"/>
        </w:rPr>
        <w:t> : Le pourvoi est rejeté.</w:t>
      </w:r>
    </w:p>
    <w:p w:rsidR="00DA1A23" w:rsidRPr="00DA1A23" w:rsidRDefault="00DA1A23" w:rsidP="00DA1A23">
      <w:pPr>
        <w:tabs>
          <w:tab w:val="left" w:pos="1168"/>
        </w:tabs>
        <w:jc w:val="both"/>
        <w:rPr>
          <w:rFonts w:eastAsia="Times New Roman" w:cs="Times New Roman"/>
          <w:sz w:val="20"/>
          <w:szCs w:val="20"/>
          <w:lang w:val="fr-CA" w:eastAsia="en-CA"/>
        </w:rPr>
      </w:pP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r>
      <w:r w:rsidRPr="00DA1A23">
        <w:rPr>
          <w:rFonts w:eastAsia="Times New Roman" w:cs="Times New Roman"/>
          <w:i/>
          <w:sz w:val="20"/>
          <w:szCs w:val="20"/>
          <w:lang w:val="fr-CA" w:eastAsia="en-CA"/>
        </w:rPr>
        <w:t xml:space="preserve">Les </w:t>
      </w:r>
      <w:r w:rsidRPr="00DA1A23">
        <w:rPr>
          <w:rFonts w:eastAsia="Times New Roman" w:cs="Times New Roman"/>
          <w:sz w:val="20"/>
          <w:szCs w:val="20"/>
          <w:lang w:val="fr-CA" w:eastAsia="en-CA"/>
        </w:rPr>
        <w:t xml:space="preserve">juges Moldaver, Karakatsanis, Wagner, Gascon et </w:t>
      </w:r>
      <w:r w:rsidRPr="00DA1A23">
        <w:rPr>
          <w:rFonts w:eastAsia="Times New Roman" w:cs="Times New Roman"/>
          <w:b/>
          <w:sz w:val="20"/>
          <w:szCs w:val="20"/>
          <w:lang w:val="fr-CA" w:eastAsia="en-CA"/>
        </w:rPr>
        <w:t>Côté</w:t>
      </w:r>
      <w:r w:rsidRPr="00DA1A23">
        <w:rPr>
          <w:rFonts w:eastAsia="Times New Roman" w:cs="Times New Roman"/>
          <w:sz w:val="20"/>
          <w:szCs w:val="20"/>
          <w:lang w:val="fr-CA" w:eastAsia="en-CA"/>
        </w:rPr>
        <w:t xml:space="preserve"> : La question de savoir si le par. 56(3) de la </w:t>
      </w:r>
      <w:r w:rsidRPr="00DA1A23">
        <w:rPr>
          <w:rFonts w:eastAsia="Times New Roman" w:cs="Times New Roman"/>
          <w:i/>
          <w:sz w:val="20"/>
          <w:szCs w:val="20"/>
          <w:lang w:val="fr-CA" w:eastAsia="en-CA"/>
        </w:rPr>
        <w:t>FOIPP</w:t>
      </w:r>
      <w:r w:rsidRPr="00DA1A23">
        <w:rPr>
          <w:rFonts w:eastAsia="Times New Roman" w:cs="Times New Roman"/>
          <w:sz w:val="20"/>
          <w:szCs w:val="20"/>
          <w:lang w:val="fr-CA" w:eastAsia="en-CA"/>
        </w:rPr>
        <w:t xml:space="preserve"> permet l’examen d’un document à l’égard duquel est invoqué le secret professionnel de l’avocat est d’importance capitale pour le système juridique dans son ensemble et elle se situe en dehors du domaine d’expertise du commissaire. Décider qu’un libellé législatif est suffisant ou non pour autoriser un tribunal administratif à porter atteinte au secret professionnel de l’avocat est susceptible d’avoir de grandes répercussions sur d’autres régimes législatifs. La norme de contrôle applicable est donc celle de la décision correcte en ce qui a trait tant à (i) la décision du commissaire selon laquelle il possède le pouvoir d’exiger la production des documents à l’égard desquels le secret professionnel de l’avocat est invoqué qu’à (ii) celle de donner un avis enjoignant à son destinataire de produire des documents. </w:t>
      </w:r>
    </w:p>
    <w:p w:rsidR="00DA1A23" w:rsidRPr="00DA1A23" w:rsidRDefault="00DA1A23" w:rsidP="00DA1A23">
      <w:pPr>
        <w:tabs>
          <w:tab w:val="left" w:pos="1168"/>
        </w:tabs>
        <w:jc w:val="both"/>
        <w:rPr>
          <w:rFonts w:eastAsia="Times New Roman" w:cs="Times New Roman"/>
          <w:sz w:val="20"/>
          <w:szCs w:val="20"/>
          <w:lang w:val="fr-CA" w:eastAsia="en-CA"/>
        </w:rPr>
      </w:pP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t xml:space="preserve">L’expression « tout privilège que reconnaît le droit de la preuve » n’oblige pas un organisme public à communiquer au commissaire un document à l’égard duquel est invoqué le secret professionnel de l’avocat. Le secret professionnel de l’avocat n’est plus seulement un privilège du droit de la preuve, mais constitue un droit substantiel qui est essentiel au bon fonctionnement de notre système de justice. La communication de documents en application d’un régime d’accès à l’information établi par une loi, indépendamment d’une instance judiciaire, met en jeu le secret </w:t>
      </w:r>
      <w:r w:rsidRPr="00DA1A23">
        <w:rPr>
          <w:rFonts w:eastAsia="Times New Roman" w:cs="Times New Roman"/>
          <w:sz w:val="20"/>
          <w:szCs w:val="20"/>
          <w:lang w:val="fr-CA" w:eastAsia="en-CA"/>
        </w:rPr>
        <w:lastRenderedPageBreak/>
        <w:t xml:space="preserve">professionnel de l’avocat sur le plan du fond plutôt que sur celui de la preuve. Si le secret professionnel de l’avocat constitue un principe fondamental du droit, la disposition législative dont l’objet est de le supprimer, de l’écarter ou d’y porter atteinte doit être interprétée de manière restrictive et l’intention du législateur doit y être claire et non équivoque. Le par. 56(3) ne satisfait pas à cette exigence et ne traduit donc pas l’intention claire et non équivoque du législateur d’écarter le secret professionnel de l’avocat. Cette conclusion ne constitue pas un abandon de la méthode moderne d’interprétation des lois, mais reconnaît le respect des valeurs fondamentales par le législateur. </w:t>
      </w:r>
    </w:p>
    <w:p w:rsidR="00DA1A23" w:rsidRPr="00DA1A23" w:rsidRDefault="00DA1A23" w:rsidP="00DA1A23">
      <w:pPr>
        <w:tabs>
          <w:tab w:val="left" w:pos="1168"/>
        </w:tabs>
        <w:jc w:val="both"/>
        <w:rPr>
          <w:rFonts w:eastAsia="Times New Roman" w:cs="Times New Roman"/>
          <w:sz w:val="20"/>
          <w:szCs w:val="20"/>
          <w:lang w:val="fr-CA" w:eastAsia="en-CA"/>
        </w:rPr>
      </w:pP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t xml:space="preserve">L’interprétation du par. 56(3) dans le contexte global de la loi confirme que le législateur n’a pas voulu écarter le secret professionnel de l’avocat. Premièrement, le par. 27(1) de la </w:t>
      </w:r>
      <w:r w:rsidRPr="00DA1A23">
        <w:rPr>
          <w:rFonts w:eastAsia="Times New Roman" w:cs="Times New Roman"/>
          <w:i/>
          <w:sz w:val="20"/>
          <w:szCs w:val="20"/>
          <w:lang w:val="fr-CA" w:eastAsia="en-CA"/>
        </w:rPr>
        <w:t>FOIPP</w:t>
      </w:r>
      <w:r w:rsidRPr="00DA1A23">
        <w:rPr>
          <w:rFonts w:eastAsia="Times New Roman" w:cs="Times New Roman"/>
          <w:sz w:val="20"/>
          <w:szCs w:val="20"/>
          <w:lang w:val="fr-CA" w:eastAsia="en-CA"/>
        </w:rPr>
        <w:t xml:space="preserve"> établit sans conteste qu’un organisme public peut refuser de communiquer des [</w:t>
      </w:r>
      <w:r w:rsidRPr="00DA1A23">
        <w:rPr>
          <w:rFonts w:eastAsia="Times New Roman" w:cs="Times New Roman"/>
          <w:smallCaps/>
          <w:sz w:val="20"/>
          <w:szCs w:val="20"/>
          <w:lang w:val="fr-CA" w:eastAsia="en-CA"/>
        </w:rPr>
        <w:t>traduction</w:t>
      </w:r>
      <w:r w:rsidRPr="00DA1A23">
        <w:rPr>
          <w:rFonts w:eastAsia="Times New Roman" w:cs="Times New Roman"/>
          <w:sz w:val="20"/>
          <w:szCs w:val="20"/>
          <w:lang w:val="fr-CA" w:eastAsia="en-CA"/>
        </w:rPr>
        <w:t>] « renseignements qui sont protégés par tout type de privilège légal, notamment le secret professionnel de l’avocat ». Deuxièmement, il s’agit d’une interprétation cohérente. Le « privilège que reconnaît le droit de la preuve » et auquel renvoie le par. 56(3) est une sous</w:t>
      </w:r>
      <w:r w:rsidRPr="00DA1A23">
        <w:rPr>
          <w:rFonts w:eastAsia="Times New Roman" w:cs="Times New Roman"/>
          <w:sz w:val="20"/>
          <w:szCs w:val="20"/>
          <w:lang w:val="fr-CA" w:eastAsia="en-CA"/>
        </w:rPr>
        <w:noBreakHyphen/>
        <w:t>catégorie des « privilèges légaux » dont fait mention le par. 27(1). Interprétées de pair, les deux dispositions font en sorte qu’un organisme public peut refuser de communiquer un document qui fait l’objet d’un « privilège légal », alors que le commissaire peut obtenir un document à l’égard duquel est invoqué un « privilège que reconnaît le droit de la preuve » afin de se prononcer sur le bien</w:t>
      </w:r>
      <w:r w:rsidRPr="00DA1A23">
        <w:rPr>
          <w:rFonts w:eastAsia="Times New Roman" w:cs="Times New Roman"/>
          <w:sz w:val="20"/>
          <w:szCs w:val="20"/>
          <w:lang w:val="fr-CA" w:eastAsia="en-CA"/>
        </w:rPr>
        <w:noBreakHyphen/>
        <w:t>fondé de la revendication. Troisièmement, étant donné l’importance fondamentale du secret professionnel de l’avocat, si le législateur avait voulu l’écarter, il aurait établi certaines sauvegardes afin de faire en sorte que la communication de documents protégés par le secret professionnel de l’avocat n’intervienne pas de manière préjudiciable au droit substantiel ou il aurait précisé que la communication au commissaire d’un document protégé par le secret professionnel de l’avocat emporte ou non renonciation au privilège.</w:t>
      </w:r>
    </w:p>
    <w:p w:rsidR="00DA1A23" w:rsidRPr="00DA1A23" w:rsidRDefault="00DA1A23" w:rsidP="00DA1A23">
      <w:pPr>
        <w:tabs>
          <w:tab w:val="left" w:pos="1168"/>
        </w:tabs>
        <w:jc w:val="both"/>
        <w:rPr>
          <w:rFonts w:eastAsia="Times New Roman" w:cs="Times New Roman"/>
          <w:sz w:val="20"/>
          <w:szCs w:val="20"/>
          <w:lang w:val="fr-CA" w:eastAsia="en-CA"/>
        </w:rPr>
      </w:pP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t>Enfin, même si le par. 56(3) traduisait clairement l’intention du législateur d’écarter le secret professionnel de l’avocat, il ne s’agit pas en l’espèce d’une affaire qui se prête à une ordonnance de communication. Même si le délégué a conclu qu’il devait examiner les documents parce que l’Université n’avait pas établi l’application du secret professionnel de l’avocat comme l’exigeait le Protocole, celui</w:t>
      </w:r>
      <w:r w:rsidRPr="00DA1A23">
        <w:rPr>
          <w:rFonts w:eastAsia="Times New Roman" w:cs="Times New Roman"/>
          <w:sz w:val="20"/>
          <w:szCs w:val="20"/>
          <w:lang w:val="fr-CA" w:eastAsia="en-CA"/>
        </w:rPr>
        <w:noBreakHyphen/>
        <w:t>ci ne constitue pas une règle de droit. Il s’agit plutôt d’un guide conçu par le Commissariat à l’intention des décideurs et des organismes publics. Le courant alors dominant dans les instances civiles albertaines permettait à une partie de regrouper les documents protégés par le secret professionnel de l’avocat et de les identifier au moyen de numéros, et aucun élément de preuve ni aucun argument selon lequel l’Université avait invoqué sans droit le secret professionnel de l’avocat n’avait été présenté. Dans ces circonstances, le délégué a eu tort de conclure qu’il lui fallait examiner les documents pour se prononcer en toute justice sur l’existence du privilège.</w:t>
      </w:r>
    </w:p>
    <w:p w:rsidR="00DA1A23" w:rsidRPr="00DA1A23" w:rsidRDefault="00DA1A23" w:rsidP="00DA1A23">
      <w:pPr>
        <w:tabs>
          <w:tab w:val="left" w:pos="1168"/>
        </w:tabs>
        <w:jc w:val="both"/>
        <w:rPr>
          <w:rFonts w:eastAsia="Times New Roman" w:cs="Times New Roman"/>
          <w:sz w:val="20"/>
          <w:szCs w:val="20"/>
          <w:lang w:val="fr-CA" w:eastAsia="en-CA"/>
        </w:rPr>
      </w:pP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r>
      <w:r w:rsidRPr="00DA1A23">
        <w:rPr>
          <w:rFonts w:eastAsia="Times New Roman" w:cs="Times New Roman"/>
          <w:i/>
          <w:sz w:val="20"/>
          <w:szCs w:val="20"/>
          <w:lang w:val="fr-CA" w:eastAsia="en-CA"/>
        </w:rPr>
        <w:t xml:space="preserve">Le </w:t>
      </w:r>
      <w:r w:rsidRPr="00DA1A23">
        <w:rPr>
          <w:rFonts w:eastAsia="Times New Roman" w:cs="Times New Roman"/>
          <w:sz w:val="20"/>
          <w:szCs w:val="20"/>
          <w:lang w:val="fr-CA" w:eastAsia="en-CA"/>
        </w:rPr>
        <w:t xml:space="preserve">juge </w:t>
      </w:r>
      <w:r w:rsidRPr="00DA1A23">
        <w:rPr>
          <w:rFonts w:eastAsia="Times New Roman" w:cs="Times New Roman"/>
          <w:b/>
          <w:sz w:val="20"/>
          <w:szCs w:val="20"/>
          <w:lang w:val="fr-CA" w:eastAsia="en-CA"/>
        </w:rPr>
        <w:t>Cromwell</w:t>
      </w:r>
      <w:r w:rsidRPr="00DA1A23">
        <w:rPr>
          <w:rFonts w:eastAsia="Times New Roman" w:cs="Times New Roman"/>
          <w:sz w:val="20"/>
          <w:szCs w:val="20"/>
          <w:lang w:val="fr-CA" w:eastAsia="en-CA"/>
        </w:rPr>
        <w:t xml:space="preserve"> : Il appert du libellé exprès du par. 56(3) de la </w:t>
      </w:r>
      <w:proofErr w:type="spellStart"/>
      <w:r w:rsidRPr="00DA1A23">
        <w:rPr>
          <w:rFonts w:eastAsia="Times New Roman" w:cs="Times New Roman"/>
          <w:i/>
          <w:sz w:val="20"/>
          <w:szCs w:val="20"/>
          <w:lang w:val="fr-CA" w:eastAsia="en-CA"/>
        </w:rPr>
        <w:t>Freedom</w:t>
      </w:r>
      <w:proofErr w:type="spellEnd"/>
      <w:r w:rsidRPr="00DA1A23">
        <w:rPr>
          <w:rFonts w:eastAsia="Times New Roman" w:cs="Times New Roman"/>
          <w:i/>
          <w:sz w:val="20"/>
          <w:szCs w:val="20"/>
          <w:lang w:val="fr-CA" w:eastAsia="en-CA"/>
        </w:rPr>
        <w:t xml:space="preserve"> of Information and Protection of </w:t>
      </w:r>
      <w:proofErr w:type="spellStart"/>
      <w:r w:rsidRPr="00DA1A23">
        <w:rPr>
          <w:rFonts w:eastAsia="Times New Roman" w:cs="Times New Roman"/>
          <w:i/>
          <w:sz w:val="20"/>
          <w:szCs w:val="20"/>
          <w:lang w:val="fr-CA" w:eastAsia="en-CA"/>
        </w:rPr>
        <w:t>Privacy</w:t>
      </w:r>
      <w:proofErr w:type="spellEnd"/>
      <w:r w:rsidRPr="00DA1A23">
        <w:rPr>
          <w:rFonts w:eastAsia="Times New Roman" w:cs="Times New Roman"/>
          <w:i/>
          <w:sz w:val="20"/>
          <w:szCs w:val="20"/>
          <w:lang w:val="fr-CA" w:eastAsia="en-CA"/>
        </w:rPr>
        <w:t xml:space="preserve"> </w:t>
      </w:r>
      <w:proofErr w:type="spellStart"/>
      <w:r w:rsidRPr="00DA1A23">
        <w:rPr>
          <w:rFonts w:eastAsia="Times New Roman" w:cs="Times New Roman"/>
          <w:i/>
          <w:sz w:val="20"/>
          <w:szCs w:val="20"/>
          <w:lang w:val="fr-CA" w:eastAsia="en-CA"/>
        </w:rPr>
        <w:t>Act</w:t>
      </w:r>
      <w:proofErr w:type="spellEnd"/>
      <w:r w:rsidRPr="00DA1A23">
        <w:rPr>
          <w:rFonts w:eastAsia="Times New Roman" w:cs="Times New Roman"/>
          <w:sz w:val="20"/>
          <w:szCs w:val="20"/>
          <w:lang w:val="fr-CA" w:eastAsia="en-CA"/>
        </w:rPr>
        <w:t xml:space="preserve"> et de la totalité du contexte dans lequel il s’inscrit que le législateur a voulu supprimer le secret professionnel de l’avocat pour permettre au commissaire d’ordonner la production de documents lorsque cette mesure est nécessaire pour se prononcer sur l’application du secret professionnel de l’avocat invoqué à leur égard. Le par. 56(3) confère explicitement ce pouvoir [</w:t>
      </w:r>
      <w:r w:rsidRPr="00DA1A23">
        <w:rPr>
          <w:rFonts w:eastAsia="Times New Roman" w:cs="Times New Roman"/>
          <w:smallCaps/>
          <w:sz w:val="20"/>
          <w:szCs w:val="20"/>
          <w:lang w:val="fr-CA" w:eastAsia="en-CA"/>
        </w:rPr>
        <w:t>traduction</w:t>
      </w:r>
      <w:r w:rsidRPr="00DA1A23">
        <w:rPr>
          <w:rFonts w:eastAsia="Times New Roman" w:cs="Times New Roman"/>
          <w:sz w:val="20"/>
          <w:szCs w:val="20"/>
          <w:lang w:val="fr-CA" w:eastAsia="en-CA"/>
        </w:rPr>
        <w:t>] « [m]</w:t>
      </w:r>
      <w:proofErr w:type="spellStart"/>
      <w:r w:rsidRPr="00DA1A23">
        <w:rPr>
          <w:rFonts w:eastAsia="Times New Roman" w:cs="Times New Roman"/>
          <w:sz w:val="20"/>
          <w:szCs w:val="20"/>
          <w:lang w:val="fr-CA" w:eastAsia="en-CA"/>
        </w:rPr>
        <w:t>algré</w:t>
      </w:r>
      <w:proofErr w:type="spellEnd"/>
      <w:r w:rsidRPr="00DA1A23">
        <w:rPr>
          <w:rFonts w:eastAsia="Times New Roman" w:cs="Times New Roman"/>
          <w:sz w:val="20"/>
          <w:szCs w:val="20"/>
          <w:lang w:val="fr-CA" w:eastAsia="en-CA"/>
        </w:rPr>
        <w:t xml:space="preserve"> [. . .] tout privilège que reconnaît le droit de la preuve », et la conclusion selon laquelle, pour l’application de la </w:t>
      </w:r>
      <w:r w:rsidRPr="00DA1A23">
        <w:rPr>
          <w:rFonts w:eastAsia="Times New Roman" w:cs="Times New Roman"/>
          <w:i/>
          <w:sz w:val="20"/>
          <w:szCs w:val="20"/>
          <w:lang w:val="fr-CA" w:eastAsia="en-CA"/>
        </w:rPr>
        <w:t>FOIPP</w:t>
      </w:r>
      <w:r w:rsidRPr="00DA1A23">
        <w:rPr>
          <w:rFonts w:eastAsia="Times New Roman" w:cs="Times New Roman"/>
          <w:sz w:val="20"/>
          <w:szCs w:val="20"/>
          <w:lang w:val="fr-CA" w:eastAsia="en-CA"/>
        </w:rPr>
        <w:t>, le secret professionnel de l’avocat constitue un privilège légal, mais non un « privilège que reconnaît le droit de la preuve », n’est pas justifiée.</w:t>
      </w:r>
    </w:p>
    <w:p w:rsidR="00DA1A23" w:rsidRPr="00DA1A23" w:rsidRDefault="00DA1A23" w:rsidP="00DA1A23">
      <w:pPr>
        <w:tabs>
          <w:tab w:val="left" w:pos="1168"/>
        </w:tabs>
        <w:jc w:val="both"/>
        <w:rPr>
          <w:rFonts w:eastAsia="Times New Roman" w:cs="Times New Roman"/>
          <w:sz w:val="20"/>
          <w:szCs w:val="20"/>
          <w:lang w:val="fr-CA" w:eastAsia="en-CA"/>
        </w:rPr>
      </w:pP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t xml:space="preserve">Suivant leur sens ordinaire et grammatical, les mots « tout privilège que reconnaît le droit de la preuve » employés au </w:t>
      </w:r>
      <w:proofErr w:type="spellStart"/>
      <w:r w:rsidRPr="00DA1A23">
        <w:rPr>
          <w:rFonts w:eastAsia="Times New Roman" w:cs="Times New Roman"/>
          <w:sz w:val="20"/>
          <w:szCs w:val="20"/>
          <w:lang w:val="fr-CA" w:eastAsia="en-CA"/>
        </w:rPr>
        <w:t>par</w:t>
      </w:r>
      <w:proofErr w:type="spellEnd"/>
      <w:r w:rsidRPr="00DA1A23">
        <w:rPr>
          <w:rFonts w:eastAsia="Times New Roman" w:cs="Times New Roman"/>
          <w:sz w:val="20"/>
          <w:szCs w:val="20"/>
          <w:lang w:val="fr-CA" w:eastAsia="en-CA"/>
        </w:rPr>
        <w:t xml:space="preserve">. 56(3) englobent le secret professionnel de l’avocat, lequel constitue à la fois un privilège en matière de preuve et un principe de fond. Mais comme l’Université demande qu’on la soustraie à l’obligation de produire les documents exigés par la Commissaire en vertu de ses pouvoirs légaux, c’est le privilège en matière de preuve qui est en cause en l’espèce. Le fait que le par. 27(1) de la </w:t>
      </w:r>
      <w:r w:rsidRPr="00DA1A23">
        <w:rPr>
          <w:rFonts w:eastAsia="Times New Roman" w:cs="Times New Roman"/>
          <w:i/>
          <w:sz w:val="20"/>
          <w:szCs w:val="20"/>
          <w:lang w:val="fr-CA" w:eastAsia="en-CA"/>
        </w:rPr>
        <w:t>FOIPP</w:t>
      </w:r>
      <w:r w:rsidRPr="00DA1A23">
        <w:rPr>
          <w:rFonts w:eastAsia="Times New Roman" w:cs="Times New Roman"/>
          <w:sz w:val="20"/>
          <w:szCs w:val="20"/>
          <w:lang w:val="fr-CA" w:eastAsia="en-CA"/>
        </w:rPr>
        <w:t xml:space="preserve"> renvoie précisément au [</w:t>
      </w:r>
      <w:r w:rsidRPr="00DA1A23">
        <w:rPr>
          <w:rFonts w:eastAsia="Times New Roman" w:cs="Times New Roman"/>
          <w:smallCaps/>
          <w:sz w:val="20"/>
          <w:szCs w:val="20"/>
          <w:lang w:val="fr-CA" w:eastAsia="en-CA"/>
        </w:rPr>
        <w:t>traduction</w:t>
      </w:r>
      <w:r w:rsidRPr="00DA1A23">
        <w:rPr>
          <w:rFonts w:eastAsia="Times New Roman" w:cs="Times New Roman"/>
          <w:sz w:val="20"/>
          <w:szCs w:val="20"/>
          <w:lang w:val="fr-CA" w:eastAsia="en-CA"/>
        </w:rPr>
        <w:t>] « secret professionnel de l’avocat » n’affaiblit en rien cette interprétation du par. 56(3) car les deux dispositions remplissent des fonctions différentes. Le paragraphe 27(1) énumère un certain nombre de motifs pour lesquels un organisme public peut refuser la communication, alors que l’art. 56 précise ce que le commissaire peut faire et ce qu’il ne peut pas faire dans le cadre d’une enquête. Aucun des éléments de ces dispositions ne permet de conclure qu’il ne peut ordonner la production de documents qui seraient protégés par le secret professionnel de l’avocat lorsqu’il s’agit de résoudre les questions de droit et de fait qui se posent dans le cadre d’une enquête.</w:t>
      </w:r>
    </w:p>
    <w:p w:rsidR="00DA1A23" w:rsidRPr="00DA1A23" w:rsidRDefault="00DA1A23" w:rsidP="00DA1A23">
      <w:pPr>
        <w:tabs>
          <w:tab w:val="left" w:pos="1168"/>
        </w:tabs>
        <w:jc w:val="both"/>
        <w:rPr>
          <w:rFonts w:eastAsia="Times New Roman" w:cs="Times New Roman"/>
          <w:sz w:val="20"/>
          <w:szCs w:val="20"/>
          <w:lang w:val="fr-CA" w:eastAsia="en-CA"/>
        </w:rPr>
      </w:pP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t xml:space="preserve">Cette interprétation est également étayée par un certain nombre d’éléments contextuels. D’abord, le régime législatif appuie sans équivoque la thèse selon laquelle le législateur a voulu conférer au commissaire les pouvoirs </w:t>
      </w:r>
      <w:r w:rsidRPr="00DA1A23">
        <w:rPr>
          <w:rFonts w:eastAsia="Times New Roman" w:cs="Times New Roman"/>
          <w:sz w:val="20"/>
          <w:szCs w:val="20"/>
          <w:lang w:val="fr-CA" w:eastAsia="en-CA"/>
        </w:rPr>
        <w:lastRenderedPageBreak/>
        <w:t xml:space="preserve">nécessaires pour décider si des documents doivent ou non être produits par un organisme public, notamment celui de statuer sur l’existence d’un privilège, sous réserve du contrôle judiciaire de l’exercice de ces pouvoirs. Plus particulièrement, la </w:t>
      </w:r>
      <w:r w:rsidRPr="00DA1A23">
        <w:rPr>
          <w:rFonts w:eastAsia="Times New Roman" w:cs="Times New Roman"/>
          <w:i/>
          <w:sz w:val="20"/>
          <w:szCs w:val="20"/>
          <w:lang w:val="fr-CA" w:eastAsia="en-CA"/>
        </w:rPr>
        <w:t>FOIPP</w:t>
      </w:r>
      <w:r w:rsidRPr="00DA1A23">
        <w:rPr>
          <w:rFonts w:eastAsia="Times New Roman" w:cs="Times New Roman"/>
          <w:sz w:val="20"/>
          <w:szCs w:val="20"/>
          <w:lang w:val="fr-CA" w:eastAsia="en-CA"/>
        </w:rPr>
        <w:t xml:space="preserve"> établit une procédure détaillée et autonome de communication de renseignements à une personne et, sans le pouvoir de se prononcer sur l’application du secret professionnel de l’avocat, le commissaire ne serait pas en mesure de s’acquitter de son mandat légal.</w:t>
      </w:r>
    </w:p>
    <w:p w:rsidR="00DA1A23" w:rsidRPr="00DA1A23" w:rsidRDefault="00DA1A23" w:rsidP="00DA1A23">
      <w:pPr>
        <w:tabs>
          <w:tab w:val="left" w:pos="1168"/>
        </w:tabs>
        <w:jc w:val="both"/>
        <w:rPr>
          <w:rFonts w:eastAsia="Times New Roman" w:cs="Times New Roman"/>
          <w:sz w:val="20"/>
          <w:szCs w:val="20"/>
          <w:lang w:val="fr-CA" w:eastAsia="en-CA"/>
        </w:rPr>
      </w:pP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t>Deuxièmement, aucun des éléments qui militent contre la suppression législative du secret professionnel de l’avocat n’est présent en l’espèce : le commissaire possède un pouvoir juridictionnel, il ne comparaît pas au nom</w:t>
      </w:r>
      <w:r w:rsidRPr="00DA1A23">
        <w:rPr>
          <w:rFonts w:eastAsia="Times New Roman" w:cs="Times New Roman"/>
          <w:i/>
          <w:sz w:val="20"/>
          <w:szCs w:val="20"/>
          <w:lang w:val="fr-CA" w:eastAsia="en-CA"/>
        </w:rPr>
        <w:t xml:space="preserve"> </w:t>
      </w:r>
      <w:r w:rsidRPr="00DA1A23">
        <w:rPr>
          <w:rFonts w:eastAsia="Times New Roman" w:cs="Times New Roman"/>
          <w:sz w:val="20"/>
          <w:szCs w:val="20"/>
          <w:lang w:val="fr-CA" w:eastAsia="en-CA"/>
        </w:rPr>
        <w:t>du plaignant et le texte du par. 56(3) ne saurait constituer une disposition d’acception large régissant la production de documents. Au contraire, le par. 56(3) prévoit expressément que le pouvoir d’ordonner la production s’applique malgré tout privilège que reconnaît le droit de la preuve.</w:t>
      </w:r>
    </w:p>
    <w:p w:rsidR="00DA1A23" w:rsidRPr="00DA1A23" w:rsidRDefault="00DA1A23" w:rsidP="00DA1A23">
      <w:pPr>
        <w:tabs>
          <w:tab w:val="left" w:pos="1168"/>
        </w:tabs>
        <w:jc w:val="both"/>
        <w:rPr>
          <w:rFonts w:eastAsia="Times New Roman" w:cs="Times New Roman"/>
          <w:sz w:val="20"/>
          <w:szCs w:val="20"/>
          <w:lang w:val="fr-CA" w:eastAsia="en-CA"/>
        </w:rPr>
      </w:pPr>
    </w:p>
    <w:p w:rsidR="00DA1A23" w:rsidRPr="00DA1A23" w:rsidRDefault="00DA1A23" w:rsidP="00DA1A23">
      <w:pPr>
        <w:tabs>
          <w:tab w:val="left" w:pos="1170"/>
        </w:tabs>
        <w:jc w:val="both"/>
        <w:rPr>
          <w:rFonts w:eastAsiaTheme="minorEastAsia" w:cs="Times New Roman"/>
          <w:sz w:val="20"/>
          <w:szCs w:val="20"/>
          <w:lang w:val="fr-CA"/>
        </w:rPr>
      </w:pPr>
      <w:r w:rsidRPr="00DA1A23">
        <w:rPr>
          <w:rFonts w:eastAsiaTheme="minorEastAsia" w:cs="Times New Roman"/>
          <w:sz w:val="20"/>
          <w:szCs w:val="20"/>
          <w:lang w:val="fr-CA"/>
        </w:rPr>
        <w:tab/>
        <w:t xml:space="preserve">Enfin, les débats qui ont précédé l’adoption de la première ébauche de la </w:t>
      </w:r>
      <w:r w:rsidRPr="00DA1A23">
        <w:rPr>
          <w:rFonts w:eastAsiaTheme="minorEastAsia" w:cs="Times New Roman"/>
          <w:i/>
          <w:sz w:val="20"/>
          <w:szCs w:val="20"/>
          <w:lang w:val="fr-CA"/>
        </w:rPr>
        <w:t>FOIPP</w:t>
      </w:r>
      <w:r w:rsidRPr="00DA1A23">
        <w:rPr>
          <w:rFonts w:eastAsiaTheme="minorEastAsia" w:cs="Times New Roman"/>
          <w:sz w:val="20"/>
          <w:szCs w:val="20"/>
          <w:lang w:val="fr-CA"/>
        </w:rPr>
        <w:t xml:space="preserve"> étayent plus avant l’interprétation voulant que le par. 56(3) supprime le secret professionnel de l’avocat, tout comme le fait que la même expression employée dans une disposition apparentée de la Colombie</w:t>
      </w:r>
      <w:r w:rsidRPr="00DA1A23">
        <w:rPr>
          <w:rFonts w:eastAsiaTheme="minorEastAsia" w:cs="Times New Roman"/>
          <w:sz w:val="20"/>
          <w:szCs w:val="20"/>
          <w:lang w:val="fr-CA"/>
        </w:rPr>
        <w:noBreakHyphen/>
        <w:t>Britannique vise clairement le secret professionnel de l’avocat.</w:t>
      </w: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t>Même si la Commissaire est investie du pouvoir d’ordonner la production en vue de son examen d’un document à l’égard duquel est invoqué le secret professionnel de l’avocat, et en tenant pour acquis (sans statuer en ce sens) que la norme de la décision correcte s’applique, la Commissaire a commis une erreur susceptible de contrôle en ordonnant la production des documents malgré la preuve offerte à l’appui de l’existence du privilège. L’allégation du privilège par l’Université respectait les exigences des règles de pratique qui valaient alors en matière civile en Alberta, et le délégué de la Commissaire a commis une erreur susceptible de contrôle en soumettant l’Université à une norme plus stricte que celle applicable dans un litige civil devant une cour de justice pour établir l’existence du privilège invoqué. La preuve offerte à la Commissaire indique clairement que les documents constituent des communications entre un avocat et son client, que celles</w:t>
      </w:r>
      <w:r w:rsidRPr="00DA1A23">
        <w:rPr>
          <w:rFonts w:eastAsia="Times New Roman" w:cs="Times New Roman"/>
          <w:sz w:val="20"/>
          <w:szCs w:val="20"/>
          <w:lang w:val="fr-CA" w:eastAsia="en-CA"/>
        </w:rPr>
        <w:noBreakHyphen/>
        <w:t xml:space="preserve">ci visaient l’obtention ou la formulation d’un avis juridique et que les parties ont voulu qu’elles demeurent confidentielles. </w:t>
      </w:r>
    </w:p>
    <w:p w:rsidR="00DA1A23" w:rsidRPr="00DA1A23" w:rsidRDefault="00DA1A23" w:rsidP="00DA1A23">
      <w:pPr>
        <w:tabs>
          <w:tab w:val="left" w:pos="1168"/>
        </w:tabs>
        <w:jc w:val="both"/>
        <w:rPr>
          <w:rFonts w:eastAsia="Times New Roman" w:cs="Times New Roman"/>
          <w:sz w:val="20"/>
          <w:szCs w:val="20"/>
          <w:lang w:val="fr-CA" w:eastAsia="en-CA"/>
        </w:rPr>
      </w:pP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r>
      <w:r w:rsidRPr="00DA1A23">
        <w:rPr>
          <w:rFonts w:eastAsia="Times New Roman" w:cs="Times New Roman"/>
          <w:i/>
          <w:sz w:val="20"/>
          <w:szCs w:val="20"/>
          <w:lang w:val="fr-CA" w:eastAsia="en-CA"/>
        </w:rPr>
        <w:t xml:space="preserve">La </w:t>
      </w:r>
      <w:r w:rsidRPr="00DA1A23">
        <w:rPr>
          <w:rFonts w:eastAsia="Times New Roman" w:cs="Times New Roman"/>
          <w:sz w:val="20"/>
          <w:szCs w:val="20"/>
          <w:lang w:val="fr-CA" w:eastAsia="en-CA"/>
        </w:rPr>
        <w:t xml:space="preserve">juge </w:t>
      </w:r>
      <w:r w:rsidRPr="00DA1A23">
        <w:rPr>
          <w:rFonts w:eastAsia="Times New Roman" w:cs="Times New Roman"/>
          <w:b/>
          <w:sz w:val="20"/>
          <w:szCs w:val="20"/>
          <w:lang w:val="fr-CA" w:eastAsia="en-CA"/>
        </w:rPr>
        <w:t>Abella</w:t>
      </w:r>
      <w:r w:rsidRPr="00DA1A23">
        <w:rPr>
          <w:rFonts w:eastAsia="Times New Roman" w:cs="Times New Roman"/>
          <w:sz w:val="20"/>
          <w:szCs w:val="20"/>
          <w:lang w:val="fr-CA" w:eastAsia="en-CA"/>
        </w:rPr>
        <w:t xml:space="preserve"> : La norme de contrôle applicable en l’espèce devrait être celle de la décision raisonnable, conformément aux arrêts de la Cour relatifs à des décisions de commissaires à l’information et à la protection de la vie privée, y compris sur l’application du secret professionnel de l’avocat. La question soulevée dans la présente affaire ne fait pas partie de celles qui, suivant l’arrêt </w:t>
      </w:r>
      <w:proofErr w:type="spellStart"/>
      <w:r w:rsidRPr="00DA1A23">
        <w:rPr>
          <w:rFonts w:eastAsia="Times New Roman" w:cs="Times New Roman"/>
          <w:i/>
          <w:sz w:val="20"/>
          <w:szCs w:val="20"/>
          <w:lang w:val="fr-CA" w:eastAsia="en-CA"/>
        </w:rPr>
        <w:t>Dunsmuir</w:t>
      </w:r>
      <w:proofErr w:type="spellEnd"/>
      <w:r w:rsidRPr="00DA1A23">
        <w:rPr>
          <w:rFonts w:eastAsia="Times New Roman" w:cs="Times New Roman"/>
          <w:i/>
          <w:sz w:val="20"/>
          <w:szCs w:val="20"/>
          <w:lang w:val="fr-CA" w:eastAsia="en-CA"/>
        </w:rPr>
        <w:t xml:space="preserve"> c. Nouveau</w:t>
      </w:r>
      <w:r w:rsidRPr="00DA1A23">
        <w:rPr>
          <w:rFonts w:eastAsia="Times New Roman" w:cs="Times New Roman"/>
          <w:i/>
          <w:sz w:val="20"/>
          <w:szCs w:val="20"/>
          <w:lang w:val="fr-CA" w:eastAsia="en-CA"/>
        </w:rPr>
        <w:noBreakHyphen/>
        <w:t>Brunswick</w:t>
      </w:r>
      <w:r w:rsidRPr="00DA1A23">
        <w:rPr>
          <w:rFonts w:eastAsia="Times New Roman" w:cs="Times New Roman"/>
          <w:sz w:val="20"/>
          <w:szCs w:val="20"/>
          <w:lang w:val="fr-CA" w:eastAsia="en-CA"/>
        </w:rPr>
        <w:t>, [2008] 1 R.C.S. 190, emportent l’assujettissement à la norme de la décision correcte. Au contraire, la Commissaire interprète sa propre loi habilitante, qui lui confère expressément le mandat de se prononcer sur l’application du secret professionnel de l’avocat. Il s’agit du territoire classique de la « </w:t>
      </w:r>
      <w:proofErr w:type="spellStart"/>
      <w:r w:rsidRPr="00DA1A23">
        <w:rPr>
          <w:rFonts w:eastAsia="Times New Roman" w:cs="Times New Roman"/>
          <w:sz w:val="20"/>
          <w:szCs w:val="20"/>
          <w:lang w:val="fr-CA" w:eastAsia="en-CA"/>
        </w:rPr>
        <w:t>raisonnabilité</w:t>
      </w:r>
      <w:proofErr w:type="spellEnd"/>
      <w:r w:rsidRPr="00DA1A23">
        <w:rPr>
          <w:rFonts w:eastAsia="Times New Roman" w:cs="Times New Roman"/>
          <w:sz w:val="20"/>
          <w:szCs w:val="20"/>
          <w:lang w:val="fr-CA" w:eastAsia="en-CA"/>
        </w:rPr>
        <w:t xml:space="preserve"> ». </w:t>
      </w:r>
    </w:p>
    <w:p w:rsidR="00DA1A23" w:rsidRPr="00DA1A23" w:rsidRDefault="00DA1A23" w:rsidP="00DA1A23">
      <w:pPr>
        <w:tabs>
          <w:tab w:val="left" w:pos="1168"/>
        </w:tabs>
        <w:jc w:val="both"/>
        <w:rPr>
          <w:rFonts w:eastAsia="Times New Roman" w:cs="Times New Roman"/>
          <w:sz w:val="20"/>
          <w:szCs w:val="20"/>
          <w:lang w:val="fr-CA" w:eastAsia="en-CA"/>
        </w:rPr>
      </w:pPr>
    </w:p>
    <w:p w:rsidR="00DA1A23" w:rsidRPr="00E54F41" w:rsidRDefault="00DA1A23" w:rsidP="00DA1A23">
      <w:pPr>
        <w:tabs>
          <w:tab w:val="left" w:pos="1168"/>
        </w:tabs>
        <w:jc w:val="both"/>
        <w:rPr>
          <w:rFonts w:eastAsia="Times New Roman" w:cs="Times New Roman"/>
          <w:sz w:val="20"/>
          <w:szCs w:val="20"/>
          <w:lang w:val="fr-CA" w:eastAsia="en-CA"/>
        </w:rPr>
      </w:pPr>
      <w:r w:rsidRPr="00DA1A23">
        <w:rPr>
          <w:rFonts w:eastAsia="Times New Roman" w:cs="Times New Roman"/>
          <w:sz w:val="20"/>
          <w:szCs w:val="20"/>
          <w:lang w:val="fr-CA" w:eastAsia="en-CA"/>
        </w:rPr>
        <w:tab/>
        <w:t>Toutefois, la décision d’ordonner la communication était déraisonnable. La Commissaire n’aurait dû exercer son pouvoir discrétionnaire de manière attentatoire au secret professionnel de l’avocat que si cela était absolument nécessaire à la réalisation des objectifs de sa loi habilitante. Elle n’a pas tenu suffisamment compte du fait que l’Université avait convenablement justifié le respect de ce privilège au vu, tout particulièrement, des règles de droit et de pratique qui avaient cours en matière civile en Alberta.</w:t>
      </w:r>
    </w:p>
    <w:p w:rsidR="00DA1A23" w:rsidRPr="00DA1A23" w:rsidRDefault="00DA1A23" w:rsidP="0056784C">
      <w:pPr>
        <w:tabs>
          <w:tab w:val="left" w:pos="1168"/>
        </w:tabs>
        <w:jc w:val="both"/>
        <w:rPr>
          <w:rFonts w:eastAsia="Times New Roman" w:cs="Times New Roman"/>
          <w:sz w:val="20"/>
          <w:szCs w:val="20"/>
          <w:lang w:val="fr-CA" w:eastAsia="en-CA"/>
        </w:rPr>
      </w:pPr>
    </w:p>
    <w:p w:rsidR="0056784C" w:rsidRPr="00E54F41" w:rsidRDefault="0056784C" w:rsidP="0056784C">
      <w:pPr>
        <w:tabs>
          <w:tab w:val="left" w:pos="1168"/>
        </w:tabs>
        <w:jc w:val="both"/>
        <w:rPr>
          <w:rFonts w:eastAsia="Times New Roman" w:cs="Times New Roman"/>
          <w:sz w:val="20"/>
          <w:szCs w:val="20"/>
          <w:lang w:val="fr-CA" w:eastAsia="en-CA"/>
        </w:rPr>
      </w:pPr>
      <w:r w:rsidRPr="00B904CB">
        <w:rPr>
          <w:rFonts w:eastAsia="Times New Roman" w:cs="Times New Roman"/>
          <w:sz w:val="20"/>
          <w:szCs w:val="20"/>
          <w:lang w:val="fr-CA" w:eastAsia="en-CA"/>
        </w:rPr>
        <w:tab/>
      </w:r>
      <w:r w:rsidRPr="0056784C">
        <w:rPr>
          <w:rFonts w:eastAsia="Times New Roman" w:cs="Times New Roman"/>
          <w:sz w:val="20"/>
          <w:szCs w:val="20"/>
          <w:lang w:val="fr-CA" w:eastAsia="en-CA"/>
        </w:rPr>
        <w:t xml:space="preserve">POURVOI contre un arrêt de la Cour d’appel de l’Alberta (les juges </w:t>
      </w:r>
      <w:proofErr w:type="spellStart"/>
      <w:r w:rsidRPr="0056784C">
        <w:rPr>
          <w:rFonts w:eastAsia="Times New Roman" w:cs="Times New Roman"/>
          <w:sz w:val="20"/>
          <w:szCs w:val="20"/>
          <w:lang w:val="fr-CA" w:eastAsia="en-CA"/>
        </w:rPr>
        <w:t>Rowbotham</w:t>
      </w:r>
      <w:proofErr w:type="spellEnd"/>
      <w:r w:rsidRPr="0056784C">
        <w:rPr>
          <w:rFonts w:eastAsia="Times New Roman" w:cs="Times New Roman"/>
          <w:sz w:val="20"/>
          <w:szCs w:val="20"/>
          <w:lang w:val="fr-CA" w:eastAsia="en-CA"/>
        </w:rPr>
        <w:t xml:space="preserve">, </w:t>
      </w:r>
      <w:proofErr w:type="spellStart"/>
      <w:r w:rsidRPr="0056784C">
        <w:rPr>
          <w:rFonts w:eastAsia="Times New Roman" w:cs="Times New Roman"/>
          <w:sz w:val="20"/>
          <w:szCs w:val="20"/>
          <w:lang w:val="fr-CA" w:eastAsia="en-CA"/>
        </w:rPr>
        <w:t>Bielby</w:t>
      </w:r>
      <w:proofErr w:type="spellEnd"/>
      <w:r w:rsidRPr="0056784C">
        <w:rPr>
          <w:rFonts w:eastAsia="Times New Roman" w:cs="Times New Roman"/>
          <w:sz w:val="20"/>
          <w:szCs w:val="20"/>
          <w:lang w:val="fr-CA" w:eastAsia="en-CA"/>
        </w:rPr>
        <w:t xml:space="preserve"> et Brown), 2015 ABCA 118, 602 A.R. 35, 647 W.A.C. 35, 12 Alta. L.R. (6th) 272, 81 Admin. L.R. (5th) 257, 382 D.L.R. (4th) 299, [2015] 7 W.W.R. 213, [2015] A.J. No. 348 (QL), 2015 </w:t>
      </w:r>
      <w:proofErr w:type="spellStart"/>
      <w:r w:rsidRPr="0056784C">
        <w:rPr>
          <w:rFonts w:eastAsia="Times New Roman" w:cs="Times New Roman"/>
          <w:sz w:val="20"/>
          <w:szCs w:val="20"/>
          <w:lang w:val="fr-CA" w:eastAsia="en-CA"/>
        </w:rPr>
        <w:t>CarswellAlta</w:t>
      </w:r>
      <w:proofErr w:type="spellEnd"/>
      <w:r w:rsidRPr="0056784C">
        <w:rPr>
          <w:rFonts w:eastAsia="Times New Roman" w:cs="Times New Roman"/>
          <w:sz w:val="20"/>
          <w:szCs w:val="20"/>
          <w:lang w:val="fr-CA" w:eastAsia="en-CA"/>
        </w:rPr>
        <w:t xml:space="preserve"> 574 (WL Can.), qui a infirmé une décision du juge Jones, 2013 ABQB 652, 90 Alta. L.R. (5th) 94, 574 A.R. 137, 66 Admin. </w:t>
      </w:r>
      <w:r w:rsidRPr="0056784C">
        <w:rPr>
          <w:rFonts w:eastAsia="Times New Roman" w:cs="Times New Roman"/>
          <w:sz w:val="20"/>
          <w:szCs w:val="20"/>
          <w:lang w:eastAsia="en-CA"/>
        </w:rPr>
        <w:t xml:space="preserve">L.R. (5th) 254, [2013] A.J. No. 1233 (QL), 2013 </w:t>
      </w:r>
      <w:proofErr w:type="spellStart"/>
      <w:r w:rsidRPr="0056784C">
        <w:rPr>
          <w:rFonts w:eastAsia="Times New Roman" w:cs="Times New Roman"/>
          <w:sz w:val="20"/>
          <w:szCs w:val="20"/>
          <w:lang w:eastAsia="en-CA"/>
        </w:rPr>
        <w:t>CarswellAlta</w:t>
      </w:r>
      <w:proofErr w:type="spellEnd"/>
      <w:r w:rsidRPr="0056784C">
        <w:rPr>
          <w:rFonts w:eastAsia="Times New Roman" w:cs="Times New Roman"/>
          <w:sz w:val="20"/>
          <w:szCs w:val="20"/>
          <w:lang w:eastAsia="en-CA"/>
        </w:rPr>
        <w:t xml:space="preserve"> 2198 (WL Can.). </w:t>
      </w:r>
      <w:r w:rsidRPr="0056784C">
        <w:rPr>
          <w:rFonts w:eastAsia="Times New Roman" w:cs="Times New Roman"/>
          <w:sz w:val="20"/>
          <w:szCs w:val="20"/>
          <w:lang w:val="fr-CA" w:eastAsia="en-CA"/>
        </w:rPr>
        <w:t>Pourvoi rejeté.</w:t>
      </w:r>
    </w:p>
    <w:p w:rsidR="0056784C" w:rsidRPr="0056784C" w:rsidRDefault="0056784C" w:rsidP="0056784C">
      <w:pPr>
        <w:tabs>
          <w:tab w:val="left" w:pos="1168"/>
        </w:tabs>
        <w:jc w:val="both"/>
        <w:rPr>
          <w:rFonts w:eastAsia="Times New Roman" w:cs="Times New Roman"/>
          <w:sz w:val="20"/>
          <w:szCs w:val="20"/>
          <w:lang w:val="fr-CA" w:eastAsia="en-CA"/>
        </w:rPr>
      </w:pPr>
    </w:p>
    <w:p w:rsidR="0056784C" w:rsidRPr="00E54F41" w:rsidRDefault="0056784C" w:rsidP="0056784C">
      <w:pPr>
        <w:tabs>
          <w:tab w:val="left" w:pos="1168"/>
        </w:tabs>
        <w:jc w:val="both"/>
        <w:rPr>
          <w:rFonts w:eastAsia="Times New Roman" w:cs="Times New Roman"/>
          <w:sz w:val="20"/>
          <w:szCs w:val="20"/>
          <w:lang w:val="fr-CA" w:eastAsia="en-CA"/>
        </w:rPr>
      </w:pPr>
      <w:r w:rsidRPr="00E54F41">
        <w:rPr>
          <w:rFonts w:eastAsia="Times New Roman" w:cs="Times New Roman"/>
          <w:sz w:val="20"/>
          <w:szCs w:val="20"/>
          <w:lang w:val="fr-CA" w:eastAsia="en-CA"/>
        </w:rPr>
        <w:tab/>
      </w:r>
      <w:r w:rsidRPr="00E54F41">
        <w:rPr>
          <w:rFonts w:eastAsia="Times New Roman" w:cs="Times New Roman"/>
          <w:i/>
          <w:sz w:val="20"/>
          <w:szCs w:val="20"/>
          <w:lang w:val="fr-CA" w:eastAsia="en-CA"/>
        </w:rPr>
        <w:t>Glenn Solomon</w:t>
      </w:r>
      <w:r w:rsidRPr="00E54F41">
        <w:rPr>
          <w:rFonts w:eastAsia="Times New Roman" w:cs="Times New Roman"/>
          <w:sz w:val="20"/>
          <w:szCs w:val="20"/>
          <w:lang w:val="fr-CA" w:eastAsia="en-CA"/>
        </w:rPr>
        <w:t xml:space="preserve">, </w:t>
      </w:r>
      <w:proofErr w:type="spellStart"/>
      <w:proofErr w:type="gramStart"/>
      <w:r w:rsidRPr="00E54F41">
        <w:rPr>
          <w:rFonts w:eastAsia="Times New Roman" w:cs="Times New Roman"/>
          <w:i/>
          <w:sz w:val="20"/>
          <w:szCs w:val="20"/>
          <w:lang w:val="fr-CA" w:eastAsia="en-CA"/>
        </w:rPr>
        <w:t>c.r</w:t>
      </w:r>
      <w:proofErr w:type="spellEnd"/>
      <w:r w:rsidRPr="00E54F41">
        <w:rPr>
          <w:rFonts w:eastAsia="Times New Roman" w:cs="Times New Roman"/>
          <w:i/>
          <w:sz w:val="20"/>
          <w:szCs w:val="20"/>
          <w:lang w:val="fr-CA" w:eastAsia="en-CA"/>
        </w:rPr>
        <w:t>.</w:t>
      </w:r>
      <w:r w:rsidRPr="00E54F41">
        <w:rPr>
          <w:rFonts w:eastAsia="Times New Roman" w:cs="Times New Roman"/>
          <w:sz w:val="20"/>
          <w:szCs w:val="20"/>
          <w:lang w:val="fr-CA" w:eastAsia="en-CA"/>
        </w:rPr>
        <w:t>,</w:t>
      </w:r>
      <w:proofErr w:type="gramEnd"/>
      <w:r w:rsidRPr="00E54F41">
        <w:rPr>
          <w:rFonts w:eastAsia="Times New Roman" w:cs="Times New Roman"/>
          <w:sz w:val="20"/>
          <w:szCs w:val="20"/>
          <w:lang w:val="fr-CA" w:eastAsia="en-CA"/>
        </w:rPr>
        <w:t xml:space="preserve"> et </w:t>
      </w:r>
      <w:r w:rsidRPr="00E54F41">
        <w:rPr>
          <w:rFonts w:eastAsia="Times New Roman" w:cs="Times New Roman"/>
          <w:i/>
          <w:sz w:val="20"/>
          <w:szCs w:val="20"/>
          <w:lang w:val="fr-CA" w:eastAsia="en-CA"/>
        </w:rPr>
        <w:t xml:space="preserve">Elizabeth </w:t>
      </w:r>
      <w:proofErr w:type="spellStart"/>
      <w:r w:rsidRPr="00E54F41">
        <w:rPr>
          <w:rFonts w:eastAsia="Times New Roman" w:cs="Times New Roman"/>
          <w:i/>
          <w:sz w:val="20"/>
          <w:szCs w:val="20"/>
          <w:lang w:val="fr-CA" w:eastAsia="en-CA"/>
        </w:rPr>
        <w:t>Aspinall</w:t>
      </w:r>
      <w:proofErr w:type="spellEnd"/>
      <w:r w:rsidRPr="00E54F41">
        <w:rPr>
          <w:rFonts w:eastAsia="Times New Roman" w:cs="Times New Roman"/>
          <w:sz w:val="20"/>
          <w:szCs w:val="20"/>
          <w:lang w:val="fr-CA" w:eastAsia="en-CA"/>
        </w:rPr>
        <w:t>, pour l’appelante.</w:t>
      </w:r>
    </w:p>
    <w:p w:rsidR="0056784C" w:rsidRPr="0056784C" w:rsidRDefault="0056784C" w:rsidP="0056784C">
      <w:pPr>
        <w:tabs>
          <w:tab w:val="left" w:pos="1168"/>
        </w:tabs>
        <w:jc w:val="both"/>
        <w:rPr>
          <w:rFonts w:eastAsia="Times New Roman" w:cs="Times New Roman"/>
          <w:sz w:val="20"/>
          <w:szCs w:val="20"/>
          <w:lang w:val="fr-CA" w:eastAsia="en-CA"/>
        </w:rPr>
      </w:pPr>
    </w:p>
    <w:p w:rsidR="0056784C" w:rsidRPr="00E54F41" w:rsidRDefault="0056784C" w:rsidP="0056784C">
      <w:pPr>
        <w:tabs>
          <w:tab w:val="left" w:pos="1168"/>
        </w:tabs>
        <w:jc w:val="both"/>
        <w:rPr>
          <w:rFonts w:eastAsia="Times New Roman" w:cs="Times New Roman"/>
          <w:sz w:val="20"/>
          <w:szCs w:val="20"/>
          <w:lang w:val="fr-CA" w:eastAsia="en-CA"/>
        </w:rPr>
      </w:pPr>
      <w:r w:rsidRPr="00E54F41">
        <w:rPr>
          <w:rFonts w:eastAsia="Times New Roman" w:cs="Times New Roman"/>
          <w:i/>
          <w:sz w:val="20"/>
          <w:szCs w:val="20"/>
          <w:lang w:val="fr-CA" w:eastAsia="en-CA"/>
        </w:rPr>
        <w:tab/>
        <w:t xml:space="preserve">Robert W. </w:t>
      </w:r>
      <w:proofErr w:type="spellStart"/>
      <w:r w:rsidRPr="00E54F41">
        <w:rPr>
          <w:rFonts w:eastAsia="Times New Roman" w:cs="Times New Roman"/>
          <w:i/>
          <w:sz w:val="20"/>
          <w:szCs w:val="20"/>
          <w:lang w:val="fr-CA" w:eastAsia="en-CA"/>
        </w:rPr>
        <w:t>Calvert</w:t>
      </w:r>
      <w:proofErr w:type="spellEnd"/>
      <w:r w:rsidRPr="00E54F41">
        <w:rPr>
          <w:rFonts w:eastAsia="Times New Roman" w:cs="Times New Roman"/>
          <w:sz w:val="20"/>
          <w:szCs w:val="20"/>
          <w:lang w:val="fr-CA" w:eastAsia="en-CA"/>
        </w:rPr>
        <w:t xml:space="preserve">, </w:t>
      </w:r>
      <w:proofErr w:type="spellStart"/>
      <w:proofErr w:type="gramStart"/>
      <w:r w:rsidRPr="00E54F41">
        <w:rPr>
          <w:rFonts w:eastAsia="Times New Roman" w:cs="Times New Roman"/>
          <w:i/>
          <w:sz w:val="20"/>
          <w:szCs w:val="20"/>
          <w:lang w:val="fr-CA" w:eastAsia="en-CA"/>
        </w:rPr>
        <w:t>c.r</w:t>
      </w:r>
      <w:proofErr w:type="spellEnd"/>
      <w:r w:rsidRPr="00E54F41">
        <w:rPr>
          <w:rFonts w:eastAsia="Times New Roman" w:cs="Times New Roman"/>
          <w:i/>
          <w:sz w:val="20"/>
          <w:szCs w:val="20"/>
          <w:lang w:val="fr-CA" w:eastAsia="en-CA"/>
        </w:rPr>
        <w:t>.</w:t>
      </w:r>
      <w:r w:rsidRPr="00E54F41">
        <w:rPr>
          <w:rFonts w:eastAsia="Times New Roman" w:cs="Times New Roman"/>
          <w:sz w:val="20"/>
          <w:szCs w:val="20"/>
          <w:lang w:val="fr-CA" w:eastAsia="en-CA"/>
        </w:rPr>
        <w:t>,</w:t>
      </w:r>
      <w:proofErr w:type="gramEnd"/>
      <w:r w:rsidRPr="00E54F41">
        <w:rPr>
          <w:rFonts w:eastAsia="Times New Roman" w:cs="Times New Roman"/>
          <w:sz w:val="20"/>
          <w:szCs w:val="20"/>
          <w:lang w:val="fr-CA" w:eastAsia="en-CA"/>
        </w:rPr>
        <w:t xml:space="preserve"> et </w:t>
      </w:r>
      <w:r w:rsidRPr="00E54F41">
        <w:rPr>
          <w:rFonts w:eastAsia="Times New Roman" w:cs="Times New Roman"/>
          <w:i/>
          <w:sz w:val="20"/>
          <w:szCs w:val="20"/>
          <w:lang w:val="fr-CA" w:eastAsia="en-CA"/>
        </w:rPr>
        <w:t>Michael D. A. Ford</w:t>
      </w:r>
      <w:r w:rsidRPr="00E54F41">
        <w:rPr>
          <w:rFonts w:eastAsia="Times New Roman" w:cs="Times New Roman"/>
          <w:sz w:val="20"/>
          <w:szCs w:val="20"/>
          <w:lang w:val="fr-CA" w:eastAsia="en-CA"/>
        </w:rPr>
        <w:t xml:space="preserve">, </w:t>
      </w:r>
      <w:proofErr w:type="spellStart"/>
      <w:r w:rsidRPr="00E54F41">
        <w:rPr>
          <w:rFonts w:eastAsia="Times New Roman" w:cs="Times New Roman"/>
          <w:i/>
          <w:sz w:val="20"/>
          <w:szCs w:val="20"/>
          <w:lang w:val="fr-CA" w:eastAsia="en-CA"/>
        </w:rPr>
        <w:t>c.r</w:t>
      </w:r>
      <w:proofErr w:type="spellEnd"/>
      <w:r w:rsidRPr="00E54F41">
        <w:rPr>
          <w:rFonts w:eastAsia="Times New Roman" w:cs="Times New Roman"/>
          <w:i/>
          <w:sz w:val="20"/>
          <w:szCs w:val="20"/>
          <w:lang w:val="fr-CA" w:eastAsia="en-CA"/>
        </w:rPr>
        <w:t>.</w:t>
      </w:r>
      <w:r w:rsidRPr="00E54F41">
        <w:rPr>
          <w:rFonts w:eastAsia="Times New Roman" w:cs="Times New Roman"/>
          <w:sz w:val="20"/>
          <w:szCs w:val="20"/>
          <w:lang w:val="fr-CA" w:eastAsia="en-CA"/>
        </w:rPr>
        <w:t>, pour l’intimé.</w:t>
      </w:r>
    </w:p>
    <w:p w:rsidR="0056784C" w:rsidRPr="0056784C" w:rsidRDefault="0056784C" w:rsidP="0056784C">
      <w:pPr>
        <w:tabs>
          <w:tab w:val="left" w:pos="1168"/>
        </w:tabs>
        <w:jc w:val="both"/>
        <w:rPr>
          <w:rFonts w:eastAsia="Times New Roman" w:cs="Times New Roman"/>
          <w:sz w:val="20"/>
          <w:szCs w:val="20"/>
          <w:lang w:val="fr-CA" w:eastAsia="en-CA"/>
        </w:rPr>
      </w:pPr>
    </w:p>
    <w:p w:rsidR="0056784C" w:rsidRPr="00E54F41" w:rsidRDefault="0056784C" w:rsidP="0056784C">
      <w:pPr>
        <w:tabs>
          <w:tab w:val="left" w:pos="1168"/>
        </w:tabs>
        <w:jc w:val="both"/>
        <w:rPr>
          <w:rFonts w:eastAsia="Times New Roman" w:cs="Times New Roman"/>
          <w:sz w:val="20"/>
          <w:szCs w:val="20"/>
          <w:lang w:val="fr-CA" w:eastAsia="en-CA"/>
        </w:rPr>
      </w:pPr>
      <w:r w:rsidRPr="00E54F41">
        <w:rPr>
          <w:rFonts w:eastAsia="Times New Roman" w:cs="Times New Roman"/>
          <w:sz w:val="20"/>
          <w:szCs w:val="20"/>
          <w:lang w:val="fr-CA" w:eastAsia="en-CA"/>
        </w:rPr>
        <w:tab/>
      </w:r>
      <w:r w:rsidRPr="00E54F41">
        <w:rPr>
          <w:rFonts w:eastAsia="Times New Roman" w:cs="Times New Roman"/>
          <w:i/>
          <w:sz w:val="20"/>
          <w:szCs w:val="20"/>
          <w:lang w:val="fr-CA" w:eastAsia="en-CA"/>
        </w:rPr>
        <w:t>David Phillip Jones</w:t>
      </w:r>
      <w:r w:rsidRPr="00E54F41">
        <w:rPr>
          <w:rFonts w:eastAsia="Times New Roman" w:cs="Times New Roman"/>
          <w:sz w:val="20"/>
          <w:szCs w:val="20"/>
          <w:lang w:val="fr-CA" w:eastAsia="en-CA"/>
        </w:rPr>
        <w:t xml:space="preserve">, </w:t>
      </w:r>
      <w:proofErr w:type="spellStart"/>
      <w:proofErr w:type="gramStart"/>
      <w:r w:rsidRPr="00E54F41">
        <w:rPr>
          <w:rFonts w:eastAsia="Times New Roman" w:cs="Times New Roman"/>
          <w:i/>
          <w:sz w:val="20"/>
          <w:szCs w:val="20"/>
          <w:lang w:val="fr-CA" w:eastAsia="en-CA"/>
        </w:rPr>
        <w:t>c.r</w:t>
      </w:r>
      <w:proofErr w:type="spellEnd"/>
      <w:r w:rsidRPr="00E54F41">
        <w:rPr>
          <w:rFonts w:eastAsia="Times New Roman" w:cs="Times New Roman"/>
          <w:i/>
          <w:sz w:val="20"/>
          <w:szCs w:val="20"/>
          <w:lang w:val="fr-CA" w:eastAsia="en-CA"/>
        </w:rPr>
        <w:t>.</w:t>
      </w:r>
      <w:r w:rsidRPr="00E54F41">
        <w:rPr>
          <w:rFonts w:eastAsia="Times New Roman" w:cs="Times New Roman"/>
          <w:sz w:val="20"/>
          <w:szCs w:val="20"/>
          <w:lang w:val="fr-CA" w:eastAsia="en-CA"/>
        </w:rPr>
        <w:t>,</w:t>
      </w:r>
      <w:proofErr w:type="gramEnd"/>
      <w:r w:rsidRPr="00E54F41">
        <w:rPr>
          <w:rFonts w:eastAsia="Times New Roman" w:cs="Times New Roman"/>
          <w:sz w:val="20"/>
          <w:szCs w:val="20"/>
          <w:lang w:val="fr-CA" w:eastAsia="en-CA"/>
        </w:rPr>
        <w:t xml:space="preserve"> et </w:t>
      </w:r>
      <w:r w:rsidRPr="00E54F41">
        <w:rPr>
          <w:rFonts w:eastAsia="Times New Roman" w:cs="Times New Roman"/>
          <w:i/>
          <w:sz w:val="20"/>
          <w:szCs w:val="20"/>
          <w:lang w:val="fr-CA" w:eastAsia="en-CA"/>
        </w:rPr>
        <w:t>Victoria A. Jones</w:t>
      </w:r>
      <w:r w:rsidRPr="00E54F41">
        <w:rPr>
          <w:rFonts w:eastAsia="Times New Roman" w:cs="Times New Roman"/>
          <w:sz w:val="20"/>
          <w:szCs w:val="20"/>
          <w:lang w:val="fr-CA" w:eastAsia="en-CA"/>
        </w:rPr>
        <w:t>, pour l’intervenante Law Society of Alberta.</w:t>
      </w:r>
    </w:p>
    <w:p w:rsidR="0056784C" w:rsidRPr="0056784C" w:rsidRDefault="0056784C" w:rsidP="0056784C">
      <w:pPr>
        <w:tabs>
          <w:tab w:val="left" w:pos="1168"/>
        </w:tabs>
        <w:jc w:val="both"/>
        <w:rPr>
          <w:rFonts w:eastAsia="Times New Roman" w:cs="Times New Roman"/>
          <w:sz w:val="20"/>
          <w:szCs w:val="20"/>
          <w:lang w:val="fr-CA" w:eastAsia="en-CA"/>
        </w:rPr>
      </w:pPr>
    </w:p>
    <w:p w:rsidR="0056784C" w:rsidRPr="00E54F41" w:rsidRDefault="0056784C" w:rsidP="0056784C">
      <w:pPr>
        <w:tabs>
          <w:tab w:val="left" w:pos="1168"/>
        </w:tabs>
        <w:jc w:val="both"/>
        <w:rPr>
          <w:rFonts w:eastAsia="Times New Roman" w:cs="Times New Roman"/>
          <w:sz w:val="20"/>
          <w:szCs w:val="20"/>
          <w:lang w:val="fr-CA" w:eastAsia="en-CA"/>
        </w:rPr>
      </w:pPr>
      <w:r w:rsidRPr="00E54F41">
        <w:rPr>
          <w:rFonts w:eastAsia="Times New Roman" w:cs="Times New Roman"/>
          <w:sz w:val="20"/>
          <w:szCs w:val="20"/>
          <w:lang w:val="fr-CA" w:eastAsia="en-CA"/>
        </w:rPr>
        <w:lastRenderedPageBreak/>
        <w:tab/>
        <w:t xml:space="preserve">Argumentation écrite seulement par </w:t>
      </w:r>
      <w:r w:rsidRPr="00E54F41">
        <w:rPr>
          <w:rFonts w:eastAsia="Times New Roman" w:cs="Times New Roman"/>
          <w:i/>
          <w:sz w:val="20"/>
          <w:szCs w:val="20"/>
          <w:lang w:val="fr-CA" w:eastAsia="en-CA"/>
        </w:rPr>
        <w:t xml:space="preserve">Michael A. </w:t>
      </w:r>
      <w:proofErr w:type="spellStart"/>
      <w:r w:rsidRPr="00E54F41">
        <w:rPr>
          <w:rFonts w:eastAsia="Times New Roman" w:cs="Times New Roman"/>
          <w:i/>
          <w:sz w:val="20"/>
          <w:szCs w:val="20"/>
          <w:lang w:val="fr-CA" w:eastAsia="en-CA"/>
        </w:rPr>
        <w:t>Feder</w:t>
      </w:r>
      <w:proofErr w:type="spellEnd"/>
      <w:r w:rsidRPr="00E54F41">
        <w:rPr>
          <w:rFonts w:eastAsia="Times New Roman" w:cs="Times New Roman"/>
          <w:sz w:val="20"/>
          <w:szCs w:val="20"/>
          <w:lang w:val="fr-CA" w:eastAsia="en-CA"/>
        </w:rPr>
        <w:t xml:space="preserve"> et </w:t>
      </w:r>
      <w:r w:rsidRPr="00E54F41">
        <w:rPr>
          <w:rFonts w:eastAsia="Times New Roman" w:cs="Times New Roman"/>
          <w:i/>
          <w:sz w:val="20"/>
          <w:szCs w:val="20"/>
          <w:lang w:val="fr-CA" w:eastAsia="en-CA"/>
        </w:rPr>
        <w:t xml:space="preserve">Emily </w:t>
      </w:r>
      <w:proofErr w:type="spellStart"/>
      <w:r w:rsidRPr="00E54F41">
        <w:rPr>
          <w:rFonts w:eastAsia="Times New Roman" w:cs="Times New Roman"/>
          <w:i/>
          <w:sz w:val="20"/>
          <w:szCs w:val="20"/>
          <w:lang w:val="fr-CA" w:eastAsia="en-CA"/>
        </w:rPr>
        <w:t>MacKinnon</w:t>
      </w:r>
      <w:proofErr w:type="spellEnd"/>
      <w:r w:rsidRPr="00E54F41">
        <w:rPr>
          <w:rFonts w:eastAsia="Times New Roman" w:cs="Times New Roman"/>
          <w:sz w:val="20"/>
          <w:szCs w:val="20"/>
          <w:lang w:val="fr-CA" w:eastAsia="en-CA"/>
        </w:rPr>
        <w:t xml:space="preserve">, pour l’intervenante British Columbia </w:t>
      </w:r>
      <w:proofErr w:type="spellStart"/>
      <w:r w:rsidRPr="00E54F41">
        <w:rPr>
          <w:rFonts w:eastAsia="Times New Roman" w:cs="Times New Roman"/>
          <w:sz w:val="20"/>
          <w:szCs w:val="20"/>
          <w:lang w:val="fr-CA" w:eastAsia="en-CA"/>
        </w:rPr>
        <w:t>Freedom</w:t>
      </w:r>
      <w:proofErr w:type="spellEnd"/>
      <w:r w:rsidRPr="00E54F41">
        <w:rPr>
          <w:rFonts w:eastAsia="Times New Roman" w:cs="Times New Roman"/>
          <w:sz w:val="20"/>
          <w:szCs w:val="20"/>
          <w:lang w:val="fr-CA" w:eastAsia="en-CA"/>
        </w:rPr>
        <w:t xml:space="preserve"> of Information and </w:t>
      </w:r>
      <w:proofErr w:type="spellStart"/>
      <w:r w:rsidRPr="00E54F41">
        <w:rPr>
          <w:rFonts w:eastAsia="Times New Roman" w:cs="Times New Roman"/>
          <w:sz w:val="20"/>
          <w:szCs w:val="20"/>
          <w:lang w:val="fr-CA" w:eastAsia="en-CA"/>
        </w:rPr>
        <w:t>Privacy</w:t>
      </w:r>
      <w:proofErr w:type="spellEnd"/>
      <w:r w:rsidRPr="00E54F41">
        <w:rPr>
          <w:rFonts w:eastAsia="Times New Roman" w:cs="Times New Roman"/>
          <w:sz w:val="20"/>
          <w:szCs w:val="20"/>
          <w:lang w:val="fr-CA" w:eastAsia="en-CA"/>
        </w:rPr>
        <w:t xml:space="preserve"> Association.</w:t>
      </w:r>
    </w:p>
    <w:p w:rsidR="0056784C" w:rsidRPr="0056784C" w:rsidRDefault="0056784C" w:rsidP="0056784C">
      <w:pPr>
        <w:tabs>
          <w:tab w:val="left" w:pos="1168"/>
        </w:tabs>
        <w:jc w:val="both"/>
        <w:rPr>
          <w:rFonts w:eastAsia="Times New Roman" w:cs="Times New Roman"/>
          <w:sz w:val="20"/>
          <w:szCs w:val="20"/>
          <w:lang w:val="fr-CA" w:eastAsia="en-CA"/>
        </w:rPr>
      </w:pPr>
    </w:p>
    <w:p w:rsidR="0056784C" w:rsidRPr="00E54F41" w:rsidRDefault="0056784C" w:rsidP="0056784C">
      <w:pPr>
        <w:tabs>
          <w:tab w:val="left" w:pos="1168"/>
        </w:tabs>
        <w:jc w:val="both"/>
        <w:rPr>
          <w:rFonts w:eastAsia="Times New Roman" w:cs="Times New Roman"/>
          <w:sz w:val="20"/>
          <w:szCs w:val="20"/>
          <w:lang w:val="fr-CA" w:eastAsia="en-CA"/>
        </w:rPr>
      </w:pPr>
      <w:r w:rsidRPr="00E54F41">
        <w:rPr>
          <w:rFonts w:eastAsia="Times New Roman" w:cs="Times New Roman"/>
          <w:sz w:val="20"/>
          <w:szCs w:val="20"/>
          <w:lang w:val="fr-CA" w:eastAsia="en-CA"/>
        </w:rPr>
        <w:tab/>
      </w:r>
      <w:proofErr w:type="spellStart"/>
      <w:r w:rsidRPr="00E54F41">
        <w:rPr>
          <w:rFonts w:eastAsia="Times New Roman" w:cs="Times New Roman"/>
          <w:i/>
          <w:sz w:val="20"/>
          <w:szCs w:val="20"/>
          <w:lang w:val="fr-CA" w:eastAsia="en-CA"/>
        </w:rPr>
        <w:t>Lawren</w:t>
      </w:r>
      <w:proofErr w:type="spellEnd"/>
      <w:r w:rsidRPr="00E54F41">
        <w:rPr>
          <w:rFonts w:eastAsia="Times New Roman" w:cs="Times New Roman"/>
          <w:i/>
          <w:sz w:val="20"/>
          <w:szCs w:val="20"/>
          <w:lang w:val="fr-CA" w:eastAsia="en-CA"/>
        </w:rPr>
        <w:t xml:space="preserve"> Murray</w:t>
      </w:r>
      <w:r w:rsidRPr="00E54F41">
        <w:rPr>
          <w:rFonts w:eastAsia="Times New Roman" w:cs="Times New Roman"/>
          <w:sz w:val="20"/>
          <w:szCs w:val="20"/>
          <w:lang w:val="fr-CA" w:eastAsia="en-CA"/>
        </w:rPr>
        <w:t xml:space="preserve"> et </w:t>
      </w:r>
      <w:r w:rsidRPr="00E54F41">
        <w:rPr>
          <w:rFonts w:eastAsia="Times New Roman" w:cs="Times New Roman"/>
          <w:i/>
          <w:sz w:val="20"/>
          <w:szCs w:val="20"/>
          <w:lang w:val="fr-CA" w:eastAsia="en-CA"/>
        </w:rPr>
        <w:t xml:space="preserve">David </w:t>
      </w:r>
      <w:proofErr w:type="spellStart"/>
      <w:r w:rsidRPr="00E54F41">
        <w:rPr>
          <w:rFonts w:eastAsia="Times New Roman" w:cs="Times New Roman"/>
          <w:i/>
          <w:sz w:val="20"/>
          <w:szCs w:val="20"/>
          <w:lang w:val="fr-CA" w:eastAsia="en-CA"/>
        </w:rPr>
        <w:t>Goodis</w:t>
      </w:r>
      <w:proofErr w:type="spellEnd"/>
      <w:r w:rsidRPr="00E54F41">
        <w:rPr>
          <w:rFonts w:eastAsia="Times New Roman" w:cs="Times New Roman"/>
          <w:sz w:val="20"/>
          <w:szCs w:val="20"/>
          <w:lang w:val="fr-CA" w:eastAsia="en-CA"/>
        </w:rPr>
        <w:t>, pour l’intervenant le c</w:t>
      </w:r>
      <w:r w:rsidRPr="0056784C">
        <w:rPr>
          <w:rFonts w:eastAsia="Times New Roman" w:cs="Times New Roman"/>
          <w:sz w:val="20"/>
          <w:szCs w:val="20"/>
          <w:lang w:val="fr-CA" w:eastAsia="en-CA"/>
        </w:rPr>
        <w:t>ommissaire à l’information et à la protection de la vie privée de l’Ontario</w:t>
      </w:r>
      <w:r w:rsidRPr="00E54F41">
        <w:rPr>
          <w:rFonts w:eastAsia="Times New Roman" w:cs="Times New Roman"/>
          <w:sz w:val="20"/>
          <w:szCs w:val="20"/>
          <w:lang w:val="fr-CA" w:eastAsia="en-CA"/>
        </w:rPr>
        <w:t>.</w:t>
      </w:r>
    </w:p>
    <w:p w:rsidR="0056784C" w:rsidRPr="0056784C" w:rsidRDefault="0056784C" w:rsidP="0056784C">
      <w:pPr>
        <w:tabs>
          <w:tab w:val="left" w:pos="1168"/>
        </w:tabs>
        <w:jc w:val="both"/>
        <w:rPr>
          <w:rFonts w:eastAsia="Times New Roman" w:cs="Times New Roman"/>
          <w:sz w:val="20"/>
          <w:szCs w:val="20"/>
          <w:lang w:val="fr-CA" w:eastAsia="en-CA"/>
        </w:rPr>
      </w:pPr>
    </w:p>
    <w:p w:rsidR="0056784C" w:rsidRPr="00E54F41" w:rsidRDefault="0056784C" w:rsidP="0056784C">
      <w:pPr>
        <w:tabs>
          <w:tab w:val="left" w:pos="1168"/>
        </w:tabs>
        <w:jc w:val="both"/>
        <w:rPr>
          <w:rFonts w:eastAsia="Times New Roman" w:cs="Times New Roman"/>
          <w:sz w:val="20"/>
          <w:szCs w:val="20"/>
          <w:lang w:eastAsia="en-CA"/>
        </w:rPr>
      </w:pPr>
      <w:r w:rsidRPr="00E54F41">
        <w:rPr>
          <w:rFonts w:eastAsia="Times New Roman" w:cs="Times New Roman"/>
          <w:sz w:val="20"/>
          <w:szCs w:val="20"/>
          <w:lang w:val="fr-CA" w:eastAsia="en-CA"/>
        </w:rPr>
        <w:tab/>
      </w:r>
      <w:r w:rsidRPr="00E54F41">
        <w:rPr>
          <w:rFonts w:eastAsia="Times New Roman" w:cs="Times New Roman"/>
          <w:i/>
          <w:sz w:val="20"/>
          <w:szCs w:val="20"/>
          <w:lang w:eastAsia="en-CA"/>
        </w:rPr>
        <w:t>Ivan Bernardo</w:t>
      </w:r>
      <w:r w:rsidRPr="00E54F41">
        <w:rPr>
          <w:rFonts w:eastAsia="Times New Roman" w:cs="Times New Roman"/>
          <w:sz w:val="20"/>
          <w:szCs w:val="20"/>
          <w:lang w:eastAsia="en-CA"/>
        </w:rPr>
        <w:t xml:space="preserve">, </w:t>
      </w:r>
      <w:proofErr w:type="spellStart"/>
      <w:proofErr w:type="gramStart"/>
      <w:r w:rsidRPr="00E54F41">
        <w:rPr>
          <w:rFonts w:eastAsia="Times New Roman" w:cs="Times New Roman"/>
          <w:i/>
          <w:sz w:val="20"/>
          <w:szCs w:val="20"/>
          <w:lang w:eastAsia="en-CA"/>
        </w:rPr>
        <w:t>c.r</w:t>
      </w:r>
      <w:proofErr w:type="gramEnd"/>
      <w:r w:rsidRPr="00E54F41">
        <w:rPr>
          <w:rFonts w:eastAsia="Times New Roman" w:cs="Times New Roman"/>
          <w:i/>
          <w:sz w:val="20"/>
          <w:szCs w:val="20"/>
          <w:lang w:eastAsia="en-CA"/>
        </w:rPr>
        <w:t>.</w:t>
      </w:r>
      <w:proofErr w:type="spellEnd"/>
      <w:r w:rsidRPr="00E54F41">
        <w:rPr>
          <w:rFonts w:eastAsia="Times New Roman" w:cs="Times New Roman"/>
          <w:sz w:val="20"/>
          <w:szCs w:val="20"/>
          <w:lang w:eastAsia="en-CA"/>
        </w:rPr>
        <w:t xml:space="preserve">, </w:t>
      </w:r>
      <w:r w:rsidRPr="00E54F41">
        <w:rPr>
          <w:rFonts w:eastAsia="Times New Roman" w:cs="Times New Roman"/>
          <w:i/>
          <w:sz w:val="20"/>
          <w:szCs w:val="20"/>
          <w:lang w:eastAsia="en-CA"/>
        </w:rPr>
        <w:t xml:space="preserve">Gerald </w:t>
      </w:r>
      <w:proofErr w:type="spellStart"/>
      <w:r w:rsidRPr="00E54F41">
        <w:rPr>
          <w:rFonts w:eastAsia="Times New Roman" w:cs="Times New Roman"/>
          <w:i/>
          <w:sz w:val="20"/>
          <w:szCs w:val="20"/>
          <w:lang w:eastAsia="en-CA"/>
        </w:rPr>
        <w:t>Chipeur</w:t>
      </w:r>
      <w:proofErr w:type="spellEnd"/>
      <w:r w:rsidRPr="00E54F41">
        <w:rPr>
          <w:rFonts w:eastAsia="Times New Roman" w:cs="Times New Roman"/>
          <w:sz w:val="20"/>
          <w:szCs w:val="20"/>
          <w:lang w:eastAsia="en-CA"/>
        </w:rPr>
        <w:t xml:space="preserve">, </w:t>
      </w:r>
      <w:proofErr w:type="spellStart"/>
      <w:r w:rsidRPr="00E54F41">
        <w:rPr>
          <w:rFonts w:eastAsia="Times New Roman" w:cs="Times New Roman"/>
          <w:i/>
          <w:sz w:val="20"/>
          <w:szCs w:val="20"/>
          <w:lang w:eastAsia="en-CA"/>
        </w:rPr>
        <w:t>c.r.</w:t>
      </w:r>
      <w:proofErr w:type="spellEnd"/>
      <w:r w:rsidRPr="00E54F41">
        <w:rPr>
          <w:rFonts w:eastAsia="Times New Roman" w:cs="Times New Roman"/>
          <w:sz w:val="20"/>
          <w:szCs w:val="20"/>
          <w:lang w:eastAsia="en-CA"/>
        </w:rPr>
        <w:t xml:space="preserve">, et </w:t>
      </w:r>
      <w:r w:rsidRPr="00E54F41">
        <w:rPr>
          <w:rFonts w:eastAsia="Times New Roman" w:cs="Times New Roman"/>
          <w:i/>
          <w:sz w:val="20"/>
          <w:szCs w:val="20"/>
          <w:lang w:eastAsia="en-CA"/>
        </w:rPr>
        <w:t xml:space="preserve">Jill W. </w:t>
      </w:r>
      <w:proofErr w:type="spellStart"/>
      <w:r w:rsidRPr="00E54F41">
        <w:rPr>
          <w:rFonts w:eastAsia="Times New Roman" w:cs="Times New Roman"/>
          <w:i/>
          <w:sz w:val="20"/>
          <w:szCs w:val="20"/>
          <w:lang w:eastAsia="en-CA"/>
        </w:rPr>
        <w:t>Wilkie</w:t>
      </w:r>
      <w:proofErr w:type="spellEnd"/>
      <w:r w:rsidRPr="00E54F41">
        <w:rPr>
          <w:rFonts w:eastAsia="Times New Roman" w:cs="Times New Roman"/>
          <w:sz w:val="20"/>
          <w:szCs w:val="20"/>
          <w:lang w:eastAsia="en-CA"/>
        </w:rPr>
        <w:t xml:space="preserve">, pour </w:t>
      </w:r>
      <w:proofErr w:type="spellStart"/>
      <w:r w:rsidRPr="00E54F41">
        <w:rPr>
          <w:rFonts w:eastAsia="Times New Roman" w:cs="Times New Roman"/>
          <w:sz w:val="20"/>
          <w:szCs w:val="20"/>
          <w:lang w:eastAsia="en-CA"/>
        </w:rPr>
        <w:t>l’intervenant</w:t>
      </w:r>
      <w:proofErr w:type="spellEnd"/>
      <w:r w:rsidRPr="00E54F41">
        <w:rPr>
          <w:rFonts w:eastAsia="Times New Roman" w:cs="Times New Roman"/>
          <w:sz w:val="20"/>
          <w:szCs w:val="20"/>
          <w:lang w:eastAsia="en-CA"/>
        </w:rPr>
        <w:t xml:space="preserve"> Information and Privacy Commissioner for British Columbia.</w:t>
      </w:r>
    </w:p>
    <w:p w:rsidR="0056784C" w:rsidRPr="0056784C" w:rsidRDefault="0056784C" w:rsidP="0056784C">
      <w:pPr>
        <w:tabs>
          <w:tab w:val="left" w:pos="1168"/>
        </w:tabs>
        <w:jc w:val="both"/>
        <w:rPr>
          <w:rFonts w:eastAsia="Times New Roman" w:cs="Times New Roman"/>
          <w:sz w:val="20"/>
          <w:szCs w:val="20"/>
          <w:lang w:eastAsia="en-CA"/>
        </w:rPr>
      </w:pPr>
    </w:p>
    <w:p w:rsidR="0056784C" w:rsidRPr="00E54F41" w:rsidRDefault="0056784C" w:rsidP="0056784C">
      <w:pPr>
        <w:tabs>
          <w:tab w:val="left" w:pos="1168"/>
        </w:tabs>
        <w:jc w:val="both"/>
        <w:rPr>
          <w:rFonts w:eastAsia="Times New Roman" w:cs="Times New Roman"/>
          <w:sz w:val="20"/>
          <w:szCs w:val="20"/>
          <w:lang w:eastAsia="en-CA"/>
        </w:rPr>
      </w:pPr>
      <w:r w:rsidRPr="00E54F41">
        <w:rPr>
          <w:rFonts w:eastAsia="Times New Roman" w:cs="Times New Roman"/>
          <w:sz w:val="20"/>
          <w:szCs w:val="20"/>
          <w:lang w:eastAsia="en-CA"/>
        </w:rPr>
        <w:tab/>
      </w:r>
      <w:r w:rsidRPr="00E54F41">
        <w:rPr>
          <w:rFonts w:eastAsia="Times New Roman" w:cs="Times New Roman"/>
          <w:i/>
          <w:sz w:val="20"/>
          <w:szCs w:val="20"/>
          <w:lang w:eastAsia="en-CA"/>
        </w:rPr>
        <w:t>Andrew A. Fitzgerald</w:t>
      </w:r>
      <w:r w:rsidRPr="00E54F41">
        <w:rPr>
          <w:rFonts w:eastAsia="Times New Roman" w:cs="Times New Roman"/>
          <w:sz w:val="20"/>
          <w:szCs w:val="20"/>
          <w:lang w:eastAsia="en-CA"/>
        </w:rPr>
        <w:t xml:space="preserve">, pour </w:t>
      </w:r>
      <w:proofErr w:type="spellStart"/>
      <w:r w:rsidRPr="00E54F41">
        <w:rPr>
          <w:rFonts w:eastAsia="Times New Roman" w:cs="Times New Roman"/>
          <w:sz w:val="20"/>
          <w:szCs w:val="20"/>
          <w:lang w:eastAsia="en-CA"/>
        </w:rPr>
        <w:t>l’intervenant</w:t>
      </w:r>
      <w:proofErr w:type="spellEnd"/>
      <w:r w:rsidRPr="00E54F41">
        <w:rPr>
          <w:rFonts w:eastAsia="Times New Roman" w:cs="Times New Roman"/>
          <w:sz w:val="20"/>
          <w:szCs w:val="20"/>
          <w:lang w:eastAsia="en-CA"/>
        </w:rPr>
        <w:t xml:space="preserve"> Information and Privacy Commissioner for the Province of Newfoundland and Labrador.</w:t>
      </w:r>
    </w:p>
    <w:p w:rsidR="0056784C" w:rsidRPr="0056784C" w:rsidRDefault="0056784C" w:rsidP="0056784C">
      <w:pPr>
        <w:tabs>
          <w:tab w:val="left" w:pos="1168"/>
        </w:tabs>
        <w:jc w:val="both"/>
        <w:rPr>
          <w:rFonts w:eastAsia="Times New Roman" w:cs="Times New Roman"/>
          <w:sz w:val="20"/>
          <w:szCs w:val="20"/>
          <w:lang w:eastAsia="en-CA"/>
        </w:rPr>
      </w:pPr>
    </w:p>
    <w:p w:rsidR="0056784C" w:rsidRPr="00E54F41" w:rsidRDefault="0056784C" w:rsidP="0056784C">
      <w:pPr>
        <w:tabs>
          <w:tab w:val="left" w:pos="1168"/>
        </w:tabs>
        <w:jc w:val="both"/>
        <w:rPr>
          <w:rFonts w:eastAsia="Times New Roman" w:cs="Times New Roman"/>
          <w:sz w:val="20"/>
          <w:szCs w:val="20"/>
          <w:lang w:val="fr-CA" w:eastAsia="en-CA"/>
        </w:rPr>
      </w:pPr>
      <w:r w:rsidRPr="00E54F41">
        <w:rPr>
          <w:rFonts w:eastAsia="Times New Roman" w:cs="Times New Roman"/>
          <w:sz w:val="20"/>
          <w:szCs w:val="20"/>
          <w:lang w:eastAsia="en-CA"/>
        </w:rPr>
        <w:tab/>
      </w:r>
      <w:r w:rsidRPr="00E54F41">
        <w:rPr>
          <w:rFonts w:eastAsia="Times New Roman" w:cs="Times New Roman"/>
          <w:i/>
          <w:sz w:val="20"/>
          <w:szCs w:val="20"/>
          <w:lang w:val="fr-CA" w:eastAsia="en-CA"/>
        </w:rPr>
        <w:t>Perry R. Mack</w:t>
      </w:r>
      <w:r w:rsidRPr="00E54F41">
        <w:rPr>
          <w:rFonts w:eastAsia="Times New Roman" w:cs="Times New Roman"/>
          <w:sz w:val="20"/>
          <w:szCs w:val="20"/>
          <w:lang w:val="fr-CA" w:eastAsia="en-CA"/>
        </w:rPr>
        <w:t xml:space="preserve">, </w:t>
      </w:r>
      <w:proofErr w:type="spellStart"/>
      <w:proofErr w:type="gramStart"/>
      <w:r w:rsidRPr="00E54F41">
        <w:rPr>
          <w:rFonts w:eastAsia="Times New Roman" w:cs="Times New Roman"/>
          <w:i/>
          <w:sz w:val="20"/>
          <w:szCs w:val="20"/>
          <w:lang w:val="fr-CA" w:eastAsia="en-CA"/>
        </w:rPr>
        <w:t>c.r</w:t>
      </w:r>
      <w:proofErr w:type="spellEnd"/>
      <w:r w:rsidRPr="00E54F41">
        <w:rPr>
          <w:rFonts w:eastAsia="Times New Roman" w:cs="Times New Roman"/>
          <w:i/>
          <w:sz w:val="20"/>
          <w:szCs w:val="20"/>
          <w:lang w:val="fr-CA" w:eastAsia="en-CA"/>
        </w:rPr>
        <w:t>.</w:t>
      </w:r>
      <w:r w:rsidRPr="00E54F41">
        <w:rPr>
          <w:rFonts w:eastAsia="Times New Roman" w:cs="Times New Roman"/>
          <w:sz w:val="20"/>
          <w:szCs w:val="20"/>
          <w:lang w:val="fr-CA" w:eastAsia="en-CA"/>
        </w:rPr>
        <w:t>,</w:t>
      </w:r>
      <w:proofErr w:type="gramEnd"/>
      <w:r w:rsidRPr="00E54F41">
        <w:rPr>
          <w:rFonts w:eastAsia="Times New Roman" w:cs="Times New Roman"/>
          <w:sz w:val="20"/>
          <w:szCs w:val="20"/>
          <w:lang w:val="fr-CA" w:eastAsia="en-CA"/>
        </w:rPr>
        <w:t xml:space="preserve"> pour l’intervenante </w:t>
      </w:r>
      <w:proofErr w:type="spellStart"/>
      <w:r w:rsidRPr="00E54F41">
        <w:rPr>
          <w:rFonts w:eastAsia="Times New Roman" w:cs="Times New Roman"/>
          <w:sz w:val="20"/>
          <w:szCs w:val="20"/>
          <w:lang w:val="fr-CA" w:eastAsia="en-CA"/>
        </w:rPr>
        <w:t>Advocates</w:t>
      </w:r>
      <w:proofErr w:type="spellEnd"/>
      <w:r w:rsidRPr="00E54F41">
        <w:rPr>
          <w:rFonts w:eastAsia="Times New Roman" w:cs="Times New Roman"/>
          <w:sz w:val="20"/>
          <w:szCs w:val="20"/>
          <w:lang w:val="fr-CA" w:eastAsia="en-CA"/>
        </w:rPr>
        <w:t>’ Society.</w:t>
      </w:r>
    </w:p>
    <w:p w:rsidR="0056784C" w:rsidRPr="0056784C" w:rsidRDefault="0056784C" w:rsidP="0056784C">
      <w:pPr>
        <w:tabs>
          <w:tab w:val="left" w:pos="1168"/>
        </w:tabs>
        <w:jc w:val="both"/>
        <w:rPr>
          <w:rFonts w:eastAsia="Times New Roman" w:cs="Times New Roman"/>
          <w:sz w:val="20"/>
          <w:szCs w:val="20"/>
          <w:lang w:val="fr-CA" w:eastAsia="en-CA"/>
        </w:rPr>
      </w:pPr>
    </w:p>
    <w:p w:rsidR="0056784C" w:rsidRPr="00E54F41" w:rsidRDefault="0056784C" w:rsidP="0056784C">
      <w:pPr>
        <w:tabs>
          <w:tab w:val="left" w:pos="1168"/>
        </w:tabs>
        <w:jc w:val="both"/>
        <w:rPr>
          <w:rFonts w:eastAsia="Times New Roman" w:cs="Times New Roman"/>
          <w:sz w:val="20"/>
          <w:szCs w:val="20"/>
          <w:lang w:val="fr-CA" w:eastAsia="en-CA"/>
        </w:rPr>
      </w:pPr>
      <w:r w:rsidRPr="00E54F41">
        <w:rPr>
          <w:rFonts w:eastAsia="Times New Roman" w:cs="Times New Roman"/>
          <w:sz w:val="20"/>
          <w:szCs w:val="20"/>
          <w:lang w:val="fr-CA" w:eastAsia="en-CA"/>
        </w:rPr>
        <w:tab/>
      </w:r>
      <w:r w:rsidRPr="00E54F41">
        <w:rPr>
          <w:rFonts w:eastAsia="Times New Roman" w:cs="Times New Roman"/>
          <w:i/>
          <w:sz w:val="20"/>
          <w:szCs w:val="20"/>
          <w:lang w:val="fr-CA" w:eastAsia="en-CA"/>
        </w:rPr>
        <w:t>Mahmud Jamal</w:t>
      </w:r>
      <w:r w:rsidRPr="00E54F41">
        <w:rPr>
          <w:rFonts w:eastAsia="Times New Roman" w:cs="Times New Roman"/>
          <w:sz w:val="20"/>
          <w:szCs w:val="20"/>
          <w:lang w:val="fr-CA" w:eastAsia="en-CA"/>
        </w:rPr>
        <w:t xml:space="preserve"> et </w:t>
      </w:r>
      <w:r w:rsidRPr="00E54F41">
        <w:rPr>
          <w:rFonts w:eastAsia="Times New Roman" w:cs="Times New Roman"/>
          <w:i/>
          <w:sz w:val="20"/>
          <w:szCs w:val="20"/>
          <w:lang w:val="fr-CA" w:eastAsia="en-CA"/>
        </w:rPr>
        <w:t xml:space="preserve">David </w:t>
      </w:r>
      <w:proofErr w:type="spellStart"/>
      <w:r w:rsidRPr="00E54F41">
        <w:rPr>
          <w:rFonts w:eastAsia="Times New Roman" w:cs="Times New Roman"/>
          <w:i/>
          <w:sz w:val="20"/>
          <w:szCs w:val="20"/>
          <w:lang w:val="fr-CA" w:eastAsia="en-CA"/>
        </w:rPr>
        <w:t>Rankin</w:t>
      </w:r>
      <w:proofErr w:type="spellEnd"/>
      <w:r w:rsidRPr="00E54F41">
        <w:rPr>
          <w:rFonts w:eastAsia="Times New Roman" w:cs="Times New Roman"/>
          <w:sz w:val="20"/>
          <w:szCs w:val="20"/>
          <w:lang w:val="fr-CA" w:eastAsia="en-CA"/>
        </w:rPr>
        <w:t xml:space="preserve">, pour l’intervenante la </w:t>
      </w:r>
      <w:r w:rsidRPr="0056784C">
        <w:rPr>
          <w:rFonts w:eastAsia="Times New Roman" w:cs="Times New Roman"/>
          <w:sz w:val="20"/>
          <w:szCs w:val="20"/>
          <w:lang w:val="fr-CA" w:eastAsia="en-CA"/>
        </w:rPr>
        <w:t>Fédération des ordres professionnels de juristes du Canada</w:t>
      </w:r>
      <w:r w:rsidRPr="00E54F41">
        <w:rPr>
          <w:rFonts w:eastAsia="Times New Roman" w:cs="Times New Roman"/>
          <w:sz w:val="20"/>
          <w:szCs w:val="20"/>
          <w:lang w:val="fr-CA" w:eastAsia="en-CA"/>
        </w:rPr>
        <w:t>.</w:t>
      </w:r>
    </w:p>
    <w:p w:rsidR="0056784C" w:rsidRPr="0056784C" w:rsidRDefault="0056784C" w:rsidP="0056784C">
      <w:pPr>
        <w:tabs>
          <w:tab w:val="left" w:pos="1168"/>
        </w:tabs>
        <w:jc w:val="both"/>
        <w:rPr>
          <w:rFonts w:eastAsia="Times New Roman" w:cs="Times New Roman"/>
          <w:sz w:val="20"/>
          <w:szCs w:val="20"/>
          <w:lang w:val="fr-CA" w:eastAsia="en-CA"/>
        </w:rPr>
      </w:pPr>
    </w:p>
    <w:p w:rsidR="0056784C" w:rsidRPr="00E54F41" w:rsidRDefault="0056784C" w:rsidP="0056784C">
      <w:pPr>
        <w:tabs>
          <w:tab w:val="left" w:pos="1168"/>
        </w:tabs>
        <w:jc w:val="both"/>
        <w:rPr>
          <w:rFonts w:eastAsia="Times New Roman" w:cs="Times New Roman"/>
          <w:sz w:val="20"/>
          <w:szCs w:val="20"/>
          <w:lang w:val="fr-CA" w:eastAsia="en-CA"/>
        </w:rPr>
      </w:pPr>
      <w:r w:rsidRPr="00E54F41">
        <w:rPr>
          <w:rFonts w:eastAsia="Times New Roman" w:cs="Times New Roman"/>
          <w:sz w:val="20"/>
          <w:szCs w:val="20"/>
          <w:lang w:val="fr-CA" w:eastAsia="en-CA"/>
        </w:rPr>
        <w:tab/>
      </w:r>
      <w:proofErr w:type="spellStart"/>
      <w:r w:rsidRPr="00E54F41">
        <w:rPr>
          <w:rFonts w:eastAsia="Times New Roman" w:cs="Times New Roman"/>
          <w:i/>
          <w:sz w:val="20"/>
          <w:szCs w:val="20"/>
          <w:lang w:val="fr-CA" w:eastAsia="en-CA"/>
        </w:rPr>
        <w:t>Michele</w:t>
      </w:r>
      <w:proofErr w:type="spellEnd"/>
      <w:r w:rsidRPr="00E54F41">
        <w:rPr>
          <w:rFonts w:eastAsia="Times New Roman" w:cs="Times New Roman"/>
          <w:i/>
          <w:sz w:val="20"/>
          <w:szCs w:val="20"/>
          <w:lang w:val="fr-CA" w:eastAsia="en-CA"/>
        </w:rPr>
        <w:t xml:space="preserve"> H. </w:t>
      </w:r>
      <w:proofErr w:type="spellStart"/>
      <w:r w:rsidRPr="00E54F41">
        <w:rPr>
          <w:rFonts w:eastAsia="Times New Roman" w:cs="Times New Roman"/>
          <w:i/>
          <w:sz w:val="20"/>
          <w:szCs w:val="20"/>
          <w:lang w:val="fr-CA" w:eastAsia="en-CA"/>
        </w:rPr>
        <w:t>Hollins</w:t>
      </w:r>
      <w:proofErr w:type="spellEnd"/>
      <w:r w:rsidRPr="00E54F41">
        <w:rPr>
          <w:rFonts w:eastAsia="Times New Roman" w:cs="Times New Roman"/>
          <w:sz w:val="20"/>
          <w:szCs w:val="20"/>
          <w:lang w:val="fr-CA" w:eastAsia="en-CA"/>
        </w:rPr>
        <w:t xml:space="preserve">, </w:t>
      </w:r>
      <w:proofErr w:type="spellStart"/>
      <w:proofErr w:type="gramStart"/>
      <w:r w:rsidRPr="00E54F41">
        <w:rPr>
          <w:rFonts w:eastAsia="Times New Roman" w:cs="Times New Roman"/>
          <w:i/>
          <w:sz w:val="20"/>
          <w:szCs w:val="20"/>
          <w:lang w:val="fr-CA" w:eastAsia="en-CA"/>
        </w:rPr>
        <w:t>c.r</w:t>
      </w:r>
      <w:proofErr w:type="spellEnd"/>
      <w:r w:rsidRPr="00E54F41">
        <w:rPr>
          <w:rFonts w:eastAsia="Times New Roman" w:cs="Times New Roman"/>
          <w:i/>
          <w:sz w:val="20"/>
          <w:szCs w:val="20"/>
          <w:lang w:val="fr-CA" w:eastAsia="en-CA"/>
        </w:rPr>
        <w:t>.</w:t>
      </w:r>
      <w:r w:rsidRPr="00E54F41">
        <w:rPr>
          <w:rFonts w:eastAsia="Times New Roman" w:cs="Times New Roman"/>
          <w:sz w:val="20"/>
          <w:szCs w:val="20"/>
          <w:lang w:val="fr-CA" w:eastAsia="en-CA"/>
        </w:rPr>
        <w:t>,</w:t>
      </w:r>
      <w:proofErr w:type="gramEnd"/>
      <w:r w:rsidRPr="00E54F41">
        <w:rPr>
          <w:rFonts w:eastAsia="Times New Roman" w:cs="Times New Roman"/>
          <w:sz w:val="20"/>
          <w:szCs w:val="20"/>
          <w:lang w:val="fr-CA" w:eastAsia="en-CA"/>
        </w:rPr>
        <w:t xml:space="preserve"> </w:t>
      </w:r>
      <w:r w:rsidRPr="00E54F41">
        <w:rPr>
          <w:rFonts w:eastAsia="Times New Roman" w:cs="Times New Roman"/>
          <w:i/>
          <w:sz w:val="20"/>
          <w:szCs w:val="20"/>
          <w:lang w:val="fr-CA" w:eastAsia="en-CA"/>
        </w:rPr>
        <w:t xml:space="preserve">James L. </w:t>
      </w:r>
      <w:proofErr w:type="spellStart"/>
      <w:r w:rsidRPr="00E54F41">
        <w:rPr>
          <w:rFonts w:eastAsia="Times New Roman" w:cs="Times New Roman"/>
          <w:i/>
          <w:sz w:val="20"/>
          <w:szCs w:val="20"/>
          <w:lang w:val="fr-CA" w:eastAsia="en-CA"/>
        </w:rPr>
        <w:t>Lebo</w:t>
      </w:r>
      <w:proofErr w:type="spellEnd"/>
      <w:r w:rsidRPr="00E54F41">
        <w:rPr>
          <w:rFonts w:eastAsia="Times New Roman" w:cs="Times New Roman"/>
          <w:sz w:val="20"/>
          <w:szCs w:val="20"/>
          <w:lang w:val="fr-CA" w:eastAsia="en-CA"/>
        </w:rPr>
        <w:t xml:space="preserve">, </w:t>
      </w:r>
      <w:proofErr w:type="spellStart"/>
      <w:r w:rsidRPr="00E54F41">
        <w:rPr>
          <w:rFonts w:eastAsia="Times New Roman" w:cs="Times New Roman"/>
          <w:i/>
          <w:sz w:val="20"/>
          <w:szCs w:val="20"/>
          <w:lang w:val="fr-CA" w:eastAsia="en-CA"/>
        </w:rPr>
        <w:t>c.r</w:t>
      </w:r>
      <w:proofErr w:type="spellEnd"/>
      <w:r w:rsidRPr="00E54F41">
        <w:rPr>
          <w:rFonts w:eastAsia="Times New Roman" w:cs="Times New Roman"/>
          <w:i/>
          <w:sz w:val="20"/>
          <w:szCs w:val="20"/>
          <w:lang w:val="fr-CA" w:eastAsia="en-CA"/>
        </w:rPr>
        <w:t>.</w:t>
      </w:r>
      <w:r w:rsidRPr="00E54F41">
        <w:rPr>
          <w:rFonts w:eastAsia="Times New Roman" w:cs="Times New Roman"/>
          <w:sz w:val="20"/>
          <w:szCs w:val="20"/>
          <w:lang w:val="fr-CA" w:eastAsia="en-CA"/>
        </w:rPr>
        <w:t xml:space="preserve">, et </w:t>
      </w:r>
      <w:r w:rsidRPr="00E54F41">
        <w:rPr>
          <w:rFonts w:eastAsia="Times New Roman" w:cs="Times New Roman"/>
          <w:i/>
          <w:sz w:val="20"/>
          <w:szCs w:val="20"/>
          <w:lang w:val="fr-CA" w:eastAsia="en-CA"/>
        </w:rPr>
        <w:t>Jason L. Wilkins</w:t>
      </w:r>
      <w:r w:rsidRPr="00E54F41">
        <w:rPr>
          <w:rFonts w:eastAsia="Times New Roman" w:cs="Times New Roman"/>
          <w:sz w:val="20"/>
          <w:szCs w:val="20"/>
          <w:lang w:val="fr-CA" w:eastAsia="en-CA"/>
        </w:rPr>
        <w:t>, pour l’intervenante l’</w:t>
      </w:r>
      <w:r w:rsidRPr="0056784C">
        <w:rPr>
          <w:rFonts w:eastAsia="Times New Roman" w:cs="Times New Roman"/>
          <w:sz w:val="20"/>
          <w:szCs w:val="20"/>
          <w:lang w:val="fr-CA" w:eastAsia="en-CA"/>
        </w:rPr>
        <w:t>Association du Barreau canadien</w:t>
      </w:r>
      <w:r w:rsidRPr="00E54F41">
        <w:rPr>
          <w:rFonts w:eastAsia="Times New Roman" w:cs="Times New Roman"/>
          <w:sz w:val="20"/>
          <w:szCs w:val="20"/>
          <w:lang w:val="fr-CA" w:eastAsia="en-CA"/>
        </w:rPr>
        <w:t>.</w:t>
      </w:r>
    </w:p>
    <w:p w:rsidR="0056784C" w:rsidRPr="0056784C" w:rsidRDefault="0056784C" w:rsidP="0056784C">
      <w:pPr>
        <w:tabs>
          <w:tab w:val="left" w:pos="1168"/>
        </w:tabs>
        <w:jc w:val="both"/>
        <w:rPr>
          <w:rFonts w:eastAsia="Times New Roman" w:cs="Times New Roman"/>
          <w:sz w:val="20"/>
          <w:szCs w:val="20"/>
          <w:lang w:val="fr-CA" w:eastAsia="en-CA"/>
        </w:rPr>
      </w:pPr>
    </w:p>
    <w:p w:rsidR="0056784C" w:rsidRPr="00E54F41" w:rsidRDefault="0056784C" w:rsidP="0056784C">
      <w:pPr>
        <w:tabs>
          <w:tab w:val="left" w:pos="1168"/>
        </w:tabs>
        <w:jc w:val="both"/>
        <w:rPr>
          <w:rFonts w:eastAsia="Times New Roman" w:cs="Times New Roman"/>
          <w:sz w:val="20"/>
          <w:szCs w:val="20"/>
          <w:lang w:val="fr-CA" w:eastAsia="en-CA"/>
        </w:rPr>
      </w:pPr>
      <w:r w:rsidRPr="00E54F41">
        <w:rPr>
          <w:rFonts w:eastAsia="Times New Roman" w:cs="Times New Roman"/>
          <w:sz w:val="20"/>
          <w:szCs w:val="20"/>
          <w:lang w:val="fr-CA" w:eastAsia="en-CA"/>
        </w:rPr>
        <w:tab/>
      </w:r>
      <w:proofErr w:type="spellStart"/>
      <w:r w:rsidRPr="00E54F41">
        <w:rPr>
          <w:rFonts w:eastAsia="Times New Roman" w:cs="Times New Roman"/>
          <w:i/>
          <w:sz w:val="20"/>
          <w:szCs w:val="20"/>
          <w:lang w:val="fr-CA" w:eastAsia="en-CA"/>
        </w:rPr>
        <w:t>Marlys</w:t>
      </w:r>
      <w:proofErr w:type="spellEnd"/>
      <w:r w:rsidRPr="00E54F41">
        <w:rPr>
          <w:rFonts w:eastAsia="Times New Roman" w:cs="Times New Roman"/>
          <w:i/>
          <w:sz w:val="20"/>
          <w:szCs w:val="20"/>
          <w:lang w:val="fr-CA" w:eastAsia="en-CA"/>
        </w:rPr>
        <w:t xml:space="preserve"> A. </w:t>
      </w:r>
      <w:proofErr w:type="spellStart"/>
      <w:r w:rsidRPr="00E54F41">
        <w:rPr>
          <w:rFonts w:eastAsia="Times New Roman" w:cs="Times New Roman"/>
          <w:i/>
          <w:sz w:val="20"/>
          <w:szCs w:val="20"/>
          <w:lang w:val="fr-CA" w:eastAsia="en-CA"/>
        </w:rPr>
        <w:t>Edwardh</w:t>
      </w:r>
      <w:proofErr w:type="spellEnd"/>
      <w:r w:rsidRPr="00E54F41">
        <w:rPr>
          <w:rFonts w:eastAsia="Times New Roman" w:cs="Times New Roman"/>
          <w:sz w:val="20"/>
          <w:szCs w:val="20"/>
          <w:lang w:val="fr-CA" w:eastAsia="en-CA"/>
        </w:rPr>
        <w:t xml:space="preserve">, </w:t>
      </w:r>
      <w:r w:rsidRPr="00E54F41">
        <w:rPr>
          <w:rFonts w:eastAsia="Times New Roman" w:cs="Times New Roman"/>
          <w:i/>
          <w:sz w:val="20"/>
          <w:szCs w:val="20"/>
          <w:lang w:val="fr-CA" w:eastAsia="en-CA"/>
        </w:rPr>
        <w:t xml:space="preserve">Daniel </w:t>
      </w:r>
      <w:proofErr w:type="spellStart"/>
      <w:r w:rsidRPr="00E54F41">
        <w:rPr>
          <w:rFonts w:eastAsia="Times New Roman" w:cs="Times New Roman"/>
          <w:i/>
          <w:sz w:val="20"/>
          <w:szCs w:val="20"/>
          <w:lang w:val="fr-CA" w:eastAsia="en-CA"/>
        </w:rPr>
        <w:t>Sheppard</w:t>
      </w:r>
      <w:proofErr w:type="spellEnd"/>
      <w:r w:rsidRPr="00E54F41">
        <w:rPr>
          <w:rFonts w:eastAsia="Times New Roman" w:cs="Times New Roman"/>
          <w:sz w:val="20"/>
          <w:szCs w:val="20"/>
          <w:lang w:val="fr-CA" w:eastAsia="en-CA"/>
        </w:rPr>
        <w:t xml:space="preserve">, </w:t>
      </w:r>
      <w:proofErr w:type="spellStart"/>
      <w:r w:rsidRPr="00E54F41">
        <w:rPr>
          <w:rFonts w:eastAsia="Times New Roman" w:cs="Times New Roman"/>
          <w:i/>
          <w:sz w:val="20"/>
          <w:szCs w:val="20"/>
          <w:lang w:val="fr-CA" w:eastAsia="en-CA"/>
        </w:rPr>
        <w:t>Regan</w:t>
      </w:r>
      <w:proofErr w:type="spellEnd"/>
      <w:r w:rsidRPr="00E54F41">
        <w:rPr>
          <w:rFonts w:eastAsia="Times New Roman" w:cs="Times New Roman"/>
          <w:i/>
          <w:sz w:val="20"/>
          <w:szCs w:val="20"/>
          <w:lang w:val="fr-CA" w:eastAsia="en-CA"/>
        </w:rPr>
        <w:t xml:space="preserve"> Morris</w:t>
      </w:r>
      <w:r w:rsidRPr="00E54F41">
        <w:rPr>
          <w:rFonts w:eastAsia="Times New Roman" w:cs="Times New Roman"/>
          <w:sz w:val="20"/>
          <w:szCs w:val="20"/>
          <w:lang w:val="fr-CA" w:eastAsia="en-CA"/>
        </w:rPr>
        <w:t xml:space="preserve">, </w:t>
      </w:r>
      <w:r w:rsidRPr="00E54F41">
        <w:rPr>
          <w:rFonts w:eastAsia="Times New Roman" w:cs="Times New Roman"/>
          <w:i/>
          <w:sz w:val="20"/>
          <w:szCs w:val="20"/>
          <w:lang w:val="fr-CA" w:eastAsia="en-CA"/>
        </w:rPr>
        <w:t xml:space="preserve">Diane </w:t>
      </w:r>
      <w:proofErr w:type="spellStart"/>
      <w:r w:rsidRPr="00E54F41">
        <w:rPr>
          <w:rFonts w:eastAsia="Times New Roman" w:cs="Times New Roman"/>
          <w:i/>
          <w:sz w:val="20"/>
          <w:szCs w:val="20"/>
          <w:lang w:val="fr-CA" w:eastAsia="en-CA"/>
        </w:rPr>
        <w:t>Therrien</w:t>
      </w:r>
      <w:proofErr w:type="spellEnd"/>
      <w:r w:rsidRPr="00E54F41">
        <w:rPr>
          <w:rFonts w:eastAsia="Times New Roman" w:cs="Times New Roman"/>
          <w:sz w:val="20"/>
          <w:szCs w:val="20"/>
          <w:lang w:val="fr-CA" w:eastAsia="en-CA"/>
        </w:rPr>
        <w:t xml:space="preserve"> et </w:t>
      </w:r>
      <w:proofErr w:type="spellStart"/>
      <w:r w:rsidRPr="00E54F41">
        <w:rPr>
          <w:rFonts w:eastAsia="Times New Roman" w:cs="Times New Roman"/>
          <w:i/>
          <w:sz w:val="20"/>
          <w:szCs w:val="20"/>
          <w:lang w:val="fr-CA" w:eastAsia="en-CA"/>
        </w:rPr>
        <w:t>Aditya</w:t>
      </w:r>
      <w:proofErr w:type="spellEnd"/>
      <w:r w:rsidRPr="00E54F41">
        <w:rPr>
          <w:rFonts w:eastAsia="Times New Roman" w:cs="Times New Roman"/>
          <w:i/>
          <w:sz w:val="20"/>
          <w:szCs w:val="20"/>
          <w:lang w:val="fr-CA" w:eastAsia="en-CA"/>
        </w:rPr>
        <w:t xml:space="preserve"> </w:t>
      </w:r>
      <w:proofErr w:type="spellStart"/>
      <w:r w:rsidRPr="00E54F41">
        <w:rPr>
          <w:rFonts w:eastAsia="Times New Roman" w:cs="Times New Roman"/>
          <w:i/>
          <w:sz w:val="20"/>
          <w:szCs w:val="20"/>
          <w:lang w:val="fr-CA" w:eastAsia="en-CA"/>
        </w:rPr>
        <w:t>Ramachandran</w:t>
      </w:r>
      <w:proofErr w:type="spellEnd"/>
      <w:r w:rsidRPr="00E54F41">
        <w:rPr>
          <w:rFonts w:eastAsia="Times New Roman" w:cs="Times New Roman"/>
          <w:sz w:val="20"/>
          <w:szCs w:val="20"/>
          <w:lang w:val="fr-CA" w:eastAsia="en-CA"/>
        </w:rPr>
        <w:t>, pour les intervenants le commissaire à l’information du Canada, le commissaire à la protection de la vie privée du Canada, l’</w:t>
      </w:r>
      <w:r w:rsidRPr="0056784C">
        <w:rPr>
          <w:rFonts w:eastAsia="Times New Roman" w:cs="Times New Roman"/>
          <w:sz w:val="20"/>
          <w:szCs w:val="20"/>
          <w:lang w:val="fr-CA" w:eastAsia="en-CA"/>
        </w:rPr>
        <w:t>Ombudsman du Manitoba</w:t>
      </w:r>
      <w:r w:rsidRPr="00E54F41">
        <w:rPr>
          <w:rFonts w:eastAsia="Times New Roman" w:cs="Times New Roman"/>
          <w:sz w:val="20"/>
          <w:szCs w:val="20"/>
          <w:lang w:val="fr-CA" w:eastAsia="en-CA"/>
        </w:rPr>
        <w:t>, le commissaire à l’information et à la protection de la vie privée des Territoires du Nord</w:t>
      </w:r>
      <w:r w:rsidRPr="00E54F41">
        <w:rPr>
          <w:rFonts w:eastAsia="Times New Roman" w:cs="Times New Roman"/>
          <w:sz w:val="20"/>
          <w:szCs w:val="20"/>
          <w:lang w:val="fr-CA" w:eastAsia="en-CA"/>
        </w:rPr>
        <w:noBreakHyphen/>
        <w:t xml:space="preserve">Ouest, Nova </w:t>
      </w:r>
      <w:proofErr w:type="spellStart"/>
      <w:r w:rsidRPr="00E54F41">
        <w:rPr>
          <w:rFonts w:eastAsia="Times New Roman" w:cs="Times New Roman"/>
          <w:sz w:val="20"/>
          <w:szCs w:val="20"/>
          <w:lang w:val="fr-CA" w:eastAsia="en-CA"/>
        </w:rPr>
        <w:t>Scotia</w:t>
      </w:r>
      <w:proofErr w:type="spellEnd"/>
      <w:r w:rsidRPr="00E54F41">
        <w:rPr>
          <w:rFonts w:eastAsia="Times New Roman" w:cs="Times New Roman"/>
          <w:sz w:val="20"/>
          <w:szCs w:val="20"/>
          <w:lang w:val="fr-CA" w:eastAsia="en-CA"/>
        </w:rPr>
        <w:t xml:space="preserve"> Information and </w:t>
      </w:r>
      <w:proofErr w:type="spellStart"/>
      <w:r w:rsidRPr="00E54F41">
        <w:rPr>
          <w:rFonts w:eastAsia="Times New Roman" w:cs="Times New Roman"/>
          <w:sz w:val="20"/>
          <w:szCs w:val="20"/>
          <w:lang w:val="fr-CA" w:eastAsia="en-CA"/>
        </w:rPr>
        <w:t>Privacy</w:t>
      </w:r>
      <w:proofErr w:type="spellEnd"/>
      <w:r w:rsidRPr="00E54F41">
        <w:rPr>
          <w:rFonts w:eastAsia="Times New Roman" w:cs="Times New Roman"/>
          <w:sz w:val="20"/>
          <w:szCs w:val="20"/>
          <w:lang w:val="fr-CA" w:eastAsia="en-CA"/>
        </w:rPr>
        <w:t xml:space="preserve"> </w:t>
      </w:r>
      <w:proofErr w:type="spellStart"/>
      <w:r w:rsidRPr="00E54F41">
        <w:rPr>
          <w:rFonts w:eastAsia="Times New Roman" w:cs="Times New Roman"/>
          <w:sz w:val="20"/>
          <w:szCs w:val="20"/>
          <w:lang w:val="fr-CA" w:eastAsia="en-CA"/>
        </w:rPr>
        <w:t>Commissioner</w:t>
      </w:r>
      <w:proofErr w:type="spellEnd"/>
      <w:r w:rsidRPr="00E54F41">
        <w:rPr>
          <w:rFonts w:eastAsia="Times New Roman" w:cs="Times New Roman"/>
          <w:sz w:val="20"/>
          <w:szCs w:val="20"/>
          <w:lang w:val="fr-CA" w:eastAsia="en-CA"/>
        </w:rPr>
        <w:t xml:space="preserve"> [</w:t>
      </w:r>
      <w:proofErr w:type="spellStart"/>
      <w:r w:rsidRPr="00E54F41">
        <w:rPr>
          <w:rFonts w:eastAsia="Times New Roman" w:cs="Times New Roman"/>
          <w:sz w:val="20"/>
          <w:szCs w:val="20"/>
          <w:lang w:val="fr-CA" w:eastAsia="en-CA"/>
        </w:rPr>
        <w:t>Review</w:t>
      </w:r>
      <w:proofErr w:type="spellEnd"/>
      <w:r w:rsidRPr="00E54F41">
        <w:rPr>
          <w:rFonts w:eastAsia="Times New Roman" w:cs="Times New Roman"/>
          <w:sz w:val="20"/>
          <w:szCs w:val="20"/>
          <w:lang w:val="fr-CA" w:eastAsia="en-CA"/>
        </w:rPr>
        <w:t xml:space="preserve"> </w:t>
      </w:r>
      <w:proofErr w:type="spellStart"/>
      <w:r w:rsidRPr="00E54F41">
        <w:rPr>
          <w:rFonts w:eastAsia="Times New Roman" w:cs="Times New Roman"/>
          <w:sz w:val="20"/>
          <w:szCs w:val="20"/>
          <w:lang w:val="fr-CA" w:eastAsia="en-CA"/>
        </w:rPr>
        <w:t>Officer</w:t>
      </w:r>
      <w:proofErr w:type="spellEnd"/>
      <w:r w:rsidRPr="00E54F41">
        <w:rPr>
          <w:rFonts w:eastAsia="Times New Roman" w:cs="Times New Roman"/>
          <w:sz w:val="20"/>
          <w:szCs w:val="20"/>
          <w:lang w:val="fr-CA" w:eastAsia="en-CA"/>
        </w:rPr>
        <w:t xml:space="preserve">], le commissaire à l’information et à la protection de la vie privée du Nunavut, Saskatchewan Information and </w:t>
      </w:r>
      <w:proofErr w:type="spellStart"/>
      <w:r w:rsidRPr="00E54F41">
        <w:rPr>
          <w:rFonts w:eastAsia="Times New Roman" w:cs="Times New Roman"/>
          <w:sz w:val="20"/>
          <w:szCs w:val="20"/>
          <w:lang w:val="fr-CA" w:eastAsia="en-CA"/>
        </w:rPr>
        <w:t>Privacy</w:t>
      </w:r>
      <w:proofErr w:type="spellEnd"/>
      <w:r w:rsidRPr="00E54F41">
        <w:rPr>
          <w:rFonts w:eastAsia="Times New Roman" w:cs="Times New Roman"/>
          <w:sz w:val="20"/>
          <w:szCs w:val="20"/>
          <w:lang w:val="fr-CA" w:eastAsia="en-CA"/>
        </w:rPr>
        <w:t xml:space="preserve"> </w:t>
      </w:r>
      <w:proofErr w:type="spellStart"/>
      <w:r w:rsidRPr="00E54F41">
        <w:rPr>
          <w:rFonts w:eastAsia="Times New Roman" w:cs="Times New Roman"/>
          <w:sz w:val="20"/>
          <w:szCs w:val="20"/>
          <w:lang w:val="fr-CA" w:eastAsia="en-CA"/>
        </w:rPr>
        <w:t>Commissioner</w:t>
      </w:r>
      <w:proofErr w:type="spellEnd"/>
      <w:r w:rsidRPr="00E54F41">
        <w:rPr>
          <w:rFonts w:eastAsia="Times New Roman" w:cs="Times New Roman"/>
          <w:sz w:val="20"/>
          <w:szCs w:val="20"/>
          <w:lang w:val="fr-CA" w:eastAsia="en-CA"/>
        </w:rPr>
        <w:t xml:space="preserve"> et le commissaire à l’information et à la protection de la vie privée et ombudsman du Yukon.</w:t>
      </w:r>
    </w:p>
    <w:p w:rsidR="0056784C" w:rsidRPr="0056784C" w:rsidRDefault="0056784C" w:rsidP="0056784C">
      <w:pPr>
        <w:tabs>
          <w:tab w:val="left" w:pos="1168"/>
        </w:tabs>
        <w:jc w:val="both"/>
        <w:rPr>
          <w:rFonts w:eastAsia="Times New Roman" w:cs="Times New Roman"/>
          <w:sz w:val="20"/>
          <w:szCs w:val="20"/>
          <w:lang w:val="fr-CA" w:eastAsia="en-CA"/>
        </w:rPr>
      </w:pPr>
    </w:p>
    <w:p w:rsidR="0056784C" w:rsidRPr="00E54F41" w:rsidRDefault="0056784C" w:rsidP="0056784C">
      <w:pPr>
        <w:tabs>
          <w:tab w:val="left" w:pos="1168"/>
        </w:tabs>
        <w:jc w:val="both"/>
        <w:rPr>
          <w:rFonts w:eastAsia="Times New Roman" w:cs="Times New Roman"/>
          <w:sz w:val="20"/>
          <w:szCs w:val="20"/>
          <w:lang w:val="fr-CA" w:eastAsia="en-CA"/>
        </w:rPr>
      </w:pPr>
      <w:r w:rsidRPr="00E54F41">
        <w:rPr>
          <w:rFonts w:eastAsia="Times New Roman" w:cs="Times New Roman"/>
          <w:sz w:val="20"/>
          <w:szCs w:val="20"/>
          <w:lang w:val="fr-CA" w:eastAsia="en-CA"/>
        </w:rPr>
        <w:tab/>
        <w:t xml:space="preserve">Argumentation écrite seulement par </w:t>
      </w:r>
      <w:r w:rsidRPr="00E54F41">
        <w:rPr>
          <w:rFonts w:eastAsia="Times New Roman" w:cs="Times New Roman"/>
          <w:i/>
          <w:sz w:val="20"/>
          <w:szCs w:val="20"/>
          <w:lang w:val="fr-CA" w:eastAsia="en-CA"/>
        </w:rPr>
        <w:t xml:space="preserve">Brian </w:t>
      </w:r>
      <w:proofErr w:type="spellStart"/>
      <w:r w:rsidRPr="00E54F41">
        <w:rPr>
          <w:rFonts w:eastAsia="Times New Roman" w:cs="Times New Roman"/>
          <w:i/>
          <w:sz w:val="20"/>
          <w:szCs w:val="20"/>
          <w:lang w:val="fr-CA" w:eastAsia="en-CA"/>
        </w:rPr>
        <w:t>Gover</w:t>
      </w:r>
      <w:proofErr w:type="spellEnd"/>
      <w:r w:rsidRPr="00E54F41">
        <w:rPr>
          <w:rFonts w:eastAsia="Times New Roman" w:cs="Times New Roman"/>
          <w:sz w:val="20"/>
          <w:szCs w:val="20"/>
          <w:lang w:val="fr-CA" w:eastAsia="en-CA"/>
        </w:rPr>
        <w:t xml:space="preserve">, </w:t>
      </w:r>
      <w:r w:rsidRPr="00E54F41">
        <w:rPr>
          <w:rFonts w:eastAsia="Times New Roman" w:cs="Times New Roman"/>
          <w:i/>
          <w:sz w:val="20"/>
          <w:szCs w:val="20"/>
          <w:lang w:val="fr-CA" w:eastAsia="en-CA"/>
        </w:rPr>
        <w:t xml:space="preserve">Justin </w:t>
      </w:r>
      <w:proofErr w:type="spellStart"/>
      <w:r w:rsidRPr="00E54F41">
        <w:rPr>
          <w:rFonts w:eastAsia="Times New Roman" w:cs="Times New Roman"/>
          <w:i/>
          <w:sz w:val="20"/>
          <w:szCs w:val="20"/>
          <w:lang w:val="fr-CA" w:eastAsia="en-CA"/>
        </w:rPr>
        <w:t>Safayeni</w:t>
      </w:r>
      <w:proofErr w:type="spellEnd"/>
      <w:r w:rsidRPr="00E54F41">
        <w:rPr>
          <w:rFonts w:eastAsia="Times New Roman" w:cs="Times New Roman"/>
          <w:sz w:val="20"/>
          <w:szCs w:val="20"/>
          <w:lang w:val="fr-CA" w:eastAsia="en-CA"/>
        </w:rPr>
        <w:t xml:space="preserve"> et </w:t>
      </w:r>
      <w:r w:rsidRPr="00E54F41">
        <w:rPr>
          <w:rFonts w:eastAsia="Times New Roman" w:cs="Times New Roman"/>
          <w:i/>
          <w:sz w:val="20"/>
          <w:szCs w:val="20"/>
          <w:lang w:val="fr-CA" w:eastAsia="en-CA"/>
        </w:rPr>
        <w:t>Carlo Di Carlo</w:t>
      </w:r>
      <w:r w:rsidRPr="00E54F41">
        <w:rPr>
          <w:rFonts w:eastAsia="Times New Roman" w:cs="Times New Roman"/>
          <w:sz w:val="20"/>
          <w:szCs w:val="20"/>
          <w:lang w:val="fr-CA" w:eastAsia="en-CA"/>
        </w:rPr>
        <w:t xml:space="preserve">, pour l’intervenante </w:t>
      </w:r>
      <w:proofErr w:type="spellStart"/>
      <w:r w:rsidRPr="00E54F41">
        <w:rPr>
          <w:rFonts w:eastAsia="Times New Roman" w:cs="Times New Roman"/>
          <w:sz w:val="20"/>
          <w:szCs w:val="20"/>
          <w:lang w:val="fr-CA" w:eastAsia="en-CA"/>
        </w:rPr>
        <w:t>Criminal</w:t>
      </w:r>
      <w:proofErr w:type="spellEnd"/>
      <w:r w:rsidRPr="00E54F41">
        <w:rPr>
          <w:rFonts w:eastAsia="Times New Roman" w:cs="Times New Roman"/>
          <w:sz w:val="20"/>
          <w:szCs w:val="20"/>
          <w:lang w:val="fr-CA" w:eastAsia="en-CA"/>
        </w:rPr>
        <w:t xml:space="preserve"> </w:t>
      </w:r>
      <w:proofErr w:type="spellStart"/>
      <w:r w:rsidRPr="00E54F41">
        <w:rPr>
          <w:rFonts w:eastAsia="Times New Roman" w:cs="Times New Roman"/>
          <w:sz w:val="20"/>
          <w:szCs w:val="20"/>
          <w:lang w:val="fr-CA" w:eastAsia="en-CA"/>
        </w:rPr>
        <w:t>Lawyers</w:t>
      </w:r>
      <w:proofErr w:type="spellEnd"/>
      <w:r w:rsidRPr="00E54F41">
        <w:rPr>
          <w:rFonts w:eastAsia="Times New Roman" w:cs="Times New Roman"/>
          <w:sz w:val="20"/>
          <w:szCs w:val="20"/>
          <w:lang w:val="fr-CA" w:eastAsia="en-CA"/>
        </w:rPr>
        <w:t>’ Association.</w:t>
      </w:r>
    </w:p>
    <w:p w:rsidR="0056784C" w:rsidRPr="0056784C" w:rsidRDefault="0056784C" w:rsidP="0056784C">
      <w:pPr>
        <w:tabs>
          <w:tab w:val="left" w:pos="1168"/>
        </w:tabs>
        <w:jc w:val="both"/>
        <w:rPr>
          <w:rFonts w:eastAsia="Times New Roman" w:cs="Times New Roman"/>
          <w:sz w:val="20"/>
          <w:szCs w:val="20"/>
          <w:lang w:val="fr-CA" w:eastAsia="en-CA"/>
        </w:rPr>
      </w:pPr>
    </w:p>
    <w:p w:rsidR="0056784C" w:rsidRPr="00E54F41" w:rsidRDefault="0056784C" w:rsidP="0056784C">
      <w:pPr>
        <w:tabs>
          <w:tab w:val="left" w:pos="1168"/>
        </w:tabs>
        <w:jc w:val="both"/>
        <w:rPr>
          <w:rFonts w:eastAsia="Times New Roman" w:cs="Times New Roman"/>
          <w:i/>
          <w:sz w:val="20"/>
          <w:szCs w:val="20"/>
          <w:lang w:val="fr-CA" w:eastAsia="en-CA"/>
        </w:rPr>
      </w:pPr>
      <w:r w:rsidRPr="0056784C">
        <w:rPr>
          <w:rFonts w:eastAsia="Times New Roman" w:cs="Times New Roman"/>
          <w:i/>
          <w:sz w:val="20"/>
          <w:szCs w:val="20"/>
          <w:lang w:val="fr-CA" w:eastAsia="en-CA"/>
        </w:rPr>
        <w:tab/>
        <w:t xml:space="preserve">Procureurs de l’appelante : Jensen </w:t>
      </w:r>
      <w:proofErr w:type="spellStart"/>
      <w:r w:rsidRPr="0056784C">
        <w:rPr>
          <w:rFonts w:eastAsia="Times New Roman" w:cs="Times New Roman"/>
          <w:i/>
          <w:sz w:val="20"/>
          <w:szCs w:val="20"/>
          <w:lang w:val="fr-CA" w:eastAsia="en-CA"/>
        </w:rPr>
        <w:t>Shawa</w:t>
      </w:r>
      <w:proofErr w:type="spellEnd"/>
      <w:r w:rsidRPr="0056784C">
        <w:rPr>
          <w:rFonts w:eastAsia="Times New Roman" w:cs="Times New Roman"/>
          <w:i/>
          <w:sz w:val="20"/>
          <w:szCs w:val="20"/>
          <w:lang w:val="fr-CA" w:eastAsia="en-CA"/>
        </w:rPr>
        <w:t xml:space="preserve"> Solomon </w:t>
      </w:r>
      <w:proofErr w:type="spellStart"/>
      <w:r w:rsidRPr="0056784C">
        <w:rPr>
          <w:rFonts w:eastAsia="Times New Roman" w:cs="Times New Roman"/>
          <w:i/>
          <w:sz w:val="20"/>
          <w:szCs w:val="20"/>
          <w:lang w:val="fr-CA" w:eastAsia="en-CA"/>
        </w:rPr>
        <w:t>Duguid</w:t>
      </w:r>
      <w:proofErr w:type="spellEnd"/>
      <w:r w:rsidRPr="0056784C">
        <w:rPr>
          <w:rFonts w:eastAsia="Times New Roman" w:cs="Times New Roman"/>
          <w:i/>
          <w:sz w:val="20"/>
          <w:szCs w:val="20"/>
          <w:lang w:val="fr-CA" w:eastAsia="en-CA"/>
        </w:rPr>
        <w:t xml:space="preserve"> Hawkes, Calgary.</w:t>
      </w:r>
    </w:p>
    <w:p w:rsidR="0056784C" w:rsidRPr="0056784C" w:rsidRDefault="0056784C" w:rsidP="0056784C">
      <w:pPr>
        <w:tabs>
          <w:tab w:val="left" w:pos="1168"/>
        </w:tabs>
        <w:jc w:val="both"/>
        <w:rPr>
          <w:rFonts w:eastAsia="Times New Roman" w:cs="Times New Roman"/>
          <w:i/>
          <w:sz w:val="20"/>
          <w:szCs w:val="20"/>
          <w:lang w:val="fr-CA" w:eastAsia="en-CA"/>
        </w:rPr>
      </w:pPr>
    </w:p>
    <w:p w:rsidR="0056784C" w:rsidRPr="00E54F41" w:rsidRDefault="0056784C" w:rsidP="0056784C">
      <w:pPr>
        <w:tabs>
          <w:tab w:val="left" w:pos="1168"/>
        </w:tabs>
        <w:jc w:val="both"/>
        <w:rPr>
          <w:rFonts w:eastAsia="Times New Roman" w:cs="Times New Roman"/>
          <w:i/>
          <w:sz w:val="20"/>
          <w:szCs w:val="20"/>
          <w:lang w:val="fr-CA" w:eastAsia="en-CA"/>
        </w:rPr>
      </w:pPr>
      <w:r w:rsidRPr="0056784C">
        <w:rPr>
          <w:rFonts w:eastAsia="Times New Roman" w:cs="Times New Roman"/>
          <w:i/>
          <w:sz w:val="20"/>
          <w:szCs w:val="20"/>
          <w:lang w:val="fr-CA" w:eastAsia="en-CA"/>
        </w:rPr>
        <w:tab/>
        <w:t>Procureurs de l’intimé : DLA Piper (Canada), Calgary.</w:t>
      </w:r>
    </w:p>
    <w:p w:rsidR="0056784C" w:rsidRPr="0056784C" w:rsidRDefault="0056784C" w:rsidP="0056784C">
      <w:pPr>
        <w:tabs>
          <w:tab w:val="left" w:pos="1168"/>
        </w:tabs>
        <w:jc w:val="both"/>
        <w:rPr>
          <w:rFonts w:eastAsia="Times New Roman" w:cs="Times New Roman"/>
          <w:i/>
          <w:sz w:val="20"/>
          <w:szCs w:val="20"/>
          <w:lang w:val="fr-CA" w:eastAsia="en-CA"/>
        </w:rPr>
      </w:pPr>
    </w:p>
    <w:p w:rsidR="0056784C" w:rsidRPr="00E54F41" w:rsidRDefault="0056784C" w:rsidP="0056784C">
      <w:pPr>
        <w:tabs>
          <w:tab w:val="left" w:pos="1168"/>
        </w:tabs>
        <w:jc w:val="both"/>
        <w:rPr>
          <w:rFonts w:eastAsia="Times New Roman" w:cs="Times New Roman"/>
          <w:i/>
          <w:sz w:val="20"/>
          <w:szCs w:val="20"/>
          <w:lang w:val="fr-CA" w:eastAsia="en-CA"/>
        </w:rPr>
      </w:pPr>
      <w:r w:rsidRPr="0056784C">
        <w:rPr>
          <w:rFonts w:eastAsia="Times New Roman" w:cs="Times New Roman"/>
          <w:i/>
          <w:sz w:val="20"/>
          <w:szCs w:val="20"/>
          <w:lang w:val="fr-CA" w:eastAsia="en-CA"/>
        </w:rPr>
        <w:tab/>
        <w:t>Procureurs de l’intervenante Law Society of Alberta : de Villars Jones, Edmonton.</w:t>
      </w:r>
    </w:p>
    <w:p w:rsidR="0056784C" w:rsidRPr="0056784C" w:rsidRDefault="0056784C" w:rsidP="0056784C">
      <w:pPr>
        <w:tabs>
          <w:tab w:val="left" w:pos="1168"/>
        </w:tabs>
        <w:jc w:val="both"/>
        <w:rPr>
          <w:rFonts w:eastAsia="Times New Roman" w:cs="Times New Roman"/>
          <w:i/>
          <w:sz w:val="20"/>
          <w:szCs w:val="20"/>
          <w:lang w:val="fr-CA" w:eastAsia="en-CA"/>
        </w:rPr>
      </w:pPr>
    </w:p>
    <w:p w:rsidR="0056784C" w:rsidRPr="00E54F41" w:rsidRDefault="0056784C" w:rsidP="0056784C">
      <w:pPr>
        <w:tabs>
          <w:tab w:val="left" w:pos="1168"/>
        </w:tabs>
        <w:jc w:val="both"/>
        <w:rPr>
          <w:rFonts w:eastAsia="Times New Roman" w:cs="Times New Roman"/>
          <w:i/>
          <w:sz w:val="20"/>
          <w:szCs w:val="20"/>
          <w:lang w:val="fr-CA" w:eastAsia="en-CA"/>
        </w:rPr>
      </w:pPr>
      <w:r w:rsidRPr="0056784C">
        <w:rPr>
          <w:rFonts w:eastAsia="Times New Roman" w:cs="Times New Roman"/>
          <w:i/>
          <w:sz w:val="20"/>
          <w:szCs w:val="20"/>
          <w:lang w:val="fr-CA" w:eastAsia="en-CA"/>
        </w:rPr>
        <w:tab/>
        <w:t xml:space="preserve">Procureurs de l’intervenante British Columbia </w:t>
      </w:r>
      <w:proofErr w:type="spellStart"/>
      <w:r w:rsidRPr="0056784C">
        <w:rPr>
          <w:rFonts w:eastAsia="Times New Roman" w:cs="Times New Roman"/>
          <w:i/>
          <w:sz w:val="20"/>
          <w:szCs w:val="20"/>
          <w:lang w:val="fr-CA" w:eastAsia="en-CA"/>
        </w:rPr>
        <w:t>Freedom</w:t>
      </w:r>
      <w:proofErr w:type="spellEnd"/>
      <w:r w:rsidRPr="0056784C">
        <w:rPr>
          <w:rFonts w:eastAsia="Times New Roman" w:cs="Times New Roman"/>
          <w:i/>
          <w:sz w:val="20"/>
          <w:szCs w:val="20"/>
          <w:lang w:val="fr-CA" w:eastAsia="en-CA"/>
        </w:rPr>
        <w:t xml:space="preserve"> of Information and </w:t>
      </w:r>
      <w:proofErr w:type="spellStart"/>
      <w:r w:rsidRPr="0056784C">
        <w:rPr>
          <w:rFonts w:eastAsia="Times New Roman" w:cs="Times New Roman"/>
          <w:i/>
          <w:sz w:val="20"/>
          <w:szCs w:val="20"/>
          <w:lang w:val="fr-CA" w:eastAsia="en-CA"/>
        </w:rPr>
        <w:t>Privacy</w:t>
      </w:r>
      <w:proofErr w:type="spellEnd"/>
      <w:r w:rsidRPr="0056784C">
        <w:rPr>
          <w:rFonts w:eastAsia="Times New Roman" w:cs="Times New Roman"/>
          <w:i/>
          <w:sz w:val="20"/>
          <w:szCs w:val="20"/>
          <w:lang w:val="fr-CA" w:eastAsia="en-CA"/>
        </w:rPr>
        <w:t xml:space="preserve"> Association : McCarthy </w:t>
      </w:r>
      <w:proofErr w:type="spellStart"/>
      <w:r w:rsidRPr="0056784C">
        <w:rPr>
          <w:rFonts w:eastAsia="Times New Roman" w:cs="Times New Roman"/>
          <w:i/>
          <w:sz w:val="20"/>
          <w:szCs w:val="20"/>
          <w:lang w:val="fr-CA" w:eastAsia="en-CA"/>
        </w:rPr>
        <w:t>Tétrault</w:t>
      </w:r>
      <w:proofErr w:type="spellEnd"/>
      <w:r w:rsidRPr="0056784C">
        <w:rPr>
          <w:rFonts w:eastAsia="Times New Roman" w:cs="Times New Roman"/>
          <w:i/>
          <w:sz w:val="20"/>
          <w:szCs w:val="20"/>
          <w:lang w:val="fr-CA" w:eastAsia="en-CA"/>
        </w:rPr>
        <w:t>, Vancouver.</w:t>
      </w:r>
    </w:p>
    <w:p w:rsidR="0056784C" w:rsidRPr="0056784C" w:rsidRDefault="0056784C" w:rsidP="0056784C">
      <w:pPr>
        <w:tabs>
          <w:tab w:val="left" w:pos="1168"/>
        </w:tabs>
        <w:jc w:val="both"/>
        <w:rPr>
          <w:rFonts w:eastAsia="Times New Roman" w:cs="Times New Roman"/>
          <w:i/>
          <w:sz w:val="20"/>
          <w:szCs w:val="20"/>
          <w:lang w:val="fr-CA" w:eastAsia="en-CA"/>
        </w:rPr>
      </w:pPr>
    </w:p>
    <w:p w:rsidR="0056784C" w:rsidRPr="00E54F41" w:rsidRDefault="0056784C" w:rsidP="0056784C">
      <w:pPr>
        <w:tabs>
          <w:tab w:val="left" w:pos="1168"/>
        </w:tabs>
        <w:jc w:val="both"/>
        <w:rPr>
          <w:rFonts w:eastAsia="Times New Roman" w:cs="Times New Roman"/>
          <w:i/>
          <w:sz w:val="20"/>
          <w:szCs w:val="20"/>
          <w:lang w:val="fr-CA" w:eastAsia="en-CA"/>
        </w:rPr>
      </w:pPr>
      <w:r w:rsidRPr="0056784C">
        <w:rPr>
          <w:rFonts w:eastAsia="Times New Roman" w:cs="Times New Roman"/>
          <w:i/>
          <w:sz w:val="20"/>
          <w:szCs w:val="20"/>
          <w:lang w:val="fr-CA" w:eastAsia="en-CA"/>
        </w:rPr>
        <w:tab/>
        <w:t xml:space="preserve">Procureur de l’intervenant </w:t>
      </w:r>
      <w:r w:rsidRPr="00E54F41">
        <w:rPr>
          <w:rFonts w:eastAsia="Times New Roman" w:cs="Times New Roman"/>
          <w:i/>
          <w:sz w:val="20"/>
          <w:szCs w:val="20"/>
          <w:lang w:val="fr-CA" w:eastAsia="en-CA"/>
        </w:rPr>
        <w:t>le c</w:t>
      </w:r>
      <w:r w:rsidRPr="0056784C">
        <w:rPr>
          <w:rFonts w:eastAsia="Times New Roman" w:cs="Times New Roman"/>
          <w:i/>
          <w:sz w:val="20"/>
          <w:szCs w:val="20"/>
          <w:lang w:val="fr-CA" w:eastAsia="en-CA"/>
        </w:rPr>
        <w:t>ommissaire à l’information et à la protection de la vie privée de l’Ontario : </w:t>
      </w:r>
      <w:r w:rsidRPr="00E54F41">
        <w:rPr>
          <w:rFonts w:eastAsia="Times New Roman" w:cs="Times New Roman"/>
          <w:i/>
          <w:sz w:val="20"/>
          <w:szCs w:val="20"/>
          <w:lang w:val="fr-CA" w:eastAsia="en-CA"/>
        </w:rPr>
        <w:t>C</w:t>
      </w:r>
      <w:r w:rsidRPr="0056784C">
        <w:rPr>
          <w:rFonts w:eastAsia="Times New Roman" w:cs="Times New Roman"/>
          <w:i/>
          <w:sz w:val="20"/>
          <w:szCs w:val="20"/>
          <w:lang w:val="fr-CA" w:eastAsia="en-CA"/>
        </w:rPr>
        <w:t>ommissaire à l’information et à la protection de la vie privée de l’Ontario, Toronto.</w:t>
      </w:r>
    </w:p>
    <w:p w:rsidR="0056784C" w:rsidRPr="0056784C" w:rsidRDefault="0056784C" w:rsidP="0056784C">
      <w:pPr>
        <w:tabs>
          <w:tab w:val="left" w:pos="1168"/>
        </w:tabs>
        <w:jc w:val="both"/>
        <w:rPr>
          <w:rFonts w:eastAsia="Times New Roman" w:cs="Times New Roman"/>
          <w:i/>
          <w:sz w:val="20"/>
          <w:szCs w:val="20"/>
          <w:lang w:val="fr-CA" w:eastAsia="en-CA"/>
        </w:rPr>
      </w:pPr>
    </w:p>
    <w:p w:rsidR="0056784C" w:rsidRPr="00E54F41" w:rsidRDefault="0056784C" w:rsidP="0056784C">
      <w:pPr>
        <w:tabs>
          <w:tab w:val="left" w:pos="1168"/>
        </w:tabs>
        <w:jc w:val="both"/>
        <w:rPr>
          <w:rFonts w:eastAsia="Times New Roman" w:cs="Times New Roman"/>
          <w:i/>
          <w:sz w:val="20"/>
          <w:szCs w:val="20"/>
          <w:lang w:eastAsia="en-CA"/>
        </w:rPr>
      </w:pPr>
      <w:r w:rsidRPr="0056784C">
        <w:rPr>
          <w:rFonts w:eastAsia="Times New Roman" w:cs="Times New Roman"/>
          <w:i/>
          <w:sz w:val="20"/>
          <w:szCs w:val="20"/>
          <w:lang w:val="fr-CA" w:eastAsia="en-CA"/>
        </w:rPr>
        <w:tab/>
      </w:r>
      <w:proofErr w:type="spellStart"/>
      <w:r w:rsidRPr="0056784C">
        <w:rPr>
          <w:rFonts w:eastAsia="Times New Roman" w:cs="Times New Roman"/>
          <w:i/>
          <w:sz w:val="20"/>
          <w:szCs w:val="20"/>
          <w:lang w:eastAsia="en-CA"/>
        </w:rPr>
        <w:t>Procureurs</w:t>
      </w:r>
      <w:proofErr w:type="spellEnd"/>
      <w:r w:rsidRPr="0056784C">
        <w:rPr>
          <w:rFonts w:eastAsia="Times New Roman" w:cs="Times New Roman"/>
          <w:i/>
          <w:sz w:val="20"/>
          <w:szCs w:val="20"/>
          <w:lang w:eastAsia="en-CA"/>
        </w:rPr>
        <w:t xml:space="preserve"> de </w:t>
      </w:r>
      <w:proofErr w:type="spellStart"/>
      <w:r w:rsidRPr="0056784C">
        <w:rPr>
          <w:rFonts w:eastAsia="Times New Roman" w:cs="Times New Roman"/>
          <w:i/>
          <w:sz w:val="20"/>
          <w:szCs w:val="20"/>
          <w:lang w:eastAsia="en-CA"/>
        </w:rPr>
        <w:t>l’intervenant</w:t>
      </w:r>
      <w:proofErr w:type="spellEnd"/>
      <w:r w:rsidRPr="0056784C">
        <w:rPr>
          <w:rFonts w:eastAsia="Times New Roman" w:cs="Times New Roman"/>
          <w:i/>
          <w:sz w:val="20"/>
          <w:szCs w:val="20"/>
          <w:lang w:eastAsia="en-CA"/>
        </w:rPr>
        <w:t xml:space="preserve"> Information and Privacy Commissioner for British </w:t>
      </w:r>
      <w:proofErr w:type="gramStart"/>
      <w:r w:rsidRPr="0056784C">
        <w:rPr>
          <w:rFonts w:eastAsia="Times New Roman" w:cs="Times New Roman"/>
          <w:i/>
          <w:sz w:val="20"/>
          <w:szCs w:val="20"/>
          <w:lang w:eastAsia="en-CA"/>
        </w:rPr>
        <w:t>Columbia :</w:t>
      </w:r>
      <w:proofErr w:type="gramEnd"/>
      <w:r w:rsidRPr="0056784C">
        <w:rPr>
          <w:rFonts w:eastAsia="Times New Roman" w:cs="Times New Roman"/>
          <w:i/>
          <w:sz w:val="20"/>
          <w:szCs w:val="20"/>
          <w:lang w:eastAsia="en-CA"/>
        </w:rPr>
        <w:t> Miller Thomson, Calgary.</w:t>
      </w:r>
    </w:p>
    <w:p w:rsidR="0056784C" w:rsidRPr="0056784C" w:rsidRDefault="0056784C" w:rsidP="0056784C">
      <w:pPr>
        <w:tabs>
          <w:tab w:val="left" w:pos="1168"/>
        </w:tabs>
        <w:jc w:val="both"/>
        <w:rPr>
          <w:rFonts w:eastAsia="Times New Roman" w:cs="Times New Roman"/>
          <w:i/>
          <w:sz w:val="20"/>
          <w:szCs w:val="20"/>
          <w:lang w:eastAsia="en-CA"/>
        </w:rPr>
      </w:pPr>
    </w:p>
    <w:p w:rsidR="0056784C" w:rsidRPr="00E54F41" w:rsidRDefault="0056784C" w:rsidP="0056784C">
      <w:pPr>
        <w:tabs>
          <w:tab w:val="left" w:pos="1168"/>
        </w:tabs>
        <w:jc w:val="both"/>
        <w:rPr>
          <w:rFonts w:eastAsia="Times New Roman" w:cs="Times New Roman"/>
          <w:i/>
          <w:sz w:val="20"/>
          <w:szCs w:val="20"/>
          <w:lang w:eastAsia="en-CA"/>
        </w:rPr>
      </w:pPr>
      <w:r w:rsidRPr="0056784C">
        <w:rPr>
          <w:rFonts w:eastAsia="Times New Roman" w:cs="Times New Roman"/>
          <w:i/>
          <w:sz w:val="20"/>
          <w:szCs w:val="20"/>
          <w:lang w:eastAsia="en-CA"/>
        </w:rPr>
        <w:tab/>
      </w:r>
      <w:proofErr w:type="spellStart"/>
      <w:r w:rsidRPr="0056784C">
        <w:rPr>
          <w:rFonts w:eastAsia="Times New Roman" w:cs="Times New Roman"/>
          <w:i/>
          <w:sz w:val="20"/>
          <w:szCs w:val="20"/>
          <w:lang w:eastAsia="en-CA"/>
        </w:rPr>
        <w:t>Procureurs</w:t>
      </w:r>
      <w:proofErr w:type="spellEnd"/>
      <w:r w:rsidRPr="0056784C">
        <w:rPr>
          <w:rFonts w:eastAsia="Times New Roman" w:cs="Times New Roman"/>
          <w:i/>
          <w:sz w:val="20"/>
          <w:szCs w:val="20"/>
          <w:lang w:eastAsia="en-CA"/>
        </w:rPr>
        <w:t xml:space="preserve"> de </w:t>
      </w:r>
      <w:proofErr w:type="spellStart"/>
      <w:r w:rsidRPr="0056784C">
        <w:rPr>
          <w:rFonts w:eastAsia="Times New Roman" w:cs="Times New Roman"/>
          <w:i/>
          <w:sz w:val="20"/>
          <w:szCs w:val="20"/>
          <w:lang w:eastAsia="en-CA"/>
        </w:rPr>
        <w:t>l’intervenant</w:t>
      </w:r>
      <w:proofErr w:type="spellEnd"/>
      <w:r w:rsidRPr="0056784C">
        <w:rPr>
          <w:rFonts w:eastAsia="Times New Roman" w:cs="Times New Roman"/>
          <w:i/>
          <w:sz w:val="20"/>
          <w:szCs w:val="20"/>
          <w:lang w:eastAsia="en-CA"/>
        </w:rPr>
        <w:t xml:space="preserve"> Information and Privacy Commissioner for the Province of Newfoundland and </w:t>
      </w:r>
      <w:proofErr w:type="gramStart"/>
      <w:r w:rsidRPr="0056784C">
        <w:rPr>
          <w:rFonts w:eastAsia="Times New Roman" w:cs="Times New Roman"/>
          <w:i/>
          <w:sz w:val="20"/>
          <w:szCs w:val="20"/>
          <w:lang w:eastAsia="en-CA"/>
        </w:rPr>
        <w:t>Labrador :</w:t>
      </w:r>
      <w:proofErr w:type="gramEnd"/>
      <w:r w:rsidRPr="0056784C">
        <w:rPr>
          <w:rFonts w:eastAsia="Times New Roman" w:cs="Times New Roman"/>
          <w:i/>
          <w:sz w:val="20"/>
          <w:szCs w:val="20"/>
          <w:lang w:eastAsia="en-CA"/>
        </w:rPr>
        <w:t xml:space="preserve"> Lewis, </w:t>
      </w:r>
      <w:proofErr w:type="spellStart"/>
      <w:r w:rsidRPr="0056784C">
        <w:rPr>
          <w:rFonts w:eastAsia="Times New Roman" w:cs="Times New Roman"/>
          <w:i/>
          <w:sz w:val="20"/>
          <w:szCs w:val="20"/>
          <w:lang w:eastAsia="en-CA"/>
        </w:rPr>
        <w:t>Sinnott</w:t>
      </w:r>
      <w:proofErr w:type="spellEnd"/>
      <w:r w:rsidRPr="0056784C">
        <w:rPr>
          <w:rFonts w:eastAsia="Times New Roman" w:cs="Times New Roman"/>
          <w:i/>
          <w:sz w:val="20"/>
          <w:szCs w:val="20"/>
          <w:lang w:eastAsia="en-CA"/>
        </w:rPr>
        <w:t xml:space="preserve">, </w:t>
      </w:r>
      <w:proofErr w:type="spellStart"/>
      <w:r w:rsidRPr="0056784C">
        <w:rPr>
          <w:rFonts w:eastAsia="Times New Roman" w:cs="Times New Roman"/>
          <w:i/>
          <w:sz w:val="20"/>
          <w:szCs w:val="20"/>
          <w:lang w:eastAsia="en-CA"/>
        </w:rPr>
        <w:t>Shortall</w:t>
      </w:r>
      <w:proofErr w:type="spellEnd"/>
      <w:r w:rsidRPr="0056784C">
        <w:rPr>
          <w:rFonts w:eastAsia="Times New Roman" w:cs="Times New Roman"/>
          <w:i/>
          <w:sz w:val="20"/>
          <w:szCs w:val="20"/>
          <w:lang w:eastAsia="en-CA"/>
        </w:rPr>
        <w:t>, St. John’s.</w:t>
      </w:r>
    </w:p>
    <w:p w:rsidR="0056784C" w:rsidRPr="0056784C" w:rsidRDefault="0056784C" w:rsidP="0056784C">
      <w:pPr>
        <w:tabs>
          <w:tab w:val="left" w:pos="1168"/>
        </w:tabs>
        <w:jc w:val="both"/>
        <w:rPr>
          <w:rFonts w:eastAsia="Times New Roman" w:cs="Times New Roman"/>
          <w:i/>
          <w:sz w:val="20"/>
          <w:szCs w:val="20"/>
          <w:lang w:eastAsia="en-CA"/>
        </w:rPr>
      </w:pPr>
    </w:p>
    <w:p w:rsidR="0056784C" w:rsidRPr="00E54F41" w:rsidRDefault="0056784C" w:rsidP="0056784C">
      <w:pPr>
        <w:tabs>
          <w:tab w:val="left" w:pos="1168"/>
        </w:tabs>
        <w:jc w:val="both"/>
        <w:rPr>
          <w:rFonts w:eastAsia="Times New Roman" w:cs="Times New Roman"/>
          <w:i/>
          <w:sz w:val="20"/>
          <w:szCs w:val="20"/>
          <w:lang w:val="fr-CA" w:eastAsia="en-CA"/>
        </w:rPr>
      </w:pPr>
      <w:r w:rsidRPr="0056784C">
        <w:rPr>
          <w:rFonts w:eastAsia="Times New Roman" w:cs="Times New Roman"/>
          <w:i/>
          <w:sz w:val="20"/>
          <w:szCs w:val="20"/>
          <w:lang w:eastAsia="en-CA"/>
        </w:rPr>
        <w:tab/>
      </w:r>
      <w:r w:rsidRPr="0056784C">
        <w:rPr>
          <w:rFonts w:eastAsia="Times New Roman" w:cs="Times New Roman"/>
          <w:i/>
          <w:sz w:val="20"/>
          <w:szCs w:val="20"/>
          <w:lang w:val="fr-CA" w:eastAsia="en-CA"/>
        </w:rPr>
        <w:t xml:space="preserve">Procureurs de l’intervenante </w:t>
      </w:r>
      <w:proofErr w:type="spellStart"/>
      <w:r w:rsidRPr="0056784C">
        <w:rPr>
          <w:rFonts w:eastAsia="Times New Roman" w:cs="Times New Roman"/>
          <w:i/>
          <w:sz w:val="20"/>
          <w:szCs w:val="20"/>
          <w:lang w:val="fr-CA" w:eastAsia="en-CA"/>
        </w:rPr>
        <w:t>Advocates</w:t>
      </w:r>
      <w:proofErr w:type="spellEnd"/>
      <w:r w:rsidRPr="0056784C">
        <w:rPr>
          <w:rFonts w:eastAsia="Times New Roman" w:cs="Times New Roman"/>
          <w:i/>
          <w:sz w:val="20"/>
          <w:szCs w:val="20"/>
          <w:lang w:val="fr-CA" w:eastAsia="en-CA"/>
        </w:rPr>
        <w:t>’ Society : </w:t>
      </w:r>
      <w:proofErr w:type="spellStart"/>
      <w:r w:rsidRPr="0056784C">
        <w:rPr>
          <w:rFonts w:eastAsia="Times New Roman" w:cs="Times New Roman"/>
          <w:i/>
          <w:sz w:val="20"/>
          <w:szCs w:val="20"/>
          <w:lang w:val="fr-CA" w:eastAsia="en-CA"/>
        </w:rPr>
        <w:t>Peacock</w:t>
      </w:r>
      <w:proofErr w:type="spellEnd"/>
      <w:r w:rsidRPr="0056784C">
        <w:rPr>
          <w:rFonts w:eastAsia="Times New Roman" w:cs="Times New Roman"/>
          <w:i/>
          <w:sz w:val="20"/>
          <w:szCs w:val="20"/>
          <w:lang w:val="fr-CA" w:eastAsia="en-CA"/>
        </w:rPr>
        <w:t xml:space="preserve"> Linder </w:t>
      </w:r>
      <w:proofErr w:type="spellStart"/>
      <w:r w:rsidRPr="0056784C">
        <w:rPr>
          <w:rFonts w:eastAsia="Times New Roman" w:cs="Times New Roman"/>
          <w:i/>
          <w:sz w:val="20"/>
          <w:szCs w:val="20"/>
          <w:lang w:val="fr-CA" w:eastAsia="en-CA"/>
        </w:rPr>
        <w:t>Halt</w:t>
      </w:r>
      <w:proofErr w:type="spellEnd"/>
      <w:r w:rsidRPr="0056784C">
        <w:rPr>
          <w:rFonts w:eastAsia="Times New Roman" w:cs="Times New Roman"/>
          <w:i/>
          <w:sz w:val="20"/>
          <w:szCs w:val="20"/>
          <w:lang w:val="fr-CA" w:eastAsia="en-CA"/>
        </w:rPr>
        <w:t xml:space="preserve"> &amp; Mack, Calgary.</w:t>
      </w:r>
    </w:p>
    <w:p w:rsidR="0056784C" w:rsidRPr="0056784C" w:rsidRDefault="0056784C" w:rsidP="0056784C">
      <w:pPr>
        <w:tabs>
          <w:tab w:val="left" w:pos="1168"/>
        </w:tabs>
        <w:jc w:val="both"/>
        <w:rPr>
          <w:rFonts w:eastAsia="Times New Roman" w:cs="Times New Roman"/>
          <w:i/>
          <w:sz w:val="20"/>
          <w:szCs w:val="20"/>
          <w:lang w:val="fr-CA" w:eastAsia="en-CA"/>
        </w:rPr>
      </w:pPr>
    </w:p>
    <w:p w:rsidR="0056784C" w:rsidRPr="00E54F41" w:rsidRDefault="0056784C" w:rsidP="0056784C">
      <w:pPr>
        <w:tabs>
          <w:tab w:val="left" w:pos="1168"/>
        </w:tabs>
        <w:jc w:val="both"/>
        <w:rPr>
          <w:rFonts w:eastAsia="Times New Roman" w:cs="Times New Roman"/>
          <w:i/>
          <w:sz w:val="20"/>
          <w:szCs w:val="20"/>
          <w:lang w:val="fr-CA" w:eastAsia="en-CA"/>
        </w:rPr>
      </w:pPr>
      <w:r w:rsidRPr="0056784C">
        <w:rPr>
          <w:rFonts w:eastAsia="Times New Roman" w:cs="Times New Roman"/>
          <w:i/>
          <w:sz w:val="20"/>
          <w:szCs w:val="20"/>
          <w:lang w:val="fr-CA" w:eastAsia="en-CA"/>
        </w:rPr>
        <w:tab/>
        <w:t xml:space="preserve">Procureurs de l’intervenante </w:t>
      </w:r>
      <w:r w:rsidRPr="00E54F41">
        <w:rPr>
          <w:rFonts w:eastAsia="Times New Roman" w:cs="Times New Roman"/>
          <w:i/>
          <w:sz w:val="20"/>
          <w:szCs w:val="20"/>
          <w:lang w:val="fr-CA" w:eastAsia="en-CA"/>
        </w:rPr>
        <w:t xml:space="preserve">la </w:t>
      </w:r>
      <w:r w:rsidRPr="0056784C">
        <w:rPr>
          <w:rFonts w:eastAsia="Times New Roman" w:cs="Times New Roman"/>
          <w:i/>
          <w:sz w:val="20"/>
          <w:szCs w:val="20"/>
          <w:lang w:val="fr-CA" w:eastAsia="en-CA"/>
        </w:rPr>
        <w:t xml:space="preserve">Fédération des ordres professionnels de juristes du Canada : Osler, </w:t>
      </w:r>
      <w:proofErr w:type="spellStart"/>
      <w:r w:rsidRPr="0056784C">
        <w:rPr>
          <w:rFonts w:eastAsia="Times New Roman" w:cs="Times New Roman"/>
          <w:i/>
          <w:sz w:val="20"/>
          <w:szCs w:val="20"/>
          <w:lang w:val="fr-CA" w:eastAsia="en-CA"/>
        </w:rPr>
        <w:t>Hoskin</w:t>
      </w:r>
      <w:proofErr w:type="spellEnd"/>
      <w:r w:rsidRPr="0056784C">
        <w:rPr>
          <w:rFonts w:eastAsia="Times New Roman" w:cs="Times New Roman"/>
          <w:i/>
          <w:sz w:val="20"/>
          <w:szCs w:val="20"/>
          <w:lang w:val="fr-CA" w:eastAsia="en-CA"/>
        </w:rPr>
        <w:t xml:space="preserve"> &amp; Harcourt, Toronto.</w:t>
      </w:r>
    </w:p>
    <w:p w:rsidR="0056784C" w:rsidRPr="0056784C" w:rsidRDefault="0056784C" w:rsidP="0056784C">
      <w:pPr>
        <w:tabs>
          <w:tab w:val="left" w:pos="1168"/>
        </w:tabs>
        <w:jc w:val="both"/>
        <w:rPr>
          <w:rFonts w:eastAsia="Times New Roman" w:cs="Times New Roman"/>
          <w:i/>
          <w:sz w:val="20"/>
          <w:szCs w:val="20"/>
          <w:lang w:val="fr-CA" w:eastAsia="en-CA"/>
        </w:rPr>
      </w:pPr>
    </w:p>
    <w:p w:rsidR="0056784C" w:rsidRPr="00E54F41" w:rsidRDefault="0056784C" w:rsidP="0056784C">
      <w:pPr>
        <w:tabs>
          <w:tab w:val="left" w:pos="1168"/>
        </w:tabs>
        <w:jc w:val="both"/>
        <w:rPr>
          <w:rFonts w:eastAsia="Times New Roman" w:cs="Times New Roman"/>
          <w:i/>
          <w:sz w:val="20"/>
          <w:szCs w:val="20"/>
          <w:lang w:val="fr-CA" w:eastAsia="en-CA"/>
        </w:rPr>
      </w:pPr>
      <w:r w:rsidRPr="0056784C">
        <w:rPr>
          <w:rFonts w:eastAsia="Times New Roman" w:cs="Times New Roman"/>
          <w:i/>
          <w:sz w:val="20"/>
          <w:szCs w:val="20"/>
          <w:lang w:val="fr-CA" w:eastAsia="en-CA"/>
        </w:rPr>
        <w:lastRenderedPageBreak/>
        <w:tab/>
        <w:t xml:space="preserve">Procureurs de l’intervenante </w:t>
      </w:r>
      <w:r w:rsidRPr="00E54F41">
        <w:rPr>
          <w:rFonts w:eastAsia="Times New Roman" w:cs="Times New Roman"/>
          <w:i/>
          <w:sz w:val="20"/>
          <w:szCs w:val="20"/>
          <w:lang w:val="fr-CA" w:eastAsia="en-CA"/>
        </w:rPr>
        <w:t>l’</w:t>
      </w:r>
      <w:r w:rsidRPr="0056784C">
        <w:rPr>
          <w:rFonts w:eastAsia="Times New Roman" w:cs="Times New Roman"/>
          <w:i/>
          <w:sz w:val="20"/>
          <w:szCs w:val="20"/>
          <w:lang w:val="fr-CA" w:eastAsia="en-CA"/>
        </w:rPr>
        <w:t xml:space="preserve">Association du Barreau canadien : Dunphy Best </w:t>
      </w:r>
      <w:proofErr w:type="spellStart"/>
      <w:r w:rsidRPr="0056784C">
        <w:rPr>
          <w:rFonts w:eastAsia="Times New Roman" w:cs="Times New Roman"/>
          <w:i/>
          <w:sz w:val="20"/>
          <w:szCs w:val="20"/>
          <w:lang w:val="fr-CA" w:eastAsia="en-CA"/>
        </w:rPr>
        <w:t>Blocksom</w:t>
      </w:r>
      <w:proofErr w:type="spellEnd"/>
      <w:r w:rsidRPr="0056784C">
        <w:rPr>
          <w:rFonts w:eastAsia="Times New Roman" w:cs="Times New Roman"/>
          <w:i/>
          <w:sz w:val="20"/>
          <w:szCs w:val="20"/>
          <w:lang w:val="fr-CA" w:eastAsia="en-CA"/>
        </w:rPr>
        <w:t xml:space="preserve">, Calgary; </w:t>
      </w:r>
      <w:proofErr w:type="spellStart"/>
      <w:r w:rsidRPr="0056784C">
        <w:rPr>
          <w:rFonts w:eastAsia="Times New Roman" w:cs="Times New Roman"/>
          <w:i/>
          <w:sz w:val="20"/>
          <w:szCs w:val="20"/>
          <w:lang w:val="fr-CA" w:eastAsia="en-CA"/>
        </w:rPr>
        <w:t>McLennan</w:t>
      </w:r>
      <w:proofErr w:type="spellEnd"/>
      <w:r w:rsidRPr="0056784C">
        <w:rPr>
          <w:rFonts w:eastAsia="Times New Roman" w:cs="Times New Roman"/>
          <w:i/>
          <w:sz w:val="20"/>
          <w:szCs w:val="20"/>
          <w:lang w:val="fr-CA" w:eastAsia="en-CA"/>
        </w:rPr>
        <w:t xml:space="preserve"> Ross, Calgary.</w:t>
      </w:r>
    </w:p>
    <w:p w:rsidR="0056784C" w:rsidRPr="0056784C" w:rsidRDefault="0056784C" w:rsidP="0056784C">
      <w:pPr>
        <w:tabs>
          <w:tab w:val="left" w:pos="1168"/>
        </w:tabs>
        <w:jc w:val="both"/>
        <w:rPr>
          <w:rFonts w:eastAsia="Times New Roman" w:cs="Times New Roman"/>
          <w:i/>
          <w:sz w:val="20"/>
          <w:szCs w:val="20"/>
          <w:lang w:val="fr-CA" w:eastAsia="en-CA"/>
        </w:rPr>
      </w:pPr>
    </w:p>
    <w:p w:rsidR="0056784C" w:rsidRPr="00E54F41" w:rsidRDefault="0056784C" w:rsidP="0056784C">
      <w:pPr>
        <w:tabs>
          <w:tab w:val="left" w:pos="1168"/>
        </w:tabs>
        <w:jc w:val="both"/>
        <w:rPr>
          <w:rFonts w:eastAsia="Times New Roman" w:cs="Times New Roman"/>
          <w:i/>
          <w:sz w:val="20"/>
          <w:szCs w:val="20"/>
          <w:lang w:val="fr-CA" w:eastAsia="en-CA"/>
        </w:rPr>
      </w:pPr>
      <w:r w:rsidRPr="0056784C">
        <w:rPr>
          <w:rFonts w:eastAsia="Times New Roman" w:cs="Times New Roman"/>
          <w:i/>
          <w:sz w:val="20"/>
          <w:szCs w:val="20"/>
          <w:lang w:val="fr-CA" w:eastAsia="en-CA"/>
        </w:rPr>
        <w:tab/>
        <w:t xml:space="preserve">Procureurs des </w:t>
      </w:r>
      <w:r w:rsidRPr="00E54F41">
        <w:rPr>
          <w:rFonts w:eastAsia="Times New Roman" w:cs="Times New Roman"/>
          <w:i/>
          <w:sz w:val="20"/>
          <w:szCs w:val="20"/>
          <w:lang w:val="fr-CA" w:eastAsia="en-CA"/>
        </w:rPr>
        <w:t>intervenants le commissaire à l’information du Canada, le commissaire à la protection de la vie privée du Canada, l’</w:t>
      </w:r>
      <w:r w:rsidRPr="0056784C">
        <w:rPr>
          <w:rFonts w:eastAsia="Times New Roman" w:cs="Times New Roman"/>
          <w:i/>
          <w:sz w:val="20"/>
          <w:szCs w:val="20"/>
          <w:lang w:val="fr-CA" w:eastAsia="en-CA"/>
        </w:rPr>
        <w:t>Ombudsman du Manitoba</w:t>
      </w:r>
      <w:r w:rsidRPr="00E54F41">
        <w:rPr>
          <w:rFonts w:eastAsia="Times New Roman" w:cs="Times New Roman"/>
          <w:i/>
          <w:sz w:val="20"/>
          <w:szCs w:val="20"/>
          <w:lang w:val="fr-CA" w:eastAsia="en-CA"/>
        </w:rPr>
        <w:t>, le commissaire à l’information et à la protection de la vie privée des Territoires du Nord</w:t>
      </w:r>
      <w:r w:rsidRPr="00E54F41">
        <w:rPr>
          <w:rFonts w:eastAsia="Times New Roman" w:cs="Times New Roman"/>
          <w:i/>
          <w:sz w:val="20"/>
          <w:szCs w:val="20"/>
          <w:lang w:val="fr-CA" w:eastAsia="en-CA"/>
        </w:rPr>
        <w:noBreakHyphen/>
        <w:t xml:space="preserve">Ouest, Nova </w:t>
      </w:r>
      <w:proofErr w:type="spellStart"/>
      <w:r w:rsidRPr="00E54F41">
        <w:rPr>
          <w:rFonts w:eastAsia="Times New Roman" w:cs="Times New Roman"/>
          <w:i/>
          <w:sz w:val="20"/>
          <w:szCs w:val="20"/>
          <w:lang w:val="fr-CA" w:eastAsia="en-CA"/>
        </w:rPr>
        <w:t>Scotia</w:t>
      </w:r>
      <w:proofErr w:type="spellEnd"/>
      <w:r w:rsidRPr="00E54F41">
        <w:rPr>
          <w:rFonts w:eastAsia="Times New Roman" w:cs="Times New Roman"/>
          <w:i/>
          <w:sz w:val="20"/>
          <w:szCs w:val="20"/>
          <w:lang w:val="fr-CA" w:eastAsia="en-CA"/>
        </w:rPr>
        <w:t xml:space="preserve"> Information and </w:t>
      </w:r>
      <w:proofErr w:type="spellStart"/>
      <w:r w:rsidRPr="00E54F41">
        <w:rPr>
          <w:rFonts w:eastAsia="Times New Roman" w:cs="Times New Roman"/>
          <w:i/>
          <w:sz w:val="20"/>
          <w:szCs w:val="20"/>
          <w:lang w:val="fr-CA" w:eastAsia="en-CA"/>
        </w:rPr>
        <w:t>Privacy</w:t>
      </w:r>
      <w:proofErr w:type="spellEnd"/>
      <w:r w:rsidRPr="00E54F41">
        <w:rPr>
          <w:rFonts w:eastAsia="Times New Roman" w:cs="Times New Roman"/>
          <w:i/>
          <w:sz w:val="20"/>
          <w:szCs w:val="20"/>
          <w:lang w:val="fr-CA" w:eastAsia="en-CA"/>
        </w:rPr>
        <w:t xml:space="preserve"> </w:t>
      </w:r>
      <w:proofErr w:type="spellStart"/>
      <w:r w:rsidRPr="00E54F41">
        <w:rPr>
          <w:rFonts w:eastAsia="Times New Roman" w:cs="Times New Roman"/>
          <w:i/>
          <w:sz w:val="20"/>
          <w:szCs w:val="20"/>
          <w:lang w:val="fr-CA" w:eastAsia="en-CA"/>
        </w:rPr>
        <w:t>Commissioner</w:t>
      </w:r>
      <w:proofErr w:type="spellEnd"/>
      <w:r w:rsidRPr="00E54F41">
        <w:rPr>
          <w:rFonts w:eastAsia="Times New Roman" w:cs="Times New Roman"/>
          <w:i/>
          <w:sz w:val="20"/>
          <w:szCs w:val="20"/>
          <w:lang w:val="fr-CA" w:eastAsia="en-CA"/>
        </w:rPr>
        <w:t xml:space="preserve"> [</w:t>
      </w:r>
      <w:proofErr w:type="spellStart"/>
      <w:r w:rsidRPr="00E54F41">
        <w:rPr>
          <w:rFonts w:eastAsia="Times New Roman" w:cs="Times New Roman"/>
          <w:i/>
          <w:sz w:val="20"/>
          <w:szCs w:val="20"/>
          <w:lang w:val="fr-CA" w:eastAsia="en-CA"/>
        </w:rPr>
        <w:t>Review</w:t>
      </w:r>
      <w:proofErr w:type="spellEnd"/>
      <w:r w:rsidRPr="00E54F41">
        <w:rPr>
          <w:rFonts w:eastAsia="Times New Roman" w:cs="Times New Roman"/>
          <w:i/>
          <w:sz w:val="20"/>
          <w:szCs w:val="20"/>
          <w:lang w:val="fr-CA" w:eastAsia="en-CA"/>
        </w:rPr>
        <w:t xml:space="preserve"> </w:t>
      </w:r>
      <w:proofErr w:type="spellStart"/>
      <w:r w:rsidRPr="00E54F41">
        <w:rPr>
          <w:rFonts w:eastAsia="Times New Roman" w:cs="Times New Roman"/>
          <w:i/>
          <w:sz w:val="20"/>
          <w:szCs w:val="20"/>
          <w:lang w:val="fr-CA" w:eastAsia="en-CA"/>
        </w:rPr>
        <w:t>Officer</w:t>
      </w:r>
      <w:proofErr w:type="spellEnd"/>
      <w:r w:rsidRPr="00E54F41">
        <w:rPr>
          <w:rFonts w:eastAsia="Times New Roman" w:cs="Times New Roman"/>
          <w:i/>
          <w:sz w:val="20"/>
          <w:szCs w:val="20"/>
          <w:lang w:val="fr-CA" w:eastAsia="en-CA"/>
        </w:rPr>
        <w:t xml:space="preserve">], le commissaire à l’information et à la protection de la vie privée du Nunavut, Saskatchewan Information and </w:t>
      </w:r>
      <w:proofErr w:type="spellStart"/>
      <w:r w:rsidRPr="00E54F41">
        <w:rPr>
          <w:rFonts w:eastAsia="Times New Roman" w:cs="Times New Roman"/>
          <w:i/>
          <w:sz w:val="20"/>
          <w:szCs w:val="20"/>
          <w:lang w:val="fr-CA" w:eastAsia="en-CA"/>
        </w:rPr>
        <w:t>Privacy</w:t>
      </w:r>
      <w:proofErr w:type="spellEnd"/>
      <w:r w:rsidRPr="00E54F41">
        <w:rPr>
          <w:rFonts w:eastAsia="Times New Roman" w:cs="Times New Roman"/>
          <w:i/>
          <w:sz w:val="20"/>
          <w:szCs w:val="20"/>
          <w:lang w:val="fr-CA" w:eastAsia="en-CA"/>
        </w:rPr>
        <w:t xml:space="preserve"> </w:t>
      </w:r>
      <w:proofErr w:type="spellStart"/>
      <w:r w:rsidRPr="00E54F41">
        <w:rPr>
          <w:rFonts w:eastAsia="Times New Roman" w:cs="Times New Roman"/>
          <w:i/>
          <w:sz w:val="20"/>
          <w:szCs w:val="20"/>
          <w:lang w:val="fr-CA" w:eastAsia="en-CA"/>
        </w:rPr>
        <w:t>Commissioner</w:t>
      </w:r>
      <w:proofErr w:type="spellEnd"/>
      <w:r w:rsidRPr="00E54F41">
        <w:rPr>
          <w:rFonts w:eastAsia="Times New Roman" w:cs="Times New Roman"/>
          <w:i/>
          <w:sz w:val="20"/>
          <w:szCs w:val="20"/>
          <w:lang w:val="fr-CA" w:eastAsia="en-CA"/>
        </w:rPr>
        <w:t xml:space="preserve"> et le commissaire à l’information et à la protection de la vie privée et ombudsman du Yukon</w:t>
      </w:r>
      <w:r w:rsidRPr="0056784C">
        <w:rPr>
          <w:rFonts w:eastAsia="Times New Roman" w:cs="Times New Roman"/>
          <w:i/>
          <w:sz w:val="20"/>
          <w:szCs w:val="20"/>
          <w:lang w:val="fr-CA" w:eastAsia="en-CA"/>
        </w:rPr>
        <w:t> : </w:t>
      </w:r>
      <w:proofErr w:type="spellStart"/>
      <w:r w:rsidRPr="0056784C">
        <w:rPr>
          <w:rFonts w:eastAsia="Times New Roman" w:cs="Times New Roman"/>
          <w:i/>
          <w:sz w:val="20"/>
          <w:szCs w:val="20"/>
          <w:lang w:val="fr-CA" w:eastAsia="en-CA"/>
        </w:rPr>
        <w:t>Goldblatt</w:t>
      </w:r>
      <w:proofErr w:type="spellEnd"/>
      <w:r w:rsidRPr="0056784C">
        <w:rPr>
          <w:rFonts w:eastAsia="Times New Roman" w:cs="Times New Roman"/>
          <w:i/>
          <w:sz w:val="20"/>
          <w:szCs w:val="20"/>
          <w:lang w:val="fr-CA" w:eastAsia="en-CA"/>
        </w:rPr>
        <w:t xml:space="preserve"> </w:t>
      </w:r>
      <w:proofErr w:type="spellStart"/>
      <w:r w:rsidRPr="0056784C">
        <w:rPr>
          <w:rFonts w:eastAsia="Times New Roman" w:cs="Times New Roman"/>
          <w:i/>
          <w:sz w:val="20"/>
          <w:szCs w:val="20"/>
          <w:lang w:val="fr-CA" w:eastAsia="en-CA"/>
        </w:rPr>
        <w:t>Partners</w:t>
      </w:r>
      <w:proofErr w:type="spellEnd"/>
      <w:r w:rsidRPr="0056784C">
        <w:rPr>
          <w:rFonts w:eastAsia="Times New Roman" w:cs="Times New Roman"/>
          <w:i/>
          <w:sz w:val="20"/>
          <w:szCs w:val="20"/>
          <w:lang w:val="fr-CA" w:eastAsia="en-CA"/>
        </w:rPr>
        <w:t>, Toronto; Commissariat à la protection de la vie privée du Canada, Gatineau; Commissariat à l’information du Canada, Gatineau.</w:t>
      </w:r>
    </w:p>
    <w:p w:rsidR="0056784C" w:rsidRPr="0056784C" w:rsidRDefault="0056784C" w:rsidP="0056784C">
      <w:pPr>
        <w:tabs>
          <w:tab w:val="left" w:pos="1168"/>
        </w:tabs>
        <w:jc w:val="both"/>
        <w:rPr>
          <w:rFonts w:eastAsia="Times New Roman" w:cs="Times New Roman"/>
          <w:i/>
          <w:sz w:val="20"/>
          <w:szCs w:val="20"/>
          <w:lang w:val="fr-CA" w:eastAsia="en-CA"/>
        </w:rPr>
      </w:pPr>
    </w:p>
    <w:p w:rsidR="0056784C" w:rsidRPr="0056784C" w:rsidRDefault="0056784C" w:rsidP="0056784C">
      <w:pPr>
        <w:tabs>
          <w:tab w:val="left" w:pos="1168"/>
        </w:tabs>
        <w:jc w:val="both"/>
        <w:rPr>
          <w:rFonts w:eastAsia="Times New Roman" w:cs="Times New Roman"/>
          <w:i/>
          <w:sz w:val="20"/>
          <w:szCs w:val="20"/>
          <w:lang w:val="fr-CA" w:eastAsia="en-CA"/>
        </w:rPr>
      </w:pPr>
      <w:r w:rsidRPr="0056784C">
        <w:rPr>
          <w:rFonts w:eastAsia="Times New Roman" w:cs="Times New Roman"/>
          <w:i/>
          <w:sz w:val="20"/>
          <w:szCs w:val="20"/>
          <w:lang w:val="fr-CA" w:eastAsia="en-CA"/>
        </w:rPr>
        <w:tab/>
        <w:t xml:space="preserve">Procureurs de l’intervenante </w:t>
      </w:r>
      <w:proofErr w:type="spellStart"/>
      <w:r w:rsidRPr="0056784C">
        <w:rPr>
          <w:rFonts w:eastAsia="Times New Roman" w:cs="Times New Roman"/>
          <w:i/>
          <w:sz w:val="20"/>
          <w:szCs w:val="20"/>
          <w:lang w:val="fr-CA" w:eastAsia="en-CA"/>
        </w:rPr>
        <w:t>Criminal</w:t>
      </w:r>
      <w:proofErr w:type="spellEnd"/>
      <w:r w:rsidRPr="0056784C">
        <w:rPr>
          <w:rFonts w:eastAsia="Times New Roman" w:cs="Times New Roman"/>
          <w:i/>
          <w:sz w:val="20"/>
          <w:szCs w:val="20"/>
          <w:lang w:val="fr-CA" w:eastAsia="en-CA"/>
        </w:rPr>
        <w:t xml:space="preserve"> </w:t>
      </w:r>
      <w:proofErr w:type="spellStart"/>
      <w:r w:rsidRPr="0056784C">
        <w:rPr>
          <w:rFonts w:eastAsia="Times New Roman" w:cs="Times New Roman"/>
          <w:i/>
          <w:sz w:val="20"/>
          <w:szCs w:val="20"/>
          <w:lang w:val="fr-CA" w:eastAsia="en-CA"/>
        </w:rPr>
        <w:t>Lawyers</w:t>
      </w:r>
      <w:proofErr w:type="spellEnd"/>
      <w:r w:rsidRPr="0056784C">
        <w:rPr>
          <w:rFonts w:eastAsia="Times New Roman" w:cs="Times New Roman"/>
          <w:i/>
          <w:sz w:val="20"/>
          <w:szCs w:val="20"/>
          <w:lang w:val="fr-CA" w:eastAsia="en-CA"/>
        </w:rPr>
        <w:t>’ Association : </w:t>
      </w:r>
      <w:proofErr w:type="spellStart"/>
      <w:r w:rsidRPr="0056784C">
        <w:rPr>
          <w:rFonts w:eastAsia="Times New Roman" w:cs="Times New Roman"/>
          <w:i/>
          <w:sz w:val="20"/>
          <w:szCs w:val="20"/>
          <w:lang w:val="fr-CA" w:eastAsia="en-CA"/>
        </w:rPr>
        <w:t>Stockwoods</w:t>
      </w:r>
      <w:proofErr w:type="spellEnd"/>
      <w:r w:rsidRPr="0056784C">
        <w:rPr>
          <w:rFonts w:eastAsia="Times New Roman" w:cs="Times New Roman"/>
          <w:i/>
          <w:sz w:val="20"/>
          <w:szCs w:val="20"/>
          <w:lang w:val="fr-CA" w:eastAsia="en-CA"/>
        </w:rPr>
        <w:t>, Toronto.</w:t>
      </w:r>
    </w:p>
    <w:p w:rsidR="005F3164" w:rsidRPr="00E54F41" w:rsidRDefault="005F3164" w:rsidP="005F3164">
      <w:pPr>
        <w:jc w:val="both"/>
        <w:rPr>
          <w:sz w:val="20"/>
          <w:szCs w:val="20"/>
          <w:lang w:val="fr-CA"/>
        </w:rPr>
      </w:pPr>
    </w:p>
    <w:p w:rsidR="005F3164" w:rsidRPr="00E54F41" w:rsidRDefault="00B904CB" w:rsidP="005F3164">
      <w:pPr>
        <w:jc w:val="both"/>
        <w:rPr>
          <w:sz w:val="20"/>
          <w:szCs w:val="20"/>
          <w:lang w:val="fr-CA"/>
        </w:rPr>
      </w:pPr>
      <w:r>
        <w:rPr>
          <w:sz w:val="20"/>
          <w:lang w:val="fr-CA"/>
        </w:rPr>
        <w:pict>
          <v:rect id="_x0000_i1067" style="width:144.3pt;height:1pt" o:hrpct="300" o:hralign="center" o:hrstd="t" o:hrnoshade="t" o:hr="t" fillcolor="black [3213]" stroked="f"/>
        </w:pict>
      </w:r>
    </w:p>
    <w:p w:rsidR="005F3164" w:rsidRPr="00E54F41" w:rsidRDefault="005F3164" w:rsidP="005C6840">
      <w:pPr>
        <w:jc w:val="both"/>
        <w:rPr>
          <w:sz w:val="20"/>
          <w:szCs w:val="20"/>
          <w:lang w:val="fr-CA"/>
        </w:rPr>
      </w:pPr>
    </w:p>
    <w:p w:rsidR="005F3164" w:rsidRPr="00E54F41" w:rsidRDefault="005F3164" w:rsidP="005C6840">
      <w:pPr>
        <w:jc w:val="both"/>
        <w:rPr>
          <w:sz w:val="20"/>
          <w:szCs w:val="20"/>
          <w:lang w:val="fr-CA"/>
        </w:rPr>
      </w:pPr>
    </w:p>
    <w:p w:rsidR="000A5604" w:rsidRPr="00E54F41" w:rsidRDefault="000A5604" w:rsidP="005C6840">
      <w:pPr>
        <w:jc w:val="both"/>
        <w:rPr>
          <w:sz w:val="20"/>
          <w:szCs w:val="20"/>
          <w:lang w:val="fr-CA"/>
        </w:rPr>
      </w:pPr>
    </w:p>
    <w:p w:rsidR="00102926" w:rsidRPr="00E54F41" w:rsidRDefault="00102926" w:rsidP="00782AE4">
      <w:pPr>
        <w:jc w:val="both"/>
        <w:rPr>
          <w:sz w:val="20"/>
          <w:szCs w:val="20"/>
          <w:lang w:val="fr-CA"/>
        </w:rPr>
        <w:sectPr w:rsidR="00102926" w:rsidRPr="00E54F41" w:rsidSect="00782AE4">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576" w:footer="960" w:gutter="0"/>
          <w:cols w:space="720"/>
          <w:titlePg/>
          <w:docGrid w:linePitch="272"/>
        </w:sectPr>
      </w:pPr>
    </w:p>
    <w:p w:rsidR="008902B1" w:rsidRPr="00E54F41" w:rsidRDefault="008902B1" w:rsidP="008902B1">
      <w:pPr>
        <w:widowControl w:val="0"/>
        <w:spacing w:line="180" w:lineRule="auto"/>
        <w:jc w:val="center"/>
        <w:rPr>
          <w:rFonts w:asciiTheme="minorHAnsi" w:hAnsiTheme="minorHAnsi" w:cstheme="minorHAnsi"/>
          <w:b/>
          <w:szCs w:val="24"/>
          <w:lang w:val="fr-CA"/>
        </w:rPr>
      </w:pPr>
      <w:r w:rsidRPr="00E54F41">
        <w:rPr>
          <w:rFonts w:asciiTheme="minorHAnsi" w:hAnsiTheme="minorHAnsi" w:cstheme="minorHAnsi"/>
          <w:b/>
          <w:szCs w:val="24"/>
        </w:rPr>
        <w:lastRenderedPageBreak/>
        <w:fldChar w:fldCharType="begin"/>
      </w:r>
      <w:r w:rsidRPr="00E54F41">
        <w:rPr>
          <w:rFonts w:asciiTheme="minorHAnsi" w:hAnsiTheme="minorHAnsi" w:cstheme="minorHAnsi"/>
          <w:b/>
          <w:szCs w:val="24"/>
          <w:lang w:val="fr-CA"/>
        </w:rPr>
        <w:instrText xml:space="preserve"> SEQ CHAPTER \h \r 1</w:instrText>
      </w:r>
      <w:r w:rsidRPr="00E54F41">
        <w:rPr>
          <w:rFonts w:asciiTheme="minorHAnsi" w:hAnsiTheme="minorHAnsi" w:cstheme="minorHAnsi"/>
          <w:b/>
          <w:szCs w:val="24"/>
        </w:rPr>
        <w:fldChar w:fldCharType="end"/>
      </w:r>
      <w:r w:rsidRPr="00E54F41">
        <w:rPr>
          <w:rFonts w:asciiTheme="minorHAnsi" w:hAnsiTheme="minorHAnsi" w:cstheme="minorHAnsi"/>
          <w:b/>
          <w:szCs w:val="24"/>
          <w:lang w:val="fr-CA"/>
        </w:rPr>
        <w:t>SUPREME COURT OF CANADA SCHEDULE / CALENDRIER DE LA COUR SUPREME</w:t>
      </w:r>
    </w:p>
    <w:p w:rsidR="0013595D" w:rsidRPr="00E54F41" w:rsidRDefault="0013595D" w:rsidP="0013595D">
      <w:pPr>
        <w:widowControl w:val="0"/>
        <w:spacing w:line="180" w:lineRule="auto"/>
        <w:rPr>
          <w:rFonts w:asciiTheme="minorHAnsi" w:hAnsiTheme="minorHAnsi" w:cstheme="minorHAnsi"/>
          <w:szCs w:val="24"/>
          <w:lang w:val="fr-CA"/>
        </w:rPr>
      </w:pPr>
    </w:p>
    <w:p w:rsidR="0013595D" w:rsidRPr="00E54F41" w:rsidRDefault="0013595D" w:rsidP="00406BF2">
      <w:pPr>
        <w:widowControl w:val="0"/>
        <w:tabs>
          <w:tab w:val="center" w:pos="5400"/>
          <w:tab w:val="right" w:pos="10440"/>
        </w:tabs>
        <w:jc w:val="center"/>
        <w:rPr>
          <w:rFonts w:ascii="Arial" w:hAnsi="Arial"/>
          <w:sz w:val="18"/>
          <w:lang w:val="fr-CA"/>
        </w:rPr>
      </w:pPr>
      <w:r w:rsidRPr="00E54F41">
        <w:rPr>
          <w:rFonts w:ascii="Arial" w:hAnsi="Arial"/>
          <w:i/>
          <w:sz w:val="36"/>
          <w:lang w:val="fr-CA"/>
        </w:rPr>
        <w:t xml:space="preserve">- </w:t>
      </w:r>
      <w:r w:rsidRPr="00E54F41">
        <w:rPr>
          <w:rFonts w:ascii="Arial" w:hAnsi="Arial"/>
          <w:b/>
          <w:i/>
          <w:sz w:val="36"/>
          <w:lang w:val="fr-CA"/>
        </w:rPr>
        <w:t>2016</w:t>
      </w:r>
      <w:r w:rsidRPr="00E54F41">
        <w:rPr>
          <w:rFonts w:ascii="Arial" w:hAnsi="Arial"/>
          <w:i/>
          <w:sz w:val="36"/>
          <w:lang w:val="fr-CA"/>
        </w:rPr>
        <w:t xml:space="preserve"> </w:t>
      </w:r>
      <w:r w:rsidR="00406BF2" w:rsidRPr="00E54F41">
        <w:rPr>
          <w:rFonts w:ascii="Arial" w:hAnsi="Arial"/>
          <w:i/>
          <w:sz w:val="36"/>
          <w:lang w:val="fr-CA"/>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E54F41"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DECEMBER - DÉCEMBRE</w:t>
            </w:r>
          </w:p>
        </w:tc>
      </w:tr>
      <w:tr w:rsidR="0013595D" w:rsidRPr="00E54F41"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4"/>
                <w:szCs w:val="14"/>
                <w:lang w:val="fr-FR"/>
              </w:rPr>
            </w:pPr>
            <w:r w:rsidRPr="00E54F41">
              <w:rPr>
                <w:rFonts w:ascii="Arial" w:hAnsi="Arial" w:cs="Arial"/>
                <w:b/>
                <w:sz w:val="14"/>
                <w:szCs w:val="14"/>
                <w:lang w:val="fr-FR"/>
              </w:rPr>
              <w:t>S</w:t>
            </w:r>
          </w:p>
          <w:p w:rsidR="0013595D" w:rsidRPr="00E54F41" w:rsidRDefault="0013595D" w:rsidP="00E942C2">
            <w:pPr>
              <w:tabs>
                <w:tab w:val="center" w:pos="5220"/>
                <w:tab w:val="right" w:pos="10440"/>
              </w:tabs>
              <w:jc w:val="center"/>
              <w:rPr>
                <w:rFonts w:ascii="Arial" w:hAnsi="Arial" w:cs="Arial"/>
                <w:b/>
                <w:sz w:val="14"/>
                <w:szCs w:val="14"/>
                <w:lang w:val="fr-FR"/>
              </w:rPr>
            </w:pPr>
            <w:r w:rsidRPr="00E54F41">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M</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T</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W</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T</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F</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S</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S</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M</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T</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W</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T</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F</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S</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S</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M</w:t>
            </w:r>
          </w:p>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lang w:val="fr-FR"/>
              </w:rPr>
            </w:pPr>
            <w:r w:rsidRPr="00E54F41">
              <w:rPr>
                <w:rFonts w:ascii="Arial" w:hAnsi="Arial" w:cs="Arial"/>
                <w:b/>
                <w:sz w:val="13"/>
                <w:szCs w:val="13"/>
                <w:lang w:val="fr-FR"/>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W</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F</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tc>
      </w:tr>
      <w:tr w:rsidR="0013595D" w:rsidRPr="00E54F41"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w:t>
            </w:r>
          </w:p>
        </w:tc>
      </w:tr>
      <w:tr w:rsidR="0013595D" w:rsidRPr="00E54F41"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E54F41" w:rsidRDefault="0013595D" w:rsidP="00E942C2">
            <w:pPr>
              <w:jc w:val="center"/>
              <w:rPr>
                <w:rFonts w:ascii="Arial" w:hAnsi="Arial" w:cs="Arial"/>
                <w:b/>
                <w:sz w:val="12"/>
                <w:szCs w:val="12"/>
              </w:rPr>
            </w:pPr>
          </w:p>
          <w:p w:rsidR="0013595D" w:rsidRPr="00E54F41" w:rsidRDefault="0013595D" w:rsidP="00E942C2">
            <w:pPr>
              <w:jc w:val="center"/>
              <w:rPr>
                <w:rFonts w:ascii="Arial" w:hAnsi="Arial" w:cs="Arial"/>
                <w:sz w:val="13"/>
                <w:szCs w:val="13"/>
              </w:rPr>
            </w:pPr>
            <w:r w:rsidRPr="00E54F41">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E54F41" w:rsidRDefault="0013595D" w:rsidP="00E942C2">
            <w:pPr>
              <w:jc w:val="center"/>
              <w:rPr>
                <w:rFonts w:ascii="Arial" w:hAnsi="Arial" w:cs="Arial"/>
                <w:b/>
                <w:sz w:val="13"/>
                <w:szCs w:val="13"/>
              </w:rPr>
            </w:pPr>
            <w:r w:rsidRPr="00E54F41">
              <w:rPr>
                <w:rFonts w:ascii="Arial" w:hAnsi="Arial" w:cs="Arial"/>
                <w:b/>
                <w:sz w:val="13"/>
                <w:szCs w:val="13"/>
              </w:rPr>
              <w:t xml:space="preserve">H </w:t>
            </w:r>
          </w:p>
          <w:p w:rsidR="0013595D" w:rsidRPr="00E54F41" w:rsidRDefault="0013595D" w:rsidP="00E942C2">
            <w:pPr>
              <w:jc w:val="center"/>
              <w:rPr>
                <w:rFonts w:ascii="Arial" w:hAnsi="Arial" w:cs="Arial"/>
                <w:sz w:val="13"/>
                <w:szCs w:val="13"/>
              </w:rPr>
            </w:pPr>
            <w:r w:rsidRPr="00E54F41">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10</w:t>
            </w:r>
          </w:p>
        </w:tc>
      </w:tr>
      <w:tr w:rsidR="0013595D" w:rsidRPr="00E54F41"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b/>
                <w:sz w:val="13"/>
                <w:szCs w:val="13"/>
              </w:rPr>
              <w:t xml:space="preserve">H </w:t>
            </w:r>
          </w:p>
          <w:p w:rsidR="0013595D" w:rsidRPr="00E54F41" w:rsidRDefault="0013595D" w:rsidP="00E942C2">
            <w:pPr>
              <w:jc w:val="center"/>
              <w:rPr>
                <w:rFonts w:ascii="Arial" w:hAnsi="Arial" w:cs="Arial"/>
                <w:sz w:val="13"/>
                <w:szCs w:val="13"/>
              </w:rPr>
            </w:pPr>
            <w:r w:rsidRPr="00E54F41">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11</w:t>
            </w:r>
          </w:p>
        </w:tc>
        <w:tc>
          <w:tcPr>
            <w:tcW w:w="209" w:type="pct"/>
            <w:shd w:val="pct20"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12</w:t>
            </w:r>
          </w:p>
        </w:tc>
        <w:tc>
          <w:tcPr>
            <w:tcW w:w="251" w:type="pct"/>
            <w:shd w:val="pct20"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13</w:t>
            </w:r>
          </w:p>
        </w:tc>
        <w:tc>
          <w:tcPr>
            <w:tcW w:w="210" w:type="pct"/>
            <w:shd w:val="pct20"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16</w:t>
            </w:r>
          </w:p>
        </w:tc>
        <w:tc>
          <w:tcPr>
            <w:tcW w:w="217" w:type="pct"/>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11</w:t>
            </w:r>
          </w:p>
        </w:tc>
        <w:tc>
          <w:tcPr>
            <w:tcW w:w="218" w:type="pct"/>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12</w:t>
            </w:r>
          </w:p>
        </w:tc>
        <w:tc>
          <w:tcPr>
            <w:tcW w:w="218" w:type="pct"/>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17</w:t>
            </w:r>
          </w:p>
        </w:tc>
      </w:tr>
      <w:tr w:rsidR="0013595D" w:rsidRPr="00E54F41"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17</w:t>
            </w:r>
          </w:p>
        </w:tc>
        <w:tc>
          <w:tcPr>
            <w:tcW w:w="267" w:type="pct"/>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18</w:t>
            </w:r>
          </w:p>
        </w:tc>
        <w:tc>
          <w:tcPr>
            <w:tcW w:w="209" w:type="pct"/>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20</w:t>
            </w:r>
          </w:p>
        </w:tc>
        <w:tc>
          <w:tcPr>
            <w:tcW w:w="210" w:type="pct"/>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24</w:t>
            </w:r>
          </w:p>
        </w:tc>
      </w:tr>
      <w:tr w:rsidR="0013595D" w:rsidRPr="00E54F41"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E54F41" w:rsidRDefault="0013595D" w:rsidP="00E942C2">
            <w:pPr>
              <w:rPr>
                <w:rFonts w:ascii="Arial" w:hAnsi="Arial" w:cs="Arial"/>
                <w:sz w:val="13"/>
                <w:szCs w:val="13"/>
              </w:rPr>
            </w:pPr>
            <w:r w:rsidRPr="00E54F41">
              <w:rPr>
                <w:rFonts w:ascii="Arial" w:hAnsi="Arial" w:cs="Arial"/>
                <w:sz w:val="13"/>
                <w:szCs w:val="13"/>
              </w:rPr>
              <w:t>23</w:t>
            </w:r>
          </w:p>
          <w:p w:rsidR="0013595D" w:rsidRPr="00E54F41" w:rsidRDefault="0013595D" w:rsidP="00E942C2">
            <w:pPr>
              <w:jc w:val="center"/>
              <w:rPr>
                <w:rFonts w:ascii="Arial" w:hAnsi="Arial" w:cs="Arial"/>
                <w:sz w:val="13"/>
                <w:szCs w:val="13"/>
              </w:rPr>
            </w:pPr>
            <w:r w:rsidRPr="00E54F41">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E54F41" w:rsidRDefault="0013595D" w:rsidP="00E942C2">
            <w:pPr>
              <w:rPr>
                <w:rFonts w:ascii="Arial" w:hAnsi="Arial" w:cs="Arial"/>
                <w:sz w:val="13"/>
                <w:szCs w:val="13"/>
              </w:rPr>
            </w:pPr>
            <w:r w:rsidRPr="00E54F41">
              <w:rPr>
                <w:rFonts w:ascii="Arial" w:hAnsi="Arial" w:cs="Arial"/>
                <w:sz w:val="13"/>
                <w:szCs w:val="13"/>
              </w:rPr>
              <w:t>24</w:t>
            </w:r>
          </w:p>
          <w:p w:rsidR="0013595D" w:rsidRPr="00E54F41" w:rsidRDefault="0013595D" w:rsidP="00E942C2">
            <w:pPr>
              <w:rPr>
                <w:rFonts w:ascii="Arial" w:hAnsi="Arial" w:cs="Arial"/>
                <w:sz w:val="13"/>
                <w:szCs w:val="13"/>
              </w:rPr>
            </w:pPr>
            <w:r w:rsidRPr="00E54F41">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b/>
                <w:sz w:val="13"/>
                <w:szCs w:val="13"/>
              </w:rPr>
            </w:pPr>
          </w:p>
          <w:p w:rsidR="0013595D" w:rsidRPr="00E54F41" w:rsidRDefault="0013595D" w:rsidP="00E942C2">
            <w:pPr>
              <w:jc w:val="center"/>
              <w:rPr>
                <w:rFonts w:ascii="Arial" w:hAnsi="Arial" w:cs="Arial"/>
                <w:sz w:val="13"/>
                <w:szCs w:val="13"/>
              </w:rPr>
            </w:pPr>
            <w:r w:rsidRPr="00E54F41">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b/>
                <w:sz w:val="13"/>
                <w:szCs w:val="13"/>
              </w:rPr>
            </w:pPr>
            <w:r w:rsidRPr="00E54F41">
              <w:rPr>
                <w:rFonts w:ascii="Arial" w:hAnsi="Arial" w:cs="Arial"/>
                <w:b/>
                <w:sz w:val="13"/>
                <w:szCs w:val="13"/>
              </w:rPr>
              <w:t>H</w:t>
            </w:r>
          </w:p>
          <w:p w:rsidR="0013595D" w:rsidRPr="00E54F41" w:rsidRDefault="0013595D" w:rsidP="00E942C2">
            <w:pPr>
              <w:jc w:val="center"/>
              <w:rPr>
                <w:rFonts w:ascii="Arial" w:hAnsi="Arial" w:cs="Arial"/>
                <w:sz w:val="13"/>
                <w:szCs w:val="13"/>
              </w:rPr>
            </w:pPr>
            <w:r w:rsidRPr="00E54F41">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b/>
                <w:sz w:val="13"/>
                <w:szCs w:val="13"/>
              </w:rPr>
            </w:pPr>
            <w:r w:rsidRPr="00E54F41">
              <w:rPr>
                <w:rFonts w:ascii="Arial" w:hAnsi="Arial" w:cs="Arial"/>
                <w:b/>
                <w:sz w:val="13"/>
                <w:szCs w:val="13"/>
              </w:rPr>
              <w:t>H</w:t>
            </w:r>
          </w:p>
          <w:p w:rsidR="0013595D" w:rsidRPr="00E54F41" w:rsidRDefault="0013595D" w:rsidP="00E942C2">
            <w:pPr>
              <w:jc w:val="center"/>
              <w:rPr>
                <w:rFonts w:ascii="Arial" w:hAnsi="Arial" w:cs="Arial"/>
                <w:sz w:val="13"/>
                <w:szCs w:val="13"/>
              </w:rPr>
            </w:pPr>
            <w:r w:rsidRPr="00E54F41">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31</w:t>
            </w:r>
          </w:p>
        </w:tc>
      </w:tr>
    </w:tbl>
    <w:p w:rsidR="0013595D" w:rsidRPr="00E54F41" w:rsidRDefault="0013595D" w:rsidP="0013595D">
      <w:pPr>
        <w:tabs>
          <w:tab w:val="center" w:pos="5220"/>
          <w:tab w:val="right" w:pos="10440"/>
        </w:tabs>
        <w:jc w:val="center"/>
        <w:rPr>
          <w:rFonts w:ascii="Arial" w:hAnsi="Arial" w:cs="Arial"/>
          <w:sz w:val="36"/>
          <w:szCs w:val="36"/>
        </w:rPr>
      </w:pPr>
      <w:r w:rsidRPr="00E54F41">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E54F41"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MARCH - MARS</w:t>
            </w:r>
          </w:p>
        </w:tc>
      </w:tr>
      <w:tr w:rsidR="0013595D" w:rsidRPr="00E54F41"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L</w:t>
            </w:r>
          </w:p>
        </w:tc>
        <w:tc>
          <w:tcPr>
            <w:tcW w:w="217"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W</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F</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D</w:t>
            </w:r>
          </w:p>
        </w:tc>
        <w:tc>
          <w:tcPr>
            <w:tcW w:w="208"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L</w:t>
            </w:r>
          </w:p>
        </w:tc>
        <w:tc>
          <w:tcPr>
            <w:tcW w:w="249"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50"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W</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16"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J</w:t>
            </w:r>
          </w:p>
        </w:tc>
        <w:tc>
          <w:tcPr>
            <w:tcW w:w="217"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F</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D</w:t>
            </w:r>
          </w:p>
        </w:tc>
        <w:tc>
          <w:tcPr>
            <w:tcW w:w="223"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L</w:t>
            </w:r>
          </w:p>
        </w:tc>
        <w:tc>
          <w:tcPr>
            <w:tcW w:w="208"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08"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W</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08"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J</w:t>
            </w:r>
          </w:p>
        </w:tc>
        <w:tc>
          <w:tcPr>
            <w:tcW w:w="208"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F</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tc>
      </w:tr>
      <w:tr w:rsidR="0013595D" w:rsidRPr="00E54F41"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E54F41" w:rsidRDefault="0013595D" w:rsidP="00E942C2">
            <w:pPr>
              <w:jc w:val="center"/>
              <w:rPr>
                <w:rFonts w:ascii="Arial" w:hAnsi="Arial" w:cs="Arial"/>
                <w:b/>
                <w:sz w:val="13"/>
                <w:szCs w:val="13"/>
              </w:rPr>
            </w:pPr>
          </w:p>
          <w:p w:rsidR="0013595D" w:rsidRPr="00E54F41" w:rsidRDefault="0013595D" w:rsidP="00E942C2">
            <w:pPr>
              <w:jc w:val="center"/>
              <w:rPr>
                <w:rFonts w:ascii="Arial" w:hAnsi="Arial" w:cs="Arial"/>
                <w:sz w:val="13"/>
                <w:szCs w:val="13"/>
              </w:rPr>
            </w:pPr>
            <w:r w:rsidRPr="00E54F41">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E54F41" w:rsidRDefault="0013595D" w:rsidP="00E942C2">
            <w:pPr>
              <w:jc w:val="center"/>
              <w:rPr>
                <w:rFonts w:ascii="Arial" w:hAnsi="Arial" w:cs="Arial"/>
                <w:b/>
                <w:sz w:val="13"/>
                <w:szCs w:val="13"/>
              </w:rPr>
            </w:pPr>
            <w:r w:rsidRPr="00E54F41">
              <w:rPr>
                <w:rFonts w:ascii="Arial" w:hAnsi="Arial" w:cs="Arial"/>
                <w:b/>
                <w:sz w:val="13"/>
                <w:szCs w:val="13"/>
              </w:rPr>
              <w:t>H</w:t>
            </w:r>
          </w:p>
          <w:p w:rsidR="0013595D" w:rsidRPr="00E54F41" w:rsidRDefault="0013595D" w:rsidP="00E942C2">
            <w:pPr>
              <w:jc w:val="center"/>
              <w:rPr>
                <w:rFonts w:ascii="Arial" w:hAnsi="Arial" w:cs="Arial"/>
                <w:sz w:val="13"/>
                <w:szCs w:val="13"/>
              </w:rPr>
            </w:pPr>
            <w:r w:rsidRPr="00E54F41">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E54F41"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w:t>
            </w:r>
          </w:p>
        </w:tc>
        <w:tc>
          <w:tcPr>
            <w:tcW w:w="225" w:type="pct"/>
            <w:tcBorders>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c>
          <w:tcPr>
            <w:tcW w:w="223" w:type="pct"/>
            <w:tcMar>
              <w:bottom w:w="43" w:type="dxa"/>
            </w:tcMar>
            <w:vAlign w:val="bottom"/>
          </w:tcPr>
          <w:p w:rsidR="0013595D" w:rsidRPr="00E54F41" w:rsidRDefault="0013595D" w:rsidP="00E942C2">
            <w:pPr>
              <w:jc w:val="center"/>
              <w:rPr>
                <w:rFonts w:ascii="Arial" w:hAnsi="Arial" w:cs="Arial"/>
                <w:sz w:val="13"/>
                <w:szCs w:val="13"/>
              </w:rPr>
            </w:pPr>
          </w:p>
        </w:tc>
        <w:tc>
          <w:tcPr>
            <w:tcW w:w="208" w:type="pct"/>
            <w:tcMar>
              <w:bottom w:w="43" w:type="dxa"/>
            </w:tcMar>
            <w:vAlign w:val="bottom"/>
          </w:tcPr>
          <w:p w:rsidR="0013595D" w:rsidRPr="00E54F41" w:rsidRDefault="0013595D" w:rsidP="00E942C2">
            <w:pPr>
              <w:jc w:val="center"/>
              <w:rPr>
                <w:rFonts w:ascii="Arial" w:hAnsi="Arial" w:cs="Arial"/>
                <w:sz w:val="13"/>
                <w:szCs w:val="13"/>
              </w:rPr>
            </w:pPr>
          </w:p>
        </w:tc>
        <w:tc>
          <w:tcPr>
            <w:tcW w:w="208" w:type="pct"/>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w:t>
            </w:r>
          </w:p>
        </w:tc>
        <w:tc>
          <w:tcPr>
            <w:tcW w:w="208" w:type="pct"/>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w:t>
            </w:r>
          </w:p>
        </w:tc>
        <w:tc>
          <w:tcPr>
            <w:tcW w:w="208" w:type="pct"/>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w:t>
            </w:r>
          </w:p>
        </w:tc>
        <w:tc>
          <w:tcPr>
            <w:tcW w:w="218" w:type="pct"/>
            <w:tcBorders>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4</w:t>
            </w:r>
          </w:p>
        </w:tc>
      </w:tr>
      <w:tr w:rsidR="0013595D" w:rsidRPr="00E54F41"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13</w:t>
            </w:r>
          </w:p>
        </w:tc>
        <w:tc>
          <w:tcPr>
            <w:tcW w:w="247" w:type="pct"/>
            <w:tcBorders>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10</w:t>
            </w:r>
          </w:p>
        </w:tc>
        <w:tc>
          <w:tcPr>
            <w:tcW w:w="225" w:type="pct"/>
            <w:tcBorders>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5</w:t>
            </w:r>
          </w:p>
        </w:tc>
        <w:tc>
          <w:tcPr>
            <w:tcW w:w="223" w:type="pct"/>
            <w:tcBorders>
              <w:bottom w:val="single" w:sz="4"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10</w:t>
            </w:r>
          </w:p>
        </w:tc>
        <w:tc>
          <w:tcPr>
            <w:tcW w:w="218" w:type="pct"/>
            <w:tcBorders>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11</w:t>
            </w:r>
          </w:p>
        </w:tc>
      </w:tr>
      <w:tr w:rsidR="0013595D" w:rsidRPr="00E54F41"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17</w:t>
            </w:r>
          </w:p>
        </w:tc>
        <w:tc>
          <w:tcPr>
            <w:tcW w:w="225" w:type="pct"/>
            <w:tcBorders>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17</w:t>
            </w:r>
          </w:p>
        </w:tc>
        <w:tc>
          <w:tcPr>
            <w:tcW w:w="218" w:type="pct"/>
            <w:tcBorders>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18</w:t>
            </w:r>
          </w:p>
        </w:tc>
      </w:tr>
      <w:tr w:rsidR="0013595D" w:rsidRPr="00E54F41" w:rsidTr="00E942C2">
        <w:trPr>
          <w:trHeight w:val="288"/>
        </w:trPr>
        <w:tc>
          <w:tcPr>
            <w:tcW w:w="217" w:type="pct"/>
            <w:tcBorders>
              <w:lef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20</w:t>
            </w:r>
          </w:p>
        </w:tc>
        <w:tc>
          <w:tcPr>
            <w:tcW w:w="249" w:type="pct"/>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21</w:t>
            </w:r>
          </w:p>
        </w:tc>
        <w:tc>
          <w:tcPr>
            <w:tcW w:w="250" w:type="pct"/>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22</w:t>
            </w:r>
          </w:p>
        </w:tc>
        <w:tc>
          <w:tcPr>
            <w:tcW w:w="216" w:type="pct"/>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23</w:t>
            </w:r>
          </w:p>
        </w:tc>
        <w:tc>
          <w:tcPr>
            <w:tcW w:w="217" w:type="pct"/>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24</w:t>
            </w:r>
          </w:p>
        </w:tc>
        <w:tc>
          <w:tcPr>
            <w:tcW w:w="225" w:type="pct"/>
            <w:tcBorders>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25</w:t>
            </w:r>
          </w:p>
        </w:tc>
      </w:tr>
      <w:tr w:rsidR="0013595D" w:rsidRPr="00E54F41" w:rsidTr="00E942C2">
        <w:trPr>
          <w:trHeight w:val="288"/>
        </w:trPr>
        <w:tc>
          <w:tcPr>
            <w:tcW w:w="217" w:type="pct"/>
            <w:tcBorders>
              <w:left w:val="double" w:sz="6" w:space="0" w:color="auto"/>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29</w:t>
            </w:r>
          </w:p>
        </w:tc>
        <w:tc>
          <w:tcPr>
            <w:tcW w:w="217"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30</w:t>
            </w:r>
          </w:p>
        </w:tc>
        <w:tc>
          <w:tcPr>
            <w:tcW w:w="217"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31</w:t>
            </w:r>
          </w:p>
        </w:tc>
        <w:tc>
          <w:tcPr>
            <w:tcW w:w="233"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26</w:t>
            </w:r>
          </w:p>
        </w:tc>
        <w:tc>
          <w:tcPr>
            <w:tcW w:w="208"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27</w:t>
            </w:r>
          </w:p>
        </w:tc>
        <w:tc>
          <w:tcPr>
            <w:tcW w:w="249"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28</w:t>
            </w:r>
          </w:p>
        </w:tc>
        <w:tc>
          <w:tcPr>
            <w:tcW w:w="250" w:type="pct"/>
            <w:tcBorders>
              <w:bottom w:val="double" w:sz="6" w:space="0" w:color="auto"/>
            </w:tcBorders>
            <w:tcMar>
              <w:bottom w:w="43" w:type="dxa"/>
            </w:tcMar>
            <w:vAlign w:val="bottom"/>
          </w:tcPr>
          <w:p w:rsidR="0013595D" w:rsidRPr="00E54F41"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r>
      <w:tr w:rsidR="0013595D" w:rsidRPr="00E54F41"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JUNE – JUIN</w:t>
            </w:r>
          </w:p>
        </w:tc>
      </w:tr>
      <w:tr w:rsidR="0013595D" w:rsidRPr="00E54F41" w:rsidTr="00E942C2">
        <w:trPr>
          <w:trHeight w:val="270"/>
        </w:trPr>
        <w:tc>
          <w:tcPr>
            <w:tcW w:w="217" w:type="pct"/>
            <w:tcBorders>
              <w:top w:val="double" w:sz="6" w:space="0" w:color="auto"/>
              <w:lef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D</w:t>
            </w:r>
          </w:p>
        </w:tc>
        <w:tc>
          <w:tcPr>
            <w:tcW w:w="217"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L</w:t>
            </w:r>
          </w:p>
        </w:tc>
        <w:tc>
          <w:tcPr>
            <w:tcW w:w="217"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33"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W</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21"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F</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D</w:t>
            </w:r>
          </w:p>
        </w:tc>
        <w:tc>
          <w:tcPr>
            <w:tcW w:w="208"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L</w:t>
            </w:r>
          </w:p>
        </w:tc>
        <w:tc>
          <w:tcPr>
            <w:tcW w:w="249"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50"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W</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16"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J</w:t>
            </w:r>
          </w:p>
        </w:tc>
        <w:tc>
          <w:tcPr>
            <w:tcW w:w="217" w:type="pct"/>
            <w:tcBorders>
              <w:top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F</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W</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T</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F</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p w:rsidR="0013595D" w:rsidRPr="00E54F41" w:rsidRDefault="0013595D" w:rsidP="00E942C2">
            <w:pPr>
              <w:tabs>
                <w:tab w:val="center" w:pos="5220"/>
                <w:tab w:val="right" w:pos="10440"/>
              </w:tabs>
              <w:jc w:val="center"/>
              <w:rPr>
                <w:rFonts w:ascii="Arial" w:hAnsi="Arial" w:cs="Arial"/>
                <w:b/>
                <w:sz w:val="13"/>
                <w:szCs w:val="13"/>
              </w:rPr>
            </w:pPr>
            <w:r w:rsidRPr="00E54F41">
              <w:rPr>
                <w:rFonts w:ascii="Arial" w:hAnsi="Arial" w:cs="Arial"/>
                <w:b/>
                <w:sz w:val="13"/>
                <w:szCs w:val="13"/>
              </w:rPr>
              <w:t>S</w:t>
            </w:r>
          </w:p>
        </w:tc>
      </w:tr>
      <w:tr w:rsidR="0013595D" w:rsidRPr="00E54F41" w:rsidTr="00E942C2">
        <w:trPr>
          <w:trHeight w:val="288"/>
        </w:trPr>
        <w:tc>
          <w:tcPr>
            <w:tcW w:w="217" w:type="pct"/>
            <w:tcBorders>
              <w:lef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w:t>
            </w:r>
          </w:p>
        </w:tc>
      </w:tr>
      <w:tr w:rsidR="0013595D" w:rsidRPr="00E54F41"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10</w:t>
            </w:r>
          </w:p>
        </w:tc>
      </w:tr>
      <w:tr w:rsidR="0013595D" w:rsidRPr="00E54F41"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b/>
                <w:sz w:val="13"/>
                <w:szCs w:val="13"/>
              </w:rPr>
            </w:pPr>
            <w:r w:rsidRPr="00E54F41">
              <w:rPr>
                <w:rFonts w:ascii="Arial" w:hAnsi="Arial" w:cs="Arial"/>
                <w:b/>
                <w:sz w:val="13"/>
                <w:szCs w:val="13"/>
              </w:rPr>
              <w:t>H</w:t>
            </w:r>
          </w:p>
          <w:p w:rsidR="0013595D" w:rsidRPr="00E54F41" w:rsidRDefault="0013595D" w:rsidP="00E942C2">
            <w:pPr>
              <w:jc w:val="center"/>
              <w:rPr>
                <w:rFonts w:ascii="Arial" w:hAnsi="Arial" w:cs="Arial"/>
                <w:sz w:val="13"/>
                <w:szCs w:val="13"/>
              </w:rPr>
            </w:pPr>
            <w:r w:rsidRPr="00E54F41">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17</w:t>
            </w:r>
          </w:p>
        </w:tc>
      </w:tr>
      <w:tr w:rsidR="0013595D" w:rsidRPr="00E54F41"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b/>
                <w:sz w:val="13"/>
                <w:szCs w:val="13"/>
              </w:rPr>
            </w:pPr>
          </w:p>
          <w:p w:rsidR="0013595D" w:rsidRPr="00E54F41" w:rsidRDefault="0013595D" w:rsidP="00E942C2">
            <w:pPr>
              <w:jc w:val="center"/>
              <w:rPr>
                <w:rFonts w:ascii="Arial" w:hAnsi="Arial" w:cs="Arial"/>
                <w:sz w:val="13"/>
                <w:szCs w:val="13"/>
              </w:rPr>
            </w:pPr>
            <w:r w:rsidRPr="00E54F41">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b/>
                <w:sz w:val="13"/>
                <w:szCs w:val="13"/>
              </w:rPr>
            </w:pPr>
            <w:r w:rsidRPr="00E54F41">
              <w:rPr>
                <w:rFonts w:ascii="Arial" w:hAnsi="Arial" w:cs="Arial"/>
                <w:b/>
                <w:sz w:val="13"/>
                <w:szCs w:val="13"/>
              </w:rPr>
              <w:t>H</w:t>
            </w:r>
          </w:p>
          <w:p w:rsidR="0013595D" w:rsidRPr="00E54F41" w:rsidRDefault="0013595D" w:rsidP="00E942C2">
            <w:pPr>
              <w:jc w:val="center"/>
              <w:rPr>
                <w:rFonts w:ascii="Arial" w:hAnsi="Arial" w:cs="Arial"/>
                <w:sz w:val="13"/>
                <w:szCs w:val="13"/>
              </w:rPr>
            </w:pPr>
            <w:r w:rsidRPr="00E54F41">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E54F41" w:rsidRDefault="0013595D" w:rsidP="00E942C2">
            <w:pPr>
              <w:jc w:val="center"/>
              <w:rPr>
                <w:rFonts w:ascii="Arial" w:hAnsi="Arial" w:cs="Arial"/>
                <w:b/>
                <w:sz w:val="13"/>
                <w:szCs w:val="13"/>
              </w:rPr>
            </w:pPr>
            <w:r w:rsidRPr="00E54F41">
              <w:rPr>
                <w:rFonts w:ascii="Arial" w:hAnsi="Arial" w:cs="Arial"/>
                <w:b/>
                <w:sz w:val="13"/>
                <w:szCs w:val="13"/>
              </w:rPr>
              <w:t>H</w:t>
            </w:r>
          </w:p>
          <w:p w:rsidR="0013595D" w:rsidRPr="00E54F41" w:rsidRDefault="0013595D" w:rsidP="00E942C2">
            <w:pPr>
              <w:jc w:val="center"/>
              <w:rPr>
                <w:rFonts w:ascii="Arial" w:hAnsi="Arial" w:cs="Arial"/>
                <w:sz w:val="13"/>
                <w:szCs w:val="13"/>
              </w:rPr>
            </w:pPr>
            <w:r w:rsidRPr="00E54F41">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23</w:t>
            </w:r>
          </w:p>
        </w:tc>
        <w:tc>
          <w:tcPr>
            <w:tcW w:w="250" w:type="pct"/>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24</w:t>
            </w:r>
          </w:p>
        </w:tc>
        <w:tc>
          <w:tcPr>
            <w:tcW w:w="216" w:type="pct"/>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25</w:t>
            </w:r>
          </w:p>
        </w:tc>
        <w:tc>
          <w:tcPr>
            <w:tcW w:w="217" w:type="pct"/>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19</w:t>
            </w:r>
          </w:p>
        </w:tc>
        <w:tc>
          <w:tcPr>
            <w:tcW w:w="208" w:type="pct"/>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20</w:t>
            </w:r>
          </w:p>
        </w:tc>
        <w:tc>
          <w:tcPr>
            <w:tcW w:w="208" w:type="pct"/>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21</w:t>
            </w:r>
          </w:p>
        </w:tc>
        <w:tc>
          <w:tcPr>
            <w:tcW w:w="208" w:type="pct"/>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22</w:t>
            </w:r>
          </w:p>
        </w:tc>
        <w:tc>
          <w:tcPr>
            <w:tcW w:w="208" w:type="pct"/>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24</w:t>
            </w:r>
          </w:p>
        </w:tc>
      </w:tr>
      <w:tr w:rsidR="0013595D" w:rsidRPr="00E54F41"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E54F41" w:rsidRDefault="0013595D" w:rsidP="00E942C2">
            <w:pPr>
              <w:rPr>
                <w:rFonts w:ascii="Arial" w:hAnsi="Arial" w:cs="Arial"/>
                <w:sz w:val="13"/>
                <w:szCs w:val="13"/>
              </w:rPr>
            </w:pPr>
            <w:r w:rsidRPr="00E54F41">
              <w:rPr>
                <w:rFonts w:ascii="Arial" w:hAnsi="Arial" w:cs="Arial"/>
                <w:sz w:val="13"/>
                <w:szCs w:val="13"/>
              </w:rPr>
              <w:t>23</w:t>
            </w:r>
          </w:p>
          <w:p w:rsidR="0013595D" w:rsidRPr="00E54F41" w:rsidRDefault="0013595D" w:rsidP="00E942C2">
            <w:pPr>
              <w:jc w:val="center"/>
              <w:rPr>
                <w:rFonts w:ascii="Arial" w:hAnsi="Arial" w:cs="Arial"/>
                <w:sz w:val="13"/>
                <w:szCs w:val="13"/>
              </w:rPr>
            </w:pPr>
            <w:r w:rsidRPr="00E54F41">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29</w:t>
            </w:r>
          </w:p>
        </w:tc>
        <w:tc>
          <w:tcPr>
            <w:tcW w:w="249"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30</w:t>
            </w:r>
          </w:p>
        </w:tc>
        <w:tc>
          <w:tcPr>
            <w:tcW w:w="250"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31</w:t>
            </w:r>
          </w:p>
        </w:tc>
        <w:tc>
          <w:tcPr>
            <w:tcW w:w="216"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E54F41"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25</w:t>
            </w:r>
          </w:p>
        </w:tc>
        <w:tc>
          <w:tcPr>
            <w:tcW w:w="223"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26</w:t>
            </w:r>
          </w:p>
        </w:tc>
        <w:tc>
          <w:tcPr>
            <w:tcW w:w="208"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27</w:t>
            </w:r>
          </w:p>
        </w:tc>
        <w:tc>
          <w:tcPr>
            <w:tcW w:w="208"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28</w:t>
            </w:r>
          </w:p>
        </w:tc>
        <w:tc>
          <w:tcPr>
            <w:tcW w:w="208"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29</w:t>
            </w:r>
          </w:p>
        </w:tc>
        <w:tc>
          <w:tcPr>
            <w:tcW w:w="208" w:type="pct"/>
            <w:tcBorders>
              <w:bottom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r w:rsidRPr="00E54F41">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E54F41" w:rsidRDefault="0013595D" w:rsidP="00E942C2">
            <w:pPr>
              <w:jc w:val="center"/>
              <w:rPr>
                <w:rFonts w:ascii="Arial" w:hAnsi="Arial" w:cs="Arial"/>
                <w:sz w:val="13"/>
                <w:szCs w:val="13"/>
              </w:rPr>
            </w:pPr>
          </w:p>
        </w:tc>
      </w:tr>
    </w:tbl>
    <w:p w:rsidR="0013595D" w:rsidRPr="00E54F41" w:rsidRDefault="0013595D" w:rsidP="0013595D">
      <w:pPr>
        <w:widowControl w:val="0"/>
        <w:tabs>
          <w:tab w:val="center" w:pos="5400"/>
          <w:tab w:val="right" w:pos="10440"/>
        </w:tabs>
        <w:rPr>
          <w:rFonts w:ascii="Arial" w:hAnsi="Arial"/>
          <w:sz w:val="18"/>
        </w:rPr>
      </w:pPr>
    </w:p>
    <w:p w:rsidR="0013595D" w:rsidRPr="00E54F41"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E54F41"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E54F41" w:rsidRDefault="0013595D" w:rsidP="00E942C2">
            <w:pPr>
              <w:widowControl w:val="0"/>
              <w:rPr>
                <w:rFonts w:ascii="Arial" w:hAnsi="Arial"/>
                <w:sz w:val="16"/>
              </w:rPr>
            </w:pPr>
            <w:r w:rsidRPr="00E54F41">
              <w:rPr>
                <w:rFonts w:ascii="Arial" w:hAnsi="Arial"/>
                <w:sz w:val="16"/>
              </w:rPr>
              <w:t>Sittings of the Court:</w:t>
            </w:r>
          </w:p>
          <w:p w:rsidR="0013595D" w:rsidRPr="00E54F41" w:rsidRDefault="0013595D" w:rsidP="00E942C2">
            <w:pPr>
              <w:widowControl w:val="0"/>
              <w:rPr>
                <w:rFonts w:ascii="Arial" w:hAnsi="Arial"/>
                <w:sz w:val="16"/>
              </w:rPr>
            </w:pPr>
            <w:r w:rsidRPr="00E54F41">
              <w:rPr>
                <w:rFonts w:ascii="Arial" w:hAnsi="Arial"/>
                <w:sz w:val="16"/>
              </w:rPr>
              <w:t xml:space="preserve">Séances de la </w:t>
            </w:r>
            <w:proofErr w:type="spellStart"/>
            <w:r w:rsidRPr="00E54F41">
              <w:rPr>
                <w:rFonts w:ascii="Arial" w:hAnsi="Arial"/>
                <w:sz w:val="16"/>
              </w:rPr>
              <w:t>Cour</w:t>
            </w:r>
            <w:proofErr w:type="spellEnd"/>
            <w:r w:rsidRPr="00E54F41">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E54F41" w:rsidRDefault="0013595D" w:rsidP="00E942C2">
            <w:pPr>
              <w:widowControl w:val="0"/>
              <w:rPr>
                <w:rFonts w:ascii="Arial" w:hAnsi="Arial"/>
                <w:sz w:val="16"/>
              </w:rPr>
            </w:pPr>
          </w:p>
          <w:p w:rsidR="0013595D" w:rsidRPr="00E54F41"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E54F4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E54F41">
              <w:rPr>
                <w:rFonts w:ascii="Arial" w:hAnsi="Arial"/>
                <w:b/>
                <w:sz w:val="16"/>
                <w:lang w:val="fr-CA"/>
              </w:rPr>
              <w:t xml:space="preserve">18  </w:t>
            </w:r>
            <w:proofErr w:type="spellStart"/>
            <w:r w:rsidRPr="00E54F41">
              <w:rPr>
                <w:rFonts w:ascii="Arial" w:hAnsi="Arial"/>
                <w:b/>
                <w:sz w:val="16"/>
                <w:lang w:val="fr-CA"/>
              </w:rPr>
              <w:t>sitting</w:t>
            </w:r>
            <w:proofErr w:type="spellEnd"/>
            <w:r w:rsidRPr="00E54F41">
              <w:rPr>
                <w:rFonts w:ascii="Arial" w:hAnsi="Arial"/>
                <w:b/>
                <w:sz w:val="16"/>
                <w:lang w:val="fr-CA"/>
              </w:rPr>
              <w:t xml:space="preserve"> </w:t>
            </w:r>
            <w:proofErr w:type="spellStart"/>
            <w:r w:rsidRPr="00E54F41">
              <w:rPr>
                <w:rFonts w:ascii="Arial" w:hAnsi="Arial"/>
                <w:b/>
                <w:sz w:val="16"/>
                <w:lang w:val="fr-CA"/>
              </w:rPr>
              <w:t>weeks</w:t>
            </w:r>
            <w:proofErr w:type="spellEnd"/>
            <w:r w:rsidRPr="00E54F41">
              <w:rPr>
                <w:rFonts w:ascii="Arial" w:hAnsi="Arial"/>
                <w:b/>
                <w:sz w:val="16"/>
                <w:lang w:val="fr-CA"/>
              </w:rPr>
              <w:t xml:space="preserve"> / semaines séances de la cour</w:t>
            </w:r>
          </w:p>
          <w:p w:rsidR="0013595D" w:rsidRPr="00E54F4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E54F41">
              <w:rPr>
                <w:rFonts w:ascii="Arial" w:hAnsi="Arial"/>
                <w:b/>
                <w:sz w:val="16"/>
                <w:lang w:val="fr-CA"/>
              </w:rPr>
              <w:t xml:space="preserve">86  </w:t>
            </w:r>
            <w:proofErr w:type="spellStart"/>
            <w:r w:rsidRPr="00E54F41">
              <w:rPr>
                <w:rFonts w:ascii="Arial" w:hAnsi="Arial"/>
                <w:b/>
                <w:sz w:val="16"/>
                <w:lang w:val="fr-CA"/>
              </w:rPr>
              <w:t>sitting</w:t>
            </w:r>
            <w:proofErr w:type="spellEnd"/>
            <w:r w:rsidRPr="00E54F41">
              <w:rPr>
                <w:rFonts w:ascii="Arial" w:hAnsi="Arial"/>
                <w:b/>
                <w:sz w:val="16"/>
                <w:lang w:val="fr-CA"/>
              </w:rPr>
              <w:t xml:space="preserve"> </w:t>
            </w:r>
            <w:proofErr w:type="spellStart"/>
            <w:r w:rsidRPr="00E54F41">
              <w:rPr>
                <w:rFonts w:ascii="Arial" w:hAnsi="Arial"/>
                <w:b/>
                <w:sz w:val="16"/>
                <w:lang w:val="fr-CA"/>
              </w:rPr>
              <w:t>days</w:t>
            </w:r>
            <w:proofErr w:type="spellEnd"/>
            <w:r w:rsidRPr="00E54F41">
              <w:rPr>
                <w:rFonts w:ascii="Arial" w:hAnsi="Arial"/>
                <w:b/>
                <w:sz w:val="16"/>
                <w:lang w:val="fr-CA"/>
              </w:rPr>
              <w:t xml:space="preserve"> / journées séances de la cour</w:t>
            </w:r>
          </w:p>
          <w:p w:rsidR="0013595D" w:rsidRPr="00E54F4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E54F41">
              <w:rPr>
                <w:rFonts w:ascii="Arial" w:hAnsi="Arial"/>
                <w:b/>
                <w:sz w:val="16"/>
                <w:lang w:val="fr-CA"/>
              </w:rPr>
              <w:t>4</w:t>
            </w:r>
            <w:r w:rsidRPr="00E54F41">
              <w:rPr>
                <w:rFonts w:ascii="Arial" w:hAnsi="Arial"/>
                <w:b/>
                <w:sz w:val="16"/>
              </w:rPr>
              <w:t xml:space="preserve">    holidays during sitting days / </w:t>
            </w:r>
            <w:proofErr w:type="spellStart"/>
            <w:r w:rsidRPr="00E54F41">
              <w:rPr>
                <w:rFonts w:ascii="Arial" w:hAnsi="Arial"/>
                <w:b/>
                <w:sz w:val="16"/>
              </w:rPr>
              <w:t>jours</w:t>
            </w:r>
            <w:proofErr w:type="spellEnd"/>
            <w:r w:rsidRPr="00E54F41">
              <w:rPr>
                <w:rFonts w:ascii="Arial" w:hAnsi="Arial"/>
                <w:b/>
                <w:sz w:val="16"/>
              </w:rPr>
              <w:t xml:space="preserve"> </w:t>
            </w:r>
            <w:proofErr w:type="spellStart"/>
            <w:r w:rsidRPr="00E54F41">
              <w:rPr>
                <w:rFonts w:ascii="Arial" w:hAnsi="Arial"/>
                <w:b/>
                <w:sz w:val="16"/>
              </w:rPr>
              <w:t>fériés</w:t>
            </w:r>
            <w:proofErr w:type="spellEnd"/>
            <w:r w:rsidRPr="00E54F41">
              <w:rPr>
                <w:rFonts w:ascii="Arial" w:hAnsi="Arial"/>
                <w:b/>
                <w:sz w:val="16"/>
              </w:rPr>
              <w:t xml:space="preserve"> </w:t>
            </w:r>
            <w:proofErr w:type="spellStart"/>
            <w:r w:rsidRPr="00E54F41">
              <w:rPr>
                <w:rFonts w:ascii="Arial" w:hAnsi="Arial"/>
                <w:b/>
                <w:sz w:val="16"/>
              </w:rPr>
              <w:t>durant</w:t>
            </w:r>
            <w:proofErr w:type="spellEnd"/>
            <w:r w:rsidRPr="00E54F41">
              <w:rPr>
                <w:rFonts w:ascii="Arial" w:hAnsi="Arial"/>
                <w:b/>
                <w:sz w:val="16"/>
              </w:rPr>
              <w:t xml:space="preserve"> les sessions</w:t>
            </w:r>
          </w:p>
          <w:p w:rsidR="0013595D" w:rsidRPr="00E54F4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E54F4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E54F41">
              <w:rPr>
                <w:rFonts w:ascii="Arial" w:hAnsi="Arial"/>
                <w:sz w:val="16"/>
              </w:rPr>
              <w:t>Holidays:</w:t>
            </w:r>
          </w:p>
          <w:p w:rsidR="0013595D" w:rsidRPr="00E54F41"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E54F41">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E54F41">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1"/>
      <w:footerReference w:type="default" r:id="rId6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B5" w:rsidRDefault="008345B5" w:rsidP="00A87207">
      <w:r>
        <w:separator/>
      </w:r>
    </w:p>
  </w:endnote>
  <w:endnote w:type="continuationSeparator" w:id="0">
    <w:p w:rsidR="008345B5" w:rsidRDefault="008345B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B904CB">
    <w:pPr>
      <w:pStyle w:val="Footer"/>
      <w:rPr>
        <w:lang w:val="fr-CA"/>
      </w:rPr>
    </w:pPr>
    <w:r>
      <w:rPr>
        <w:lang w:val="fr-CA"/>
      </w:rPr>
      <w:pict>
        <v:rect id="_x0000_i1049" style="width:480.95pt;height:1pt" o:hralign="center" o:hrstd="t" o:hrnoshade="t" o:hr="t" fillcolor="black [3213]" stroked="f"/>
      </w:pict>
    </w:r>
  </w:p>
  <w:p w:rsidR="008345B5" w:rsidRDefault="008345B5" w:rsidP="00245129">
    <w:pPr>
      <w:tabs>
        <w:tab w:val="center" w:pos="4680"/>
      </w:tabs>
    </w:pPr>
    <w:r>
      <w:tab/>
    </w:r>
    <w:r w:rsidRPr="0009648D">
      <w:t xml:space="preserve">- </w:t>
    </w:r>
    <w:r>
      <w:fldChar w:fldCharType="begin"/>
    </w:r>
    <w:r>
      <w:instrText xml:space="preserve"> PAGE   \* MERGEFORMAT </w:instrText>
    </w:r>
    <w:r>
      <w:fldChar w:fldCharType="separate"/>
    </w:r>
    <w:r w:rsidR="00B904CB">
      <w:rPr>
        <w:noProof/>
      </w:rPr>
      <w:t>1680</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45B5" w:rsidRDefault="008345B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B904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5" style="width:480.95pt;height:1pt" o:hralign="center" o:hrstd="t" o:hrnoshade="t" o:hr="t" fillcolor="black [3213]" stroked="f"/>
      </w:pict>
    </w:r>
  </w:p>
  <w:p w:rsidR="008345B5" w:rsidRDefault="008345B5" w:rsidP="00EB2B90">
    <w:pPr>
      <w:tabs>
        <w:tab w:val="center" w:pos="4770"/>
      </w:tabs>
    </w:pPr>
    <w:r>
      <w:tab/>
      <w:t xml:space="preserve">- </w:t>
    </w:r>
    <w:r>
      <w:fldChar w:fldCharType="begin"/>
    </w:r>
    <w:r>
      <w:instrText xml:space="preserve"> PAGE   \* MERGEFORMAT </w:instrText>
    </w:r>
    <w:r>
      <w:fldChar w:fldCharType="separate"/>
    </w:r>
    <w:r w:rsidR="00B904CB">
      <w:rPr>
        <w:noProof/>
      </w:rPr>
      <w:t>1691</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B904CB" w:rsidP="00EB2B90">
    <w:pPr>
      <w:tabs>
        <w:tab w:val="center" w:pos="4770"/>
      </w:tabs>
    </w:pPr>
    <w:r>
      <w:pict>
        <v:rect id="_x0000_i1056" style="width:480.95pt;height:1pt" o:hralign="center" o:hrstd="t" o:hrnoshade="t" o:hr="t" fillcolor="black [3213]" stroked="f"/>
      </w:pict>
    </w:r>
  </w:p>
  <w:p w:rsidR="008345B5" w:rsidRPr="00041AAB" w:rsidRDefault="008345B5" w:rsidP="00EB2B90">
    <w:pPr>
      <w:tabs>
        <w:tab w:val="center" w:pos="4770"/>
      </w:tabs>
    </w:pPr>
    <w:r>
      <w:tab/>
      <w:t xml:space="preserve">- </w:t>
    </w:r>
    <w:r>
      <w:fldChar w:fldCharType="begin"/>
    </w:r>
    <w:r>
      <w:instrText xml:space="preserve"> PAGE   \* MERGEFORMAT </w:instrText>
    </w:r>
    <w:r>
      <w:fldChar w:fldCharType="separate"/>
    </w:r>
    <w:r w:rsidR="00B904CB">
      <w:rPr>
        <w:noProof/>
      </w:rPr>
      <w:t>1684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45B5" w:rsidRDefault="008345B5">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B904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8345B5" w:rsidRDefault="008345B5"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B904CB">
    <w:pPr>
      <w:pStyle w:val="Footer"/>
      <w:rPr>
        <w:lang w:val="fr-CA"/>
      </w:rPr>
    </w:pPr>
    <w:r>
      <w:rPr>
        <w:lang w:val="fr-CA"/>
      </w:rPr>
      <w:pict>
        <v:rect id="_x0000_i1059" style="width:480.95pt;height:1pt" o:hralign="center" o:hrstd="t" o:hrnoshade="t" o:hr="t" fillcolor="black [3213]" stroked="f"/>
      </w:pict>
    </w:r>
  </w:p>
  <w:p w:rsidR="008345B5" w:rsidRDefault="008345B5" w:rsidP="00EB2B90">
    <w:pPr>
      <w:tabs>
        <w:tab w:val="center" w:pos="4680"/>
      </w:tabs>
    </w:pPr>
    <w:r>
      <w:tab/>
      <w:t xml:space="preserve">- </w:t>
    </w:r>
    <w:r>
      <w:fldChar w:fldCharType="begin"/>
    </w:r>
    <w:r>
      <w:instrText xml:space="preserve"> PAGE   \* MERGEFORMAT </w:instrText>
    </w:r>
    <w:r>
      <w:fldChar w:fldCharType="separate"/>
    </w:r>
    <w:r w:rsidR="00B904CB">
      <w:rPr>
        <w:noProof/>
      </w:rPr>
      <w:t>1692</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45B5" w:rsidRDefault="008345B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B904CB" w:rsidP="00732DB7">
    <w:r>
      <w:pict>
        <v:rect id="_x0000_i1062" style="width:480.95pt;height:1pt" o:hralign="center" o:hrstd="t" o:hrnoshade="t" o:hr="t" fillcolor="black" stroked="f"/>
      </w:pict>
    </w:r>
  </w:p>
  <w:p w:rsidR="008345B5" w:rsidRDefault="008345B5">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B904CB">
    <w:pPr>
      <w:pStyle w:val="Footer"/>
    </w:pPr>
    <w:r>
      <w:pict>
        <v:rect id="_x0000_i1063" style="width:480.95pt;height:1pt" o:hralign="center" o:hrstd="t" o:hrnoshade="t" o:hr="t" fillcolor="black [3213]" stroked="f"/>
      </w:pict>
    </w:r>
  </w:p>
  <w:p w:rsidR="008345B5" w:rsidRPr="003C2C0F" w:rsidRDefault="008345B5" w:rsidP="00697C62">
    <w:pPr>
      <w:tabs>
        <w:tab w:val="center" w:pos="4680"/>
      </w:tabs>
    </w:pPr>
    <w:r>
      <w:tab/>
      <w:t xml:space="preserve">- </w:t>
    </w:r>
    <w:r>
      <w:fldChar w:fldCharType="begin"/>
    </w:r>
    <w:r>
      <w:instrText xml:space="preserve"> PAGE   \* MERGEFORMAT </w:instrText>
    </w:r>
    <w:r>
      <w:fldChar w:fldCharType="separate"/>
    </w:r>
    <w:r w:rsidR="00B904CB">
      <w:rPr>
        <w:noProof/>
      </w:rPr>
      <w:t>1693</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45B5" w:rsidRDefault="008345B5">
    <w:pPr>
      <w:tabs>
        <w:tab w:val="center" w:pos="4740"/>
      </w:tabs>
    </w:pPr>
    <w:r>
      <w:tab/>
      <w:t xml:space="preserve">- </w:t>
    </w:r>
    <w:r>
      <w:pgNum/>
    </w:r>
    <w:r>
      <w:t xml:space="preserve"> -</w:t>
    </w:r>
  </w:p>
  <w:p w:rsidR="008345B5" w:rsidRDefault="008345B5"/>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345B5" w:rsidRDefault="00B904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8" style="width:480.95pt;height:1pt" o:hralign="center" o:hrstd="t" o:hrnoshade="t" o:hr="t" fillcolor="black [3213]" stroked="f"/>
      </w:pict>
    </w:r>
  </w:p>
  <w:p w:rsidR="008345B5" w:rsidRDefault="008345B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904CB">
      <w:rPr>
        <w:noProof/>
        <w:szCs w:val="24"/>
      </w:rPr>
      <w:t>1707</w:t>
    </w:r>
    <w:r w:rsidRPr="001775C1">
      <w:rPr>
        <w:szCs w:val="24"/>
      </w:rPr>
      <w:fldChar w:fldCharType="end"/>
    </w:r>
    <w:r>
      <w:t xml:space="preserve"> -</w:t>
    </w:r>
  </w:p>
  <w:p w:rsidR="008345B5" w:rsidRDefault="008345B5"/>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B904CB" w:rsidP="00782AE4">
    <w:pPr>
      <w:tabs>
        <w:tab w:val="center" w:pos="4680"/>
      </w:tabs>
    </w:pPr>
    <w:r>
      <w:pict>
        <v:rect id="_x0000_i1069" style="width:480.95pt;height:1pt" o:hralign="center" o:hrstd="t" o:hrnoshade="t" o:hr="t" fillcolor="black [3213]" stroked="f"/>
      </w:pict>
    </w:r>
  </w:p>
  <w:p w:rsidR="008345B5" w:rsidRDefault="008345B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904CB">
      <w:rPr>
        <w:noProof/>
        <w:szCs w:val="24"/>
      </w:rPr>
      <w:t>1694</w:t>
    </w:r>
    <w:r w:rsidRPr="001775C1">
      <w:rPr>
        <w:szCs w:val="24"/>
      </w:rPr>
      <w:fldChar w:fldCharType="end"/>
    </w:r>
    <w:r>
      <w:t xml:space="preserve"> -</w:t>
    </w:r>
  </w:p>
  <w:p w:rsidR="008345B5" w:rsidRDefault="008345B5"/>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Pr="00924065" w:rsidRDefault="008345B5"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B904CB" w:rsidP="00A87207">
    <w:pPr>
      <w:pStyle w:val="Footer"/>
    </w:pPr>
    <w:r>
      <w:pict>
        <v:rect id="_x0000_i1043" style="width:480.95pt;height:1pt" o:hralign="center" o:hrstd="t" o:hrnoshade="t" o:hr="t" fillcolor="black [3213]" stroked="f"/>
      </w:pict>
    </w:r>
  </w:p>
  <w:p w:rsidR="008345B5" w:rsidRPr="00B7374B" w:rsidRDefault="008345B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904CB">
      <w:rPr>
        <w:noProof/>
        <w:szCs w:val="24"/>
      </w:rPr>
      <w:t>1678</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B904CB" w:rsidP="00755F22">
    <w:pPr>
      <w:tabs>
        <w:tab w:val="left" w:pos="-1440"/>
        <w:tab w:val="left" w:pos="-720"/>
      </w:tabs>
    </w:pPr>
    <w:r>
      <w:pict>
        <v:rect id="_x0000_i1044" style="width:480.95pt;height:1pt" o:hralign="center" o:hrstd="t" o:hrnoshade="t" o:hr="t" fillcolor="black [3213]" stroked="f"/>
      </w:pict>
    </w:r>
  </w:p>
  <w:p w:rsidR="008345B5" w:rsidRPr="00954D22" w:rsidRDefault="008345B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904CB">
      <w:rPr>
        <w:noProof/>
        <w:szCs w:val="24"/>
      </w:rPr>
      <w:t>1676</w:t>
    </w:r>
    <w:r>
      <w:rPr>
        <w:szCs w:val="24"/>
      </w:rPr>
      <w:fldChar w:fldCharType="end"/>
    </w:r>
    <w:r w:rsidRPr="00954D22">
      <w:rPr>
        <w:szCs w:val="24"/>
      </w:rPr>
      <w:t xml:space="preserve"> -</w:t>
    </w:r>
  </w:p>
  <w:p w:rsidR="008345B5" w:rsidRDefault="008345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B904CB" w:rsidP="00A87207">
    <w:pPr>
      <w:pStyle w:val="Footer"/>
    </w:pPr>
    <w:r>
      <w:pict>
        <v:rect id="_x0000_i1046" style="width:480.95pt;height:1pt" o:hralign="center" o:hrstd="t" o:hrnoshade="t" o:hr="t" fillcolor="black [3213]" stroked="f"/>
      </w:pict>
    </w:r>
  </w:p>
  <w:p w:rsidR="008345B5" w:rsidRPr="00B7374B" w:rsidRDefault="008345B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4</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B904C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8345B5" w:rsidRPr="00954D22" w:rsidRDefault="008345B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904CB">
      <w:rPr>
        <w:noProof/>
        <w:szCs w:val="24"/>
      </w:rPr>
      <w:t>1679</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345B5" w:rsidRDefault="008345B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B904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8345B5" w:rsidRPr="0009648D" w:rsidRDefault="008345B5" w:rsidP="00ED7E83">
    <w:pPr>
      <w:tabs>
        <w:tab w:val="center" w:pos="4680"/>
      </w:tabs>
    </w:pPr>
    <w:r>
      <w:tab/>
    </w:r>
    <w:r w:rsidRPr="0009648D">
      <w:t xml:space="preserve">- </w:t>
    </w:r>
    <w:r>
      <w:fldChar w:fldCharType="begin"/>
    </w:r>
    <w:r>
      <w:instrText xml:space="preserve"> PAGE   \* MERGEFORMAT </w:instrText>
    </w:r>
    <w:r>
      <w:fldChar w:fldCharType="separate"/>
    </w:r>
    <w:r w:rsidR="00B904CB">
      <w:rPr>
        <w:noProof/>
      </w:rPr>
      <w:t>1683</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B5" w:rsidRDefault="008345B5" w:rsidP="00A87207">
      <w:r>
        <w:separator/>
      </w:r>
    </w:p>
  </w:footnote>
  <w:footnote w:type="continuationSeparator" w:id="0">
    <w:p w:rsidR="008345B5" w:rsidRDefault="008345B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345B5">
      <w:tc>
        <w:tcPr>
          <w:tcW w:w="4230" w:type="dxa"/>
          <w:tcMar>
            <w:left w:w="0" w:type="dxa"/>
            <w:right w:w="0" w:type="dxa"/>
          </w:tcMar>
        </w:tcPr>
        <w:p w:rsidR="008345B5"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TAXATION OF COSTS</w:t>
          </w:r>
        </w:p>
      </w:tc>
      <w:tc>
        <w:tcPr>
          <w:tcW w:w="1170" w:type="dxa"/>
          <w:tcMar>
            <w:left w:w="0" w:type="dxa"/>
            <w:right w:w="0" w:type="dxa"/>
          </w:tcMar>
        </w:tcPr>
        <w:p w:rsidR="008345B5" w:rsidRDefault="008345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45B5" w:rsidRDefault="008345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TAXATION DES DÉPENS</w:t>
          </w:r>
        </w:p>
      </w:tc>
    </w:tr>
    <w:tr w:rsidR="008345B5">
      <w:trPr>
        <w:gridAfter w:val="2"/>
        <w:wAfter w:w="5250" w:type="dxa"/>
      </w:trPr>
      <w:tc>
        <w:tcPr>
          <w:tcW w:w="4230" w:type="dxa"/>
          <w:tcMar>
            <w:left w:w="0" w:type="dxa"/>
            <w:right w:w="0" w:type="dxa"/>
          </w:tcMar>
        </w:tcPr>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230"/>
    </w:tblGrid>
    <w:tr w:rsidR="008345B5" w:rsidRPr="00755F22" w:rsidTr="00245129">
      <w:tc>
        <w:tcPr>
          <w:tcW w:w="4230" w:type="dxa"/>
          <w:tcMar>
            <w:left w:w="0" w:type="dxa"/>
            <w:right w:w="0" w:type="dxa"/>
          </w:tcMar>
        </w:tcPr>
        <w:p w:rsidR="008345B5" w:rsidRPr="00755F22" w:rsidRDefault="008345B5" w:rsidP="00EB2B90">
          <w:pPr>
            <w:keepNext/>
            <w:keepLines/>
            <w:rPr>
              <w:sz w:val="22"/>
            </w:rPr>
          </w:pPr>
          <w:r>
            <w:rPr>
              <w:sz w:val="22"/>
            </w:rPr>
            <w:t>MOTIONS</w:t>
          </w:r>
        </w:p>
      </w:tc>
      <w:tc>
        <w:tcPr>
          <w:tcW w:w="1170" w:type="dxa"/>
          <w:tcMar>
            <w:left w:w="0" w:type="dxa"/>
            <w:right w:w="0" w:type="dxa"/>
          </w:tcMar>
        </w:tcPr>
        <w:p w:rsidR="008345B5" w:rsidRPr="00755F22" w:rsidRDefault="008345B5" w:rsidP="00831CA9">
          <w:pPr>
            <w:keepLines/>
            <w:jc w:val="center"/>
            <w:rPr>
              <w:sz w:val="22"/>
            </w:rPr>
          </w:pPr>
        </w:p>
        <w:p w:rsidR="008345B5" w:rsidRPr="00755F22" w:rsidRDefault="008345B5" w:rsidP="00831CA9">
          <w:pPr>
            <w:keepLines/>
            <w:jc w:val="center"/>
            <w:rPr>
              <w:sz w:val="22"/>
            </w:rPr>
          </w:pPr>
        </w:p>
      </w:tc>
      <w:tc>
        <w:tcPr>
          <w:tcW w:w="4230" w:type="dxa"/>
          <w:tcMar>
            <w:left w:w="0" w:type="dxa"/>
            <w:right w:w="0" w:type="dxa"/>
          </w:tcMar>
        </w:tcPr>
        <w:p w:rsidR="008345B5" w:rsidRPr="00755F22" w:rsidRDefault="008345B5" w:rsidP="001A35DE">
          <w:pPr>
            <w:keepLines/>
            <w:rPr>
              <w:sz w:val="22"/>
              <w:lang w:val="fr-CA"/>
            </w:rPr>
          </w:pPr>
          <w:r>
            <w:rPr>
              <w:sz w:val="22"/>
              <w:lang w:val="fr-CA"/>
            </w:rPr>
            <w:t>REQU</w:t>
          </w:r>
          <w:r w:rsidRPr="001A35DE">
            <w:rPr>
              <w:szCs w:val="24"/>
              <w:lang w:val="fr-CA"/>
            </w:rPr>
            <w:t>Ê</w:t>
          </w:r>
          <w:r>
            <w:rPr>
              <w:sz w:val="22"/>
              <w:lang w:val="fr-CA"/>
            </w:rPr>
            <w:t>TES</w:t>
          </w:r>
        </w:p>
      </w:tc>
    </w:tr>
  </w:tbl>
  <w:p w:rsidR="008345B5" w:rsidRDefault="008345B5" w:rsidP="00EB2B90">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345B5" w:rsidRPr="00B904CB">
      <w:tc>
        <w:tcPr>
          <w:tcW w:w="4200" w:type="dxa"/>
          <w:tcMar>
            <w:left w:w="0" w:type="dxa"/>
            <w:right w:w="0" w:type="dxa"/>
          </w:tcMar>
        </w:tcPr>
        <w:p w:rsidR="008345B5"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345B5"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45B5" w:rsidRPr="00B01A03" w:rsidRDefault="008345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345B5" w:rsidRPr="00B01A03"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345B5" w:rsidRPr="00B01A03"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345B5" w:rsidRPr="00B904CB" w:rsidTr="00245129">
      <w:tc>
        <w:tcPr>
          <w:tcW w:w="4200" w:type="dxa"/>
          <w:tcMar>
            <w:left w:w="0" w:type="dxa"/>
            <w:right w:w="0" w:type="dxa"/>
          </w:tcMar>
        </w:tcPr>
        <w:p w:rsidR="008345B5" w:rsidRPr="00F40249" w:rsidRDefault="008345B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345B5" w:rsidRDefault="008345B5" w:rsidP="00102926">
          <w:pPr>
            <w:keepNext/>
            <w:keepLines/>
            <w:tabs>
              <w:tab w:val="left" w:pos="-1440"/>
              <w:tab w:val="left" w:pos="-720"/>
            </w:tabs>
            <w:jc w:val="center"/>
            <w:rPr>
              <w:sz w:val="20"/>
              <w:szCs w:val="20"/>
            </w:rPr>
          </w:pPr>
        </w:p>
        <w:p w:rsidR="008345B5" w:rsidRDefault="008345B5" w:rsidP="00102926">
          <w:pPr>
            <w:keepNext/>
            <w:keepLines/>
            <w:tabs>
              <w:tab w:val="left" w:pos="-1440"/>
              <w:tab w:val="left" w:pos="-720"/>
            </w:tabs>
            <w:jc w:val="center"/>
            <w:rPr>
              <w:sz w:val="20"/>
              <w:szCs w:val="20"/>
            </w:rPr>
          </w:pPr>
        </w:p>
        <w:p w:rsidR="008345B5" w:rsidRPr="00F40249" w:rsidRDefault="008345B5" w:rsidP="00102926">
          <w:pPr>
            <w:keepNext/>
            <w:keepLines/>
            <w:tabs>
              <w:tab w:val="left" w:pos="-1440"/>
              <w:tab w:val="left" w:pos="-720"/>
            </w:tabs>
            <w:jc w:val="center"/>
            <w:rPr>
              <w:sz w:val="20"/>
              <w:szCs w:val="20"/>
            </w:rPr>
          </w:pPr>
        </w:p>
      </w:tc>
      <w:tc>
        <w:tcPr>
          <w:tcW w:w="4230" w:type="dxa"/>
          <w:tcMar>
            <w:left w:w="0" w:type="dxa"/>
            <w:right w:w="0" w:type="dxa"/>
          </w:tcMar>
        </w:tcPr>
        <w:p w:rsidR="008345B5" w:rsidRPr="00F40249" w:rsidRDefault="008345B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345B5" w:rsidRPr="00B01A03" w:rsidRDefault="008345B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345B5" w:rsidRPr="00B904CB">
      <w:tc>
        <w:tcPr>
          <w:tcW w:w="4200" w:type="dxa"/>
          <w:tcMar>
            <w:left w:w="0" w:type="dxa"/>
            <w:right w:w="0" w:type="dxa"/>
          </w:tcMar>
        </w:tcPr>
        <w:p w:rsidR="008345B5"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345B5"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345B5"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345B5" w:rsidRPr="003C2C0F" w:rsidRDefault="008345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345B5" w:rsidRPr="003C2C0F"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345B5" w:rsidRPr="003C2C0F"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345B5" w:rsidRPr="00B904CB" w:rsidTr="00245129">
      <w:tc>
        <w:tcPr>
          <w:tcW w:w="4200" w:type="dxa"/>
          <w:tcMar>
            <w:left w:w="0" w:type="dxa"/>
            <w:right w:w="0" w:type="dxa"/>
          </w:tcMar>
        </w:tcPr>
        <w:p w:rsidR="008345B5" w:rsidRPr="00FF6EEC" w:rsidRDefault="008345B5" w:rsidP="00FF6EEC">
          <w:pPr>
            <w:rPr>
              <w:sz w:val="20"/>
              <w:szCs w:val="20"/>
            </w:rPr>
          </w:pPr>
          <w:r w:rsidRPr="00FF6EEC">
            <w:rPr>
              <w:sz w:val="20"/>
              <w:szCs w:val="20"/>
            </w:rPr>
            <w:t>PRONOUNCEMENTS OF APPEALS RESERVED</w:t>
          </w:r>
        </w:p>
      </w:tc>
      <w:tc>
        <w:tcPr>
          <w:tcW w:w="1200" w:type="dxa"/>
          <w:tcMar>
            <w:left w:w="0" w:type="dxa"/>
            <w:right w:w="0" w:type="dxa"/>
          </w:tcMar>
        </w:tcPr>
        <w:p w:rsidR="008345B5" w:rsidRPr="00FF6EEC" w:rsidRDefault="008345B5" w:rsidP="00FF6EEC">
          <w:pPr>
            <w:jc w:val="center"/>
            <w:rPr>
              <w:sz w:val="20"/>
              <w:szCs w:val="20"/>
            </w:rPr>
          </w:pPr>
        </w:p>
        <w:p w:rsidR="008345B5" w:rsidRPr="00FF6EEC" w:rsidRDefault="008345B5" w:rsidP="00FF6EEC">
          <w:pPr>
            <w:jc w:val="center"/>
            <w:rPr>
              <w:sz w:val="20"/>
              <w:szCs w:val="20"/>
            </w:rPr>
          </w:pPr>
        </w:p>
        <w:p w:rsidR="008345B5" w:rsidRPr="00FF6EEC" w:rsidRDefault="008345B5" w:rsidP="00FF6EEC">
          <w:pPr>
            <w:jc w:val="center"/>
            <w:rPr>
              <w:sz w:val="20"/>
              <w:szCs w:val="20"/>
            </w:rPr>
          </w:pPr>
        </w:p>
      </w:tc>
      <w:tc>
        <w:tcPr>
          <w:tcW w:w="4080" w:type="dxa"/>
          <w:tcMar>
            <w:left w:w="0" w:type="dxa"/>
            <w:right w:w="0" w:type="dxa"/>
          </w:tcMar>
        </w:tcPr>
        <w:p w:rsidR="008345B5" w:rsidRPr="00FF6EEC" w:rsidRDefault="008345B5" w:rsidP="00FF6EEC">
          <w:pPr>
            <w:rPr>
              <w:sz w:val="20"/>
              <w:szCs w:val="20"/>
              <w:lang w:val="fr-CA"/>
            </w:rPr>
          </w:pPr>
          <w:r w:rsidRPr="00FF6EEC">
            <w:rPr>
              <w:sz w:val="20"/>
              <w:szCs w:val="20"/>
              <w:lang w:val="fr-CA"/>
            </w:rPr>
            <w:t>JUGEMENTS RENDUS SUR LES APPELS EN DÉLIBÉRÉ</w:t>
          </w:r>
        </w:p>
      </w:tc>
    </w:tr>
  </w:tbl>
  <w:p w:rsidR="008345B5" w:rsidRPr="003C2C0F" w:rsidRDefault="008345B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345B5">
      <w:tc>
        <w:tcPr>
          <w:tcW w:w="4230" w:type="dxa"/>
          <w:tcMar>
            <w:left w:w="0" w:type="dxa"/>
            <w:right w:w="0" w:type="dxa"/>
          </w:tcMar>
        </w:tcPr>
        <w:p w:rsidR="008345B5"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345B5"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345B5"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345B5"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45B5"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345B5" w:rsidRDefault="008345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345B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p w:rsidR="008345B5" w:rsidRDefault="008345B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345B5" w:rsidRPr="00782AE4" w:rsidTr="00245129">
      <w:tc>
        <w:tcPr>
          <w:tcW w:w="4230" w:type="dxa"/>
          <w:tcMar>
            <w:left w:w="0" w:type="dxa"/>
            <w:right w:w="0" w:type="dxa"/>
          </w:tcMar>
        </w:tcPr>
        <w:p w:rsidR="008345B5" w:rsidRPr="00782AE4" w:rsidRDefault="008345B5" w:rsidP="00102926">
          <w:pPr>
            <w:keepNext/>
            <w:keepLines/>
            <w:tabs>
              <w:tab w:val="left" w:pos="-1440"/>
              <w:tab w:val="left" w:pos="-720"/>
            </w:tabs>
            <w:rPr>
              <w:sz w:val="20"/>
              <w:szCs w:val="20"/>
            </w:rPr>
          </w:pPr>
          <w:r w:rsidRPr="00782AE4">
            <w:rPr>
              <w:sz w:val="20"/>
              <w:szCs w:val="20"/>
            </w:rPr>
            <w:t xml:space="preserve">HEADNOTES OF RECENT </w:t>
          </w:r>
        </w:p>
        <w:p w:rsidR="008345B5" w:rsidRPr="00782AE4"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345B5" w:rsidRDefault="008345B5" w:rsidP="00102926">
          <w:pPr>
            <w:keepNext/>
            <w:keepLines/>
            <w:tabs>
              <w:tab w:val="left" w:pos="-1440"/>
              <w:tab w:val="left" w:pos="-720"/>
            </w:tabs>
            <w:jc w:val="center"/>
            <w:rPr>
              <w:sz w:val="20"/>
              <w:szCs w:val="20"/>
            </w:rPr>
          </w:pPr>
        </w:p>
        <w:p w:rsidR="008345B5" w:rsidRDefault="008345B5" w:rsidP="00102926">
          <w:pPr>
            <w:keepNext/>
            <w:keepLines/>
            <w:tabs>
              <w:tab w:val="left" w:pos="-1440"/>
              <w:tab w:val="left" w:pos="-720"/>
            </w:tabs>
            <w:jc w:val="center"/>
            <w:rPr>
              <w:sz w:val="20"/>
              <w:szCs w:val="20"/>
            </w:rPr>
          </w:pPr>
        </w:p>
        <w:p w:rsidR="008345B5" w:rsidRPr="00782AE4" w:rsidRDefault="008345B5" w:rsidP="00102926">
          <w:pPr>
            <w:keepNext/>
            <w:keepLines/>
            <w:tabs>
              <w:tab w:val="left" w:pos="-1440"/>
              <w:tab w:val="left" w:pos="-720"/>
            </w:tabs>
            <w:jc w:val="center"/>
            <w:rPr>
              <w:sz w:val="20"/>
              <w:szCs w:val="20"/>
            </w:rPr>
          </w:pPr>
        </w:p>
      </w:tc>
      <w:tc>
        <w:tcPr>
          <w:tcW w:w="4080" w:type="dxa"/>
          <w:tcMar>
            <w:left w:w="0" w:type="dxa"/>
            <w:right w:w="0" w:type="dxa"/>
          </w:tcMar>
        </w:tcPr>
        <w:p w:rsidR="008345B5" w:rsidRPr="00102926"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345B5" w:rsidRPr="00782AE4" w:rsidRDefault="008345B5" w:rsidP="00102926">
          <w:pPr>
            <w:keepLines/>
            <w:tabs>
              <w:tab w:val="left" w:pos="-1440"/>
              <w:tab w:val="left" w:pos="-720"/>
            </w:tabs>
            <w:rPr>
              <w:sz w:val="20"/>
              <w:szCs w:val="20"/>
            </w:rPr>
          </w:pPr>
          <w:r w:rsidRPr="00102926">
            <w:rPr>
              <w:sz w:val="20"/>
              <w:szCs w:val="20"/>
              <w:lang w:val="fr-CA"/>
            </w:rPr>
            <w:t>RÉCENTS</w:t>
          </w:r>
        </w:p>
      </w:tc>
    </w:tr>
  </w:tbl>
  <w:p w:rsidR="008345B5" w:rsidRDefault="008345B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45B5" w:rsidRDefault="008345B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Header"/>
    </w:pPr>
  </w:p>
  <w:p w:rsidR="008345B5" w:rsidRDefault="008345B5"/>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345B5" w:rsidRPr="0044776A" w:rsidTr="00245129">
      <w:tc>
        <w:tcPr>
          <w:tcW w:w="4290" w:type="dxa"/>
          <w:tcMar>
            <w:left w:w="0" w:type="dxa"/>
            <w:right w:w="0" w:type="dxa"/>
          </w:tcMar>
        </w:tcPr>
        <w:p w:rsidR="008345B5" w:rsidRPr="0044776A" w:rsidRDefault="008345B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345B5" w:rsidRPr="0044776A" w:rsidRDefault="008345B5" w:rsidP="002E2327">
          <w:pPr>
            <w:keepNext/>
            <w:keepLines/>
            <w:tabs>
              <w:tab w:val="left" w:pos="-1440"/>
              <w:tab w:val="left" w:pos="-720"/>
            </w:tabs>
            <w:jc w:val="center"/>
            <w:rPr>
              <w:sz w:val="20"/>
              <w:szCs w:val="20"/>
            </w:rPr>
          </w:pPr>
        </w:p>
        <w:p w:rsidR="008345B5" w:rsidRPr="0044776A" w:rsidRDefault="008345B5" w:rsidP="002E2327">
          <w:pPr>
            <w:keepNext/>
            <w:keepLines/>
            <w:tabs>
              <w:tab w:val="left" w:pos="-1440"/>
              <w:tab w:val="left" w:pos="-720"/>
            </w:tabs>
            <w:jc w:val="center"/>
            <w:rPr>
              <w:sz w:val="20"/>
              <w:szCs w:val="20"/>
            </w:rPr>
          </w:pPr>
        </w:p>
        <w:p w:rsidR="008345B5" w:rsidRPr="0044776A" w:rsidRDefault="008345B5" w:rsidP="002E2327">
          <w:pPr>
            <w:keepNext/>
            <w:keepLines/>
            <w:tabs>
              <w:tab w:val="left" w:pos="-1440"/>
              <w:tab w:val="left" w:pos="-720"/>
            </w:tabs>
            <w:jc w:val="center"/>
            <w:rPr>
              <w:sz w:val="20"/>
              <w:szCs w:val="20"/>
            </w:rPr>
          </w:pPr>
        </w:p>
      </w:tc>
      <w:tc>
        <w:tcPr>
          <w:tcW w:w="4320" w:type="dxa"/>
          <w:tcMar>
            <w:left w:w="0" w:type="dxa"/>
            <w:right w:w="0" w:type="dxa"/>
          </w:tcMar>
        </w:tcPr>
        <w:p w:rsidR="008345B5" w:rsidRPr="0044776A" w:rsidRDefault="008345B5" w:rsidP="002E2327">
          <w:pPr>
            <w:keepLines/>
            <w:rPr>
              <w:sz w:val="20"/>
              <w:szCs w:val="20"/>
              <w:lang w:val="fr-CA"/>
            </w:rPr>
          </w:pPr>
          <w:r w:rsidRPr="0044776A">
            <w:rPr>
              <w:sz w:val="20"/>
              <w:szCs w:val="20"/>
              <w:lang w:val="fr-CA"/>
            </w:rPr>
            <w:t>DEMANDES D'AUTORISATION D'APPEL DÉPOSÉES</w:t>
          </w:r>
        </w:p>
      </w:tc>
    </w:tr>
  </w:tbl>
  <w:p w:rsidR="008345B5" w:rsidRDefault="008345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345B5" w:rsidRPr="00B904CB" w:rsidTr="00245129">
      <w:tc>
        <w:tcPr>
          <w:tcW w:w="4200" w:type="dxa"/>
          <w:tcMar>
            <w:left w:w="0" w:type="dxa"/>
            <w:right w:w="0" w:type="dxa"/>
          </w:tcMar>
        </w:tcPr>
        <w:p w:rsidR="008345B5" w:rsidRPr="0044776A" w:rsidRDefault="008345B5" w:rsidP="0044776A">
          <w:pPr>
            <w:keepNext/>
            <w:keepLines/>
            <w:widowControl w:val="0"/>
            <w:rPr>
              <w:sz w:val="20"/>
              <w:szCs w:val="20"/>
            </w:rPr>
          </w:pPr>
          <w:r>
            <w:rPr>
              <w:sz w:val="20"/>
              <w:szCs w:val="20"/>
            </w:rPr>
            <w:t>APPLICATIONS FOR LEAVE</w:t>
          </w:r>
        </w:p>
        <w:p w:rsidR="008345B5" w:rsidRPr="0044776A" w:rsidRDefault="008345B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345B5" w:rsidRPr="0044776A" w:rsidRDefault="008345B5" w:rsidP="0044776A">
          <w:pPr>
            <w:keepNext/>
            <w:keepLines/>
            <w:widowControl w:val="0"/>
            <w:jc w:val="center"/>
            <w:rPr>
              <w:sz w:val="20"/>
              <w:szCs w:val="20"/>
            </w:rPr>
          </w:pPr>
        </w:p>
        <w:p w:rsidR="008345B5" w:rsidRPr="0044776A" w:rsidRDefault="008345B5" w:rsidP="0044776A">
          <w:pPr>
            <w:keepNext/>
            <w:keepLines/>
            <w:widowControl w:val="0"/>
            <w:jc w:val="center"/>
            <w:rPr>
              <w:sz w:val="20"/>
              <w:szCs w:val="20"/>
            </w:rPr>
          </w:pPr>
        </w:p>
        <w:p w:rsidR="008345B5" w:rsidRPr="0044776A" w:rsidRDefault="008345B5" w:rsidP="0044776A">
          <w:pPr>
            <w:keepNext/>
            <w:keepLines/>
            <w:widowControl w:val="0"/>
            <w:jc w:val="center"/>
            <w:rPr>
              <w:sz w:val="20"/>
              <w:szCs w:val="20"/>
            </w:rPr>
          </w:pPr>
        </w:p>
      </w:tc>
      <w:tc>
        <w:tcPr>
          <w:tcW w:w="4080" w:type="dxa"/>
          <w:tcMar>
            <w:left w:w="0" w:type="dxa"/>
            <w:right w:w="0" w:type="dxa"/>
          </w:tcMar>
        </w:tcPr>
        <w:p w:rsidR="008345B5" w:rsidRPr="0044776A" w:rsidRDefault="008345B5" w:rsidP="0044776A">
          <w:pPr>
            <w:keepLines/>
            <w:widowControl w:val="0"/>
            <w:rPr>
              <w:sz w:val="20"/>
              <w:szCs w:val="20"/>
              <w:lang w:val="fr-CA"/>
            </w:rPr>
          </w:pPr>
          <w:r w:rsidRPr="0044776A">
            <w:rPr>
              <w:sz w:val="20"/>
              <w:szCs w:val="20"/>
              <w:lang w:val="fr-CA"/>
            </w:rPr>
            <w:t>DEMANDES SOUMISES À LA COUR DEPUIS LA DERNIÈRE PARUTION</w:t>
          </w:r>
        </w:p>
        <w:p w:rsidR="008345B5" w:rsidRPr="0044776A" w:rsidRDefault="008345B5" w:rsidP="0044776A">
          <w:pPr>
            <w:widowControl w:val="0"/>
            <w:rPr>
              <w:sz w:val="20"/>
              <w:szCs w:val="20"/>
              <w:lang w:val="fr-CA"/>
            </w:rPr>
          </w:pPr>
        </w:p>
      </w:tc>
    </w:tr>
  </w:tbl>
  <w:p w:rsidR="008345B5" w:rsidRPr="002E2327" w:rsidRDefault="008345B5">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B5" w:rsidRDefault="008345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345B5" w:rsidRPr="00B904CB">
      <w:tc>
        <w:tcPr>
          <w:tcW w:w="4200" w:type="dxa"/>
          <w:tcMar>
            <w:left w:w="0" w:type="dxa"/>
            <w:right w:w="0" w:type="dxa"/>
          </w:tcMar>
        </w:tcPr>
        <w:p w:rsidR="008345B5"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345B5"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345B5" w:rsidRDefault="008345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345B5" w:rsidRPr="00FF6BA5" w:rsidRDefault="008345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345B5" w:rsidRPr="00FF6BA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345B5" w:rsidRPr="00FF6BA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345B5" w:rsidRPr="00FF6BA5" w:rsidRDefault="00834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345B5" w:rsidRPr="00B904CB" w:rsidTr="00245129">
      <w:tc>
        <w:tcPr>
          <w:tcW w:w="4200" w:type="dxa"/>
          <w:tcMar>
            <w:left w:w="0" w:type="dxa"/>
            <w:right w:w="0" w:type="dxa"/>
          </w:tcMar>
        </w:tcPr>
        <w:p w:rsidR="008345B5" w:rsidRPr="00755F22"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345B5" w:rsidRPr="00755F22" w:rsidRDefault="008345B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345B5" w:rsidRPr="00755F22" w:rsidRDefault="008345B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345B5" w:rsidRPr="00755F22" w:rsidRDefault="008345B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345B5" w:rsidRPr="00755F22" w:rsidRDefault="008345B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345B5" w:rsidRPr="00755F22" w:rsidRDefault="008345B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345B5" w:rsidRPr="00FF6BA5" w:rsidRDefault="008345B5"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4B42"/>
    <w:multiLevelType w:val="hybridMultilevel"/>
    <w:tmpl w:val="BBBEE23C"/>
    <w:lvl w:ilvl="0" w:tplc="D2C800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7AED"/>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B827A24"/>
    <w:multiLevelType w:val="hybridMultilevel"/>
    <w:tmpl w:val="9488C890"/>
    <w:lvl w:ilvl="0" w:tplc="E8046E3C">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1A0604"/>
    <w:multiLevelType w:val="hybridMultilevel"/>
    <w:tmpl w:val="E9868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32045F"/>
    <w:multiLevelType w:val="hybridMultilevel"/>
    <w:tmpl w:val="A156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F8516F"/>
    <w:multiLevelType w:val="hybridMultilevel"/>
    <w:tmpl w:val="5EA2D51E"/>
    <w:lvl w:ilvl="0" w:tplc="56FA4D8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F923B1"/>
    <w:multiLevelType w:val="hybridMultilevel"/>
    <w:tmpl w:val="A156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8184B"/>
    <w:multiLevelType w:val="hybridMultilevel"/>
    <w:tmpl w:val="A94C47F2"/>
    <w:lvl w:ilvl="0" w:tplc="9C6A38A6">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3" w15:restartNumberingAfterBreak="0">
    <w:nsid w:val="70CB6C08"/>
    <w:multiLevelType w:val="hybridMultilevel"/>
    <w:tmpl w:val="5EA2D51E"/>
    <w:lvl w:ilvl="0" w:tplc="56FA4D8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8"/>
  </w:num>
  <w:num w:numId="10">
    <w:abstractNumId w:val="6"/>
  </w:num>
  <w:num w:numId="11">
    <w:abstractNumId w:val="3"/>
  </w:num>
  <w:num w:numId="12">
    <w:abstractNumId w:val="2"/>
  </w:num>
  <w:num w:numId="13">
    <w:abstractNumId w:val="13"/>
  </w:num>
  <w:num w:numId="14">
    <w:abstractNumId w:val="9"/>
  </w:num>
  <w:num w:numId="15">
    <w:abstractNumId w:val="5"/>
  </w:num>
  <w:num w:numId="16">
    <w:abstractNumId w:val="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45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D7"/>
    <w:rsid w:val="00002704"/>
    <w:rsid w:val="000040F0"/>
    <w:rsid w:val="00020DC3"/>
    <w:rsid w:val="0003223B"/>
    <w:rsid w:val="000327B2"/>
    <w:rsid w:val="0004528B"/>
    <w:rsid w:val="00047E05"/>
    <w:rsid w:val="00055B04"/>
    <w:rsid w:val="00061FA4"/>
    <w:rsid w:val="00064FBA"/>
    <w:rsid w:val="0008238D"/>
    <w:rsid w:val="00091FA6"/>
    <w:rsid w:val="000959DD"/>
    <w:rsid w:val="00096BD9"/>
    <w:rsid w:val="000A45E0"/>
    <w:rsid w:val="000A5604"/>
    <w:rsid w:val="000A7961"/>
    <w:rsid w:val="000B3C9A"/>
    <w:rsid w:val="000B40A2"/>
    <w:rsid w:val="000B4624"/>
    <w:rsid w:val="000B6576"/>
    <w:rsid w:val="000C0ACD"/>
    <w:rsid w:val="000C0D2A"/>
    <w:rsid w:val="000C17B3"/>
    <w:rsid w:val="000C4837"/>
    <w:rsid w:val="000C5CE8"/>
    <w:rsid w:val="000D3587"/>
    <w:rsid w:val="000E1690"/>
    <w:rsid w:val="000E27A5"/>
    <w:rsid w:val="000E2959"/>
    <w:rsid w:val="000F0B60"/>
    <w:rsid w:val="000F6A39"/>
    <w:rsid w:val="00102926"/>
    <w:rsid w:val="0010587F"/>
    <w:rsid w:val="00111C6B"/>
    <w:rsid w:val="00120BD1"/>
    <w:rsid w:val="0012102B"/>
    <w:rsid w:val="0013369E"/>
    <w:rsid w:val="0013595D"/>
    <w:rsid w:val="00151FF2"/>
    <w:rsid w:val="00157AA7"/>
    <w:rsid w:val="00164E35"/>
    <w:rsid w:val="00164E6D"/>
    <w:rsid w:val="00171E3B"/>
    <w:rsid w:val="0018244C"/>
    <w:rsid w:val="00183454"/>
    <w:rsid w:val="001903A2"/>
    <w:rsid w:val="001A35DE"/>
    <w:rsid w:val="001A424F"/>
    <w:rsid w:val="001B157C"/>
    <w:rsid w:val="001B1DF0"/>
    <w:rsid w:val="001B2A2C"/>
    <w:rsid w:val="001B4006"/>
    <w:rsid w:val="001B5C23"/>
    <w:rsid w:val="001C4E7D"/>
    <w:rsid w:val="001C6EC7"/>
    <w:rsid w:val="001D0D5F"/>
    <w:rsid w:val="001D3989"/>
    <w:rsid w:val="001D6B8C"/>
    <w:rsid w:val="001F1F83"/>
    <w:rsid w:val="001F2020"/>
    <w:rsid w:val="001F40DF"/>
    <w:rsid w:val="001F4A5E"/>
    <w:rsid w:val="001F6B2D"/>
    <w:rsid w:val="002021A9"/>
    <w:rsid w:val="002139A7"/>
    <w:rsid w:val="00214FA4"/>
    <w:rsid w:val="00215F7C"/>
    <w:rsid w:val="00221BBF"/>
    <w:rsid w:val="0022323B"/>
    <w:rsid w:val="00224B0D"/>
    <w:rsid w:val="00230F44"/>
    <w:rsid w:val="00233365"/>
    <w:rsid w:val="002410B8"/>
    <w:rsid w:val="00242AEE"/>
    <w:rsid w:val="00245129"/>
    <w:rsid w:val="00245879"/>
    <w:rsid w:val="00253236"/>
    <w:rsid w:val="00253859"/>
    <w:rsid w:val="002655EA"/>
    <w:rsid w:val="00266F79"/>
    <w:rsid w:val="00267FD5"/>
    <w:rsid w:val="00274D34"/>
    <w:rsid w:val="00283ED8"/>
    <w:rsid w:val="00284A5B"/>
    <w:rsid w:val="002868D0"/>
    <w:rsid w:val="002A008C"/>
    <w:rsid w:val="002A060B"/>
    <w:rsid w:val="002A27D1"/>
    <w:rsid w:val="002A4AFA"/>
    <w:rsid w:val="002B516C"/>
    <w:rsid w:val="002C4C6A"/>
    <w:rsid w:val="002D72EB"/>
    <w:rsid w:val="002E2327"/>
    <w:rsid w:val="002E3583"/>
    <w:rsid w:val="002E5576"/>
    <w:rsid w:val="002F44F7"/>
    <w:rsid w:val="002F6F8D"/>
    <w:rsid w:val="0030050B"/>
    <w:rsid w:val="003211AF"/>
    <w:rsid w:val="003238C9"/>
    <w:rsid w:val="00323F5B"/>
    <w:rsid w:val="00331B52"/>
    <w:rsid w:val="003346EE"/>
    <w:rsid w:val="003359D3"/>
    <w:rsid w:val="0033664A"/>
    <w:rsid w:val="00336EE0"/>
    <w:rsid w:val="003418FE"/>
    <w:rsid w:val="00355967"/>
    <w:rsid w:val="003618F2"/>
    <w:rsid w:val="00370BF4"/>
    <w:rsid w:val="003747A1"/>
    <w:rsid w:val="00376EF3"/>
    <w:rsid w:val="00380BCA"/>
    <w:rsid w:val="00382C47"/>
    <w:rsid w:val="003831C4"/>
    <w:rsid w:val="00384384"/>
    <w:rsid w:val="003866AE"/>
    <w:rsid w:val="003921BB"/>
    <w:rsid w:val="0039347A"/>
    <w:rsid w:val="003975BE"/>
    <w:rsid w:val="003B0DAD"/>
    <w:rsid w:val="003B3977"/>
    <w:rsid w:val="003C67DB"/>
    <w:rsid w:val="003E1D4C"/>
    <w:rsid w:val="003F0301"/>
    <w:rsid w:val="00406BF2"/>
    <w:rsid w:val="00406C0B"/>
    <w:rsid w:val="00412F26"/>
    <w:rsid w:val="004137A0"/>
    <w:rsid w:val="00417F50"/>
    <w:rsid w:val="004201F9"/>
    <w:rsid w:val="004225E1"/>
    <w:rsid w:val="00422D9A"/>
    <w:rsid w:val="00423E44"/>
    <w:rsid w:val="00432989"/>
    <w:rsid w:val="00440E24"/>
    <w:rsid w:val="0044776A"/>
    <w:rsid w:val="00460AFC"/>
    <w:rsid w:val="00470419"/>
    <w:rsid w:val="004721D7"/>
    <w:rsid w:val="0047471F"/>
    <w:rsid w:val="0048737D"/>
    <w:rsid w:val="00490F0A"/>
    <w:rsid w:val="004B195E"/>
    <w:rsid w:val="004B298D"/>
    <w:rsid w:val="004B66B4"/>
    <w:rsid w:val="004B7F60"/>
    <w:rsid w:val="004C1AAC"/>
    <w:rsid w:val="004D06A2"/>
    <w:rsid w:val="004D6983"/>
    <w:rsid w:val="004E1E0A"/>
    <w:rsid w:val="004F090E"/>
    <w:rsid w:val="00500E4C"/>
    <w:rsid w:val="00501F3C"/>
    <w:rsid w:val="00515021"/>
    <w:rsid w:val="0052229C"/>
    <w:rsid w:val="00526F9A"/>
    <w:rsid w:val="00527CC7"/>
    <w:rsid w:val="00543414"/>
    <w:rsid w:val="0056784C"/>
    <w:rsid w:val="00571CA4"/>
    <w:rsid w:val="0057784A"/>
    <w:rsid w:val="00582136"/>
    <w:rsid w:val="00594EEE"/>
    <w:rsid w:val="005B4E58"/>
    <w:rsid w:val="005C6840"/>
    <w:rsid w:val="005D1F64"/>
    <w:rsid w:val="005E3A4E"/>
    <w:rsid w:val="005F1ED8"/>
    <w:rsid w:val="005F263E"/>
    <w:rsid w:val="005F3164"/>
    <w:rsid w:val="00600252"/>
    <w:rsid w:val="00607E04"/>
    <w:rsid w:val="00612A40"/>
    <w:rsid w:val="00613DD8"/>
    <w:rsid w:val="0062714A"/>
    <w:rsid w:val="00673B7B"/>
    <w:rsid w:val="00675479"/>
    <w:rsid w:val="00680709"/>
    <w:rsid w:val="00681F61"/>
    <w:rsid w:val="00682E4E"/>
    <w:rsid w:val="006832D3"/>
    <w:rsid w:val="006863DD"/>
    <w:rsid w:val="00696BF9"/>
    <w:rsid w:val="00697C62"/>
    <w:rsid w:val="006A2D89"/>
    <w:rsid w:val="006A329B"/>
    <w:rsid w:val="006A7EB8"/>
    <w:rsid w:val="006B0A49"/>
    <w:rsid w:val="006B6926"/>
    <w:rsid w:val="006C3F47"/>
    <w:rsid w:val="006C5F7A"/>
    <w:rsid w:val="006E06AF"/>
    <w:rsid w:val="006E330A"/>
    <w:rsid w:val="006F1599"/>
    <w:rsid w:val="006F350F"/>
    <w:rsid w:val="007304A1"/>
    <w:rsid w:val="00732DB7"/>
    <w:rsid w:val="007376CE"/>
    <w:rsid w:val="0074238B"/>
    <w:rsid w:val="007458B6"/>
    <w:rsid w:val="00745EF7"/>
    <w:rsid w:val="00755F22"/>
    <w:rsid w:val="00766E4A"/>
    <w:rsid w:val="0077065F"/>
    <w:rsid w:val="00771EBF"/>
    <w:rsid w:val="00773D82"/>
    <w:rsid w:val="0078142D"/>
    <w:rsid w:val="007820CE"/>
    <w:rsid w:val="00782AE4"/>
    <w:rsid w:val="00792571"/>
    <w:rsid w:val="00794E38"/>
    <w:rsid w:val="0079724F"/>
    <w:rsid w:val="007A20A8"/>
    <w:rsid w:val="007A2935"/>
    <w:rsid w:val="007A3EAE"/>
    <w:rsid w:val="007B291C"/>
    <w:rsid w:val="007B7A0E"/>
    <w:rsid w:val="007C04FC"/>
    <w:rsid w:val="007C3DB0"/>
    <w:rsid w:val="007C47C2"/>
    <w:rsid w:val="007C7C00"/>
    <w:rsid w:val="007D26D7"/>
    <w:rsid w:val="007D3E0F"/>
    <w:rsid w:val="007E4282"/>
    <w:rsid w:val="007F387B"/>
    <w:rsid w:val="007F4E4E"/>
    <w:rsid w:val="007F7EE8"/>
    <w:rsid w:val="008016C9"/>
    <w:rsid w:val="00801DA0"/>
    <w:rsid w:val="00802863"/>
    <w:rsid w:val="00803F31"/>
    <w:rsid w:val="0080477E"/>
    <w:rsid w:val="008112A9"/>
    <w:rsid w:val="00811345"/>
    <w:rsid w:val="0081473A"/>
    <w:rsid w:val="00815B3C"/>
    <w:rsid w:val="0081610A"/>
    <w:rsid w:val="0082014D"/>
    <w:rsid w:val="0082351E"/>
    <w:rsid w:val="008260AA"/>
    <w:rsid w:val="0082783A"/>
    <w:rsid w:val="00831CA9"/>
    <w:rsid w:val="00833463"/>
    <w:rsid w:val="008345B5"/>
    <w:rsid w:val="00844032"/>
    <w:rsid w:val="00850E1F"/>
    <w:rsid w:val="0085476B"/>
    <w:rsid w:val="0086105F"/>
    <w:rsid w:val="0086340B"/>
    <w:rsid w:val="00886647"/>
    <w:rsid w:val="008867C8"/>
    <w:rsid w:val="00887D68"/>
    <w:rsid w:val="008902B1"/>
    <w:rsid w:val="00890FEB"/>
    <w:rsid w:val="0089311F"/>
    <w:rsid w:val="00895E7E"/>
    <w:rsid w:val="008A1411"/>
    <w:rsid w:val="008A5B0C"/>
    <w:rsid w:val="008A5C1A"/>
    <w:rsid w:val="008A7DA0"/>
    <w:rsid w:val="008B2480"/>
    <w:rsid w:val="008D1EEC"/>
    <w:rsid w:val="008D292F"/>
    <w:rsid w:val="008D3440"/>
    <w:rsid w:val="008E03DC"/>
    <w:rsid w:val="008F1267"/>
    <w:rsid w:val="008F28EA"/>
    <w:rsid w:val="008F47EA"/>
    <w:rsid w:val="00902E51"/>
    <w:rsid w:val="00924065"/>
    <w:rsid w:val="00930D68"/>
    <w:rsid w:val="00932DB4"/>
    <w:rsid w:val="00935275"/>
    <w:rsid w:val="00941A4B"/>
    <w:rsid w:val="00946242"/>
    <w:rsid w:val="0095096B"/>
    <w:rsid w:val="0096098B"/>
    <w:rsid w:val="0096692C"/>
    <w:rsid w:val="009677FE"/>
    <w:rsid w:val="00970613"/>
    <w:rsid w:val="00970CD3"/>
    <w:rsid w:val="009723FA"/>
    <w:rsid w:val="00984546"/>
    <w:rsid w:val="009864EA"/>
    <w:rsid w:val="00991F1E"/>
    <w:rsid w:val="00996510"/>
    <w:rsid w:val="009A2821"/>
    <w:rsid w:val="009A3D94"/>
    <w:rsid w:val="009A4186"/>
    <w:rsid w:val="009A5EB7"/>
    <w:rsid w:val="009C18DF"/>
    <w:rsid w:val="009C4FAB"/>
    <w:rsid w:val="009D1F15"/>
    <w:rsid w:val="009D555E"/>
    <w:rsid w:val="009E0002"/>
    <w:rsid w:val="009E0F59"/>
    <w:rsid w:val="009F3024"/>
    <w:rsid w:val="009F39BA"/>
    <w:rsid w:val="00A0355E"/>
    <w:rsid w:val="00A06EAA"/>
    <w:rsid w:val="00A076D0"/>
    <w:rsid w:val="00A13098"/>
    <w:rsid w:val="00A2506C"/>
    <w:rsid w:val="00A375D1"/>
    <w:rsid w:val="00A51D10"/>
    <w:rsid w:val="00A52A83"/>
    <w:rsid w:val="00A63DDF"/>
    <w:rsid w:val="00A6405C"/>
    <w:rsid w:val="00A6552C"/>
    <w:rsid w:val="00A763A1"/>
    <w:rsid w:val="00A87207"/>
    <w:rsid w:val="00A87B13"/>
    <w:rsid w:val="00A90DD6"/>
    <w:rsid w:val="00A935AA"/>
    <w:rsid w:val="00A956D3"/>
    <w:rsid w:val="00AA21B3"/>
    <w:rsid w:val="00AB2201"/>
    <w:rsid w:val="00AC1877"/>
    <w:rsid w:val="00AC2C60"/>
    <w:rsid w:val="00AC3CEF"/>
    <w:rsid w:val="00AD1D34"/>
    <w:rsid w:val="00AD3259"/>
    <w:rsid w:val="00AD35D6"/>
    <w:rsid w:val="00AD53D7"/>
    <w:rsid w:val="00AD6B30"/>
    <w:rsid w:val="00AD7DEA"/>
    <w:rsid w:val="00AE2572"/>
    <w:rsid w:val="00AF1715"/>
    <w:rsid w:val="00AF3904"/>
    <w:rsid w:val="00B010C0"/>
    <w:rsid w:val="00B23624"/>
    <w:rsid w:val="00B25ED6"/>
    <w:rsid w:val="00B42D0D"/>
    <w:rsid w:val="00B43CAE"/>
    <w:rsid w:val="00B4740D"/>
    <w:rsid w:val="00B61629"/>
    <w:rsid w:val="00B724BE"/>
    <w:rsid w:val="00B7374B"/>
    <w:rsid w:val="00B904CB"/>
    <w:rsid w:val="00B90DC0"/>
    <w:rsid w:val="00BA116A"/>
    <w:rsid w:val="00BA5582"/>
    <w:rsid w:val="00BA6468"/>
    <w:rsid w:val="00BB0083"/>
    <w:rsid w:val="00BB1D44"/>
    <w:rsid w:val="00BC04B8"/>
    <w:rsid w:val="00BC0637"/>
    <w:rsid w:val="00BC5632"/>
    <w:rsid w:val="00BC68E9"/>
    <w:rsid w:val="00BD06DA"/>
    <w:rsid w:val="00BD40FD"/>
    <w:rsid w:val="00BD4217"/>
    <w:rsid w:val="00BD488B"/>
    <w:rsid w:val="00BE0419"/>
    <w:rsid w:val="00BF25F3"/>
    <w:rsid w:val="00BF6D0A"/>
    <w:rsid w:val="00C15F38"/>
    <w:rsid w:val="00C1637C"/>
    <w:rsid w:val="00C1697B"/>
    <w:rsid w:val="00C21644"/>
    <w:rsid w:val="00C21CB5"/>
    <w:rsid w:val="00C2792D"/>
    <w:rsid w:val="00C45B2E"/>
    <w:rsid w:val="00C46376"/>
    <w:rsid w:val="00C50A5C"/>
    <w:rsid w:val="00C50FDF"/>
    <w:rsid w:val="00C53930"/>
    <w:rsid w:val="00C53F2C"/>
    <w:rsid w:val="00C6103C"/>
    <w:rsid w:val="00C63381"/>
    <w:rsid w:val="00C63C0B"/>
    <w:rsid w:val="00C6492F"/>
    <w:rsid w:val="00C66367"/>
    <w:rsid w:val="00C73D06"/>
    <w:rsid w:val="00C73E1B"/>
    <w:rsid w:val="00C7556C"/>
    <w:rsid w:val="00C759B4"/>
    <w:rsid w:val="00C77713"/>
    <w:rsid w:val="00C85BB7"/>
    <w:rsid w:val="00C900AA"/>
    <w:rsid w:val="00C967BF"/>
    <w:rsid w:val="00CA2482"/>
    <w:rsid w:val="00CA2DEA"/>
    <w:rsid w:val="00CA5C5C"/>
    <w:rsid w:val="00CB3520"/>
    <w:rsid w:val="00CB43D5"/>
    <w:rsid w:val="00CB6C3A"/>
    <w:rsid w:val="00CC4D84"/>
    <w:rsid w:val="00CD01F6"/>
    <w:rsid w:val="00CE198A"/>
    <w:rsid w:val="00CF08C8"/>
    <w:rsid w:val="00CF6FDA"/>
    <w:rsid w:val="00D004FC"/>
    <w:rsid w:val="00D05E43"/>
    <w:rsid w:val="00D17AEA"/>
    <w:rsid w:val="00D45218"/>
    <w:rsid w:val="00D64901"/>
    <w:rsid w:val="00D75A72"/>
    <w:rsid w:val="00D76BDF"/>
    <w:rsid w:val="00D818B6"/>
    <w:rsid w:val="00D82FCF"/>
    <w:rsid w:val="00D8588A"/>
    <w:rsid w:val="00D862C1"/>
    <w:rsid w:val="00D91E59"/>
    <w:rsid w:val="00D93B50"/>
    <w:rsid w:val="00D94028"/>
    <w:rsid w:val="00D94670"/>
    <w:rsid w:val="00DA1A23"/>
    <w:rsid w:val="00DA46F6"/>
    <w:rsid w:val="00DA756F"/>
    <w:rsid w:val="00DB0BAE"/>
    <w:rsid w:val="00DB4545"/>
    <w:rsid w:val="00DC2FDE"/>
    <w:rsid w:val="00DC4CFD"/>
    <w:rsid w:val="00DD0B49"/>
    <w:rsid w:val="00DD0DF6"/>
    <w:rsid w:val="00DD2DEC"/>
    <w:rsid w:val="00DE0502"/>
    <w:rsid w:val="00DE349D"/>
    <w:rsid w:val="00DE6534"/>
    <w:rsid w:val="00DF7A75"/>
    <w:rsid w:val="00E02E21"/>
    <w:rsid w:val="00E06DFA"/>
    <w:rsid w:val="00E20A0A"/>
    <w:rsid w:val="00E240C2"/>
    <w:rsid w:val="00E276C1"/>
    <w:rsid w:val="00E304CB"/>
    <w:rsid w:val="00E34FB6"/>
    <w:rsid w:val="00E356C7"/>
    <w:rsid w:val="00E37FAE"/>
    <w:rsid w:val="00E414CA"/>
    <w:rsid w:val="00E41A5A"/>
    <w:rsid w:val="00E44AEF"/>
    <w:rsid w:val="00E45FE4"/>
    <w:rsid w:val="00E46B4B"/>
    <w:rsid w:val="00E54F41"/>
    <w:rsid w:val="00E6029F"/>
    <w:rsid w:val="00E64FA7"/>
    <w:rsid w:val="00E653A5"/>
    <w:rsid w:val="00E6587E"/>
    <w:rsid w:val="00E75CFD"/>
    <w:rsid w:val="00E770CB"/>
    <w:rsid w:val="00E77AAC"/>
    <w:rsid w:val="00E903A1"/>
    <w:rsid w:val="00E940EB"/>
    <w:rsid w:val="00E942C2"/>
    <w:rsid w:val="00E94B56"/>
    <w:rsid w:val="00E9703F"/>
    <w:rsid w:val="00EA419D"/>
    <w:rsid w:val="00EB2B90"/>
    <w:rsid w:val="00ED0E7F"/>
    <w:rsid w:val="00ED5159"/>
    <w:rsid w:val="00ED7E83"/>
    <w:rsid w:val="00EE091F"/>
    <w:rsid w:val="00EE3A54"/>
    <w:rsid w:val="00EE421E"/>
    <w:rsid w:val="00EE7D18"/>
    <w:rsid w:val="00EF2560"/>
    <w:rsid w:val="00EF4B63"/>
    <w:rsid w:val="00F0068D"/>
    <w:rsid w:val="00F0576D"/>
    <w:rsid w:val="00F14E6D"/>
    <w:rsid w:val="00F15EA8"/>
    <w:rsid w:val="00F16A67"/>
    <w:rsid w:val="00F16C8D"/>
    <w:rsid w:val="00F16EE0"/>
    <w:rsid w:val="00F255FF"/>
    <w:rsid w:val="00F26C61"/>
    <w:rsid w:val="00F33CCE"/>
    <w:rsid w:val="00F40249"/>
    <w:rsid w:val="00F46187"/>
    <w:rsid w:val="00F526C8"/>
    <w:rsid w:val="00F65DE7"/>
    <w:rsid w:val="00F761A3"/>
    <w:rsid w:val="00F83180"/>
    <w:rsid w:val="00F9272D"/>
    <w:rsid w:val="00F95120"/>
    <w:rsid w:val="00F9518C"/>
    <w:rsid w:val="00FA234F"/>
    <w:rsid w:val="00FA316E"/>
    <w:rsid w:val="00FA3373"/>
    <w:rsid w:val="00FA59EF"/>
    <w:rsid w:val="00FA78B3"/>
    <w:rsid w:val="00FA7B0F"/>
    <w:rsid w:val="00FB19A2"/>
    <w:rsid w:val="00FB4A2E"/>
    <w:rsid w:val="00FB6259"/>
    <w:rsid w:val="00FC0690"/>
    <w:rsid w:val="00FC4ABC"/>
    <w:rsid w:val="00FD28D2"/>
    <w:rsid w:val="00FD7A3E"/>
    <w:rsid w:val="00FE0A5E"/>
    <w:rsid w:val="00FE26E9"/>
    <w:rsid w:val="00FE72D1"/>
    <w:rsid w:val="00FF0B5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45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character" w:styleId="FollowedHyperlink">
    <w:name w:val="FollowedHyperlink"/>
    <w:basedOn w:val="DefaultParagraphFont"/>
    <w:uiPriority w:val="99"/>
    <w:semiHidden/>
    <w:unhideWhenUsed/>
    <w:rsid w:val="00323F5B"/>
    <w:rPr>
      <w:color w:val="800080" w:themeColor="followedHyperlink"/>
      <w:u w:val="single"/>
    </w:rPr>
  </w:style>
  <w:style w:type="paragraph" w:customStyle="1" w:styleId="SCCLsocParty">
    <w:name w:val="SCC.Lsoc.Party"/>
    <w:basedOn w:val="Normal"/>
    <w:next w:val="Normal"/>
    <w:link w:val="SCCLsocPartyChar"/>
    <w:rsid w:val="00F16A67"/>
    <w:pPr>
      <w:jc w:val="center"/>
    </w:pPr>
    <w:rPr>
      <w:rFonts w:eastAsia="Calibri" w:cs="Times New Roman"/>
      <w:lang w:val="fr-CA"/>
    </w:rPr>
  </w:style>
  <w:style w:type="character" w:customStyle="1" w:styleId="SCCLsocPartyChar">
    <w:name w:val="SCC.Lsoc.Party Char"/>
    <w:basedOn w:val="DefaultParagraphFont"/>
    <w:link w:val="SCCLsocParty"/>
    <w:rsid w:val="00F16A67"/>
    <w:rPr>
      <w:rFonts w:eastAsia="Calibri" w:cs="Times New Roman"/>
      <w:lang w:val="fr-CA"/>
    </w:rPr>
  </w:style>
  <w:style w:type="table" w:customStyle="1" w:styleId="TableGrid2">
    <w:name w:val="Table Grid2"/>
    <w:basedOn w:val="TableNormal"/>
    <w:next w:val="TableGrid"/>
    <w:uiPriority w:val="59"/>
    <w:rsid w:val="00A2506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85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88A"/>
    <w:rPr>
      <w:rFonts w:ascii="Segoe UI" w:hAnsi="Segoe UI" w:cs="Segoe UI"/>
      <w:sz w:val="18"/>
      <w:szCs w:val="18"/>
      <w:lang w:val="en-CA"/>
    </w:rPr>
  </w:style>
  <w:style w:type="paragraph" w:customStyle="1" w:styleId="SCCBanSummary">
    <w:name w:val="SCC.BanSummary"/>
    <w:basedOn w:val="Normal"/>
    <w:next w:val="Normal"/>
    <w:link w:val="SCCBanSummaryChar"/>
    <w:rsid w:val="003975BE"/>
    <w:pPr>
      <w:jc w:val="both"/>
    </w:pPr>
    <w:rPr>
      <w:smallCaps/>
    </w:rPr>
  </w:style>
  <w:style w:type="character" w:customStyle="1" w:styleId="SCCBanSummaryChar">
    <w:name w:val="SCC.BanSummary Char"/>
    <w:basedOn w:val="DefaultParagraphFont"/>
    <w:link w:val="SCCBanSummary"/>
    <w:rsid w:val="003975BE"/>
    <w:rPr>
      <w:smallCaps/>
      <w:lang w:val="en-CA"/>
    </w:rPr>
  </w:style>
  <w:style w:type="paragraph" w:styleId="NormalWeb">
    <w:name w:val="Normal (Web)"/>
    <w:basedOn w:val="Normal"/>
    <w:uiPriority w:val="99"/>
    <w:unhideWhenUsed/>
    <w:rsid w:val="00D05E43"/>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682E4E"/>
    <w:rPr>
      <w:i/>
      <w:iCs/>
    </w:rPr>
  </w:style>
  <w:style w:type="character" w:styleId="Strong">
    <w:name w:val="Strong"/>
    <w:basedOn w:val="DefaultParagraphFont"/>
    <w:uiPriority w:val="22"/>
    <w:qFormat/>
    <w:rsid w:val="00682E4E"/>
    <w:rPr>
      <w:b/>
      <w:bCs/>
    </w:rPr>
  </w:style>
  <w:style w:type="table" w:customStyle="1" w:styleId="TableGrid3">
    <w:name w:val="Table Grid3"/>
    <w:basedOn w:val="TableNormal"/>
    <w:next w:val="TableGrid"/>
    <w:uiPriority w:val="59"/>
    <w:rsid w:val="001A35DE"/>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A35DE"/>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A35DE"/>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1A35DE"/>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1A35DE"/>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CaseDescriptor">
    <w:name w:val="SCC.CaseDescriptor"/>
    <w:basedOn w:val="Normal"/>
    <w:link w:val="SCCCaseDescriptorChar"/>
    <w:qFormat/>
    <w:rsid w:val="00BC68E9"/>
    <w:rPr>
      <w:rFonts w:eastAsia="Times New Roman" w:cs="Times New Roman"/>
      <w:b/>
      <w:szCs w:val="20"/>
      <w:lang w:eastAsia="en-CA"/>
    </w:rPr>
  </w:style>
  <w:style w:type="character" w:customStyle="1" w:styleId="SCCCaseDescriptorChar">
    <w:name w:val="SCC.CaseDescriptor Char"/>
    <w:basedOn w:val="DefaultParagraphFont"/>
    <w:link w:val="SCCCaseDescriptor"/>
    <w:rsid w:val="00BC68E9"/>
    <w:rPr>
      <w:rFonts w:eastAsia="Times New Roman" w:cs="Times New Roman"/>
      <w:b/>
      <w:szCs w:val="20"/>
      <w:lang w:val="en-CA" w:eastAsia="en-CA"/>
    </w:rPr>
  </w:style>
  <w:style w:type="paragraph" w:customStyle="1" w:styleId="SCCSsocParty">
    <w:name w:val="SCC.Ssoc.Party"/>
    <w:basedOn w:val="Normal"/>
    <w:next w:val="Normal"/>
    <w:link w:val="SCCSsocPartyChar"/>
    <w:rsid w:val="0082351E"/>
    <w:rPr>
      <w:rFonts w:cs="Times New Roman"/>
      <w:szCs w:val="24"/>
    </w:rPr>
  </w:style>
  <w:style w:type="character" w:customStyle="1" w:styleId="SCCSsocPartyChar">
    <w:name w:val="SCC.Ssoc.Party Char"/>
    <w:basedOn w:val="DefaultParagraphFont"/>
    <w:link w:val="SCCSsocParty"/>
    <w:rsid w:val="0082351E"/>
    <w:rPr>
      <w:rFonts w:cs="Times New Roman"/>
      <w:szCs w:val="24"/>
      <w:lang w:val="en-CA"/>
    </w:rPr>
  </w:style>
  <w:style w:type="paragraph" w:customStyle="1" w:styleId="SCCLsocOtherPartySeparator">
    <w:name w:val="SCC.Lsoc.OtherPartySeparator"/>
    <w:basedOn w:val="Normal"/>
    <w:next w:val="Normal"/>
    <w:link w:val="SCCLsocOtherPartySeparatorChar"/>
    <w:rsid w:val="00EA419D"/>
    <w:pPr>
      <w:jc w:val="both"/>
    </w:pPr>
    <w:rPr>
      <w:b/>
    </w:rPr>
  </w:style>
  <w:style w:type="character" w:customStyle="1" w:styleId="SCCLsocOtherPartySeparatorChar">
    <w:name w:val="SCC.Lsoc.OtherPartySeparator Char"/>
    <w:basedOn w:val="DefaultParagraphFont"/>
    <w:link w:val="SCCLsocOtherPartySeparator"/>
    <w:rsid w:val="00EA419D"/>
    <w:rPr>
      <w:b/>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2455">
      <w:bodyDiv w:val="1"/>
      <w:marLeft w:val="0"/>
      <w:marRight w:val="0"/>
      <w:marTop w:val="0"/>
      <w:marBottom w:val="0"/>
      <w:divBdr>
        <w:top w:val="none" w:sz="0" w:space="0" w:color="auto"/>
        <w:left w:val="none" w:sz="0" w:space="0" w:color="auto"/>
        <w:bottom w:val="none" w:sz="0" w:space="0" w:color="auto"/>
        <w:right w:val="none" w:sz="0" w:space="0" w:color="auto"/>
      </w:divBdr>
      <w:divsChild>
        <w:div w:id="896403023">
          <w:marLeft w:val="0"/>
          <w:marRight w:val="0"/>
          <w:marTop w:val="0"/>
          <w:marBottom w:val="0"/>
          <w:divBdr>
            <w:top w:val="none" w:sz="0" w:space="0" w:color="auto"/>
            <w:left w:val="none" w:sz="0" w:space="0" w:color="auto"/>
            <w:bottom w:val="none" w:sz="0" w:space="0" w:color="auto"/>
            <w:right w:val="none" w:sz="0" w:space="0" w:color="auto"/>
          </w:divBdr>
          <w:divsChild>
            <w:div w:id="370881774">
              <w:marLeft w:val="0"/>
              <w:marRight w:val="0"/>
              <w:marTop w:val="0"/>
              <w:marBottom w:val="0"/>
              <w:divBdr>
                <w:top w:val="none" w:sz="0" w:space="0" w:color="auto"/>
                <w:left w:val="none" w:sz="0" w:space="0" w:color="auto"/>
                <w:bottom w:val="none" w:sz="0" w:space="0" w:color="auto"/>
                <w:right w:val="none" w:sz="0" w:space="0" w:color="auto"/>
              </w:divBdr>
              <w:divsChild>
                <w:div w:id="97334136">
                  <w:marLeft w:val="0"/>
                  <w:marRight w:val="0"/>
                  <w:marTop w:val="0"/>
                  <w:marBottom w:val="0"/>
                  <w:divBdr>
                    <w:top w:val="none" w:sz="0" w:space="0" w:color="auto"/>
                    <w:left w:val="none" w:sz="0" w:space="0" w:color="auto"/>
                    <w:bottom w:val="none" w:sz="0" w:space="0" w:color="auto"/>
                    <w:right w:val="none" w:sz="0" w:space="0" w:color="auto"/>
                  </w:divBdr>
                  <w:divsChild>
                    <w:div w:id="1596283066">
                      <w:marLeft w:val="0"/>
                      <w:marRight w:val="0"/>
                      <w:marTop w:val="0"/>
                      <w:marBottom w:val="0"/>
                      <w:divBdr>
                        <w:top w:val="none" w:sz="0" w:space="0" w:color="auto"/>
                        <w:left w:val="none" w:sz="0" w:space="0" w:color="auto"/>
                        <w:bottom w:val="none" w:sz="0" w:space="0" w:color="auto"/>
                        <w:right w:val="none" w:sz="0" w:space="0" w:color="auto"/>
                      </w:divBdr>
                      <w:divsChild>
                        <w:div w:id="21455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68169">
      <w:bodyDiv w:val="1"/>
      <w:marLeft w:val="0"/>
      <w:marRight w:val="0"/>
      <w:marTop w:val="0"/>
      <w:marBottom w:val="0"/>
      <w:divBdr>
        <w:top w:val="none" w:sz="0" w:space="0" w:color="auto"/>
        <w:left w:val="none" w:sz="0" w:space="0" w:color="auto"/>
        <w:bottom w:val="none" w:sz="0" w:space="0" w:color="auto"/>
        <w:right w:val="none" w:sz="0" w:space="0" w:color="auto"/>
      </w:divBdr>
    </w:div>
    <w:div w:id="506596907">
      <w:bodyDiv w:val="1"/>
      <w:marLeft w:val="0"/>
      <w:marRight w:val="0"/>
      <w:marTop w:val="0"/>
      <w:marBottom w:val="0"/>
      <w:divBdr>
        <w:top w:val="none" w:sz="0" w:space="0" w:color="auto"/>
        <w:left w:val="none" w:sz="0" w:space="0" w:color="auto"/>
        <w:bottom w:val="none" w:sz="0" w:space="0" w:color="auto"/>
        <w:right w:val="none" w:sz="0" w:space="0" w:color="auto"/>
      </w:divBdr>
    </w:div>
    <w:div w:id="515074645">
      <w:bodyDiv w:val="1"/>
      <w:marLeft w:val="0"/>
      <w:marRight w:val="0"/>
      <w:marTop w:val="0"/>
      <w:marBottom w:val="0"/>
      <w:divBdr>
        <w:top w:val="none" w:sz="0" w:space="0" w:color="auto"/>
        <w:left w:val="none" w:sz="0" w:space="0" w:color="auto"/>
        <w:bottom w:val="none" w:sz="0" w:space="0" w:color="auto"/>
        <w:right w:val="none" w:sz="0" w:space="0" w:color="auto"/>
      </w:divBdr>
    </w:div>
    <w:div w:id="606470708">
      <w:bodyDiv w:val="1"/>
      <w:marLeft w:val="0"/>
      <w:marRight w:val="0"/>
      <w:marTop w:val="0"/>
      <w:marBottom w:val="0"/>
      <w:divBdr>
        <w:top w:val="none" w:sz="0" w:space="0" w:color="auto"/>
        <w:left w:val="none" w:sz="0" w:space="0" w:color="auto"/>
        <w:bottom w:val="none" w:sz="0" w:space="0" w:color="auto"/>
        <w:right w:val="none" w:sz="0" w:space="0" w:color="auto"/>
      </w:divBdr>
      <w:divsChild>
        <w:div w:id="491528228">
          <w:marLeft w:val="0"/>
          <w:marRight w:val="0"/>
          <w:marTop w:val="0"/>
          <w:marBottom w:val="0"/>
          <w:divBdr>
            <w:top w:val="none" w:sz="0" w:space="0" w:color="auto"/>
            <w:left w:val="none" w:sz="0" w:space="0" w:color="auto"/>
            <w:bottom w:val="none" w:sz="0" w:space="0" w:color="auto"/>
            <w:right w:val="none" w:sz="0" w:space="0" w:color="auto"/>
          </w:divBdr>
          <w:divsChild>
            <w:div w:id="210851069">
              <w:marLeft w:val="0"/>
              <w:marRight w:val="0"/>
              <w:marTop w:val="0"/>
              <w:marBottom w:val="0"/>
              <w:divBdr>
                <w:top w:val="none" w:sz="0" w:space="0" w:color="auto"/>
                <w:left w:val="none" w:sz="0" w:space="0" w:color="auto"/>
                <w:bottom w:val="none" w:sz="0" w:space="0" w:color="auto"/>
                <w:right w:val="none" w:sz="0" w:space="0" w:color="auto"/>
              </w:divBdr>
              <w:divsChild>
                <w:div w:id="1725829772">
                  <w:marLeft w:val="0"/>
                  <w:marRight w:val="0"/>
                  <w:marTop w:val="0"/>
                  <w:marBottom w:val="0"/>
                  <w:divBdr>
                    <w:top w:val="none" w:sz="0" w:space="0" w:color="auto"/>
                    <w:left w:val="none" w:sz="0" w:space="0" w:color="auto"/>
                    <w:bottom w:val="none" w:sz="0" w:space="0" w:color="auto"/>
                    <w:right w:val="none" w:sz="0" w:space="0" w:color="auto"/>
                  </w:divBdr>
                  <w:divsChild>
                    <w:div w:id="1714770178">
                      <w:marLeft w:val="0"/>
                      <w:marRight w:val="0"/>
                      <w:marTop w:val="0"/>
                      <w:marBottom w:val="0"/>
                      <w:divBdr>
                        <w:top w:val="none" w:sz="0" w:space="0" w:color="auto"/>
                        <w:left w:val="none" w:sz="0" w:space="0" w:color="auto"/>
                        <w:bottom w:val="none" w:sz="0" w:space="0" w:color="auto"/>
                        <w:right w:val="none" w:sz="0" w:space="0" w:color="auto"/>
                      </w:divBdr>
                      <w:divsChild>
                        <w:div w:id="16159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808597273">
      <w:bodyDiv w:val="1"/>
      <w:marLeft w:val="0"/>
      <w:marRight w:val="0"/>
      <w:marTop w:val="0"/>
      <w:marBottom w:val="0"/>
      <w:divBdr>
        <w:top w:val="none" w:sz="0" w:space="0" w:color="auto"/>
        <w:left w:val="none" w:sz="0" w:space="0" w:color="auto"/>
        <w:bottom w:val="none" w:sz="0" w:space="0" w:color="auto"/>
        <w:right w:val="none" w:sz="0" w:space="0" w:color="auto"/>
      </w:divBdr>
      <w:divsChild>
        <w:div w:id="1083452273">
          <w:marLeft w:val="0"/>
          <w:marRight w:val="0"/>
          <w:marTop w:val="0"/>
          <w:marBottom w:val="0"/>
          <w:divBdr>
            <w:top w:val="none" w:sz="0" w:space="0" w:color="auto"/>
            <w:left w:val="none" w:sz="0" w:space="0" w:color="auto"/>
            <w:bottom w:val="none" w:sz="0" w:space="0" w:color="auto"/>
            <w:right w:val="none" w:sz="0" w:space="0" w:color="auto"/>
          </w:divBdr>
          <w:divsChild>
            <w:div w:id="1948195046">
              <w:marLeft w:val="0"/>
              <w:marRight w:val="0"/>
              <w:marTop w:val="0"/>
              <w:marBottom w:val="0"/>
              <w:divBdr>
                <w:top w:val="none" w:sz="0" w:space="0" w:color="auto"/>
                <w:left w:val="none" w:sz="0" w:space="0" w:color="auto"/>
                <w:bottom w:val="none" w:sz="0" w:space="0" w:color="auto"/>
                <w:right w:val="none" w:sz="0" w:space="0" w:color="auto"/>
              </w:divBdr>
              <w:divsChild>
                <w:div w:id="8264675">
                  <w:marLeft w:val="0"/>
                  <w:marRight w:val="0"/>
                  <w:marTop w:val="0"/>
                  <w:marBottom w:val="0"/>
                  <w:divBdr>
                    <w:top w:val="none" w:sz="0" w:space="0" w:color="auto"/>
                    <w:left w:val="none" w:sz="0" w:space="0" w:color="auto"/>
                    <w:bottom w:val="none" w:sz="0" w:space="0" w:color="auto"/>
                    <w:right w:val="none" w:sz="0" w:space="0" w:color="auto"/>
                  </w:divBdr>
                  <w:divsChild>
                    <w:div w:id="1935285160">
                      <w:marLeft w:val="0"/>
                      <w:marRight w:val="0"/>
                      <w:marTop w:val="0"/>
                      <w:marBottom w:val="0"/>
                      <w:divBdr>
                        <w:top w:val="none" w:sz="0" w:space="0" w:color="auto"/>
                        <w:left w:val="none" w:sz="0" w:space="0" w:color="auto"/>
                        <w:bottom w:val="none" w:sz="0" w:space="0" w:color="auto"/>
                        <w:right w:val="none" w:sz="0" w:space="0" w:color="auto"/>
                      </w:divBdr>
                      <w:divsChild>
                        <w:div w:id="20967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02092">
      <w:bodyDiv w:val="1"/>
      <w:marLeft w:val="0"/>
      <w:marRight w:val="0"/>
      <w:marTop w:val="0"/>
      <w:marBottom w:val="0"/>
      <w:divBdr>
        <w:top w:val="none" w:sz="0" w:space="0" w:color="auto"/>
        <w:left w:val="none" w:sz="0" w:space="0" w:color="auto"/>
        <w:bottom w:val="none" w:sz="0" w:space="0" w:color="auto"/>
        <w:right w:val="none" w:sz="0" w:space="0" w:color="auto"/>
      </w:divBdr>
    </w:div>
    <w:div w:id="1400903238">
      <w:bodyDiv w:val="1"/>
      <w:marLeft w:val="0"/>
      <w:marRight w:val="0"/>
      <w:marTop w:val="0"/>
      <w:marBottom w:val="0"/>
      <w:divBdr>
        <w:top w:val="none" w:sz="0" w:space="0" w:color="auto"/>
        <w:left w:val="none" w:sz="0" w:space="0" w:color="auto"/>
        <w:bottom w:val="none" w:sz="0" w:space="0" w:color="auto"/>
        <w:right w:val="none" w:sz="0" w:space="0" w:color="auto"/>
      </w:divBdr>
      <w:divsChild>
        <w:div w:id="1726028680">
          <w:marLeft w:val="0"/>
          <w:marRight w:val="0"/>
          <w:marTop w:val="0"/>
          <w:marBottom w:val="0"/>
          <w:divBdr>
            <w:top w:val="none" w:sz="0" w:space="0" w:color="auto"/>
            <w:left w:val="none" w:sz="0" w:space="0" w:color="auto"/>
            <w:bottom w:val="none" w:sz="0" w:space="0" w:color="auto"/>
            <w:right w:val="none" w:sz="0" w:space="0" w:color="auto"/>
          </w:divBdr>
          <w:divsChild>
            <w:div w:id="289438985">
              <w:marLeft w:val="0"/>
              <w:marRight w:val="0"/>
              <w:marTop w:val="0"/>
              <w:marBottom w:val="0"/>
              <w:divBdr>
                <w:top w:val="none" w:sz="0" w:space="0" w:color="auto"/>
                <w:left w:val="none" w:sz="0" w:space="0" w:color="auto"/>
                <w:bottom w:val="none" w:sz="0" w:space="0" w:color="auto"/>
                <w:right w:val="none" w:sz="0" w:space="0" w:color="auto"/>
              </w:divBdr>
              <w:divsChild>
                <w:div w:id="1296763348">
                  <w:marLeft w:val="0"/>
                  <w:marRight w:val="0"/>
                  <w:marTop w:val="0"/>
                  <w:marBottom w:val="0"/>
                  <w:divBdr>
                    <w:top w:val="none" w:sz="0" w:space="0" w:color="auto"/>
                    <w:left w:val="none" w:sz="0" w:space="0" w:color="auto"/>
                    <w:bottom w:val="none" w:sz="0" w:space="0" w:color="auto"/>
                    <w:right w:val="none" w:sz="0" w:space="0" w:color="auto"/>
                  </w:divBdr>
                  <w:divsChild>
                    <w:div w:id="60300632">
                      <w:marLeft w:val="0"/>
                      <w:marRight w:val="0"/>
                      <w:marTop w:val="0"/>
                      <w:marBottom w:val="0"/>
                      <w:divBdr>
                        <w:top w:val="none" w:sz="0" w:space="0" w:color="auto"/>
                        <w:left w:val="none" w:sz="0" w:space="0" w:color="auto"/>
                        <w:bottom w:val="none" w:sz="0" w:space="0" w:color="auto"/>
                        <w:right w:val="none" w:sz="0" w:space="0" w:color="auto"/>
                      </w:divBdr>
                      <w:divsChild>
                        <w:div w:id="10870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24341">
      <w:bodyDiv w:val="1"/>
      <w:marLeft w:val="0"/>
      <w:marRight w:val="0"/>
      <w:marTop w:val="0"/>
      <w:marBottom w:val="0"/>
      <w:divBdr>
        <w:top w:val="none" w:sz="0" w:space="0" w:color="auto"/>
        <w:left w:val="none" w:sz="0" w:space="0" w:color="auto"/>
        <w:bottom w:val="none" w:sz="0" w:space="0" w:color="auto"/>
        <w:right w:val="none" w:sz="0" w:space="0" w:color="auto"/>
      </w:divBdr>
    </w:div>
    <w:div w:id="1507749157">
      <w:bodyDiv w:val="1"/>
      <w:marLeft w:val="0"/>
      <w:marRight w:val="0"/>
      <w:marTop w:val="0"/>
      <w:marBottom w:val="0"/>
      <w:divBdr>
        <w:top w:val="none" w:sz="0" w:space="0" w:color="auto"/>
        <w:left w:val="none" w:sz="0" w:space="0" w:color="auto"/>
        <w:bottom w:val="none" w:sz="0" w:space="0" w:color="auto"/>
        <w:right w:val="none" w:sz="0" w:space="0" w:color="auto"/>
      </w:divBdr>
    </w:div>
    <w:div w:id="1662005719">
      <w:bodyDiv w:val="1"/>
      <w:marLeft w:val="0"/>
      <w:marRight w:val="0"/>
      <w:marTop w:val="0"/>
      <w:marBottom w:val="0"/>
      <w:divBdr>
        <w:top w:val="none" w:sz="0" w:space="0" w:color="auto"/>
        <w:left w:val="none" w:sz="0" w:space="0" w:color="auto"/>
        <w:bottom w:val="none" w:sz="0" w:space="0" w:color="auto"/>
        <w:right w:val="none" w:sz="0" w:space="0" w:color="auto"/>
      </w:divBdr>
    </w:div>
    <w:div w:id="1932854089">
      <w:bodyDiv w:val="1"/>
      <w:marLeft w:val="0"/>
      <w:marRight w:val="0"/>
      <w:marTop w:val="0"/>
      <w:marBottom w:val="0"/>
      <w:divBdr>
        <w:top w:val="none" w:sz="0" w:space="0" w:color="auto"/>
        <w:left w:val="none" w:sz="0" w:space="0" w:color="auto"/>
        <w:bottom w:val="none" w:sz="0" w:space="0" w:color="auto"/>
        <w:right w:val="none" w:sz="0" w:space="0" w:color="auto"/>
      </w:divBdr>
      <w:divsChild>
        <w:div w:id="1934849906">
          <w:marLeft w:val="0"/>
          <w:marRight w:val="0"/>
          <w:marTop w:val="0"/>
          <w:marBottom w:val="0"/>
          <w:divBdr>
            <w:top w:val="none" w:sz="0" w:space="0" w:color="auto"/>
            <w:left w:val="none" w:sz="0" w:space="0" w:color="auto"/>
            <w:bottom w:val="none" w:sz="0" w:space="0" w:color="auto"/>
            <w:right w:val="none" w:sz="0" w:space="0" w:color="auto"/>
          </w:divBdr>
          <w:divsChild>
            <w:div w:id="1961648898">
              <w:marLeft w:val="0"/>
              <w:marRight w:val="0"/>
              <w:marTop w:val="0"/>
              <w:marBottom w:val="0"/>
              <w:divBdr>
                <w:top w:val="none" w:sz="0" w:space="0" w:color="auto"/>
                <w:left w:val="none" w:sz="0" w:space="0" w:color="auto"/>
                <w:bottom w:val="none" w:sz="0" w:space="0" w:color="auto"/>
                <w:right w:val="none" w:sz="0" w:space="0" w:color="auto"/>
              </w:divBdr>
              <w:divsChild>
                <w:div w:id="365251322">
                  <w:marLeft w:val="0"/>
                  <w:marRight w:val="0"/>
                  <w:marTop w:val="0"/>
                  <w:marBottom w:val="0"/>
                  <w:divBdr>
                    <w:top w:val="none" w:sz="0" w:space="0" w:color="auto"/>
                    <w:left w:val="none" w:sz="0" w:space="0" w:color="auto"/>
                    <w:bottom w:val="none" w:sz="0" w:space="0" w:color="auto"/>
                    <w:right w:val="none" w:sz="0" w:space="0" w:color="auto"/>
                  </w:divBdr>
                  <w:divsChild>
                    <w:div w:id="2133815568">
                      <w:marLeft w:val="0"/>
                      <w:marRight w:val="0"/>
                      <w:marTop w:val="0"/>
                      <w:marBottom w:val="0"/>
                      <w:divBdr>
                        <w:top w:val="none" w:sz="0" w:space="0" w:color="auto"/>
                        <w:left w:val="none" w:sz="0" w:space="0" w:color="auto"/>
                        <w:bottom w:val="none" w:sz="0" w:space="0" w:color="auto"/>
                        <w:right w:val="none" w:sz="0" w:space="0" w:color="auto"/>
                      </w:divBdr>
                      <w:divsChild>
                        <w:div w:id="2185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88347">
      <w:bodyDiv w:val="1"/>
      <w:marLeft w:val="0"/>
      <w:marRight w:val="0"/>
      <w:marTop w:val="0"/>
      <w:marBottom w:val="0"/>
      <w:divBdr>
        <w:top w:val="none" w:sz="0" w:space="0" w:color="auto"/>
        <w:left w:val="none" w:sz="0" w:space="0" w:color="auto"/>
        <w:bottom w:val="none" w:sz="0" w:space="0" w:color="auto"/>
        <w:right w:val="none" w:sz="0" w:space="0" w:color="auto"/>
      </w:divBdr>
      <w:divsChild>
        <w:div w:id="1912543190">
          <w:marLeft w:val="0"/>
          <w:marRight w:val="0"/>
          <w:marTop w:val="0"/>
          <w:marBottom w:val="0"/>
          <w:divBdr>
            <w:top w:val="none" w:sz="0" w:space="0" w:color="auto"/>
            <w:left w:val="none" w:sz="0" w:space="0" w:color="auto"/>
            <w:bottom w:val="none" w:sz="0" w:space="0" w:color="auto"/>
            <w:right w:val="none" w:sz="0" w:space="0" w:color="auto"/>
          </w:divBdr>
          <w:divsChild>
            <w:div w:id="161623319">
              <w:marLeft w:val="0"/>
              <w:marRight w:val="0"/>
              <w:marTop w:val="0"/>
              <w:marBottom w:val="0"/>
              <w:divBdr>
                <w:top w:val="none" w:sz="0" w:space="0" w:color="auto"/>
                <w:left w:val="none" w:sz="0" w:space="0" w:color="auto"/>
                <w:bottom w:val="none" w:sz="0" w:space="0" w:color="auto"/>
                <w:right w:val="none" w:sz="0" w:space="0" w:color="auto"/>
              </w:divBdr>
              <w:divsChild>
                <w:div w:id="980692238">
                  <w:marLeft w:val="0"/>
                  <w:marRight w:val="0"/>
                  <w:marTop w:val="0"/>
                  <w:marBottom w:val="0"/>
                  <w:divBdr>
                    <w:top w:val="none" w:sz="0" w:space="0" w:color="auto"/>
                    <w:left w:val="none" w:sz="0" w:space="0" w:color="auto"/>
                    <w:bottom w:val="none" w:sz="0" w:space="0" w:color="auto"/>
                    <w:right w:val="none" w:sz="0" w:space="0" w:color="auto"/>
                  </w:divBdr>
                  <w:divsChild>
                    <w:div w:id="1896310192">
                      <w:marLeft w:val="0"/>
                      <w:marRight w:val="0"/>
                      <w:marTop w:val="0"/>
                      <w:marBottom w:val="0"/>
                      <w:divBdr>
                        <w:top w:val="none" w:sz="0" w:space="0" w:color="auto"/>
                        <w:left w:val="none" w:sz="0" w:space="0" w:color="auto"/>
                        <w:bottom w:val="none" w:sz="0" w:space="0" w:color="auto"/>
                        <w:right w:val="none" w:sz="0" w:space="0" w:color="auto"/>
                      </w:divBdr>
                      <w:divsChild>
                        <w:div w:id="7289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canlii.ca/t/gs5r5" TargetMode="External"/><Relationship Id="rId39" Type="http://schemas.openxmlformats.org/officeDocument/2006/relationships/footer" Target="footer12.xml"/><Relationship Id="rId21" Type="http://schemas.openxmlformats.org/officeDocument/2006/relationships/header" Target="header7.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footer" Target="footer17.xml"/><Relationship Id="rId55" Type="http://schemas.openxmlformats.org/officeDocument/2006/relationships/header" Target="header20.xml"/><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canlii.ca/t/grzt0" TargetMode="External"/><Relationship Id="rId41" Type="http://schemas.openxmlformats.org/officeDocument/2006/relationships/footer" Target="footer13.xml"/><Relationship Id="rId54" Type="http://schemas.openxmlformats.org/officeDocument/2006/relationships/hyperlink" Target="http://www.scc-csc.ca/case-dossier/info/sum-som-eng.aspx?cas=36460" TargetMode="External"/><Relationship Id="rId62"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canlii.ca/t/gs5r5" TargetMode="Externa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anlii.ca/t/gkdb6" TargetMode="External"/><Relationship Id="rId28" Type="http://schemas.openxmlformats.org/officeDocument/2006/relationships/hyperlink" Target="http://canlii.ca/t/grzt0" TargetMode="External"/><Relationship Id="rId36" Type="http://schemas.openxmlformats.org/officeDocument/2006/relationships/header" Target="header11.xml"/><Relationship Id="rId49" Type="http://schemas.openxmlformats.org/officeDocument/2006/relationships/header" Target="header18.xml"/><Relationship Id="rId57" Type="http://schemas.openxmlformats.org/officeDocument/2006/relationships/footer" Target="footer20.xml"/><Relationship Id="rId61"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4" Type="http://schemas.openxmlformats.org/officeDocument/2006/relationships/footer" Target="footer14.xml"/><Relationship Id="rId52" Type="http://schemas.openxmlformats.org/officeDocument/2006/relationships/header" Target="header19.xml"/><Relationship Id="rId60"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canlii.ca/t/gs0kp" TargetMode="Externa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theme" Target="theme/theme1.xml"/><Relationship Id="rId8" Type="http://schemas.openxmlformats.org/officeDocument/2006/relationships/hyperlink" Target="http://www.scc-csc.ca" TargetMode="External"/><Relationship Id="rId51"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canlii.ca/t/gkdb6" TargetMode="Externa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eader" Target="header16.xml"/><Relationship Id="rId5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14246</Words>
  <Characters>81205</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2016-11-21T15:10:00Z</dcterms:created>
  <dcterms:modified xsi:type="dcterms:W3CDTF">2016-12-06T14:25:00Z</dcterms:modified>
</cp:coreProperties>
</file>