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rsidP="00C7556C">
      <w:pPr>
        <w:jc w:val="center"/>
      </w:pPr>
      <w:r w:rsidRPr="002E2327">
        <w:rPr>
          <w:noProof/>
          <w:lang w:val="en-US"/>
        </w:rPr>
        <w:drawing>
          <wp:inline distT="0" distB="0" distL="0" distR="0">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384384" w:rsidRPr="002E2327"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ED4247"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ED4247"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ED4247"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ED4247"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ED4247" w:rsidTr="002E5576">
        <w:tc>
          <w:tcPr>
            <w:tcW w:w="4518" w:type="dxa"/>
          </w:tcPr>
          <w:p w:rsidR="00BF25F3" w:rsidRPr="002E2327" w:rsidRDefault="000E27A5"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0E27A5"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ED4247"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ED4247" w:rsidTr="002E5576">
        <w:tc>
          <w:tcPr>
            <w:tcW w:w="4518" w:type="dxa"/>
          </w:tcPr>
          <w:p w:rsidR="009F3024" w:rsidRPr="002E2327" w:rsidRDefault="009F3024" w:rsidP="00E414CA">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8" w:history="1">
              <w:r w:rsidR="00E414CA" w:rsidRPr="00DB53DA">
                <w:rPr>
                  <w:rStyle w:val="Hyperlink"/>
                  <w:rFonts w:ascii="Arial" w:hAnsi="Arial" w:cs="Arial"/>
                  <w:i/>
                  <w:sz w:val="20"/>
                  <w:szCs w:val="20"/>
                </w:rPr>
                <w:t>www.scc-csc.ca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E414CA">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9" w:history="1">
              <w:r w:rsidR="0081473A" w:rsidRPr="00DB53DA">
                <w:rPr>
                  <w:rStyle w:val="Hyperlink"/>
                  <w:rFonts w:ascii="Arial" w:hAnsi="Arial" w:cs="Arial"/>
                  <w:i/>
                  <w:sz w:val="20"/>
                  <w:szCs w:val="20"/>
                  <w:lang w:val="fr-CA"/>
                </w:rPr>
                <w:t>www.scc-csc.ca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0A62B4" w:rsidP="00F0068D">
      <w:pPr>
        <w:pBdr>
          <w:bottom w:val="single" w:sz="6" w:space="1" w:color="auto"/>
        </w:pBdr>
        <w:tabs>
          <w:tab w:val="center" w:pos="4680"/>
          <w:tab w:val="right" w:pos="9360"/>
        </w:tabs>
        <w:rPr>
          <w:lang w:val="fr-CA"/>
        </w:rPr>
      </w:pPr>
      <w:proofErr w:type="spellStart"/>
      <w:r>
        <w:rPr>
          <w:lang w:val="fr-CA"/>
        </w:rPr>
        <w:t>June</w:t>
      </w:r>
      <w:proofErr w:type="spellEnd"/>
      <w:r>
        <w:rPr>
          <w:lang w:val="fr-CA"/>
        </w:rPr>
        <w:t xml:space="preserve"> 16</w:t>
      </w:r>
      <w:r w:rsidR="00440E24" w:rsidRPr="00675479">
        <w:rPr>
          <w:lang w:val="fr-CA"/>
        </w:rPr>
        <w:t>, 201</w:t>
      </w:r>
      <w:r w:rsidR="00E8544A">
        <w:rPr>
          <w:lang w:val="fr-CA"/>
        </w:rPr>
        <w:t>7</w:t>
      </w:r>
      <w:r w:rsidR="00ED4247">
        <w:rPr>
          <w:lang w:val="fr-CA"/>
        </w:rPr>
        <w:tab/>
        <w:t>959</w:t>
      </w:r>
      <w:r w:rsidR="00F0068D" w:rsidRPr="00675479">
        <w:rPr>
          <w:lang w:val="fr-CA"/>
        </w:rPr>
        <w:t xml:space="preserve"> - </w:t>
      </w:r>
      <w:r w:rsidR="005020C0">
        <w:rPr>
          <w:lang w:val="fr-CA"/>
        </w:rPr>
        <w:t>1004</w:t>
      </w:r>
      <w:r w:rsidR="00440E24" w:rsidRPr="00675479">
        <w:rPr>
          <w:lang w:val="fr-CA"/>
        </w:rPr>
        <w:tab/>
      </w:r>
      <w:r w:rsidR="00440E24" w:rsidRPr="002E2327">
        <w:rPr>
          <w:lang w:val="fr-CA"/>
        </w:rPr>
        <w:t>Le</w:t>
      </w:r>
      <w:r w:rsidR="00C73D06">
        <w:rPr>
          <w:lang w:val="fr-CA"/>
        </w:rPr>
        <w:t xml:space="preserve"> </w:t>
      </w:r>
      <w:r>
        <w:rPr>
          <w:lang w:val="fr-CA"/>
        </w:rPr>
        <w:t>1</w:t>
      </w:r>
      <w:r w:rsidR="00E8544A">
        <w:rPr>
          <w:lang w:val="fr-CA"/>
        </w:rPr>
        <w:t>6</w:t>
      </w:r>
      <w:r w:rsidR="00C73D06">
        <w:rPr>
          <w:lang w:val="fr-CA"/>
        </w:rPr>
        <w:t xml:space="preserve"> j</w:t>
      </w:r>
      <w:r>
        <w:rPr>
          <w:lang w:val="fr-CA"/>
        </w:rPr>
        <w:t>uin</w:t>
      </w:r>
      <w:r w:rsidR="00440E24" w:rsidRPr="002E2327">
        <w:rPr>
          <w:lang w:val="fr-CA"/>
        </w:rPr>
        <w:t xml:space="preserve"> 201</w:t>
      </w:r>
      <w:r w:rsidR="00E8544A">
        <w:rPr>
          <w:lang w:val="fr-CA"/>
        </w:rPr>
        <w:t>7</w:t>
      </w:r>
    </w:p>
    <w:p w:rsidR="00440E24" w:rsidRPr="00675479" w:rsidRDefault="00440E24" w:rsidP="00440E24">
      <w:pPr>
        <w:pBdr>
          <w:bottom w:val="single" w:sz="6" w:space="1" w:color="auto"/>
        </w:pBdr>
        <w:tabs>
          <w:tab w:val="right" w:pos="9360"/>
        </w:tabs>
        <w:rPr>
          <w:lang w:val="fr-CA"/>
        </w:rPr>
      </w:pPr>
    </w:p>
    <w:p w:rsidR="00440E24" w:rsidRPr="00ED4247" w:rsidRDefault="00440E24" w:rsidP="00440E24">
      <w:pPr>
        <w:pBdr>
          <w:bottom w:val="single" w:sz="6" w:space="1" w:color="auto"/>
        </w:pBdr>
        <w:tabs>
          <w:tab w:val="right" w:pos="9360"/>
        </w:tabs>
        <w:rPr>
          <w:sz w:val="18"/>
          <w:szCs w:val="18"/>
          <w:lang w:val="en-US"/>
        </w:rPr>
      </w:pPr>
      <w:r w:rsidRPr="00ED4247">
        <w:rPr>
          <w:sz w:val="18"/>
          <w:szCs w:val="18"/>
          <w:lang w:val="en-US"/>
        </w:rPr>
        <w:t>© Supreme Court of Canada (</w:t>
      </w:r>
      <w:r w:rsidR="0030050B" w:rsidRPr="00ED4247">
        <w:rPr>
          <w:sz w:val="18"/>
          <w:szCs w:val="18"/>
          <w:lang w:val="en-US"/>
        </w:rPr>
        <w:t>201</w:t>
      </w:r>
      <w:r w:rsidR="00E8544A" w:rsidRPr="00ED4247">
        <w:rPr>
          <w:sz w:val="18"/>
          <w:szCs w:val="18"/>
          <w:lang w:val="en-US"/>
        </w:rPr>
        <w:t>7</w:t>
      </w:r>
      <w:r w:rsidRPr="00ED4247">
        <w:rPr>
          <w:sz w:val="18"/>
          <w:szCs w:val="18"/>
          <w:lang w:val="en-US"/>
        </w:rPr>
        <w:t>)</w:t>
      </w:r>
      <w:r w:rsidRPr="00ED4247">
        <w:rPr>
          <w:sz w:val="18"/>
          <w:szCs w:val="18"/>
          <w:lang w:val="en-US"/>
        </w:rPr>
        <w:tab/>
        <w:t xml:space="preserve">© </w:t>
      </w:r>
      <w:proofErr w:type="spellStart"/>
      <w:r w:rsidRPr="00ED4247">
        <w:rPr>
          <w:sz w:val="18"/>
          <w:szCs w:val="18"/>
          <w:lang w:val="en-US"/>
        </w:rPr>
        <w:t>Cour</w:t>
      </w:r>
      <w:proofErr w:type="spellEnd"/>
      <w:r w:rsidRPr="00ED4247">
        <w:rPr>
          <w:sz w:val="18"/>
          <w:szCs w:val="18"/>
          <w:lang w:val="en-US"/>
        </w:rPr>
        <w:t xml:space="preserve"> </w:t>
      </w:r>
      <w:proofErr w:type="spellStart"/>
      <w:r w:rsidRPr="00ED4247">
        <w:rPr>
          <w:sz w:val="18"/>
          <w:szCs w:val="18"/>
          <w:lang w:val="en-US"/>
        </w:rPr>
        <w:t>suprême</w:t>
      </w:r>
      <w:proofErr w:type="spellEnd"/>
      <w:r w:rsidRPr="00ED4247">
        <w:rPr>
          <w:sz w:val="18"/>
          <w:szCs w:val="18"/>
          <w:lang w:val="en-US"/>
        </w:rPr>
        <w:t xml:space="preserve"> du Canada (</w:t>
      </w:r>
      <w:r w:rsidR="0030050B" w:rsidRPr="00ED4247">
        <w:rPr>
          <w:sz w:val="18"/>
          <w:szCs w:val="18"/>
          <w:lang w:val="en-US"/>
        </w:rPr>
        <w:t>201</w:t>
      </w:r>
      <w:r w:rsidR="00E8544A" w:rsidRPr="00ED4247">
        <w:rPr>
          <w:sz w:val="18"/>
          <w:szCs w:val="18"/>
          <w:lang w:val="en-US"/>
        </w:rPr>
        <w:t>7</w:t>
      </w:r>
      <w:r w:rsidRPr="00ED4247">
        <w:rPr>
          <w:sz w:val="18"/>
          <w:szCs w:val="18"/>
          <w:lang w:val="en-US"/>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Default="00600252" w:rsidP="00BF25F3">
      <w:pPr>
        <w:pBdr>
          <w:bottom w:val="single" w:sz="6" w:space="1" w:color="auto"/>
        </w:pBdr>
        <w:tabs>
          <w:tab w:val="left" w:pos="6075"/>
        </w:tabs>
        <w:rPr>
          <w:lang w:val="fr-CA"/>
        </w:rPr>
      </w:pPr>
    </w:p>
    <w:p w:rsidR="0030050B" w:rsidRPr="00675479" w:rsidRDefault="0030050B"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2E2327"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Default="0095096B" w:rsidP="0095096B">
            <w:pPr>
              <w:tabs>
                <w:tab w:val="right" w:pos="9360"/>
              </w:tabs>
              <w:rPr>
                <w:rFonts w:cs="Times New Roman"/>
                <w:sz w:val="20"/>
                <w:szCs w:val="20"/>
              </w:rPr>
            </w:pPr>
            <w:r w:rsidRPr="002E2327">
              <w:rPr>
                <w:rFonts w:cs="Times New Roman"/>
                <w:sz w:val="20"/>
                <w:szCs w:val="20"/>
              </w:rPr>
              <w:t>to Court since last issue</w:t>
            </w:r>
          </w:p>
          <w:p w:rsidR="00CD6904" w:rsidRDefault="00CD6904" w:rsidP="0095096B">
            <w:pPr>
              <w:tabs>
                <w:tab w:val="right" w:pos="9360"/>
              </w:tabs>
              <w:rPr>
                <w:rFonts w:cs="Times New Roman"/>
                <w:sz w:val="20"/>
                <w:szCs w:val="20"/>
              </w:rPr>
            </w:pPr>
          </w:p>
          <w:p w:rsidR="00CD6904" w:rsidRPr="002E2327" w:rsidRDefault="00CD6904" w:rsidP="00CD6904">
            <w:pPr>
              <w:tabs>
                <w:tab w:val="right" w:pos="9360"/>
              </w:tabs>
              <w:rPr>
                <w:rFonts w:cs="Times New Roman"/>
                <w:sz w:val="20"/>
                <w:szCs w:val="20"/>
              </w:rPr>
            </w:pPr>
            <w:r w:rsidRPr="002E2327">
              <w:rPr>
                <w:rFonts w:cs="Times New Roman"/>
                <w:sz w:val="20"/>
                <w:szCs w:val="20"/>
              </w:rPr>
              <w:t xml:space="preserve">Oral hearing on applications for </w:t>
            </w:r>
          </w:p>
          <w:p w:rsidR="00CD6904" w:rsidRPr="002E2327" w:rsidRDefault="00CD6904" w:rsidP="00CD6904">
            <w:pPr>
              <w:tabs>
                <w:tab w:val="right" w:pos="9360"/>
              </w:tabs>
              <w:rPr>
                <w:rFonts w:cs="Times New Roman"/>
                <w:sz w:val="20"/>
                <w:szCs w:val="20"/>
              </w:rPr>
            </w:pPr>
            <w:r w:rsidRPr="002E2327">
              <w:rPr>
                <w:rFonts w:cs="Times New Roman"/>
                <w:sz w:val="20"/>
                <w:szCs w:val="20"/>
              </w:rPr>
              <w:t xml:space="preserve">leave </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Headnotes of recent judgments</w:t>
            </w:r>
          </w:p>
          <w:p w:rsidR="0095096B" w:rsidRPr="002E2327" w:rsidRDefault="0095096B" w:rsidP="0095096B">
            <w:pPr>
              <w:tabs>
                <w:tab w:val="right" w:pos="9360"/>
              </w:tabs>
              <w:rPr>
                <w:rFonts w:cs="Times New Roman"/>
                <w:sz w:val="20"/>
                <w:szCs w:val="20"/>
              </w:rPr>
            </w:pPr>
          </w:p>
          <w:p w:rsidR="00A87207" w:rsidRPr="002E2327" w:rsidRDefault="00A87207" w:rsidP="00331763">
            <w:pPr>
              <w:tabs>
                <w:tab w:val="right" w:pos="9360"/>
              </w:tabs>
              <w:rPr>
                <w:rFonts w:cs="Times New Roman"/>
                <w:sz w:val="20"/>
                <w:szCs w:val="20"/>
              </w:rPr>
            </w:pPr>
          </w:p>
        </w:tc>
        <w:tc>
          <w:tcPr>
            <w:tcW w:w="1980" w:type="dxa"/>
          </w:tcPr>
          <w:p w:rsidR="0095096B" w:rsidRPr="002E2327" w:rsidRDefault="00ED4247" w:rsidP="0095096B">
            <w:pPr>
              <w:jc w:val="center"/>
              <w:rPr>
                <w:rFonts w:cs="Times New Roman"/>
                <w:sz w:val="20"/>
                <w:szCs w:val="20"/>
              </w:rPr>
            </w:pPr>
            <w:r>
              <w:rPr>
                <w:rFonts w:cs="Times New Roman"/>
                <w:sz w:val="20"/>
                <w:szCs w:val="20"/>
              </w:rPr>
              <w:t>959</w:t>
            </w:r>
            <w:r w:rsidR="000E27A5" w:rsidRPr="002E2327">
              <w:rPr>
                <w:rFonts w:cs="Times New Roman"/>
                <w:sz w:val="20"/>
                <w:szCs w:val="20"/>
              </w:rPr>
              <w:fldChar w:fldCharType="begin"/>
            </w:r>
            <w:r w:rsidR="0095096B" w:rsidRPr="002E2327">
              <w:rPr>
                <w:rFonts w:cs="Times New Roman"/>
                <w:sz w:val="20"/>
                <w:szCs w:val="20"/>
              </w:rPr>
              <w:instrText xml:space="preserve"> SEQ CHAPTER \h \r 1</w:instrText>
            </w:r>
            <w:r w:rsidR="000E27A5" w:rsidRPr="002E2327">
              <w:rPr>
                <w:rFonts w:cs="Times New Roman"/>
                <w:sz w:val="20"/>
                <w:szCs w:val="20"/>
              </w:rPr>
              <w:fldChar w:fldCharType="end"/>
            </w:r>
            <w:r w:rsidR="0095096B" w:rsidRPr="002E2327">
              <w:rPr>
                <w:rFonts w:cs="Times New Roman"/>
                <w:sz w:val="20"/>
                <w:szCs w:val="20"/>
              </w:rPr>
              <w:t>-</w:t>
            </w:r>
            <w:r w:rsidR="004C30CA">
              <w:rPr>
                <w:rFonts w:cs="Times New Roman"/>
                <w:sz w:val="20"/>
                <w:szCs w:val="20"/>
              </w:rPr>
              <w:t>961</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4C30CA" w:rsidP="0095096B">
            <w:pPr>
              <w:jc w:val="center"/>
              <w:rPr>
                <w:rFonts w:cs="Times New Roman"/>
                <w:sz w:val="20"/>
                <w:szCs w:val="20"/>
              </w:rPr>
            </w:pPr>
            <w:r>
              <w:rPr>
                <w:rFonts w:cs="Times New Roman"/>
                <w:sz w:val="20"/>
                <w:szCs w:val="20"/>
              </w:rPr>
              <w:t>962</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4C30CA" w:rsidP="0095096B">
            <w:pPr>
              <w:jc w:val="center"/>
              <w:rPr>
                <w:rFonts w:cs="Times New Roman"/>
                <w:sz w:val="20"/>
                <w:szCs w:val="20"/>
              </w:rPr>
            </w:pPr>
            <w:r>
              <w:rPr>
                <w:rFonts w:cs="Times New Roman"/>
                <w:sz w:val="20"/>
                <w:szCs w:val="20"/>
              </w:rPr>
              <w:t xml:space="preserve">963 </w:t>
            </w:r>
            <w:r w:rsidR="0095096B" w:rsidRPr="002E2327">
              <w:rPr>
                <w:rFonts w:cs="Times New Roman"/>
                <w:sz w:val="20"/>
                <w:szCs w:val="20"/>
              </w:rPr>
              <w:t>-</w:t>
            </w:r>
            <w:r>
              <w:rPr>
                <w:rFonts w:cs="Times New Roman"/>
                <w:sz w:val="20"/>
                <w:szCs w:val="20"/>
              </w:rPr>
              <w:t xml:space="preserve"> </w:t>
            </w:r>
            <w:r w:rsidR="00CD6904">
              <w:rPr>
                <w:rFonts w:cs="Times New Roman"/>
                <w:sz w:val="20"/>
                <w:szCs w:val="20"/>
              </w:rPr>
              <w:t>964</w:t>
            </w:r>
          </w:p>
          <w:p w:rsidR="0095096B" w:rsidRDefault="0095096B" w:rsidP="0095096B">
            <w:pPr>
              <w:jc w:val="center"/>
              <w:rPr>
                <w:rFonts w:cs="Times New Roman"/>
                <w:sz w:val="20"/>
                <w:szCs w:val="20"/>
              </w:rPr>
            </w:pPr>
          </w:p>
          <w:p w:rsidR="00331763" w:rsidRPr="002E2327" w:rsidRDefault="00331763" w:rsidP="0095096B">
            <w:pPr>
              <w:jc w:val="center"/>
              <w:rPr>
                <w:rFonts w:cs="Times New Roman"/>
                <w:sz w:val="20"/>
                <w:szCs w:val="20"/>
              </w:rPr>
            </w:pPr>
          </w:p>
          <w:p w:rsidR="0095096B" w:rsidRPr="002E2327" w:rsidRDefault="00CD6904" w:rsidP="0095096B">
            <w:pPr>
              <w:jc w:val="center"/>
              <w:rPr>
                <w:rFonts w:cs="Times New Roman"/>
                <w:sz w:val="20"/>
                <w:szCs w:val="20"/>
              </w:rPr>
            </w:pPr>
            <w:r>
              <w:rPr>
                <w:rFonts w:cs="Times New Roman"/>
                <w:sz w:val="20"/>
                <w:szCs w:val="20"/>
              </w:rPr>
              <w:t>965 990</w:t>
            </w:r>
            <w:r w:rsidR="0095096B" w:rsidRPr="002E2327">
              <w:rPr>
                <w:rFonts w:cs="Times New Roman"/>
                <w:sz w:val="20"/>
                <w:szCs w:val="20"/>
              </w:rPr>
              <w:t>-</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CD6904" w:rsidP="0095096B">
            <w:pPr>
              <w:jc w:val="center"/>
              <w:rPr>
                <w:rFonts w:cs="Times New Roman"/>
                <w:sz w:val="20"/>
                <w:szCs w:val="20"/>
              </w:rPr>
            </w:pPr>
            <w:r>
              <w:rPr>
                <w:rFonts w:cs="Times New Roman"/>
                <w:sz w:val="20"/>
                <w:szCs w:val="20"/>
              </w:rPr>
              <w:t>991</w:t>
            </w:r>
          </w:p>
          <w:p w:rsidR="00A87207" w:rsidRPr="002E2327" w:rsidRDefault="00A87207" w:rsidP="0095096B">
            <w:pPr>
              <w:tabs>
                <w:tab w:val="right" w:pos="9360"/>
              </w:tabs>
              <w:jc w:val="center"/>
              <w:rPr>
                <w:rFonts w:cs="Times New Roman"/>
                <w:sz w:val="20"/>
                <w:szCs w:val="20"/>
              </w:rPr>
            </w:pPr>
          </w:p>
          <w:p w:rsidR="00A87207" w:rsidRDefault="00A87207" w:rsidP="00F15EA8">
            <w:pPr>
              <w:tabs>
                <w:tab w:val="right" w:pos="9360"/>
              </w:tabs>
              <w:jc w:val="center"/>
              <w:rPr>
                <w:rFonts w:cs="Times New Roman"/>
                <w:sz w:val="20"/>
                <w:szCs w:val="20"/>
              </w:rPr>
            </w:pPr>
          </w:p>
          <w:p w:rsidR="00CD6904" w:rsidRPr="002E2327" w:rsidRDefault="00CD6904" w:rsidP="00F15EA8">
            <w:pPr>
              <w:tabs>
                <w:tab w:val="right" w:pos="9360"/>
              </w:tabs>
              <w:jc w:val="center"/>
              <w:rPr>
                <w:rFonts w:cs="Times New Roman"/>
                <w:sz w:val="20"/>
                <w:szCs w:val="20"/>
              </w:rPr>
            </w:pPr>
            <w:r>
              <w:rPr>
                <w:rFonts w:cs="Times New Roman"/>
                <w:sz w:val="20"/>
                <w:szCs w:val="20"/>
              </w:rPr>
              <w:t>992-1004</w:t>
            </w:r>
          </w:p>
        </w:tc>
        <w:tc>
          <w:tcPr>
            <w:tcW w:w="3888" w:type="dxa"/>
          </w:tcPr>
          <w:p w:rsidR="0095096B" w:rsidRPr="002E2327" w:rsidRDefault="000E27A5"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Demandes d</w:t>
            </w:r>
            <w:r w:rsidR="004137A0">
              <w:rPr>
                <w:rFonts w:cs="Times New Roman"/>
                <w:sz w:val="20"/>
                <w:szCs w:val="20"/>
                <w:lang w:val="fr-CA"/>
              </w:rPr>
              <w:t>’</w:t>
            </w:r>
            <w:r w:rsidR="0095096B" w:rsidRPr="002E2327">
              <w:rPr>
                <w:rFonts w:cs="Times New Roman"/>
                <w:sz w:val="20"/>
                <w:szCs w:val="20"/>
                <w:lang w:val="fr-CA"/>
              </w:rPr>
              <w:t>autorisation d</w:t>
            </w:r>
            <w:r w:rsidR="004137A0">
              <w:rPr>
                <w:rFonts w:cs="Times New Roman"/>
                <w:sz w:val="20"/>
                <w:szCs w:val="20"/>
                <w:lang w:val="fr-CA"/>
              </w:rPr>
              <w:t>’</w:t>
            </w:r>
            <w:r w:rsidR="0095096B" w:rsidRPr="002E2327">
              <w:rPr>
                <w:rFonts w:cs="Times New Roman"/>
                <w:sz w:val="20"/>
                <w:szCs w:val="20"/>
                <w:lang w:val="fr-CA"/>
              </w:rPr>
              <w:t xml:space="preserve">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Default="0095096B" w:rsidP="0095096B">
            <w:pPr>
              <w:rPr>
                <w:rFonts w:cs="Times New Roman"/>
                <w:sz w:val="20"/>
                <w:szCs w:val="20"/>
                <w:lang w:val="fr-CA"/>
              </w:rPr>
            </w:pPr>
          </w:p>
          <w:p w:rsidR="00CD6904" w:rsidRPr="002E2327" w:rsidRDefault="00CD6904" w:rsidP="00CD6904">
            <w:pPr>
              <w:rPr>
                <w:rFonts w:cs="Times New Roman"/>
                <w:sz w:val="20"/>
                <w:szCs w:val="20"/>
                <w:lang w:val="fr-CA"/>
              </w:rPr>
            </w:pPr>
            <w:r w:rsidRPr="002E2327">
              <w:rPr>
                <w:rFonts w:cs="Times New Roman"/>
                <w:sz w:val="20"/>
                <w:szCs w:val="20"/>
                <w:lang w:val="fr-CA"/>
              </w:rPr>
              <w:t>Audience sur les demandes d</w:t>
            </w:r>
            <w:r>
              <w:rPr>
                <w:rFonts w:cs="Times New Roman"/>
                <w:sz w:val="20"/>
                <w:szCs w:val="20"/>
                <w:lang w:val="fr-CA"/>
              </w:rPr>
              <w:t>’</w:t>
            </w:r>
            <w:r w:rsidRPr="002E2327">
              <w:rPr>
                <w:rFonts w:cs="Times New Roman"/>
                <w:sz w:val="20"/>
                <w:szCs w:val="20"/>
                <w:lang w:val="fr-CA"/>
              </w:rPr>
              <w:t>autorisation</w:t>
            </w:r>
          </w:p>
          <w:p w:rsidR="00CD6904" w:rsidRPr="002E2327" w:rsidRDefault="00CD6904"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4137A0" w:rsidP="0095096B">
            <w:pPr>
              <w:rPr>
                <w:rFonts w:cs="Times New Roman"/>
                <w:sz w:val="20"/>
                <w:szCs w:val="20"/>
                <w:lang w:val="fr-CA"/>
              </w:rPr>
            </w:pPr>
            <w:r>
              <w:rPr>
                <w:rFonts w:cs="Times New Roman"/>
                <w:sz w:val="20"/>
                <w:szCs w:val="20"/>
                <w:lang w:val="fr-CA"/>
              </w:rPr>
              <w:t>d’</w:t>
            </w:r>
            <w:r w:rsidR="0095096B" w:rsidRPr="002E2327">
              <w:rPr>
                <w:rFonts w:cs="Times New Roman"/>
                <w:sz w:val="20"/>
                <w:szCs w:val="20"/>
                <w:lang w:val="fr-CA"/>
              </w:rPr>
              <w:t>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95096B" w:rsidRPr="002E2327" w:rsidRDefault="0095096B" w:rsidP="0095096B">
            <w:pPr>
              <w:rPr>
                <w:rFonts w:cs="Times New Roman"/>
                <w:sz w:val="20"/>
                <w:szCs w:val="20"/>
                <w:lang w:val="fr-CA"/>
              </w:rPr>
            </w:pPr>
          </w:p>
          <w:p w:rsidR="00A87207" w:rsidRPr="002E2327" w:rsidRDefault="00A87207" w:rsidP="00331763">
            <w:pPr>
              <w:tabs>
                <w:tab w:val="right" w:pos="9360"/>
              </w:tabs>
              <w:rPr>
                <w:rFonts w:cs="Times New Roman"/>
                <w:sz w:val="20"/>
                <w:szCs w:val="20"/>
                <w:lang w:val="fr-CA"/>
              </w:rPr>
            </w:pPr>
          </w:p>
        </w:tc>
      </w:tr>
    </w:tbl>
    <w:p w:rsidR="0095096B" w:rsidRPr="002E2327" w:rsidRDefault="0095096B" w:rsidP="0095096B">
      <w:pPr>
        <w:tabs>
          <w:tab w:val="right" w:pos="9360"/>
        </w:tabs>
      </w:pPr>
    </w:p>
    <w:tbl>
      <w:tblPr>
        <w:tblStyle w:val="TableGrid"/>
        <w:tblW w:w="0" w:type="auto"/>
        <w:tblLook w:val="04A0" w:firstRow="1" w:lastRow="0" w:firstColumn="1" w:lastColumn="0" w:noHBand="0" w:noVBand="1"/>
      </w:tblPr>
      <w:tblGrid>
        <w:gridCol w:w="9576"/>
      </w:tblGrid>
      <w:tr w:rsidR="0079724F" w:rsidRPr="00ED4247"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Default="0095096B" w:rsidP="0095096B">
      <w:pPr>
        <w:tabs>
          <w:tab w:val="right" w:pos="9360"/>
        </w:tabs>
        <w:rPr>
          <w:lang w:val="fr-CA"/>
        </w:rPr>
      </w:pPr>
    </w:p>
    <w:p w:rsidR="00C01FCB" w:rsidRDefault="00C01FCB" w:rsidP="0095096B">
      <w:pPr>
        <w:tabs>
          <w:tab w:val="right" w:pos="9360"/>
        </w:tabs>
        <w:rPr>
          <w:lang w:val="fr-CA"/>
        </w:rPr>
      </w:pPr>
    </w:p>
    <w:p w:rsidR="00C01FCB" w:rsidRPr="00675479" w:rsidRDefault="00C01FC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ED6F3C" w:rsidTr="003B3977">
        <w:tc>
          <w:tcPr>
            <w:tcW w:w="4320" w:type="dxa"/>
            <w:shd w:val="clear" w:color="auto" w:fill="auto"/>
          </w:tcPr>
          <w:p w:rsidR="000A62B4" w:rsidRPr="001B7137" w:rsidRDefault="000A62B4" w:rsidP="005F1ED8">
            <w:pPr>
              <w:rPr>
                <w:b/>
                <w:sz w:val="20"/>
                <w:szCs w:val="20"/>
                <w:lang w:val="fr-CA"/>
              </w:rPr>
            </w:pPr>
            <w:proofErr w:type="spellStart"/>
            <w:r w:rsidRPr="001B7137">
              <w:rPr>
                <w:b/>
                <w:sz w:val="20"/>
                <w:szCs w:val="20"/>
                <w:lang w:val="fr-CA"/>
              </w:rPr>
              <w:t>Corneliu</w:t>
            </w:r>
            <w:proofErr w:type="spellEnd"/>
            <w:r w:rsidRPr="001B7137">
              <w:rPr>
                <w:b/>
                <w:sz w:val="20"/>
                <w:szCs w:val="20"/>
                <w:lang w:val="fr-CA"/>
              </w:rPr>
              <w:t xml:space="preserve"> </w:t>
            </w:r>
            <w:proofErr w:type="spellStart"/>
            <w:r w:rsidRPr="001B7137">
              <w:rPr>
                <w:b/>
                <w:sz w:val="20"/>
                <w:szCs w:val="20"/>
                <w:lang w:val="fr-CA"/>
              </w:rPr>
              <w:t>Prisecaru</w:t>
            </w:r>
            <w:proofErr w:type="spellEnd"/>
            <w:r w:rsidRPr="001B7137">
              <w:rPr>
                <w:b/>
                <w:sz w:val="20"/>
                <w:szCs w:val="20"/>
                <w:lang w:val="fr-CA"/>
              </w:rPr>
              <w:t xml:space="preserve"> et al.</w:t>
            </w:r>
          </w:p>
          <w:p w:rsidR="000A62B4" w:rsidRPr="001B7137" w:rsidRDefault="000A62B4" w:rsidP="005F1ED8">
            <w:pPr>
              <w:rPr>
                <w:sz w:val="20"/>
                <w:szCs w:val="20"/>
                <w:lang w:val="fr-CA"/>
              </w:rPr>
            </w:pPr>
            <w:r w:rsidRPr="001B7137">
              <w:rPr>
                <w:sz w:val="20"/>
                <w:szCs w:val="20"/>
                <w:lang w:val="fr-CA"/>
              </w:rPr>
              <w:tab/>
            </w:r>
            <w:proofErr w:type="spellStart"/>
            <w:r w:rsidRPr="001B7137">
              <w:rPr>
                <w:sz w:val="20"/>
                <w:szCs w:val="20"/>
                <w:lang w:val="fr-CA"/>
              </w:rPr>
              <w:t>Corneliu</w:t>
            </w:r>
            <w:proofErr w:type="spellEnd"/>
            <w:r w:rsidRPr="001B7137">
              <w:rPr>
                <w:sz w:val="20"/>
                <w:szCs w:val="20"/>
                <w:lang w:val="fr-CA"/>
              </w:rPr>
              <w:t xml:space="preserve"> </w:t>
            </w:r>
            <w:proofErr w:type="spellStart"/>
            <w:r w:rsidRPr="001B7137">
              <w:rPr>
                <w:sz w:val="20"/>
                <w:szCs w:val="20"/>
                <w:lang w:val="fr-CA"/>
              </w:rPr>
              <w:t>Prisecaru</w:t>
            </w:r>
            <w:proofErr w:type="spellEnd"/>
          </w:p>
          <w:p w:rsidR="000A62B4" w:rsidRPr="001B7137" w:rsidRDefault="000A62B4" w:rsidP="005F1ED8">
            <w:pPr>
              <w:rPr>
                <w:sz w:val="20"/>
                <w:szCs w:val="20"/>
                <w:lang w:val="fr-CA"/>
              </w:rPr>
            </w:pPr>
          </w:p>
          <w:p w:rsidR="000A62B4" w:rsidRPr="001B7137" w:rsidRDefault="000A62B4" w:rsidP="005F1ED8">
            <w:pPr>
              <w:rPr>
                <w:sz w:val="20"/>
                <w:szCs w:val="20"/>
                <w:lang w:val="fr-CA"/>
              </w:rPr>
            </w:pPr>
            <w:r w:rsidRPr="001B7137">
              <w:rPr>
                <w:sz w:val="20"/>
                <w:szCs w:val="20"/>
                <w:lang w:val="fr-CA"/>
              </w:rPr>
              <w:tab/>
              <w:t>v. (37591)</w:t>
            </w:r>
          </w:p>
          <w:p w:rsidR="000A62B4" w:rsidRPr="001B7137" w:rsidRDefault="000A62B4" w:rsidP="005F1ED8">
            <w:pPr>
              <w:rPr>
                <w:sz w:val="20"/>
                <w:szCs w:val="20"/>
                <w:lang w:val="fr-CA"/>
              </w:rPr>
            </w:pPr>
          </w:p>
          <w:p w:rsidR="000A62B4" w:rsidRPr="001B7137" w:rsidRDefault="000A62B4" w:rsidP="005F1ED8">
            <w:pPr>
              <w:rPr>
                <w:b/>
                <w:sz w:val="20"/>
                <w:szCs w:val="20"/>
                <w:lang w:val="fr-CA"/>
              </w:rPr>
            </w:pPr>
            <w:r w:rsidRPr="001B7137">
              <w:rPr>
                <w:b/>
                <w:sz w:val="20"/>
                <w:szCs w:val="20"/>
                <w:lang w:val="fr-CA"/>
              </w:rPr>
              <w:t xml:space="preserve">Intact </w:t>
            </w:r>
            <w:proofErr w:type="spellStart"/>
            <w:r w:rsidRPr="001B7137">
              <w:rPr>
                <w:b/>
                <w:sz w:val="20"/>
                <w:szCs w:val="20"/>
                <w:lang w:val="fr-CA"/>
              </w:rPr>
              <w:t>Insurance</w:t>
            </w:r>
            <w:proofErr w:type="spellEnd"/>
            <w:r w:rsidRPr="001B7137">
              <w:rPr>
                <w:b/>
                <w:sz w:val="20"/>
                <w:szCs w:val="20"/>
                <w:lang w:val="fr-CA"/>
              </w:rPr>
              <w:t xml:space="preserve"> (Ont.)</w:t>
            </w:r>
          </w:p>
          <w:p w:rsidR="000A62B4" w:rsidRPr="001B7137" w:rsidRDefault="000A62B4" w:rsidP="005F1ED8">
            <w:pPr>
              <w:rPr>
                <w:sz w:val="20"/>
                <w:szCs w:val="20"/>
                <w:lang w:val="fr-CA"/>
              </w:rPr>
            </w:pPr>
            <w:r w:rsidRPr="001B7137">
              <w:rPr>
                <w:sz w:val="20"/>
                <w:szCs w:val="20"/>
                <w:lang w:val="fr-CA"/>
              </w:rPr>
              <w:tab/>
              <w:t>Vanda A. Santini</w:t>
            </w:r>
          </w:p>
          <w:p w:rsidR="000A62B4" w:rsidRDefault="000A62B4" w:rsidP="005F1ED8">
            <w:pPr>
              <w:rPr>
                <w:sz w:val="20"/>
                <w:szCs w:val="20"/>
              </w:rPr>
            </w:pPr>
            <w:r w:rsidRPr="001B7137">
              <w:rPr>
                <w:sz w:val="20"/>
                <w:szCs w:val="20"/>
                <w:lang w:val="fr-CA"/>
              </w:rPr>
              <w:tab/>
            </w:r>
            <w:r>
              <w:rPr>
                <w:sz w:val="20"/>
                <w:szCs w:val="20"/>
              </w:rPr>
              <w:t xml:space="preserve">Agro </w:t>
            </w:r>
            <w:proofErr w:type="spellStart"/>
            <w:r>
              <w:rPr>
                <w:sz w:val="20"/>
                <w:szCs w:val="20"/>
              </w:rPr>
              <w:t>Zaffro</w:t>
            </w:r>
            <w:proofErr w:type="spellEnd"/>
            <w:r>
              <w:rPr>
                <w:sz w:val="20"/>
                <w:szCs w:val="20"/>
              </w:rPr>
              <w:t xml:space="preserve"> LLP</w:t>
            </w:r>
          </w:p>
          <w:p w:rsidR="000A62B4" w:rsidRDefault="000A62B4" w:rsidP="005F1ED8">
            <w:pPr>
              <w:rPr>
                <w:sz w:val="20"/>
                <w:szCs w:val="20"/>
              </w:rPr>
            </w:pPr>
          </w:p>
          <w:p w:rsidR="000A62B4" w:rsidRDefault="000A62B4" w:rsidP="005F1ED8">
            <w:pPr>
              <w:rPr>
                <w:b/>
                <w:sz w:val="20"/>
                <w:szCs w:val="20"/>
              </w:rPr>
            </w:pPr>
            <w:r>
              <w:rPr>
                <w:sz w:val="20"/>
                <w:szCs w:val="20"/>
              </w:rPr>
              <w:t>FILING DATE: 09.05.2017</w:t>
            </w:r>
          </w:p>
          <w:p w:rsidR="00C21644" w:rsidRDefault="00ED4247" w:rsidP="005F1ED8">
            <w:pPr>
              <w:rPr>
                <w:sz w:val="20"/>
                <w:szCs w:val="20"/>
                <w:lang w:val="fr-CA"/>
              </w:rPr>
            </w:pPr>
            <w:r>
              <w:rPr>
                <w:sz w:val="20"/>
                <w:szCs w:val="20"/>
                <w:lang w:val="fr-CA"/>
              </w:rPr>
              <w:pict>
                <v:rect id="_x0000_i1025" style="width:108pt;height:1pt" o:hrpct="0" o:hralign="center" o:hrstd="t" o:hrnoshade="t" o:hr="t" fillcolor="black [3213]" stroked="f"/>
              </w:pict>
            </w:r>
          </w:p>
          <w:p w:rsidR="000A62B4" w:rsidRPr="00A935AA" w:rsidRDefault="000A62B4" w:rsidP="005F1ED8">
            <w:pPr>
              <w:rPr>
                <w:sz w:val="20"/>
                <w:szCs w:val="20"/>
              </w:rPr>
            </w:pPr>
          </w:p>
        </w:tc>
        <w:tc>
          <w:tcPr>
            <w:tcW w:w="1181" w:type="dxa"/>
            <w:shd w:val="clear" w:color="auto" w:fill="auto"/>
          </w:tcPr>
          <w:p w:rsidR="00C21644" w:rsidRPr="00A935AA" w:rsidRDefault="00C21644" w:rsidP="00242AEE">
            <w:pPr>
              <w:jc w:val="center"/>
              <w:rPr>
                <w:sz w:val="20"/>
                <w:szCs w:val="20"/>
              </w:rPr>
            </w:pPr>
          </w:p>
        </w:tc>
        <w:tc>
          <w:tcPr>
            <w:tcW w:w="4320" w:type="dxa"/>
            <w:shd w:val="clear" w:color="auto" w:fill="auto"/>
          </w:tcPr>
          <w:p w:rsidR="00C21644" w:rsidRDefault="006F1436" w:rsidP="000A62B4">
            <w:pPr>
              <w:rPr>
                <w:b/>
                <w:sz w:val="20"/>
                <w:szCs w:val="20"/>
                <w:lang w:val="fr-CA"/>
              </w:rPr>
            </w:pPr>
            <w:r>
              <w:rPr>
                <w:b/>
                <w:sz w:val="20"/>
                <w:szCs w:val="20"/>
                <w:lang w:val="fr-CA"/>
              </w:rPr>
              <w:t>Succession de feu Jean Bigras</w:t>
            </w:r>
          </w:p>
          <w:p w:rsidR="006F1436" w:rsidRDefault="006F1436" w:rsidP="000A62B4">
            <w:pPr>
              <w:rPr>
                <w:sz w:val="20"/>
                <w:szCs w:val="20"/>
                <w:lang w:val="fr-CA"/>
              </w:rPr>
            </w:pPr>
            <w:r>
              <w:rPr>
                <w:b/>
                <w:sz w:val="20"/>
                <w:szCs w:val="20"/>
                <w:lang w:val="fr-CA"/>
              </w:rPr>
              <w:tab/>
            </w:r>
            <w:r>
              <w:rPr>
                <w:sz w:val="20"/>
                <w:szCs w:val="20"/>
                <w:lang w:val="fr-CA"/>
              </w:rPr>
              <w:t>Jacques Guernon</w:t>
            </w:r>
          </w:p>
          <w:p w:rsidR="006F1436" w:rsidRDefault="006F1436" w:rsidP="000A62B4">
            <w:pPr>
              <w:rPr>
                <w:sz w:val="20"/>
                <w:szCs w:val="20"/>
                <w:lang w:val="fr-CA"/>
              </w:rPr>
            </w:pPr>
            <w:r>
              <w:rPr>
                <w:sz w:val="20"/>
                <w:szCs w:val="20"/>
                <w:lang w:val="fr-CA"/>
              </w:rPr>
              <w:tab/>
              <w:t>Guernon Avocats S.A.</w:t>
            </w:r>
          </w:p>
          <w:p w:rsidR="006F1436" w:rsidRDefault="006F1436" w:rsidP="000A62B4">
            <w:pPr>
              <w:rPr>
                <w:sz w:val="20"/>
                <w:szCs w:val="20"/>
                <w:lang w:val="fr-CA"/>
              </w:rPr>
            </w:pPr>
          </w:p>
          <w:p w:rsidR="006F1436" w:rsidRDefault="006F1436" w:rsidP="000A62B4">
            <w:pPr>
              <w:rPr>
                <w:sz w:val="20"/>
                <w:szCs w:val="20"/>
                <w:lang w:val="fr-CA"/>
              </w:rPr>
            </w:pPr>
            <w:r>
              <w:rPr>
                <w:sz w:val="20"/>
                <w:szCs w:val="20"/>
                <w:lang w:val="fr-CA"/>
              </w:rPr>
              <w:tab/>
              <w:t>c. (</w:t>
            </w:r>
            <w:r w:rsidR="00ED6F3C">
              <w:rPr>
                <w:sz w:val="20"/>
                <w:szCs w:val="20"/>
                <w:lang w:val="fr-CA"/>
              </w:rPr>
              <w:t>37597)</w:t>
            </w:r>
          </w:p>
          <w:p w:rsidR="00ED6F3C" w:rsidRDefault="00ED6F3C" w:rsidP="000A62B4">
            <w:pPr>
              <w:rPr>
                <w:sz w:val="20"/>
                <w:szCs w:val="20"/>
                <w:lang w:val="fr-CA"/>
              </w:rPr>
            </w:pPr>
          </w:p>
          <w:p w:rsidR="00ED6F3C" w:rsidRDefault="00ED6F3C" w:rsidP="000A62B4">
            <w:pPr>
              <w:rPr>
                <w:b/>
                <w:sz w:val="20"/>
                <w:szCs w:val="20"/>
                <w:lang w:val="fr-CA"/>
              </w:rPr>
            </w:pPr>
            <w:r>
              <w:rPr>
                <w:b/>
                <w:sz w:val="20"/>
                <w:szCs w:val="20"/>
                <w:lang w:val="fr-CA"/>
              </w:rPr>
              <w:t>Investissements Monit inc. (Qc)</w:t>
            </w:r>
          </w:p>
          <w:p w:rsidR="00ED6F3C" w:rsidRPr="001B7137" w:rsidRDefault="00ED6F3C" w:rsidP="000A62B4">
            <w:pPr>
              <w:rPr>
                <w:sz w:val="20"/>
                <w:szCs w:val="20"/>
                <w:lang w:val="fr-CA"/>
              </w:rPr>
            </w:pPr>
            <w:r>
              <w:rPr>
                <w:sz w:val="20"/>
                <w:szCs w:val="20"/>
                <w:lang w:val="fr-CA"/>
              </w:rPr>
              <w:tab/>
            </w:r>
            <w:r w:rsidRPr="001B7137">
              <w:rPr>
                <w:sz w:val="20"/>
                <w:szCs w:val="20"/>
                <w:lang w:val="fr-CA"/>
              </w:rPr>
              <w:t>Matthew Liben</w:t>
            </w:r>
          </w:p>
          <w:p w:rsidR="00ED6F3C" w:rsidRPr="001B7137" w:rsidRDefault="00ED6F3C" w:rsidP="000A62B4">
            <w:pPr>
              <w:rPr>
                <w:sz w:val="20"/>
                <w:szCs w:val="20"/>
                <w:lang w:val="fr-CA"/>
              </w:rPr>
            </w:pPr>
            <w:r w:rsidRPr="001B7137">
              <w:rPr>
                <w:sz w:val="20"/>
                <w:szCs w:val="20"/>
                <w:lang w:val="fr-CA"/>
              </w:rPr>
              <w:tab/>
              <w:t xml:space="preserve">Stikeman Elliott </w:t>
            </w:r>
            <w:r w:rsidR="00357E14">
              <w:rPr>
                <w:sz w:val="20"/>
                <w:szCs w:val="20"/>
                <w:lang w:val="fr-CA"/>
              </w:rPr>
              <w:t>s.e.n.c.r.l</w:t>
            </w:r>
            <w:r w:rsidRPr="001B7137">
              <w:rPr>
                <w:sz w:val="20"/>
                <w:szCs w:val="20"/>
                <w:lang w:val="fr-CA"/>
              </w:rPr>
              <w:t>.</w:t>
            </w:r>
            <w:r w:rsidR="00357E14">
              <w:rPr>
                <w:sz w:val="20"/>
                <w:szCs w:val="20"/>
                <w:lang w:val="fr-CA"/>
              </w:rPr>
              <w:t>,</w:t>
            </w:r>
            <w:r w:rsidRPr="001B7137">
              <w:rPr>
                <w:sz w:val="20"/>
                <w:szCs w:val="20"/>
                <w:lang w:val="fr-CA"/>
              </w:rPr>
              <w:t xml:space="preserve"> s.r.l.</w:t>
            </w:r>
          </w:p>
          <w:p w:rsidR="00ED6F3C" w:rsidRPr="001B7137" w:rsidRDefault="00ED6F3C" w:rsidP="000A62B4">
            <w:pPr>
              <w:rPr>
                <w:sz w:val="20"/>
                <w:szCs w:val="20"/>
                <w:lang w:val="fr-CA"/>
              </w:rPr>
            </w:pPr>
          </w:p>
          <w:p w:rsidR="00ED6F3C" w:rsidRDefault="00ED6F3C" w:rsidP="000A62B4">
            <w:pPr>
              <w:rPr>
                <w:sz w:val="20"/>
                <w:szCs w:val="20"/>
                <w:lang w:val="fr-CA"/>
              </w:rPr>
            </w:pPr>
            <w:r>
              <w:rPr>
                <w:sz w:val="20"/>
                <w:szCs w:val="20"/>
                <w:lang w:val="fr-CA"/>
              </w:rPr>
              <w:t>DATE DE PRODUCTION : 29.05.2017</w:t>
            </w:r>
          </w:p>
          <w:p w:rsidR="00ED6F3C" w:rsidRDefault="00ED4247" w:rsidP="000A62B4">
            <w:pPr>
              <w:rPr>
                <w:sz w:val="20"/>
                <w:szCs w:val="20"/>
                <w:lang w:val="fr-CA"/>
              </w:rPr>
            </w:pPr>
            <w:r>
              <w:rPr>
                <w:sz w:val="20"/>
                <w:szCs w:val="20"/>
                <w:lang w:val="fr-CA"/>
              </w:rPr>
              <w:pict>
                <v:rect id="_x0000_i1026" style="width:108pt;height:1pt" o:hrpct="0" o:hralign="center" o:hrstd="t" o:hrnoshade="t" o:hr="t" fillcolor="black [3213]" stroked="f"/>
              </w:pict>
            </w:r>
          </w:p>
          <w:p w:rsidR="00ED6F3C" w:rsidRPr="00ED6F3C" w:rsidRDefault="00ED6F3C" w:rsidP="000A62B4">
            <w:pPr>
              <w:rPr>
                <w:sz w:val="20"/>
                <w:szCs w:val="20"/>
                <w:lang w:val="fr-CA"/>
              </w:rPr>
            </w:pPr>
          </w:p>
        </w:tc>
      </w:tr>
      <w:tr w:rsidR="00C21644" w:rsidRPr="00ED6F3C" w:rsidTr="003B3977">
        <w:tc>
          <w:tcPr>
            <w:tcW w:w="4320" w:type="dxa"/>
            <w:shd w:val="clear" w:color="auto" w:fill="auto"/>
          </w:tcPr>
          <w:p w:rsidR="00C21644" w:rsidRPr="001B7137" w:rsidRDefault="00ED6F3C" w:rsidP="003B3977">
            <w:pPr>
              <w:rPr>
                <w:b/>
                <w:sz w:val="20"/>
                <w:szCs w:val="20"/>
                <w:lang w:val="en-US"/>
              </w:rPr>
            </w:pPr>
            <w:r w:rsidRPr="001B7137">
              <w:rPr>
                <w:b/>
                <w:sz w:val="20"/>
                <w:szCs w:val="20"/>
                <w:lang w:val="en-US"/>
              </w:rPr>
              <w:t>Tahar Amrane</w:t>
            </w:r>
          </w:p>
          <w:p w:rsidR="00ED6F3C" w:rsidRPr="001B7137" w:rsidRDefault="00ED6F3C" w:rsidP="003B3977">
            <w:pPr>
              <w:rPr>
                <w:sz w:val="20"/>
                <w:szCs w:val="20"/>
                <w:lang w:val="en-US"/>
              </w:rPr>
            </w:pPr>
            <w:r w:rsidRPr="001B7137">
              <w:rPr>
                <w:b/>
                <w:sz w:val="20"/>
                <w:szCs w:val="20"/>
                <w:lang w:val="en-US"/>
              </w:rPr>
              <w:tab/>
            </w:r>
            <w:r w:rsidRPr="001B7137">
              <w:rPr>
                <w:sz w:val="20"/>
                <w:szCs w:val="20"/>
                <w:lang w:val="en-US"/>
              </w:rPr>
              <w:t>Tahar Amrane</w:t>
            </w:r>
          </w:p>
          <w:p w:rsidR="00ED6F3C" w:rsidRPr="001B7137" w:rsidRDefault="00ED6F3C" w:rsidP="003B3977">
            <w:pPr>
              <w:rPr>
                <w:sz w:val="20"/>
                <w:szCs w:val="20"/>
                <w:lang w:val="en-US"/>
              </w:rPr>
            </w:pPr>
          </w:p>
          <w:p w:rsidR="00ED6F3C" w:rsidRPr="001B7137" w:rsidRDefault="00ED6F3C" w:rsidP="003B3977">
            <w:pPr>
              <w:rPr>
                <w:sz w:val="20"/>
                <w:szCs w:val="20"/>
                <w:lang w:val="en-US"/>
              </w:rPr>
            </w:pPr>
            <w:r w:rsidRPr="001B7137">
              <w:rPr>
                <w:sz w:val="20"/>
                <w:szCs w:val="20"/>
                <w:lang w:val="en-US"/>
              </w:rPr>
              <w:tab/>
            </w:r>
            <w:r w:rsidR="00357E14">
              <w:rPr>
                <w:sz w:val="20"/>
                <w:szCs w:val="20"/>
                <w:lang w:val="en-US"/>
              </w:rPr>
              <w:t>c</w:t>
            </w:r>
            <w:r w:rsidRPr="001B7137">
              <w:rPr>
                <w:sz w:val="20"/>
                <w:szCs w:val="20"/>
                <w:lang w:val="en-US"/>
              </w:rPr>
              <w:t>. (37599)</w:t>
            </w:r>
          </w:p>
          <w:p w:rsidR="00ED6F3C" w:rsidRPr="001B7137" w:rsidRDefault="00ED6F3C" w:rsidP="003B3977">
            <w:pPr>
              <w:rPr>
                <w:sz w:val="20"/>
                <w:szCs w:val="20"/>
                <w:lang w:val="en-US"/>
              </w:rPr>
            </w:pPr>
          </w:p>
          <w:p w:rsidR="00ED6F3C" w:rsidRPr="001B7137" w:rsidRDefault="00ED6F3C" w:rsidP="003B3977">
            <w:pPr>
              <w:rPr>
                <w:b/>
                <w:sz w:val="20"/>
                <w:szCs w:val="20"/>
                <w:lang w:val="en-US"/>
              </w:rPr>
            </w:pPr>
            <w:r w:rsidRPr="001B7137">
              <w:rPr>
                <w:b/>
                <w:sz w:val="20"/>
                <w:szCs w:val="20"/>
                <w:lang w:val="en-US"/>
              </w:rPr>
              <w:t>York University (Ont.)</w:t>
            </w:r>
          </w:p>
          <w:p w:rsidR="00ED6F3C" w:rsidRPr="001B7137" w:rsidRDefault="00ED6F3C" w:rsidP="003B3977">
            <w:pPr>
              <w:rPr>
                <w:sz w:val="20"/>
                <w:szCs w:val="20"/>
                <w:lang w:val="en-US"/>
              </w:rPr>
            </w:pPr>
            <w:r w:rsidRPr="001B7137">
              <w:rPr>
                <w:sz w:val="20"/>
                <w:szCs w:val="20"/>
                <w:lang w:val="en-US"/>
              </w:rPr>
              <w:tab/>
              <w:t>Alexander D. Pettingill</w:t>
            </w:r>
          </w:p>
          <w:p w:rsidR="00ED6F3C" w:rsidRPr="001B7137" w:rsidRDefault="00ED6F3C" w:rsidP="003B3977">
            <w:pPr>
              <w:rPr>
                <w:sz w:val="20"/>
                <w:szCs w:val="20"/>
                <w:lang w:val="en-US"/>
              </w:rPr>
            </w:pPr>
            <w:r w:rsidRPr="001B7137">
              <w:rPr>
                <w:sz w:val="20"/>
                <w:szCs w:val="20"/>
                <w:lang w:val="en-US"/>
              </w:rPr>
              <w:tab/>
              <w:t>Thomas Gold Pentingill LLP</w:t>
            </w:r>
          </w:p>
          <w:p w:rsidR="00ED6F3C" w:rsidRPr="001B7137" w:rsidRDefault="00ED6F3C" w:rsidP="003B3977">
            <w:pPr>
              <w:rPr>
                <w:sz w:val="20"/>
                <w:szCs w:val="20"/>
                <w:lang w:val="en-US"/>
              </w:rPr>
            </w:pPr>
          </w:p>
          <w:p w:rsidR="00ED6F3C" w:rsidRPr="001B7137" w:rsidRDefault="00357E14" w:rsidP="003B3977">
            <w:pPr>
              <w:rPr>
                <w:sz w:val="20"/>
                <w:szCs w:val="20"/>
                <w:lang w:val="en-US"/>
              </w:rPr>
            </w:pPr>
            <w:r>
              <w:rPr>
                <w:sz w:val="20"/>
                <w:szCs w:val="20"/>
                <w:lang w:val="en-US"/>
              </w:rPr>
              <w:t>DATE DE PRODUCTION</w:t>
            </w:r>
            <w:r w:rsidR="00ED6F3C" w:rsidRPr="001B7137">
              <w:rPr>
                <w:sz w:val="20"/>
                <w:szCs w:val="20"/>
                <w:lang w:val="en-US"/>
              </w:rPr>
              <w:t> : 29.05.2017</w:t>
            </w:r>
          </w:p>
          <w:p w:rsidR="00ED6F3C" w:rsidRDefault="00ED4247" w:rsidP="003B3977">
            <w:pPr>
              <w:rPr>
                <w:sz w:val="20"/>
                <w:szCs w:val="20"/>
                <w:lang w:val="fr-CA"/>
              </w:rPr>
            </w:pPr>
            <w:r>
              <w:rPr>
                <w:sz w:val="20"/>
                <w:szCs w:val="20"/>
                <w:lang w:val="fr-CA"/>
              </w:rPr>
              <w:pict>
                <v:rect id="_x0000_i1027" style="width:108pt;height:1pt" o:hrpct="0" o:hralign="center" o:hrstd="t" o:hrnoshade="t" o:hr="t" fillcolor="black [3213]" stroked="f"/>
              </w:pict>
            </w:r>
          </w:p>
          <w:p w:rsidR="00ED6F3C" w:rsidRPr="00ED6F3C" w:rsidRDefault="00ED6F3C" w:rsidP="003B3977">
            <w:pPr>
              <w:rPr>
                <w:sz w:val="20"/>
                <w:szCs w:val="20"/>
                <w:lang w:val="fr-CA"/>
              </w:rPr>
            </w:pPr>
          </w:p>
        </w:tc>
        <w:tc>
          <w:tcPr>
            <w:tcW w:w="1181" w:type="dxa"/>
            <w:shd w:val="clear" w:color="auto" w:fill="auto"/>
          </w:tcPr>
          <w:p w:rsidR="00C21644" w:rsidRPr="00ED6F3C" w:rsidRDefault="00C21644" w:rsidP="00242AEE">
            <w:pPr>
              <w:jc w:val="center"/>
              <w:rPr>
                <w:sz w:val="20"/>
                <w:szCs w:val="20"/>
                <w:lang w:val="fr-CA"/>
              </w:rPr>
            </w:pPr>
          </w:p>
        </w:tc>
        <w:tc>
          <w:tcPr>
            <w:tcW w:w="4320" w:type="dxa"/>
            <w:shd w:val="clear" w:color="auto" w:fill="auto"/>
          </w:tcPr>
          <w:p w:rsidR="00C21644" w:rsidRPr="001B7137" w:rsidRDefault="00ED6F3C" w:rsidP="000A62B4">
            <w:pPr>
              <w:rPr>
                <w:b/>
                <w:sz w:val="20"/>
                <w:szCs w:val="20"/>
                <w:lang w:val="en-US"/>
              </w:rPr>
            </w:pPr>
            <w:r w:rsidRPr="001B7137">
              <w:rPr>
                <w:b/>
                <w:sz w:val="20"/>
                <w:szCs w:val="20"/>
                <w:lang w:val="en-US"/>
              </w:rPr>
              <w:t>Brent Chapman</w:t>
            </w:r>
          </w:p>
          <w:p w:rsidR="00ED6F3C" w:rsidRPr="001B7137" w:rsidRDefault="00ED6F3C" w:rsidP="000A62B4">
            <w:pPr>
              <w:rPr>
                <w:sz w:val="20"/>
                <w:szCs w:val="20"/>
                <w:lang w:val="en-US"/>
              </w:rPr>
            </w:pPr>
            <w:r w:rsidRPr="001B7137">
              <w:rPr>
                <w:b/>
                <w:sz w:val="20"/>
                <w:szCs w:val="20"/>
                <w:lang w:val="en-US"/>
              </w:rPr>
              <w:tab/>
            </w:r>
            <w:r w:rsidRPr="001B7137">
              <w:rPr>
                <w:sz w:val="20"/>
                <w:szCs w:val="20"/>
                <w:lang w:val="en-US"/>
              </w:rPr>
              <w:t>Martin Sheard</w:t>
            </w:r>
          </w:p>
          <w:p w:rsidR="00ED6F3C" w:rsidRPr="001B7137" w:rsidRDefault="00ED6F3C" w:rsidP="000A62B4">
            <w:pPr>
              <w:rPr>
                <w:sz w:val="20"/>
                <w:szCs w:val="20"/>
                <w:lang w:val="en-US"/>
              </w:rPr>
            </w:pPr>
            <w:r w:rsidRPr="001B7137">
              <w:rPr>
                <w:sz w:val="20"/>
                <w:szCs w:val="20"/>
                <w:lang w:val="en-US"/>
              </w:rPr>
              <w:tab/>
              <w:t>Tevlin, Gleadle Curtis</w:t>
            </w:r>
          </w:p>
          <w:p w:rsidR="00ED6F3C" w:rsidRPr="001B7137" w:rsidRDefault="00ED6F3C" w:rsidP="000A62B4">
            <w:pPr>
              <w:rPr>
                <w:sz w:val="20"/>
                <w:szCs w:val="20"/>
                <w:lang w:val="en-US"/>
              </w:rPr>
            </w:pPr>
          </w:p>
          <w:p w:rsidR="00ED6F3C" w:rsidRPr="001B7137" w:rsidRDefault="00ED6F3C" w:rsidP="000A62B4">
            <w:pPr>
              <w:rPr>
                <w:sz w:val="20"/>
                <w:szCs w:val="20"/>
                <w:lang w:val="en-US"/>
              </w:rPr>
            </w:pPr>
            <w:r w:rsidRPr="001B7137">
              <w:rPr>
                <w:sz w:val="20"/>
                <w:szCs w:val="20"/>
                <w:lang w:val="en-US"/>
              </w:rPr>
              <w:tab/>
              <w:t>v. (37592)</w:t>
            </w:r>
          </w:p>
          <w:p w:rsidR="00ED6F3C" w:rsidRPr="001B7137" w:rsidRDefault="00ED6F3C" w:rsidP="000A62B4">
            <w:pPr>
              <w:rPr>
                <w:sz w:val="20"/>
                <w:szCs w:val="20"/>
                <w:lang w:val="en-US"/>
              </w:rPr>
            </w:pPr>
          </w:p>
          <w:p w:rsidR="00ED6F3C" w:rsidRPr="00ED6F3C" w:rsidRDefault="00ED6F3C" w:rsidP="000A62B4">
            <w:pPr>
              <w:rPr>
                <w:b/>
                <w:sz w:val="20"/>
                <w:szCs w:val="20"/>
                <w:lang w:val="en-US"/>
              </w:rPr>
            </w:pPr>
            <w:r w:rsidRPr="00ED6F3C">
              <w:rPr>
                <w:b/>
                <w:sz w:val="20"/>
                <w:szCs w:val="20"/>
                <w:lang w:val="en-US"/>
              </w:rPr>
              <w:t>G</w:t>
            </w:r>
            <w:r w:rsidR="00357E14">
              <w:rPr>
                <w:b/>
                <w:sz w:val="20"/>
                <w:szCs w:val="20"/>
                <w:lang w:val="en-US"/>
              </w:rPr>
              <w:t>P</w:t>
            </w:r>
            <w:r w:rsidRPr="00ED6F3C">
              <w:rPr>
                <w:b/>
                <w:sz w:val="20"/>
                <w:szCs w:val="20"/>
                <w:lang w:val="en-US"/>
              </w:rPr>
              <w:t>M Investment Management and Integrated Asset Managment Corporation (Ont.)</w:t>
            </w:r>
          </w:p>
          <w:p w:rsidR="00ED6F3C" w:rsidRDefault="00ED6F3C" w:rsidP="000A62B4">
            <w:pPr>
              <w:rPr>
                <w:sz w:val="20"/>
                <w:szCs w:val="20"/>
                <w:lang w:val="en-US"/>
              </w:rPr>
            </w:pPr>
            <w:r>
              <w:rPr>
                <w:sz w:val="20"/>
                <w:szCs w:val="20"/>
                <w:lang w:val="en-US"/>
              </w:rPr>
              <w:tab/>
              <w:t>Christopher J. Cosgriffe</w:t>
            </w:r>
          </w:p>
          <w:p w:rsidR="00ED6F3C" w:rsidRDefault="00ED6F3C" w:rsidP="000A62B4">
            <w:pPr>
              <w:rPr>
                <w:sz w:val="20"/>
                <w:szCs w:val="20"/>
                <w:lang w:val="en-US"/>
              </w:rPr>
            </w:pPr>
            <w:r>
              <w:rPr>
                <w:sz w:val="20"/>
                <w:szCs w:val="20"/>
                <w:lang w:val="en-US"/>
              </w:rPr>
              <w:tab/>
              <w:t xml:space="preserve">Woolgar VanWiechen Cosgriffe Ducoffe </w:t>
            </w:r>
            <w:r>
              <w:rPr>
                <w:sz w:val="20"/>
                <w:szCs w:val="20"/>
                <w:lang w:val="en-US"/>
              </w:rPr>
              <w:tab/>
              <w:t>LLP</w:t>
            </w:r>
          </w:p>
          <w:p w:rsidR="00ED6F3C" w:rsidRDefault="00ED6F3C" w:rsidP="000A62B4">
            <w:pPr>
              <w:rPr>
                <w:sz w:val="20"/>
                <w:szCs w:val="20"/>
                <w:lang w:val="en-US"/>
              </w:rPr>
            </w:pPr>
          </w:p>
          <w:p w:rsidR="00ED6F3C" w:rsidRDefault="00ED6F3C" w:rsidP="000A62B4">
            <w:pPr>
              <w:rPr>
                <w:sz w:val="20"/>
                <w:szCs w:val="20"/>
                <w:lang w:val="en-US"/>
              </w:rPr>
            </w:pPr>
            <w:r>
              <w:rPr>
                <w:sz w:val="20"/>
                <w:szCs w:val="20"/>
                <w:lang w:val="en-US"/>
              </w:rPr>
              <w:t>FILING DATE: 02.06.2017</w:t>
            </w:r>
          </w:p>
          <w:p w:rsidR="00ED6F3C" w:rsidRDefault="00ED4247" w:rsidP="000A62B4">
            <w:pPr>
              <w:rPr>
                <w:sz w:val="20"/>
                <w:szCs w:val="20"/>
                <w:lang w:val="fr-CA"/>
              </w:rPr>
            </w:pPr>
            <w:r>
              <w:rPr>
                <w:sz w:val="20"/>
                <w:szCs w:val="20"/>
                <w:lang w:val="fr-CA"/>
              </w:rPr>
              <w:pict>
                <v:rect id="_x0000_i1028" style="width:108pt;height:1pt" o:hrpct="0" o:hralign="center" o:hrstd="t" o:hrnoshade="t" o:hr="t" fillcolor="black [3213]" stroked="f"/>
              </w:pict>
            </w:r>
          </w:p>
          <w:p w:rsidR="00ED6F3C" w:rsidRPr="00ED6F3C" w:rsidRDefault="00ED6F3C" w:rsidP="000A62B4">
            <w:pPr>
              <w:rPr>
                <w:sz w:val="20"/>
                <w:szCs w:val="20"/>
                <w:lang w:val="en-US"/>
              </w:rPr>
            </w:pPr>
          </w:p>
        </w:tc>
      </w:tr>
      <w:tr w:rsidR="00C21644" w:rsidRPr="00ED6F3C" w:rsidTr="003B3977">
        <w:tc>
          <w:tcPr>
            <w:tcW w:w="4320" w:type="dxa"/>
            <w:shd w:val="clear" w:color="auto" w:fill="auto"/>
          </w:tcPr>
          <w:p w:rsidR="00C21644" w:rsidRDefault="00566E98" w:rsidP="005F1ED8">
            <w:pPr>
              <w:rPr>
                <w:b/>
                <w:sz w:val="20"/>
                <w:szCs w:val="20"/>
                <w:lang w:val="en-US"/>
              </w:rPr>
            </w:pPr>
            <w:r>
              <w:rPr>
                <w:b/>
                <w:sz w:val="20"/>
                <w:szCs w:val="20"/>
                <w:lang w:val="en-US"/>
              </w:rPr>
              <w:t>Apotex Inc.</w:t>
            </w:r>
          </w:p>
          <w:p w:rsidR="00566E98" w:rsidRDefault="00566E98" w:rsidP="005F1ED8">
            <w:pPr>
              <w:rPr>
                <w:sz w:val="20"/>
                <w:szCs w:val="20"/>
                <w:lang w:val="en-US"/>
              </w:rPr>
            </w:pPr>
            <w:r>
              <w:rPr>
                <w:b/>
                <w:sz w:val="20"/>
                <w:szCs w:val="20"/>
                <w:lang w:val="en-US"/>
              </w:rPr>
              <w:tab/>
            </w:r>
            <w:r>
              <w:rPr>
                <w:sz w:val="20"/>
                <w:szCs w:val="20"/>
                <w:lang w:val="en-US"/>
              </w:rPr>
              <w:t>Harry B. Radomski</w:t>
            </w:r>
          </w:p>
          <w:p w:rsidR="00566E98" w:rsidRDefault="00566E98" w:rsidP="005F1ED8">
            <w:pPr>
              <w:rPr>
                <w:sz w:val="20"/>
                <w:szCs w:val="20"/>
                <w:lang w:val="en-US"/>
              </w:rPr>
            </w:pPr>
            <w:r>
              <w:rPr>
                <w:sz w:val="20"/>
                <w:szCs w:val="20"/>
                <w:lang w:val="en-US"/>
              </w:rPr>
              <w:tab/>
              <w:t>Goodmans LLP</w:t>
            </w:r>
          </w:p>
          <w:p w:rsidR="00566E98" w:rsidRDefault="00566E98" w:rsidP="005F1ED8">
            <w:pPr>
              <w:rPr>
                <w:sz w:val="20"/>
                <w:szCs w:val="20"/>
                <w:lang w:val="en-US"/>
              </w:rPr>
            </w:pPr>
          </w:p>
          <w:p w:rsidR="00566E98" w:rsidRDefault="00566E98" w:rsidP="005F1ED8">
            <w:pPr>
              <w:rPr>
                <w:sz w:val="20"/>
                <w:szCs w:val="20"/>
                <w:lang w:val="en-US"/>
              </w:rPr>
            </w:pPr>
            <w:r>
              <w:rPr>
                <w:sz w:val="20"/>
                <w:szCs w:val="20"/>
                <w:lang w:val="en-US"/>
              </w:rPr>
              <w:tab/>
              <w:t>v. (37593)</w:t>
            </w:r>
          </w:p>
          <w:p w:rsidR="00566E98" w:rsidRDefault="00566E98" w:rsidP="005F1ED8">
            <w:pPr>
              <w:rPr>
                <w:sz w:val="20"/>
                <w:szCs w:val="20"/>
                <w:lang w:val="en-US"/>
              </w:rPr>
            </w:pPr>
          </w:p>
          <w:p w:rsidR="00566E98" w:rsidRDefault="00566E98" w:rsidP="005F1ED8">
            <w:pPr>
              <w:rPr>
                <w:b/>
                <w:sz w:val="20"/>
                <w:szCs w:val="20"/>
                <w:lang w:val="en-US"/>
              </w:rPr>
            </w:pPr>
            <w:r>
              <w:rPr>
                <w:b/>
                <w:sz w:val="20"/>
                <w:szCs w:val="20"/>
                <w:lang w:val="en-US"/>
              </w:rPr>
              <w:t>Her Majesty the Queen (F.C.)</w:t>
            </w:r>
          </w:p>
          <w:p w:rsidR="00566E98" w:rsidRDefault="00566E98" w:rsidP="005F1ED8">
            <w:pPr>
              <w:rPr>
                <w:sz w:val="20"/>
                <w:szCs w:val="20"/>
                <w:lang w:val="en-US"/>
              </w:rPr>
            </w:pPr>
            <w:r>
              <w:rPr>
                <w:sz w:val="20"/>
                <w:szCs w:val="20"/>
                <w:lang w:val="en-US"/>
              </w:rPr>
              <w:tab/>
              <w:t>Gina M. Scarcella</w:t>
            </w:r>
          </w:p>
          <w:p w:rsidR="00566E98" w:rsidRDefault="00566E98" w:rsidP="005F1ED8">
            <w:pPr>
              <w:rPr>
                <w:sz w:val="20"/>
                <w:szCs w:val="20"/>
                <w:lang w:val="en-US"/>
              </w:rPr>
            </w:pPr>
            <w:r>
              <w:rPr>
                <w:sz w:val="20"/>
                <w:szCs w:val="20"/>
                <w:lang w:val="en-US"/>
              </w:rPr>
              <w:tab/>
              <w:t>A.G. of Canada</w:t>
            </w:r>
          </w:p>
          <w:p w:rsidR="00566E98" w:rsidRDefault="00566E98" w:rsidP="005F1ED8">
            <w:pPr>
              <w:rPr>
                <w:sz w:val="20"/>
                <w:szCs w:val="20"/>
                <w:lang w:val="en-US"/>
              </w:rPr>
            </w:pPr>
            <w:r>
              <w:rPr>
                <w:sz w:val="20"/>
                <w:szCs w:val="20"/>
                <w:lang w:val="en-US"/>
              </w:rPr>
              <w:br/>
              <w:t>FILING DATE: 05.06.2017</w:t>
            </w:r>
          </w:p>
          <w:p w:rsidR="00566E98" w:rsidRDefault="00ED4247" w:rsidP="005F1ED8">
            <w:pPr>
              <w:rPr>
                <w:sz w:val="20"/>
                <w:szCs w:val="20"/>
                <w:lang w:val="fr-CA"/>
              </w:rPr>
            </w:pPr>
            <w:r>
              <w:rPr>
                <w:sz w:val="20"/>
                <w:szCs w:val="20"/>
                <w:lang w:val="fr-CA"/>
              </w:rPr>
              <w:pict>
                <v:rect id="_x0000_i1029" style="width:108pt;height:1pt" o:hrpct="0" o:hralign="center" o:hrstd="t" o:hrnoshade="t" o:hr="t" fillcolor="black [3213]" stroked="f"/>
              </w:pict>
            </w:r>
          </w:p>
          <w:p w:rsidR="00566E98" w:rsidRPr="00566E98" w:rsidRDefault="00566E98" w:rsidP="005F1ED8">
            <w:pPr>
              <w:rPr>
                <w:sz w:val="20"/>
                <w:szCs w:val="20"/>
                <w:lang w:val="en-US"/>
              </w:rPr>
            </w:pPr>
          </w:p>
        </w:tc>
        <w:tc>
          <w:tcPr>
            <w:tcW w:w="1181" w:type="dxa"/>
            <w:shd w:val="clear" w:color="auto" w:fill="auto"/>
          </w:tcPr>
          <w:p w:rsidR="00C21644" w:rsidRPr="00ED6F3C" w:rsidRDefault="00C21644" w:rsidP="00242AEE">
            <w:pPr>
              <w:jc w:val="center"/>
              <w:rPr>
                <w:sz w:val="20"/>
                <w:szCs w:val="20"/>
                <w:lang w:val="en-US"/>
              </w:rPr>
            </w:pPr>
          </w:p>
        </w:tc>
        <w:tc>
          <w:tcPr>
            <w:tcW w:w="4320" w:type="dxa"/>
            <w:shd w:val="clear" w:color="auto" w:fill="auto"/>
          </w:tcPr>
          <w:p w:rsidR="00C21644" w:rsidRDefault="00566E98" w:rsidP="005F1ED8">
            <w:pPr>
              <w:rPr>
                <w:b/>
                <w:sz w:val="20"/>
                <w:szCs w:val="20"/>
                <w:lang w:val="en-US"/>
              </w:rPr>
            </w:pPr>
            <w:r>
              <w:rPr>
                <w:b/>
                <w:sz w:val="20"/>
                <w:szCs w:val="20"/>
                <w:lang w:val="en-US"/>
              </w:rPr>
              <w:t>David Barer</w:t>
            </w:r>
          </w:p>
          <w:p w:rsidR="00566E98" w:rsidRDefault="00566E98" w:rsidP="005F1ED8">
            <w:pPr>
              <w:rPr>
                <w:sz w:val="20"/>
                <w:szCs w:val="20"/>
                <w:lang w:val="en-US"/>
              </w:rPr>
            </w:pPr>
            <w:r>
              <w:rPr>
                <w:b/>
                <w:sz w:val="20"/>
                <w:szCs w:val="20"/>
                <w:lang w:val="en-US"/>
              </w:rPr>
              <w:tab/>
            </w:r>
            <w:r>
              <w:rPr>
                <w:sz w:val="20"/>
                <w:szCs w:val="20"/>
                <w:lang w:val="en-US"/>
              </w:rPr>
              <w:t>Leon J. Greenberg</w:t>
            </w:r>
          </w:p>
          <w:p w:rsidR="00566E98" w:rsidRDefault="00566E98" w:rsidP="005F1ED8">
            <w:pPr>
              <w:rPr>
                <w:sz w:val="20"/>
                <w:szCs w:val="20"/>
                <w:lang w:val="en-US"/>
              </w:rPr>
            </w:pPr>
            <w:r>
              <w:rPr>
                <w:sz w:val="20"/>
                <w:szCs w:val="20"/>
                <w:lang w:val="en-US"/>
              </w:rPr>
              <w:tab/>
              <w:t>Sternthal, Katznelson, Montigny</w:t>
            </w:r>
          </w:p>
          <w:p w:rsidR="00566E98" w:rsidRDefault="00566E98" w:rsidP="005F1ED8">
            <w:pPr>
              <w:rPr>
                <w:sz w:val="20"/>
                <w:szCs w:val="20"/>
                <w:lang w:val="en-US"/>
              </w:rPr>
            </w:pPr>
          </w:p>
          <w:p w:rsidR="00566E98" w:rsidRDefault="00566E98" w:rsidP="005F1ED8">
            <w:pPr>
              <w:rPr>
                <w:sz w:val="20"/>
                <w:szCs w:val="20"/>
                <w:lang w:val="en-US"/>
              </w:rPr>
            </w:pPr>
            <w:r>
              <w:rPr>
                <w:sz w:val="20"/>
                <w:szCs w:val="20"/>
                <w:lang w:val="en-US"/>
              </w:rPr>
              <w:tab/>
              <w:t>v. (37594)</w:t>
            </w:r>
          </w:p>
          <w:p w:rsidR="00566E98" w:rsidRDefault="00566E98" w:rsidP="005F1ED8">
            <w:pPr>
              <w:rPr>
                <w:sz w:val="20"/>
                <w:szCs w:val="20"/>
                <w:lang w:val="en-US"/>
              </w:rPr>
            </w:pPr>
          </w:p>
          <w:p w:rsidR="00566E98" w:rsidRDefault="00566E98" w:rsidP="005F1ED8">
            <w:pPr>
              <w:rPr>
                <w:b/>
                <w:sz w:val="20"/>
                <w:szCs w:val="20"/>
                <w:lang w:val="en-US"/>
              </w:rPr>
            </w:pPr>
            <w:r>
              <w:rPr>
                <w:b/>
                <w:sz w:val="20"/>
                <w:szCs w:val="20"/>
                <w:lang w:val="en-US"/>
              </w:rPr>
              <w:t>Knight Brothers LL</w:t>
            </w:r>
            <w:r w:rsidR="00357E14">
              <w:rPr>
                <w:b/>
                <w:sz w:val="20"/>
                <w:szCs w:val="20"/>
                <w:lang w:val="en-US"/>
              </w:rPr>
              <w:t>C</w:t>
            </w:r>
            <w:r>
              <w:rPr>
                <w:b/>
                <w:sz w:val="20"/>
                <w:szCs w:val="20"/>
                <w:lang w:val="en-US"/>
              </w:rPr>
              <w:t xml:space="preserve"> (Que.)</w:t>
            </w:r>
          </w:p>
          <w:p w:rsidR="00566E98" w:rsidRDefault="00566E98" w:rsidP="005F1ED8">
            <w:pPr>
              <w:rPr>
                <w:sz w:val="20"/>
                <w:szCs w:val="20"/>
                <w:lang w:val="en-US"/>
              </w:rPr>
            </w:pPr>
            <w:r>
              <w:rPr>
                <w:sz w:val="20"/>
                <w:szCs w:val="20"/>
                <w:lang w:val="en-US"/>
              </w:rPr>
              <w:tab/>
              <w:t>Jonathan Franklin</w:t>
            </w:r>
          </w:p>
          <w:p w:rsidR="00566E98" w:rsidRDefault="00566E98" w:rsidP="005F1ED8">
            <w:pPr>
              <w:rPr>
                <w:sz w:val="20"/>
                <w:szCs w:val="20"/>
                <w:lang w:val="en-US"/>
              </w:rPr>
            </w:pPr>
            <w:r>
              <w:rPr>
                <w:sz w:val="20"/>
                <w:szCs w:val="20"/>
                <w:lang w:val="en-US"/>
              </w:rPr>
              <w:tab/>
              <w:t>Franklin &amp; Franklin</w:t>
            </w:r>
          </w:p>
          <w:p w:rsidR="00566E98" w:rsidRDefault="00566E98" w:rsidP="005F1ED8">
            <w:pPr>
              <w:rPr>
                <w:sz w:val="20"/>
                <w:szCs w:val="20"/>
                <w:lang w:val="en-US"/>
              </w:rPr>
            </w:pPr>
          </w:p>
          <w:p w:rsidR="00566E98" w:rsidRDefault="00566E98" w:rsidP="005F1ED8">
            <w:pPr>
              <w:rPr>
                <w:sz w:val="20"/>
                <w:szCs w:val="20"/>
                <w:lang w:val="en-US"/>
              </w:rPr>
            </w:pPr>
            <w:r>
              <w:rPr>
                <w:sz w:val="20"/>
                <w:szCs w:val="20"/>
                <w:lang w:val="en-US"/>
              </w:rPr>
              <w:t>FILING DATE: 05.06.2017</w:t>
            </w:r>
          </w:p>
          <w:p w:rsidR="00566E98" w:rsidRPr="00566E98" w:rsidRDefault="00ED4247" w:rsidP="005F1ED8">
            <w:pPr>
              <w:rPr>
                <w:sz w:val="20"/>
                <w:szCs w:val="20"/>
                <w:lang w:val="en-US"/>
              </w:rPr>
            </w:pPr>
            <w:r>
              <w:rPr>
                <w:sz w:val="20"/>
                <w:szCs w:val="20"/>
                <w:lang w:val="fr-CA"/>
              </w:rPr>
              <w:pict>
                <v:rect id="_x0000_i1030" style="width:108pt;height:1pt" o:hrpct="0" o:hralign="center" o:hrstd="t" o:hrnoshade="t" o:hr="t" fillcolor="black [3213]" stroked="f"/>
              </w:pict>
            </w:r>
          </w:p>
        </w:tc>
      </w:tr>
    </w:tbl>
    <w:p w:rsidR="00946D29" w:rsidRDefault="00946D29">
      <w:r>
        <w:br w:type="page"/>
      </w: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ED6F3C" w:rsidRPr="00946D29" w:rsidTr="003B3977">
        <w:tc>
          <w:tcPr>
            <w:tcW w:w="4320" w:type="dxa"/>
            <w:shd w:val="clear" w:color="auto" w:fill="auto"/>
          </w:tcPr>
          <w:p w:rsidR="00ED6F3C" w:rsidRPr="001B7137" w:rsidRDefault="00566E98" w:rsidP="005F1ED8">
            <w:pPr>
              <w:rPr>
                <w:b/>
                <w:sz w:val="20"/>
                <w:szCs w:val="20"/>
                <w:lang w:val="fr-CA"/>
              </w:rPr>
            </w:pPr>
            <w:r w:rsidRPr="001B7137">
              <w:rPr>
                <w:b/>
                <w:sz w:val="20"/>
                <w:szCs w:val="20"/>
                <w:lang w:val="fr-CA"/>
              </w:rPr>
              <w:lastRenderedPageBreak/>
              <w:t>Yvan Branconnier</w:t>
            </w:r>
          </w:p>
          <w:p w:rsidR="00566E98" w:rsidRPr="001B7137" w:rsidRDefault="00566E98" w:rsidP="005F1ED8">
            <w:pPr>
              <w:rPr>
                <w:sz w:val="20"/>
                <w:szCs w:val="20"/>
                <w:lang w:val="fr-CA"/>
              </w:rPr>
            </w:pPr>
            <w:r w:rsidRPr="001B7137">
              <w:rPr>
                <w:b/>
                <w:sz w:val="20"/>
                <w:szCs w:val="20"/>
                <w:lang w:val="fr-CA"/>
              </w:rPr>
              <w:tab/>
            </w:r>
            <w:r w:rsidRPr="001B7137">
              <w:rPr>
                <w:sz w:val="20"/>
                <w:szCs w:val="20"/>
                <w:lang w:val="fr-CA"/>
              </w:rPr>
              <w:t>Pierre Spain</w:t>
            </w:r>
          </w:p>
          <w:p w:rsidR="00566E98" w:rsidRPr="001B7137" w:rsidRDefault="00566E98" w:rsidP="005F1ED8">
            <w:pPr>
              <w:rPr>
                <w:sz w:val="20"/>
                <w:szCs w:val="20"/>
                <w:lang w:val="fr-CA"/>
              </w:rPr>
            </w:pPr>
            <w:r w:rsidRPr="001B7137">
              <w:rPr>
                <w:sz w:val="20"/>
                <w:szCs w:val="20"/>
                <w:lang w:val="fr-CA"/>
              </w:rPr>
              <w:tab/>
              <w:t>Biron, Spain</w:t>
            </w:r>
          </w:p>
          <w:p w:rsidR="00566E98" w:rsidRPr="001B7137" w:rsidRDefault="00566E98" w:rsidP="005F1ED8">
            <w:pPr>
              <w:rPr>
                <w:sz w:val="20"/>
                <w:szCs w:val="20"/>
                <w:lang w:val="fr-CA"/>
              </w:rPr>
            </w:pPr>
          </w:p>
          <w:p w:rsidR="00566E98" w:rsidRPr="001B7137" w:rsidRDefault="00566E98" w:rsidP="005F1ED8">
            <w:pPr>
              <w:rPr>
                <w:sz w:val="20"/>
                <w:szCs w:val="20"/>
                <w:lang w:val="fr-CA"/>
              </w:rPr>
            </w:pPr>
            <w:r w:rsidRPr="001B7137">
              <w:rPr>
                <w:sz w:val="20"/>
                <w:szCs w:val="20"/>
                <w:lang w:val="fr-CA"/>
              </w:rPr>
              <w:tab/>
              <w:t>c. (37607)</w:t>
            </w:r>
          </w:p>
          <w:p w:rsidR="00566E98" w:rsidRPr="001B7137" w:rsidRDefault="00566E98" w:rsidP="005F1ED8">
            <w:pPr>
              <w:rPr>
                <w:sz w:val="20"/>
                <w:szCs w:val="20"/>
                <w:lang w:val="fr-CA"/>
              </w:rPr>
            </w:pPr>
          </w:p>
          <w:p w:rsidR="00566E98" w:rsidRPr="00566E98" w:rsidRDefault="00566E98" w:rsidP="005F1ED8">
            <w:pPr>
              <w:rPr>
                <w:b/>
                <w:sz w:val="20"/>
                <w:szCs w:val="20"/>
                <w:lang w:val="fr-CA"/>
              </w:rPr>
            </w:pPr>
            <w:r w:rsidRPr="00566E98">
              <w:rPr>
                <w:b/>
                <w:sz w:val="20"/>
                <w:szCs w:val="20"/>
                <w:lang w:val="fr-CA"/>
              </w:rPr>
              <w:t>Sa Majesté la Reine (Qc)</w:t>
            </w:r>
          </w:p>
          <w:p w:rsidR="00566E98" w:rsidRDefault="00566E98" w:rsidP="005F1ED8">
            <w:pPr>
              <w:rPr>
                <w:sz w:val="20"/>
                <w:szCs w:val="20"/>
                <w:lang w:val="fr-CA"/>
              </w:rPr>
            </w:pPr>
            <w:r>
              <w:rPr>
                <w:sz w:val="20"/>
                <w:szCs w:val="20"/>
                <w:lang w:val="fr-CA"/>
              </w:rPr>
              <w:tab/>
              <w:t>Benoît Larouche</w:t>
            </w:r>
          </w:p>
          <w:p w:rsidR="00566E98" w:rsidRDefault="00566E98" w:rsidP="005F1ED8">
            <w:pPr>
              <w:rPr>
                <w:sz w:val="20"/>
                <w:szCs w:val="20"/>
                <w:lang w:val="fr-CA"/>
              </w:rPr>
            </w:pPr>
            <w:r>
              <w:rPr>
                <w:sz w:val="20"/>
                <w:szCs w:val="20"/>
                <w:lang w:val="fr-CA"/>
              </w:rPr>
              <w:tab/>
              <w:t xml:space="preserve">Directeur des poursuites criminelles et </w:t>
            </w:r>
            <w:r>
              <w:rPr>
                <w:sz w:val="20"/>
                <w:szCs w:val="20"/>
                <w:lang w:val="fr-CA"/>
              </w:rPr>
              <w:tab/>
              <w:t>pénales du Québec</w:t>
            </w:r>
          </w:p>
          <w:p w:rsidR="00566E98" w:rsidRDefault="00566E98" w:rsidP="005F1ED8">
            <w:pPr>
              <w:rPr>
                <w:sz w:val="20"/>
                <w:szCs w:val="20"/>
                <w:lang w:val="fr-CA"/>
              </w:rPr>
            </w:pPr>
          </w:p>
          <w:p w:rsidR="00566E98" w:rsidRDefault="00566E98" w:rsidP="005F1ED8">
            <w:pPr>
              <w:rPr>
                <w:sz w:val="20"/>
                <w:szCs w:val="20"/>
                <w:lang w:val="fr-CA"/>
              </w:rPr>
            </w:pPr>
            <w:r>
              <w:rPr>
                <w:sz w:val="20"/>
                <w:szCs w:val="20"/>
                <w:lang w:val="fr-CA"/>
              </w:rPr>
              <w:t>DATE DE PRODUCTION : 05.06.2017</w:t>
            </w:r>
          </w:p>
          <w:p w:rsidR="00566E98" w:rsidRDefault="00ED4247" w:rsidP="005F1ED8">
            <w:pPr>
              <w:rPr>
                <w:sz w:val="20"/>
                <w:szCs w:val="20"/>
                <w:lang w:val="fr-CA"/>
              </w:rPr>
            </w:pPr>
            <w:r>
              <w:rPr>
                <w:sz w:val="20"/>
                <w:szCs w:val="20"/>
                <w:lang w:val="fr-CA"/>
              </w:rPr>
              <w:pict>
                <v:rect id="_x0000_i1031" style="width:108pt;height:1pt" o:hrpct="0" o:hralign="center" o:hrstd="t" o:hrnoshade="t" o:hr="t" fillcolor="black [3213]" stroked="f"/>
              </w:pict>
            </w:r>
          </w:p>
          <w:p w:rsidR="00566E98" w:rsidRPr="00566E98" w:rsidRDefault="00566E98" w:rsidP="005F1ED8">
            <w:pPr>
              <w:rPr>
                <w:sz w:val="20"/>
                <w:szCs w:val="20"/>
                <w:lang w:val="fr-CA"/>
              </w:rPr>
            </w:pPr>
          </w:p>
        </w:tc>
        <w:tc>
          <w:tcPr>
            <w:tcW w:w="1181" w:type="dxa"/>
            <w:shd w:val="clear" w:color="auto" w:fill="auto"/>
          </w:tcPr>
          <w:p w:rsidR="00ED6F3C" w:rsidRPr="00566E98" w:rsidRDefault="00ED6F3C" w:rsidP="00242AEE">
            <w:pPr>
              <w:jc w:val="center"/>
              <w:rPr>
                <w:sz w:val="20"/>
                <w:szCs w:val="20"/>
                <w:lang w:val="fr-CA"/>
              </w:rPr>
            </w:pPr>
          </w:p>
        </w:tc>
        <w:tc>
          <w:tcPr>
            <w:tcW w:w="4320" w:type="dxa"/>
            <w:shd w:val="clear" w:color="auto" w:fill="auto"/>
          </w:tcPr>
          <w:p w:rsidR="00ED6F3C" w:rsidRDefault="00946D29" w:rsidP="005F1ED8">
            <w:pPr>
              <w:rPr>
                <w:b/>
                <w:sz w:val="20"/>
                <w:szCs w:val="20"/>
                <w:lang w:val="en-US"/>
              </w:rPr>
            </w:pPr>
            <w:r w:rsidRPr="00946D29">
              <w:rPr>
                <w:b/>
                <w:sz w:val="20"/>
                <w:szCs w:val="20"/>
                <w:lang w:val="en-US"/>
              </w:rPr>
              <w:t xml:space="preserve">Nadine Watchmaker-Wolfe, a minor by her Next friend, Steve Wolfe et al. </w:t>
            </w:r>
          </w:p>
          <w:p w:rsidR="00946D29" w:rsidRPr="00946D29" w:rsidRDefault="00946D29" w:rsidP="005F1ED8">
            <w:pPr>
              <w:rPr>
                <w:sz w:val="20"/>
                <w:szCs w:val="20"/>
                <w:lang w:val="en-US"/>
              </w:rPr>
            </w:pPr>
            <w:r>
              <w:rPr>
                <w:b/>
                <w:sz w:val="20"/>
                <w:szCs w:val="20"/>
                <w:lang w:val="en-US"/>
              </w:rPr>
              <w:tab/>
            </w:r>
            <w:r w:rsidRPr="00946D29">
              <w:rPr>
                <w:sz w:val="20"/>
                <w:szCs w:val="20"/>
                <w:lang w:val="en-US"/>
              </w:rPr>
              <w:t>Nore-Aldein Assiff</w:t>
            </w:r>
          </w:p>
          <w:p w:rsidR="00946D29" w:rsidRDefault="00946D29" w:rsidP="005F1ED8">
            <w:pPr>
              <w:rPr>
                <w:sz w:val="20"/>
                <w:szCs w:val="20"/>
                <w:lang w:val="en-US"/>
              </w:rPr>
            </w:pPr>
            <w:r w:rsidRPr="00946D29">
              <w:rPr>
                <w:sz w:val="20"/>
                <w:szCs w:val="20"/>
                <w:lang w:val="en-US"/>
              </w:rPr>
              <w:tab/>
              <w:t>Assiff Law Office</w:t>
            </w:r>
          </w:p>
          <w:p w:rsidR="00946D29" w:rsidRDefault="00946D29" w:rsidP="005F1ED8">
            <w:pPr>
              <w:rPr>
                <w:sz w:val="20"/>
                <w:szCs w:val="20"/>
                <w:lang w:val="en-US"/>
              </w:rPr>
            </w:pPr>
          </w:p>
          <w:p w:rsidR="00946D29" w:rsidRPr="001B7137" w:rsidRDefault="00946D29" w:rsidP="005F1ED8">
            <w:pPr>
              <w:rPr>
                <w:sz w:val="20"/>
                <w:szCs w:val="20"/>
                <w:lang w:val="fr-CA"/>
              </w:rPr>
            </w:pPr>
            <w:r>
              <w:rPr>
                <w:sz w:val="20"/>
                <w:szCs w:val="20"/>
                <w:lang w:val="en-US"/>
              </w:rPr>
              <w:tab/>
            </w:r>
            <w:r w:rsidRPr="001B7137">
              <w:rPr>
                <w:sz w:val="20"/>
                <w:szCs w:val="20"/>
                <w:lang w:val="fr-CA"/>
              </w:rPr>
              <w:t>v. (37609)</w:t>
            </w:r>
          </w:p>
          <w:p w:rsidR="00946D29" w:rsidRPr="001B7137" w:rsidRDefault="00946D29" w:rsidP="005F1ED8">
            <w:pPr>
              <w:rPr>
                <w:sz w:val="20"/>
                <w:szCs w:val="20"/>
                <w:lang w:val="fr-CA"/>
              </w:rPr>
            </w:pPr>
          </w:p>
          <w:p w:rsidR="00946D29" w:rsidRPr="001B7137" w:rsidRDefault="00946D29" w:rsidP="005F1ED8">
            <w:pPr>
              <w:rPr>
                <w:b/>
                <w:sz w:val="20"/>
                <w:szCs w:val="20"/>
                <w:lang w:val="fr-CA"/>
              </w:rPr>
            </w:pPr>
            <w:r w:rsidRPr="001B7137">
              <w:rPr>
                <w:b/>
                <w:sz w:val="20"/>
                <w:szCs w:val="20"/>
                <w:lang w:val="fr-CA"/>
              </w:rPr>
              <w:t>Sonex Construction Ltd. (Alta.)</w:t>
            </w:r>
          </w:p>
          <w:p w:rsidR="00946D29" w:rsidRDefault="00946D29" w:rsidP="005F1ED8">
            <w:pPr>
              <w:rPr>
                <w:sz w:val="20"/>
                <w:szCs w:val="20"/>
                <w:lang w:val="en-US"/>
              </w:rPr>
            </w:pPr>
            <w:r w:rsidRPr="001B7137">
              <w:rPr>
                <w:sz w:val="20"/>
                <w:szCs w:val="20"/>
                <w:lang w:val="fr-CA"/>
              </w:rPr>
              <w:tab/>
            </w:r>
            <w:r>
              <w:rPr>
                <w:sz w:val="20"/>
                <w:szCs w:val="20"/>
                <w:lang w:val="en-US"/>
              </w:rPr>
              <w:t>Connor B. Glynn</w:t>
            </w:r>
          </w:p>
          <w:p w:rsidR="00946D29" w:rsidRDefault="00946D29" w:rsidP="005F1ED8">
            <w:pPr>
              <w:rPr>
                <w:sz w:val="20"/>
                <w:szCs w:val="20"/>
                <w:lang w:val="en-US"/>
              </w:rPr>
            </w:pPr>
            <w:r>
              <w:rPr>
                <w:sz w:val="20"/>
                <w:szCs w:val="20"/>
                <w:lang w:val="en-US"/>
              </w:rPr>
              <w:tab/>
              <w:t>Parlee McLaws LLP</w:t>
            </w:r>
          </w:p>
          <w:p w:rsidR="00946D29" w:rsidRDefault="00946D29" w:rsidP="005F1ED8">
            <w:pPr>
              <w:rPr>
                <w:sz w:val="20"/>
                <w:szCs w:val="20"/>
                <w:lang w:val="en-US"/>
              </w:rPr>
            </w:pPr>
          </w:p>
          <w:p w:rsidR="00946D29" w:rsidRDefault="00946D29" w:rsidP="005F1ED8">
            <w:pPr>
              <w:rPr>
                <w:sz w:val="20"/>
                <w:szCs w:val="20"/>
                <w:lang w:val="en-US"/>
              </w:rPr>
            </w:pPr>
            <w:r>
              <w:rPr>
                <w:sz w:val="20"/>
                <w:szCs w:val="20"/>
                <w:lang w:val="en-US"/>
              </w:rPr>
              <w:t>FILING DATE: 05.06.2017</w:t>
            </w:r>
          </w:p>
          <w:p w:rsidR="00946D29" w:rsidRPr="00946D29" w:rsidRDefault="00ED4247" w:rsidP="005F1ED8">
            <w:pPr>
              <w:rPr>
                <w:sz w:val="20"/>
                <w:szCs w:val="20"/>
                <w:lang w:val="en-US"/>
              </w:rPr>
            </w:pPr>
            <w:r>
              <w:rPr>
                <w:sz w:val="20"/>
                <w:szCs w:val="20"/>
                <w:lang w:val="fr-CA"/>
              </w:rPr>
              <w:pict>
                <v:rect id="_x0000_i1032" style="width:108pt;height:1pt" o:hrpct="0" o:hralign="center" o:hrstd="t" o:hrnoshade="t" o:hr="t" fillcolor="black [3213]" stroked="f"/>
              </w:pict>
            </w:r>
          </w:p>
        </w:tc>
      </w:tr>
      <w:tr w:rsidR="00ED6F3C" w:rsidRPr="00946D29" w:rsidTr="003B3977">
        <w:tc>
          <w:tcPr>
            <w:tcW w:w="4320" w:type="dxa"/>
            <w:shd w:val="clear" w:color="auto" w:fill="auto"/>
          </w:tcPr>
          <w:p w:rsidR="00ED6F3C" w:rsidRDefault="002B2FDC" w:rsidP="005F1ED8">
            <w:pPr>
              <w:rPr>
                <w:b/>
                <w:sz w:val="20"/>
                <w:szCs w:val="20"/>
                <w:lang w:val="en-US"/>
              </w:rPr>
            </w:pPr>
            <w:r>
              <w:rPr>
                <w:b/>
                <w:sz w:val="20"/>
                <w:szCs w:val="20"/>
                <w:lang w:val="en-US"/>
              </w:rPr>
              <w:t>Ade Olumide</w:t>
            </w:r>
          </w:p>
          <w:p w:rsidR="002B2FDC" w:rsidRDefault="002B2FDC" w:rsidP="005F1ED8">
            <w:pPr>
              <w:rPr>
                <w:sz w:val="20"/>
                <w:szCs w:val="20"/>
                <w:lang w:val="en-US"/>
              </w:rPr>
            </w:pPr>
            <w:r>
              <w:rPr>
                <w:b/>
                <w:sz w:val="20"/>
                <w:szCs w:val="20"/>
                <w:lang w:val="en-US"/>
              </w:rPr>
              <w:tab/>
            </w:r>
            <w:r>
              <w:rPr>
                <w:sz w:val="20"/>
                <w:szCs w:val="20"/>
                <w:lang w:val="en-US"/>
              </w:rPr>
              <w:t>Ade Olumide</w:t>
            </w:r>
          </w:p>
          <w:p w:rsidR="002B2FDC" w:rsidRDefault="002B2FDC" w:rsidP="005F1ED8">
            <w:pPr>
              <w:rPr>
                <w:sz w:val="20"/>
                <w:szCs w:val="20"/>
                <w:lang w:val="en-US"/>
              </w:rPr>
            </w:pPr>
          </w:p>
          <w:p w:rsidR="002B2FDC" w:rsidRDefault="002B2FDC" w:rsidP="005F1ED8">
            <w:pPr>
              <w:rPr>
                <w:sz w:val="20"/>
                <w:szCs w:val="20"/>
                <w:lang w:val="en-US"/>
              </w:rPr>
            </w:pPr>
            <w:r>
              <w:rPr>
                <w:sz w:val="20"/>
                <w:szCs w:val="20"/>
                <w:lang w:val="en-US"/>
              </w:rPr>
              <w:tab/>
              <w:t>v. (37602)</w:t>
            </w:r>
          </w:p>
          <w:p w:rsidR="002B2FDC" w:rsidRDefault="002B2FDC" w:rsidP="005F1ED8">
            <w:pPr>
              <w:rPr>
                <w:sz w:val="20"/>
                <w:szCs w:val="20"/>
                <w:lang w:val="en-US"/>
              </w:rPr>
            </w:pPr>
          </w:p>
          <w:p w:rsidR="002B2FDC" w:rsidRDefault="002B2FDC" w:rsidP="005F1ED8">
            <w:pPr>
              <w:rPr>
                <w:b/>
                <w:sz w:val="20"/>
                <w:szCs w:val="20"/>
                <w:lang w:val="en-US"/>
              </w:rPr>
            </w:pPr>
            <w:r>
              <w:rPr>
                <w:b/>
                <w:sz w:val="20"/>
                <w:szCs w:val="20"/>
                <w:lang w:val="en-US"/>
              </w:rPr>
              <w:t>Her Majesty the Queen</w:t>
            </w:r>
            <w:r w:rsidR="00357E14">
              <w:rPr>
                <w:b/>
                <w:sz w:val="20"/>
                <w:szCs w:val="20"/>
                <w:lang w:val="en-US"/>
              </w:rPr>
              <w:t xml:space="preserve"> in Right of Canada</w:t>
            </w:r>
            <w:r>
              <w:rPr>
                <w:b/>
                <w:sz w:val="20"/>
                <w:szCs w:val="20"/>
                <w:lang w:val="en-US"/>
              </w:rPr>
              <w:t xml:space="preserve"> et al. (F.C.)</w:t>
            </w:r>
          </w:p>
          <w:p w:rsidR="002B2FDC" w:rsidRDefault="002B2FDC" w:rsidP="005F1ED8">
            <w:pPr>
              <w:rPr>
                <w:sz w:val="20"/>
                <w:szCs w:val="20"/>
                <w:lang w:val="en-US"/>
              </w:rPr>
            </w:pPr>
            <w:r>
              <w:rPr>
                <w:sz w:val="20"/>
                <w:szCs w:val="20"/>
                <w:lang w:val="en-US"/>
              </w:rPr>
              <w:tab/>
              <w:t>Daniel Caron</w:t>
            </w:r>
          </w:p>
          <w:p w:rsidR="002B2FDC" w:rsidRDefault="002B2FDC" w:rsidP="005F1ED8">
            <w:pPr>
              <w:rPr>
                <w:sz w:val="20"/>
                <w:szCs w:val="20"/>
                <w:lang w:val="en-US"/>
              </w:rPr>
            </w:pPr>
            <w:r>
              <w:rPr>
                <w:sz w:val="20"/>
                <w:szCs w:val="20"/>
                <w:lang w:val="en-US"/>
              </w:rPr>
              <w:tab/>
              <w:t>A.G. of Canada</w:t>
            </w:r>
          </w:p>
          <w:p w:rsidR="002B2FDC" w:rsidRDefault="002B2FDC" w:rsidP="005F1ED8">
            <w:pPr>
              <w:rPr>
                <w:sz w:val="20"/>
                <w:szCs w:val="20"/>
                <w:lang w:val="en-US"/>
              </w:rPr>
            </w:pPr>
          </w:p>
          <w:p w:rsidR="002B2FDC" w:rsidRDefault="002B2FDC" w:rsidP="005F1ED8">
            <w:pPr>
              <w:rPr>
                <w:sz w:val="20"/>
                <w:szCs w:val="20"/>
                <w:lang w:val="en-US"/>
              </w:rPr>
            </w:pPr>
            <w:r>
              <w:rPr>
                <w:sz w:val="20"/>
                <w:szCs w:val="20"/>
                <w:lang w:val="en-US"/>
              </w:rPr>
              <w:t>FILING DATE: 27.01.2017</w:t>
            </w:r>
          </w:p>
          <w:p w:rsidR="002B2FDC" w:rsidRPr="002B2FDC" w:rsidRDefault="00ED4247" w:rsidP="005F1ED8">
            <w:pPr>
              <w:rPr>
                <w:sz w:val="20"/>
                <w:szCs w:val="20"/>
                <w:lang w:val="en-US"/>
              </w:rPr>
            </w:pPr>
            <w:r>
              <w:rPr>
                <w:sz w:val="20"/>
                <w:szCs w:val="20"/>
                <w:lang w:val="fr-CA"/>
              </w:rPr>
              <w:pict>
                <v:rect id="_x0000_i1033" style="width:108pt;height:1pt" o:hrpct="0" o:hralign="center" o:hrstd="t" o:hrnoshade="t" o:hr="t" fillcolor="black [3213]" stroked="f"/>
              </w:pict>
            </w:r>
            <w:r w:rsidR="002B2FDC">
              <w:rPr>
                <w:sz w:val="20"/>
                <w:szCs w:val="20"/>
                <w:lang w:val="fr-CA"/>
              </w:rPr>
              <w:t xml:space="preserve"> </w:t>
            </w:r>
          </w:p>
        </w:tc>
        <w:tc>
          <w:tcPr>
            <w:tcW w:w="1181" w:type="dxa"/>
            <w:shd w:val="clear" w:color="auto" w:fill="auto"/>
          </w:tcPr>
          <w:p w:rsidR="00ED6F3C" w:rsidRPr="00946D29" w:rsidRDefault="00ED6F3C" w:rsidP="00242AEE">
            <w:pPr>
              <w:jc w:val="center"/>
              <w:rPr>
                <w:sz w:val="20"/>
                <w:szCs w:val="20"/>
                <w:lang w:val="en-US"/>
              </w:rPr>
            </w:pPr>
          </w:p>
        </w:tc>
        <w:tc>
          <w:tcPr>
            <w:tcW w:w="4320" w:type="dxa"/>
            <w:shd w:val="clear" w:color="auto" w:fill="auto"/>
          </w:tcPr>
          <w:p w:rsidR="00ED6F3C" w:rsidRDefault="002B2FDC" w:rsidP="005F1ED8">
            <w:pPr>
              <w:rPr>
                <w:b/>
                <w:sz w:val="20"/>
                <w:szCs w:val="20"/>
                <w:lang w:val="en-US"/>
              </w:rPr>
            </w:pPr>
            <w:r>
              <w:rPr>
                <w:b/>
                <w:sz w:val="20"/>
                <w:szCs w:val="20"/>
                <w:lang w:val="en-US"/>
              </w:rPr>
              <w:t>Ade Olumide</w:t>
            </w:r>
          </w:p>
          <w:p w:rsidR="002B2FDC" w:rsidRDefault="002B2FDC" w:rsidP="005F1ED8">
            <w:pPr>
              <w:rPr>
                <w:sz w:val="20"/>
                <w:szCs w:val="20"/>
                <w:lang w:val="en-US"/>
              </w:rPr>
            </w:pPr>
            <w:r>
              <w:rPr>
                <w:b/>
                <w:sz w:val="20"/>
                <w:szCs w:val="20"/>
                <w:lang w:val="en-US"/>
              </w:rPr>
              <w:tab/>
            </w:r>
            <w:r>
              <w:rPr>
                <w:sz w:val="20"/>
                <w:szCs w:val="20"/>
                <w:lang w:val="en-US"/>
              </w:rPr>
              <w:t>Ade Olumide</w:t>
            </w:r>
          </w:p>
          <w:p w:rsidR="002B2FDC" w:rsidRDefault="002B2FDC" w:rsidP="005F1ED8">
            <w:pPr>
              <w:rPr>
                <w:sz w:val="20"/>
                <w:szCs w:val="20"/>
                <w:lang w:val="en-US"/>
              </w:rPr>
            </w:pPr>
          </w:p>
          <w:p w:rsidR="002B2FDC" w:rsidRDefault="002B2FDC" w:rsidP="005F1ED8">
            <w:pPr>
              <w:rPr>
                <w:sz w:val="20"/>
                <w:szCs w:val="20"/>
                <w:lang w:val="en-US"/>
              </w:rPr>
            </w:pPr>
            <w:r>
              <w:rPr>
                <w:sz w:val="20"/>
                <w:szCs w:val="20"/>
                <w:lang w:val="en-US"/>
              </w:rPr>
              <w:tab/>
              <w:t>v. (37603)</w:t>
            </w:r>
          </w:p>
          <w:p w:rsidR="002B2FDC" w:rsidRDefault="002B2FDC" w:rsidP="005F1ED8">
            <w:pPr>
              <w:rPr>
                <w:sz w:val="20"/>
                <w:szCs w:val="20"/>
                <w:lang w:val="en-US"/>
              </w:rPr>
            </w:pPr>
          </w:p>
          <w:p w:rsidR="002B2FDC" w:rsidRDefault="002B2FDC" w:rsidP="005F1ED8">
            <w:pPr>
              <w:rPr>
                <w:b/>
                <w:sz w:val="20"/>
                <w:szCs w:val="20"/>
                <w:lang w:val="en-US"/>
              </w:rPr>
            </w:pPr>
            <w:r>
              <w:rPr>
                <w:b/>
                <w:sz w:val="20"/>
                <w:szCs w:val="20"/>
                <w:lang w:val="en-US"/>
              </w:rPr>
              <w:t>Conservative Party of Canada (F.C.)</w:t>
            </w:r>
          </w:p>
          <w:p w:rsidR="002B2FDC" w:rsidRDefault="002B2FDC" w:rsidP="005F1ED8">
            <w:pPr>
              <w:rPr>
                <w:sz w:val="20"/>
                <w:szCs w:val="20"/>
                <w:lang w:val="en-US"/>
              </w:rPr>
            </w:pPr>
            <w:r>
              <w:rPr>
                <w:b/>
                <w:sz w:val="20"/>
                <w:szCs w:val="20"/>
                <w:lang w:val="en-US"/>
              </w:rPr>
              <w:tab/>
            </w:r>
            <w:r>
              <w:rPr>
                <w:sz w:val="20"/>
                <w:szCs w:val="20"/>
                <w:lang w:val="en-US"/>
              </w:rPr>
              <w:t>Paul D’Angelo</w:t>
            </w:r>
          </w:p>
          <w:p w:rsidR="002B2FDC" w:rsidRDefault="002B2FDC" w:rsidP="005F1ED8">
            <w:pPr>
              <w:rPr>
                <w:sz w:val="20"/>
                <w:szCs w:val="20"/>
                <w:lang w:val="en-US"/>
              </w:rPr>
            </w:pPr>
            <w:r>
              <w:rPr>
                <w:sz w:val="20"/>
                <w:szCs w:val="20"/>
                <w:lang w:val="en-US"/>
              </w:rPr>
              <w:tab/>
              <w:t>Perley-Robertson, Hill &amp; McDougall</w:t>
            </w:r>
          </w:p>
          <w:p w:rsidR="002B2FDC" w:rsidRDefault="002B2FDC" w:rsidP="005F1ED8">
            <w:pPr>
              <w:rPr>
                <w:sz w:val="20"/>
                <w:szCs w:val="20"/>
                <w:lang w:val="en-US"/>
              </w:rPr>
            </w:pPr>
          </w:p>
          <w:p w:rsidR="002B2FDC" w:rsidRDefault="002B2FDC" w:rsidP="005F1ED8">
            <w:pPr>
              <w:rPr>
                <w:sz w:val="20"/>
                <w:szCs w:val="20"/>
                <w:lang w:val="en-US"/>
              </w:rPr>
            </w:pPr>
            <w:r>
              <w:rPr>
                <w:sz w:val="20"/>
                <w:szCs w:val="20"/>
                <w:lang w:val="en-US"/>
              </w:rPr>
              <w:t>FILING DATE: 27.01.2017</w:t>
            </w:r>
          </w:p>
          <w:p w:rsidR="002B2FDC" w:rsidRPr="002B2FDC" w:rsidRDefault="00ED4247" w:rsidP="005F1ED8">
            <w:pPr>
              <w:rPr>
                <w:sz w:val="20"/>
                <w:szCs w:val="20"/>
                <w:lang w:val="en-US"/>
              </w:rPr>
            </w:pPr>
            <w:r>
              <w:rPr>
                <w:sz w:val="20"/>
                <w:szCs w:val="20"/>
                <w:lang w:val="fr-CA"/>
              </w:rPr>
              <w:pict>
                <v:rect id="_x0000_i1034" style="width:108pt;height:1pt" o:hrpct="0" o:hralign="center" o:hrstd="t" o:hrnoshade="t" o:hr="t" fillcolor="black [3213]" stroked="f"/>
              </w:pict>
            </w:r>
          </w:p>
        </w:tc>
      </w:tr>
      <w:tr w:rsidR="00ED6F3C" w:rsidRPr="00946D29" w:rsidTr="003B3977">
        <w:tc>
          <w:tcPr>
            <w:tcW w:w="4320" w:type="dxa"/>
            <w:shd w:val="clear" w:color="auto" w:fill="auto"/>
          </w:tcPr>
          <w:p w:rsidR="00ED6F3C" w:rsidRDefault="002B2FDC" w:rsidP="005F1ED8">
            <w:pPr>
              <w:rPr>
                <w:b/>
                <w:sz w:val="20"/>
                <w:szCs w:val="20"/>
                <w:lang w:val="en-US"/>
              </w:rPr>
            </w:pPr>
            <w:r>
              <w:rPr>
                <w:b/>
                <w:sz w:val="20"/>
                <w:szCs w:val="20"/>
                <w:lang w:val="en-US"/>
              </w:rPr>
              <w:t>Ade Olumide</w:t>
            </w:r>
          </w:p>
          <w:p w:rsidR="002B2FDC" w:rsidRDefault="002B2FDC" w:rsidP="005F1ED8">
            <w:pPr>
              <w:rPr>
                <w:sz w:val="20"/>
                <w:szCs w:val="20"/>
                <w:lang w:val="en-US"/>
              </w:rPr>
            </w:pPr>
            <w:r>
              <w:rPr>
                <w:b/>
                <w:sz w:val="20"/>
                <w:szCs w:val="20"/>
                <w:lang w:val="en-US"/>
              </w:rPr>
              <w:tab/>
            </w:r>
            <w:r>
              <w:rPr>
                <w:sz w:val="20"/>
                <w:szCs w:val="20"/>
                <w:lang w:val="en-US"/>
              </w:rPr>
              <w:t>Ade Olumide</w:t>
            </w:r>
          </w:p>
          <w:p w:rsidR="002B2FDC" w:rsidRDefault="002B2FDC" w:rsidP="005F1ED8">
            <w:pPr>
              <w:rPr>
                <w:sz w:val="20"/>
                <w:szCs w:val="20"/>
                <w:lang w:val="en-US"/>
              </w:rPr>
            </w:pPr>
          </w:p>
          <w:p w:rsidR="002B2FDC" w:rsidRDefault="002B2FDC" w:rsidP="005F1ED8">
            <w:pPr>
              <w:rPr>
                <w:sz w:val="20"/>
                <w:szCs w:val="20"/>
                <w:lang w:val="en-US"/>
              </w:rPr>
            </w:pPr>
            <w:r>
              <w:rPr>
                <w:sz w:val="20"/>
                <w:szCs w:val="20"/>
                <w:lang w:val="en-US"/>
              </w:rPr>
              <w:tab/>
              <w:t>v. (37604)</w:t>
            </w:r>
          </w:p>
          <w:p w:rsidR="002B2FDC" w:rsidRDefault="002B2FDC" w:rsidP="005F1ED8">
            <w:pPr>
              <w:rPr>
                <w:sz w:val="20"/>
                <w:szCs w:val="20"/>
                <w:lang w:val="en-US"/>
              </w:rPr>
            </w:pPr>
          </w:p>
          <w:p w:rsidR="002B2FDC" w:rsidRDefault="002B2FDC" w:rsidP="005F1ED8">
            <w:pPr>
              <w:rPr>
                <w:b/>
                <w:sz w:val="20"/>
                <w:szCs w:val="20"/>
                <w:lang w:val="en-US"/>
              </w:rPr>
            </w:pPr>
            <w:r>
              <w:rPr>
                <w:b/>
                <w:sz w:val="20"/>
                <w:szCs w:val="20"/>
                <w:lang w:val="en-US"/>
              </w:rPr>
              <w:t>Her Majesty the Queen in Right of Canada et al. (F.C.)</w:t>
            </w:r>
          </w:p>
          <w:p w:rsidR="002B2FDC" w:rsidRDefault="002B2FDC" w:rsidP="005F1ED8">
            <w:pPr>
              <w:rPr>
                <w:sz w:val="20"/>
                <w:szCs w:val="20"/>
                <w:lang w:val="en-US"/>
              </w:rPr>
            </w:pPr>
            <w:r>
              <w:rPr>
                <w:sz w:val="20"/>
                <w:szCs w:val="20"/>
                <w:lang w:val="en-US"/>
              </w:rPr>
              <w:tab/>
            </w:r>
            <w:r w:rsidR="001B7137">
              <w:rPr>
                <w:sz w:val="20"/>
                <w:szCs w:val="20"/>
                <w:lang w:val="en-US"/>
              </w:rPr>
              <w:t>Daniel Caron</w:t>
            </w:r>
          </w:p>
          <w:p w:rsidR="001B7137" w:rsidRDefault="001B7137" w:rsidP="005F1ED8">
            <w:pPr>
              <w:rPr>
                <w:sz w:val="20"/>
                <w:szCs w:val="20"/>
                <w:lang w:val="en-US"/>
              </w:rPr>
            </w:pPr>
            <w:r>
              <w:rPr>
                <w:sz w:val="20"/>
                <w:szCs w:val="20"/>
                <w:lang w:val="en-US"/>
              </w:rPr>
              <w:tab/>
              <w:t>A.G. of Canada</w:t>
            </w:r>
          </w:p>
          <w:p w:rsidR="001B7137" w:rsidRDefault="001B7137" w:rsidP="005F1ED8">
            <w:pPr>
              <w:rPr>
                <w:sz w:val="20"/>
                <w:szCs w:val="20"/>
                <w:lang w:val="en-US"/>
              </w:rPr>
            </w:pPr>
          </w:p>
          <w:p w:rsidR="001B7137" w:rsidRDefault="001B7137" w:rsidP="005F1ED8">
            <w:pPr>
              <w:rPr>
                <w:sz w:val="20"/>
                <w:szCs w:val="20"/>
                <w:lang w:val="en-US"/>
              </w:rPr>
            </w:pPr>
            <w:r>
              <w:rPr>
                <w:sz w:val="20"/>
                <w:szCs w:val="20"/>
                <w:lang w:val="en-US"/>
              </w:rPr>
              <w:t>FILING DATE 27.01.2017</w:t>
            </w:r>
          </w:p>
          <w:p w:rsidR="001B7137" w:rsidRDefault="00ED4247" w:rsidP="005F1ED8">
            <w:pPr>
              <w:rPr>
                <w:sz w:val="20"/>
                <w:szCs w:val="20"/>
                <w:lang w:val="fr-CA"/>
              </w:rPr>
            </w:pPr>
            <w:r>
              <w:rPr>
                <w:sz w:val="20"/>
                <w:szCs w:val="20"/>
                <w:lang w:val="fr-CA"/>
              </w:rPr>
              <w:pict>
                <v:rect id="_x0000_i1035" style="width:108pt;height:1pt" o:hrpct="0" o:hralign="center" o:hrstd="t" o:hrnoshade="t" o:hr="t" fillcolor="black [3213]" stroked="f"/>
              </w:pict>
            </w:r>
          </w:p>
          <w:p w:rsidR="001B7137" w:rsidRPr="002B2FDC" w:rsidRDefault="001B7137" w:rsidP="005F1ED8">
            <w:pPr>
              <w:rPr>
                <w:sz w:val="20"/>
                <w:szCs w:val="20"/>
                <w:lang w:val="en-US"/>
              </w:rPr>
            </w:pPr>
          </w:p>
        </w:tc>
        <w:tc>
          <w:tcPr>
            <w:tcW w:w="1181" w:type="dxa"/>
            <w:shd w:val="clear" w:color="auto" w:fill="auto"/>
          </w:tcPr>
          <w:p w:rsidR="00ED6F3C" w:rsidRPr="00946D29" w:rsidRDefault="00ED6F3C" w:rsidP="00242AEE">
            <w:pPr>
              <w:jc w:val="center"/>
              <w:rPr>
                <w:sz w:val="20"/>
                <w:szCs w:val="20"/>
                <w:lang w:val="en-US"/>
              </w:rPr>
            </w:pPr>
          </w:p>
        </w:tc>
        <w:tc>
          <w:tcPr>
            <w:tcW w:w="4320" w:type="dxa"/>
            <w:shd w:val="clear" w:color="auto" w:fill="auto"/>
          </w:tcPr>
          <w:p w:rsidR="00ED6F3C" w:rsidRDefault="008B5A77" w:rsidP="005F1ED8">
            <w:pPr>
              <w:rPr>
                <w:b/>
                <w:sz w:val="20"/>
                <w:szCs w:val="20"/>
                <w:lang w:val="en-US"/>
              </w:rPr>
            </w:pPr>
            <w:r>
              <w:rPr>
                <w:b/>
                <w:sz w:val="20"/>
                <w:szCs w:val="20"/>
                <w:lang w:val="en-US"/>
              </w:rPr>
              <w:t>Ade Olumide</w:t>
            </w:r>
          </w:p>
          <w:p w:rsidR="008B5A77" w:rsidRDefault="008B5A77" w:rsidP="005F1ED8">
            <w:pPr>
              <w:rPr>
                <w:sz w:val="20"/>
                <w:szCs w:val="20"/>
                <w:lang w:val="en-US"/>
              </w:rPr>
            </w:pPr>
            <w:r>
              <w:rPr>
                <w:b/>
                <w:sz w:val="20"/>
                <w:szCs w:val="20"/>
                <w:lang w:val="en-US"/>
              </w:rPr>
              <w:tab/>
            </w:r>
            <w:r>
              <w:rPr>
                <w:sz w:val="20"/>
                <w:szCs w:val="20"/>
                <w:lang w:val="en-US"/>
              </w:rPr>
              <w:t>Ade Olumide</w:t>
            </w:r>
          </w:p>
          <w:p w:rsidR="008B5A77" w:rsidRDefault="008B5A77" w:rsidP="005F1ED8">
            <w:pPr>
              <w:rPr>
                <w:sz w:val="20"/>
                <w:szCs w:val="20"/>
                <w:lang w:val="en-US"/>
              </w:rPr>
            </w:pPr>
          </w:p>
          <w:p w:rsidR="008B5A77" w:rsidRDefault="008B5A77" w:rsidP="005F1ED8">
            <w:pPr>
              <w:rPr>
                <w:sz w:val="20"/>
                <w:szCs w:val="20"/>
                <w:lang w:val="en-US"/>
              </w:rPr>
            </w:pPr>
            <w:r>
              <w:rPr>
                <w:sz w:val="20"/>
                <w:szCs w:val="20"/>
                <w:lang w:val="en-US"/>
              </w:rPr>
              <w:tab/>
              <w:t>v. (37605)</w:t>
            </w:r>
          </w:p>
          <w:p w:rsidR="008B5A77" w:rsidRDefault="008B5A77" w:rsidP="005F1ED8">
            <w:pPr>
              <w:rPr>
                <w:sz w:val="20"/>
                <w:szCs w:val="20"/>
                <w:lang w:val="en-US"/>
              </w:rPr>
            </w:pPr>
          </w:p>
          <w:p w:rsidR="00ED2149" w:rsidRDefault="00ED2149" w:rsidP="00ED2149">
            <w:pPr>
              <w:rPr>
                <w:b/>
                <w:sz w:val="20"/>
                <w:szCs w:val="20"/>
                <w:lang w:val="en-US"/>
              </w:rPr>
            </w:pPr>
            <w:r>
              <w:rPr>
                <w:b/>
                <w:sz w:val="20"/>
                <w:szCs w:val="20"/>
                <w:lang w:val="en-US"/>
              </w:rPr>
              <w:t>Her Majesty the Queen in Right of Canada et al. (F.C.)</w:t>
            </w:r>
          </w:p>
          <w:p w:rsidR="00ED2149" w:rsidRDefault="00ED2149" w:rsidP="00ED2149">
            <w:pPr>
              <w:rPr>
                <w:sz w:val="20"/>
                <w:szCs w:val="20"/>
                <w:lang w:val="en-US"/>
              </w:rPr>
            </w:pPr>
            <w:r>
              <w:rPr>
                <w:sz w:val="20"/>
                <w:szCs w:val="20"/>
                <w:lang w:val="en-US"/>
              </w:rPr>
              <w:tab/>
              <w:t>Daniel Caron</w:t>
            </w:r>
          </w:p>
          <w:p w:rsidR="00ED2149" w:rsidRDefault="00ED2149" w:rsidP="00ED2149">
            <w:pPr>
              <w:rPr>
                <w:sz w:val="20"/>
                <w:szCs w:val="20"/>
                <w:lang w:val="en-US"/>
              </w:rPr>
            </w:pPr>
            <w:r>
              <w:rPr>
                <w:sz w:val="20"/>
                <w:szCs w:val="20"/>
                <w:lang w:val="en-US"/>
              </w:rPr>
              <w:tab/>
              <w:t>A.G. of Canada</w:t>
            </w:r>
          </w:p>
          <w:p w:rsidR="00ED2149" w:rsidRDefault="00ED2149" w:rsidP="00ED2149">
            <w:pPr>
              <w:rPr>
                <w:sz w:val="20"/>
                <w:szCs w:val="20"/>
                <w:lang w:val="en-US"/>
              </w:rPr>
            </w:pPr>
          </w:p>
          <w:p w:rsidR="00ED2149" w:rsidRDefault="00ED2149" w:rsidP="00ED2149">
            <w:pPr>
              <w:rPr>
                <w:sz w:val="20"/>
                <w:szCs w:val="20"/>
                <w:lang w:val="en-US"/>
              </w:rPr>
            </w:pPr>
            <w:r>
              <w:rPr>
                <w:sz w:val="20"/>
                <w:szCs w:val="20"/>
                <w:lang w:val="en-US"/>
              </w:rPr>
              <w:t>FILING DATE 27.01.2017</w:t>
            </w:r>
          </w:p>
          <w:p w:rsidR="008B5A77" w:rsidRPr="008B5A77" w:rsidRDefault="00ED4247" w:rsidP="005F1ED8">
            <w:pPr>
              <w:rPr>
                <w:sz w:val="20"/>
                <w:szCs w:val="20"/>
                <w:lang w:val="en-US"/>
              </w:rPr>
            </w:pPr>
            <w:r>
              <w:rPr>
                <w:sz w:val="20"/>
                <w:szCs w:val="20"/>
                <w:lang w:val="fr-CA"/>
              </w:rPr>
              <w:pict>
                <v:rect id="_x0000_i1036" style="width:108pt;height:1pt" o:hrpct="0" o:hralign="center" o:hrstd="t" o:hrnoshade="t" o:hr="t" fillcolor="black [3213]" stroked="f"/>
              </w:pict>
            </w:r>
          </w:p>
        </w:tc>
      </w:tr>
      <w:tr w:rsidR="00ED6F3C" w:rsidRPr="00ED2149" w:rsidTr="003B3977">
        <w:tc>
          <w:tcPr>
            <w:tcW w:w="4320" w:type="dxa"/>
            <w:shd w:val="clear" w:color="auto" w:fill="auto"/>
          </w:tcPr>
          <w:p w:rsidR="00ED6F3C" w:rsidRPr="00357E14" w:rsidRDefault="00ED2149" w:rsidP="005F1ED8">
            <w:pPr>
              <w:rPr>
                <w:b/>
                <w:sz w:val="20"/>
                <w:szCs w:val="20"/>
                <w:lang w:val="fr-CA"/>
              </w:rPr>
            </w:pPr>
            <w:r w:rsidRPr="00357E14">
              <w:rPr>
                <w:b/>
                <w:sz w:val="20"/>
                <w:szCs w:val="20"/>
                <w:lang w:val="fr-CA"/>
              </w:rPr>
              <w:t>Sa Majesté la Reine</w:t>
            </w:r>
          </w:p>
          <w:p w:rsidR="00ED2149" w:rsidRPr="00357E14" w:rsidRDefault="00ED2149" w:rsidP="005F1ED8">
            <w:pPr>
              <w:rPr>
                <w:sz w:val="20"/>
                <w:szCs w:val="20"/>
                <w:lang w:val="fr-CA"/>
              </w:rPr>
            </w:pPr>
            <w:r w:rsidRPr="00357E14">
              <w:rPr>
                <w:b/>
                <w:sz w:val="20"/>
                <w:szCs w:val="20"/>
                <w:lang w:val="fr-CA"/>
              </w:rPr>
              <w:tab/>
            </w:r>
            <w:r w:rsidRPr="00357E14">
              <w:rPr>
                <w:sz w:val="20"/>
                <w:szCs w:val="20"/>
                <w:lang w:val="fr-CA"/>
              </w:rPr>
              <w:t>Nicolas Abran</w:t>
            </w:r>
          </w:p>
          <w:p w:rsidR="00ED2149" w:rsidRDefault="00ED2149" w:rsidP="005F1ED8">
            <w:pPr>
              <w:rPr>
                <w:sz w:val="20"/>
                <w:szCs w:val="20"/>
                <w:lang w:val="fr-CA"/>
              </w:rPr>
            </w:pPr>
            <w:r w:rsidRPr="00357E14">
              <w:rPr>
                <w:sz w:val="20"/>
                <w:szCs w:val="20"/>
                <w:lang w:val="fr-CA"/>
              </w:rPr>
              <w:tab/>
            </w:r>
            <w:r w:rsidRPr="00ED2149">
              <w:rPr>
                <w:sz w:val="20"/>
                <w:szCs w:val="20"/>
                <w:lang w:val="fr-CA"/>
              </w:rPr>
              <w:t xml:space="preserve">Directeur des poursuites criminelles et </w:t>
            </w:r>
            <w:r w:rsidRPr="00ED2149">
              <w:rPr>
                <w:sz w:val="20"/>
                <w:szCs w:val="20"/>
                <w:lang w:val="fr-CA"/>
              </w:rPr>
              <w:tab/>
              <w:t>pénales du Québec</w:t>
            </w:r>
          </w:p>
          <w:p w:rsidR="00ED2149" w:rsidRDefault="00ED2149" w:rsidP="005F1ED8">
            <w:pPr>
              <w:rPr>
                <w:sz w:val="20"/>
                <w:szCs w:val="20"/>
                <w:lang w:val="fr-CA"/>
              </w:rPr>
            </w:pPr>
          </w:p>
          <w:p w:rsidR="00ED2149" w:rsidRDefault="00ED2149" w:rsidP="005F1ED8">
            <w:pPr>
              <w:rPr>
                <w:sz w:val="20"/>
                <w:szCs w:val="20"/>
                <w:lang w:val="fr-CA"/>
              </w:rPr>
            </w:pPr>
            <w:r>
              <w:rPr>
                <w:sz w:val="20"/>
                <w:szCs w:val="20"/>
                <w:lang w:val="fr-CA"/>
              </w:rPr>
              <w:tab/>
              <w:t>c. (37587)</w:t>
            </w:r>
          </w:p>
          <w:p w:rsidR="00ED2149" w:rsidRDefault="00ED2149" w:rsidP="005F1ED8">
            <w:pPr>
              <w:rPr>
                <w:sz w:val="20"/>
                <w:szCs w:val="20"/>
                <w:lang w:val="fr-CA"/>
              </w:rPr>
            </w:pPr>
          </w:p>
          <w:p w:rsidR="00ED2149" w:rsidRDefault="00ED2149" w:rsidP="005F1ED8">
            <w:pPr>
              <w:rPr>
                <w:b/>
                <w:sz w:val="20"/>
                <w:szCs w:val="20"/>
                <w:lang w:val="fr-CA"/>
              </w:rPr>
            </w:pPr>
            <w:r>
              <w:rPr>
                <w:b/>
                <w:sz w:val="20"/>
                <w:szCs w:val="20"/>
                <w:lang w:val="fr-CA"/>
              </w:rPr>
              <w:t>Christian Bertrand (Qc)</w:t>
            </w:r>
          </w:p>
          <w:p w:rsidR="00ED2149" w:rsidRDefault="00ED2149" w:rsidP="005F1ED8">
            <w:pPr>
              <w:rPr>
                <w:sz w:val="20"/>
                <w:szCs w:val="20"/>
                <w:lang w:val="fr-CA"/>
              </w:rPr>
            </w:pPr>
            <w:r>
              <w:rPr>
                <w:sz w:val="20"/>
                <w:szCs w:val="20"/>
                <w:lang w:val="fr-CA"/>
              </w:rPr>
              <w:tab/>
              <w:t>Marie-Hélène Giroux</w:t>
            </w:r>
          </w:p>
          <w:p w:rsidR="00ED2149" w:rsidRDefault="00ED2149" w:rsidP="005F1ED8">
            <w:pPr>
              <w:rPr>
                <w:sz w:val="20"/>
                <w:szCs w:val="20"/>
                <w:lang w:val="fr-CA"/>
              </w:rPr>
            </w:pPr>
            <w:r>
              <w:rPr>
                <w:sz w:val="20"/>
                <w:szCs w:val="20"/>
                <w:lang w:val="fr-CA"/>
              </w:rPr>
              <w:tab/>
              <w:t xml:space="preserve">Monterrosso, Giroux, Lamoureux, </w:t>
            </w:r>
            <w:r>
              <w:rPr>
                <w:sz w:val="20"/>
                <w:szCs w:val="20"/>
                <w:lang w:val="fr-CA"/>
              </w:rPr>
              <w:tab/>
              <w:t>avocats</w:t>
            </w:r>
          </w:p>
          <w:p w:rsidR="00ED2149" w:rsidRDefault="00ED2149" w:rsidP="005F1ED8">
            <w:pPr>
              <w:rPr>
                <w:sz w:val="20"/>
                <w:szCs w:val="20"/>
                <w:lang w:val="fr-CA"/>
              </w:rPr>
            </w:pPr>
          </w:p>
          <w:p w:rsidR="00ED2149" w:rsidRDefault="00ED2149" w:rsidP="005F1ED8">
            <w:pPr>
              <w:rPr>
                <w:sz w:val="20"/>
                <w:szCs w:val="20"/>
                <w:lang w:val="fr-CA"/>
              </w:rPr>
            </w:pPr>
            <w:r>
              <w:rPr>
                <w:sz w:val="20"/>
                <w:szCs w:val="20"/>
                <w:lang w:val="fr-CA"/>
              </w:rPr>
              <w:t>DATE DE PRODUCTION : 29.05.2017</w:t>
            </w:r>
          </w:p>
          <w:p w:rsidR="00ED2149" w:rsidRDefault="00ED4247" w:rsidP="005F1ED8">
            <w:pPr>
              <w:rPr>
                <w:sz w:val="20"/>
                <w:szCs w:val="20"/>
                <w:lang w:val="fr-CA"/>
              </w:rPr>
            </w:pPr>
            <w:r>
              <w:rPr>
                <w:sz w:val="20"/>
                <w:szCs w:val="20"/>
                <w:lang w:val="fr-CA"/>
              </w:rPr>
              <w:pict>
                <v:rect id="_x0000_i1037" style="width:108pt;height:1pt" o:hrpct="0" o:hralign="center" o:hrstd="t" o:hrnoshade="t" o:hr="t" fillcolor="black [3213]" stroked="f"/>
              </w:pict>
            </w:r>
          </w:p>
          <w:p w:rsidR="00ED2149" w:rsidRPr="00ED2149" w:rsidRDefault="00ED2149" w:rsidP="005F1ED8">
            <w:pPr>
              <w:rPr>
                <w:sz w:val="20"/>
                <w:szCs w:val="20"/>
                <w:lang w:val="fr-CA"/>
              </w:rPr>
            </w:pPr>
          </w:p>
        </w:tc>
        <w:tc>
          <w:tcPr>
            <w:tcW w:w="1181" w:type="dxa"/>
            <w:shd w:val="clear" w:color="auto" w:fill="auto"/>
          </w:tcPr>
          <w:p w:rsidR="00ED6F3C" w:rsidRPr="00ED2149" w:rsidRDefault="00ED6F3C" w:rsidP="00242AEE">
            <w:pPr>
              <w:jc w:val="center"/>
              <w:rPr>
                <w:sz w:val="20"/>
                <w:szCs w:val="20"/>
                <w:lang w:val="fr-CA"/>
              </w:rPr>
            </w:pPr>
          </w:p>
        </w:tc>
        <w:tc>
          <w:tcPr>
            <w:tcW w:w="4320" w:type="dxa"/>
            <w:shd w:val="clear" w:color="auto" w:fill="auto"/>
          </w:tcPr>
          <w:p w:rsidR="00ED6F3C" w:rsidRDefault="00ED2149" w:rsidP="005F1ED8">
            <w:pPr>
              <w:rPr>
                <w:b/>
                <w:sz w:val="20"/>
                <w:szCs w:val="20"/>
                <w:lang w:val="en-US"/>
              </w:rPr>
            </w:pPr>
            <w:r w:rsidRPr="00ED2149">
              <w:rPr>
                <w:b/>
                <w:sz w:val="20"/>
                <w:szCs w:val="20"/>
                <w:lang w:val="en-US"/>
              </w:rPr>
              <w:t>Attorney General of Canada on behalf of the United</w:t>
            </w:r>
            <w:r>
              <w:rPr>
                <w:b/>
                <w:sz w:val="20"/>
                <w:szCs w:val="20"/>
                <w:lang w:val="en-US"/>
              </w:rPr>
              <w:t xml:space="preserve"> States of America</w:t>
            </w:r>
          </w:p>
          <w:p w:rsidR="00ED2149" w:rsidRDefault="00ED2149" w:rsidP="005F1ED8">
            <w:pPr>
              <w:rPr>
                <w:sz w:val="20"/>
                <w:szCs w:val="20"/>
                <w:lang w:val="en-US"/>
              </w:rPr>
            </w:pPr>
            <w:r>
              <w:rPr>
                <w:b/>
                <w:sz w:val="20"/>
                <w:szCs w:val="20"/>
                <w:lang w:val="en-US"/>
              </w:rPr>
              <w:tab/>
            </w:r>
            <w:r>
              <w:rPr>
                <w:sz w:val="20"/>
                <w:szCs w:val="20"/>
                <w:lang w:val="en-US"/>
              </w:rPr>
              <w:t>Diba B. Majzub</w:t>
            </w:r>
          </w:p>
          <w:p w:rsidR="00ED2149" w:rsidRDefault="00ED2149" w:rsidP="005F1ED8">
            <w:pPr>
              <w:rPr>
                <w:sz w:val="20"/>
                <w:szCs w:val="20"/>
                <w:lang w:val="en-US"/>
              </w:rPr>
            </w:pPr>
            <w:r>
              <w:rPr>
                <w:sz w:val="20"/>
                <w:szCs w:val="20"/>
                <w:lang w:val="en-US"/>
              </w:rPr>
              <w:tab/>
              <w:t>A.G. of Canada</w:t>
            </w:r>
          </w:p>
          <w:p w:rsidR="00ED2149" w:rsidRDefault="00ED2149" w:rsidP="005F1ED8">
            <w:pPr>
              <w:rPr>
                <w:sz w:val="20"/>
                <w:szCs w:val="20"/>
                <w:lang w:val="en-US"/>
              </w:rPr>
            </w:pPr>
          </w:p>
          <w:p w:rsidR="00ED2149" w:rsidRPr="00357E14" w:rsidRDefault="00ED2149" w:rsidP="005F1ED8">
            <w:pPr>
              <w:rPr>
                <w:sz w:val="20"/>
                <w:szCs w:val="20"/>
                <w:lang w:val="fr-CA"/>
              </w:rPr>
            </w:pPr>
            <w:r>
              <w:rPr>
                <w:sz w:val="20"/>
                <w:szCs w:val="20"/>
                <w:lang w:val="en-US"/>
              </w:rPr>
              <w:tab/>
            </w:r>
            <w:r w:rsidRPr="00357E14">
              <w:rPr>
                <w:sz w:val="20"/>
                <w:szCs w:val="20"/>
                <w:lang w:val="fr-CA"/>
              </w:rPr>
              <w:t>v. (37588)</w:t>
            </w:r>
          </w:p>
          <w:p w:rsidR="00ED2149" w:rsidRPr="00357E14" w:rsidRDefault="00ED2149" w:rsidP="005F1ED8">
            <w:pPr>
              <w:rPr>
                <w:sz w:val="20"/>
                <w:szCs w:val="20"/>
                <w:lang w:val="fr-CA"/>
              </w:rPr>
            </w:pPr>
          </w:p>
          <w:p w:rsidR="00ED2149" w:rsidRPr="00357E14" w:rsidRDefault="00ED2149" w:rsidP="005F1ED8">
            <w:pPr>
              <w:rPr>
                <w:b/>
                <w:sz w:val="20"/>
                <w:szCs w:val="20"/>
                <w:lang w:val="en-US"/>
              </w:rPr>
            </w:pPr>
            <w:r w:rsidRPr="00ED2149">
              <w:rPr>
                <w:b/>
                <w:sz w:val="20"/>
                <w:szCs w:val="20"/>
                <w:lang w:val="fr-CA"/>
              </w:rPr>
              <w:t xml:space="preserve">Shane Donald Fraser et al. </w:t>
            </w:r>
            <w:r w:rsidRPr="00357E14">
              <w:rPr>
                <w:b/>
                <w:sz w:val="20"/>
                <w:szCs w:val="20"/>
                <w:lang w:val="en-US"/>
              </w:rPr>
              <w:t>(B.C.)</w:t>
            </w:r>
          </w:p>
          <w:p w:rsidR="00ED2149" w:rsidRPr="00357E14" w:rsidRDefault="00ED2149" w:rsidP="005F1ED8">
            <w:pPr>
              <w:rPr>
                <w:sz w:val="20"/>
                <w:szCs w:val="20"/>
                <w:lang w:val="en-US"/>
              </w:rPr>
            </w:pPr>
            <w:r w:rsidRPr="00357E14">
              <w:rPr>
                <w:sz w:val="20"/>
                <w:szCs w:val="20"/>
                <w:lang w:val="en-US"/>
              </w:rPr>
              <w:tab/>
              <w:t>Jason B. Gratl</w:t>
            </w:r>
          </w:p>
          <w:p w:rsidR="00ED2149" w:rsidRPr="00357E14" w:rsidRDefault="00ED2149" w:rsidP="005F1ED8">
            <w:pPr>
              <w:rPr>
                <w:sz w:val="20"/>
                <w:szCs w:val="20"/>
                <w:lang w:val="en-US"/>
              </w:rPr>
            </w:pPr>
            <w:r w:rsidRPr="00357E14">
              <w:rPr>
                <w:sz w:val="20"/>
                <w:szCs w:val="20"/>
                <w:lang w:val="en-US"/>
              </w:rPr>
              <w:tab/>
              <w:t>Gratl &amp; Company</w:t>
            </w:r>
          </w:p>
          <w:p w:rsidR="00ED2149" w:rsidRPr="00357E14" w:rsidRDefault="00ED2149" w:rsidP="005F1ED8">
            <w:pPr>
              <w:rPr>
                <w:sz w:val="20"/>
                <w:szCs w:val="20"/>
                <w:lang w:val="en-US"/>
              </w:rPr>
            </w:pPr>
          </w:p>
          <w:p w:rsidR="00ED2149" w:rsidRDefault="00ED2149" w:rsidP="005F1ED8">
            <w:pPr>
              <w:rPr>
                <w:sz w:val="20"/>
                <w:szCs w:val="20"/>
                <w:lang w:val="fr-CA"/>
              </w:rPr>
            </w:pPr>
            <w:r>
              <w:rPr>
                <w:sz w:val="20"/>
                <w:szCs w:val="20"/>
                <w:lang w:val="fr-CA"/>
              </w:rPr>
              <w:t>FILING DATE : 30.05.2017</w:t>
            </w:r>
          </w:p>
          <w:p w:rsidR="00ED2149" w:rsidRPr="00ED2149" w:rsidRDefault="00ED4247" w:rsidP="005F1ED8">
            <w:pPr>
              <w:rPr>
                <w:sz w:val="20"/>
                <w:szCs w:val="20"/>
                <w:lang w:val="fr-CA"/>
              </w:rPr>
            </w:pPr>
            <w:r>
              <w:rPr>
                <w:sz w:val="20"/>
                <w:szCs w:val="20"/>
                <w:lang w:val="fr-CA"/>
              </w:rPr>
              <w:pict>
                <v:rect id="_x0000_i1038" style="width:108pt;height:1pt" o:hrpct="0" o:hralign="center" o:hrstd="t" o:hrnoshade="t" o:hr="t" fillcolor="black [3213]" stroked="f"/>
              </w:pict>
            </w:r>
          </w:p>
        </w:tc>
      </w:tr>
      <w:tr w:rsidR="00ED6F3C" w:rsidRPr="00ED2149" w:rsidTr="003B3977">
        <w:tc>
          <w:tcPr>
            <w:tcW w:w="4320" w:type="dxa"/>
            <w:shd w:val="clear" w:color="auto" w:fill="auto"/>
          </w:tcPr>
          <w:p w:rsidR="00ED6F3C" w:rsidRPr="00357E14" w:rsidRDefault="00ED2149" w:rsidP="005F1ED8">
            <w:pPr>
              <w:rPr>
                <w:b/>
                <w:sz w:val="20"/>
                <w:szCs w:val="20"/>
                <w:lang w:val="en-US"/>
              </w:rPr>
            </w:pPr>
            <w:r w:rsidRPr="00357E14">
              <w:rPr>
                <w:b/>
                <w:sz w:val="20"/>
                <w:szCs w:val="20"/>
                <w:lang w:val="en-US"/>
              </w:rPr>
              <w:lastRenderedPageBreak/>
              <w:t>Teamsters Canada Rail Conference</w:t>
            </w:r>
          </w:p>
          <w:p w:rsidR="00ED2149" w:rsidRPr="00357E14" w:rsidRDefault="00ED2149" w:rsidP="005F1ED8">
            <w:pPr>
              <w:rPr>
                <w:sz w:val="20"/>
                <w:szCs w:val="20"/>
                <w:lang w:val="en-US"/>
              </w:rPr>
            </w:pPr>
            <w:r w:rsidRPr="00357E14">
              <w:rPr>
                <w:b/>
                <w:sz w:val="20"/>
                <w:szCs w:val="20"/>
                <w:lang w:val="en-US"/>
              </w:rPr>
              <w:tab/>
            </w:r>
            <w:r w:rsidRPr="00357E14">
              <w:rPr>
                <w:sz w:val="20"/>
                <w:szCs w:val="20"/>
                <w:lang w:val="en-US"/>
              </w:rPr>
              <w:t>Sylvain Beauchamp</w:t>
            </w:r>
          </w:p>
          <w:p w:rsidR="00ED2149" w:rsidRDefault="00ED2149" w:rsidP="005F1ED8">
            <w:pPr>
              <w:rPr>
                <w:sz w:val="20"/>
                <w:szCs w:val="20"/>
                <w:lang w:val="fr-CA"/>
              </w:rPr>
            </w:pPr>
            <w:r w:rsidRPr="00357E14">
              <w:rPr>
                <w:sz w:val="20"/>
                <w:szCs w:val="20"/>
                <w:lang w:val="en-US"/>
              </w:rPr>
              <w:tab/>
            </w:r>
            <w:r>
              <w:rPr>
                <w:sz w:val="20"/>
                <w:szCs w:val="20"/>
                <w:lang w:val="fr-CA"/>
              </w:rPr>
              <w:t>Melançon, Marceau, Grenier &amp; Sciortino</w:t>
            </w:r>
          </w:p>
          <w:p w:rsidR="00ED2149" w:rsidRDefault="00ED2149" w:rsidP="005F1ED8">
            <w:pPr>
              <w:rPr>
                <w:sz w:val="20"/>
                <w:szCs w:val="20"/>
                <w:lang w:val="fr-CA"/>
              </w:rPr>
            </w:pPr>
          </w:p>
          <w:p w:rsidR="00ED2149" w:rsidRDefault="00ED2149" w:rsidP="005F1ED8">
            <w:pPr>
              <w:rPr>
                <w:sz w:val="20"/>
                <w:szCs w:val="20"/>
                <w:lang w:val="fr-CA"/>
              </w:rPr>
            </w:pPr>
            <w:r>
              <w:rPr>
                <w:sz w:val="20"/>
                <w:szCs w:val="20"/>
                <w:lang w:val="fr-CA"/>
              </w:rPr>
              <w:tab/>
              <w:t>v. (37590)</w:t>
            </w:r>
          </w:p>
          <w:p w:rsidR="00ED2149" w:rsidRDefault="00ED2149" w:rsidP="005F1ED8">
            <w:pPr>
              <w:rPr>
                <w:sz w:val="20"/>
                <w:szCs w:val="20"/>
                <w:lang w:val="fr-CA"/>
              </w:rPr>
            </w:pPr>
          </w:p>
          <w:p w:rsidR="00ED2149" w:rsidRPr="00ED2149" w:rsidRDefault="00ED2149" w:rsidP="005F1ED8">
            <w:pPr>
              <w:rPr>
                <w:b/>
                <w:sz w:val="20"/>
                <w:szCs w:val="20"/>
                <w:lang w:val="en-US"/>
              </w:rPr>
            </w:pPr>
            <w:r w:rsidRPr="00ED2149">
              <w:rPr>
                <w:b/>
                <w:sz w:val="20"/>
                <w:szCs w:val="20"/>
                <w:lang w:val="en-US"/>
              </w:rPr>
              <w:t>Canadian National Railway Company (Que.)</w:t>
            </w:r>
          </w:p>
          <w:p w:rsidR="00ED2149" w:rsidRDefault="00ED2149" w:rsidP="005F1ED8">
            <w:pPr>
              <w:rPr>
                <w:sz w:val="20"/>
                <w:szCs w:val="20"/>
                <w:lang w:val="en-US"/>
              </w:rPr>
            </w:pPr>
            <w:r>
              <w:rPr>
                <w:sz w:val="20"/>
                <w:szCs w:val="20"/>
                <w:lang w:val="en-US"/>
              </w:rPr>
              <w:tab/>
              <w:t>Guy J. Pratte</w:t>
            </w:r>
          </w:p>
          <w:p w:rsidR="00ED2149" w:rsidRDefault="00ED2149" w:rsidP="005F1ED8">
            <w:pPr>
              <w:rPr>
                <w:sz w:val="20"/>
                <w:szCs w:val="20"/>
                <w:lang w:val="en-US"/>
              </w:rPr>
            </w:pPr>
            <w:r>
              <w:rPr>
                <w:sz w:val="20"/>
                <w:szCs w:val="20"/>
                <w:lang w:val="en-US"/>
              </w:rPr>
              <w:tab/>
              <w:t>Borden Ladner Gervais s.e.n.c.r.l., s.r.l.</w:t>
            </w:r>
          </w:p>
          <w:p w:rsidR="00ED2149" w:rsidRDefault="00ED2149" w:rsidP="005F1ED8">
            <w:pPr>
              <w:rPr>
                <w:sz w:val="20"/>
                <w:szCs w:val="20"/>
                <w:lang w:val="en-US"/>
              </w:rPr>
            </w:pPr>
          </w:p>
          <w:p w:rsidR="00ED2149" w:rsidRDefault="00ED2149" w:rsidP="005F1ED8">
            <w:pPr>
              <w:rPr>
                <w:sz w:val="20"/>
                <w:szCs w:val="20"/>
                <w:lang w:val="en-US"/>
              </w:rPr>
            </w:pPr>
            <w:r>
              <w:rPr>
                <w:sz w:val="20"/>
                <w:szCs w:val="20"/>
                <w:lang w:val="en-US"/>
              </w:rPr>
              <w:t>FILING DATE: 30.05.2017</w:t>
            </w:r>
          </w:p>
          <w:p w:rsidR="00ED2149" w:rsidRDefault="00ED4247" w:rsidP="005F1ED8">
            <w:pPr>
              <w:rPr>
                <w:sz w:val="20"/>
                <w:szCs w:val="20"/>
                <w:lang w:val="fr-CA"/>
              </w:rPr>
            </w:pPr>
            <w:r>
              <w:rPr>
                <w:sz w:val="20"/>
                <w:szCs w:val="20"/>
                <w:lang w:val="fr-CA"/>
              </w:rPr>
              <w:pict>
                <v:rect id="_x0000_i1039" style="width:108pt;height:1pt" o:hrpct="0" o:hralign="center" o:hrstd="t" o:hrnoshade="t" o:hr="t" fillcolor="black [3213]" stroked="f"/>
              </w:pict>
            </w:r>
          </w:p>
          <w:p w:rsidR="00ED2149" w:rsidRPr="00ED2149" w:rsidRDefault="00ED2149" w:rsidP="005F1ED8">
            <w:pPr>
              <w:rPr>
                <w:sz w:val="20"/>
                <w:szCs w:val="20"/>
                <w:lang w:val="en-US"/>
              </w:rPr>
            </w:pPr>
          </w:p>
        </w:tc>
        <w:tc>
          <w:tcPr>
            <w:tcW w:w="1181" w:type="dxa"/>
            <w:shd w:val="clear" w:color="auto" w:fill="auto"/>
          </w:tcPr>
          <w:p w:rsidR="00ED6F3C" w:rsidRPr="00ED2149" w:rsidRDefault="00ED6F3C" w:rsidP="00242AEE">
            <w:pPr>
              <w:jc w:val="center"/>
              <w:rPr>
                <w:sz w:val="20"/>
                <w:szCs w:val="20"/>
                <w:lang w:val="en-US"/>
              </w:rPr>
            </w:pPr>
          </w:p>
        </w:tc>
        <w:tc>
          <w:tcPr>
            <w:tcW w:w="4320" w:type="dxa"/>
            <w:shd w:val="clear" w:color="auto" w:fill="auto"/>
          </w:tcPr>
          <w:p w:rsidR="00ED6F3C" w:rsidRDefault="00CA3F9F" w:rsidP="005F1ED8">
            <w:pPr>
              <w:rPr>
                <w:sz w:val="20"/>
                <w:szCs w:val="20"/>
                <w:lang w:val="en-US"/>
              </w:rPr>
            </w:pPr>
            <w:r>
              <w:rPr>
                <w:b/>
                <w:sz w:val="20"/>
                <w:szCs w:val="20"/>
                <w:lang w:val="en-US"/>
              </w:rPr>
              <w:t xml:space="preserve">Joseph Briante by his Litigation Guardian Carol Briante et al. </w:t>
            </w:r>
          </w:p>
          <w:p w:rsidR="00CA3F9F" w:rsidRDefault="00CA3F9F" w:rsidP="005F1ED8">
            <w:pPr>
              <w:rPr>
                <w:sz w:val="20"/>
                <w:szCs w:val="20"/>
                <w:lang w:val="en-US"/>
              </w:rPr>
            </w:pPr>
            <w:r>
              <w:rPr>
                <w:sz w:val="20"/>
                <w:szCs w:val="20"/>
                <w:lang w:val="en-US"/>
              </w:rPr>
              <w:tab/>
              <w:t>Robert W. Cameron</w:t>
            </w:r>
          </w:p>
          <w:p w:rsidR="00CA3F9F" w:rsidRDefault="00CA3F9F" w:rsidP="005F1ED8">
            <w:pPr>
              <w:rPr>
                <w:sz w:val="20"/>
                <w:szCs w:val="20"/>
                <w:lang w:val="en-US"/>
              </w:rPr>
            </w:pPr>
            <w:r>
              <w:rPr>
                <w:sz w:val="20"/>
                <w:szCs w:val="20"/>
                <w:lang w:val="en-US"/>
              </w:rPr>
              <w:tab/>
              <w:t>Robert W. Cameron Law Corporation</w:t>
            </w:r>
          </w:p>
          <w:p w:rsidR="00CA3F9F" w:rsidRDefault="00CA3F9F" w:rsidP="005F1ED8">
            <w:pPr>
              <w:rPr>
                <w:sz w:val="20"/>
                <w:szCs w:val="20"/>
                <w:lang w:val="en-US"/>
              </w:rPr>
            </w:pPr>
          </w:p>
          <w:p w:rsidR="00CA3F9F" w:rsidRDefault="00CA3F9F" w:rsidP="005F1ED8">
            <w:pPr>
              <w:rPr>
                <w:sz w:val="20"/>
                <w:szCs w:val="20"/>
                <w:lang w:val="en-US"/>
              </w:rPr>
            </w:pPr>
            <w:r>
              <w:rPr>
                <w:sz w:val="20"/>
                <w:szCs w:val="20"/>
                <w:lang w:val="en-US"/>
              </w:rPr>
              <w:tab/>
              <w:t>v. (37595)</w:t>
            </w:r>
          </w:p>
          <w:p w:rsidR="00CA3F9F" w:rsidRDefault="00CA3F9F" w:rsidP="005F1ED8">
            <w:pPr>
              <w:rPr>
                <w:sz w:val="20"/>
                <w:szCs w:val="20"/>
                <w:lang w:val="en-US"/>
              </w:rPr>
            </w:pPr>
          </w:p>
          <w:p w:rsidR="00CA3F9F" w:rsidRDefault="00CA3F9F" w:rsidP="005F1ED8">
            <w:pPr>
              <w:rPr>
                <w:b/>
                <w:sz w:val="20"/>
                <w:szCs w:val="20"/>
                <w:lang w:val="en-US"/>
              </w:rPr>
            </w:pPr>
            <w:r>
              <w:rPr>
                <w:b/>
                <w:sz w:val="20"/>
                <w:szCs w:val="20"/>
                <w:lang w:val="en-US"/>
              </w:rPr>
              <w:t>Vancouver Island Health Authority doing business as Royal Jubilee Hospital et al. (B.C.)</w:t>
            </w:r>
          </w:p>
          <w:p w:rsidR="00CA3F9F" w:rsidRDefault="00CA3F9F" w:rsidP="005F1ED8">
            <w:pPr>
              <w:rPr>
                <w:sz w:val="20"/>
                <w:szCs w:val="20"/>
                <w:lang w:val="en-US"/>
              </w:rPr>
            </w:pPr>
            <w:r>
              <w:rPr>
                <w:sz w:val="20"/>
                <w:szCs w:val="20"/>
                <w:lang w:val="en-US"/>
              </w:rPr>
              <w:tab/>
              <w:t>Neil Carfra</w:t>
            </w:r>
          </w:p>
          <w:p w:rsidR="00CA3F9F" w:rsidRDefault="00CA3F9F" w:rsidP="005F1ED8">
            <w:pPr>
              <w:rPr>
                <w:sz w:val="20"/>
                <w:szCs w:val="20"/>
                <w:lang w:val="en-US"/>
              </w:rPr>
            </w:pPr>
            <w:r>
              <w:rPr>
                <w:sz w:val="20"/>
                <w:szCs w:val="20"/>
                <w:lang w:val="en-US"/>
              </w:rPr>
              <w:tab/>
              <w:t>Carfra Lawton LLP</w:t>
            </w:r>
          </w:p>
          <w:p w:rsidR="00CA3F9F" w:rsidRDefault="00CA3F9F" w:rsidP="005F1ED8">
            <w:pPr>
              <w:rPr>
                <w:sz w:val="20"/>
                <w:szCs w:val="20"/>
                <w:lang w:val="en-US"/>
              </w:rPr>
            </w:pPr>
          </w:p>
          <w:p w:rsidR="00CA3F9F" w:rsidRDefault="00CA3F9F" w:rsidP="005F1ED8">
            <w:pPr>
              <w:rPr>
                <w:sz w:val="20"/>
                <w:szCs w:val="20"/>
                <w:lang w:val="en-US"/>
              </w:rPr>
            </w:pPr>
            <w:r>
              <w:rPr>
                <w:sz w:val="20"/>
                <w:szCs w:val="20"/>
                <w:lang w:val="en-US"/>
              </w:rPr>
              <w:t>FILING DATE: 02.06.2017</w:t>
            </w:r>
          </w:p>
          <w:p w:rsidR="00CA3F9F" w:rsidRDefault="00ED4247" w:rsidP="005F1ED8">
            <w:pPr>
              <w:rPr>
                <w:sz w:val="20"/>
                <w:szCs w:val="20"/>
                <w:lang w:val="fr-CA"/>
              </w:rPr>
            </w:pPr>
            <w:r>
              <w:rPr>
                <w:sz w:val="20"/>
                <w:szCs w:val="20"/>
                <w:lang w:val="fr-CA"/>
              </w:rPr>
              <w:pict>
                <v:rect id="_x0000_i1040" style="width:108pt;height:1pt" o:hrpct="0" o:hralign="center" o:hrstd="t" o:hrnoshade="t" o:hr="t" fillcolor="black [3213]" stroked="f"/>
              </w:pict>
            </w:r>
          </w:p>
          <w:p w:rsidR="00CA3F9F" w:rsidRPr="00CA3F9F" w:rsidRDefault="00CA3F9F" w:rsidP="005F1ED8">
            <w:pPr>
              <w:rPr>
                <w:sz w:val="20"/>
                <w:szCs w:val="20"/>
                <w:lang w:val="en-US"/>
              </w:rPr>
            </w:pPr>
          </w:p>
        </w:tc>
      </w:tr>
      <w:tr w:rsidR="00CA3F9F" w:rsidRPr="00B3261F" w:rsidTr="003B3977">
        <w:tc>
          <w:tcPr>
            <w:tcW w:w="4320" w:type="dxa"/>
            <w:shd w:val="clear" w:color="auto" w:fill="auto"/>
          </w:tcPr>
          <w:p w:rsidR="00CA3F9F" w:rsidRPr="00357E14" w:rsidRDefault="00B3261F" w:rsidP="005F1ED8">
            <w:pPr>
              <w:rPr>
                <w:b/>
                <w:sz w:val="20"/>
                <w:szCs w:val="20"/>
                <w:lang w:val="en-US"/>
              </w:rPr>
            </w:pPr>
            <w:r w:rsidRPr="00357E14">
              <w:rPr>
                <w:b/>
                <w:sz w:val="20"/>
                <w:szCs w:val="20"/>
                <w:lang w:val="en-US"/>
              </w:rPr>
              <w:t>Minister of Justice of Canada</w:t>
            </w:r>
          </w:p>
          <w:p w:rsidR="00B3261F" w:rsidRPr="00357E14" w:rsidRDefault="00B3261F" w:rsidP="005F1ED8">
            <w:pPr>
              <w:rPr>
                <w:sz w:val="20"/>
                <w:szCs w:val="20"/>
                <w:lang w:val="en-US"/>
              </w:rPr>
            </w:pPr>
            <w:r w:rsidRPr="00357E14">
              <w:rPr>
                <w:b/>
                <w:sz w:val="20"/>
                <w:szCs w:val="20"/>
                <w:lang w:val="en-US"/>
              </w:rPr>
              <w:tab/>
            </w:r>
            <w:r w:rsidRPr="00357E14">
              <w:rPr>
                <w:sz w:val="20"/>
                <w:szCs w:val="20"/>
                <w:lang w:val="en-US"/>
              </w:rPr>
              <w:t>Ginette Gobeil</w:t>
            </w:r>
          </w:p>
          <w:p w:rsidR="00B3261F" w:rsidRPr="00357E14" w:rsidRDefault="00B3261F" w:rsidP="00B3261F">
            <w:pPr>
              <w:rPr>
                <w:sz w:val="20"/>
                <w:szCs w:val="20"/>
                <w:lang w:val="en-US"/>
              </w:rPr>
            </w:pPr>
            <w:r w:rsidRPr="00357E14">
              <w:rPr>
                <w:sz w:val="20"/>
                <w:szCs w:val="20"/>
                <w:lang w:val="en-US"/>
              </w:rPr>
              <w:tab/>
              <w:t>A.G. of Canada</w:t>
            </w:r>
          </w:p>
          <w:p w:rsidR="00B3261F" w:rsidRPr="00357E14" w:rsidRDefault="00B3261F" w:rsidP="00B3261F">
            <w:pPr>
              <w:rPr>
                <w:sz w:val="20"/>
                <w:szCs w:val="20"/>
                <w:lang w:val="en-US"/>
              </w:rPr>
            </w:pPr>
          </w:p>
          <w:p w:rsidR="00B3261F" w:rsidRPr="00357E14" w:rsidRDefault="00B3261F" w:rsidP="00B3261F">
            <w:pPr>
              <w:rPr>
                <w:sz w:val="20"/>
                <w:szCs w:val="20"/>
                <w:lang w:val="en-US"/>
              </w:rPr>
            </w:pPr>
            <w:r w:rsidRPr="00357E14">
              <w:rPr>
                <w:sz w:val="20"/>
                <w:szCs w:val="20"/>
                <w:lang w:val="en-US"/>
              </w:rPr>
              <w:tab/>
              <w:t>v. (37601)</w:t>
            </w:r>
          </w:p>
          <w:p w:rsidR="00B3261F" w:rsidRPr="00357E14" w:rsidRDefault="00B3261F" w:rsidP="00B3261F">
            <w:pPr>
              <w:rPr>
                <w:sz w:val="20"/>
                <w:szCs w:val="20"/>
                <w:lang w:val="en-US"/>
              </w:rPr>
            </w:pPr>
          </w:p>
          <w:p w:rsidR="00B3261F" w:rsidRDefault="00B3261F" w:rsidP="00B3261F">
            <w:pPr>
              <w:rPr>
                <w:b/>
                <w:sz w:val="20"/>
                <w:szCs w:val="20"/>
                <w:lang w:val="fr-CA"/>
              </w:rPr>
            </w:pPr>
            <w:r>
              <w:rPr>
                <w:b/>
                <w:sz w:val="20"/>
                <w:szCs w:val="20"/>
                <w:lang w:val="fr-CA"/>
              </w:rPr>
              <w:t>Joseph Damgajian (Que.)</w:t>
            </w:r>
          </w:p>
          <w:p w:rsidR="00B3261F" w:rsidRDefault="00B3261F" w:rsidP="00B3261F">
            <w:pPr>
              <w:rPr>
                <w:sz w:val="20"/>
                <w:szCs w:val="20"/>
                <w:lang w:val="fr-CA"/>
              </w:rPr>
            </w:pPr>
            <w:r>
              <w:rPr>
                <w:sz w:val="20"/>
                <w:szCs w:val="20"/>
                <w:lang w:val="fr-CA"/>
              </w:rPr>
              <w:tab/>
              <w:t>Pierre Poupart</w:t>
            </w:r>
          </w:p>
          <w:p w:rsidR="00B3261F" w:rsidRDefault="00B3261F" w:rsidP="00B3261F">
            <w:pPr>
              <w:rPr>
                <w:sz w:val="20"/>
                <w:szCs w:val="20"/>
                <w:lang w:val="fr-CA"/>
              </w:rPr>
            </w:pPr>
            <w:r>
              <w:rPr>
                <w:sz w:val="20"/>
                <w:szCs w:val="20"/>
                <w:lang w:val="fr-CA"/>
              </w:rPr>
              <w:tab/>
              <w:t>Poupart, Dadour, Touma et Associés</w:t>
            </w:r>
          </w:p>
          <w:p w:rsidR="00B3261F" w:rsidRDefault="00B3261F" w:rsidP="00B3261F">
            <w:pPr>
              <w:rPr>
                <w:sz w:val="20"/>
                <w:szCs w:val="20"/>
                <w:lang w:val="fr-CA"/>
              </w:rPr>
            </w:pPr>
          </w:p>
          <w:p w:rsidR="00B3261F" w:rsidRDefault="00B3261F" w:rsidP="00B3261F">
            <w:pPr>
              <w:rPr>
                <w:sz w:val="20"/>
                <w:szCs w:val="20"/>
                <w:lang w:val="fr-CA"/>
              </w:rPr>
            </w:pPr>
            <w:r>
              <w:rPr>
                <w:sz w:val="20"/>
                <w:szCs w:val="20"/>
                <w:lang w:val="fr-CA"/>
              </w:rPr>
              <w:t>FILING DATE : 05.06.2017</w:t>
            </w:r>
          </w:p>
          <w:p w:rsidR="00B3261F" w:rsidRDefault="00ED4247" w:rsidP="00B3261F">
            <w:pPr>
              <w:rPr>
                <w:sz w:val="20"/>
                <w:szCs w:val="20"/>
                <w:lang w:val="fr-CA"/>
              </w:rPr>
            </w:pPr>
            <w:r>
              <w:rPr>
                <w:sz w:val="20"/>
                <w:szCs w:val="20"/>
                <w:lang w:val="fr-CA"/>
              </w:rPr>
              <w:pict>
                <v:rect id="_x0000_i1041" style="width:108pt;height:1pt" o:hrpct="0" o:hralign="center" o:hrstd="t" o:hrnoshade="t" o:hr="t" fillcolor="black [3213]" stroked="f"/>
              </w:pict>
            </w:r>
          </w:p>
          <w:p w:rsidR="00B3261F" w:rsidRPr="00B3261F" w:rsidRDefault="00B3261F" w:rsidP="00B3261F">
            <w:pPr>
              <w:rPr>
                <w:sz w:val="20"/>
                <w:szCs w:val="20"/>
                <w:lang w:val="fr-CA"/>
              </w:rPr>
            </w:pPr>
          </w:p>
        </w:tc>
        <w:tc>
          <w:tcPr>
            <w:tcW w:w="1181" w:type="dxa"/>
            <w:shd w:val="clear" w:color="auto" w:fill="auto"/>
          </w:tcPr>
          <w:p w:rsidR="00CA3F9F" w:rsidRPr="00B3261F" w:rsidRDefault="00CA3F9F" w:rsidP="00242AEE">
            <w:pPr>
              <w:jc w:val="center"/>
              <w:rPr>
                <w:sz w:val="20"/>
                <w:szCs w:val="20"/>
                <w:lang w:val="fr-CA"/>
              </w:rPr>
            </w:pPr>
          </w:p>
        </w:tc>
        <w:tc>
          <w:tcPr>
            <w:tcW w:w="4320" w:type="dxa"/>
            <w:shd w:val="clear" w:color="auto" w:fill="auto"/>
          </w:tcPr>
          <w:p w:rsidR="00CA3F9F" w:rsidRPr="00357E14" w:rsidRDefault="00B3261F" w:rsidP="005F1ED8">
            <w:pPr>
              <w:rPr>
                <w:b/>
                <w:sz w:val="20"/>
                <w:szCs w:val="20"/>
                <w:lang w:val="en-US"/>
              </w:rPr>
            </w:pPr>
            <w:r w:rsidRPr="00357E14">
              <w:rPr>
                <w:b/>
                <w:sz w:val="20"/>
                <w:szCs w:val="20"/>
                <w:lang w:val="en-US"/>
              </w:rPr>
              <w:t>Ade Olumide</w:t>
            </w:r>
          </w:p>
          <w:p w:rsidR="00B3261F" w:rsidRPr="00357E14" w:rsidRDefault="00B3261F" w:rsidP="005F1ED8">
            <w:pPr>
              <w:rPr>
                <w:sz w:val="20"/>
                <w:szCs w:val="20"/>
                <w:lang w:val="en-US"/>
              </w:rPr>
            </w:pPr>
            <w:r w:rsidRPr="00357E14">
              <w:rPr>
                <w:sz w:val="20"/>
                <w:szCs w:val="20"/>
                <w:lang w:val="en-US"/>
              </w:rPr>
              <w:tab/>
              <w:t>Ade Olumide</w:t>
            </w:r>
          </w:p>
          <w:p w:rsidR="00B3261F" w:rsidRPr="00357E14" w:rsidRDefault="00B3261F" w:rsidP="005F1ED8">
            <w:pPr>
              <w:rPr>
                <w:sz w:val="20"/>
                <w:szCs w:val="20"/>
                <w:lang w:val="en-US"/>
              </w:rPr>
            </w:pPr>
          </w:p>
          <w:p w:rsidR="00B3261F" w:rsidRPr="00357E14" w:rsidRDefault="00B3261F" w:rsidP="005F1ED8">
            <w:pPr>
              <w:rPr>
                <w:sz w:val="20"/>
                <w:szCs w:val="20"/>
                <w:lang w:val="en-US"/>
              </w:rPr>
            </w:pPr>
            <w:r w:rsidRPr="00357E14">
              <w:rPr>
                <w:sz w:val="20"/>
                <w:szCs w:val="20"/>
                <w:lang w:val="en-US"/>
              </w:rPr>
              <w:tab/>
              <w:t>v. (37600)</w:t>
            </w:r>
          </w:p>
          <w:p w:rsidR="00B3261F" w:rsidRPr="00357E14" w:rsidRDefault="00B3261F" w:rsidP="005F1ED8">
            <w:pPr>
              <w:rPr>
                <w:sz w:val="20"/>
                <w:szCs w:val="20"/>
                <w:lang w:val="en-US"/>
              </w:rPr>
            </w:pPr>
          </w:p>
          <w:p w:rsidR="00B3261F" w:rsidRDefault="00B3261F" w:rsidP="00B3261F">
            <w:pPr>
              <w:rPr>
                <w:b/>
                <w:sz w:val="20"/>
                <w:szCs w:val="20"/>
                <w:lang w:val="en-US"/>
              </w:rPr>
            </w:pPr>
            <w:r>
              <w:rPr>
                <w:b/>
                <w:sz w:val="20"/>
                <w:szCs w:val="20"/>
                <w:lang w:val="en-US"/>
              </w:rPr>
              <w:t>Her Majesty the Queen in Right of Canada et al. (F.C.)</w:t>
            </w:r>
          </w:p>
          <w:p w:rsidR="00B3261F" w:rsidRDefault="00B3261F" w:rsidP="00B3261F">
            <w:pPr>
              <w:rPr>
                <w:sz w:val="20"/>
                <w:szCs w:val="20"/>
                <w:lang w:val="en-US"/>
              </w:rPr>
            </w:pPr>
            <w:r>
              <w:rPr>
                <w:sz w:val="20"/>
                <w:szCs w:val="20"/>
                <w:lang w:val="en-US"/>
              </w:rPr>
              <w:tab/>
              <w:t>Daniel Caron</w:t>
            </w:r>
          </w:p>
          <w:p w:rsidR="00B3261F" w:rsidRDefault="00B3261F" w:rsidP="00B3261F">
            <w:pPr>
              <w:rPr>
                <w:sz w:val="20"/>
                <w:szCs w:val="20"/>
                <w:lang w:val="en-US"/>
              </w:rPr>
            </w:pPr>
            <w:r>
              <w:rPr>
                <w:sz w:val="20"/>
                <w:szCs w:val="20"/>
                <w:lang w:val="en-US"/>
              </w:rPr>
              <w:tab/>
              <w:t>A.G. of Canada</w:t>
            </w:r>
          </w:p>
          <w:p w:rsidR="00B3261F" w:rsidRDefault="00B3261F" w:rsidP="00B3261F">
            <w:pPr>
              <w:rPr>
                <w:sz w:val="20"/>
                <w:szCs w:val="20"/>
                <w:lang w:val="en-US"/>
              </w:rPr>
            </w:pPr>
          </w:p>
          <w:p w:rsidR="00B3261F" w:rsidRDefault="00B3261F" w:rsidP="00B3261F">
            <w:pPr>
              <w:rPr>
                <w:sz w:val="20"/>
                <w:szCs w:val="20"/>
                <w:lang w:val="en-US"/>
              </w:rPr>
            </w:pPr>
            <w:r>
              <w:rPr>
                <w:sz w:val="20"/>
                <w:szCs w:val="20"/>
                <w:lang w:val="en-US"/>
              </w:rPr>
              <w:t>FILING DATE 27.01.2017</w:t>
            </w:r>
          </w:p>
          <w:p w:rsidR="00B3261F" w:rsidRPr="00B3261F" w:rsidRDefault="00ED4247" w:rsidP="005F1ED8">
            <w:pPr>
              <w:rPr>
                <w:sz w:val="20"/>
                <w:szCs w:val="20"/>
                <w:lang w:val="en-US"/>
              </w:rPr>
            </w:pPr>
            <w:r>
              <w:rPr>
                <w:sz w:val="20"/>
                <w:szCs w:val="20"/>
                <w:lang w:val="fr-CA"/>
              </w:rPr>
              <w:pict>
                <v:rect id="_x0000_i1042" style="width:108pt;height:1pt" o:hrpct="0" o:hralign="center" o:hrstd="t" o:hrnoshade="t" o:hr="t" fillcolor="black [3213]" stroked="f"/>
              </w:pict>
            </w:r>
          </w:p>
        </w:tc>
      </w:tr>
      <w:tr w:rsidR="00ED6F3C" w:rsidRPr="00FB6EC0" w:rsidTr="003B3977">
        <w:tc>
          <w:tcPr>
            <w:tcW w:w="4320" w:type="dxa"/>
            <w:shd w:val="clear" w:color="auto" w:fill="auto"/>
          </w:tcPr>
          <w:p w:rsidR="00ED6F3C" w:rsidRPr="00357E14" w:rsidRDefault="00B3261F" w:rsidP="005F1ED8">
            <w:pPr>
              <w:rPr>
                <w:b/>
                <w:sz w:val="20"/>
                <w:szCs w:val="20"/>
                <w:lang w:val="fr-CA"/>
              </w:rPr>
            </w:pPr>
            <w:r w:rsidRPr="00357E14">
              <w:rPr>
                <w:b/>
                <w:sz w:val="20"/>
                <w:szCs w:val="20"/>
                <w:lang w:val="fr-CA"/>
              </w:rPr>
              <w:t>Charles Zubovits</w:t>
            </w:r>
          </w:p>
          <w:p w:rsidR="00B3261F" w:rsidRPr="00357E14" w:rsidRDefault="00B3261F" w:rsidP="005F1ED8">
            <w:pPr>
              <w:rPr>
                <w:sz w:val="20"/>
                <w:szCs w:val="20"/>
                <w:lang w:val="fr-CA"/>
              </w:rPr>
            </w:pPr>
            <w:r w:rsidRPr="00357E14">
              <w:rPr>
                <w:b/>
                <w:sz w:val="20"/>
                <w:szCs w:val="20"/>
                <w:lang w:val="fr-CA"/>
              </w:rPr>
              <w:tab/>
            </w:r>
            <w:r w:rsidRPr="00357E14">
              <w:rPr>
                <w:sz w:val="20"/>
                <w:szCs w:val="20"/>
                <w:lang w:val="fr-CA"/>
              </w:rPr>
              <w:t>Charles Zubovits</w:t>
            </w:r>
          </w:p>
          <w:p w:rsidR="00B3261F" w:rsidRPr="00357E14" w:rsidRDefault="00B3261F" w:rsidP="005F1ED8">
            <w:pPr>
              <w:rPr>
                <w:sz w:val="20"/>
                <w:szCs w:val="20"/>
                <w:lang w:val="fr-CA"/>
              </w:rPr>
            </w:pPr>
          </w:p>
          <w:p w:rsidR="00B3261F" w:rsidRPr="00357E14" w:rsidRDefault="00B3261F" w:rsidP="005F1ED8">
            <w:pPr>
              <w:rPr>
                <w:sz w:val="20"/>
                <w:szCs w:val="20"/>
                <w:lang w:val="fr-CA"/>
              </w:rPr>
            </w:pPr>
            <w:r w:rsidRPr="00357E14">
              <w:rPr>
                <w:sz w:val="20"/>
                <w:szCs w:val="20"/>
                <w:lang w:val="fr-CA"/>
              </w:rPr>
              <w:tab/>
              <w:t>v. (37589)</w:t>
            </w:r>
          </w:p>
          <w:p w:rsidR="00B3261F" w:rsidRPr="00357E14" w:rsidRDefault="00B3261F" w:rsidP="005F1ED8">
            <w:pPr>
              <w:rPr>
                <w:sz w:val="20"/>
                <w:szCs w:val="20"/>
                <w:lang w:val="fr-CA"/>
              </w:rPr>
            </w:pPr>
          </w:p>
          <w:p w:rsidR="00B3261F" w:rsidRDefault="00B3261F" w:rsidP="005F1ED8">
            <w:pPr>
              <w:rPr>
                <w:b/>
                <w:sz w:val="20"/>
                <w:szCs w:val="20"/>
                <w:lang w:val="en-US"/>
              </w:rPr>
            </w:pPr>
            <w:r>
              <w:rPr>
                <w:b/>
                <w:sz w:val="20"/>
                <w:szCs w:val="20"/>
                <w:lang w:val="en-US"/>
              </w:rPr>
              <w:t>Her Majesty the Queen in Right of Ontario as Represented by the Minister of Environment and Energy et al. (Ont.)</w:t>
            </w:r>
          </w:p>
          <w:p w:rsidR="00B3261F" w:rsidRDefault="00B3261F" w:rsidP="005F1ED8">
            <w:pPr>
              <w:rPr>
                <w:sz w:val="20"/>
                <w:szCs w:val="20"/>
                <w:lang w:val="en-US"/>
              </w:rPr>
            </w:pPr>
            <w:r>
              <w:rPr>
                <w:sz w:val="20"/>
                <w:szCs w:val="20"/>
                <w:lang w:val="en-US"/>
              </w:rPr>
              <w:tab/>
              <w:t>Stewart M. McMahon</w:t>
            </w:r>
          </w:p>
          <w:p w:rsidR="00B3261F" w:rsidRDefault="00B3261F" w:rsidP="005F1ED8">
            <w:pPr>
              <w:rPr>
                <w:sz w:val="20"/>
                <w:szCs w:val="20"/>
                <w:lang w:val="en-US"/>
              </w:rPr>
            </w:pPr>
            <w:r>
              <w:rPr>
                <w:sz w:val="20"/>
                <w:szCs w:val="20"/>
                <w:lang w:val="en-US"/>
              </w:rPr>
              <w:tab/>
              <w:t>A.G. of Ontario</w:t>
            </w:r>
          </w:p>
          <w:p w:rsidR="00B3261F" w:rsidRDefault="00B3261F" w:rsidP="005F1ED8">
            <w:pPr>
              <w:rPr>
                <w:sz w:val="20"/>
                <w:szCs w:val="20"/>
                <w:lang w:val="en-US"/>
              </w:rPr>
            </w:pPr>
            <w:r>
              <w:rPr>
                <w:sz w:val="20"/>
                <w:szCs w:val="20"/>
                <w:lang w:val="en-US"/>
              </w:rPr>
              <w:br/>
              <w:t>FILING DATE: 17.03.2017</w:t>
            </w:r>
          </w:p>
          <w:p w:rsidR="00B3261F" w:rsidRDefault="00ED4247" w:rsidP="005F1ED8">
            <w:pPr>
              <w:rPr>
                <w:sz w:val="20"/>
                <w:szCs w:val="20"/>
                <w:lang w:val="fr-CA"/>
              </w:rPr>
            </w:pPr>
            <w:r>
              <w:rPr>
                <w:sz w:val="20"/>
                <w:szCs w:val="20"/>
                <w:lang w:val="fr-CA"/>
              </w:rPr>
              <w:pict>
                <v:rect id="_x0000_i1043" style="width:108pt;height:1pt" o:hrpct="0" o:hralign="center" o:hrstd="t" o:hrnoshade="t" o:hr="t" fillcolor="black [3213]" stroked="f"/>
              </w:pict>
            </w:r>
          </w:p>
          <w:p w:rsidR="00B3261F" w:rsidRPr="00B3261F" w:rsidRDefault="00B3261F" w:rsidP="005F1ED8">
            <w:pPr>
              <w:rPr>
                <w:sz w:val="20"/>
                <w:szCs w:val="20"/>
                <w:lang w:val="en-US"/>
              </w:rPr>
            </w:pPr>
          </w:p>
        </w:tc>
        <w:tc>
          <w:tcPr>
            <w:tcW w:w="1181" w:type="dxa"/>
            <w:shd w:val="clear" w:color="auto" w:fill="auto"/>
          </w:tcPr>
          <w:p w:rsidR="00ED6F3C" w:rsidRPr="00B3261F" w:rsidRDefault="00ED6F3C" w:rsidP="00242AEE">
            <w:pPr>
              <w:jc w:val="center"/>
              <w:rPr>
                <w:sz w:val="20"/>
                <w:szCs w:val="20"/>
                <w:lang w:val="en-US"/>
              </w:rPr>
            </w:pPr>
          </w:p>
        </w:tc>
        <w:tc>
          <w:tcPr>
            <w:tcW w:w="4320" w:type="dxa"/>
            <w:shd w:val="clear" w:color="auto" w:fill="auto"/>
          </w:tcPr>
          <w:p w:rsidR="00ED6F3C" w:rsidRPr="00357E14" w:rsidRDefault="00FB6EC0" w:rsidP="005F1ED8">
            <w:pPr>
              <w:rPr>
                <w:b/>
                <w:sz w:val="20"/>
                <w:szCs w:val="20"/>
                <w:lang w:val="fr-CA"/>
              </w:rPr>
            </w:pPr>
            <w:r w:rsidRPr="00357E14">
              <w:rPr>
                <w:b/>
                <w:sz w:val="20"/>
                <w:szCs w:val="20"/>
                <w:lang w:val="fr-CA"/>
              </w:rPr>
              <w:t>Marie-Lourdes Février et autre</w:t>
            </w:r>
          </w:p>
          <w:p w:rsidR="00FB6EC0" w:rsidRPr="00357E14" w:rsidRDefault="00FB6EC0" w:rsidP="005F1ED8">
            <w:pPr>
              <w:rPr>
                <w:sz w:val="20"/>
                <w:szCs w:val="20"/>
                <w:lang w:val="fr-CA"/>
              </w:rPr>
            </w:pPr>
            <w:r w:rsidRPr="00357E14">
              <w:rPr>
                <w:b/>
                <w:sz w:val="20"/>
                <w:szCs w:val="20"/>
                <w:lang w:val="fr-CA"/>
              </w:rPr>
              <w:tab/>
            </w:r>
            <w:r w:rsidRPr="00357E14">
              <w:rPr>
                <w:sz w:val="20"/>
                <w:szCs w:val="20"/>
                <w:lang w:val="fr-CA"/>
              </w:rPr>
              <w:t>Marie-Lourdes Février</w:t>
            </w:r>
          </w:p>
          <w:p w:rsidR="00FB6EC0" w:rsidRPr="00357E14" w:rsidRDefault="00FB6EC0" w:rsidP="005F1ED8">
            <w:pPr>
              <w:rPr>
                <w:sz w:val="20"/>
                <w:szCs w:val="20"/>
                <w:lang w:val="fr-CA"/>
              </w:rPr>
            </w:pPr>
          </w:p>
          <w:p w:rsidR="00FB6EC0" w:rsidRPr="00357E14" w:rsidRDefault="00FB6EC0" w:rsidP="005F1ED8">
            <w:pPr>
              <w:rPr>
                <w:sz w:val="20"/>
                <w:szCs w:val="20"/>
                <w:lang w:val="fr-CA"/>
              </w:rPr>
            </w:pPr>
            <w:r w:rsidRPr="00357E14">
              <w:rPr>
                <w:sz w:val="20"/>
                <w:szCs w:val="20"/>
                <w:lang w:val="fr-CA"/>
              </w:rPr>
              <w:tab/>
              <w:t>c. (37583)</w:t>
            </w:r>
          </w:p>
          <w:p w:rsidR="00FB6EC0" w:rsidRPr="00357E14" w:rsidRDefault="00FB6EC0" w:rsidP="005F1ED8">
            <w:pPr>
              <w:rPr>
                <w:sz w:val="20"/>
                <w:szCs w:val="20"/>
                <w:lang w:val="fr-CA"/>
              </w:rPr>
            </w:pPr>
          </w:p>
          <w:p w:rsidR="00FB6EC0" w:rsidRPr="00FB6EC0" w:rsidRDefault="00FB6EC0" w:rsidP="005F1ED8">
            <w:pPr>
              <w:rPr>
                <w:b/>
                <w:sz w:val="20"/>
                <w:szCs w:val="20"/>
                <w:lang w:val="fr-CA"/>
              </w:rPr>
            </w:pPr>
            <w:r w:rsidRPr="00FB6EC0">
              <w:rPr>
                <w:b/>
                <w:sz w:val="20"/>
                <w:szCs w:val="20"/>
                <w:lang w:val="fr-CA"/>
              </w:rPr>
              <w:t xml:space="preserve">Agence du </w:t>
            </w:r>
            <w:r w:rsidR="00357E14">
              <w:rPr>
                <w:b/>
                <w:sz w:val="20"/>
                <w:szCs w:val="20"/>
                <w:lang w:val="fr-CA"/>
              </w:rPr>
              <w:t>r</w:t>
            </w:r>
            <w:r w:rsidRPr="00FB6EC0">
              <w:rPr>
                <w:b/>
                <w:sz w:val="20"/>
                <w:szCs w:val="20"/>
                <w:lang w:val="fr-CA"/>
              </w:rPr>
              <w:t>evenu du Québec et autre (Qc)</w:t>
            </w:r>
          </w:p>
          <w:p w:rsidR="00FB6EC0" w:rsidRDefault="00FB6EC0" w:rsidP="005F1ED8">
            <w:pPr>
              <w:rPr>
                <w:sz w:val="20"/>
                <w:szCs w:val="20"/>
                <w:lang w:val="fr-CA"/>
              </w:rPr>
            </w:pPr>
            <w:r>
              <w:rPr>
                <w:sz w:val="20"/>
                <w:szCs w:val="20"/>
                <w:lang w:val="fr-CA"/>
              </w:rPr>
              <w:tab/>
              <w:t>Louis Riverin</w:t>
            </w:r>
          </w:p>
          <w:p w:rsidR="00FB6EC0" w:rsidRDefault="00FB6EC0" w:rsidP="005F1ED8">
            <w:pPr>
              <w:rPr>
                <w:sz w:val="20"/>
                <w:szCs w:val="20"/>
                <w:lang w:val="fr-CA"/>
              </w:rPr>
            </w:pPr>
            <w:r>
              <w:rPr>
                <w:sz w:val="20"/>
                <w:szCs w:val="20"/>
                <w:lang w:val="fr-CA"/>
              </w:rPr>
              <w:tab/>
              <w:t>Larivière Meunier</w:t>
            </w:r>
          </w:p>
          <w:p w:rsidR="00FB6EC0" w:rsidRDefault="00FB6EC0" w:rsidP="005F1ED8">
            <w:pPr>
              <w:rPr>
                <w:sz w:val="20"/>
                <w:szCs w:val="20"/>
                <w:lang w:val="fr-CA"/>
              </w:rPr>
            </w:pPr>
          </w:p>
          <w:p w:rsidR="00FB6EC0" w:rsidRDefault="00FB6EC0" w:rsidP="005F1ED8">
            <w:pPr>
              <w:rPr>
                <w:sz w:val="20"/>
                <w:szCs w:val="20"/>
                <w:lang w:val="fr-CA"/>
              </w:rPr>
            </w:pPr>
            <w:r>
              <w:rPr>
                <w:sz w:val="20"/>
                <w:szCs w:val="20"/>
                <w:lang w:val="fr-CA"/>
              </w:rPr>
              <w:t>DATE DE PRODUCTION : 28.04.2017</w:t>
            </w:r>
          </w:p>
          <w:p w:rsidR="00FB6EC0" w:rsidRPr="00FB6EC0" w:rsidRDefault="00ED4247" w:rsidP="005F1ED8">
            <w:pPr>
              <w:rPr>
                <w:sz w:val="20"/>
                <w:szCs w:val="20"/>
                <w:lang w:val="fr-CA"/>
              </w:rPr>
            </w:pPr>
            <w:r>
              <w:rPr>
                <w:sz w:val="20"/>
                <w:szCs w:val="20"/>
                <w:lang w:val="fr-CA"/>
              </w:rPr>
              <w:pict>
                <v:rect id="_x0000_i1044" style="width:108pt;height:1pt" o:hrpct="0" o:hralign="center" o:hrstd="t" o:hrnoshade="t" o:hr="t" fillcolor="black [3213]" stroked="f"/>
              </w:pict>
            </w:r>
          </w:p>
        </w:tc>
      </w:tr>
      <w:tr w:rsidR="004766F2" w:rsidRPr="004766F2" w:rsidTr="003B3977">
        <w:tc>
          <w:tcPr>
            <w:tcW w:w="4320" w:type="dxa"/>
            <w:shd w:val="clear" w:color="auto" w:fill="auto"/>
          </w:tcPr>
          <w:p w:rsidR="004766F2" w:rsidRDefault="004766F2" w:rsidP="005F1ED8">
            <w:pPr>
              <w:rPr>
                <w:b/>
                <w:sz w:val="20"/>
                <w:szCs w:val="20"/>
                <w:lang w:val="en-US"/>
              </w:rPr>
            </w:pPr>
            <w:r>
              <w:rPr>
                <w:b/>
                <w:sz w:val="20"/>
                <w:szCs w:val="20"/>
                <w:lang w:val="en-US"/>
              </w:rPr>
              <w:t>Damion Sinclair</w:t>
            </w:r>
          </w:p>
          <w:p w:rsidR="004766F2" w:rsidRDefault="004766F2" w:rsidP="005F1ED8">
            <w:pPr>
              <w:rPr>
                <w:sz w:val="20"/>
                <w:szCs w:val="20"/>
                <w:lang w:val="en-US"/>
              </w:rPr>
            </w:pPr>
            <w:r>
              <w:rPr>
                <w:b/>
                <w:sz w:val="20"/>
                <w:szCs w:val="20"/>
                <w:lang w:val="en-US"/>
              </w:rPr>
              <w:tab/>
            </w:r>
            <w:r>
              <w:rPr>
                <w:sz w:val="20"/>
                <w:szCs w:val="20"/>
                <w:lang w:val="en-US"/>
              </w:rPr>
              <w:t>Timothy E. Breen</w:t>
            </w:r>
          </w:p>
          <w:p w:rsidR="004766F2" w:rsidRDefault="004766F2" w:rsidP="005F1ED8">
            <w:pPr>
              <w:rPr>
                <w:sz w:val="20"/>
                <w:szCs w:val="20"/>
                <w:lang w:val="en-US"/>
              </w:rPr>
            </w:pPr>
            <w:r>
              <w:rPr>
                <w:sz w:val="20"/>
                <w:szCs w:val="20"/>
                <w:lang w:val="en-US"/>
              </w:rPr>
              <w:tab/>
              <w:t>Fleming, Breen</w:t>
            </w:r>
          </w:p>
          <w:p w:rsidR="004766F2" w:rsidRDefault="004766F2" w:rsidP="005F1ED8">
            <w:pPr>
              <w:rPr>
                <w:sz w:val="20"/>
                <w:szCs w:val="20"/>
                <w:lang w:val="en-US"/>
              </w:rPr>
            </w:pPr>
          </w:p>
          <w:p w:rsidR="004766F2" w:rsidRDefault="004766F2" w:rsidP="005F1ED8">
            <w:pPr>
              <w:rPr>
                <w:sz w:val="20"/>
                <w:szCs w:val="20"/>
                <w:lang w:val="en-US"/>
              </w:rPr>
            </w:pPr>
            <w:r>
              <w:rPr>
                <w:sz w:val="20"/>
                <w:szCs w:val="20"/>
                <w:lang w:val="en-US"/>
              </w:rPr>
              <w:tab/>
              <w:t>v. (37598)</w:t>
            </w:r>
          </w:p>
          <w:p w:rsidR="004766F2" w:rsidRDefault="004766F2" w:rsidP="005F1ED8">
            <w:pPr>
              <w:rPr>
                <w:sz w:val="20"/>
                <w:szCs w:val="20"/>
                <w:lang w:val="en-US"/>
              </w:rPr>
            </w:pPr>
          </w:p>
          <w:p w:rsidR="004766F2" w:rsidRDefault="004766F2" w:rsidP="005F1ED8">
            <w:pPr>
              <w:rPr>
                <w:b/>
                <w:sz w:val="20"/>
                <w:szCs w:val="20"/>
                <w:lang w:val="en-US"/>
              </w:rPr>
            </w:pPr>
            <w:r>
              <w:rPr>
                <w:b/>
                <w:sz w:val="20"/>
                <w:szCs w:val="20"/>
                <w:lang w:val="en-US"/>
              </w:rPr>
              <w:t>Her Majesty the Queen (Ont.)</w:t>
            </w:r>
          </w:p>
          <w:p w:rsidR="004766F2" w:rsidRDefault="004766F2" w:rsidP="005F1ED8">
            <w:pPr>
              <w:rPr>
                <w:sz w:val="20"/>
                <w:szCs w:val="20"/>
                <w:lang w:val="en-US"/>
              </w:rPr>
            </w:pPr>
            <w:r>
              <w:rPr>
                <w:sz w:val="20"/>
                <w:szCs w:val="20"/>
                <w:lang w:val="en-US"/>
              </w:rPr>
              <w:tab/>
              <w:t>Andreea</w:t>
            </w:r>
            <w:r w:rsidR="00AC0CC0">
              <w:rPr>
                <w:sz w:val="20"/>
                <w:szCs w:val="20"/>
                <w:lang w:val="en-US"/>
              </w:rPr>
              <w:t xml:space="preserve"> Baiasu</w:t>
            </w:r>
          </w:p>
          <w:p w:rsidR="00AC0CC0" w:rsidRDefault="00AC0CC0" w:rsidP="005F1ED8">
            <w:pPr>
              <w:rPr>
                <w:sz w:val="20"/>
                <w:szCs w:val="20"/>
                <w:lang w:val="en-US"/>
              </w:rPr>
            </w:pPr>
            <w:r>
              <w:rPr>
                <w:sz w:val="20"/>
                <w:szCs w:val="20"/>
                <w:lang w:val="en-US"/>
              </w:rPr>
              <w:tab/>
              <w:t>A.G. of Ontario</w:t>
            </w:r>
          </w:p>
          <w:p w:rsidR="00AC0CC0" w:rsidRDefault="00AC0CC0" w:rsidP="005F1ED8">
            <w:pPr>
              <w:rPr>
                <w:sz w:val="20"/>
                <w:szCs w:val="20"/>
                <w:lang w:val="en-US"/>
              </w:rPr>
            </w:pPr>
          </w:p>
          <w:p w:rsidR="00AC0CC0" w:rsidRDefault="00AC0CC0" w:rsidP="005F1ED8">
            <w:pPr>
              <w:rPr>
                <w:sz w:val="20"/>
                <w:szCs w:val="20"/>
                <w:lang w:val="en-US"/>
              </w:rPr>
            </w:pPr>
            <w:r>
              <w:rPr>
                <w:sz w:val="20"/>
                <w:szCs w:val="20"/>
                <w:lang w:val="en-US"/>
              </w:rPr>
              <w:t>FILING DATE: 26.05.2017</w:t>
            </w:r>
          </w:p>
          <w:p w:rsidR="00AC0CC0" w:rsidRDefault="00ED4247" w:rsidP="005F1ED8">
            <w:pPr>
              <w:rPr>
                <w:sz w:val="20"/>
                <w:szCs w:val="20"/>
                <w:lang w:val="fr-CA"/>
              </w:rPr>
            </w:pPr>
            <w:r>
              <w:rPr>
                <w:sz w:val="20"/>
                <w:szCs w:val="20"/>
                <w:lang w:val="fr-CA"/>
              </w:rPr>
              <w:pict>
                <v:rect id="_x0000_i1045" style="width:108pt;height:1pt" o:hrpct="0" o:hralign="center" o:hrstd="t" o:hrnoshade="t" o:hr="t" fillcolor="black [3213]" stroked="f"/>
              </w:pict>
            </w:r>
          </w:p>
          <w:p w:rsidR="00AC0CC0" w:rsidRPr="004766F2" w:rsidRDefault="00AC0CC0" w:rsidP="005F1ED8">
            <w:pPr>
              <w:rPr>
                <w:sz w:val="20"/>
                <w:szCs w:val="20"/>
                <w:lang w:val="en-US"/>
              </w:rPr>
            </w:pPr>
          </w:p>
        </w:tc>
        <w:tc>
          <w:tcPr>
            <w:tcW w:w="1181" w:type="dxa"/>
            <w:shd w:val="clear" w:color="auto" w:fill="auto"/>
          </w:tcPr>
          <w:p w:rsidR="004766F2" w:rsidRPr="00B3261F" w:rsidRDefault="004766F2" w:rsidP="00242AEE">
            <w:pPr>
              <w:jc w:val="center"/>
              <w:rPr>
                <w:sz w:val="20"/>
                <w:szCs w:val="20"/>
                <w:lang w:val="en-US"/>
              </w:rPr>
            </w:pPr>
          </w:p>
        </w:tc>
        <w:tc>
          <w:tcPr>
            <w:tcW w:w="4320" w:type="dxa"/>
            <w:shd w:val="clear" w:color="auto" w:fill="auto"/>
          </w:tcPr>
          <w:p w:rsidR="004766F2" w:rsidRDefault="004766F2" w:rsidP="005F1ED8">
            <w:pPr>
              <w:rPr>
                <w:b/>
                <w:sz w:val="20"/>
                <w:szCs w:val="20"/>
                <w:lang w:val="en-US"/>
              </w:rPr>
            </w:pPr>
          </w:p>
        </w:tc>
      </w:tr>
    </w:tbl>
    <w:p w:rsidR="00C01FCB" w:rsidRPr="004766F2" w:rsidRDefault="00C01FCB" w:rsidP="0095096B">
      <w:pPr>
        <w:tabs>
          <w:tab w:val="right" w:pos="9360"/>
        </w:tabs>
        <w:rPr>
          <w:sz w:val="20"/>
          <w:szCs w:val="20"/>
          <w:lang w:val="en-US"/>
        </w:rPr>
      </w:pPr>
    </w:p>
    <w:p w:rsidR="00242AEE" w:rsidRPr="004766F2" w:rsidRDefault="00242AEE" w:rsidP="0095096B">
      <w:pPr>
        <w:tabs>
          <w:tab w:val="right" w:pos="9360"/>
        </w:tabs>
        <w:rPr>
          <w:sz w:val="20"/>
          <w:szCs w:val="20"/>
          <w:lang w:val="en-US"/>
        </w:rPr>
        <w:sectPr w:rsidR="00242AEE" w:rsidRPr="004766F2" w:rsidSect="00ED4247">
          <w:headerReference w:type="default" r:id="rId10"/>
          <w:footerReference w:type="default" r:id="rId11"/>
          <w:headerReference w:type="first" r:id="rId12"/>
          <w:footerReference w:type="first" r:id="rId13"/>
          <w:pgSz w:w="12240" w:h="15840"/>
          <w:pgMar w:top="720" w:right="965" w:bottom="1080" w:left="1656" w:header="706" w:footer="706" w:gutter="0"/>
          <w:pgNumType w:start="959"/>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ED4247" w:rsidTr="00BA6468">
        <w:trPr>
          <w:trHeight w:val="900"/>
        </w:trPr>
        <w:tc>
          <w:tcPr>
            <w:tcW w:w="4200" w:type="dxa"/>
            <w:tcMar>
              <w:left w:w="0" w:type="dxa"/>
              <w:right w:w="0" w:type="dxa"/>
            </w:tcMar>
          </w:tcPr>
          <w:p w:rsidR="002E2327" w:rsidRPr="00ED2149" w:rsidRDefault="002E2327" w:rsidP="002E2327">
            <w:pPr>
              <w:keepNext/>
              <w:keepLines/>
              <w:widowControl w:val="0"/>
              <w:rPr>
                <w:b/>
                <w:szCs w:val="24"/>
                <w:lang w:val="en-US"/>
              </w:rPr>
            </w:pPr>
            <w:r w:rsidRPr="00ED2149">
              <w:rPr>
                <w:b/>
                <w:szCs w:val="24"/>
                <w:lang w:val="en-US"/>
              </w:rPr>
              <w:lastRenderedPageBreak/>
              <w:t>APPLICATIONS FOR LEAVE SUBMITTED TO COURT SINCE LAST ISSUE</w:t>
            </w:r>
          </w:p>
        </w:tc>
        <w:tc>
          <w:tcPr>
            <w:tcW w:w="1200" w:type="dxa"/>
            <w:tcMar>
              <w:left w:w="0" w:type="dxa"/>
              <w:right w:w="0" w:type="dxa"/>
            </w:tcMar>
          </w:tcPr>
          <w:p w:rsidR="002E2327" w:rsidRPr="00ED2149" w:rsidRDefault="002E2327" w:rsidP="002E2327">
            <w:pPr>
              <w:keepNext/>
              <w:keepLines/>
              <w:widowControl w:val="0"/>
              <w:jc w:val="center"/>
              <w:rPr>
                <w:b/>
                <w:szCs w:val="24"/>
                <w:lang w:val="en-US"/>
              </w:rPr>
            </w:pPr>
          </w:p>
          <w:p w:rsidR="001D0D5F" w:rsidRPr="00ED2149" w:rsidRDefault="001D0D5F" w:rsidP="002E2327">
            <w:pPr>
              <w:keepNext/>
              <w:keepLines/>
              <w:widowControl w:val="0"/>
              <w:jc w:val="center"/>
              <w:rPr>
                <w:b/>
                <w:szCs w:val="24"/>
                <w:lang w:val="en-US"/>
              </w:rPr>
            </w:pPr>
          </w:p>
          <w:p w:rsidR="001D0D5F" w:rsidRPr="00ED2149" w:rsidRDefault="001D0D5F" w:rsidP="002E2327">
            <w:pPr>
              <w:keepNext/>
              <w:keepLines/>
              <w:widowControl w:val="0"/>
              <w:jc w:val="center"/>
              <w:rPr>
                <w:b/>
                <w:szCs w:val="24"/>
                <w:lang w:val="en-US"/>
              </w:rPr>
            </w:pPr>
          </w:p>
          <w:p w:rsidR="001D0D5F" w:rsidRPr="00ED2149" w:rsidRDefault="001D0D5F" w:rsidP="002E2327">
            <w:pPr>
              <w:keepNext/>
              <w:keepLines/>
              <w:widowControl w:val="0"/>
              <w:jc w:val="center"/>
              <w:rPr>
                <w:b/>
                <w:szCs w:val="24"/>
                <w:lang w:val="en-US"/>
              </w:rPr>
            </w:pPr>
          </w:p>
        </w:tc>
        <w:tc>
          <w:tcPr>
            <w:tcW w:w="4080" w:type="dxa"/>
            <w:tcMar>
              <w:left w:w="0" w:type="dxa"/>
              <w:right w:w="0" w:type="dxa"/>
            </w:tcMar>
          </w:tcPr>
          <w:p w:rsidR="002E2327" w:rsidRPr="001B7137" w:rsidRDefault="002E2327" w:rsidP="002E2327">
            <w:pPr>
              <w:keepLines/>
              <w:widowControl w:val="0"/>
              <w:rPr>
                <w:szCs w:val="24"/>
                <w:lang w:val="fr-CA"/>
              </w:rPr>
            </w:pPr>
            <w:r w:rsidRPr="00357E14">
              <w:rPr>
                <w:b/>
                <w:szCs w:val="24"/>
                <w:lang w:val="fr-CA"/>
              </w:rPr>
              <w:t xml:space="preserve">DEMANDES SOUMISES À </w:t>
            </w:r>
            <w:r w:rsidRPr="00566E98">
              <w:rPr>
                <w:b/>
                <w:szCs w:val="24"/>
                <w:lang w:val="fr-CA"/>
              </w:rPr>
              <w:t xml:space="preserve">LA COUR DEPUIS LA </w:t>
            </w:r>
            <w:r w:rsidRPr="001B7137">
              <w:rPr>
                <w:b/>
                <w:szCs w:val="24"/>
                <w:lang w:val="fr-CA"/>
              </w:rPr>
              <w:t>DERNIÈRE PARUTION</w:t>
            </w:r>
          </w:p>
          <w:p w:rsidR="002E2327" w:rsidRPr="001B7137"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1B7137" w:rsidRDefault="002E2327" w:rsidP="002E2327">
      <w:pPr>
        <w:widowControl w:val="0"/>
        <w:rPr>
          <w:b/>
          <w:sz w:val="20"/>
          <w:szCs w:val="20"/>
          <w:lang w:val="fr-CA"/>
        </w:rPr>
      </w:pPr>
    </w:p>
    <w:p w:rsidR="00CB3520" w:rsidRPr="00C50A5C" w:rsidRDefault="008B5A77" w:rsidP="00CB3520">
      <w:pPr>
        <w:widowControl w:val="0"/>
        <w:rPr>
          <w:b/>
          <w:sz w:val="20"/>
          <w:szCs w:val="20"/>
        </w:rPr>
      </w:pPr>
      <w:r>
        <w:rPr>
          <w:b/>
          <w:sz w:val="20"/>
          <w:szCs w:val="20"/>
        </w:rPr>
        <w:t>JUNE 12</w:t>
      </w:r>
      <w:r w:rsidR="00CB3520" w:rsidRPr="00C50A5C">
        <w:rPr>
          <w:b/>
          <w:sz w:val="20"/>
          <w:szCs w:val="20"/>
        </w:rPr>
        <w:t>, 201</w:t>
      </w:r>
      <w:r w:rsidR="00E8544A">
        <w:rPr>
          <w:b/>
          <w:sz w:val="20"/>
          <w:szCs w:val="20"/>
        </w:rPr>
        <w:t>7</w:t>
      </w:r>
      <w:r w:rsidR="00CB3520" w:rsidRPr="00C50A5C">
        <w:rPr>
          <w:b/>
          <w:sz w:val="20"/>
          <w:szCs w:val="20"/>
        </w:rPr>
        <w:t xml:space="preserve"> / LE </w:t>
      </w:r>
      <w:r>
        <w:rPr>
          <w:b/>
          <w:sz w:val="20"/>
          <w:szCs w:val="20"/>
        </w:rPr>
        <w:t>12 JUIN</w:t>
      </w:r>
      <w:r w:rsidR="00CB3520" w:rsidRPr="00C50A5C">
        <w:rPr>
          <w:b/>
          <w:sz w:val="20"/>
          <w:szCs w:val="20"/>
        </w:rPr>
        <w:t xml:space="preserve"> 201</w:t>
      </w:r>
      <w:r w:rsidR="00E8544A">
        <w:rPr>
          <w:b/>
          <w:sz w:val="20"/>
          <w:szCs w:val="20"/>
        </w:rPr>
        <w:t>7</w:t>
      </w:r>
    </w:p>
    <w:p w:rsidR="00C661B7" w:rsidRDefault="00C661B7" w:rsidP="00C661B7">
      <w:pPr>
        <w:jc w:val="center"/>
        <w:rPr>
          <w:b/>
          <w:bCs/>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08"/>
        <w:gridCol w:w="810"/>
        <w:gridCol w:w="4050"/>
        <w:gridCol w:w="360"/>
        <w:gridCol w:w="3848"/>
      </w:tblGrid>
      <w:tr w:rsidR="008B5A77" w:rsidRPr="00ED4247" w:rsidTr="00A268D3">
        <w:trPr>
          <w:cantSplit/>
        </w:trPr>
        <w:tc>
          <w:tcPr>
            <w:tcW w:w="9576" w:type="dxa"/>
            <w:gridSpan w:val="5"/>
          </w:tcPr>
          <w:p w:rsidR="008B5A77" w:rsidRDefault="008B5A77" w:rsidP="008B5A77">
            <w:pPr>
              <w:jc w:val="center"/>
              <w:rPr>
                <w:b/>
                <w:bCs/>
                <w:sz w:val="20"/>
                <w:szCs w:val="20"/>
              </w:rPr>
            </w:pPr>
            <w:r>
              <w:rPr>
                <w:b/>
                <w:bCs/>
                <w:sz w:val="20"/>
                <w:szCs w:val="20"/>
              </w:rPr>
              <w:t>CORAM:  Chief Justice McLachlin and Wagner and Gascon JJ.</w:t>
            </w:r>
          </w:p>
          <w:p w:rsidR="008B5A77" w:rsidRDefault="008B5A77" w:rsidP="008B5A77">
            <w:pPr>
              <w:jc w:val="center"/>
              <w:rPr>
                <w:sz w:val="20"/>
                <w:szCs w:val="20"/>
                <w:lang w:val="fr-CA"/>
              </w:rPr>
            </w:pPr>
            <w:r>
              <w:rPr>
                <w:b/>
                <w:bCs/>
                <w:sz w:val="20"/>
                <w:szCs w:val="20"/>
                <w:lang w:val="fr-CA"/>
              </w:rPr>
              <w:t>La juge en chef McLachlin et les juges Wagner et Gascon</w:t>
            </w:r>
          </w:p>
          <w:p w:rsidR="008B5A77" w:rsidRPr="008B5A77" w:rsidRDefault="008B5A77" w:rsidP="00A268D3">
            <w:pPr>
              <w:jc w:val="center"/>
              <w:rPr>
                <w:b/>
                <w:sz w:val="20"/>
                <w:szCs w:val="20"/>
                <w:lang w:val="fr-CA"/>
              </w:rPr>
            </w:pPr>
          </w:p>
        </w:tc>
      </w:tr>
      <w:tr w:rsidR="008B5A77" w:rsidRPr="00D6486F" w:rsidTr="00A268D3">
        <w:trPr>
          <w:cantSplit/>
        </w:trPr>
        <w:tc>
          <w:tcPr>
            <w:tcW w:w="508" w:type="dxa"/>
          </w:tcPr>
          <w:p w:rsidR="008B5A77" w:rsidRPr="00D6486F" w:rsidRDefault="008B5A77" w:rsidP="00A268D3">
            <w:pPr>
              <w:rPr>
                <w:sz w:val="20"/>
                <w:szCs w:val="20"/>
              </w:rPr>
            </w:pPr>
            <w:r w:rsidRPr="00D6486F">
              <w:rPr>
                <w:sz w:val="20"/>
                <w:szCs w:val="20"/>
              </w:rPr>
              <w:t>1.</w:t>
            </w:r>
          </w:p>
        </w:tc>
        <w:tc>
          <w:tcPr>
            <w:tcW w:w="810" w:type="dxa"/>
          </w:tcPr>
          <w:p w:rsidR="008B5A77" w:rsidRPr="00D6486F" w:rsidRDefault="008B5A77" w:rsidP="00A268D3">
            <w:pPr>
              <w:rPr>
                <w:sz w:val="20"/>
                <w:szCs w:val="20"/>
              </w:rPr>
            </w:pPr>
            <w:r w:rsidRPr="00D6486F">
              <w:rPr>
                <w:sz w:val="20"/>
                <w:szCs w:val="20"/>
              </w:rPr>
              <w:t>37547</w:t>
            </w:r>
          </w:p>
        </w:tc>
        <w:tc>
          <w:tcPr>
            <w:tcW w:w="4050" w:type="dxa"/>
          </w:tcPr>
          <w:p w:rsidR="008B5A77" w:rsidRPr="00D6486F" w:rsidRDefault="008B5A77" w:rsidP="00A268D3">
            <w:pPr>
              <w:pStyle w:val="SCCAppellantInfoAppellantInfo"/>
              <w:rPr>
                <w:sz w:val="20"/>
                <w:szCs w:val="20"/>
              </w:rPr>
            </w:pPr>
            <w:r w:rsidRPr="00D6486F">
              <w:rPr>
                <w:sz w:val="20"/>
                <w:szCs w:val="20"/>
              </w:rPr>
              <w:t>Syed Irbaz Shah</w:t>
            </w:r>
          </w:p>
          <w:p w:rsidR="008B5A77" w:rsidRPr="00D6486F" w:rsidRDefault="008B5A77" w:rsidP="00A268D3">
            <w:pPr>
              <w:pStyle w:val="SCCAppellantInfoAppellantInfo"/>
              <w:rPr>
                <w:sz w:val="20"/>
                <w:szCs w:val="20"/>
              </w:rPr>
            </w:pPr>
            <w:r w:rsidRPr="00D6486F">
              <w:rPr>
                <w:sz w:val="20"/>
                <w:szCs w:val="20"/>
              </w:rPr>
              <w:t>(Alta.) (Criminal) (By Leave)</w:t>
            </w:r>
          </w:p>
        </w:tc>
        <w:tc>
          <w:tcPr>
            <w:tcW w:w="360" w:type="dxa"/>
          </w:tcPr>
          <w:p w:rsidR="008B5A77" w:rsidRPr="00D6486F" w:rsidRDefault="008B5A77" w:rsidP="00A268D3">
            <w:pPr>
              <w:rPr>
                <w:sz w:val="20"/>
                <w:szCs w:val="20"/>
              </w:rPr>
            </w:pPr>
            <w:r w:rsidRPr="00D6486F">
              <w:rPr>
                <w:sz w:val="20"/>
                <w:szCs w:val="20"/>
              </w:rPr>
              <w:t>v.</w:t>
            </w:r>
          </w:p>
        </w:tc>
        <w:tc>
          <w:tcPr>
            <w:tcW w:w="3848" w:type="dxa"/>
          </w:tcPr>
          <w:p w:rsidR="008B5A77" w:rsidRPr="00D6486F" w:rsidRDefault="008B5A77" w:rsidP="00A268D3">
            <w:pPr>
              <w:pStyle w:val="SCCAppellantInfoAppellantInfo"/>
              <w:rPr>
                <w:sz w:val="20"/>
                <w:szCs w:val="20"/>
              </w:rPr>
            </w:pPr>
            <w:r w:rsidRPr="00D6486F">
              <w:rPr>
                <w:sz w:val="20"/>
                <w:szCs w:val="20"/>
              </w:rPr>
              <w:t>Attorney General of Canada on behalf of the United States of America</w:t>
            </w:r>
          </w:p>
        </w:tc>
      </w:tr>
      <w:tr w:rsidR="008B5A77" w:rsidRPr="00D6486F" w:rsidTr="00A268D3">
        <w:trPr>
          <w:cantSplit/>
        </w:trPr>
        <w:tc>
          <w:tcPr>
            <w:tcW w:w="508" w:type="dxa"/>
          </w:tcPr>
          <w:p w:rsidR="008B5A77" w:rsidRPr="00D6486F" w:rsidRDefault="008B5A77" w:rsidP="00A268D3">
            <w:pPr>
              <w:rPr>
                <w:sz w:val="20"/>
                <w:szCs w:val="20"/>
              </w:rPr>
            </w:pPr>
            <w:r w:rsidRPr="00D6486F">
              <w:rPr>
                <w:sz w:val="20"/>
                <w:szCs w:val="20"/>
              </w:rPr>
              <w:t>2.</w:t>
            </w:r>
          </w:p>
        </w:tc>
        <w:tc>
          <w:tcPr>
            <w:tcW w:w="810" w:type="dxa"/>
          </w:tcPr>
          <w:p w:rsidR="008B5A77" w:rsidRPr="00D6486F" w:rsidRDefault="008B5A77" w:rsidP="00A268D3">
            <w:pPr>
              <w:rPr>
                <w:sz w:val="20"/>
                <w:szCs w:val="20"/>
              </w:rPr>
            </w:pPr>
            <w:r w:rsidRPr="00D6486F">
              <w:rPr>
                <w:sz w:val="20"/>
                <w:szCs w:val="20"/>
              </w:rPr>
              <w:t>37454</w:t>
            </w:r>
          </w:p>
        </w:tc>
        <w:tc>
          <w:tcPr>
            <w:tcW w:w="4050" w:type="dxa"/>
          </w:tcPr>
          <w:p w:rsidR="008B5A77" w:rsidRPr="00D6486F" w:rsidRDefault="008B5A77" w:rsidP="00A268D3">
            <w:pPr>
              <w:pStyle w:val="SCCAppellantInfoAppellantInfo"/>
              <w:rPr>
                <w:sz w:val="20"/>
                <w:szCs w:val="20"/>
              </w:rPr>
            </w:pPr>
            <w:r w:rsidRPr="00D6486F">
              <w:rPr>
                <w:sz w:val="20"/>
                <w:szCs w:val="20"/>
              </w:rPr>
              <w:t>Kris Gowdy</w:t>
            </w:r>
          </w:p>
          <w:p w:rsidR="008B5A77" w:rsidRPr="00D6486F" w:rsidRDefault="008B5A77" w:rsidP="00A268D3">
            <w:pPr>
              <w:pStyle w:val="SCCAppellantInfoAppellantInfo"/>
              <w:rPr>
                <w:sz w:val="20"/>
                <w:szCs w:val="20"/>
              </w:rPr>
            </w:pPr>
            <w:r w:rsidRPr="00D6486F">
              <w:rPr>
                <w:sz w:val="20"/>
                <w:szCs w:val="20"/>
              </w:rPr>
              <w:t>(Ont.) (Criminal) (By Leave)</w:t>
            </w:r>
          </w:p>
        </w:tc>
        <w:tc>
          <w:tcPr>
            <w:tcW w:w="360" w:type="dxa"/>
          </w:tcPr>
          <w:p w:rsidR="008B5A77" w:rsidRPr="00D6486F" w:rsidRDefault="008B5A77" w:rsidP="00A268D3">
            <w:pPr>
              <w:rPr>
                <w:sz w:val="20"/>
                <w:szCs w:val="20"/>
              </w:rPr>
            </w:pPr>
            <w:r w:rsidRPr="00D6486F">
              <w:rPr>
                <w:sz w:val="20"/>
                <w:szCs w:val="20"/>
              </w:rPr>
              <w:t>v.</w:t>
            </w:r>
          </w:p>
        </w:tc>
        <w:tc>
          <w:tcPr>
            <w:tcW w:w="3848" w:type="dxa"/>
          </w:tcPr>
          <w:p w:rsidR="008B5A77" w:rsidRPr="00D6486F" w:rsidRDefault="008B5A77" w:rsidP="00A268D3">
            <w:pPr>
              <w:pStyle w:val="SCCAppellantInfoAppellantInfo"/>
              <w:rPr>
                <w:sz w:val="20"/>
                <w:szCs w:val="20"/>
              </w:rPr>
            </w:pPr>
            <w:r w:rsidRPr="00D6486F">
              <w:rPr>
                <w:sz w:val="20"/>
                <w:szCs w:val="20"/>
              </w:rPr>
              <w:t>Her Majesty the Queen</w:t>
            </w:r>
          </w:p>
        </w:tc>
      </w:tr>
      <w:tr w:rsidR="008B5A77" w:rsidRPr="00D6486F" w:rsidTr="00A268D3">
        <w:trPr>
          <w:cantSplit/>
        </w:trPr>
        <w:tc>
          <w:tcPr>
            <w:tcW w:w="508" w:type="dxa"/>
          </w:tcPr>
          <w:p w:rsidR="008B5A77" w:rsidRPr="00D6486F" w:rsidRDefault="008B5A77" w:rsidP="00A268D3">
            <w:pPr>
              <w:rPr>
                <w:sz w:val="20"/>
                <w:szCs w:val="20"/>
              </w:rPr>
            </w:pPr>
            <w:r w:rsidRPr="00D6486F">
              <w:rPr>
                <w:sz w:val="20"/>
                <w:szCs w:val="20"/>
              </w:rPr>
              <w:t>3.</w:t>
            </w:r>
          </w:p>
        </w:tc>
        <w:tc>
          <w:tcPr>
            <w:tcW w:w="810" w:type="dxa"/>
          </w:tcPr>
          <w:p w:rsidR="008B5A77" w:rsidRPr="00D6486F" w:rsidRDefault="008B5A77" w:rsidP="00A268D3">
            <w:pPr>
              <w:rPr>
                <w:sz w:val="20"/>
                <w:szCs w:val="20"/>
              </w:rPr>
            </w:pPr>
            <w:r w:rsidRPr="00D6486F">
              <w:rPr>
                <w:sz w:val="20"/>
                <w:szCs w:val="20"/>
              </w:rPr>
              <w:t>37541</w:t>
            </w:r>
          </w:p>
        </w:tc>
        <w:tc>
          <w:tcPr>
            <w:tcW w:w="4050" w:type="dxa"/>
          </w:tcPr>
          <w:p w:rsidR="008B5A77" w:rsidRPr="00D6486F" w:rsidRDefault="008B5A77" w:rsidP="00A268D3">
            <w:pPr>
              <w:pStyle w:val="SCCAppellantInfoAppellantInfo"/>
              <w:rPr>
                <w:sz w:val="20"/>
                <w:szCs w:val="20"/>
                <w:lang w:val="fr-CA"/>
              </w:rPr>
            </w:pPr>
            <w:r w:rsidRPr="00D6486F">
              <w:rPr>
                <w:sz w:val="20"/>
                <w:szCs w:val="20"/>
                <w:lang w:val="fr-CA"/>
              </w:rPr>
              <w:t>Guy Larochelle</w:t>
            </w:r>
          </w:p>
          <w:p w:rsidR="008B5A77" w:rsidRPr="00D6486F" w:rsidRDefault="008B5A77" w:rsidP="00A268D3">
            <w:pPr>
              <w:pStyle w:val="SCCAppellantInfoAppellantInfo"/>
              <w:rPr>
                <w:sz w:val="20"/>
                <w:szCs w:val="20"/>
                <w:lang w:val="fr-CA"/>
              </w:rPr>
            </w:pPr>
            <w:r w:rsidRPr="00D6486F">
              <w:rPr>
                <w:sz w:val="20"/>
                <w:szCs w:val="20"/>
                <w:lang w:val="fr-CA"/>
              </w:rPr>
              <w:t>(Qc) (Civile) (Autorisation)</w:t>
            </w:r>
          </w:p>
        </w:tc>
        <w:tc>
          <w:tcPr>
            <w:tcW w:w="360" w:type="dxa"/>
          </w:tcPr>
          <w:p w:rsidR="008B5A77" w:rsidRPr="00D6486F" w:rsidRDefault="008B5A77" w:rsidP="00A268D3">
            <w:pPr>
              <w:rPr>
                <w:sz w:val="20"/>
                <w:szCs w:val="20"/>
              </w:rPr>
            </w:pPr>
            <w:r w:rsidRPr="00D6486F">
              <w:rPr>
                <w:sz w:val="20"/>
                <w:szCs w:val="20"/>
              </w:rPr>
              <w:t>c.</w:t>
            </w:r>
          </w:p>
        </w:tc>
        <w:tc>
          <w:tcPr>
            <w:tcW w:w="3848" w:type="dxa"/>
          </w:tcPr>
          <w:p w:rsidR="008B5A77" w:rsidRPr="00D6486F" w:rsidRDefault="008B5A77" w:rsidP="00A268D3">
            <w:pPr>
              <w:pStyle w:val="SCCAppellantInfoAppellantInfo"/>
              <w:rPr>
                <w:sz w:val="20"/>
                <w:szCs w:val="20"/>
              </w:rPr>
            </w:pPr>
            <w:r w:rsidRPr="00D6486F">
              <w:rPr>
                <w:sz w:val="20"/>
                <w:szCs w:val="20"/>
              </w:rPr>
              <w:t>Denis Paquet</w:t>
            </w:r>
          </w:p>
        </w:tc>
      </w:tr>
      <w:tr w:rsidR="008B5A77" w:rsidRPr="00D6486F" w:rsidTr="00A268D3">
        <w:trPr>
          <w:cantSplit/>
        </w:trPr>
        <w:tc>
          <w:tcPr>
            <w:tcW w:w="508" w:type="dxa"/>
          </w:tcPr>
          <w:p w:rsidR="008B5A77" w:rsidRPr="00D6486F" w:rsidRDefault="008B5A77" w:rsidP="00A268D3">
            <w:pPr>
              <w:rPr>
                <w:sz w:val="20"/>
                <w:szCs w:val="20"/>
              </w:rPr>
            </w:pPr>
            <w:r w:rsidRPr="00D6486F">
              <w:rPr>
                <w:sz w:val="20"/>
                <w:szCs w:val="20"/>
              </w:rPr>
              <w:t>4.</w:t>
            </w:r>
          </w:p>
        </w:tc>
        <w:tc>
          <w:tcPr>
            <w:tcW w:w="810" w:type="dxa"/>
          </w:tcPr>
          <w:p w:rsidR="008B5A77" w:rsidRPr="00D6486F" w:rsidRDefault="008B5A77" w:rsidP="00A268D3">
            <w:pPr>
              <w:rPr>
                <w:sz w:val="20"/>
                <w:szCs w:val="20"/>
              </w:rPr>
            </w:pPr>
            <w:r w:rsidRPr="00D6486F">
              <w:rPr>
                <w:sz w:val="20"/>
                <w:szCs w:val="20"/>
              </w:rPr>
              <w:t>37520</w:t>
            </w:r>
          </w:p>
        </w:tc>
        <w:tc>
          <w:tcPr>
            <w:tcW w:w="4050" w:type="dxa"/>
          </w:tcPr>
          <w:p w:rsidR="008B5A77" w:rsidRPr="00D6486F" w:rsidRDefault="008B5A77" w:rsidP="00A268D3">
            <w:pPr>
              <w:pStyle w:val="SCCAppellantInfoAppellantInfo"/>
              <w:rPr>
                <w:sz w:val="20"/>
                <w:szCs w:val="20"/>
              </w:rPr>
            </w:pPr>
            <w:r w:rsidRPr="00D6486F">
              <w:rPr>
                <w:sz w:val="20"/>
                <w:szCs w:val="20"/>
              </w:rPr>
              <w:t>Jim Lysons</w:t>
            </w:r>
          </w:p>
          <w:p w:rsidR="008B5A77" w:rsidRPr="00D6486F" w:rsidRDefault="008B5A77" w:rsidP="00A268D3">
            <w:pPr>
              <w:pStyle w:val="SCCAppellantInfoAppellantInfo"/>
              <w:rPr>
                <w:sz w:val="20"/>
                <w:szCs w:val="20"/>
              </w:rPr>
            </w:pPr>
            <w:r w:rsidRPr="00D6486F">
              <w:rPr>
                <w:sz w:val="20"/>
                <w:szCs w:val="20"/>
              </w:rPr>
              <w:t>(Alta.) (Civil) (By Leave)</w:t>
            </w:r>
          </w:p>
        </w:tc>
        <w:tc>
          <w:tcPr>
            <w:tcW w:w="360" w:type="dxa"/>
          </w:tcPr>
          <w:p w:rsidR="008B5A77" w:rsidRPr="00D6486F" w:rsidRDefault="008B5A77" w:rsidP="00A268D3">
            <w:pPr>
              <w:rPr>
                <w:sz w:val="20"/>
                <w:szCs w:val="20"/>
              </w:rPr>
            </w:pPr>
            <w:r w:rsidRPr="00D6486F">
              <w:rPr>
                <w:sz w:val="20"/>
                <w:szCs w:val="20"/>
              </w:rPr>
              <w:t>v.</w:t>
            </w:r>
          </w:p>
        </w:tc>
        <w:tc>
          <w:tcPr>
            <w:tcW w:w="3848" w:type="dxa"/>
          </w:tcPr>
          <w:p w:rsidR="008B5A77" w:rsidRPr="00D6486F" w:rsidRDefault="008B5A77" w:rsidP="00A268D3">
            <w:pPr>
              <w:pStyle w:val="SCCAppellantInfoAppellantInfo"/>
              <w:rPr>
                <w:sz w:val="20"/>
                <w:szCs w:val="20"/>
              </w:rPr>
            </w:pPr>
            <w:r w:rsidRPr="00D6486F">
              <w:rPr>
                <w:sz w:val="20"/>
                <w:szCs w:val="20"/>
              </w:rPr>
              <w:t>Alberta Land Surveyors’ Association</w:t>
            </w:r>
          </w:p>
        </w:tc>
      </w:tr>
      <w:tr w:rsidR="008B5A77" w:rsidRPr="00D6486F" w:rsidTr="00A268D3">
        <w:trPr>
          <w:cantSplit/>
        </w:trPr>
        <w:tc>
          <w:tcPr>
            <w:tcW w:w="508" w:type="dxa"/>
          </w:tcPr>
          <w:p w:rsidR="008B5A77" w:rsidRPr="00D6486F" w:rsidRDefault="008B5A77" w:rsidP="00A268D3">
            <w:pPr>
              <w:rPr>
                <w:sz w:val="20"/>
                <w:szCs w:val="20"/>
              </w:rPr>
            </w:pPr>
            <w:r w:rsidRPr="00D6486F">
              <w:rPr>
                <w:sz w:val="20"/>
                <w:szCs w:val="20"/>
              </w:rPr>
              <w:t>5.</w:t>
            </w:r>
          </w:p>
        </w:tc>
        <w:tc>
          <w:tcPr>
            <w:tcW w:w="810" w:type="dxa"/>
          </w:tcPr>
          <w:p w:rsidR="008B5A77" w:rsidRPr="00D6486F" w:rsidRDefault="008B5A77" w:rsidP="00A268D3">
            <w:pPr>
              <w:rPr>
                <w:sz w:val="20"/>
                <w:szCs w:val="20"/>
              </w:rPr>
            </w:pPr>
            <w:r w:rsidRPr="00D6486F">
              <w:rPr>
                <w:sz w:val="20"/>
                <w:szCs w:val="20"/>
              </w:rPr>
              <w:t>37498</w:t>
            </w:r>
          </w:p>
        </w:tc>
        <w:tc>
          <w:tcPr>
            <w:tcW w:w="4050" w:type="dxa"/>
          </w:tcPr>
          <w:p w:rsidR="008B5A77" w:rsidRPr="00D6486F" w:rsidRDefault="008B5A77" w:rsidP="00A268D3">
            <w:pPr>
              <w:pStyle w:val="SCCAppellantInfoAppellantInfo"/>
              <w:rPr>
                <w:sz w:val="20"/>
                <w:szCs w:val="20"/>
              </w:rPr>
            </w:pPr>
            <w:r w:rsidRPr="00D6486F">
              <w:rPr>
                <w:sz w:val="20"/>
                <w:szCs w:val="20"/>
              </w:rPr>
              <w:t>Vancouver Career College (Burnaby) Inc., dba Vancouver Career College, also dba CDI College, also dba Vancouver College of Art and Design also dba Eminata Group</w:t>
            </w:r>
          </w:p>
          <w:p w:rsidR="008B5A77" w:rsidRPr="00D6486F" w:rsidRDefault="008B5A77" w:rsidP="00A268D3">
            <w:pPr>
              <w:pStyle w:val="SCCAppellantInfoAppellantInfo"/>
              <w:rPr>
                <w:sz w:val="20"/>
                <w:szCs w:val="20"/>
              </w:rPr>
            </w:pPr>
            <w:r w:rsidRPr="00D6486F">
              <w:rPr>
                <w:sz w:val="20"/>
                <w:szCs w:val="20"/>
              </w:rPr>
              <w:t>(B.C.) (Civil) (By Leave)</w:t>
            </w:r>
          </w:p>
        </w:tc>
        <w:tc>
          <w:tcPr>
            <w:tcW w:w="360" w:type="dxa"/>
          </w:tcPr>
          <w:p w:rsidR="008B5A77" w:rsidRPr="00D6486F" w:rsidRDefault="008B5A77" w:rsidP="00A268D3">
            <w:pPr>
              <w:rPr>
                <w:sz w:val="20"/>
                <w:szCs w:val="20"/>
              </w:rPr>
            </w:pPr>
            <w:r w:rsidRPr="00D6486F">
              <w:rPr>
                <w:sz w:val="20"/>
                <w:szCs w:val="20"/>
              </w:rPr>
              <w:t>v.</w:t>
            </w:r>
          </w:p>
        </w:tc>
        <w:tc>
          <w:tcPr>
            <w:tcW w:w="3848" w:type="dxa"/>
          </w:tcPr>
          <w:p w:rsidR="008B5A77" w:rsidRPr="00D6486F" w:rsidRDefault="008B5A77" w:rsidP="00A268D3">
            <w:pPr>
              <w:pStyle w:val="SCCAppellantInfoAppellantInfo"/>
              <w:rPr>
                <w:sz w:val="20"/>
                <w:szCs w:val="20"/>
              </w:rPr>
            </w:pPr>
            <w:r w:rsidRPr="00D6486F">
              <w:rPr>
                <w:sz w:val="20"/>
                <w:szCs w:val="20"/>
              </w:rPr>
              <w:t>Vancouver Community College</w:t>
            </w:r>
          </w:p>
        </w:tc>
      </w:tr>
      <w:tr w:rsidR="008B5A77" w:rsidRPr="00ED4247" w:rsidTr="00A268D3">
        <w:trPr>
          <w:cantSplit/>
        </w:trPr>
        <w:tc>
          <w:tcPr>
            <w:tcW w:w="9576" w:type="dxa"/>
            <w:gridSpan w:val="5"/>
          </w:tcPr>
          <w:p w:rsidR="008B5A77" w:rsidRDefault="008B5A77" w:rsidP="008B5A77">
            <w:pPr>
              <w:jc w:val="center"/>
              <w:rPr>
                <w:b/>
                <w:bCs/>
                <w:sz w:val="20"/>
                <w:szCs w:val="20"/>
              </w:rPr>
            </w:pPr>
          </w:p>
          <w:p w:rsidR="008B5A77" w:rsidRDefault="008B5A77" w:rsidP="008B5A77">
            <w:pPr>
              <w:jc w:val="center"/>
              <w:rPr>
                <w:b/>
                <w:bCs/>
                <w:sz w:val="20"/>
                <w:szCs w:val="20"/>
                <w:lang w:val="en-US"/>
              </w:rPr>
            </w:pPr>
            <w:r>
              <w:rPr>
                <w:b/>
                <w:bCs/>
                <w:sz w:val="20"/>
                <w:szCs w:val="20"/>
              </w:rPr>
              <w:t>CORAM: Abella, Karakatsanis and Brown JJ.</w:t>
            </w:r>
          </w:p>
          <w:p w:rsidR="008B5A77" w:rsidRDefault="008B5A77" w:rsidP="008B5A77">
            <w:pPr>
              <w:jc w:val="center"/>
              <w:rPr>
                <w:b/>
                <w:bCs/>
                <w:sz w:val="20"/>
                <w:szCs w:val="20"/>
                <w:lang w:val="fr-CA"/>
              </w:rPr>
            </w:pPr>
            <w:r>
              <w:rPr>
                <w:b/>
                <w:bCs/>
                <w:sz w:val="20"/>
                <w:szCs w:val="20"/>
                <w:lang w:val="fr-CA"/>
              </w:rPr>
              <w:t>Les juges Abella, Karakatsanis et Brown</w:t>
            </w:r>
          </w:p>
          <w:p w:rsidR="008B5A77" w:rsidRPr="008B5A77" w:rsidRDefault="008B5A77" w:rsidP="00A268D3">
            <w:pPr>
              <w:jc w:val="center"/>
              <w:rPr>
                <w:b/>
                <w:sz w:val="20"/>
                <w:szCs w:val="20"/>
                <w:lang w:val="fr-CA"/>
              </w:rPr>
            </w:pPr>
          </w:p>
        </w:tc>
      </w:tr>
      <w:tr w:rsidR="008B5A77" w:rsidRPr="00D6486F" w:rsidTr="00A268D3">
        <w:trPr>
          <w:cantSplit/>
        </w:trPr>
        <w:tc>
          <w:tcPr>
            <w:tcW w:w="508" w:type="dxa"/>
          </w:tcPr>
          <w:p w:rsidR="008B5A77" w:rsidRPr="00D6486F" w:rsidRDefault="008B5A77" w:rsidP="00A268D3">
            <w:pPr>
              <w:rPr>
                <w:sz w:val="20"/>
                <w:szCs w:val="20"/>
              </w:rPr>
            </w:pPr>
            <w:r w:rsidRPr="00D6486F">
              <w:rPr>
                <w:sz w:val="20"/>
                <w:szCs w:val="20"/>
              </w:rPr>
              <w:t>6.</w:t>
            </w:r>
          </w:p>
        </w:tc>
        <w:tc>
          <w:tcPr>
            <w:tcW w:w="810" w:type="dxa"/>
          </w:tcPr>
          <w:p w:rsidR="008B5A77" w:rsidRPr="00D6486F" w:rsidRDefault="008B5A77" w:rsidP="00A268D3">
            <w:pPr>
              <w:rPr>
                <w:sz w:val="20"/>
                <w:szCs w:val="20"/>
              </w:rPr>
            </w:pPr>
            <w:r w:rsidRPr="00D6486F">
              <w:rPr>
                <w:sz w:val="20"/>
                <w:szCs w:val="20"/>
              </w:rPr>
              <w:t>37491</w:t>
            </w:r>
          </w:p>
        </w:tc>
        <w:tc>
          <w:tcPr>
            <w:tcW w:w="4050" w:type="dxa"/>
          </w:tcPr>
          <w:p w:rsidR="008B5A77" w:rsidRPr="00D6486F" w:rsidRDefault="008B5A77" w:rsidP="00A268D3">
            <w:pPr>
              <w:pStyle w:val="SCCAppellantInfoAppellantInfo"/>
              <w:rPr>
                <w:sz w:val="20"/>
                <w:szCs w:val="20"/>
              </w:rPr>
            </w:pPr>
            <w:r w:rsidRPr="00D6486F">
              <w:rPr>
                <w:sz w:val="20"/>
                <w:szCs w:val="20"/>
              </w:rPr>
              <w:t>Her Majesty the Queen</w:t>
            </w:r>
          </w:p>
          <w:p w:rsidR="008B5A77" w:rsidRPr="00D6486F" w:rsidRDefault="008B5A77" w:rsidP="00A268D3">
            <w:pPr>
              <w:pStyle w:val="SCCAppellantInfoAppellantInfo"/>
              <w:rPr>
                <w:sz w:val="20"/>
                <w:szCs w:val="20"/>
              </w:rPr>
            </w:pPr>
            <w:r w:rsidRPr="00D6486F">
              <w:rPr>
                <w:sz w:val="20"/>
                <w:szCs w:val="20"/>
              </w:rPr>
              <w:t>(Ont.) (Criminal) (By Leave)</w:t>
            </w:r>
          </w:p>
        </w:tc>
        <w:tc>
          <w:tcPr>
            <w:tcW w:w="360" w:type="dxa"/>
          </w:tcPr>
          <w:p w:rsidR="008B5A77" w:rsidRPr="00D6486F" w:rsidRDefault="008B5A77" w:rsidP="00A268D3">
            <w:pPr>
              <w:rPr>
                <w:sz w:val="20"/>
                <w:szCs w:val="20"/>
              </w:rPr>
            </w:pPr>
            <w:r w:rsidRPr="00D6486F">
              <w:rPr>
                <w:sz w:val="20"/>
                <w:szCs w:val="20"/>
              </w:rPr>
              <w:t>v.</w:t>
            </w:r>
          </w:p>
        </w:tc>
        <w:tc>
          <w:tcPr>
            <w:tcW w:w="3848" w:type="dxa"/>
          </w:tcPr>
          <w:p w:rsidR="008B5A77" w:rsidRPr="00D6486F" w:rsidRDefault="008B5A77" w:rsidP="00A268D3">
            <w:pPr>
              <w:pStyle w:val="SCCAppellantInfoAppellantInfo"/>
              <w:rPr>
                <w:sz w:val="20"/>
                <w:szCs w:val="20"/>
              </w:rPr>
            </w:pPr>
            <w:r w:rsidRPr="00D6486F">
              <w:rPr>
                <w:sz w:val="20"/>
                <w:szCs w:val="20"/>
              </w:rPr>
              <w:t>Jermin Shivrattan, et al.</w:t>
            </w:r>
          </w:p>
        </w:tc>
      </w:tr>
      <w:tr w:rsidR="008B5A77" w:rsidRPr="00D6486F" w:rsidTr="00A268D3">
        <w:trPr>
          <w:cantSplit/>
        </w:trPr>
        <w:tc>
          <w:tcPr>
            <w:tcW w:w="508" w:type="dxa"/>
          </w:tcPr>
          <w:p w:rsidR="008B5A77" w:rsidRPr="00D6486F" w:rsidRDefault="008B5A77" w:rsidP="00A268D3">
            <w:pPr>
              <w:rPr>
                <w:sz w:val="20"/>
                <w:szCs w:val="20"/>
              </w:rPr>
            </w:pPr>
            <w:r w:rsidRPr="00D6486F">
              <w:rPr>
                <w:sz w:val="20"/>
                <w:szCs w:val="20"/>
              </w:rPr>
              <w:t>7.</w:t>
            </w:r>
          </w:p>
        </w:tc>
        <w:tc>
          <w:tcPr>
            <w:tcW w:w="810" w:type="dxa"/>
          </w:tcPr>
          <w:p w:rsidR="008B5A77" w:rsidRPr="00D6486F" w:rsidRDefault="008B5A77" w:rsidP="00A268D3">
            <w:pPr>
              <w:rPr>
                <w:sz w:val="20"/>
                <w:szCs w:val="20"/>
              </w:rPr>
            </w:pPr>
            <w:r w:rsidRPr="00D6486F">
              <w:rPr>
                <w:sz w:val="20"/>
                <w:szCs w:val="20"/>
              </w:rPr>
              <w:t>37531</w:t>
            </w:r>
          </w:p>
        </w:tc>
        <w:tc>
          <w:tcPr>
            <w:tcW w:w="4050" w:type="dxa"/>
          </w:tcPr>
          <w:p w:rsidR="008B5A77" w:rsidRPr="00D6486F" w:rsidRDefault="008B5A77" w:rsidP="00A268D3">
            <w:pPr>
              <w:pStyle w:val="SCCAppellantInfoAppellantInfo"/>
              <w:rPr>
                <w:sz w:val="20"/>
                <w:szCs w:val="20"/>
              </w:rPr>
            </w:pPr>
            <w:r w:rsidRPr="00D6486F">
              <w:rPr>
                <w:sz w:val="20"/>
                <w:szCs w:val="20"/>
              </w:rPr>
              <w:t>J.T.</w:t>
            </w:r>
          </w:p>
          <w:p w:rsidR="008B5A77" w:rsidRPr="00D6486F" w:rsidRDefault="008B5A77" w:rsidP="00A268D3">
            <w:pPr>
              <w:pStyle w:val="SCCAppellantInfoAppellantInfo"/>
              <w:rPr>
                <w:sz w:val="20"/>
                <w:szCs w:val="20"/>
              </w:rPr>
            </w:pPr>
            <w:r w:rsidRPr="00D6486F">
              <w:rPr>
                <w:sz w:val="20"/>
                <w:szCs w:val="20"/>
              </w:rPr>
              <w:t>(Ont.) (Criminal) (By Leave)</w:t>
            </w:r>
          </w:p>
        </w:tc>
        <w:tc>
          <w:tcPr>
            <w:tcW w:w="360" w:type="dxa"/>
          </w:tcPr>
          <w:p w:rsidR="008B5A77" w:rsidRPr="00D6486F" w:rsidRDefault="008B5A77" w:rsidP="00A268D3">
            <w:pPr>
              <w:rPr>
                <w:sz w:val="20"/>
                <w:szCs w:val="20"/>
              </w:rPr>
            </w:pPr>
            <w:r w:rsidRPr="00D6486F">
              <w:rPr>
                <w:sz w:val="20"/>
                <w:szCs w:val="20"/>
              </w:rPr>
              <w:t>v.</w:t>
            </w:r>
          </w:p>
        </w:tc>
        <w:tc>
          <w:tcPr>
            <w:tcW w:w="3848" w:type="dxa"/>
          </w:tcPr>
          <w:p w:rsidR="008B5A77" w:rsidRPr="00D6486F" w:rsidRDefault="008B5A77" w:rsidP="00A268D3">
            <w:pPr>
              <w:pStyle w:val="SCCAppellantInfoAppellantInfo"/>
              <w:rPr>
                <w:sz w:val="20"/>
                <w:szCs w:val="20"/>
              </w:rPr>
            </w:pPr>
            <w:r w:rsidRPr="00D6486F">
              <w:rPr>
                <w:sz w:val="20"/>
                <w:szCs w:val="20"/>
              </w:rPr>
              <w:t>Her Majesty the Queen</w:t>
            </w:r>
          </w:p>
        </w:tc>
      </w:tr>
      <w:tr w:rsidR="008B5A77" w:rsidRPr="00D6486F" w:rsidTr="00A268D3">
        <w:trPr>
          <w:cantSplit/>
        </w:trPr>
        <w:tc>
          <w:tcPr>
            <w:tcW w:w="508" w:type="dxa"/>
          </w:tcPr>
          <w:p w:rsidR="008B5A77" w:rsidRPr="00D6486F" w:rsidRDefault="008B5A77" w:rsidP="00A268D3">
            <w:pPr>
              <w:rPr>
                <w:sz w:val="20"/>
                <w:szCs w:val="20"/>
              </w:rPr>
            </w:pPr>
            <w:r w:rsidRPr="00D6486F">
              <w:rPr>
                <w:sz w:val="20"/>
                <w:szCs w:val="20"/>
              </w:rPr>
              <w:t>8.</w:t>
            </w:r>
          </w:p>
        </w:tc>
        <w:tc>
          <w:tcPr>
            <w:tcW w:w="810" w:type="dxa"/>
          </w:tcPr>
          <w:p w:rsidR="008B5A77" w:rsidRPr="00D6486F" w:rsidRDefault="008B5A77" w:rsidP="00A268D3">
            <w:pPr>
              <w:rPr>
                <w:sz w:val="20"/>
                <w:szCs w:val="20"/>
              </w:rPr>
            </w:pPr>
            <w:r w:rsidRPr="00D6486F">
              <w:rPr>
                <w:sz w:val="20"/>
                <w:szCs w:val="20"/>
              </w:rPr>
              <w:t>37325</w:t>
            </w:r>
          </w:p>
        </w:tc>
        <w:tc>
          <w:tcPr>
            <w:tcW w:w="4050" w:type="dxa"/>
          </w:tcPr>
          <w:p w:rsidR="008B5A77" w:rsidRPr="00D6486F" w:rsidRDefault="008B5A77" w:rsidP="00A268D3">
            <w:pPr>
              <w:pStyle w:val="SCCAppellantInfoAppellantInfo"/>
              <w:rPr>
                <w:sz w:val="20"/>
                <w:szCs w:val="20"/>
              </w:rPr>
            </w:pPr>
            <w:r w:rsidRPr="00D6486F">
              <w:rPr>
                <w:sz w:val="20"/>
                <w:szCs w:val="20"/>
              </w:rPr>
              <w:t>Angleland Holdings Inc., et al.</w:t>
            </w:r>
          </w:p>
          <w:p w:rsidR="008B5A77" w:rsidRPr="00D6486F" w:rsidRDefault="008B5A77" w:rsidP="00A268D3">
            <w:pPr>
              <w:pStyle w:val="SCCAppellantInfoAppellantInfo"/>
              <w:rPr>
                <w:sz w:val="20"/>
                <w:szCs w:val="20"/>
              </w:rPr>
            </w:pPr>
            <w:r w:rsidRPr="00D6486F">
              <w:rPr>
                <w:sz w:val="20"/>
                <w:szCs w:val="20"/>
              </w:rPr>
              <w:t>(B.C.) (Civil) (By Leave)</w:t>
            </w:r>
          </w:p>
        </w:tc>
        <w:tc>
          <w:tcPr>
            <w:tcW w:w="360" w:type="dxa"/>
          </w:tcPr>
          <w:p w:rsidR="008B5A77" w:rsidRPr="00D6486F" w:rsidRDefault="008B5A77" w:rsidP="00A268D3">
            <w:pPr>
              <w:rPr>
                <w:sz w:val="20"/>
                <w:szCs w:val="20"/>
              </w:rPr>
            </w:pPr>
            <w:r w:rsidRPr="00D6486F">
              <w:rPr>
                <w:sz w:val="20"/>
                <w:szCs w:val="20"/>
              </w:rPr>
              <w:t>v.</w:t>
            </w:r>
          </w:p>
        </w:tc>
        <w:tc>
          <w:tcPr>
            <w:tcW w:w="3848" w:type="dxa"/>
          </w:tcPr>
          <w:p w:rsidR="008B5A77" w:rsidRPr="00D6486F" w:rsidRDefault="008B5A77" w:rsidP="00A268D3">
            <w:pPr>
              <w:pStyle w:val="SCCAppellantInfoAppellantInfo"/>
              <w:rPr>
                <w:sz w:val="20"/>
                <w:szCs w:val="20"/>
              </w:rPr>
            </w:pPr>
            <w:r w:rsidRPr="00D6486F">
              <w:rPr>
                <w:sz w:val="20"/>
                <w:szCs w:val="20"/>
              </w:rPr>
              <w:t>Gregory N. Harney law Corporation dba, et al.</w:t>
            </w:r>
          </w:p>
        </w:tc>
      </w:tr>
      <w:tr w:rsidR="008B5A77" w:rsidRPr="00D6486F" w:rsidTr="00A268D3">
        <w:trPr>
          <w:cantSplit/>
        </w:trPr>
        <w:tc>
          <w:tcPr>
            <w:tcW w:w="508" w:type="dxa"/>
          </w:tcPr>
          <w:p w:rsidR="008B5A77" w:rsidRPr="00D6486F" w:rsidRDefault="008B5A77" w:rsidP="00A268D3">
            <w:pPr>
              <w:rPr>
                <w:sz w:val="20"/>
                <w:szCs w:val="20"/>
              </w:rPr>
            </w:pPr>
            <w:r w:rsidRPr="00D6486F">
              <w:rPr>
                <w:sz w:val="20"/>
                <w:szCs w:val="20"/>
              </w:rPr>
              <w:t>9.</w:t>
            </w:r>
          </w:p>
        </w:tc>
        <w:tc>
          <w:tcPr>
            <w:tcW w:w="810" w:type="dxa"/>
          </w:tcPr>
          <w:p w:rsidR="008B5A77" w:rsidRPr="00D6486F" w:rsidRDefault="008B5A77" w:rsidP="00A268D3">
            <w:pPr>
              <w:rPr>
                <w:sz w:val="20"/>
                <w:szCs w:val="20"/>
              </w:rPr>
            </w:pPr>
            <w:r w:rsidRPr="00D6486F">
              <w:rPr>
                <w:sz w:val="20"/>
                <w:szCs w:val="20"/>
              </w:rPr>
              <w:t>37539</w:t>
            </w:r>
          </w:p>
        </w:tc>
        <w:tc>
          <w:tcPr>
            <w:tcW w:w="4050" w:type="dxa"/>
          </w:tcPr>
          <w:p w:rsidR="008B5A77" w:rsidRPr="00D6486F" w:rsidRDefault="008B5A77" w:rsidP="00A268D3">
            <w:pPr>
              <w:pStyle w:val="SCCAppellantInfoAppellantInfo"/>
              <w:rPr>
                <w:sz w:val="20"/>
                <w:szCs w:val="20"/>
              </w:rPr>
            </w:pPr>
            <w:r w:rsidRPr="00D6486F">
              <w:rPr>
                <w:sz w:val="20"/>
                <w:szCs w:val="20"/>
              </w:rPr>
              <w:t>St. John's Dockyard Limited</w:t>
            </w:r>
          </w:p>
          <w:p w:rsidR="008B5A77" w:rsidRPr="00D6486F" w:rsidRDefault="008B5A77" w:rsidP="00A268D3">
            <w:pPr>
              <w:pStyle w:val="SCCAppellantInfoAppellantInfo"/>
              <w:rPr>
                <w:sz w:val="20"/>
                <w:szCs w:val="20"/>
              </w:rPr>
            </w:pPr>
            <w:r w:rsidRPr="00D6486F">
              <w:rPr>
                <w:sz w:val="20"/>
                <w:szCs w:val="20"/>
              </w:rPr>
              <w:t>(N.L.) (Civil) (By Leave)</w:t>
            </w:r>
          </w:p>
        </w:tc>
        <w:tc>
          <w:tcPr>
            <w:tcW w:w="360" w:type="dxa"/>
          </w:tcPr>
          <w:p w:rsidR="008B5A77" w:rsidRPr="00D6486F" w:rsidRDefault="008B5A77" w:rsidP="00A268D3">
            <w:pPr>
              <w:rPr>
                <w:sz w:val="20"/>
                <w:szCs w:val="20"/>
              </w:rPr>
            </w:pPr>
            <w:r w:rsidRPr="00D6486F">
              <w:rPr>
                <w:sz w:val="20"/>
                <w:szCs w:val="20"/>
              </w:rPr>
              <w:t>v.</w:t>
            </w:r>
          </w:p>
        </w:tc>
        <w:tc>
          <w:tcPr>
            <w:tcW w:w="3848" w:type="dxa"/>
          </w:tcPr>
          <w:p w:rsidR="008B5A77" w:rsidRPr="00D6486F" w:rsidRDefault="008B5A77" w:rsidP="00A268D3">
            <w:pPr>
              <w:pStyle w:val="SCCAppellantInfoAppellantInfo"/>
              <w:rPr>
                <w:sz w:val="20"/>
                <w:szCs w:val="20"/>
              </w:rPr>
            </w:pPr>
            <w:r w:rsidRPr="00D6486F">
              <w:rPr>
                <w:sz w:val="20"/>
                <w:szCs w:val="20"/>
              </w:rPr>
              <w:t>City of St. John's</w:t>
            </w:r>
          </w:p>
        </w:tc>
      </w:tr>
      <w:tr w:rsidR="008B5A77" w:rsidRPr="00ED4247" w:rsidTr="00A268D3">
        <w:trPr>
          <w:cantSplit/>
        </w:trPr>
        <w:tc>
          <w:tcPr>
            <w:tcW w:w="9576" w:type="dxa"/>
            <w:gridSpan w:val="5"/>
          </w:tcPr>
          <w:p w:rsidR="008B5A77" w:rsidRDefault="008B5A77" w:rsidP="008B5A77">
            <w:pPr>
              <w:jc w:val="center"/>
              <w:rPr>
                <w:b/>
                <w:bCs/>
                <w:sz w:val="20"/>
                <w:szCs w:val="20"/>
              </w:rPr>
            </w:pPr>
          </w:p>
          <w:p w:rsidR="008B5A77" w:rsidRDefault="008B5A77" w:rsidP="008B5A77">
            <w:pPr>
              <w:jc w:val="center"/>
              <w:rPr>
                <w:b/>
                <w:bCs/>
                <w:sz w:val="20"/>
                <w:szCs w:val="20"/>
                <w:lang w:val="en-US"/>
              </w:rPr>
            </w:pPr>
            <w:r>
              <w:rPr>
                <w:b/>
                <w:bCs/>
                <w:sz w:val="20"/>
                <w:szCs w:val="20"/>
              </w:rPr>
              <w:t>CORAM: Moldaver, Côté and Rowe JJ.</w:t>
            </w:r>
          </w:p>
          <w:p w:rsidR="008B5A77" w:rsidRDefault="008B5A77" w:rsidP="008B5A77">
            <w:pPr>
              <w:jc w:val="center"/>
              <w:rPr>
                <w:b/>
                <w:bCs/>
                <w:sz w:val="20"/>
                <w:szCs w:val="20"/>
                <w:lang w:val="fr-CA"/>
              </w:rPr>
            </w:pPr>
            <w:r>
              <w:rPr>
                <w:b/>
                <w:bCs/>
                <w:sz w:val="20"/>
                <w:szCs w:val="20"/>
                <w:lang w:val="fr-CA"/>
              </w:rPr>
              <w:t>Les juges Moldaver, Côté et Rowe</w:t>
            </w:r>
          </w:p>
          <w:p w:rsidR="008B5A77" w:rsidRPr="008B5A77" w:rsidRDefault="008B5A77" w:rsidP="008B5A77">
            <w:pPr>
              <w:jc w:val="center"/>
              <w:rPr>
                <w:sz w:val="20"/>
                <w:szCs w:val="20"/>
                <w:lang w:val="fr-CA"/>
              </w:rPr>
            </w:pPr>
          </w:p>
        </w:tc>
      </w:tr>
      <w:tr w:rsidR="008B5A77" w:rsidRPr="00D6486F" w:rsidTr="00A268D3">
        <w:trPr>
          <w:cantSplit/>
        </w:trPr>
        <w:tc>
          <w:tcPr>
            <w:tcW w:w="508" w:type="dxa"/>
          </w:tcPr>
          <w:p w:rsidR="008B5A77" w:rsidRPr="00D6486F" w:rsidRDefault="008B5A77" w:rsidP="00A268D3">
            <w:pPr>
              <w:rPr>
                <w:sz w:val="20"/>
                <w:szCs w:val="20"/>
              </w:rPr>
            </w:pPr>
            <w:r w:rsidRPr="00D6486F">
              <w:rPr>
                <w:sz w:val="20"/>
                <w:szCs w:val="20"/>
              </w:rPr>
              <w:t>10.</w:t>
            </w:r>
          </w:p>
        </w:tc>
        <w:tc>
          <w:tcPr>
            <w:tcW w:w="810" w:type="dxa"/>
          </w:tcPr>
          <w:p w:rsidR="008B5A77" w:rsidRPr="00D6486F" w:rsidRDefault="008B5A77" w:rsidP="00A268D3">
            <w:pPr>
              <w:rPr>
                <w:sz w:val="20"/>
                <w:szCs w:val="20"/>
              </w:rPr>
            </w:pPr>
            <w:r w:rsidRPr="00D6486F">
              <w:rPr>
                <w:sz w:val="20"/>
                <w:szCs w:val="20"/>
              </w:rPr>
              <w:t>36986</w:t>
            </w:r>
          </w:p>
        </w:tc>
        <w:tc>
          <w:tcPr>
            <w:tcW w:w="4050" w:type="dxa"/>
          </w:tcPr>
          <w:p w:rsidR="008B5A77" w:rsidRPr="00D6486F" w:rsidRDefault="008B5A77" w:rsidP="00A268D3">
            <w:pPr>
              <w:pStyle w:val="SCCAppellantInfoAppellantInfo"/>
              <w:rPr>
                <w:sz w:val="20"/>
                <w:szCs w:val="20"/>
                <w:lang w:val="en-US"/>
              </w:rPr>
            </w:pPr>
            <w:r w:rsidRPr="00D6486F">
              <w:rPr>
                <w:sz w:val="20"/>
                <w:szCs w:val="20"/>
              </w:rPr>
              <w:t>Her Majesty the Queen</w:t>
            </w:r>
          </w:p>
          <w:p w:rsidR="008B5A77" w:rsidRPr="00D6486F" w:rsidRDefault="008B5A77" w:rsidP="00A268D3">
            <w:pPr>
              <w:pStyle w:val="SCCAppellantInfoAppellantInfo"/>
              <w:rPr>
                <w:sz w:val="20"/>
                <w:szCs w:val="20"/>
              </w:rPr>
            </w:pPr>
            <w:r w:rsidRPr="00D6486F">
              <w:rPr>
                <w:sz w:val="20"/>
                <w:szCs w:val="20"/>
              </w:rPr>
              <w:t>(N.B.) (Criminal) (By Leave)</w:t>
            </w:r>
          </w:p>
        </w:tc>
        <w:tc>
          <w:tcPr>
            <w:tcW w:w="360" w:type="dxa"/>
          </w:tcPr>
          <w:p w:rsidR="008B5A77" w:rsidRPr="00D6486F" w:rsidRDefault="008B5A77" w:rsidP="00A268D3">
            <w:pPr>
              <w:rPr>
                <w:sz w:val="20"/>
                <w:szCs w:val="20"/>
              </w:rPr>
            </w:pPr>
            <w:r w:rsidRPr="00D6486F">
              <w:rPr>
                <w:sz w:val="20"/>
                <w:szCs w:val="20"/>
              </w:rPr>
              <w:t>v.</w:t>
            </w:r>
          </w:p>
        </w:tc>
        <w:tc>
          <w:tcPr>
            <w:tcW w:w="3848" w:type="dxa"/>
          </w:tcPr>
          <w:p w:rsidR="008B5A77" w:rsidRPr="00D6486F" w:rsidRDefault="008B5A77" w:rsidP="00A268D3">
            <w:pPr>
              <w:pStyle w:val="SCCAppellantInfoAppellantInfo"/>
              <w:rPr>
                <w:sz w:val="20"/>
                <w:szCs w:val="20"/>
              </w:rPr>
            </w:pPr>
            <w:r w:rsidRPr="00D6486F">
              <w:rPr>
                <w:sz w:val="20"/>
                <w:szCs w:val="20"/>
                <w:lang w:val="en-US"/>
              </w:rPr>
              <w:t>Dennis James Oland</w:t>
            </w:r>
          </w:p>
        </w:tc>
      </w:tr>
      <w:tr w:rsidR="008B5A77" w:rsidRPr="00D6486F" w:rsidTr="00A268D3">
        <w:trPr>
          <w:cantSplit/>
        </w:trPr>
        <w:tc>
          <w:tcPr>
            <w:tcW w:w="508" w:type="dxa"/>
          </w:tcPr>
          <w:p w:rsidR="008B5A77" w:rsidRPr="00D6486F" w:rsidRDefault="008B5A77" w:rsidP="00A268D3">
            <w:pPr>
              <w:rPr>
                <w:sz w:val="20"/>
                <w:szCs w:val="20"/>
              </w:rPr>
            </w:pPr>
            <w:r w:rsidRPr="00D6486F">
              <w:rPr>
                <w:sz w:val="20"/>
                <w:szCs w:val="20"/>
              </w:rPr>
              <w:t>11.</w:t>
            </w:r>
          </w:p>
        </w:tc>
        <w:tc>
          <w:tcPr>
            <w:tcW w:w="810" w:type="dxa"/>
          </w:tcPr>
          <w:p w:rsidR="008B5A77" w:rsidRPr="00D6486F" w:rsidRDefault="008B5A77" w:rsidP="00A268D3">
            <w:pPr>
              <w:rPr>
                <w:sz w:val="20"/>
                <w:szCs w:val="20"/>
              </w:rPr>
            </w:pPr>
            <w:r w:rsidRPr="00D6486F">
              <w:rPr>
                <w:sz w:val="20"/>
                <w:szCs w:val="20"/>
              </w:rPr>
              <w:t>37505</w:t>
            </w:r>
          </w:p>
        </w:tc>
        <w:tc>
          <w:tcPr>
            <w:tcW w:w="4050" w:type="dxa"/>
          </w:tcPr>
          <w:p w:rsidR="008B5A77" w:rsidRPr="00D6486F" w:rsidRDefault="008B5A77" w:rsidP="00A268D3">
            <w:pPr>
              <w:pStyle w:val="SCCAppellantInfoAppellantInfo"/>
              <w:rPr>
                <w:sz w:val="20"/>
                <w:szCs w:val="20"/>
              </w:rPr>
            </w:pPr>
            <w:r w:rsidRPr="00D6486F">
              <w:rPr>
                <w:sz w:val="20"/>
                <w:szCs w:val="20"/>
              </w:rPr>
              <w:t>Denis Saciragic</w:t>
            </w:r>
          </w:p>
          <w:p w:rsidR="008B5A77" w:rsidRPr="00D6486F" w:rsidRDefault="008B5A77" w:rsidP="00A268D3">
            <w:pPr>
              <w:pStyle w:val="SCCAppellantInfoAppellantInfo"/>
              <w:rPr>
                <w:sz w:val="20"/>
                <w:szCs w:val="20"/>
              </w:rPr>
            </w:pPr>
            <w:r w:rsidRPr="00D6486F">
              <w:rPr>
                <w:sz w:val="20"/>
                <w:szCs w:val="20"/>
              </w:rPr>
              <w:t>(Ont.) (Criminal) (By Leave)</w:t>
            </w:r>
          </w:p>
        </w:tc>
        <w:tc>
          <w:tcPr>
            <w:tcW w:w="360" w:type="dxa"/>
          </w:tcPr>
          <w:p w:rsidR="008B5A77" w:rsidRPr="00D6486F" w:rsidRDefault="008B5A77" w:rsidP="00A268D3">
            <w:pPr>
              <w:rPr>
                <w:sz w:val="20"/>
                <w:szCs w:val="20"/>
              </w:rPr>
            </w:pPr>
            <w:r w:rsidRPr="00D6486F">
              <w:rPr>
                <w:sz w:val="20"/>
                <w:szCs w:val="20"/>
              </w:rPr>
              <w:t>v.</w:t>
            </w:r>
          </w:p>
        </w:tc>
        <w:tc>
          <w:tcPr>
            <w:tcW w:w="3848" w:type="dxa"/>
          </w:tcPr>
          <w:p w:rsidR="008B5A77" w:rsidRPr="00D6486F" w:rsidRDefault="008B5A77" w:rsidP="00A268D3">
            <w:pPr>
              <w:pStyle w:val="SCCAppellantInfoAppellantInfo"/>
              <w:rPr>
                <w:sz w:val="20"/>
                <w:szCs w:val="20"/>
              </w:rPr>
            </w:pPr>
            <w:r w:rsidRPr="00D6486F">
              <w:rPr>
                <w:sz w:val="20"/>
                <w:szCs w:val="20"/>
              </w:rPr>
              <w:t>Her Majesty the Queen</w:t>
            </w:r>
          </w:p>
        </w:tc>
      </w:tr>
      <w:tr w:rsidR="008B5A77" w:rsidRPr="00D6486F" w:rsidTr="00A268D3">
        <w:trPr>
          <w:cantSplit/>
        </w:trPr>
        <w:tc>
          <w:tcPr>
            <w:tcW w:w="508" w:type="dxa"/>
          </w:tcPr>
          <w:p w:rsidR="008B5A77" w:rsidRPr="00D6486F" w:rsidRDefault="008B5A77" w:rsidP="00A268D3">
            <w:pPr>
              <w:rPr>
                <w:sz w:val="20"/>
                <w:szCs w:val="20"/>
              </w:rPr>
            </w:pPr>
            <w:r w:rsidRPr="00D6486F">
              <w:rPr>
                <w:sz w:val="20"/>
                <w:szCs w:val="20"/>
              </w:rPr>
              <w:t>12.</w:t>
            </w:r>
          </w:p>
        </w:tc>
        <w:tc>
          <w:tcPr>
            <w:tcW w:w="810" w:type="dxa"/>
          </w:tcPr>
          <w:p w:rsidR="008B5A77" w:rsidRPr="00D6486F" w:rsidRDefault="008B5A77" w:rsidP="00A268D3">
            <w:pPr>
              <w:rPr>
                <w:sz w:val="20"/>
                <w:szCs w:val="20"/>
              </w:rPr>
            </w:pPr>
            <w:r w:rsidRPr="00D6486F">
              <w:rPr>
                <w:sz w:val="20"/>
                <w:szCs w:val="20"/>
              </w:rPr>
              <w:t>37558</w:t>
            </w:r>
          </w:p>
        </w:tc>
        <w:tc>
          <w:tcPr>
            <w:tcW w:w="4050" w:type="dxa"/>
          </w:tcPr>
          <w:p w:rsidR="008B5A77" w:rsidRPr="00D6486F" w:rsidRDefault="008B5A77" w:rsidP="00A268D3">
            <w:pPr>
              <w:pStyle w:val="SCCAppellantInfoAppellantInfo"/>
              <w:rPr>
                <w:sz w:val="20"/>
                <w:szCs w:val="20"/>
              </w:rPr>
            </w:pPr>
            <w:r w:rsidRPr="00D6486F">
              <w:rPr>
                <w:sz w:val="20"/>
                <w:szCs w:val="20"/>
              </w:rPr>
              <w:t>Placid Inc.</w:t>
            </w:r>
          </w:p>
          <w:p w:rsidR="008B5A77" w:rsidRPr="00D6486F" w:rsidRDefault="008B5A77" w:rsidP="00A268D3">
            <w:pPr>
              <w:pStyle w:val="SCCAppellantInfoAppellantInfo"/>
              <w:rPr>
                <w:sz w:val="20"/>
                <w:szCs w:val="20"/>
              </w:rPr>
            </w:pPr>
            <w:r w:rsidRPr="00D6486F">
              <w:rPr>
                <w:sz w:val="20"/>
                <w:szCs w:val="20"/>
              </w:rPr>
              <w:t>(Man.) (Civil) (By Leave)</w:t>
            </w:r>
          </w:p>
        </w:tc>
        <w:tc>
          <w:tcPr>
            <w:tcW w:w="360" w:type="dxa"/>
          </w:tcPr>
          <w:p w:rsidR="008B5A77" w:rsidRPr="00D6486F" w:rsidRDefault="008B5A77" w:rsidP="00A268D3">
            <w:pPr>
              <w:rPr>
                <w:sz w:val="20"/>
                <w:szCs w:val="20"/>
              </w:rPr>
            </w:pPr>
            <w:r w:rsidRPr="00D6486F">
              <w:rPr>
                <w:sz w:val="20"/>
                <w:szCs w:val="20"/>
              </w:rPr>
              <w:t>v.</w:t>
            </w:r>
          </w:p>
        </w:tc>
        <w:tc>
          <w:tcPr>
            <w:tcW w:w="3848" w:type="dxa"/>
          </w:tcPr>
          <w:p w:rsidR="008B5A77" w:rsidRPr="00D6486F" w:rsidRDefault="008B5A77" w:rsidP="00A268D3">
            <w:pPr>
              <w:pStyle w:val="SCCAppellantInfoAppellantInfo"/>
              <w:rPr>
                <w:sz w:val="20"/>
                <w:szCs w:val="20"/>
              </w:rPr>
            </w:pPr>
            <w:r w:rsidRPr="00D6486F">
              <w:rPr>
                <w:sz w:val="20"/>
                <w:szCs w:val="20"/>
              </w:rPr>
              <w:t>Seven Oaks General Hospital</w:t>
            </w:r>
          </w:p>
        </w:tc>
      </w:tr>
      <w:tr w:rsidR="008B5A77" w:rsidRPr="00D6486F" w:rsidTr="00A268D3">
        <w:trPr>
          <w:cantSplit/>
        </w:trPr>
        <w:tc>
          <w:tcPr>
            <w:tcW w:w="508" w:type="dxa"/>
          </w:tcPr>
          <w:p w:rsidR="008B5A77" w:rsidRPr="00D6486F" w:rsidRDefault="008B5A77" w:rsidP="00A268D3">
            <w:pPr>
              <w:rPr>
                <w:sz w:val="20"/>
                <w:szCs w:val="20"/>
              </w:rPr>
            </w:pPr>
            <w:r w:rsidRPr="00D6486F">
              <w:rPr>
                <w:sz w:val="20"/>
                <w:szCs w:val="20"/>
              </w:rPr>
              <w:t>13.</w:t>
            </w:r>
          </w:p>
        </w:tc>
        <w:tc>
          <w:tcPr>
            <w:tcW w:w="810" w:type="dxa"/>
          </w:tcPr>
          <w:p w:rsidR="008B5A77" w:rsidRPr="00D6486F" w:rsidRDefault="008B5A77" w:rsidP="00A268D3">
            <w:pPr>
              <w:rPr>
                <w:sz w:val="20"/>
                <w:szCs w:val="20"/>
              </w:rPr>
            </w:pPr>
            <w:r w:rsidRPr="00D6486F">
              <w:rPr>
                <w:sz w:val="20"/>
                <w:szCs w:val="20"/>
              </w:rPr>
              <w:t>37525</w:t>
            </w:r>
          </w:p>
        </w:tc>
        <w:tc>
          <w:tcPr>
            <w:tcW w:w="4050" w:type="dxa"/>
          </w:tcPr>
          <w:p w:rsidR="008B5A77" w:rsidRPr="00D6486F" w:rsidRDefault="008B5A77" w:rsidP="00A268D3">
            <w:pPr>
              <w:pStyle w:val="SCCAppellantInfoAppellantInfo"/>
              <w:rPr>
                <w:sz w:val="20"/>
                <w:szCs w:val="20"/>
              </w:rPr>
            </w:pPr>
            <w:r w:rsidRPr="00D6486F">
              <w:rPr>
                <w:sz w:val="20"/>
                <w:szCs w:val="20"/>
              </w:rPr>
              <w:t>Masaru Gennai</w:t>
            </w:r>
          </w:p>
          <w:p w:rsidR="008B5A77" w:rsidRPr="00D6486F" w:rsidRDefault="008B5A77" w:rsidP="00A268D3">
            <w:pPr>
              <w:pStyle w:val="SCCAppellantInfoAppellantInfo"/>
              <w:rPr>
                <w:sz w:val="20"/>
                <w:szCs w:val="20"/>
              </w:rPr>
            </w:pPr>
            <w:r w:rsidRPr="00D6486F">
              <w:rPr>
                <w:sz w:val="20"/>
                <w:szCs w:val="20"/>
              </w:rPr>
              <w:t>(FC) (Civil) (By Leave)</w:t>
            </w:r>
          </w:p>
        </w:tc>
        <w:tc>
          <w:tcPr>
            <w:tcW w:w="360" w:type="dxa"/>
          </w:tcPr>
          <w:p w:rsidR="008B5A77" w:rsidRPr="00D6486F" w:rsidRDefault="008B5A77" w:rsidP="00A268D3">
            <w:pPr>
              <w:rPr>
                <w:sz w:val="20"/>
                <w:szCs w:val="20"/>
              </w:rPr>
            </w:pPr>
            <w:r w:rsidRPr="00D6486F">
              <w:rPr>
                <w:sz w:val="20"/>
                <w:szCs w:val="20"/>
              </w:rPr>
              <w:t>v.</w:t>
            </w:r>
          </w:p>
        </w:tc>
        <w:tc>
          <w:tcPr>
            <w:tcW w:w="3848" w:type="dxa"/>
          </w:tcPr>
          <w:p w:rsidR="008B5A77" w:rsidRPr="00D6486F" w:rsidRDefault="008B5A77" w:rsidP="00A268D3">
            <w:pPr>
              <w:pStyle w:val="SCCAppellantInfoAppellantInfo"/>
              <w:rPr>
                <w:sz w:val="20"/>
                <w:szCs w:val="20"/>
              </w:rPr>
            </w:pPr>
            <w:r w:rsidRPr="00D6486F">
              <w:rPr>
                <w:sz w:val="20"/>
                <w:szCs w:val="20"/>
              </w:rPr>
              <w:t>Minister of Citizenship and Immigration</w:t>
            </w:r>
          </w:p>
        </w:tc>
      </w:tr>
    </w:tbl>
    <w:p w:rsidR="00762008" w:rsidRPr="008B5A77" w:rsidRDefault="00762008" w:rsidP="002E2327">
      <w:pPr>
        <w:widowControl w:val="0"/>
        <w:rPr>
          <w:sz w:val="20"/>
          <w:szCs w:val="20"/>
          <w:lang w:val="en-US"/>
        </w:rPr>
      </w:pPr>
    </w:p>
    <w:p w:rsidR="002E2327" w:rsidRDefault="00ED4247" w:rsidP="002E2327">
      <w:pPr>
        <w:widowControl w:val="0"/>
        <w:rPr>
          <w:sz w:val="20"/>
          <w:szCs w:val="20"/>
        </w:rPr>
      </w:pPr>
      <w:r>
        <w:rPr>
          <w:sz w:val="20"/>
          <w:szCs w:val="20"/>
        </w:rPr>
        <w:pict>
          <v:rect id="_x0000_i1048" style="width:2in;height:1pt" o:hrpct="0" o:hralign="center" o:hrstd="t" o:hrnoshade="t" o:hr="t" fillcolor="black [3213]" stroked="f"/>
        </w:pict>
      </w:r>
    </w:p>
    <w:p w:rsidR="00B12BC9" w:rsidRPr="00C50A5C" w:rsidRDefault="00B12BC9" w:rsidP="00B12BC9">
      <w:pPr>
        <w:widowControl w:val="0"/>
        <w:rPr>
          <w:sz w:val="20"/>
          <w:szCs w:val="20"/>
        </w:rPr>
      </w:pPr>
    </w:p>
    <w:p w:rsidR="00B12BC9" w:rsidRPr="00C50A5C" w:rsidRDefault="00B12BC9" w:rsidP="00B12BC9">
      <w:pPr>
        <w:widowControl w:val="0"/>
        <w:spacing w:line="0" w:lineRule="atLeast"/>
        <w:rPr>
          <w:sz w:val="20"/>
          <w:szCs w:val="20"/>
        </w:rPr>
        <w:sectPr w:rsidR="00B12BC9" w:rsidRPr="00C50A5C" w:rsidSect="0044776A">
          <w:headerReference w:type="default" r:id="rId14"/>
          <w:footerReference w:type="default" r:id="rId15"/>
          <w:headerReference w:type="first" r:id="rId16"/>
          <w:footerReference w:type="first" r:id="rId17"/>
          <w:pgSz w:w="12240" w:h="15840"/>
          <w:pgMar w:top="720" w:right="965" w:bottom="1080" w:left="1656"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B12BC9" w:rsidRPr="001D0D5F" w:rsidTr="00FD544E">
        <w:tc>
          <w:tcPr>
            <w:tcW w:w="4200" w:type="dxa"/>
            <w:shd w:val="clear" w:color="auto" w:fill="auto"/>
            <w:tcMar>
              <w:left w:w="0" w:type="dxa"/>
              <w:right w:w="0" w:type="dxa"/>
            </w:tcMar>
          </w:tcPr>
          <w:p w:rsidR="00B12BC9" w:rsidRPr="001D0D5F" w:rsidRDefault="00B12BC9" w:rsidP="00FD544E">
            <w:pPr>
              <w:keepNext/>
              <w:keepLines/>
              <w:jc w:val="both"/>
              <w:rPr>
                <w:b/>
                <w:szCs w:val="24"/>
              </w:rPr>
            </w:pPr>
            <w:r w:rsidRPr="001D0D5F">
              <w:rPr>
                <w:b/>
                <w:szCs w:val="24"/>
              </w:rPr>
              <w:lastRenderedPageBreak/>
              <w:t>ORAL HEARING ORDERED</w:t>
            </w:r>
          </w:p>
        </w:tc>
        <w:tc>
          <w:tcPr>
            <w:tcW w:w="1200" w:type="dxa"/>
            <w:shd w:val="clear" w:color="auto" w:fill="auto"/>
            <w:tcMar>
              <w:left w:w="0" w:type="dxa"/>
              <w:right w:w="0" w:type="dxa"/>
            </w:tcMar>
          </w:tcPr>
          <w:p w:rsidR="00B12BC9" w:rsidRPr="001D0D5F" w:rsidRDefault="00B12BC9" w:rsidP="00FD544E">
            <w:pPr>
              <w:keepNext/>
              <w:keepLines/>
              <w:jc w:val="center"/>
              <w:rPr>
                <w:b/>
                <w:szCs w:val="24"/>
              </w:rPr>
            </w:pPr>
          </w:p>
          <w:p w:rsidR="00B12BC9" w:rsidRPr="001D0D5F" w:rsidRDefault="00B12BC9" w:rsidP="00FD544E">
            <w:pPr>
              <w:keepNext/>
              <w:keepLines/>
              <w:jc w:val="center"/>
              <w:rPr>
                <w:b/>
                <w:szCs w:val="24"/>
              </w:rPr>
            </w:pPr>
          </w:p>
        </w:tc>
        <w:tc>
          <w:tcPr>
            <w:tcW w:w="4230" w:type="dxa"/>
            <w:shd w:val="clear" w:color="auto" w:fill="auto"/>
            <w:tcMar>
              <w:left w:w="0" w:type="dxa"/>
              <w:right w:w="0" w:type="dxa"/>
            </w:tcMar>
          </w:tcPr>
          <w:p w:rsidR="00B12BC9" w:rsidRPr="00BA6468" w:rsidRDefault="00B12BC9" w:rsidP="00FD544E">
            <w:pPr>
              <w:keepLines/>
              <w:rPr>
                <w:szCs w:val="24"/>
                <w:lang w:val="fr-CA"/>
              </w:rPr>
            </w:pPr>
            <w:r w:rsidRPr="00BA6468">
              <w:rPr>
                <w:b/>
                <w:szCs w:val="24"/>
                <w:lang w:val="fr-CA"/>
              </w:rPr>
              <w:t>AUDIENCE ORDONNÉE</w:t>
            </w:r>
            <w:r w:rsidRPr="00BA6468">
              <w:rPr>
                <w:szCs w:val="24"/>
                <w:lang w:val="fr-CA"/>
              </w:rPr>
              <w:t xml:space="preserve"> </w:t>
            </w:r>
          </w:p>
        </w:tc>
      </w:tr>
    </w:tbl>
    <w:p w:rsidR="00B12BC9" w:rsidRDefault="00B12BC9">
      <w:pPr>
        <w:rPr>
          <w:sz w:val="20"/>
          <w:szCs w:val="20"/>
        </w:rPr>
      </w:pPr>
    </w:p>
    <w:p w:rsidR="00B12BC9" w:rsidRPr="00B12BC9" w:rsidRDefault="00B12BC9" w:rsidP="00B12BC9">
      <w:pPr>
        <w:ind w:left="360" w:hanging="360"/>
        <w:jc w:val="both"/>
        <w:rPr>
          <w:b/>
          <w:sz w:val="20"/>
          <w:lang w:val="fr-CA" w:eastAsia="en-CA"/>
        </w:rPr>
      </w:pPr>
      <w:r>
        <w:rPr>
          <w:b/>
          <w:sz w:val="20"/>
          <w:lang w:val="fr-CA" w:eastAsia="en-CA"/>
        </w:rPr>
        <w:t>JUNE 15, 2017 / LE 15 JUIN 2017</w:t>
      </w:r>
    </w:p>
    <w:p w:rsidR="00B12BC9" w:rsidRPr="002F3871" w:rsidRDefault="00B12BC9" w:rsidP="00B12BC9">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12BC9" w:rsidRPr="002F3871" w:rsidTr="00FD544E">
        <w:tc>
          <w:tcPr>
            <w:tcW w:w="543" w:type="pct"/>
          </w:tcPr>
          <w:p w:rsidR="00B12BC9" w:rsidRPr="002F3871" w:rsidRDefault="00B12BC9" w:rsidP="00FD544E">
            <w:pPr>
              <w:jc w:val="both"/>
              <w:rPr>
                <w:sz w:val="20"/>
              </w:rPr>
            </w:pPr>
            <w:r w:rsidRPr="002F3871">
              <w:rPr>
                <w:rStyle w:val="SCCFileNumberChar"/>
                <w:sz w:val="20"/>
                <w:szCs w:val="20"/>
              </w:rPr>
              <w:t>37514</w:t>
            </w:r>
          </w:p>
        </w:tc>
        <w:tc>
          <w:tcPr>
            <w:tcW w:w="4457" w:type="pct"/>
            <w:gridSpan w:val="3"/>
          </w:tcPr>
          <w:p w:rsidR="00B12BC9" w:rsidRPr="002F3871" w:rsidRDefault="00B12BC9" w:rsidP="00FD544E">
            <w:pPr>
              <w:pStyle w:val="SCCLsocParty"/>
              <w:jc w:val="both"/>
              <w:rPr>
                <w:b/>
                <w:sz w:val="20"/>
                <w:szCs w:val="20"/>
                <w:lang w:val="en-US"/>
              </w:rPr>
            </w:pPr>
            <w:r w:rsidRPr="002F3871">
              <w:rPr>
                <w:b/>
                <w:sz w:val="20"/>
                <w:szCs w:val="20"/>
                <w:lang w:val="en-US"/>
              </w:rPr>
              <w:t>Charles Gerald Patrick v. Her Majesty the Queen</w:t>
            </w:r>
          </w:p>
          <w:p w:rsidR="00B12BC9" w:rsidRPr="002F3871" w:rsidRDefault="00B12BC9" w:rsidP="00FD544E">
            <w:pPr>
              <w:jc w:val="both"/>
              <w:rPr>
                <w:sz w:val="20"/>
              </w:rPr>
            </w:pPr>
            <w:r w:rsidRPr="002F3871">
              <w:rPr>
                <w:sz w:val="20"/>
              </w:rPr>
              <w:t>(B.C.) (Criminal) (By Leave)</w:t>
            </w:r>
          </w:p>
        </w:tc>
      </w:tr>
      <w:tr w:rsidR="00B12BC9" w:rsidRPr="002F3871" w:rsidTr="00FD544E">
        <w:tc>
          <w:tcPr>
            <w:tcW w:w="543" w:type="pct"/>
          </w:tcPr>
          <w:p w:rsidR="00B12BC9" w:rsidRPr="002F3871" w:rsidRDefault="00B12BC9" w:rsidP="00FD544E">
            <w:pPr>
              <w:jc w:val="both"/>
              <w:rPr>
                <w:rStyle w:val="SCCFileNumberChar"/>
                <w:sz w:val="20"/>
                <w:szCs w:val="20"/>
              </w:rPr>
            </w:pPr>
            <w:r>
              <w:rPr>
                <w:rStyle w:val="SCCFileNumberChar"/>
                <w:sz w:val="20"/>
                <w:szCs w:val="20"/>
              </w:rPr>
              <w:t>Coram:</w:t>
            </w:r>
          </w:p>
        </w:tc>
        <w:tc>
          <w:tcPr>
            <w:tcW w:w="4457" w:type="pct"/>
            <w:gridSpan w:val="3"/>
          </w:tcPr>
          <w:p w:rsidR="00B12BC9" w:rsidRDefault="00B12BC9" w:rsidP="00FD544E">
            <w:pPr>
              <w:pStyle w:val="SCCLsocParty"/>
              <w:jc w:val="both"/>
              <w:rPr>
                <w:sz w:val="20"/>
                <w:szCs w:val="20"/>
                <w:lang w:val="en-US"/>
              </w:rPr>
            </w:pPr>
            <w:r w:rsidRPr="00B12BC9">
              <w:rPr>
                <w:sz w:val="20"/>
                <w:szCs w:val="20"/>
                <w:lang w:val="en-US"/>
              </w:rPr>
              <w:t>McLachlin C.J. and Abella, Moldaver, Karakatsanis, Wagner, Gascon, Côté, Brown and Rowe JJ.</w:t>
            </w:r>
          </w:p>
          <w:p w:rsidR="00B12BC9" w:rsidRPr="00B12BC9" w:rsidRDefault="00B12BC9" w:rsidP="00FD544E">
            <w:pPr>
              <w:rPr>
                <w:lang w:val="en-US"/>
              </w:rPr>
            </w:pPr>
          </w:p>
        </w:tc>
      </w:tr>
      <w:tr w:rsidR="00B12BC9" w:rsidRPr="002F3871" w:rsidTr="00FD544E">
        <w:tc>
          <w:tcPr>
            <w:tcW w:w="5000" w:type="pct"/>
            <w:gridSpan w:val="4"/>
          </w:tcPr>
          <w:p w:rsidR="00B12BC9" w:rsidRDefault="00B12BC9" w:rsidP="00FD544E">
            <w:pPr>
              <w:pStyle w:val="SCCLsocParty"/>
              <w:jc w:val="both"/>
              <w:rPr>
                <w:sz w:val="20"/>
                <w:szCs w:val="20"/>
              </w:rPr>
            </w:pPr>
            <w:r w:rsidRPr="00B12BC9">
              <w:rPr>
                <w:sz w:val="20"/>
                <w:szCs w:val="20"/>
                <w:lang w:val="en-US"/>
              </w:rPr>
              <w:t xml:space="preserve">An oral hearing of the application for leave to appeal is ordered in accordance with s. 43(1.2) of the </w:t>
            </w:r>
            <w:r w:rsidRPr="00B12BC9">
              <w:rPr>
                <w:i/>
                <w:sz w:val="20"/>
                <w:szCs w:val="20"/>
                <w:lang w:val="en-US"/>
              </w:rPr>
              <w:t>Supreme Court Act</w:t>
            </w:r>
            <w:r w:rsidRPr="00B12BC9">
              <w:rPr>
                <w:sz w:val="20"/>
                <w:szCs w:val="20"/>
                <w:lang w:val="en-US"/>
              </w:rPr>
              <w:t xml:space="preserve">, R.S.C., 1985, c. S-26. </w:t>
            </w:r>
            <w:r w:rsidRPr="00D75DBA">
              <w:rPr>
                <w:sz w:val="20"/>
                <w:szCs w:val="20"/>
              </w:rPr>
              <w:t>The hearing date will be fixed by the Registrar.</w:t>
            </w:r>
          </w:p>
          <w:p w:rsidR="00B12BC9" w:rsidRPr="00B12BC9" w:rsidRDefault="00B12BC9" w:rsidP="00FD544E">
            <w:pPr>
              <w:rPr>
                <w:lang w:val="fr-CA"/>
              </w:rPr>
            </w:pPr>
          </w:p>
        </w:tc>
      </w:tr>
      <w:tr w:rsidR="00B12BC9" w:rsidRPr="002F3871" w:rsidTr="00FD544E">
        <w:tc>
          <w:tcPr>
            <w:tcW w:w="5000" w:type="pct"/>
            <w:gridSpan w:val="4"/>
          </w:tcPr>
          <w:p w:rsidR="00B12BC9" w:rsidRPr="002F3871" w:rsidRDefault="00B12BC9" w:rsidP="00FD544E">
            <w:pPr>
              <w:jc w:val="both"/>
              <w:rPr>
                <w:sz w:val="20"/>
              </w:rPr>
            </w:pPr>
            <w:r w:rsidRPr="002F3871">
              <w:rPr>
                <w:i/>
                <w:sz w:val="20"/>
              </w:rPr>
              <w:t>Charter of Rights</w:t>
            </w:r>
            <w:r w:rsidRPr="002F3871">
              <w:rPr>
                <w:sz w:val="20"/>
              </w:rPr>
              <w:t xml:space="preserve"> – Constitutional law – Search and seizure</w:t>
            </w:r>
            <w:r w:rsidRPr="002F3871">
              <w:rPr>
                <w:iCs/>
                <w:sz w:val="20"/>
                <w:lang w:val="en-GB"/>
              </w:rPr>
              <w:t xml:space="preserve"> – Investigative detention – Search power incidental to investigative detention –</w:t>
            </w:r>
            <w:r w:rsidRPr="002F3871">
              <w:rPr>
                <w:i/>
                <w:iCs/>
                <w:sz w:val="20"/>
                <w:lang w:val="en-GB"/>
              </w:rPr>
              <w:t xml:space="preserve"> </w:t>
            </w:r>
            <w:r w:rsidRPr="002F3871">
              <w:rPr>
                <w:sz w:val="20"/>
              </w:rPr>
              <w:t>Does a police officer have the power to question a detainee during the course of conducting a pat-down search incident to an investigative detention?</w:t>
            </w:r>
          </w:p>
        </w:tc>
      </w:tr>
      <w:tr w:rsidR="00B12BC9" w:rsidRPr="002F3871" w:rsidTr="00FD544E">
        <w:tc>
          <w:tcPr>
            <w:tcW w:w="5000" w:type="pct"/>
            <w:gridSpan w:val="4"/>
          </w:tcPr>
          <w:p w:rsidR="00B12BC9" w:rsidRPr="002F3871" w:rsidRDefault="00B12BC9" w:rsidP="00FD544E">
            <w:pPr>
              <w:jc w:val="both"/>
              <w:rPr>
                <w:sz w:val="20"/>
              </w:rPr>
            </w:pPr>
          </w:p>
        </w:tc>
      </w:tr>
      <w:tr w:rsidR="00B12BC9" w:rsidRPr="002F3871" w:rsidTr="00FD544E">
        <w:tc>
          <w:tcPr>
            <w:tcW w:w="5000" w:type="pct"/>
            <w:gridSpan w:val="4"/>
          </w:tcPr>
          <w:p w:rsidR="00B12BC9" w:rsidRPr="002F3871" w:rsidRDefault="00B12BC9" w:rsidP="00FD544E">
            <w:pPr>
              <w:jc w:val="both"/>
              <w:rPr>
                <w:sz w:val="20"/>
              </w:rPr>
            </w:pPr>
            <w:r w:rsidRPr="002F3871">
              <w:rPr>
                <w:sz w:val="20"/>
              </w:rPr>
              <w:t>In the early morning hours of December 11, 2013, the Applicant and his three other passengers were stopped in a vehicle. The investigating officer believed the group was associated with a local drug house. Insurance inquiries made during the stop led the officer to believe the vehicle had been obtained fraudulently. Backup soon arrived on the scene. The Applicant and his passengers were asked to exit the vehicle. Upon exiting the vehicle, the officer observed a bulge in the Applicant’s jacket. She asked the Applicant, “Do you have anything on you?” The Applicant responded that he had a shotgun. The firearm was seized and the Applicant was placed under arrest. The Applicant was not afforded an opportunity to speak with counsel until arriving at the police detachment about 40 minutes after the roadside stop occurred. He was ultimately charged in an eight count indictment with a variety of firearm-related offences.</w:t>
            </w:r>
          </w:p>
          <w:p w:rsidR="00B12BC9" w:rsidRPr="002F3871" w:rsidRDefault="00B12BC9" w:rsidP="00FD544E">
            <w:pPr>
              <w:jc w:val="both"/>
              <w:rPr>
                <w:sz w:val="20"/>
              </w:rPr>
            </w:pPr>
          </w:p>
        </w:tc>
      </w:tr>
      <w:tr w:rsidR="00B12BC9" w:rsidRPr="002F3871" w:rsidTr="00FD544E">
        <w:tc>
          <w:tcPr>
            <w:tcW w:w="2427" w:type="pct"/>
            <w:gridSpan w:val="2"/>
          </w:tcPr>
          <w:p w:rsidR="00B12BC9" w:rsidRPr="002F3871" w:rsidRDefault="00B12BC9" w:rsidP="00FD544E">
            <w:pPr>
              <w:jc w:val="both"/>
              <w:rPr>
                <w:sz w:val="20"/>
              </w:rPr>
            </w:pPr>
            <w:r w:rsidRPr="002F3871">
              <w:rPr>
                <w:sz w:val="20"/>
              </w:rPr>
              <w:t>December 15, 2015</w:t>
            </w:r>
          </w:p>
          <w:p w:rsidR="00B12BC9" w:rsidRPr="002F3871" w:rsidRDefault="00B12BC9" w:rsidP="00FD544E">
            <w:pPr>
              <w:jc w:val="both"/>
              <w:rPr>
                <w:sz w:val="20"/>
              </w:rPr>
            </w:pPr>
            <w:r w:rsidRPr="002F3871">
              <w:rPr>
                <w:sz w:val="20"/>
              </w:rPr>
              <w:t>Supreme Court of British Columbia</w:t>
            </w:r>
          </w:p>
          <w:p w:rsidR="00B12BC9" w:rsidRPr="002F3871" w:rsidRDefault="00B12BC9" w:rsidP="00FD544E">
            <w:pPr>
              <w:jc w:val="both"/>
              <w:rPr>
                <w:sz w:val="20"/>
              </w:rPr>
            </w:pPr>
            <w:r w:rsidRPr="002F3871">
              <w:rPr>
                <w:sz w:val="20"/>
              </w:rPr>
              <w:t>(Hyslop J.)</w:t>
            </w:r>
          </w:p>
          <w:p w:rsidR="00B12BC9" w:rsidRPr="002F3871" w:rsidRDefault="00B12BC9" w:rsidP="00FD544E">
            <w:pPr>
              <w:jc w:val="both"/>
              <w:rPr>
                <w:sz w:val="20"/>
              </w:rPr>
            </w:pPr>
            <w:r w:rsidRPr="002F3871">
              <w:rPr>
                <w:sz w:val="20"/>
              </w:rPr>
              <w:t>No. 97293</w:t>
            </w:r>
          </w:p>
          <w:p w:rsidR="00B12BC9" w:rsidRPr="002F3871" w:rsidRDefault="00B12BC9" w:rsidP="00FD544E">
            <w:pPr>
              <w:jc w:val="both"/>
              <w:rPr>
                <w:sz w:val="20"/>
              </w:rPr>
            </w:pPr>
            <w:r w:rsidRPr="002F3871">
              <w:rPr>
                <w:sz w:val="20"/>
              </w:rPr>
              <w:t>2015 BCSC 2362</w:t>
            </w:r>
          </w:p>
          <w:p w:rsidR="00B12BC9" w:rsidRPr="002F3871" w:rsidRDefault="00B12BC9" w:rsidP="00FD544E">
            <w:pPr>
              <w:jc w:val="both"/>
              <w:rPr>
                <w:sz w:val="20"/>
              </w:rPr>
            </w:pPr>
          </w:p>
        </w:tc>
        <w:tc>
          <w:tcPr>
            <w:tcW w:w="243" w:type="pct"/>
          </w:tcPr>
          <w:p w:rsidR="00B12BC9" w:rsidRPr="002F3871" w:rsidRDefault="00B12BC9" w:rsidP="00FD544E">
            <w:pPr>
              <w:jc w:val="both"/>
              <w:rPr>
                <w:sz w:val="20"/>
              </w:rPr>
            </w:pPr>
          </w:p>
        </w:tc>
        <w:tc>
          <w:tcPr>
            <w:tcW w:w="2330" w:type="pct"/>
          </w:tcPr>
          <w:p w:rsidR="00B12BC9" w:rsidRPr="002F3871" w:rsidRDefault="00B12BC9" w:rsidP="00FD544E">
            <w:pPr>
              <w:jc w:val="both"/>
              <w:rPr>
                <w:sz w:val="20"/>
              </w:rPr>
            </w:pPr>
            <w:r w:rsidRPr="002F3871">
              <w:rPr>
                <w:sz w:val="20"/>
              </w:rPr>
              <w:t>Acquittal on all counts.</w:t>
            </w:r>
          </w:p>
          <w:p w:rsidR="00B12BC9" w:rsidRPr="002F3871" w:rsidRDefault="00B12BC9" w:rsidP="00FD544E">
            <w:pPr>
              <w:jc w:val="both"/>
              <w:rPr>
                <w:sz w:val="20"/>
              </w:rPr>
            </w:pPr>
          </w:p>
        </w:tc>
      </w:tr>
      <w:tr w:rsidR="00B12BC9" w:rsidRPr="002F3871" w:rsidTr="00FD544E">
        <w:tc>
          <w:tcPr>
            <w:tcW w:w="2427" w:type="pct"/>
            <w:gridSpan w:val="2"/>
          </w:tcPr>
          <w:p w:rsidR="00B12BC9" w:rsidRPr="002F3871" w:rsidRDefault="00B12BC9" w:rsidP="00FD544E">
            <w:pPr>
              <w:jc w:val="both"/>
              <w:rPr>
                <w:sz w:val="20"/>
              </w:rPr>
            </w:pPr>
            <w:r w:rsidRPr="002F3871">
              <w:rPr>
                <w:sz w:val="20"/>
              </w:rPr>
              <w:t>February 3, 2017</w:t>
            </w:r>
          </w:p>
          <w:p w:rsidR="00B12BC9" w:rsidRPr="002F3871" w:rsidRDefault="00B12BC9" w:rsidP="00FD544E">
            <w:pPr>
              <w:jc w:val="both"/>
              <w:rPr>
                <w:sz w:val="20"/>
              </w:rPr>
            </w:pPr>
            <w:r w:rsidRPr="002F3871">
              <w:rPr>
                <w:sz w:val="20"/>
              </w:rPr>
              <w:t xml:space="preserve">Court of Appeal for British Columbia </w:t>
            </w:r>
          </w:p>
          <w:p w:rsidR="00B12BC9" w:rsidRPr="002F3871" w:rsidRDefault="00B12BC9" w:rsidP="00FD544E">
            <w:pPr>
              <w:jc w:val="both"/>
              <w:rPr>
                <w:sz w:val="20"/>
              </w:rPr>
            </w:pPr>
            <w:r w:rsidRPr="002F3871">
              <w:rPr>
                <w:sz w:val="20"/>
              </w:rPr>
              <w:t>(Vancouver)</w:t>
            </w:r>
          </w:p>
          <w:p w:rsidR="00B12BC9" w:rsidRPr="002F3871" w:rsidRDefault="00B12BC9" w:rsidP="00FD544E">
            <w:pPr>
              <w:jc w:val="both"/>
              <w:rPr>
                <w:sz w:val="20"/>
              </w:rPr>
            </w:pPr>
            <w:r w:rsidRPr="002F3871">
              <w:rPr>
                <w:sz w:val="20"/>
              </w:rPr>
              <w:t>(Harris, Goepel and Fitch JJ.A.)</w:t>
            </w:r>
          </w:p>
          <w:p w:rsidR="00B12BC9" w:rsidRPr="002F3871" w:rsidRDefault="00B12BC9" w:rsidP="00FD544E">
            <w:pPr>
              <w:jc w:val="both"/>
              <w:rPr>
                <w:sz w:val="20"/>
              </w:rPr>
            </w:pPr>
            <w:r w:rsidRPr="002F3871">
              <w:rPr>
                <w:sz w:val="20"/>
              </w:rPr>
              <w:t>No. CA43342</w:t>
            </w:r>
          </w:p>
          <w:p w:rsidR="00B12BC9" w:rsidRPr="002F3871" w:rsidRDefault="00ED4247" w:rsidP="00FD544E">
            <w:pPr>
              <w:jc w:val="both"/>
              <w:rPr>
                <w:sz w:val="20"/>
              </w:rPr>
            </w:pPr>
            <w:hyperlink r:id="rId18" w:history="1">
              <w:r w:rsidR="00B12BC9" w:rsidRPr="002F3871">
                <w:rPr>
                  <w:rStyle w:val="Hyperlink"/>
                  <w:sz w:val="20"/>
                </w:rPr>
                <w:t>2017 BCCA 57</w:t>
              </w:r>
            </w:hyperlink>
          </w:p>
          <w:p w:rsidR="00B12BC9" w:rsidRPr="002F3871" w:rsidRDefault="00B12BC9" w:rsidP="00FD544E">
            <w:pPr>
              <w:jc w:val="both"/>
              <w:rPr>
                <w:sz w:val="20"/>
              </w:rPr>
            </w:pPr>
          </w:p>
        </w:tc>
        <w:tc>
          <w:tcPr>
            <w:tcW w:w="243" w:type="pct"/>
          </w:tcPr>
          <w:p w:rsidR="00B12BC9" w:rsidRPr="002F3871" w:rsidRDefault="00B12BC9" w:rsidP="00FD544E">
            <w:pPr>
              <w:jc w:val="both"/>
              <w:rPr>
                <w:sz w:val="20"/>
              </w:rPr>
            </w:pPr>
          </w:p>
        </w:tc>
        <w:tc>
          <w:tcPr>
            <w:tcW w:w="2330" w:type="pct"/>
          </w:tcPr>
          <w:p w:rsidR="00B12BC9" w:rsidRPr="002F3871" w:rsidRDefault="00B12BC9" w:rsidP="00FD544E">
            <w:pPr>
              <w:jc w:val="both"/>
              <w:rPr>
                <w:sz w:val="20"/>
              </w:rPr>
            </w:pPr>
            <w:r w:rsidRPr="002F3871">
              <w:rPr>
                <w:sz w:val="20"/>
              </w:rPr>
              <w:t>Appeal allowed in part and new trial ordered on three counts.</w:t>
            </w:r>
          </w:p>
          <w:p w:rsidR="00B12BC9" w:rsidRPr="002F3871" w:rsidRDefault="00B12BC9" w:rsidP="00FD544E">
            <w:pPr>
              <w:jc w:val="both"/>
              <w:rPr>
                <w:sz w:val="20"/>
              </w:rPr>
            </w:pPr>
          </w:p>
        </w:tc>
      </w:tr>
      <w:tr w:rsidR="00B12BC9" w:rsidRPr="002F3871" w:rsidTr="00FD544E">
        <w:tc>
          <w:tcPr>
            <w:tcW w:w="2427" w:type="pct"/>
            <w:gridSpan w:val="2"/>
          </w:tcPr>
          <w:p w:rsidR="00B12BC9" w:rsidRPr="002F3871" w:rsidRDefault="00B12BC9" w:rsidP="00FD544E">
            <w:pPr>
              <w:jc w:val="both"/>
              <w:rPr>
                <w:sz w:val="20"/>
              </w:rPr>
            </w:pPr>
            <w:r w:rsidRPr="002F3871">
              <w:rPr>
                <w:sz w:val="20"/>
              </w:rPr>
              <w:t>April 3, 2017</w:t>
            </w:r>
          </w:p>
          <w:p w:rsidR="00B12BC9" w:rsidRPr="002F3871" w:rsidRDefault="00B12BC9" w:rsidP="00FD544E">
            <w:pPr>
              <w:jc w:val="both"/>
              <w:rPr>
                <w:sz w:val="20"/>
              </w:rPr>
            </w:pPr>
            <w:r w:rsidRPr="002F3871">
              <w:rPr>
                <w:sz w:val="20"/>
              </w:rPr>
              <w:t>Supreme Court of Canada</w:t>
            </w:r>
          </w:p>
        </w:tc>
        <w:tc>
          <w:tcPr>
            <w:tcW w:w="243" w:type="pct"/>
          </w:tcPr>
          <w:p w:rsidR="00B12BC9" w:rsidRPr="002F3871" w:rsidRDefault="00B12BC9" w:rsidP="00FD544E">
            <w:pPr>
              <w:jc w:val="both"/>
              <w:rPr>
                <w:sz w:val="20"/>
              </w:rPr>
            </w:pPr>
          </w:p>
        </w:tc>
        <w:tc>
          <w:tcPr>
            <w:tcW w:w="2330" w:type="pct"/>
          </w:tcPr>
          <w:p w:rsidR="00B12BC9" w:rsidRPr="002F3871" w:rsidRDefault="00B12BC9" w:rsidP="00FD544E">
            <w:pPr>
              <w:jc w:val="both"/>
              <w:rPr>
                <w:sz w:val="20"/>
              </w:rPr>
            </w:pPr>
            <w:r w:rsidRPr="002F3871">
              <w:rPr>
                <w:sz w:val="20"/>
              </w:rPr>
              <w:t>Application for leave to appeal filed.</w:t>
            </w:r>
          </w:p>
          <w:p w:rsidR="00B12BC9" w:rsidRPr="002F3871" w:rsidRDefault="00B12BC9" w:rsidP="00FD544E">
            <w:pPr>
              <w:jc w:val="both"/>
              <w:rPr>
                <w:sz w:val="20"/>
              </w:rPr>
            </w:pPr>
          </w:p>
        </w:tc>
      </w:tr>
    </w:tbl>
    <w:p w:rsidR="00B12BC9" w:rsidRPr="002F3871" w:rsidRDefault="00ED4247" w:rsidP="00B12BC9">
      <w:pPr>
        <w:jc w:val="both"/>
        <w:rPr>
          <w:sz w:val="20"/>
        </w:rPr>
      </w:pPr>
      <w:r>
        <w:rPr>
          <w:sz w:val="20"/>
          <w:szCs w:val="20"/>
        </w:rPr>
        <w:pict>
          <v:rect id="_x0000_i1051" style="width:2in;height:1pt" o:hrpct="0" o:hralign="center" o:hrstd="t" o:hrnoshade="t" o:hr="t" fillcolor="black" stroked="f"/>
        </w:pict>
      </w:r>
    </w:p>
    <w:p w:rsidR="00B12BC9" w:rsidRPr="002F3871" w:rsidRDefault="00B12BC9" w:rsidP="00B12BC9">
      <w:pPr>
        <w:jc w:val="both"/>
        <w:rPr>
          <w:sz w:val="20"/>
        </w:rPr>
      </w:pPr>
    </w:p>
    <w:p w:rsidR="00B12BC9" w:rsidRDefault="00B12BC9">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12BC9" w:rsidRPr="00ED4247" w:rsidTr="00FD544E">
        <w:tc>
          <w:tcPr>
            <w:tcW w:w="543" w:type="pct"/>
          </w:tcPr>
          <w:p w:rsidR="00B12BC9" w:rsidRPr="002F3871" w:rsidRDefault="00B12BC9" w:rsidP="00FD544E">
            <w:pPr>
              <w:jc w:val="both"/>
              <w:rPr>
                <w:sz w:val="20"/>
                <w:lang w:val="fr-CA"/>
              </w:rPr>
            </w:pPr>
            <w:r w:rsidRPr="002F3871">
              <w:rPr>
                <w:rStyle w:val="SCCFileNumberChar"/>
                <w:sz w:val="20"/>
                <w:szCs w:val="20"/>
                <w:lang w:val="fr-CA"/>
              </w:rPr>
              <w:lastRenderedPageBreak/>
              <w:t>37514</w:t>
            </w:r>
          </w:p>
        </w:tc>
        <w:tc>
          <w:tcPr>
            <w:tcW w:w="4457" w:type="pct"/>
            <w:gridSpan w:val="3"/>
          </w:tcPr>
          <w:p w:rsidR="00B12BC9" w:rsidRPr="002F3871" w:rsidRDefault="00B12BC9" w:rsidP="00FD544E">
            <w:pPr>
              <w:pStyle w:val="SCCLsocParty"/>
              <w:jc w:val="both"/>
              <w:rPr>
                <w:b/>
                <w:sz w:val="20"/>
                <w:szCs w:val="20"/>
              </w:rPr>
            </w:pPr>
            <w:r w:rsidRPr="002F3871">
              <w:rPr>
                <w:b/>
                <w:sz w:val="20"/>
                <w:szCs w:val="20"/>
              </w:rPr>
              <w:t>Charles Gerald Patrick c. Sa Majesté la Reine</w:t>
            </w:r>
          </w:p>
          <w:p w:rsidR="00B12BC9" w:rsidRPr="002F3871" w:rsidRDefault="00B12BC9" w:rsidP="00FD544E">
            <w:pPr>
              <w:jc w:val="both"/>
              <w:rPr>
                <w:sz w:val="20"/>
                <w:lang w:val="fr-CA"/>
              </w:rPr>
            </w:pPr>
            <w:r w:rsidRPr="002F3871">
              <w:rPr>
                <w:sz w:val="20"/>
                <w:lang w:val="fr-CA"/>
              </w:rPr>
              <w:t>(C.-B.) (Criminelle) (Sur autorisation)</w:t>
            </w:r>
          </w:p>
        </w:tc>
      </w:tr>
      <w:tr w:rsidR="00B12BC9" w:rsidRPr="00ED4247" w:rsidTr="00FD544E">
        <w:tc>
          <w:tcPr>
            <w:tcW w:w="543" w:type="pct"/>
          </w:tcPr>
          <w:p w:rsidR="00B12BC9" w:rsidRPr="002F3871" w:rsidRDefault="00B12BC9" w:rsidP="00FD544E">
            <w:pPr>
              <w:jc w:val="both"/>
              <w:rPr>
                <w:rStyle w:val="SCCFileNumberChar"/>
                <w:sz w:val="20"/>
                <w:szCs w:val="20"/>
                <w:lang w:val="fr-CA"/>
              </w:rPr>
            </w:pPr>
            <w:r>
              <w:rPr>
                <w:rStyle w:val="SCCFileNumberChar"/>
                <w:sz w:val="20"/>
                <w:szCs w:val="20"/>
                <w:lang w:val="fr-CA"/>
              </w:rPr>
              <w:t>Coram :</w:t>
            </w:r>
          </w:p>
        </w:tc>
        <w:tc>
          <w:tcPr>
            <w:tcW w:w="4457" w:type="pct"/>
            <w:gridSpan w:val="3"/>
          </w:tcPr>
          <w:p w:rsidR="00B12BC9" w:rsidRDefault="00B12BC9" w:rsidP="00FD544E">
            <w:pPr>
              <w:pStyle w:val="SCCLsocParty"/>
              <w:jc w:val="both"/>
              <w:rPr>
                <w:sz w:val="20"/>
                <w:szCs w:val="20"/>
                <w:lang w:val="fr-FR"/>
              </w:rPr>
            </w:pPr>
            <w:r w:rsidRPr="00D75DBA">
              <w:rPr>
                <w:sz w:val="20"/>
                <w:szCs w:val="20"/>
                <w:lang w:val="fr-FR"/>
              </w:rPr>
              <w:t>La juge en chef McLachlin et les juges Abella, Moldaver, Karakatsanis, Wagner, Gascon, Côté, Brown et Rowe</w:t>
            </w:r>
          </w:p>
          <w:p w:rsidR="00B12BC9" w:rsidRPr="00B12BC9" w:rsidRDefault="00B12BC9" w:rsidP="00FD544E">
            <w:pPr>
              <w:rPr>
                <w:lang w:val="fr-FR"/>
              </w:rPr>
            </w:pPr>
          </w:p>
        </w:tc>
      </w:tr>
      <w:tr w:rsidR="00B12BC9" w:rsidRPr="00224C9D" w:rsidTr="00FD544E">
        <w:tc>
          <w:tcPr>
            <w:tcW w:w="5000" w:type="pct"/>
            <w:gridSpan w:val="4"/>
          </w:tcPr>
          <w:p w:rsidR="00B12BC9" w:rsidRDefault="00B12BC9" w:rsidP="00FD544E">
            <w:pPr>
              <w:pStyle w:val="SCCLsocParty"/>
              <w:tabs>
                <w:tab w:val="left" w:pos="1518"/>
              </w:tabs>
              <w:jc w:val="both"/>
              <w:rPr>
                <w:sz w:val="20"/>
                <w:szCs w:val="20"/>
              </w:rPr>
            </w:pPr>
            <w:r w:rsidRPr="00D75DBA">
              <w:rPr>
                <w:sz w:val="20"/>
                <w:szCs w:val="20"/>
              </w:rPr>
              <w:t xml:space="preserve">La tenue d’une audience pour décider la demande d’autorisation d’appel est ordonnée, conformément à l’article 43(1.2) de la </w:t>
            </w:r>
            <w:r w:rsidRPr="00D75DBA">
              <w:rPr>
                <w:i/>
                <w:sz w:val="20"/>
                <w:szCs w:val="20"/>
              </w:rPr>
              <w:t>Loi sur la Cour suprême</w:t>
            </w:r>
            <w:r w:rsidRPr="00D75DBA">
              <w:rPr>
                <w:sz w:val="20"/>
                <w:szCs w:val="20"/>
              </w:rPr>
              <w:t>, L.R.C., 1985, c. S-26. La date d’audience sera fixée par le registraire.</w:t>
            </w:r>
          </w:p>
          <w:p w:rsidR="00B12BC9" w:rsidRPr="00B12BC9" w:rsidRDefault="00B12BC9" w:rsidP="00FD544E">
            <w:pPr>
              <w:rPr>
                <w:lang w:val="fr-CA"/>
              </w:rPr>
            </w:pPr>
          </w:p>
        </w:tc>
      </w:tr>
      <w:tr w:rsidR="00B12BC9" w:rsidRPr="00ED4247" w:rsidTr="00FD544E">
        <w:tc>
          <w:tcPr>
            <w:tcW w:w="5000" w:type="pct"/>
            <w:gridSpan w:val="4"/>
          </w:tcPr>
          <w:p w:rsidR="00B12BC9" w:rsidRPr="002F3871" w:rsidRDefault="00B12BC9" w:rsidP="00FD544E">
            <w:pPr>
              <w:jc w:val="both"/>
              <w:rPr>
                <w:sz w:val="20"/>
                <w:lang w:val="fr-CA"/>
              </w:rPr>
            </w:pPr>
            <w:r w:rsidRPr="002F3871">
              <w:rPr>
                <w:i/>
                <w:sz w:val="20"/>
                <w:lang w:val="fr-CA"/>
              </w:rPr>
              <w:t xml:space="preserve">Charte des droits </w:t>
            </w:r>
            <w:r w:rsidRPr="002F3871">
              <w:rPr>
                <w:sz w:val="20"/>
                <w:lang w:val="fr-CA"/>
              </w:rPr>
              <w:t xml:space="preserve">– Droit constitutionnel – Fouilles, perquisitions et saisies </w:t>
            </w:r>
            <w:r w:rsidRPr="002F3871">
              <w:rPr>
                <w:iCs/>
                <w:sz w:val="20"/>
                <w:lang w:val="fr-CA"/>
              </w:rPr>
              <w:t>– Détention aux fins d’enquête – Pouvoir de fouille accessoire à la détention aux fins d’enquête –</w:t>
            </w:r>
            <w:r w:rsidRPr="002F3871">
              <w:rPr>
                <w:sz w:val="20"/>
                <w:lang w:val="fr-CA"/>
              </w:rPr>
              <w:t xml:space="preserve"> Un policier a-t-il le pouvoir d’interroger un détenu au cours d’une fouille par palpation accessoire à une détention aux fins d’enquête?</w:t>
            </w:r>
          </w:p>
        </w:tc>
      </w:tr>
      <w:tr w:rsidR="00B12BC9" w:rsidRPr="00ED4247" w:rsidTr="00FD544E">
        <w:tc>
          <w:tcPr>
            <w:tcW w:w="5000" w:type="pct"/>
            <w:gridSpan w:val="4"/>
          </w:tcPr>
          <w:p w:rsidR="00B12BC9" w:rsidRPr="002F3871" w:rsidRDefault="00B12BC9" w:rsidP="00FD544E">
            <w:pPr>
              <w:jc w:val="both"/>
              <w:rPr>
                <w:sz w:val="20"/>
                <w:lang w:val="fr-CA"/>
              </w:rPr>
            </w:pPr>
          </w:p>
        </w:tc>
      </w:tr>
      <w:tr w:rsidR="00B12BC9" w:rsidRPr="00ED4247" w:rsidTr="00FD544E">
        <w:tc>
          <w:tcPr>
            <w:tcW w:w="5000" w:type="pct"/>
            <w:gridSpan w:val="4"/>
          </w:tcPr>
          <w:p w:rsidR="00B12BC9" w:rsidRPr="002F3871" w:rsidRDefault="00B12BC9" w:rsidP="00FD544E">
            <w:pPr>
              <w:jc w:val="both"/>
              <w:rPr>
                <w:sz w:val="20"/>
                <w:lang w:val="fr-CA"/>
              </w:rPr>
            </w:pPr>
            <w:r w:rsidRPr="002F3871">
              <w:rPr>
                <w:sz w:val="20"/>
                <w:lang w:val="fr-CA"/>
              </w:rPr>
              <w:t>Au petit matin, le 11 décembre 2013, le demandeur et ses trois passagers ont été interceptés à bord d’un véhicule. La policière qui menait l’enquête croyait que le groupe était lié à une planque de drogue locale. Les vérifications d’assurances effectuées lors de l’interception ont amené la policière à croire que le véhicule avait été obtenu frauduleusement. Des renforts sont arrivés sur les lieux peu après. La policière a demandé au demandeur et à ses passagers de sortir du véhicule. À leur sortie du véhicule, la policière a observé un renflement du blouson du demandeur. Elle a lui demandé s’il portait quelque chose sur lui et celui-ci a répondu qu’il avait un fusil de chasse. L’arme à feu a été saisie et le demandeur a été mis en état d’arrestation. Le demandeur ne s’est vu offrir l’occasion de parler à un avocat qu’à son arrivée au poste de police environ 40 minutes après le contrôle routier. Le demandeur a finalement été l’objet de huit chefs d’accusation de diverses infractions liées aux armes à feu.</w:t>
            </w:r>
          </w:p>
          <w:p w:rsidR="00B12BC9" w:rsidRPr="002F3871" w:rsidRDefault="00B12BC9" w:rsidP="00FD544E">
            <w:pPr>
              <w:jc w:val="both"/>
              <w:rPr>
                <w:sz w:val="20"/>
                <w:lang w:val="fr-CA"/>
              </w:rPr>
            </w:pPr>
          </w:p>
        </w:tc>
      </w:tr>
      <w:tr w:rsidR="00B12BC9" w:rsidRPr="00ED4247" w:rsidTr="00FD544E">
        <w:tc>
          <w:tcPr>
            <w:tcW w:w="2427" w:type="pct"/>
            <w:gridSpan w:val="2"/>
          </w:tcPr>
          <w:p w:rsidR="00B12BC9" w:rsidRPr="002F3871" w:rsidRDefault="00B12BC9" w:rsidP="00FD544E">
            <w:pPr>
              <w:jc w:val="both"/>
              <w:rPr>
                <w:sz w:val="20"/>
                <w:lang w:val="fr-CA"/>
              </w:rPr>
            </w:pPr>
            <w:r w:rsidRPr="002F3871">
              <w:rPr>
                <w:sz w:val="20"/>
                <w:lang w:val="fr-CA"/>
              </w:rPr>
              <w:t>15 décembre 2015</w:t>
            </w:r>
          </w:p>
          <w:p w:rsidR="00B12BC9" w:rsidRPr="002F3871" w:rsidRDefault="00B12BC9" w:rsidP="00FD544E">
            <w:pPr>
              <w:jc w:val="both"/>
              <w:rPr>
                <w:sz w:val="20"/>
                <w:lang w:val="fr-CA"/>
              </w:rPr>
            </w:pPr>
            <w:r w:rsidRPr="002F3871">
              <w:rPr>
                <w:sz w:val="20"/>
                <w:lang w:val="fr-CA"/>
              </w:rPr>
              <w:t>Cour suprême de la Colombie-Britannique</w:t>
            </w:r>
          </w:p>
          <w:p w:rsidR="00B12BC9" w:rsidRPr="002F3871" w:rsidRDefault="00B12BC9" w:rsidP="00FD544E">
            <w:pPr>
              <w:jc w:val="both"/>
              <w:rPr>
                <w:sz w:val="20"/>
                <w:lang w:val="fr-CA"/>
              </w:rPr>
            </w:pPr>
            <w:r w:rsidRPr="002F3871">
              <w:rPr>
                <w:sz w:val="20"/>
                <w:lang w:val="fr-CA"/>
              </w:rPr>
              <w:t>(Juge Hyslop)</w:t>
            </w:r>
          </w:p>
          <w:p w:rsidR="00B12BC9" w:rsidRPr="002F3871" w:rsidRDefault="00B12BC9" w:rsidP="00FD544E">
            <w:pPr>
              <w:jc w:val="both"/>
              <w:rPr>
                <w:sz w:val="20"/>
                <w:lang w:val="fr-CA"/>
              </w:rPr>
            </w:pPr>
            <w:r w:rsidRPr="002F3871">
              <w:rPr>
                <w:sz w:val="20"/>
                <w:lang w:val="fr-CA"/>
              </w:rPr>
              <w:t>N</w:t>
            </w:r>
            <w:r w:rsidRPr="002F3871">
              <w:rPr>
                <w:sz w:val="20"/>
                <w:vertAlign w:val="superscript"/>
                <w:lang w:val="fr-CA"/>
              </w:rPr>
              <w:t>o</w:t>
            </w:r>
            <w:r w:rsidRPr="002F3871">
              <w:rPr>
                <w:sz w:val="20"/>
                <w:lang w:val="fr-CA"/>
              </w:rPr>
              <w:t xml:space="preserve"> 97293</w:t>
            </w:r>
          </w:p>
          <w:p w:rsidR="00B12BC9" w:rsidRPr="002F3871" w:rsidRDefault="00B12BC9" w:rsidP="00FD544E">
            <w:pPr>
              <w:jc w:val="both"/>
              <w:rPr>
                <w:sz w:val="20"/>
                <w:lang w:val="fr-CA"/>
              </w:rPr>
            </w:pPr>
            <w:r w:rsidRPr="002F3871">
              <w:rPr>
                <w:sz w:val="20"/>
                <w:lang w:val="fr-CA"/>
              </w:rPr>
              <w:t>2015 BCSC 2362</w:t>
            </w:r>
          </w:p>
          <w:p w:rsidR="00B12BC9" w:rsidRPr="002F3871" w:rsidRDefault="00B12BC9" w:rsidP="00FD544E">
            <w:pPr>
              <w:jc w:val="both"/>
              <w:rPr>
                <w:sz w:val="20"/>
                <w:lang w:val="fr-CA"/>
              </w:rPr>
            </w:pPr>
          </w:p>
        </w:tc>
        <w:tc>
          <w:tcPr>
            <w:tcW w:w="243" w:type="pct"/>
          </w:tcPr>
          <w:p w:rsidR="00B12BC9" w:rsidRPr="002F3871" w:rsidRDefault="00B12BC9" w:rsidP="00FD544E">
            <w:pPr>
              <w:jc w:val="both"/>
              <w:rPr>
                <w:sz w:val="20"/>
                <w:lang w:val="fr-CA"/>
              </w:rPr>
            </w:pPr>
          </w:p>
        </w:tc>
        <w:tc>
          <w:tcPr>
            <w:tcW w:w="2330" w:type="pct"/>
          </w:tcPr>
          <w:p w:rsidR="00B12BC9" w:rsidRPr="002F3871" w:rsidRDefault="00B12BC9" w:rsidP="00FD544E">
            <w:pPr>
              <w:jc w:val="both"/>
              <w:rPr>
                <w:sz w:val="20"/>
                <w:lang w:val="fr-CA"/>
              </w:rPr>
            </w:pPr>
            <w:r w:rsidRPr="002F3871">
              <w:rPr>
                <w:sz w:val="20"/>
                <w:lang w:val="fr-CA"/>
              </w:rPr>
              <w:t>Acquittement à l’égard de tous les chefs d’accusation.</w:t>
            </w:r>
          </w:p>
          <w:p w:rsidR="00B12BC9" w:rsidRPr="002F3871" w:rsidRDefault="00B12BC9" w:rsidP="00FD544E">
            <w:pPr>
              <w:jc w:val="both"/>
              <w:rPr>
                <w:sz w:val="20"/>
                <w:lang w:val="fr-CA"/>
              </w:rPr>
            </w:pPr>
          </w:p>
        </w:tc>
      </w:tr>
      <w:tr w:rsidR="00B12BC9" w:rsidRPr="00ED4247" w:rsidTr="00FD544E">
        <w:tc>
          <w:tcPr>
            <w:tcW w:w="2427" w:type="pct"/>
            <w:gridSpan w:val="2"/>
          </w:tcPr>
          <w:p w:rsidR="00B12BC9" w:rsidRPr="002F3871" w:rsidRDefault="00B12BC9" w:rsidP="00FD544E">
            <w:pPr>
              <w:jc w:val="both"/>
              <w:rPr>
                <w:sz w:val="20"/>
                <w:lang w:val="fr-CA"/>
              </w:rPr>
            </w:pPr>
            <w:r w:rsidRPr="002F3871">
              <w:rPr>
                <w:sz w:val="20"/>
                <w:lang w:val="fr-CA"/>
              </w:rPr>
              <w:t>3 février 2017</w:t>
            </w:r>
          </w:p>
          <w:p w:rsidR="00B12BC9" w:rsidRPr="002F3871" w:rsidRDefault="00B12BC9" w:rsidP="00FD544E">
            <w:pPr>
              <w:jc w:val="both"/>
              <w:rPr>
                <w:sz w:val="20"/>
                <w:lang w:val="fr-CA"/>
              </w:rPr>
            </w:pPr>
            <w:r w:rsidRPr="002F3871">
              <w:rPr>
                <w:sz w:val="20"/>
                <w:lang w:val="fr-CA"/>
              </w:rPr>
              <w:t>Cour d’appel de la Colombie-Britannique</w:t>
            </w:r>
          </w:p>
          <w:p w:rsidR="00B12BC9" w:rsidRPr="002F3871" w:rsidRDefault="00B12BC9" w:rsidP="00FD544E">
            <w:pPr>
              <w:jc w:val="both"/>
              <w:rPr>
                <w:sz w:val="20"/>
                <w:lang w:val="fr-CA"/>
              </w:rPr>
            </w:pPr>
            <w:r w:rsidRPr="002F3871">
              <w:rPr>
                <w:sz w:val="20"/>
                <w:lang w:val="fr-CA"/>
              </w:rPr>
              <w:t>(Vancouver)</w:t>
            </w:r>
          </w:p>
          <w:p w:rsidR="00B12BC9" w:rsidRPr="002F3871" w:rsidRDefault="00B12BC9" w:rsidP="00FD544E">
            <w:pPr>
              <w:jc w:val="both"/>
              <w:rPr>
                <w:sz w:val="20"/>
                <w:lang w:val="fr-CA"/>
              </w:rPr>
            </w:pPr>
            <w:r w:rsidRPr="002F3871">
              <w:rPr>
                <w:sz w:val="20"/>
                <w:lang w:val="fr-CA"/>
              </w:rPr>
              <w:t>(Juges Harris, Goepel et Fitch)</w:t>
            </w:r>
          </w:p>
          <w:p w:rsidR="00B12BC9" w:rsidRPr="002F3871" w:rsidRDefault="00B12BC9" w:rsidP="00FD544E">
            <w:pPr>
              <w:jc w:val="both"/>
              <w:rPr>
                <w:sz w:val="20"/>
                <w:lang w:val="fr-CA"/>
              </w:rPr>
            </w:pPr>
            <w:r w:rsidRPr="002F3871">
              <w:rPr>
                <w:sz w:val="20"/>
                <w:lang w:val="fr-CA"/>
              </w:rPr>
              <w:t>N</w:t>
            </w:r>
            <w:r w:rsidRPr="002F3871">
              <w:rPr>
                <w:sz w:val="20"/>
                <w:vertAlign w:val="superscript"/>
                <w:lang w:val="fr-CA"/>
              </w:rPr>
              <w:t>o</w:t>
            </w:r>
            <w:r w:rsidRPr="002F3871">
              <w:rPr>
                <w:sz w:val="20"/>
                <w:lang w:val="fr-CA"/>
              </w:rPr>
              <w:t xml:space="preserve"> CA43342</w:t>
            </w:r>
          </w:p>
          <w:p w:rsidR="00B12BC9" w:rsidRPr="002F3871" w:rsidRDefault="00ED4247" w:rsidP="00FD544E">
            <w:pPr>
              <w:jc w:val="both"/>
              <w:rPr>
                <w:sz w:val="20"/>
                <w:lang w:val="fr-CA"/>
              </w:rPr>
            </w:pPr>
            <w:hyperlink r:id="rId19" w:history="1">
              <w:r w:rsidR="00B12BC9" w:rsidRPr="002F3871">
                <w:rPr>
                  <w:rStyle w:val="Hyperlink"/>
                  <w:sz w:val="20"/>
                  <w:lang w:val="fr-CA"/>
                </w:rPr>
                <w:t>2017 BCCA 57</w:t>
              </w:r>
            </w:hyperlink>
          </w:p>
          <w:p w:rsidR="00B12BC9" w:rsidRPr="002F3871" w:rsidRDefault="00B12BC9" w:rsidP="00FD544E">
            <w:pPr>
              <w:jc w:val="both"/>
              <w:rPr>
                <w:sz w:val="20"/>
                <w:lang w:val="fr-CA"/>
              </w:rPr>
            </w:pPr>
          </w:p>
        </w:tc>
        <w:tc>
          <w:tcPr>
            <w:tcW w:w="243" w:type="pct"/>
          </w:tcPr>
          <w:p w:rsidR="00B12BC9" w:rsidRPr="002F3871" w:rsidRDefault="00B12BC9" w:rsidP="00FD544E">
            <w:pPr>
              <w:jc w:val="both"/>
              <w:rPr>
                <w:sz w:val="20"/>
                <w:lang w:val="fr-CA"/>
              </w:rPr>
            </w:pPr>
          </w:p>
        </w:tc>
        <w:tc>
          <w:tcPr>
            <w:tcW w:w="2330" w:type="pct"/>
          </w:tcPr>
          <w:p w:rsidR="00B12BC9" w:rsidRPr="002F3871" w:rsidRDefault="00B12BC9" w:rsidP="00FD544E">
            <w:pPr>
              <w:jc w:val="both"/>
              <w:rPr>
                <w:sz w:val="20"/>
                <w:lang w:val="fr-CA"/>
              </w:rPr>
            </w:pPr>
            <w:r w:rsidRPr="002F3871">
              <w:rPr>
                <w:sz w:val="20"/>
                <w:lang w:val="fr-CA"/>
              </w:rPr>
              <w:t>Arrêt accueillant l’appel en partie et ordonnant un nouveau procès à l’égard de trois chefs d’accusation.</w:t>
            </w:r>
          </w:p>
          <w:p w:rsidR="00B12BC9" w:rsidRPr="002F3871" w:rsidRDefault="00B12BC9" w:rsidP="00FD544E">
            <w:pPr>
              <w:jc w:val="both"/>
              <w:rPr>
                <w:sz w:val="20"/>
                <w:lang w:val="fr-CA"/>
              </w:rPr>
            </w:pPr>
          </w:p>
        </w:tc>
      </w:tr>
      <w:tr w:rsidR="00B12BC9" w:rsidRPr="00ED4247" w:rsidTr="00FD544E">
        <w:tc>
          <w:tcPr>
            <w:tcW w:w="2427" w:type="pct"/>
            <w:gridSpan w:val="2"/>
          </w:tcPr>
          <w:p w:rsidR="00B12BC9" w:rsidRPr="002F3871" w:rsidRDefault="00B12BC9" w:rsidP="00FD544E">
            <w:pPr>
              <w:jc w:val="both"/>
              <w:rPr>
                <w:sz w:val="20"/>
                <w:lang w:val="fr-CA"/>
              </w:rPr>
            </w:pPr>
            <w:r w:rsidRPr="002F3871">
              <w:rPr>
                <w:sz w:val="20"/>
                <w:lang w:val="fr-CA"/>
              </w:rPr>
              <w:t>3 avril 2017</w:t>
            </w:r>
          </w:p>
          <w:p w:rsidR="00B12BC9" w:rsidRPr="002F3871" w:rsidRDefault="00B12BC9" w:rsidP="00FD544E">
            <w:pPr>
              <w:jc w:val="both"/>
              <w:rPr>
                <w:sz w:val="20"/>
                <w:lang w:val="fr-CA"/>
              </w:rPr>
            </w:pPr>
            <w:r w:rsidRPr="002F3871">
              <w:rPr>
                <w:sz w:val="20"/>
                <w:lang w:val="fr-CA"/>
              </w:rPr>
              <w:t>Cour suprême du Canada</w:t>
            </w:r>
          </w:p>
        </w:tc>
        <w:tc>
          <w:tcPr>
            <w:tcW w:w="243" w:type="pct"/>
          </w:tcPr>
          <w:p w:rsidR="00B12BC9" w:rsidRPr="002F3871" w:rsidRDefault="00B12BC9" w:rsidP="00FD544E">
            <w:pPr>
              <w:jc w:val="both"/>
              <w:rPr>
                <w:sz w:val="20"/>
                <w:lang w:val="fr-CA"/>
              </w:rPr>
            </w:pPr>
          </w:p>
        </w:tc>
        <w:tc>
          <w:tcPr>
            <w:tcW w:w="2330" w:type="pct"/>
          </w:tcPr>
          <w:p w:rsidR="00B12BC9" w:rsidRPr="002F3871" w:rsidRDefault="00B12BC9" w:rsidP="00FD544E">
            <w:pPr>
              <w:jc w:val="both"/>
              <w:rPr>
                <w:sz w:val="20"/>
                <w:lang w:val="fr-CA"/>
              </w:rPr>
            </w:pPr>
            <w:r w:rsidRPr="002F3871">
              <w:rPr>
                <w:sz w:val="20"/>
                <w:lang w:val="fr-CA"/>
              </w:rPr>
              <w:t>Dépôt de la demande d’autorisation d’appel.</w:t>
            </w:r>
          </w:p>
          <w:p w:rsidR="00B12BC9" w:rsidRPr="002F3871" w:rsidRDefault="00B12BC9" w:rsidP="00FD544E">
            <w:pPr>
              <w:jc w:val="both"/>
              <w:rPr>
                <w:sz w:val="20"/>
                <w:lang w:val="fr-CA"/>
              </w:rPr>
            </w:pPr>
          </w:p>
        </w:tc>
      </w:tr>
    </w:tbl>
    <w:p w:rsidR="00B12BC9" w:rsidRPr="002F3871" w:rsidRDefault="00ED4247" w:rsidP="00B12BC9">
      <w:pPr>
        <w:jc w:val="both"/>
        <w:rPr>
          <w:sz w:val="20"/>
          <w:lang w:val="fr-CA"/>
        </w:rPr>
      </w:pPr>
      <w:r>
        <w:rPr>
          <w:sz w:val="20"/>
          <w:szCs w:val="20"/>
        </w:rPr>
        <w:pict>
          <v:rect id="_x0000_i1052" style="width:2in;height:1pt" o:hrpct="0" o:hralign="center" o:hrstd="t" o:hrnoshade="t" o:hr="t" fillcolor="black" stroked="f"/>
        </w:pict>
      </w:r>
    </w:p>
    <w:p w:rsidR="00B12BC9" w:rsidRPr="002F3871" w:rsidRDefault="00B12BC9" w:rsidP="00B12BC9">
      <w:pPr>
        <w:ind w:left="360" w:hanging="360"/>
        <w:jc w:val="both"/>
        <w:rPr>
          <w:sz w:val="20"/>
          <w:lang w:val="fr-CA" w:eastAsia="en-CA"/>
        </w:rPr>
      </w:pPr>
    </w:p>
    <w:p w:rsidR="00B12BC9" w:rsidRDefault="00B12BC9">
      <w:pPr>
        <w:rPr>
          <w:sz w:val="20"/>
          <w:szCs w:val="20"/>
        </w:rPr>
      </w:pPr>
    </w:p>
    <w:p w:rsidR="00B12BC9" w:rsidRDefault="00B12BC9">
      <w:pPr>
        <w:rPr>
          <w:sz w:val="20"/>
          <w:szCs w:val="20"/>
        </w:rPr>
      </w:pPr>
    </w:p>
    <w:p w:rsidR="00B12BC9" w:rsidRDefault="00B12BC9">
      <w:pPr>
        <w:rPr>
          <w:sz w:val="20"/>
          <w:szCs w:val="20"/>
        </w:rPr>
      </w:pPr>
    </w:p>
    <w:p w:rsidR="00D94028" w:rsidRPr="00C50A5C" w:rsidRDefault="00D94028"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20"/>
          <w:footerReference w:type="default" r:id="rId21"/>
          <w:headerReference w:type="first" r:id="rId22"/>
          <w:footerReference w:type="first" r:id="rId23"/>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ED4247" w:rsidTr="00ED7E83">
        <w:tc>
          <w:tcPr>
            <w:tcW w:w="4200" w:type="dxa"/>
            <w:tcMar>
              <w:left w:w="0" w:type="dxa"/>
              <w:right w:w="0" w:type="dxa"/>
            </w:tcMar>
          </w:tcPr>
          <w:p w:rsidR="008D292F" w:rsidRPr="001D0D5F" w:rsidRDefault="008D292F" w:rsidP="00ED7E83">
            <w:pPr>
              <w:keepNext/>
              <w:keepLines/>
              <w:jc w:val="both"/>
              <w:rPr>
                <w:b/>
                <w:szCs w:val="24"/>
              </w:rPr>
            </w:pPr>
            <w:bookmarkStart w:id="0" w:name="QuickMark_1"/>
            <w:bookmarkEnd w:id="0"/>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0E2959" w:rsidRPr="00C50A5C" w:rsidRDefault="00E44FCA" w:rsidP="000E2959">
      <w:pPr>
        <w:rPr>
          <w:b/>
          <w:sz w:val="20"/>
          <w:szCs w:val="20"/>
        </w:rPr>
      </w:pPr>
      <w:r>
        <w:rPr>
          <w:b/>
          <w:sz w:val="20"/>
          <w:szCs w:val="20"/>
        </w:rPr>
        <w:t>JUNE 15</w:t>
      </w:r>
      <w:r w:rsidR="000E2959" w:rsidRPr="00C50A5C">
        <w:rPr>
          <w:b/>
          <w:sz w:val="20"/>
          <w:szCs w:val="20"/>
        </w:rPr>
        <w:t xml:space="preserve">, </w:t>
      </w:r>
      <w:r w:rsidR="0030050B">
        <w:rPr>
          <w:b/>
          <w:sz w:val="20"/>
          <w:szCs w:val="20"/>
        </w:rPr>
        <w:t>201</w:t>
      </w:r>
      <w:r w:rsidR="00E8544A">
        <w:rPr>
          <w:b/>
          <w:sz w:val="20"/>
          <w:szCs w:val="20"/>
        </w:rPr>
        <w:t>7</w:t>
      </w:r>
      <w:r w:rsidR="000E2959" w:rsidRPr="00C50A5C">
        <w:rPr>
          <w:b/>
          <w:sz w:val="20"/>
          <w:szCs w:val="20"/>
        </w:rPr>
        <w:t xml:space="preserve"> / LE </w:t>
      </w:r>
      <w:r>
        <w:rPr>
          <w:b/>
          <w:sz w:val="20"/>
          <w:szCs w:val="20"/>
        </w:rPr>
        <w:t>15 JUIN</w:t>
      </w:r>
      <w:bookmarkStart w:id="1" w:name="_GoBack"/>
      <w:bookmarkEnd w:id="1"/>
      <w:r w:rsidR="000E2959" w:rsidRPr="00C50A5C">
        <w:rPr>
          <w:b/>
          <w:sz w:val="20"/>
          <w:szCs w:val="20"/>
        </w:rPr>
        <w:t xml:space="preserve"> </w:t>
      </w:r>
      <w:r w:rsidR="0030050B">
        <w:rPr>
          <w:b/>
          <w:sz w:val="20"/>
          <w:szCs w:val="20"/>
        </w:rPr>
        <w:t>201</w:t>
      </w:r>
      <w:r w:rsidR="00E8544A">
        <w:rPr>
          <w:b/>
          <w:sz w:val="20"/>
          <w:szCs w:val="20"/>
        </w:rPr>
        <w:t>7</w:t>
      </w:r>
    </w:p>
    <w:p w:rsidR="00E8544A" w:rsidRDefault="00E8544A" w:rsidP="00E8544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2812"/>
        <w:gridCol w:w="402"/>
        <w:gridCol w:w="5278"/>
      </w:tblGrid>
      <w:tr w:rsidR="00A268D3" w:rsidRPr="002F3871" w:rsidTr="00A268D3">
        <w:tc>
          <w:tcPr>
            <w:tcW w:w="543" w:type="pct"/>
          </w:tcPr>
          <w:p w:rsidR="00A268D3" w:rsidRPr="002F3871" w:rsidRDefault="00A268D3" w:rsidP="00A268D3">
            <w:pPr>
              <w:jc w:val="both"/>
              <w:rPr>
                <w:sz w:val="20"/>
              </w:rPr>
            </w:pPr>
            <w:r w:rsidRPr="002F3871">
              <w:rPr>
                <w:rStyle w:val="SCCFileNumberChar"/>
                <w:sz w:val="20"/>
                <w:szCs w:val="20"/>
              </w:rPr>
              <w:t>37373</w:t>
            </w:r>
          </w:p>
        </w:tc>
        <w:tc>
          <w:tcPr>
            <w:tcW w:w="4457" w:type="pct"/>
            <w:gridSpan w:val="3"/>
          </w:tcPr>
          <w:p w:rsidR="00A268D3" w:rsidRDefault="00B12BC9" w:rsidP="00A268D3">
            <w:pPr>
              <w:jc w:val="both"/>
              <w:rPr>
                <w:sz w:val="20"/>
              </w:rPr>
            </w:pPr>
            <w:r w:rsidRPr="00B12BC9">
              <w:rPr>
                <w:rFonts w:eastAsia="Calibri" w:cs="Times New Roman"/>
                <w:b/>
                <w:sz w:val="20"/>
                <w:szCs w:val="20"/>
                <w:lang w:val="en-US"/>
              </w:rPr>
              <w:t xml:space="preserve">Cowichan Valley Regional District v. Cobble Hill Holdings Ltd., South Island Aggregates Ltd. and South Island Resource Management Ltd. </w:t>
            </w:r>
            <w:r w:rsidR="00A268D3" w:rsidRPr="002F3871">
              <w:rPr>
                <w:sz w:val="20"/>
              </w:rPr>
              <w:t>(B.C.) (Civil) (By Leave)</w:t>
            </w:r>
          </w:p>
          <w:p w:rsidR="00B12BC9" w:rsidRPr="002F3871" w:rsidRDefault="00B12BC9" w:rsidP="00A268D3">
            <w:pPr>
              <w:jc w:val="both"/>
              <w:rPr>
                <w:sz w:val="20"/>
              </w:rPr>
            </w:pPr>
          </w:p>
        </w:tc>
      </w:tr>
      <w:tr w:rsidR="00A268D3" w:rsidRPr="002F3871" w:rsidTr="00A268D3">
        <w:tc>
          <w:tcPr>
            <w:tcW w:w="543" w:type="pct"/>
          </w:tcPr>
          <w:p w:rsidR="00A268D3" w:rsidRPr="002F3871" w:rsidRDefault="00A268D3" w:rsidP="00A268D3">
            <w:pPr>
              <w:jc w:val="both"/>
              <w:rPr>
                <w:rStyle w:val="SCCFileNumberChar"/>
                <w:sz w:val="20"/>
                <w:szCs w:val="20"/>
              </w:rPr>
            </w:pPr>
            <w:r>
              <w:rPr>
                <w:rStyle w:val="SCCFileNumberChar"/>
                <w:sz w:val="20"/>
                <w:szCs w:val="20"/>
              </w:rPr>
              <w:t>Coram:</w:t>
            </w:r>
          </w:p>
        </w:tc>
        <w:tc>
          <w:tcPr>
            <w:tcW w:w="4457" w:type="pct"/>
            <w:gridSpan w:val="3"/>
          </w:tcPr>
          <w:p w:rsidR="00A268D3" w:rsidRDefault="00B12BC9" w:rsidP="00A268D3">
            <w:pPr>
              <w:pStyle w:val="SCCLsocParty"/>
              <w:jc w:val="both"/>
              <w:rPr>
                <w:rFonts w:eastAsiaTheme="minorEastAsia"/>
                <w:sz w:val="20"/>
                <w:szCs w:val="20"/>
                <w:lang w:val="en-US"/>
              </w:rPr>
            </w:pPr>
            <w:r w:rsidRPr="00B12BC9">
              <w:rPr>
                <w:rFonts w:eastAsiaTheme="minorEastAsia"/>
                <w:sz w:val="20"/>
                <w:szCs w:val="20"/>
                <w:lang w:val="en-US"/>
              </w:rPr>
              <w:t>McLachlin C.J. and Abella, Moldaver, Karakatsanis, Wagner, Gascon, Côté, Brown and Rowe JJ.</w:t>
            </w:r>
            <w:r>
              <w:rPr>
                <w:rFonts w:eastAsiaTheme="minorEastAsia"/>
                <w:sz w:val="20"/>
                <w:szCs w:val="20"/>
                <w:lang w:val="en-US"/>
              </w:rPr>
              <w:t xml:space="preserve"> </w:t>
            </w:r>
          </w:p>
          <w:p w:rsidR="00B12BC9" w:rsidRPr="00B12BC9" w:rsidRDefault="00B12BC9" w:rsidP="00B12BC9">
            <w:pPr>
              <w:rPr>
                <w:lang w:val="en-US"/>
              </w:rPr>
            </w:pPr>
          </w:p>
        </w:tc>
      </w:tr>
      <w:tr w:rsidR="00A268D3" w:rsidRPr="002F3871" w:rsidTr="00A268D3">
        <w:tc>
          <w:tcPr>
            <w:tcW w:w="5000" w:type="pct"/>
            <w:gridSpan w:val="4"/>
          </w:tcPr>
          <w:p w:rsidR="00A268D3" w:rsidRDefault="00B12BC9" w:rsidP="00A268D3">
            <w:pPr>
              <w:pStyle w:val="SCCLsocParty"/>
              <w:jc w:val="both"/>
              <w:rPr>
                <w:sz w:val="20"/>
                <w:szCs w:val="20"/>
                <w:lang w:val="en-US"/>
              </w:rPr>
            </w:pPr>
            <w:r w:rsidRPr="00B12BC9">
              <w:rPr>
                <w:sz w:val="20"/>
                <w:szCs w:val="20"/>
                <w:lang w:val="en-US"/>
              </w:rPr>
              <w:t>The motion for an extension of time to serve and file the reply is granted.</w:t>
            </w:r>
            <w:r w:rsidRPr="00B12BC9" w:rsidDel="00B229AF">
              <w:rPr>
                <w:sz w:val="20"/>
                <w:szCs w:val="20"/>
                <w:lang w:val="en-US"/>
              </w:rPr>
              <w:t xml:space="preserve"> </w:t>
            </w:r>
            <w:r w:rsidRPr="00B12BC9">
              <w:rPr>
                <w:sz w:val="20"/>
                <w:szCs w:val="20"/>
                <w:lang w:val="en-US"/>
              </w:rPr>
              <w:t>The application for leave to appeal from the judgment of the</w:t>
            </w:r>
            <w:bookmarkStart w:id="2" w:name="BM_1_"/>
            <w:bookmarkEnd w:id="2"/>
            <w:r w:rsidRPr="00B12BC9">
              <w:rPr>
                <w:sz w:val="20"/>
                <w:szCs w:val="20"/>
                <w:lang w:val="en-US"/>
              </w:rPr>
              <w:t xml:space="preserve"> Court of Appeal for British Columbia (Vancouver), Numbers CA43548 and CA43549, 2016 BCCA 432, dated November 3, 2016, is dismissed with costs.</w:t>
            </w:r>
          </w:p>
          <w:p w:rsidR="00B12BC9" w:rsidRPr="00B12BC9" w:rsidRDefault="00B12BC9" w:rsidP="00B12BC9">
            <w:pPr>
              <w:rPr>
                <w:lang w:val="en-US"/>
              </w:rPr>
            </w:pPr>
          </w:p>
        </w:tc>
      </w:tr>
      <w:tr w:rsidR="00A268D3" w:rsidRPr="002F3871" w:rsidTr="00A268D3">
        <w:tc>
          <w:tcPr>
            <w:tcW w:w="5000" w:type="pct"/>
            <w:gridSpan w:val="4"/>
          </w:tcPr>
          <w:p w:rsidR="00A268D3" w:rsidRPr="002F3871" w:rsidRDefault="00A268D3" w:rsidP="00A268D3">
            <w:pPr>
              <w:jc w:val="both"/>
              <w:rPr>
                <w:sz w:val="20"/>
              </w:rPr>
            </w:pPr>
            <w:r w:rsidRPr="002F3871">
              <w:rPr>
                <w:sz w:val="20"/>
              </w:rPr>
              <w:t xml:space="preserve">Natural resources — Mines and minerals — Mine reclamation — Administrative law — Appeals — Standard of review — Land use planning — Permitted uses of land under </w:t>
            </w:r>
            <w:r w:rsidRPr="002F3871">
              <w:rPr>
                <w:i/>
                <w:sz w:val="20"/>
              </w:rPr>
              <w:t>Mines Act</w:t>
            </w:r>
            <w:r w:rsidRPr="002F3871">
              <w:rPr>
                <w:sz w:val="20"/>
              </w:rPr>
              <w:t xml:space="preserve">, R.S.B.C. 1996, c. 293, s. 10, and under zoning bylaw enacted pursuant to </w:t>
            </w:r>
            <w:r w:rsidRPr="002F3871">
              <w:rPr>
                <w:i/>
                <w:sz w:val="20"/>
              </w:rPr>
              <w:t>Local Government Act</w:t>
            </w:r>
            <w:r w:rsidRPr="002F3871">
              <w:rPr>
                <w:sz w:val="20"/>
              </w:rPr>
              <w:t>, S.B.C. 2016, c. 1 — Whether the correctness standard is the proper standard of appellate review for the characterization of a land use under provincial and local land use regimes — Whether the Court of Appeal used the proper approach to reconciling an alleged conflict between provincial enactments related to land use management, environmental protection and mining, and delegated decisions made pursuant to those enactments — Whether the authority granted to local governments to regulate soil deposit restricts their authority to regulate land use pursuant to local government enabling legislation.</w:t>
            </w:r>
          </w:p>
        </w:tc>
      </w:tr>
      <w:tr w:rsidR="00A268D3" w:rsidRPr="002F3871" w:rsidTr="00A268D3">
        <w:tc>
          <w:tcPr>
            <w:tcW w:w="5000" w:type="pct"/>
            <w:gridSpan w:val="4"/>
          </w:tcPr>
          <w:p w:rsidR="00A268D3" w:rsidRPr="002F3871" w:rsidRDefault="00A268D3" w:rsidP="00A268D3">
            <w:pPr>
              <w:jc w:val="both"/>
              <w:rPr>
                <w:sz w:val="20"/>
              </w:rPr>
            </w:pPr>
          </w:p>
        </w:tc>
      </w:tr>
      <w:tr w:rsidR="00A268D3" w:rsidRPr="002F3871" w:rsidTr="00A268D3">
        <w:tc>
          <w:tcPr>
            <w:tcW w:w="5000" w:type="pct"/>
            <w:gridSpan w:val="4"/>
          </w:tcPr>
          <w:p w:rsidR="00A268D3" w:rsidRPr="002F3871" w:rsidRDefault="00A268D3" w:rsidP="00A268D3">
            <w:pPr>
              <w:jc w:val="both"/>
              <w:rPr>
                <w:sz w:val="20"/>
              </w:rPr>
            </w:pPr>
            <w:r w:rsidRPr="002F3871">
              <w:rPr>
                <w:sz w:val="20"/>
              </w:rPr>
              <w:t>Cobble Hill Holdings Ltd. is the fee simple owner of a parcel of land on Vancouver Island. South Island Aggregates Ltd. began to operate a rock quarry on that land in 2006, and South Island Resource Management Ltd. took over the quarry operation in 2015. The land was initially zoned for residential use. A provincial quarry permit authorized reclamation of the site using “clean” soil and required that the land be restored to the pre-quarry residential use. In 2007, the zoning was changed to F-1 (primarily forestry). After various amendments, the permit allowed reclamation via the management and processing of contaminated soil by a landfill facility (where contaminated soil is permanently encapsulated in engineered cells, then capped with three metres of clean fill) or a soil treatment facility (which allows organic contaminants to biodegrade prior to being deposited into the quarry cavity). The permit did not require the soil treatment facility.</w:t>
            </w:r>
          </w:p>
          <w:p w:rsidR="00A268D3" w:rsidRPr="002F3871" w:rsidRDefault="00A268D3" w:rsidP="00A268D3">
            <w:pPr>
              <w:jc w:val="both"/>
              <w:rPr>
                <w:sz w:val="20"/>
              </w:rPr>
            </w:pPr>
          </w:p>
          <w:p w:rsidR="00A268D3" w:rsidRPr="002F3871" w:rsidRDefault="00A268D3" w:rsidP="00A268D3">
            <w:pPr>
              <w:jc w:val="both"/>
              <w:rPr>
                <w:sz w:val="20"/>
              </w:rPr>
            </w:pPr>
            <w:r w:rsidRPr="002F3871">
              <w:rPr>
                <w:sz w:val="20"/>
              </w:rPr>
              <w:t xml:space="preserve">The Cowichan Valley Regional District made a petition claiming that the landfill and the soil treatment facility were not permitted land uses under the </w:t>
            </w:r>
            <w:r w:rsidRPr="002F3871">
              <w:rPr>
                <w:i/>
                <w:sz w:val="20"/>
              </w:rPr>
              <w:t>Electoral Area “B” Zoning Bylaw No. 985 – Shawinigan Lake</w:t>
            </w:r>
            <w:r w:rsidRPr="002F3871">
              <w:rPr>
                <w:sz w:val="20"/>
              </w:rPr>
              <w:t xml:space="preserve"> (the “zoning bylaw”) and requesting declaratory and injunctive orders intended to prevent the on-site reclamation process. It also filed an appeal of the permit with the Environmental Appeal Board. The appeal was stayed pending the Board’s decision. When the Board dismissed the appeal, the District resurrected its petition. The petition was initially granted, in large part, but an appeal was substantially allowed and a cross appeal was dismissed.</w:t>
            </w:r>
          </w:p>
          <w:p w:rsidR="00A268D3" w:rsidRPr="002F3871" w:rsidRDefault="00A268D3" w:rsidP="00A268D3">
            <w:pPr>
              <w:jc w:val="both"/>
              <w:rPr>
                <w:sz w:val="20"/>
              </w:rPr>
            </w:pPr>
          </w:p>
        </w:tc>
      </w:tr>
      <w:tr w:rsidR="00A268D3" w:rsidRPr="002F3871" w:rsidTr="00A268D3">
        <w:tc>
          <w:tcPr>
            <w:tcW w:w="2019" w:type="pct"/>
            <w:gridSpan w:val="2"/>
          </w:tcPr>
          <w:p w:rsidR="00A268D3" w:rsidRPr="002F3871" w:rsidRDefault="00A268D3" w:rsidP="00A268D3">
            <w:pPr>
              <w:jc w:val="both"/>
              <w:rPr>
                <w:sz w:val="20"/>
              </w:rPr>
            </w:pPr>
            <w:r w:rsidRPr="002F3871">
              <w:rPr>
                <w:sz w:val="20"/>
              </w:rPr>
              <w:t>March 21, 2016</w:t>
            </w:r>
          </w:p>
          <w:p w:rsidR="00A268D3" w:rsidRPr="002F3871" w:rsidRDefault="00A268D3" w:rsidP="00A268D3">
            <w:pPr>
              <w:jc w:val="both"/>
              <w:rPr>
                <w:sz w:val="20"/>
              </w:rPr>
            </w:pPr>
            <w:r w:rsidRPr="002F3871">
              <w:rPr>
                <w:sz w:val="20"/>
              </w:rPr>
              <w:t>Supreme Court of British Columbia</w:t>
            </w:r>
          </w:p>
          <w:p w:rsidR="00A268D3" w:rsidRPr="002F3871" w:rsidRDefault="00A268D3" w:rsidP="00A268D3">
            <w:pPr>
              <w:jc w:val="both"/>
              <w:rPr>
                <w:sz w:val="20"/>
              </w:rPr>
            </w:pPr>
            <w:r w:rsidRPr="002F3871">
              <w:rPr>
                <w:sz w:val="20"/>
              </w:rPr>
              <w:t>(MacKenzie J.)</w:t>
            </w:r>
          </w:p>
          <w:p w:rsidR="00A268D3" w:rsidRPr="002F3871" w:rsidRDefault="00ED4247" w:rsidP="00A268D3">
            <w:pPr>
              <w:jc w:val="both"/>
              <w:rPr>
                <w:sz w:val="20"/>
              </w:rPr>
            </w:pPr>
            <w:hyperlink r:id="rId24" w:history="1">
              <w:r w:rsidR="00A268D3" w:rsidRPr="002F3871">
                <w:rPr>
                  <w:rStyle w:val="Hyperlink"/>
                  <w:sz w:val="20"/>
                </w:rPr>
                <w:t>2016 BCSC 489</w:t>
              </w:r>
            </w:hyperlink>
          </w:p>
          <w:p w:rsidR="00A268D3" w:rsidRPr="002F3871" w:rsidRDefault="00A268D3" w:rsidP="00A268D3">
            <w:pPr>
              <w:jc w:val="both"/>
              <w:rPr>
                <w:sz w:val="20"/>
              </w:rPr>
            </w:pPr>
          </w:p>
        </w:tc>
        <w:tc>
          <w:tcPr>
            <w:tcW w:w="211" w:type="pct"/>
          </w:tcPr>
          <w:p w:rsidR="00A268D3" w:rsidRPr="002F3871" w:rsidRDefault="00A268D3" w:rsidP="00A268D3">
            <w:pPr>
              <w:jc w:val="both"/>
              <w:rPr>
                <w:sz w:val="20"/>
              </w:rPr>
            </w:pPr>
          </w:p>
        </w:tc>
        <w:tc>
          <w:tcPr>
            <w:tcW w:w="2770" w:type="pct"/>
          </w:tcPr>
          <w:p w:rsidR="00A268D3" w:rsidRPr="002F3871" w:rsidRDefault="00A268D3" w:rsidP="00A268D3">
            <w:pPr>
              <w:jc w:val="both"/>
              <w:rPr>
                <w:sz w:val="20"/>
              </w:rPr>
            </w:pPr>
            <w:r w:rsidRPr="002F3871">
              <w:rPr>
                <w:sz w:val="20"/>
              </w:rPr>
              <w:t>Declarations that soil treatment facility, landfill facility, and permanent encapsulation of contaminated soil not originating on the property are not permitted uses;  injunction against using, allowing or permitting those uses of the property issued; application for mandatory injunctions dismissed</w:t>
            </w:r>
          </w:p>
          <w:p w:rsidR="00A268D3" w:rsidRPr="002F3871" w:rsidRDefault="00A268D3" w:rsidP="00A268D3">
            <w:pPr>
              <w:jc w:val="both"/>
              <w:rPr>
                <w:sz w:val="20"/>
              </w:rPr>
            </w:pPr>
          </w:p>
        </w:tc>
      </w:tr>
      <w:tr w:rsidR="00A268D3" w:rsidRPr="002F3871" w:rsidTr="00A268D3">
        <w:tc>
          <w:tcPr>
            <w:tcW w:w="2019" w:type="pct"/>
            <w:gridSpan w:val="2"/>
          </w:tcPr>
          <w:p w:rsidR="00A268D3" w:rsidRPr="002F3871" w:rsidRDefault="00A268D3" w:rsidP="00A268D3">
            <w:pPr>
              <w:jc w:val="both"/>
              <w:rPr>
                <w:sz w:val="20"/>
              </w:rPr>
            </w:pPr>
            <w:r w:rsidRPr="002F3871">
              <w:rPr>
                <w:sz w:val="20"/>
              </w:rPr>
              <w:t>November 3, 2016</w:t>
            </w:r>
          </w:p>
          <w:p w:rsidR="00A268D3" w:rsidRPr="002F3871" w:rsidRDefault="00A268D3" w:rsidP="00A268D3">
            <w:pPr>
              <w:jc w:val="both"/>
              <w:rPr>
                <w:sz w:val="20"/>
              </w:rPr>
            </w:pPr>
            <w:r w:rsidRPr="002F3871">
              <w:rPr>
                <w:sz w:val="20"/>
              </w:rPr>
              <w:t xml:space="preserve">Court of Appeal for British Columbia </w:t>
            </w:r>
          </w:p>
          <w:p w:rsidR="00A268D3" w:rsidRPr="002F3871" w:rsidRDefault="00A268D3" w:rsidP="00A268D3">
            <w:pPr>
              <w:jc w:val="both"/>
              <w:rPr>
                <w:sz w:val="20"/>
              </w:rPr>
            </w:pPr>
            <w:r w:rsidRPr="002F3871">
              <w:rPr>
                <w:sz w:val="20"/>
              </w:rPr>
              <w:t>(Vancouver)</w:t>
            </w:r>
          </w:p>
          <w:p w:rsidR="00A268D3" w:rsidRPr="002F3871" w:rsidRDefault="00A268D3" w:rsidP="00A268D3">
            <w:pPr>
              <w:jc w:val="both"/>
              <w:rPr>
                <w:sz w:val="20"/>
              </w:rPr>
            </w:pPr>
            <w:r w:rsidRPr="002F3871">
              <w:rPr>
                <w:sz w:val="20"/>
              </w:rPr>
              <w:t>(Smith, Dickson, Fitch JJ.A.)</w:t>
            </w:r>
          </w:p>
          <w:p w:rsidR="00A268D3" w:rsidRPr="002F3871" w:rsidRDefault="00ED4247" w:rsidP="00A268D3">
            <w:pPr>
              <w:jc w:val="both"/>
              <w:rPr>
                <w:sz w:val="20"/>
              </w:rPr>
            </w:pPr>
            <w:hyperlink r:id="rId25" w:history="1">
              <w:r w:rsidR="00A268D3" w:rsidRPr="002F3871">
                <w:rPr>
                  <w:rStyle w:val="Hyperlink"/>
                  <w:sz w:val="20"/>
                </w:rPr>
                <w:t>2016 BCCA 432</w:t>
              </w:r>
            </w:hyperlink>
          </w:p>
          <w:p w:rsidR="00A268D3" w:rsidRPr="002F3871" w:rsidRDefault="00A268D3" w:rsidP="00A268D3">
            <w:pPr>
              <w:jc w:val="both"/>
              <w:rPr>
                <w:sz w:val="20"/>
              </w:rPr>
            </w:pPr>
          </w:p>
        </w:tc>
        <w:tc>
          <w:tcPr>
            <w:tcW w:w="211" w:type="pct"/>
          </w:tcPr>
          <w:p w:rsidR="00A268D3" w:rsidRPr="002F3871" w:rsidRDefault="00A268D3" w:rsidP="00A268D3">
            <w:pPr>
              <w:jc w:val="both"/>
              <w:rPr>
                <w:sz w:val="20"/>
              </w:rPr>
            </w:pPr>
          </w:p>
        </w:tc>
        <w:tc>
          <w:tcPr>
            <w:tcW w:w="2770" w:type="pct"/>
          </w:tcPr>
          <w:p w:rsidR="00A268D3" w:rsidRPr="002F3871" w:rsidRDefault="00A268D3" w:rsidP="00A268D3">
            <w:pPr>
              <w:jc w:val="both"/>
              <w:rPr>
                <w:sz w:val="20"/>
              </w:rPr>
            </w:pPr>
            <w:r w:rsidRPr="002F3871">
              <w:rPr>
                <w:sz w:val="20"/>
              </w:rPr>
              <w:t>Appeal allowed, excepting the order enjoining the operation of the soil treatment facility; cross-appeal dismissed</w:t>
            </w:r>
          </w:p>
          <w:p w:rsidR="00A268D3" w:rsidRPr="002F3871" w:rsidRDefault="00A268D3" w:rsidP="00A268D3">
            <w:pPr>
              <w:jc w:val="both"/>
              <w:rPr>
                <w:sz w:val="20"/>
              </w:rPr>
            </w:pPr>
          </w:p>
        </w:tc>
      </w:tr>
      <w:tr w:rsidR="00A268D3" w:rsidRPr="002F3871" w:rsidTr="00A268D3">
        <w:tc>
          <w:tcPr>
            <w:tcW w:w="2019" w:type="pct"/>
            <w:gridSpan w:val="2"/>
          </w:tcPr>
          <w:p w:rsidR="00A268D3" w:rsidRPr="002F3871" w:rsidRDefault="00A268D3" w:rsidP="00A268D3">
            <w:pPr>
              <w:jc w:val="both"/>
              <w:rPr>
                <w:sz w:val="20"/>
              </w:rPr>
            </w:pPr>
            <w:r w:rsidRPr="002F3871">
              <w:rPr>
                <w:sz w:val="20"/>
              </w:rPr>
              <w:lastRenderedPageBreak/>
              <w:t>December 29, 2016</w:t>
            </w:r>
          </w:p>
          <w:p w:rsidR="00A268D3" w:rsidRPr="002F3871" w:rsidRDefault="00A268D3" w:rsidP="00A268D3">
            <w:pPr>
              <w:jc w:val="both"/>
              <w:rPr>
                <w:sz w:val="20"/>
              </w:rPr>
            </w:pPr>
            <w:r w:rsidRPr="002F3871">
              <w:rPr>
                <w:sz w:val="20"/>
              </w:rPr>
              <w:t>Supreme Court of Canada</w:t>
            </w:r>
          </w:p>
          <w:p w:rsidR="00A268D3" w:rsidRPr="002F3871" w:rsidRDefault="00A268D3" w:rsidP="00A268D3">
            <w:pPr>
              <w:jc w:val="both"/>
              <w:rPr>
                <w:sz w:val="20"/>
              </w:rPr>
            </w:pPr>
          </w:p>
        </w:tc>
        <w:tc>
          <w:tcPr>
            <w:tcW w:w="211" w:type="pct"/>
          </w:tcPr>
          <w:p w:rsidR="00A268D3" w:rsidRPr="002F3871" w:rsidRDefault="00A268D3" w:rsidP="00A268D3">
            <w:pPr>
              <w:jc w:val="both"/>
              <w:rPr>
                <w:sz w:val="20"/>
              </w:rPr>
            </w:pPr>
          </w:p>
        </w:tc>
        <w:tc>
          <w:tcPr>
            <w:tcW w:w="2770" w:type="pct"/>
          </w:tcPr>
          <w:p w:rsidR="00A268D3" w:rsidRPr="002F3871" w:rsidRDefault="00A268D3" w:rsidP="00A268D3">
            <w:pPr>
              <w:jc w:val="both"/>
              <w:rPr>
                <w:sz w:val="20"/>
              </w:rPr>
            </w:pPr>
            <w:r w:rsidRPr="002F3871">
              <w:rPr>
                <w:sz w:val="20"/>
              </w:rPr>
              <w:t>Application for leave to appeal filed</w:t>
            </w:r>
          </w:p>
          <w:p w:rsidR="00A268D3" w:rsidRPr="002F3871" w:rsidRDefault="00A268D3" w:rsidP="00A268D3">
            <w:pPr>
              <w:jc w:val="both"/>
              <w:rPr>
                <w:sz w:val="20"/>
              </w:rPr>
            </w:pPr>
          </w:p>
        </w:tc>
      </w:tr>
      <w:tr w:rsidR="00A268D3" w:rsidRPr="002F3871" w:rsidTr="00A268D3">
        <w:tc>
          <w:tcPr>
            <w:tcW w:w="2019" w:type="pct"/>
            <w:gridSpan w:val="2"/>
          </w:tcPr>
          <w:p w:rsidR="00A268D3" w:rsidRPr="002F3871" w:rsidRDefault="00A268D3" w:rsidP="00A268D3">
            <w:pPr>
              <w:jc w:val="both"/>
              <w:rPr>
                <w:sz w:val="20"/>
              </w:rPr>
            </w:pPr>
            <w:r w:rsidRPr="002F3871">
              <w:rPr>
                <w:sz w:val="20"/>
              </w:rPr>
              <w:t>February 14, 2017</w:t>
            </w:r>
          </w:p>
          <w:p w:rsidR="00A268D3" w:rsidRPr="002F3871" w:rsidRDefault="00A268D3" w:rsidP="00A268D3">
            <w:pPr>
              <w:jc w:val="both"/>
              <w:rPr>
                <w:sz w:val="20"/>
              </w:rPr>
            </w:pPr>
            <w:r w:rsidRPr="002F3871">
              <w:rPr>
                <w:sz w:val="20"/>
              </w:rPr>
              <w:t>Supreme Court of Canada</w:t>
            </w:r>
          </w:p>
        </w:tc>
        <w:tc>
          <w:tcPr>
            <w:tcW w:w="211" w:type="pct"/>
          </w:tcPr>
          <w:p w:rsidR="00A268D3" w:rsidRPr="002F3871" w:rsidRDefault="00A268D3" w:rsidP="00A268D3">
            <w:pPr>
              <w:jc w:val="both"/>
              <w:rPr>
                <w:sz w:val="20"/>
              </w:rPr>
            </w:pPr>
          </w:p>
        </w:tc>
        <w:tc>
          <w:tcPr>
            <w:tcW w:w="2770" w:type="pct"/>
          </w:tcPr>
          <w:p w:rsidR="00A268D3" w:rsidRPr="002F3871" w:rsidRDefault="00A268D3" w:rsidP="00A268D3">
            <w:pPr>
              <w:jc w:val="both"/>
              <w:rPr>
                <w:sz w:val="20"/>
              </w:rPr>
            </w:pPr>
            <w:r w:rsidRPr="002F3871">
              <w:rPr>
                <w:sz w:val="20"/>
              </w:rPr>
              <w:t>Motion to extend time to serve and file Reply filed</w:t>
            </w:r>
          </w:p>
        </w:tc>
      </w:tr>
    </w:tbl>
    <w:p w:rsidR="00A268D3" w:rsidRPr="002F3871" w:rsidRDefault="00ED4247" w:rsidP="00A268D3">
      <w:pPr>
        <w:jc w:val="both"/>
        <w:rPr>
          <w:sz w:val="20"/>
        </w:rPr>
      </w:pPr>
      <w:r>
        <w:rPr>
          <w:sz w:val="20"/>
          <w:szCs w:val="20"/>
        </w:rPr>
        <w:pict>
          <v:rect id="_x0000_i1055" style="width:2in;height:1pt" o:hrpct="0" o:hralign="center" o:hrstd="t" o:hrnoshade="t" o:hr="t" fillcolor="black" stroked="f"/>
        </w:pict>
      </w:r>
    </w:p>
    <w:p w:rsidR="00A268D3" w:rsidRPr="002F3871" w:rsidRDefault="00A268D3" w:rsidP="00A268D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A268D3" w:rsidRPr="00224C9D" w:rsidTr="00A268D3">
        <w:tc>
          <w:tcPr>
            <w:tcW w:w="543" w:type="pct"/>
          </w:tcPr>
          <w:p w:rsidR="00A268D3" w:rsidRPr="002F3871" w:rsidRDefault="00A268D3" w:rsidP="00A268D3">
            <w:pPr>
              <w:jc w:val="both"/>
              <w:rPr>
                <w:sz w:val="20"/>
                <w:lang w:val="fr-CA"/>
              </w:rPr>
            </w:pPr>
            <w:r w:rsidRPr="002F3871">
              <w:rPr>
                <w:rStyle w:val="SCCFileNumberChar"/>
                <w:sz w:val="20"/>
                <w:szCs w:val="20"/>
                <w:lang w:val="fr-CA"/>
              </w:rPr>
              <w:t>37373</w:t>
            </w:r>
          </w:p>
        </w:tc>
        <w:tc>
          <w:tcPr>
            <w:tcW w:w="4457" w:type="pct"/>
          </w:tcPr>
          <w:p w:rsidR="00A268D3" w:rsidRDefault="00B12BC9" w:rsidP="00A268D3">
            <w:pPr>
              <w:jc w:val="both"/>
              <w:rPr>
                <w:sz w:val="20"/>
                <w:lang w:val="fr-CA"/>
              </w:rPr>
            </w:pPr>
            <w:r w:rsidRPr="00B12BC9">
              <w:rPr>
                <w:rFonts w:eastAsia="Calibri" w:cs="Times New Roman"/>
                <w:b/>
                <w:sz w:val="20"/>
                <w:szCs w:val="20"/>
                <w:lang w:val="en-US"/>
              </w:rPr>
              <w:t xml:space="preserve">Cowichan Valley Regional District c. Cobble Hill Holdings Ltd., South Island Aggregates Ltd. et South Island Resource Management Ltd. </w:t>
            </w:r>
            <w:r w:rsidR="00A268D3" w:rsidRPr="002F3871">
              <w:rPr>
                <w:sz w:val="20"/>
                <w:lang w:val="fr-CA"/>
              </w:rPr>
              <w:t>(C.-B.) (Civile) (Sur autorisation)</w:t>
            </w:r>
          </w:p>
          <w:p w:rsidR="00B12BC9" w:rsidRPr="002F3871" w:rsidRDefault="00B12BC9" w:rsidP="00A268D3">
            <w:pPr>
              <w:jc w:val="both"/>
              <w:rPr>
                <w:sz w:val="20"/>
                <w:lang w:val="fr-CA"/>
              </w:rPr>
            </w:pPr>
          </w:p>
        </w:tc>
      </w:tr>
      <w:tr w:rsidR="00A268D3" w:rsidRPr="00ED4247" w:rsidTr="00A268D3">
        <w:tc>
          <w:tcPr>
            <w:tcW w:w="543" w:type="pct"/>
          </w:tcPr>
          <w:p w:rsidR="00A268D3" w:rsidRPr="002F3871" w:rsidRDefault="00A268D3" w:rsidP="00A268D3">
            <w:pPr>
              <w:jc w:val="both"/>
              <w:rPr>
                <w:rStyle w:val="SCCFileNumberChar"/>
                <w:sz w:val="20"/>
                <w:szCs w:val="20"/>
                <w:lang w:val="fr-CA"/>
              </w:rPr>
            </w:pPr>
            <w:r>
              <w:rPr>
                <w:rStyle w:val="SCCFileNumberChar"/>
                <w:sz w:val="20"/>
                <w:szCs w:val="20"/>
                <w:lang w:val="fr-CA"/>
              </w:rPr>
              <w:t>Coram :</w:t>
            </w:r>
          </w:p>
        </w:tc>
        <w:tc>
          <w:tcPr>
            <w:tcW w:w="4457" w:type="pct"/>
          </w:tcPr>
          <w:p w:rsidR="00A268D3" w:rsidRDefault="00B12BC9" w:rsidP="00A268D3">
            <w:pPr>
              <w:pStyle w:val="SCCLsocParty"/>
              <w:jc w:val="both"/>
              <w:rPr>
                <w:sz w:val="20"/>
                <w:szCs w:val="20"/>
                <w:lang w:val="fr-FR"/>
              </w:rPr>
            </w:pPr>
            <w:r w:rsidRPr="00544807">
              <w:rPr>
                <w:sz w:val="20"/>
                <w:szCs w:val="20"/>
                <w:lang w:val="fr-FR"/>
              </w:rPr>
              <w:t>La juge en chef McLachlin et les juges Abella, Moldaver, Karakatsanis, Wagner, Gascon, Côté, Brown et Rowe</w:t>
            </w:r>
          </w:p>
          <w:p w:rsidR="00B12BC9" w:rsidRPr="00B12BC9" w:rsidRDefault="00B12BC9" w:rsidP="00B12BC9">
            <w:pPr>
              <w:rPr>
                <w:lang w:val="fr-FR"/>
              </w:rPr>
            </w:pPr>
          </w:p>
        </w:tc>
      </w:tr>
      <w:tr w:rsidR="00A268D3" w:rsidRPr="00ED4247" w:rsidTr="00A268D3">
        <w:tc>
          <w:tcPr>
            <w:tcW w:w="5000" w:type="pct"/>
            <w:gridSpan w:val="2"/>
          </w:tcPr>
          <w:p w:rsidR="00A268D3" w:rsidRDefault="00B12BC9" w:rsidP="00A268D3">
            <w:pPr>
              <w:pStyle w:val="SCCLsocParty"/>
              <w:jc w:val="both"/>
              <w:rPr>
                <w:sz w:val="20"/>
                <w:szCs w:val="20"/>
              </w:rPr>
            </w:pPr>
            <w:r w:rsidRPr="00544807">
              <w:rPr>
                <w:sz w:val="20"/>
                <w:szCs w:val="20"/>
              </w:rPr>
              <w:t>La requête en prorogation du délai de signification et de dépôt de la réplique est accueillie.</w:t>
            </w:r>
            <w:r w:rsidRPr="00544807" w:rsidDel="00B229AF">
              <w:rPr>
                <w:sz w:val="20"/>
                <w:szCs w:val="20"/>
              </w:rPr>
              <w:t xml:space="preserve"> </w:t>
            </w:r>
            <w:r w:rsidRPr="00544807">
              <w:rPr>
                <w:sz w:val="20"/>
                <w:szCs w:val="20"/>
              </w:rPr>
              <w:t xml:space="preserve">La demande d’autorisation d’appel de l’arrêt de la </w:t>
            </w:r>
            <w:r w:rsidRPr="00544807">
              <w:rPr>
                <w:sz w:val="20"/>
                <w:szCs w:val="20"/>
                <w:lang w:val="fr-FR"/>
              </w:rPr>
              <w:t>Cour d’appel de la Colombie-Britannique (Vancouver)</w:t>
            </w:r>
            <w:r w:rsidRPr="00544807">
              <w:rPr>
                <w:sz w:val="20"/>
                <w:szCs w:val="20"/>
              </w:rPr>
              <w:t xml:space="preserve">, numéros </w:t>
            </w:r>
            <w:r w:rsidRPr="00544807">
              <w:rPr>
                <w:sz w:val="20"/>
                <w:szCs w:val="20"/>
                <w:lang w:val="fr-FR"/>
              </w:rPr>
              <w:t>CA43548 et CA43549, 2016 BCCA 432</w:t>
            </w:r>
            <w:r w:rsidRPr="00544807">
              <w:rPr>
                <w:sz w:val="20"/>
                <w:szCs w:val="20"/>
              </w:rPr>
              <w:t xml:space="preserve">, daté du </w:t>
            </w:r>
            <w:r w:rsidRPr="00544807">
              <w:rPr>
                <w:sz w:val="20"/>
                <w:szCs w:val="20"/>
                <w:lang w:val="fr-FR"/>
              </w:rPr>
              <w:t>3 novembre 2016</w:t>
            </w:r>
            <w:r w:rsidRPr="00544807">
              <w:rPr>
                <w:sz w:val="20"/>
                <w:szCs w:val="20"/>
              </w:rPr>
              <w:t>, est rejetée avec dépens.</w:t>
            </w:r>
          </w:p>
          <w:p w:rsidR="00B12BC9" w:rsidRPr="00B12BC9" w:rsidRDefault="00B12BC9" w:rsidP="00B12BC9">
            <w:pPr>
              <w:rPr>
                <w:lang w:val="fr-CA"/>
              </w:rPr>
            </w:pPr>
          </w:p>
        </w:tc>
      </w:tr>
      <w:tr w:rsidR="00A268D3" w:rsidRPr="00ED4247" w:rsidTr="00A268D3">
        <w:tc>
          <w:tcPr>
            <w:tcW w:w="5000" w:type="pct"/>
            <w:gridSpan w:val="2"/>
          </w:tcPr>
          <w:p w:rsidR="00A268D3" w:rsidRPr="002F3871" w:rsidRDefault="00A268D3" w:rsidP="00A268D3">
            <w:pPr>
              <w:jc w:val="both"/>
              <w:rPr>
                <w:sz w:val="20"/>
                <w:lang w:val="fr-CA"/>
              </w:rPr>
            </w:pPr>
            <w:r w:rsidRPr="002F3871">
              <w:rPr>
                <w:sz w:val="20"/>
                <w:lang w:val="fr-CA"/>
              </w:rPr>
              <w:t xml:space="preserve">Ressources naturelles — Mines et minéraux — Restauration de mines — Droit administratif — Appels — Norme de contrôle — Aménagement du territoire — Utilisations autorisées du sol en vertu de la </w:t>
            </w:r>
            <w:r w:rsidRPr="002F3871">
              <w:rPr>
                <w:i/>
                <w:sz w:val="20"/>
                <w:lang w:val="fr-CA"/>
              </w:rPr>
              <w:t>Mines Act</w:t>
            </w:r>
            <w:r w:rsidRPr="002F3871">
              <w:rPr>
                <w:sz w:val="20"/>
                <w:lang w:val="fr-CA"/>
              </w:rPr>
              <w:t xml:space="preserve">, R.S.B.C. 1996, ch. 293, art. 10, et en vertu du règlement de zonage pris en application de la </w:t>
            </w:r>
            <w:r w:rsidRPr="002F3871">
              <w:rPr>
                <w:i/>
                <w:sz w:val="20"/>
                <w:lang w:val="fr-CA"/>
              </w:rPr>
              <w:t>Local Government Act</w:t>
            </w:r>
            <w:r w:rsidRPr="002F3871">
              <w:rPr>
                <w:sz w:val="20"/>
                <w:lang w:val="fr-CA"/>
              </w:rPr>
              <w:t>, S.B.C. 2016, ch. 1 — La norme de la décision correcte est-elle la bonne norme de contrôle en appel en ce qui concerne la caractérisation d’une utilisation du sol sous les régimes provinciaux et locaux en la matière? — La Cour d’appel a-t-elle employé la bonne approche pour concilier un conflit allégué entre la législation provinciale liée à l’aménagement du territoire, la protection de l’environnement et l’exploitation minière et les décisions déléguées prises en application de cette législation? — Le pouvoir accordé aux administrations locales de réglementer le dépôt de sols limite-t-il leur pouvoir de réglementer l’utilisation du sol en application de leurs lois habilitantes?</w:t>
            </w:r>
          </w:p>
        </w:tc>
      </w:tr>
      <w:tr w:rsidR="00A268D3" w:rsidRPr="00ED4247" w:rsidTr="00A268D3">
        <w:tc>
          <w:tcPr>
            <w:tcW w:w="5000" w:type="pct"/>
            <w:gridSpan w:val="2"/>
          </w:tcPr>
          <w:p w:rsidR="00A268D3" w:rsidRPr="002F3871" w:rsidRDefault="00A268D3" w:rsidP="00A268D3">
            <w:pPr>
              <w:jc w:val="both"/>
              <w:rPr>
                <w:sz w:val="20"/>
                <w:lang w:val="fr-CA"/>
              </w:rPr>
            </w:pPr>
          </w:p>
        </w:tc>
      </w:tr>
      <w:tr w:rsidR="00A268D3" w:rsidRPr="00ED4247" w:rsidTr="00A268D3">
        <w:tc>
          <w:tcPr>
            <w:tcW w:w="5000" w:type="pct"/>
            <w:gridSpan w:val="2"/>
          </w:tcPr>
          <w:p w:rsidR="00A268D3" w:rsidRPr="002F3871" w:rsidRDefault="00A268D3" w:rsidP="00A268D3">
            <w:pPr>
              <w:jc w:val="both"/>
              <w:rPr>
                <w:sz w:val="20"/>
                <w:lang w:val="fr-CA"/>
              </w:rPr>
            </w:pPr>
            <w:r w:rsidRPr="002F3871">
              <w:rPr>
                <w:sz w:val="20"/>
                <w:lang w:val="fr-CA"/>
              </w:rPr>
              <w:t>Cobble Hill Holdings Ltd. est la propriétaire en fief simple d’une parcelle de terrain sur l’île de Vancouver. South Island Aggregates Ltd. a commencé l’exploitation d’une carrière sur cette parcelle en 2006 et South Island Resource Management Ltd. a repris l’exploitation de la carrière en 2015. À l’origine, le terrain était zoné à utilisation résidentielle. Un permis provincial d’exploitation de carrière autorisait la restauration du site par l’utilisation de sol « propre » et exigeait que la terre soit restaurée à l’utilisation résidentielle permise avant la carrière. En 2007, le zonage a été changé à F-1 (principalement de la foresterie). Après diverses modifications, le permis a autorisé la restauration par la gestion et le traitement des sols contaminés soit par l’aménagement d’un site d’enfouissement (où le sol contaminé est encapsulé en permanence dans des cellules artificielles, puis couvert de matière propre d’une épaisseur de trois mètres) soit par l’aménagement d’une installation de traitement des sols (qui permet aux contaminants organiques de se biodégrader avant d’être déposés dans la cavité de la carrière). Le permis n’exigeait pas l’installation de traitement des sols.</w:t>
            </w:r>
          </w:p>
          <w:p w:rsidR="00A268D3" w:rsidRPr="002F3871" w:rsidRDefault="00A268D3" w:rsidP="00A268D3">
            <w:pPr>
              <w:jc w:val="both"/>
              <w:rPr>
                <w:sz w:val="20"/>
                <w:lang w:val="fr-CA"/>
              </w:rPr>
            </w:pPr>
          </w:p>
          <w:p w:rsidR="00A268D3" w:rsidRPr="002F3871" w:rsidRDefault="00A268D3" w:rsidP="00A268D3">
            <w:pPr>
              <w:jc w:val="both"/>
              <w:rPr>
                <w:sz w:val="20"/>
                <w:lang w:val="fr-CA"/>
              </w:rPr>
            </w:pPr>
            <w:r w:rsidRPr="002F3871">
              <w:rPr>
                <w:sz w:val="20"/>
                <w:lang w:val="fr-CA"/>
              </w:rPr>
              <w:t>Le Cowichan Valley Regional District a déposé une requête alléguant que le site d’enfouissement et l’installation de traitement des sols n’étaient pas des utilisations de sols permises en vertu de l’</w:t>
            </w:r>
            <w:r w:rsidRPr="002F3871">
              <w:rPr>
                <w:i/>
                <w:sz w:val="20"/>
                <w:lang w:val="fr-CA"/>
              </w:rPr>
              <w:t>Electoral Area “B” Zoning Bylaw No. 985 – Shawinigan Lake</w:t>
            </w:r>
            <w:r w:rsidRPr="002F3871">
              <w:rPr>
                <w:sz w:val="20"/>
                <w:lang w:val="fr-CA"/>
              </w:rPr>
              <w:t xml:space="preserve"> (le « règlement de zonage ») et a sollicité un jugement déclaratoire et une injonction pour empêcher le processus de restauration sur site. Il a également interjeté appel du permis à l’Environmental Appeal Board (la « commission »). L’appel a été suspendu en attendant la décision de la commission. Lorsque la commission a rejeté l’appel, le district a repris sa requête. La requête a d’abord été accueillie, en grande partie, mais un appel a été accueilli pour l’essentiel et un appel incident a été rejeté.</w:t>
            </w:r>
          </w:p>
          <w:p w:rsidR="00A268D3" w:rsidRPr="002F3871" w:rsidRDefault="00A268D3" w:rsidP="00A268D3">
            <w:pPr>
              <w:jc w:val="both"/>
              <w:rPr>
                <w:sz w:val="20"/>
                <w:lang w:val="fr-CA"/>
              </w:rPr>
            </w:pPr>
          </w:p>
        </w:tc>
      </w:tr>
    </w:tbl>
    <w:p w:rsidR="00B12BC9" w:rsidRPr="00357E14" w:rsidRDefault="00B12BC9">
      <w:pPr>
        <w:rPr>
          <w:lang w:val="fr-CA"/>
        </w:rPr>
      </w:pPr>
      <w:r w:rsidRPr="00357E14">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3847"/>
        <w:gridCol w:w="402"/>
        <w:gridCol w:w="5278"/>
      </w:tblGrid>
      <w:tr w:rsidR="00A268D3" w:rsidRPr="00ED4247" w:rsidTr="00A268D3">
        <w:tc>
          <w:tcPr>
            <w:tcW w:w="2019" w:type="pct"/>
          </w:tcPr>
          <w:p w:rsidR="00A268D3" w:rsidRPr="002F3871" w:rsidRDefault="00A268D3" w:rsidP="00A268D3">
            <w:pPr>
              <w:jc w:val="both"/>
              <w:rPr>
                <w:sz w:val="20"/>
                <w:lang w:val="fr-CA"/>
              </w:rPr>
            </w:pPr>
            <w:r w:rsidRPr="002F3871">
              <w:rPr>
                <w:sz w:val="20"/>
                <w:lang w:val="fr-CA"/>
              </w:rPr>
              <w:lastRenderedPageBreak/>
              <w:t>21 mars 2016</w:t>
            </w:r>
          </w:p>
          <w:p w:rsidR="00A268D3" w:rsidRPr="002F3871" w:rsidRDefault="00A268D3" w:rsidP="00A268D3">
            <w:pPr>
              <w:jc w:val="both"/>
              <w:rPr>
                <w:sz w:val="20"/>
                <w:lang w:val="fr-CA"/>
              </w:rPr>
            </w:pPr>
            <w:r w:rsidRPr="002F3871">
              <w:rPr>
                <w:sz w:val="20"/>
                <w:lang w:val="fr-CA"/>
              </w:rPr>
              <w:t xml:space="preserve">Cour suprême de la Colombie-Britannique </w:t>
            </w:r>
          </w:p>
          <w:p w:rsidR="00A268D3" w:rsidRPr="002F3871" w:rsidRDefault="00A268D3" w:rsidP="00A268D3">
            <w:pPr>
              <w:jc w:val="both"/>
              <w:rPr>
                <w:sz w:val="20"/>
                <w:lang w:val="fr-CA"/>
              </w:rPr>
            </w:pPr>
            <w:r w:rsidRPr="002F3871">
              <w:rPr>
                <w:sz w:val="20"/>
                <w:lang w:val="fr-CA"/>
              </w:rPr>
              <w:t>(Juge MacKenzie)</w:t>
            </w:r>
          </w:p>
          <w:p w:rsidR="00A268D3" w:rsidRPr="002F3871" w:rsidRDefault="00ED4247" w:rsidP="00A268D3">
            <w:pPr>
              <w:jc w:val="both"/>
              <w:rPr>
                <w:sz w:val="20"/>
                <w:lang w:val="fr-CA"/>
              </w:rPr>
            </w:pPr>
            <w:hyperlink r:id="rId26" w:history="1">
              <w:r w:rsidR="00A268D3" w:rsidRPr="002F3871">
                <w:rPr>
                  <w:rStyle w:val="Hyperlink"/>
                  <w:sz w:val="20"/>
                  <w:lang w:val="fr-CA"/>
                </w:rPr>
                <w:t>2016 BCSC 489</w:t>
              </w:r>
            </w:hyperlink>
          </w:p>
          <w:p w:rsidR="00A268D3" w:rsidRPr="002F3871" w:rsidRDefault="00A268D3" w:rsidP="00A268D3">
            <w:pPr>
              <w:jc w:val="both"/>
              <w:rPr>
                <w:sz w:val="20"/>
                <w:lang w:val="fr-CA"/>
              </w:rPr>
            </w:pPr>
          </w:p>
        </w:tc>
        <w:tc>
          <w:tcPr>
            <w:tcW w:w="211" w:type="pct"/>
          </w:tcPr>
          <w:p w:rsidR="00A268D3" w:rsidRPr="002F3871" w:rsidRDefault="00A268D3" w:rsidP="00A268D3">
            <w:pPr>
              <w:jc w:val="both"/>
              <w:rPr>
                <w:sz w:val="20"/>
                <w:lang w:val="fr-CA"/>
              </w:rPr>
            </w:pPr>
          </w:p>
        </w:tc>
        <w:tc>
          <w:tcPr>
            <w:tcW w:w="2770" w:type="pct"/>
          </w:tcPr>
          <w:p w:rsidR="00A268D3" w:rsidRPr="002F3871" w:rsidRDefault="00A268D3" w:rsidP="00A268D3">
            <w:pPr>
              <w:jc w:val="both"/>
              <w:rPr>
                <w:sz w:val="20"/>
                <w:lang w:val="fr-CA"/>
              </w:rPr>
            </w:pPr>
            <w:r w:rsidRPr="002F3871">
              <w:rPr>
                <w:sz w:val="20"/>
                <w:lang w:val="fr-CA"/>
              </w:rPr>
              <w:t>Jugement déclarant que l’installation de traitement des sols, le site d’enfouissement et l’encapsulation permanente de sols contaminés qui ne provenaient pas du bien-fonds ne sont pas des utilisations permises; injonction contre de telles utilisations; rejet de la demande d’injonctions mandatoires</w:t>
            </w:r>
          </w:p>
          <w:p w:rsidR="00A268D3" w:rsidRPr="002F3871" w:rsidRDefault="00A268D3" w:rsidP="00A268D3">
            <w:pPr>
              <w:jc w:val="both"/>
              <w:rPr>
                <w:sz w:val="20"/>
                <w:lang w:val="fr-CA"/>
              </w:rPr>
            </w:pPr>
          </w:p>
        </w:tc>
      </w:tr>
      <w:tr w:rsidR="00A268D3" w:rsidRPr="00ED4247" w:rsidTr="00A268D3">
        <w:tc>
          <w:tcPr>
            <w:tcW w:w="2019" w:type="pct"/>
          </w:tcPr>
          <w:p w:rsidR="00A268D3" w:rsidRPr="002F3871" w:rsidRDefault="00A268D3" w:rsidP="00A268D3">
            <w:pPr>
              <w:jc w:val="both"/>
              <w:rPr>
                <w:sz w:val="20"/>
                <w:lang w:val="fr-CA"/>
              </w:rPr>
            </w:pPr>
            <w:r w:rsidRPr="002F3871">
              <w:rPr>
                <w:sz w:val="20"/>
                <w:lang w:val="fr-CA"/>
              </w:rPr>
              <w:t>3 novembre 2016</w:t>
            </w:r>
          </w:p>
          <w:p w:rsidR="00A268D3" w:rsidRPr="002F3871" w:rsidRDefault="00A268D3" w:rsidP="00A268D3">
            <w:pPr>
              <w:jc w:val="both"/>
              <w:rPr>
                <w:sz w:val="20"/>
                <w:lang w:val="fr-CA"/>
              </w:rPr>
            </w:pPr>
            <w:r w:rsidRPr="002F3871">
              <w:rPr>
                <w:sz w:val="20"/>
                <w:lang w:val="fr-CA"/>
              </w:rPr>
              <w:t>Cour d’appel de la Colombie-Britannique</w:t>
            </w:r>
          </w:p>
          <w:p w:rsidR="00A268D3" w:rsidRPr="002F3871" w:rsidRDefault="00A268D3" w:rsidP="00A268D3">
            <w:pPr>
              <w:jc w:val="both"/>
              <w:rPr>
                <w:sz w:val="20"/>
                <w:lang w:val="fr-CA"/>
              </w:rPr>
            </w:pPr>
            <w:r w:rsidRPr="002F3871">
              <w:rPr>
                <w:sz w:val="20"/>
                <w:lang w:val="fr-CA"/>
              </w:rPr>
              <w:t>(Vancouver)</w:t>
            </w:r>
          </w:p>
          <w:p w:rsidR="00A268D3" w:rsidRPr="002F3871" w:rsidRDefault="00A268D3" w:rsidP="00A268D3">
            <w:pPr>
              <w:jc w:val="both"/>
              <w:rPr>
                <w:sz w:val="20"/>
                <w:lang w:val="fr-CA"/>
              </w:rPr>
            </w:pPr>
            <w:r w:rsidRPr="002F3871">
              <w:rPr>
                <w:sz w:val="20"/>
                <w:lang w:val="fr-CA"/>
              </w:rPr>
              <w:t>(Juges Smith, Dickson et Fitch)</w:t>
            </w:r>
          </w:p>
          <w:p w:rsidR="00A268D3" w:rsidRPr="002F3871" w:rsidRDefault="00ED4247" w:rsidP="00A268D3">
            <w:pPr>
              <w:jc w:val="both"/>
              <w:rPr>
                <w:sz w:val="20"/>
                <w:lang w:val="fr-CA"/>
              </w:rPr>
            </w:pPr>
            <w:hyperlink r:id="rId27" w:history="1">
              <w:r w:rsidR="00A268D3" w:rsidRPr="002F3871">
                <w:rPr>
                  <w:rStyle w:val="Hyperlink"/>
                  <w:sz w:val="20"/>
                  <w:lang w:val="fr-CA"/>
                </w:rPr>
                <w:t>2016 BCCA 432</w:t>
              </w:r>
            </w:hyperlink>
          </w:p>
          <w:p w:rsidR="00A268D3" w:rsidRPr="002F3871" w:rsidRDefault="00A268D3" w:rsidP="00A268D3">
            <w:pPr>
              <w:jc w:val="both"/>
              <w:rPr>
                <w:sz w:val="20"/>
                <w:lang w:val="fr-CA"/>
              </w:rPr>
            </w:pPr>
          </w:p>
        </w:tc>
        <w:tc>
          <w:tcPr>
            <w:tcW w:w="211" w:type="pct"/>
          </w:tcPr>
          <w:p w:rsidR="00A268D3" w:rsidRPr="002F3871" w:rsidRDefault="00A268D3" w:rsidP="00A268D3">
            <w:pPr>
              <w:jc w:val="both"/>
              <w:rPr>
                <w:sz w:val="20"/>
                <w:lang w:val="fr-CA"/>
              </w:rPr>
            </w:pPr>
          </w:p>
        </w:tc>
        <w:tc>
          <w:tcPr>
            <w:tcW w:w="2770" w:type="pct"/>
          </w:tcPr>
          <w:p w:rsidR="00A268D3" w:rsidRPr="002F3871" w:rsidRDefault="00A268D3" w:rsidP="00A268D3">
            <w:pPr>
              <w:jc w:val="both"/>
              <w:rPr>
                <w:sz w:val="20"/>
                <w:lang w:val="fr-CA"/>
              </w:rPr>
            </w:pPr>
            <w:r w:rsidRPr="002F3871">
              <w:rPr>
                <w:sz w:val="20"/>
                <w:lang w:val="fr-CA"/>
              </w:rPr>
              <w:t>Arrêt accueillant l’appel, à l’exception de l’ordonnance interdisant l’exploitation de l’installation de traitement des sols; rejet de l’appel incident</w:t>
            </w:r>
          </w:p>
        </w:tc>
      </w:tr>
      <w:tr w:rsidR="00A268D3" w:rsidRPr="00ED4247" w:rsidTr="00A268D3">
        <w:tc>
          <w:tcPr>
            <w:tcW w:w="2019" w:type="pct"/>
          </w:tcPr>
          <w:p w:rsidR="00A268D3" w:rsidRPr="002F3871" w:rsidRDefault="00A268D3" w:rsidP="00A268D3">
            <w:pPr>
              <w:jc w:val="both"/>
              <w:rPr>
                <w:sz w:val="20"/>
                <w:lang w:val="fr-CA"/>
              </w:rPr>
            </w:pPr>
            <w:r w:rsidRPr="002F3871">
              <w:rPr>
                <w:sz w:val="20"/>
                <w:lang w:val="fr-CA"/>
              </w:rPr>
              <w:t>29 décembre 2016</w:t>
            </w:r>
          </w:p>
          <w:p w:rsidR="00A268D3" w:rsidRPr="002F3871" w:rsidRDefault="00A268D3" w:rsidP="00A268D3">
            <w:pPr>
              <w:jc w:val="both"/>
              <w:rPr>
                <w:sz w:val="20"/>
                <w:lang w:val="fr-CA"/>
              </w:rPr>
            </w:pPr>
            <w:r w:rsidRPr="002F3871">
              <w:rPr>
                <w:sz w:val="20"/>
                <w:lang w:val="fr-CA"/>
              </w:rPr>
              <w:t>Cour suprême du Canada</w:t>
            </w:r>
          </w:p>
          <w:p w:rsidR="00A268D3" w:rsidRPr="002F3871" w:rsidRDefault="00A268D3" w:rsidP="00A268D3">
            <w:pPr>
              <w:jc w:val="both"/>
              <w:rPr>
                <w:sz w:val="20"/>
                <w:lang w:val="fr-CA"/>
              </w:rPr>
            </w:pPr>
          </w:p>
        </w:tc>
        <w:tc>
          <w:tcPr>
            <w:tcW w:w="211" w:type="pct"/>
          </w:tcPr>
          <w:p w:rsidR="00A268D3" w:rsidRPr="002F3871" w:rsidRDefault="00A268D3" w:rsidP="00A268D3">
            <w:pPr>
              <w:jc w:val="both"/>
              <w:rPr>
                <w:sz w:val="20"/>
                <w:lang w:val="fr-CA"/>
              </w:rPr>
            </w:pPr>
          </w:p>
        </w:tc>
        <w:tc>
          <w:tcPr>
            <w:tcW w:w="2770" w:type="pct"/>
          </w:tcPr>
          <w:p w:rsidR="00A268D3" w:rsidRPr="002F3871" w:rsidRDefault="00A268D3" w:rsidP="00A268D3">
            <w:pPr>
              <w:jc w:val="both"/>
              <w:rPr>
                <w:sz w:val="20"/>
                <w:lang w:val="fr-CA"/>
              </w:rPr>
            </w:pPr>
            <w:r w:rsidRPr="002F3871">
              <w:rPr>
                <w:sz w:val="20"/>
                <w:lang w:val="fr-CA"/>
              </w:rPr>
              <w:t>Dépôt de la demande d’autorisation d’appel</w:t>
            </w:r>
          </w:p>
          <w:p w:rsidR="00A268D3" w:rsidRPr="002F3871" w:rsidRDefault="00A268D3" w:rsidP="00A268D3">
            <w:pPr>
              <w:jc w:val="both"/>
              <w:rPr>
                <w:sz w:val="20"/>
                <w:lang w:val="fr-CA"/>
              </w:rPr>
            </w:pPr>
          </w:p>
        </w:tc>
      </w:tr>
      <w:tr w:rsidR="00A268D3" w:rsidRPr="00ED4247" w:rsidTr="00A268D3">
        <w:tc>
          <w:tcPr>
            <w:tcW w:w="2019" w:type="pct"/>
          </w:tcPr>
          <w:p w:rsidR="00A268D3" w:rsidRPr="002F3871" w:rsidRDefault="00A268D3" w:rsidP="00A268D3">
            <w:pPr>
              <w:jc w:val="both"/>
              <w:rPr>
                <w:sz w:val="20"/>
                <w:lang w:val="fr-CA"/>
              </w:rPr>
            </w:pPr>
            <w:r w:rsidRPr="002F3871">
              <w:rPr>
                <w:sz w:val="20"/>
                <w:lang w:val="fr-CA"/>
              </w:rPr>
              <w:t>14 février 2017</w:t>
            </w:r>
          </w:p>
          <w:p w:rsidR="00A268D3" w:rsidRPr="002F3871" w:rsidRDefault="00A268D3" w:rsidP="00A268D3">
            <w:pPr>
              <w:jc w:val="both"/>
              <w:rPr>
                <w:sz w:val="20"/>
                <w:lang w:val="fr-CA"/>
              </w:rPr>
            </w:pPr>
            <w:r w:rsidRPr="002F3871">
              <w:rPr>
                <w:sz w:val="20"/>
                <w:lang w:val="fr-CA"/>
              </w:rPr>
              <w:t>Cour suprême du Canada</w:t>
            </w:r>
          </w:p>
        </w:tc>
        <w:tc>
          <w:tcPr>
            <w:tcW w:w="211" w:type="pct"/>
          </w:tcPr>
          <w:p w:rsidR="00A268D3" w:rsidRPr="002F3871" w:rsidRDefault="00A268D3" w:rsidP="00A268D3">
            <w:pPr>
              <w:jc w:val="both"/>
              <w:rPr>
                <w:sz w:val="20"/>
                <w:lang w:val="fr-CA"/>
              </w:rPr>
            </w:pPr>
          </w:p>
        </w:tc>
        <w:tc>
          <w:tcPr>
            <w:tcW w:w="2770" w:type="pct"/>
          </w:tcPr>
          <w:p w:rsidR="00A268D3" w:rsidRPr="002F3871" w:rsidRDefault="00A268D3" w:rsidP="00A268D3">
            <w:pPr>
              <w:jc w:val="both"/>
              <w:rPr>
                <w:sz w:val="20"/>
                <w:lang w:val="fr-CA"/>
              </w:rPr>
            </w:pPr>
            <w:r w:rsidRPr="002F3871">
              <w:rPr>
                <w:sz w:val="20"/>
                <w:lang w:val="fr-CA"/>
              </w:rPr>
              <w:t xml:space="preserve">Dépôt de la requête en prorogation du délai de signification et de dépôt de la réplique </w:t>
            </w:r>
          </w:p>
        </w:tc>
      </w:tr>
    </w:tbl>
    <w:p w:rsidR="00A268D3" w:rsidRPr="002F3871" w:rsidRDefault="00ED4247" w:rsidP="00A268D3">
      <w:pPr>
        <w:jc w:val="both"/>
        <w:rPr>
          <w:sz w:val="20"/>
          <w:lang w:val="fr-CA"/>
        </w:rPr>
      </w:pPr>
      <w:r>
        <w:rPr>
          <w:sz w:val="20"/>
          <w:szCs w:val="20"/>
        </w:rPr>
        <w:pict>
          <v:rect id="_x0000_i1056" style="width:2in;height:1pt" o:hrpct="0" o:hralign="center" o:hrstd="t" o:hrnoshade="t" o:hr="t" fillcolor="black" stroked="f"/>
        </w:pict>
      </w:r>
    </w:p>
    <w:p w:rsidR="00A268D3" w:rsidRPr="002F3871" w:rsidRDefault="00A268D3" w:rsidP="00A268D3">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268D3" w:rsidRPr="002F3871" w:rsidTr="00A268D3">
        <w:tc>
          <w:tcPr>
            <w:tcW w:w="543" w:type="pct"/>
          </w:tcPr>
          <w:p w:rsidR="00A268D3" w:rsidRPr="002F3871" w:rsidRDefault="00A268D3" w:rsidP="00A268D3">
            <w:pPr>
              <w:jc w:val="both"/>
              <w:rPr>
                <w:sz w:val="20"/>
              </w:rPr>
            </w:pPr>
            <w:r w:rsidRPr="002F3871">
              <w:rPr>
                <w:rStyle w:val="SCCFileNumberChar"/>
                <w:sz w:val="20"/>
                <w:szCs w:val="20"/>
              </w:rPr>
              <w:t>37489</w:t>
            </w:r>
          </w:p>
        </w:tc>
        <w:tc>
          <w:tcPr>
            <w:tcW w:w="4457" w:type="pct"/>
            <w:gridSpan w:val="3"/>
          </w:tcPr>
          <w:p w:rsidR="00A268D3" w:rsidRPr="002F3871" w:rsidRDefault="00A268D3" w:rsidP="00A268D3">
            <w:pPr>
              <w:pStyle w:val="SCCLsocParty"/>
              <w:jc w:val="both"/>
              <w:rPr>
                <w:b/>
                <w:sz w:val="20"/>
                <w:szCs w:val="20"/>
                <w:lang w:val="en-US"/>
              </w:rPr>
            </w:pPr>
            <w:r w:rsidRPr="002F3871">
              <w:rPr>
                <w:b/>
                <w:sz w:val="20"/>
                <w:szCs w:val="20"/>
                <w:lang w:val="en-US"/>
              </w:rPr>
              <w:t>Jeremy Albert Stark v. Her Majesty the Queen</w:t>
            </w:r>
          </w:p>
          <w:p w:rsidR="00A268D3" w:rsidRPr="002F3871" w:rsidRDefault="00A268D3" w:rsidP="00A268D3">
            <w:pPr>
              <w:jc w:val="both"/>
              <w:rPr>
                <w:sz w:val="20"/>
              </w:rPr>
            </w:pPr>
            <w:r w:rsidRPr="002F3871">
              <w:rPr>
                <w:sz w:val="20"/>
              </w:rPr>
              <w:t>(B.C.) (Criminal) (By Leave)</w:t>
            </w:r>
          </w:p>
        </w:tc>
      </w:tr>
      <w:tr w:rsidR="00A268D3" w:rsidRPr="002F3871" w:rsidTr="00A268D3">
        <w:tc>
          <w:tcPr>
            <w:tcW w:w="543" w:type="pct"/>
          </w:tcPr>
          <w:p w:rsidR="00A268D3" w:rsidRPr="002F3871" w:rsidRDefault="00A268D3" w:rsidP="00A268D3">
            <w:pPr>
              <w:jc w:val="both"/>
              <w:rPr>
                <w:rStyle w:val="SCCFileNumberChar"/>
                <w:sz w:val="20"/>
                <w:szCs w:val="20"/>
              </w:rPr>
            </w:pPr>
            <w:r>
              <w:rPr>
                <w:rStyle w:val="SCCFileNumberChar"/>
                <w:sz w:val="20"/>
                <w:szCs w:val="20"/>
              </w:rPr>
              <w:t>Coram:</w:t>
            </w:r>
          </w:p>
        </w:tc>
        <w:tc>
          <w:tcPr>
            <w:tcW w:w="4457" w:type="pct"/>
            <w:gridSpan w:val="3"/>
          </w:tcPr>
          <w:p w:rsidR="00A268D3" w:rsidRDefault="00B12BC9" w:rsidP="00A268D3">
            <w:pPr>
              <w:pStyle w:val="SCCLsocParty"/>
              <w:jc w:val="both"/>
              <w:rPr>
                <w:sz w:val="20"/>
                <w:szCs w:val="20"/>
                <w:lang w:val="en-US"/>
              </w:rPr>
            </w:pPr>
            <w:r w:rsidRPr="00B12BC9">
              <w:rPr>
                <w:sz w:val="20"/>
                <w:szCs w:val="20"/>
                <w:lang w:val="en-US"/>
              </w:rPr>
              <w:t>McLachlin C.J. and Abella, Moldaver, Karakatsanis, Wagner, Gascon, Côté, Brown and Rowe JJ.</w:t>
            </w:r>
          </w:p>
          <w:p w:rsidR="00B12BC9" w:rsidRPr="00B12BC9" w:rsidRDefault="00B12BC9" w:rsidP="00B12BC9">
            <w:pPr>
              <w:rPr>
                <w:lang w:val="en-US"/>
              </w:rPr>
            </w:pPr>
          </w:p>
        </w:tc>
      </w:tr>
      <w:tr w:rsidR="00A268D3" w:rsidRPr="002F3871" w:rsidTr="00A268D3">
        <w:tc>
          <w:tcPr>
            <w:tcW w:w="5000" w:type="pct"/>
            <w:gridSpan w:val="4"/>
          </w:tcPr>
          <w:p w:rsidR="00A268D3" w:rsidRDefault="00B12BC9" w:rsidP="00A268D3">
            <w:pPr>
              <w:pStyle w:val="SCCLsocParty"/>
              <w:jc w:val="both"/>
              <w:rPr>
                <w:sz w:val="20"/>
                <w:szCs w:val="20"/>
                <w:lang w:val="en-US"/>
              </w:rPr>
            </w:pPr>
            <w:r w:rsidRPr="00B12BC9">
              <w:rPr>
                <w:sz w:val="20"/>
                <w:szCs w:val="20"/>
                <w:lang w:val="en-US"/>
              </w:rPr>
              <w:t>The application for leave to appeal from the judgment of the Court of Appeal for British Columbia (Vancouver), Number CA43041, 2017 BCCA 21, dated January 16, 2017, is dismissed.</w:t>
            </w:r>
          </w:p>
          <w:p w:rsidR="00B12BC9" w:rsidRPr="00B12BC9" w:rsidRDefault="00B12BC9" w:rsidP="00B12BC9">
            <w:pPr>
              <w:rPr>
                <w:lang w:val="en-US"/>
              </w:rPr>
            </w:pPr>
          </w:p>
        </w:tc>
      </w:tr>
      <w:tr w:rsidR="00A268D3" w:rsidRPr="002F3871" w:rsidTr="00A268D3">
        <w:tc>
          <w:tcPr>
            <w:tcW w:w="5000" w:type="pct"/>
            <w:gridSpan w:val="4"/>
          </w:tcPr>
          <w:p w:rsidR="00A268D3" w:rsidRPr="002F3871" w:rsidRDefault="00A268D3" w:rsidP="00A268D3">
            <w:pPr>
              <w:jc w:val="both"/>
              <w:rPr>
                <w:sz w:val="20"/>
              </w:rPr>
            </w:pPr>
            <w:r w:rsidRPr="002F3871">
              <w:rPr>
                <w:i/>
                <w:sz w:val="20"/>
              </w:rPr>
              <w:t xml:space="preserve">Charter of Rights </w:t>
            </w:r>
            <w:r w:rsidRPr="002F3871">
              <w:rPr>
                <w:sz w:val="20"/>
              </w:rPr>
              <w:t xml:space="preserve">– Search and seizure – Drug Enforcement Agency in Los Angeles intercepts email correspondence between two Canadian residents in Canada and forwards intercepts to Canadian police – Whether motions judge properly dismissed application for </w:t>
            </w:r>
            <w:r w:rsidRPr="002F3871">
              <w:rPr>
                <w:i/>
                <w:sz w:val="20"/>
              </w:rPr>
              <w:t xml:space="preserve">voir dire </w:t>
            </w:r>
            <w:r w:rsidRPr="002F3871">
              <w:rPr>
                <w:sz w:val="20"/>
              </w:rPr>
              <w:t xml:space="preserve">to determine whether s. 8 of </w:t>
            </w:r>
            <w:r w:rsidRPr="002F3871">
              <w:rPr>
                <w:i/>
                <w:sz w:val="20"/>
              </w:rPr>
              <w:t>Charter</w:t>
            </w:r>
            <w:r w:rsidRPr="002F3871">
              <w:rPr>
                <w:sz w:val="20"/>
              </w:rPr>
              <w:t xml:space="preserve"> applies – Whether emails were foreign gathered evidence – Whether judicial authorisation from a Canadian court was required to receive and review intercepts in Canada – Whether protections in </w:t>
            </w:r>
            <w:r w:rsidRPr="002F3871">
              <w:rPr>
                <w:i/>
                <w:sz w:val="20"/>
              </w:rPr>
              <w:t>R. v. Telus</w:t>
            </w:r>
            <w:r w:rsidRPr="002F3871">
              <w:rPr>
                <w:sz w:val="20"/>
              </w:rPr>
              <w:t xml:space="preserve">, 2013 SCC 16, apply – Whether </w:t>
            </w:r>
            <w:r w:rsidRPr="002F3871">
              <w:rPr>
                <w:i/>
                <w:sz w:val="20"/>
              </w:rPr>
              <w:t>R. v. Hape</w:t>
            </w:r>
            <w:r w:rsidRPr="002F3871">
              <w:rPr>
                <w:sz w:val="20"/>
              </w:rPr>
              <w:t xml:space="preserve">, 2007 SCC 26, is consistent with </w:t>
            </w:r>
            <w:r w:rsidRPr="002F3871">
              <w:rPr>
                <w:i/>
                <w:sz w:val="20"/>
              </w:rPr>
              <w:t>Wakeling v. United States</w:t>
            </w:r>
            <w:r w:rsidRPr="002F3871">
              <w:rPr>
                <w:sz w:val="20"/>
              </w:rPr>
              <w:t>, 2014 SCC 72?</w:t>
            </w:r>
          </w:p>
        </w:tc>
      </w:tr>
      <w:tr w:rsidR="00A268D3" w:rsidRPr="002F3871" w:rsidTr="00A268D3">
        <w:tc>
          <w:tcPr>
            <w:tcW w:w="5000" w:type="pct"/>
            <w:gridSpan w:val="4"/>
          </w:tcPr>
          <w:p w:rsidR="00A268D3" w:rsidRPr="002F3871" w:rsidRDefault="00A268D3" w:rsidP="00A268D3">
            <w:pPr>
              <w:jc w:val="both"/>
              <w:rPr>
                <w:sz w:val="20"/>
              </w:rPr>
            </w:pPr>
          </w:p>
        </w:tc>
      </w:tr>
      <w:tr w:rsidR="00A268D3" w:rsidRPr="002F3871" w:rsidTr="00A268D3">
        <w:tc>
          <w:tcPr>
            <w:tcW w:w="5000" w:type="pct"/>
            <w:gridSpan w:val="4"/>
          </w:tcPr>
          <w:p w:rsidR="00A268D3" w:rsidRPr="002F3871" w:rsidRDefault="00A268D3" w:rsidP="00A268D3">
            <w:pPr>
              <w:jc w:val="both"/>
              <w:rPr>
                <w:sz w:val="20"/>
              </w:rPr>
            </w:pPr>
            <w:r w:rsidRPr="002F3871">
              <w:rPr>
                <w:sz w:val="20"/>
              </w:rPr>
              <w:t>In 2008, American and Canadian police forces began cooperating on parallel investigations of cross-border drug importation and trafficking. The Drug Enforcement Agency in Los Angeles obtained judicial authorisations in California to intercept targets’ email communications. Mr. Jeremy Stark’s emails were intercepted, including his email correspondences with his co-accused Christopher Mehan. The emails in issue were sent and received within Canada. The Drug Enforcement Agency forwarded the intercepts to the Combined Forces Special Enforcement Unit in Canada. Two large shipments of cocaine being transported into Canada were seized at the border. The intercepts disclose that Mr. Stark and Mr. Mehan conspired with others to import and traffic the cocaine.</w:t>
            </w:r>
          </w:p>
          <w:p w:rsidR="00A268D3" w:rsidRPr="002F3871" w:rsidRDefault="00A268D3" w:rsidP="00A268D3">
            <w:pPr>
              <w:jc w:val="both"/>
              <w:rPr>
                <w:sz w:val="20"/>
              </w:rPr>
            </w:pPr>
          </w:p>
        </w:tc>
      </w:tr>
      <w:tr w:rsidR="00A268D3" w:rsidRPr="002F3871" w:rsidTr="00A268D3">
        <w:tc>
          <w:tcPr>
            <w:tcW w:w="2427" w:type="pct"/>
            <w:gridSpan w:val="2"/>
          </w:tcPr>
          <w:p w:rsidR="00A268D3" w:rsidRPr="002F3871" w:rsidRDefault="00A268D3" w:rsidP="00A268D3">
            <w:pPr>
              <w:jc w:val="both"/>
              <w:rPr>
                <w:sz w:val="20"/>
              </w:rPr>
            </w:pPr>
            <w:r w:rsidRPr="002F3871">
              <w:rPr>
                <w:sz w:val="20"/>
              </w:rPr>
              <w:t>November 27, 2014</w:t>
            </w:r>
          </w:p>
          <w:p w:rsidR="00A268D3" w:rsidRPr="002F3871" w:rsidRDefault="00A268D3" w:rsidP="00A268D3">
            <w:pPr>
              <w:jc w:val="both"/>
              <w:rPr>
                <w:sz w:val="20"/>
              </w:rPr>
            </w:pPr>
            <w:r w:rsidRPr="002F3871">
              <w:rPr>
                <w:sz w:val="20"/>
              </w:rPr>
              <w:t>Supreme Court of British Columbia</w:t>
            </w:r>
          </w:p>
          <w:p w:rsidR="00A268D3" w:rsidRPr="002F3871" w:rsidRDefault="00A268D3" w:rsidP="00A268D3">
            <w:pPr>
              <w:jc w:val="both"/>
              <w:rPr>
                <w:sz w:val="20"/>
              </w:rPr>
            </w:pPr>
            <w:r w:rsidRPr="002F3871">
              <w:rPr>
                <w:sz w:val="20"/>
              </w:rPr>
              <w:t>(Josephson J.)</w:t>
            </w:r>
          </w:p>
          <w:p w:rsidR="00A268D3" w:rsidRPr="002F3871" w:rsidRDefault="00ED4247" w:rsidP="00A268D3">
            <w:pPr>
              <w:jc w:val="both"/>
              <w:rPr>
                <w:sz w:val="20"/>
              </w:rPr>
            </w:pPr>
            <w:hyperlink r:id="rId28" w:tgtFrame="_parent" w:history="1">
              <w:r w:rsidR="00A268D3" w:rsidRPr="002F3871">
                <w:rPr>
                  <w:sz w:val="20"/>
                </w:rPr>
                <w:t>2014 BCSC 2242</w:t>
              </w:r>
            </w:hyperlink>
            <w:r w:rsidR="00A268D3" w:rsidRPr="002F3871">
              <w:rPr>
                <w:sz w:val="20"/>
              </w:rPr>
              <w:t xml:space="preserve"> (unreported)</w:t>
            </w:r>
          </w:p>
          <w:p w:rsidR="00A268D3" w:rsidRPr="002F3871" w:rsidRDefault="00A268D3" w:rsidP="00A268D3">
            <w:pPr>
              <w:jc w:val="both"/>
              <w:rPr>
                <w:sz w:val="20"/>
              </w:rPr>
            </w:pPr>
          </w:p>
        </w:tc>
        <w:tc>
          <w:tcPr>
            <w:tcW w:w="243" w:type="pct"/>
          </w:tcPr>
          <w:p w:rsidR="00A268D3" w:rsidRPr="002F3871" w:rsidRDefault="00A268D3" w:rsidP="00A268D3">
            <w:pPr>
              <w:jc w:val="both"/>
              <w:rPr>
                <w:sz w:val="20"/>
              </w:rPr>
            </w:pPr>
          </w:p>
        </w:tc>
        <w:tc>
          <w:tcPr>
            <w:tcW w:w="2330" w:type="pct"/>
          </w:tcPr>
          <w:p w:rsidR="00A268D3" w:rsidRPr="002F3871" w:rsidRDefault="00A268D3" w:rsidP="00A268D3">
            <w:pPr>
              <w:jc w:val="both"/>
              <w:rPr>
                <w:sz w:val="20"/>
              </w:rPr>
            </w:pPr>
            <w:r w:rsidRPr="002F3871">
              <w:rPr>
                <w:sz w:val="20"/>
              </w:rPr>
              <w:t xml:space="preserve">Application for </w:t>
            </w:r>
            <w:r w:rsidRPr="002F3871">
              <w:rPr>
                <w:i/>
                <w:sz w:val="20"/>
              </w:rPr>
              <w:t>voir dire</w:t>
            </w:r>
            <w:r w:rsidRPr="002F3871">
              <w:rPr>
                <w:sz w:val="20"/>
              </w:rPr>
              <w:t xml:space="preserve"> dismissed</w:t>
            </w:r>
          </w:p>
          <w:p w:rsidR="00A268D3" w:rsidRPr="002F3871" w:rsidRDefault="00A268D3" w:rsidP="00A268D3">
            <w:pPr>
              <w:jc w:val="both"/>
              <w:rPr>
                <w:sz w:val="20"/>
              </w:rPr>
            </w:pPr>
          </w:p>
        </w:tc>
      </w:tr>
      <w:tr w:rsidR="00A268D3" w:rsidRPr="002F3871" w:rsidTr="00A268D3">
        <w:tc>
          <w:tcPr>
            <w:tcW w:w="2427" w:type="pct"/>
            <w:gridSpan w:val="2"/>
          </w:tcPr>
          <w:p w:rsidR="00A268D3" w:rsidRPr="002F3871" w:rsidRDefault="00A268D3" w:rsidP="00A268D3">
            <w:pPr>
              <w:jc w:val="both"/>
              <w:rPr>
                <w:sz w:val="20"/>
              </w:rPr>
            </w:pPr>
            <w:r w:rsidRPr="002F3871">
              <w:rPr>
                <w:sz w:val="20"/>
              </w:rPr>
              <w:t>April 16, 2015</w:t>
            </w:r>
          </w:p>
          <w:p w:rsidR="00A268D3" w:rsidRPr="002F3871" w:rsidRDefault="00A268D3" w:rsidP="00A268D3">
            <w:pPr>
              <w:jc w:val="both"/>
              <w:rPr>
                <w:sz w:val="20"/>
              </w:rPr>
            </w:pPr>
            <w:r w:rsidRPr="002F3871">
              <w:rPr>
                <w:sz w:val="20"/>
              </w:rPr>
              <w:t>Supreme Court of British Columbia</w:t>
            </w:r>
          </w:p>
          <w:p w:rsidR="00A268D3" w:rsidRPr="002F3871" w:rsidRDefault="00A268D3" w:rsidP="00A268D3">
            <w:pPr>
              <w:jc w:val="both"/>
              <w:rPr>
                <w:sz w:val="20"/>
              </w:rPr>
            </w:pPr>
            <w:r w:rsidRPr="002F3871">
              <w:rPr>
                <w:sz w:val="20"/>
              </w:rPr>
              <w:t>(Unreported)</w:t>
            </w:r>
          </w:p>
          <w:p w:rsidR="00A268D3" w:rsidRPr="002F3871" w:rsidRDefault="00A268D3" w:rsidP="00A268D3">
            <w:pPr>
              <w:jc w:val="both"/>
              <w:rPr>
                <w:sz w:val="20"/>
              </w:rPr>
            </w:pPr>
          </w:p>
        </w:tc>
        <w:tc>
          <w:tcPr>
            <w:tcW w:w="243" w:type="pct"/>
          </w:tcPr>
          <w:p w:rsidR="00A268D3" w:rsidRPr="002F3871" w:rsidRDefault="00A268D3" w:rsidP="00A268D3">
            <w:pPr>
              <w:jc w:val="both"/>
              <w:rPr>
                <w:sz w:val="20"/>
              </w:rPr>
            </w:pPr>
          </w:p>
        </w:tc>
        <w:tc>
          <w:tcPr>
            <w:tcW w:w="2330" w:type="pct"/>
          </w:tcPr>
          <w:p w:rsidR="00A268D3" w:rsidRPr="002F3871" w:rsidRDefault="00A268D3" w:rsidP="00A268D3">
            <w:pPr>
              <w:jc w:val="both"/>
              <w:rPr>
                <w:sz w:val="20"/>
              </w:rPr>
            </w:pPr>
            <w:r w:rsidRPr="002F3871">
              <w:rPr>
                <w:sz w:val="20"/>
              </w:rPr>
              <w:t>Conviction by jury for conspiracy to import cocaine and conspiracy to traffic cocaine</w:t>
            </w:r>
          </w:p>
        </w:tc>
      </w:tr>
      <w:tr w:rsidR="00A268D3" w:rsidRPr="002F3871" w:rsidTr="00A268D3">
        <w:tc>
          <w:tcPr>
            <w:tcW w:w="2427" w:type="pct"/>
            <w:gridSpan w:val="2"/>
          </w:tcPr>
          <w:p w:rsidR="00A268D3" w:rsidRPr="002F3871" w:rsidRDefault="00A268D3" w:rsidP="00A268D3">
            <w:pPr>
              <w:jc w:val="both"/>
              <w:rPr>
                <w:sz w:val="20"/>
              </w:rPr>
            </w:pPr>
            <w:r w:rsidRPr="002F3871">
              <w:rPr>
                <w:sz w:val="20"/>
              </w:rPr>
              <w:t>January 16, 2017</w:t>
            </w:r>
          </w:p>
          <w:p w:rsidR="00A268D3" w:rsidRPr="002F3871" w:rsidRDefault="00A268D3" w:rsidP="00A268D3">
            <w:pPr>
              <w:jc w:val="both"/>
              <w:rPr>
                <w:sz w:val="20"/>
              </w:rPr>
            </w:pPr>
            <w:r w:rsidRPr="002F3871">
              <w:rPr>
                <w:sz w:val="20"/>
              </w:rPr>
              <w:t xml:space="preserve">Court of Appeal for British Columbia </w:t>
            </w:r>
          </w:p>
          <w:p w:rsidR="00A268D3" w:rsidRPr="002F3871" w:rsidRDefault="00A268D3" w:rsidP="00A268D3">
            <w:pPr>
              <w:jc w:val="both"/>
              <w:rPr>
                <w:sz w:val="20"/>
              </w:rPr>
            </w:pPr>
            <w:r w:rsidRPr="002F3871">
              <w:rPr>
                <w:sz w:val="20"/>
              </w:rPr>
              <w:t>(Vancouver)</w:t>
            </w:r>
          </w:p>
          <w:p w:rsidR="00A268D3" w:rsidRPr="002F3871" w:rsidRDefault="00A268D3" w:rsidP="00A268D3">
            <w:pPr>
              <w:jc w:val="both"/>
              <w:rPr>
                <w:sz w:val="20"/>
              </w:rPr>
            </w:pPr>
            <w:r w:rsidRPr="002F3871">
              <w:rPr>
                <w:sz w:val="20"/>
              </w:rPr>
              <w:t>(Saunders, Smith, Groberman JJ.A.)</w:t>
            </w:r>
          </w:p>
          <w:p w:rsidR="00A268D3" w:rsidRPr="002F3871" w:rsidRDefault="00A268D3" w:rsidP="00A268D3">
            <w:pPr>
              <w:jc w:val="both"/>
              <w:rPr>
                <w:sz w:val="20"/>
              </w:rPr>
            </w:pPr>
            <w:r w:rsidRPr="002F3871">
              <w:rPr>
                <w:sz w:val="20"/>
              </w:rPr>
              <w:t>CA43036 (Mehan), CA43041 (Stark)</w:t>
            </w:r>
          </w:p>
          <w:p w:rsidR="00A268D3" w:rsidRPr="002F3871" w:rsidRDefault="00ED4247" w:rsidP="00A268D3">
            <w:pPr>
              <w:jc w:val="both"/>
              <w:rPr>
                <w:sz w:val="20"/>
              </w:rPr>
            </w:pPr>
            <w:hyperlink r:id="rId29" w:history="1">
              <w:r w:rsidR="00A268D3" w:rsidRPr="002F3871">
                <w:rPr>
                  <w:rStyle w:val="Hyperlink"/>
                  <w:sz w:val="20"/>
                </w:rPr>
                <w:t>2017 BCCA 21</w:t>
              </w:r>
            </w:hyperlink>
          </w:p>
          <w:p w:rsidR="00A268D3" w:rsidRPr="002F3871" w:rsidRDefault="00A268D3" w:rsidP="00A268D3">
            <w:pPr>
              <w:jc w:val="both"/>
              <w:rPr>
                <w:sz w:val="20"/>
              </w:rPr>
            </w:pPr>
          </w:p>
        </w:tc>
        <w:tc>
          <w:tcPr>
            <w:tcW w:w="243" w:type="pct"/>
          </w:tcPr>
          <w:p w:rsidR="00A268D3" w:rsidRPr="002F3871" w:rsidRDefault="00A268D3" w:rsidP="00A268D3">
            <w:pPr>
              <w:jc w:val="both"/>
              <w:rPr>
                <w:sz w:val="20"/>
              </w:rPr>
            </w:pPr>
          </w:p>
        </w:tc>
        <w:tc>
          <w:tcPr>
            <w:tcW w:w="2330" w:type="pct"/>
          </w:tcPr>
          <w:p w:rsidR="00A268D3" w:rsidRPr="002F3871" w:rsidRDefault="00A268D3" w:rsidP="00A268D3">
            <w:pPr>
              <w:jc w:val="both"/>
              <w:rPr>
                <w:sz w:val="20"/>
              </w:rPr>
            </w:pPr>
            <w:r w:rsidRPr="002F3871">
              <w:rPr>
                <w:sz w:val="20"/>
              </w:rPr>
              <w:t>Appeal from convictions dismissed</w:t>
            </w:r>
          </w:p>
          <w:p w:rsidR="00A268D3" w:rsidRPr="002F3871" w:rsidRDefault="00A268D3" w:rsidP="00A268D3">
            <w:pPr>
              <w:jc w:val="both"/>
              <w:rPr>
                <w:sz w:val="20"/>
              </w:rPr>
            </w:pPr>
          </w:p>
        </w:tc>
      </w:tr>
      <w:tr w:rsidR="00A268D3" w:rsidRPr="002F3871" w:rsidTr="00A268D3">
        <w:tc>
          <w:tcPr>
            <w:tcW w:w="2427" w:type="pct"/>
            <w:gridSpan w:val="2"/>
          </w:tcPr>
          <w:p w:rsidR="00A268D3" w:rsidRPr="002F3871" w:rsidRDefault="00A268D3" w:rsidP="00A268D3">
            <w:pPr>
              <w:jc w:val="both"/>
              <w:rPr>
                <w:sz w:val="20"/>
              </w:rPr>
            </w:pPr>
            <w:r w:rsidRPr="002F3871">
              <w:rPr>
                <w:sz w:val="20"/>
              </w:rPr>
              <w:t>March 17, 2017</w:t>
            </w:r>
          </w:p>
          <w:p w:rsidR="00A268D3" w:rsidRPr="002F3871" w:rsidRDefault="00A268D3" w:rsidP="00A268D3">
            <w:pPr>
              <w:jc w:val="both"/>
              <w:rPr>
                <w:sz w:val="20"/>
              </w:rPr>
            </w:pPr>
            <w:r w:rsidRPr="002F3871">
              <w:rPr>
                <w:sz w:val="20"/>
              </w:rPr>
              <w:t>Supreme Court of Canada</w:t>
            </w:r>
          </w:p>
        </w:tc>
        <w:tc>
          <w:tcPr>
            <w:tcW w:w="243" w:type="pct"/>
          </w:tcPr>
          <w:p w:rsidR="00A268D3" w:rsidRPr="002F3871" w:rsidRDefault="00A268D3" w:rsidP="00A268D3">
            <w:pPr>
              <w:jc w:val="both"/>
              <w:rPr>
                <w:sz w:val="20"/>
              </w:rPr>
            </w:pPr>
          </w:p>
        </w:tc>
        <w:tc>
          <w:tcPr>
            <w:tcW w:w="2330" w:type="pct"/>
          </w:tcPr>
          <w:p w:rsidR="00A268D3" w:rsidRPr="002F3871" w:rsidRDefault="00A268D3" w:rsidP="00A268D3">
            <w:pPr>
              <w:jc w:val="both"/>
              <w:rPr>
                <w:sz w:val="20"/>
              </w:rPr>
            </w:pPr>
            <w:r w:rsidRPr="002F3871">
              <w:rPr>
                <w:sz w:val="20"/>
              </w:rPr>
              <w:t xml:space="preserve">Application for leave to appeal filed </w:t>
            </w:r>
          </w:p>
        </w:tc>
      </w:tr>
    </w:tbl>
    <w:p w:rsidR="00A268D3" w:rsidRPr="002F3871" w:rsidRDefault="00ED4247" w:rsidP="00A268D3">
      <w:pPr>
        <w:jc w:val="both"/>
        <w:rPr>
          <w:sz w:val="20"/>
        </w:rPr>
      </w:pPr>
      <w:r>
        <w:rPr>
          <w:sz w:val="20"/>
          <w:szCs w:val="20"/>
        </w:rPr>
        <w:pict>
          <v:rect id="_x0000_i1057" style="width:2in;height:1pt" o:hrpct="0" o:hralign="center" o:hrstd="t" o:hrnoshade="t" o:hr="t" fillcolor="black" stroked="f"/>
        </w:pict>
      </w:r>
    </w:p>
    <w:p w:rsidR="00A268D3" w:rsidRPr="002F3871" w:rsidRDefault="00A268D3" w:rsidP="00A268D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268D3" w:rsidRPr="00ED4247" w:rsidTr="00A268D3">
        <w:tc>
          <w:tcPr>
            <w:tcW w:w="543" w:type="pct"/>
          </w:tcPr>
          <w:p w:rsidR="00A268D3" w:rsidRPr="002F3871" w:rsidRDefault="00A268D3" w:rsidP="00A268D3">
            <w:pPr>
              <w:jc w:val="both"/>
              <w:rPr>
                <w:sz w:val="20"/>
                <w:lang w:val="fr-CA"/>
              </w:rPr>
            </w:pPr>
            <w:r w:rsidRPr="002F3871">
              <w:rPr>
                <w:rStyle w:val="SCCFileNumberChar"/>
                <w:sz w:val="20"/>
                <w:szCs w:val="20"/>
                <w:lang w:val="fr-CA"/>
              </w:rPr>
              <w:t>37489</w:t>
            </w:r>
          </w:p>
        </w:tc>
        <w:tc>
          <w:tcPr>
            <w:tcW w:w="4457" w:type="pct"/>
            <w:gridSpan w:val="3"/>
          </w:tcPr>
          <w:p w:rsidR="00A268D3" w:rsidRPr="002F3871" w:rsidRDefault="00A268D3" w:rsidP="00A268D3">
            <w:pPr>
              <w:pStyle w:val="SCCLsocParty"/>
              <w:jc w:val="both"/>
              <w:rPr>
                <w:b/>
                <w:sz w:val="20"/>
                <w:szCs w:val="20"/>
              </w:rPr>
            </w:pPr>
            <w:r w:rsidRPr="002F3871">
              <w:rPr>
                <w:b/>
                <w:sz w:val="20"/>
                <w:szCs w:val="20"/>
              </w:rPr>
              <w:t>Jeremy Albert Stark c. Sa Majesté la Reine</w:t>
            </w:r>
          </w:p>
          <w:p w:rsidR="00A268D3" w:rsidRPr="002F3871" w:rsidRDefault="00A268D3" w:rsidP="00A268D3">
            <w:pPr>
              <w:jc w:val="both"/>
              <w:rPr>
                <w:sz w:val="20"/>
                <w:lang w:val="fr-CA"/>
              </w:rPr>
            </w:pPr>
            <w:r w:rsidRPr="002F3871">
              <w:rPr>
                <w:sz w:val="20"/>
                <w:lang w:val="fr-CA"/>
              </w:rPr>
              <w:t>(C.-B.) (Criminelle) (Sur autorisation)</w:t>
            </w:r>
          </w:p>
        </w:tc>
      </w:tr>
      <w:tr w:rsidR="00A268D3" w:rsidRPr="00ED4247" w:rsidTr="00A268D3">
        <w:tc>
          <w:tcPr>
            <w:tcW w:w="543" w:type="pct"/>
          </w:tcPr>
          <w:p w:rsidR="00A268D3" w:rsidRPr="002F3871" w:rsidRDefault="00A268D3" w:rsidP="00A268D3">
            <w:pPr>
              <w:jc w:val="both"/>
              <w:rPr>
                <w:rStyle w:val="SCCFileNumberChar"/>
                <w:sz w:val="20"/>
                <w:szCs w:val="20"/>
                <w:lang w:val="fr-CA"/>
              </w:rPr>
            </w:pPr>
            <w:r>
              <w:rPr>
                <w:rStyle w:val="SCCFileNumberChar"/>
                <w:sz w:val="20"/>
                <w:szCs w:val="20"/>
                <w:lang w:val="fr-CA"/>
              </w:rPr>
              <w:t>Coram :</w:t>
            </w:r>
          </w:p>
        </w:tc>
        <w:tc>
          <w:tcPr>
            <w:tcW w:w="4457" w:type="pct"/>
            <w:gridSpan w:val="3"/>
          </w:tcPr>
          <w:p w:rsidR="00A268D3" w:rsidRDefault="00B12BC9" w:rsidP="00A268D3">
            <w:pPr>
              <w:pStyle w:val="SCCLsocParty"/>
              <w:jc w:val="both"/>
              <w:rPr>
                <w:sz w:val="20"/>
                <w:szCs w:val="20"/>
                <w:lang w:val="fr-FR"/>
              </w:rPr>
            </w:pPr>
            <w:r w:rsidRPr="00AD22C0">
              <w:rPr>
                <w:sz w:val="20"/>
                <w:szCs w:val="20"/>
                <w:lang w:val="fr-FR"/>
              </w:rPr>
              <w:t>La juge en chef McLachlin et les juges Abella, Moldaver, Karakatsanis, Wagner, Gascon, Côté, Brown et Rowe</w:t>
            </w:r>
          </w:p>
          <w:p w:rsidR="00B12BC9" w:rsidRPr="00B12BC9" w:rsidRDefault="00B12BC9" w:rsidP="00B12BC9">
            <w:pPr>
              <w:rPr>
                <w:lang w:val="fr-FR"/>
              </w:rPr>
            </w:pPr>
          </w:p>
        </w:tc>
      </w:tr>
      <w:tr w:rsidR="00A268D3" w:rsidRPr="00ED4247" w:rsidTr="00A268D3">
        <w:tc>
          <w:tcPr>
            <w:tcW w:w="5000" w:type="pct"/>
            <w:gridSpan w:val="4"/>
          </w:tcPr>
          <w:p w:rsidR="00A268D3" w:rsidRDefault="00B12BC9" w:rsidP="00A268D3">
            <w:pPr>
              <w:pStyle w:val="SCCLsocParty"/>
              <w:jc w:val="both"/>
              <w:rPr>
                <w:sz w:val="20"/>
                <w:szCs w:val="20"/>
              </w:rPr>
            </w:pPr>
            <w:r w:rsidRPr="00AD22C0">
              <w:rPr>
                <w:sz w:val="20"/>
                <w:szCs w:val="20"/>
              </w:rPr>
              <w:t xml:space="preserve">La demande d’autorisation d’appel de l’arrêt de la </w:t>
            </w:r>
            <w:r w:rsidRPr="00AD22C0">
              <w:rPr>
                <w:sz w:val="20"/>
                <w:szCs w:val="20"/>
                <w:lang w:val="fr-FR"/>
              </w:rPr>
              <w:t>Cour d’appel de la Colombie-Britannique (Vancouver)</w:t>
            </w:r>
            <w:r w:rsidRPr="00AD22C0">
              <w:rPr>
                <w:sz w:val="20"/>
                <w:szCs w:val="20"/>
              </w:rPr>
              <w:t xml:space="preserve">, numéro </w:t>
            </w:r>
            <w:r w:rsidRPr="00AD22C0">
              <w:rPr>
                <w:sz w:val="20"/>
                <w:szCs w:val="20"/>
                <w:lang w:val="fr-FR"/>
              </w:rPr>
              <w:t>CA43041, 2017 BCCA 21</w:t>
            </w:r>
            <w:r w:rsidRPr="00AD22C0">
              <w:rPr>
                <w:sz w:val="20"/>
                <w:szCs w:val="20"/>
              </w:rPr>
              <w:t xml:space="preserve">, daté du </w:t>
            </w:r>
            <w:r w:rsidRPr="00AD22C0">
              <w:rPr>
                <w:sz w:val="20"/>
                <w:szCs w:val="20"/>
                <w:lang w:val="fr-FR"/>
              </w:rPr>
              <w:t>16 janvier 2017</w:t>
            </w:r>
            <w:r w:rsidRPr="00AD22C0">
              <w:rPr>
                <w:sz w:val="20"/>
                <w:szCs w:val="20"/>
              </w:rPr>
              <w:t>, est rejetée.</w:t>
            </w:r>
          </w:p>
          <w:p w:rsidR="00B12BC9" w:rsidRPr="00B12BC9" w:rsidRDefault="00B12BC9" w:rsidP="00B12BC9">
            <w:pPr>
              <w:rPr>
                <w:lang w:val="fr-CA"/>
              </w:rPr>
            </w:pPr>
          </w:p>
        </w:tc>
      </w:tr>
      <w:tr w:rsidR="00A268D3" w:rsidRPr="00ED4247" w:rsidTr="00A268D3">
        <w:tc>
          <w:tcPr>
            <w:tcW w:w="5000" w:type="pct"/>
            <w:gridSpan w:val="4"/>
          </w:tcPr>
          <w:p w:rsidR="00A268D3" w:rsidRPr="002F3871" w:rsidRDefault="00A268D3" w:rsidP="00A268D3">
            <w:pPr>
              <w:jc w:val="both"/>
              <w:rPr>
                <w:sz w:val="20"/>
                <w:lang w:val="fr-CA"/>
              </w:rPr>
            </w:pPr>
            <w:r w:rsidRPr="002F3871">
              <w:rPr>
                <w:i/>
                <w:sz w:val="20"/>
                <w:lang w:val="fr-CA"/>
              </w:rPr>
              <w:t xml:space="preserve">Charte des droits </w:t>
            </w:r>
            <w:r w:rsidRPr="002F3871">
              <w:rPr>
                <w:sz w:val="20"/>
                <w:lang w:val="fr-CA"/>
              </w:rPr>
              <w:t xml:space="preserve">– Fouilles, perquisitions et saisies – La Drug Enforcement Agency à Los Angeles a intercepté de la correspondance par courriel entre deux résidents canadiens et a transmis les communications interceptées à la police canadienne – Le juge de première instance a-t-il eu raison de rejeter la demande de voir-dire pour déterminer si l’art. 8 de la </w:t>
            </w:r>
            <w:r w:rsidRPr="002F3871">
              <w:rPr>
                <w:i/>
                <w:sz w:val="20"/>
                <w:lang w:val="fr-CA"/>
              </w:rPr>
              <w:t>Charte</w:t>
            </w:r>
            <w:r w:rsidRPr="002F3871">
              <w:rPr>
                <w:sz w:val="20"/>
                <w:lang w:val="fr-CA"/>
              </w:rPr>
              <w:t xml:space="preserve"> s’appliquait? – Les courriels étaient-ils des éléments de preuve obtenus à l’étranger? – L’autorisation judiciaire d’un tribunal canadien était-elle nécessaire pour recevoir et analyser les communications interceptées au Canada? – Les protections fondées sur l’arrêt </w:t>
            </w:r>
            <w:r w:rsidRPr="002F3871">
              <w:rPr>
                <w:i/>
                <w:sz w:val="20"/>
                <w:lang w:val="fr-CA"/>
              </w:rPr>
              <w:t>R. c. Telus</w:t>
            </w:r>
            <w:r w:rsidRPr="002F3871">
              <w:rPr>
                <w:sz w:val="20"/>
                <w:lang w:val="fr-CA"/>
              </w:rPr>
              <w:t xml:space="preserve">, 2013 CSC 16, s’appliquent-elles? – L’arrêt </w:t>
            </w:r>
            <w:r w:rsidRPr="002F3871">
              <w:rPr>
                <w:i/>
                <w:sz w:val="20"/>
                <w:lang w:val="fr-CA"/>
              </w:rPr>
              <w:t>R. c. Hape</w:t>
            </w:r>
            <w:r w:rsidRPr="002F3871">
              <w:rPr>
                <w:sz w:val="20"/>
                <w:lang w:val="fr-CA"/>
              </w:rPr>
              <w:t xml:space="preserve">, 2007 CSC 26, est-il compatible avec l’arrêt </w:t>
            </w:r>
            <w:r w:rsidRPr="002F3871">
              <w:rPr>
                <w:i/>
                <w:sz w:val="20"/>
                <w:lang w:val="fr-CA"/>
              </w:rPr>
              <w:t>Wakeling c. États-Unis d’Amérique</w:t>
            </w:r>
            <w:r w:rsidRPr="002F3871">
              <w:rPr>
                <w:sz w:val="20"/>
                <w:lang w:val="fr-CA"/>
              </w:rPr>
              <w:t>, 2014 CSC 72?</w:t>
            </w:r>
          </w:p>
        </w:tc>
      </w:tr>
      <w:tr w:rsidR="00A268D3" w:rsidRPr="00ED4247" w:rsidTr="00A268D3">
        <w:tc>
          <w:tcPr>
            <w:tcW w:w="5000" w:type="pct"/>
            <w:gridSpan w:val="4"/>
          </w:tcPr>
          <w:p w:rsidR="00A268D3" w:rsidRPr="002F3871" w:rsidRDefault="00A268D3" w:rsidP="00A268D3">
            <w:pPr>
              <w:jc w:val="both"/>
              <w:rPr>
                <w:sz w:val="20"/>
                <w:lang w:val="fr-CA"/>
              </w:rPr>
            </w:pPr>
          </w:p>
        </w:tc>
      </w:tr>
      <w:tr w:rsidR="00A268D3" w:rsidRPr="00ED4247" w:rsidTr="00A268D3">
        <w:tc>
          <w:tcPr>
            <w:tcW w:w="5000" w:type="pct"/>
            <w:gridSpan w:val="4"/>
          </w:tcPr>
          <w:p w:rsidR="00A268D3" w:rsidRPr="002F3871" w:rsidRDefault="00A268D3" w:rsidP="00A268D3">
            <w:pPr>
              <w:jc w:val="both"/>
              <w:rPr>
                <w:sz w:val="20"/>
                <w:lang w:val="fr-CA"/>
              </w:rPr>
            </w:pPr>
            <w:r w:rsidRPr="002F3871">
              <w:rPr>
                <w:sz w:val="20"/>
                <w:lang w:val="fr-CA"/>
              </w:rPr>
              <w:t>En 2008, des forces policières américaines et canadiennes ont commencé à collaborer dans des enquêtes parallèles sur l’importation et le trafic transfrontaliers de drogues. La Drug Enforcement Agency à Los Angeles a obtenu des autorisations judiciaires en Californie pour intercepter des communications par courriel de la personne visée. Les courriels de M. Jeremy Stark ont été interceptés, y compris sa correspondance par courriel avec son coaccusé Christopher Mehan. Les courriels en cause ont été envoyés et reçus au Canada. La Drug Enforcement Agency a transmis les communications interceptées au Groupe spécial interpolices au Canada. Deux gros envois de cocaïne transportés à destination du Canada ont été interceptés à la frontière. Il ressort des communications interceptées que M. Stark et M. Mehan ont comploté avec des tiers en vue de faire l’importation et le trafic de cocaïne.</w:t>
            </w:r>
          </w:p>
          <w:p w:rsidR="00A268D3" w:rsidRPr="002F3871" w:rsidRDefault="00A268D3" w:rsidP="00A268D3">
            <w:pPr>
              <w:jc w:val="both"/>
              <w:rPr>
                <w:sz w:val="20"/>
                <w:lang w:val="fr-CA"/>
              </w:rPr>
            </w:pPr>
          </w:p>
        </w:tc>
      </w:tr>
      <w:tr w:rsidR="00A268D3" w:rsidRPr="00ED4247" w:rsidTr="00A268D3">
        <w:tc>
          <w:tcPr>
            <w:tcW w:w="2427" w:type="pct"/>
            <w:gridSpan w:val="2"/>
          </w:tcPr>
          <w:p w:rsidR="00A268D3" w:rsidRPr="002F3871" w:rsidRDefault="00A268D3" w:rsidP="00A268D3">
            <w:pPr>
              <w:jc w:val="both"/>
              <w:rPr>
                <w:sz w:val="20"/>
                <w:lang w:val="fr-CA"/>
              </w:rPr>
            </w:pPr>
            <w:r w:rsidRPr="002F3871">
              <w:rPr>
                <w:sz w:val="20"/>
                <w:lang w:val="fr-CA"/>
              </w:rPr>
              <w:t>27 novembre 2014</w:t>
            </w:r>
          </w:p>
          <w:p w:rsidR="00A268D3" w:rsidRPr="002F3871" w:rsidRDefault="00A268D3" w:rsidP="00A268D3">
            <w:pPr>
              <w:jc w:val="both"/>
              <w:rPr>
                <w:sz w:val="20"/>
                <w:lang w:val="fr-CA"/>
              </w:rPr>
            </w:pPr>
            <w:r w:rsidRPr="002F3871">
              <w:rPr>
                <w:sz w:val="20"/>
                <w:lang w:val="fr-CA"/>
              </w:rPr>
              <w:t>Cour suprême de la Colombie-Britannique</w:t>
            </w:r>
          </w:p>
          <w:p w:rsidR="00A268D3" w:rsidRPr="002F3871" w:rsidRDefault="00A268D3" w:rsidP="00A268D3">
            <w:pPr>
              <w:jc w:val="both"/>
              <w:rPr>
                <w:sz w:val="20"/>
                <w:lang w:val="fr-CA"/>
              </w:rPr>
            </w:pPr>
            <w:r w:rsidRPr="002F3871">
              <w:rPr>
                <w:sz w:val="20"/>
                <w:lang w:val="fr-CA"/>
              </w:rPr>
              <w:t>(Juge Josephson)</w:t>
            </w:r>
          </w:p>
          <w:p w:rsidR="00A268D3" w:rsidRPr="002F3871" w:rsidRDefault="00ED4247" w:rsidP="00A268D3">
            <w:pPr>
              <w:jc w:val="both"/>
              <w:rPr>
                <w:sz w:val="20"/>
                <w:lang w:val="fr-CA"/>
              </w:rPr>
            </w:pPr>
            <w:hyperlink r:id="rId30" w:tgtFrame="_parent" w:history="1">
              <w:r w:rsidR="00A268D3" w:rsidRPr="002F3871">
                <w:rPr>
                  <w:sz w:val="20"/>
                  <w:lang w:val="fr-CA"/>
                </w:rPr>
                <w:t>2014 BCSC 2242</w:t>
              </w:r>
            </w:hyperlink>
            <w:r w:rsidR="00A268D3" w:rsidRPr="002F3871">
              <w:rPr>
                <w:sz w:val="20"/>
                <w:lang w:val="fr-CA"/>
              </w:rPr>
              <w:t xml:space="preserve"> (non publié)</w:t>
            </w:r>
          </w:p>
          <w:p w:rsidR="00A268D3" w:rsidRPr="002F3871" w:rsidRDefault="00A268D3" w:rsidP="00A268D3">
            <w:pPr>
              <w:jc w:val="both"/>
              <w:rPr>
                <w:sz w:val="20"/>
                <w:lang w:val="fr-CA"/>
              </w:rPr>
            </w:pPr>
          </w:p>
        </w:tc>
        <w:tc>
          <w:tcPr>
            <w:tcW w:w="243" w:type="pct"/>
          </w:tcPr>
          <w:p w:rsidR="00A268D3" w:rsidRPr="002F3871" w:rsidRDefault="00A268D3" w:rsidP="00A268D3">
            <w:pPr>
              <w:jc w:val="both"/>
              <w:rPr>
                <w:sz w:val="20"/>
                <w:lang w:val="fr-CA"/>
              </w:rPr>
            </w:pPr>
          </w:p>
        </w:tc>
        <w:tc>
          <w:tcPr>
            <w:tcW w:w="2330" w:type="pct"/>
          </w:tcPr>
          <w:p w:rsidR="00A268D3" w:rsidRPr="002F3871" w:rsidRDefault="00A268D3" w:rsidP="00A268D3">
            <w:pPr>
              <w:jc w:val="both"/>
              <w:rPr>
                <w:sz w:val="20"/>
                <w:lang w:val="fr-CA"/>
              </w:rPr>
            </w:pPr>
            <w:r w:rsidRPr="002F3871">
              <w:rPr>
                <w:sz w:val="20"/>
                <w:lang w:val="fr-CA"/>
              </w:rPr>
              <w:t>Rejet de la demande de voir-dire</w:t>
            </w:r>
          </w:p>
          <w:p w:rsidR="00A268D3" w:rsidRPr="002F3871" w:rsidRDefault="00A268D3" w:rsidP="00A268D3">
            <w:pPr>
              <w:jc w:val="both"/>
              <w:rPr>
                <w:sz w:val="20"/>
                <w:lang w:val="fr-CA"/>
              </w:rPr>
            </w:pPr>
          </w:p>
        </w:tc>
      </w:tr>
      <w:tr w:rsidR="00A268D3" w:rsidRPr="00ED4247" w:rsidTr="00A268D3">
        <w:tc>
          <w:tcPr>
            <w:tcW w:w="2427" w:type="pct"/>
            <w:gridSpan w:val="2"/>
          </w:tcPr>
          <w:p w:rsidR="00A268D3" w:rsidRPr="002F3871" w:rsidRDefault="00A268D3" w:rsidP="00A268D3">
            <w:pPr>
              <w:jc w:val="both"/>
              <w:rPr>
                <w:sz w:val="20"/>
                <w:lang w:val="fr-CA"/>
              </w:rPr>
            </w:pPr>
            <w:r w:rsidRPr="002F3871">
              <w:rPr>
                <w:sz w:val="20"/>
                <w:lang w:val="fr-CA"/>
              </w:rPr>
              <w:t>16 avril 2015</w:t>
            </w:r>
          </w:p>
          <w:p w:rsidR="00A268D3" w:rsidRPr="002F3871" w:rsidRDefault="00A268D3" w:rsidP="00A268D3">
            <w:pPr>
              <w:jc w:val="both"/>
              <w:rPr>
                <w:sz w:val="20"/>
                <w:lang w:val="fr-CA"/>
              </w:rPr>
            </w:pPr>
            <w:r w:rsidRPr="002F3871">
              <w:rPr>
                <w:sz w:val="20"/>
                <w:lang w:val="fr-CA"/>
              </w:rPr>
              <w:t>Cour suprême de la Colombie-Britannique</w:t>
            </w:r>
          </w:p>
          <w:p w:rsidR="00A268D3" w:rsidRPr="002F3871" w:rsidRDefault="00A268D3" w:rsidP="00A268D3">
            <w:pPr>
              <w:jc w:val="both"/>
              <w:rPr>
                <w:sz w:val="20"/>
                <w:lang w:val="fr-CA"/>
              </w:rPr>
            </w:pPr>
            <w:r w:rsidRPr="002F3871">
              <w:rPr>
                <w:sz w:val="20"/>
                <w:lang w:val="fr-CA"/>
              </w:rPr>
              <w:t>(non publié)</w:t>
            </w:r>
          </w:p>
          <w:p w:rsidR="00A268D3" w:rsidRPr="002F3871" w:rsidRDefault="00A268D3" w:rsidP="00A268D3">
            <w:pPr>
              <w:jc w:val="both"/>
              <w:rPr>
                <w:sz w:val="20"/>
                <w:lang w:val="fr-CA"/>
              </w:rPr>
            </w:pPr>
          </w:p>
        </w:tc>
        <w:tc>
          <w:tcPr>
            <w:tcW w:w="243" w:type="pct"/>
          </w:tcPr>
          <w:p w:rsidR="00A268D3" w:rsidRPr="002F3871" w:rsidRDefault="00A268D3" w:rsidP="00A268D3">
            <w:pPr>
              <w:jc w:val="both"/>
              <w:rPr>
                <w:sz w:val="20"/>
                <w:lang w:val="fr-CA"/>
              </w:rPr>
            </w:pPr>
          </w:p>
        </w:tc>
        <w:tc>
          <w:tcPr>
            <w:tcW w:w="2330" w:type="pct"/>
          </w:tcPr>
          <w:p w:rsidR="00A268D3" w:rsidRPr="002F3871" w:rsidRDefault="00A268D3" w:rsidP="00A268D3">
            <w:pPr>
              <w:jc w:val="both"/>
              <w:rPr>
                <w:sz w:val="20"/>
                <w:lang w:val="fr-CA"/>
              </w:rPr>
            </w:pPr>
            <w:r w:rsidRPr="002F3871">
              <w:rPr>
                <w:sz w:val="20"/>
                <w:lang w:val="fr-CA"/>
              </w:rPr>
              <w:t xml:space="preserve">Déclaration de culpabilité par un jury de complot en vue d’importer de la cocaïne et de complot en vue de faire le trafic de cocaïne </w:t>
            </w:r>
          </w:p>
          <w:p w:rsidR="00A268D3" w:rsidRPr="002F3871" w:rsidRDefault="00A268D3" w:rsidP="00A268D3">
            <w:pPr>
              <w:jc w:val="both"/>
              <w:rPr>
                <w:sz w:val="20"/>
                <w:lang w:val="fr-CA"/>
              </w:rPr>
            </w:pPr>
          </w:p>
        </w:tc>
      </w:tr>
      <w:tr w:rsidR="00A268D3" w:rsidRPr="00ED4247" w:rsidTr="00A268D3">
        <w:tc>
          <w:tcPr>
            <w:tcW w:w="2427" w:type="pct"/>
            <w:gridSpan w:val="2"/>
          </w:tcPr>
          <w:p w:rsidR="00A268D3" w:rsidRPr="002F3871" w:rsidRDefault="00A268D3" w:rsidP="00A268D3">
            <w:pPr>
              <w:jc w:val="both"/>
              <w:rPr>
                <w:sz w:val="20"/>
                <w:lang w:val="fr-CA"/>
              </w:rPr>
            </w:pPr>
            <w:r w:rsidRPr="002F3871">
              <w:rPr>
                <w:sz w:val="20"/>
                <w:lang w:val="fr-CA"/>
              </w:rPr>
              <w:t>16 janvier 2017</w:t>
            </w:r>
          </w:p>
          <w:p w:rsidR="00A268D3" w:rsidRPr="002F3871" w:rsidRDefault="00A268D3" w:rsidP="00A268D3">
            <w:pPr>
              <w:jc w:val="both"/>
              <w:rPr>
                <w:sz w:val="20"/>
                <w:lang w:val="fr-CA"/>
              </w:rPr>
            </w:pPr>
            <w:r w:rsidRPr="002F3871">
              <w:rPr>
                <w:sz w:val="20"/>
                <w:lang w:val="fr-CA"/>
              </w:rPr>
              <w:t xml:space="preserve">Cour d’appel de la Colombie-Britannique </w:t>
            </w:r>
          </w:p>
          <w:p w:rsidR="00A268D3" w:rsidRPr="002F3871" w:rsidRDefault="00A268D3" w:rsidP="00A268D3">
            <w:pPr>
              <w:jc w:val="both"/>
              <w:rPr>
                <w:sz w:val="20"/>
                <w:lang w:val="fr-CA"/>
              </w:rPr>
            </w:pPr>
            <w:r w:rsidRPr="002F3871">
              <w:rPr>
                <w:sz w:val="20"/>
                <w:lang w:val="fr-CA"/>
              </w:rPr>
              <w:t>(Vancouver)</w:t>
            </w:r>
          </w:p>
          <w:p w:rsidR="00A268D3" w:rsidRPr="002F3871" w:rsidRDefault="00A268D3" w:rsidP="00A268D3">
            <w:pPr>
              <w:jc w:val="both"/>
              <w:rPr>
                <w:sz w:val="20"/>
                <w:lang w:val="fr-CA"/>
              </w:rPr>
            </w:pPr>
            <w:r w:rsidRPr="002F3871">
              <w:rPr>
                <w:sz w:val="20"/>
                <w:lang w:val="fr-CA"/>
              </w:rPr>
              <w:lastRenderedPageBreak/>
              <w:t>(Juges Saunders, Smith et Groberman)</w:t>
            </w:r>
          </w:p>
          <w:p w:rsidR="00A268D3" w:rsidRPr="002F3871" w:rsidRDefault="00A268D3" w:rsidP="00A268D3">
            <w:pPr>
              <w:jc w:val="both"/>
              <w:rPr>
                <w:sz w:val="20"/>
              </w:rPr>
            </w:pPr>
            <w:r w:rsidRPr="002F3871">
              <w:rPr>
                <w:sz w:val="20"/>
              </w:rPr>
              <w:t>CA43036 (Mehan), CA43041 (Stark)</w:t>
            </w:r>
          </w:p>
          <w:p w:rsidR="00A268D3" w:rsidRPr="002F3871" w:rsidRDefault="00ED4247" w:rsidP="00A268D3">
            <w:pPr>
              <w:jc w:val="both"/>
              <w:rPr>
                <w:sz w:val="20"/>
              </w:rPr>
            </w:pPr>
            <w:hyperlink r:id="rId31" w:history="1">
              <w:r w:rsidR="00A268D3" w:rsidRPr="002F3871">
                <w:rPr>
                  <w:rStyle w:val="Hyperlink"/>
                  <w:sz w:val="20"/>
                </w:rPr>
                <w:t>2017 BCCA 21</w:t>
              </w:r>
            </w:hyperlink>
          </w:p>
          <w:p w:rsidR="00A268D3" w:rsidRPr="002F3871" w:rsidRDefault="00A268D3" w:rsidP="00A268D3">
            <w:pPr>
              <w:jc w:val="both"/>
              <w:rPr>
                <w:sz w:val="20"/>
              </w:rPr>
            </w:pPr>
          </w:p>
        </w:tc>
        <w:tc>
          <w:tcPr>
            <w:tcW w:w="243" w:type="pct"/>
          </w:tcPr>
          <w:p w:rsidR="00A268D3" w:rsidRPr="002F3871" w:rsidRDefault="00A268D3" w:rsidP="00A268D3">
            <w:pPr>
              <w:jc w:val="both"/>
              <w:rPr>
                <w:sz w:val="20"/>
              </w:rPr>
            </w:pPr>
          </w:p>
        </w:tc>
        <w:tc>
          <w:tcPr>
            <w:tcW w:w="2330" w:type="pct"/>
          </w:tcPr>
          <w:p w:rsidR="00A268D3" w:rsidRPr="002F3871" w:rsidRDefault="00A268D3" w:rsidP="00A268D3">
            <w:pPr>
              <w:jc w:val="both"/>
              <w:rPr>
                <w:sz w:val="20"/>
                <w:lang w:val="fr-CA"/>
              </w:rPr>
            </w:pPr>
            <w:r w:rsidRPr="002F3871">
              <w:rPr>
                <w:sz w:val="20"/>
                <w:lang w:val="fr-CA"/>
              </w:rPr>
              <w:t>Rejet de l’appel des déclarations de culpabilité</w:t>
            </w:r>
          </w:p>
          <w:p w:rsidR="00A268D3" w:rsidRPr="002F3871" w:rsidRDefault="00A268D3" w:rsidP="00A268D3">
            <w:pPr>
              <w:jc w:val="both"/>
              <w:rPr>
                <w:sz w:val="20"/>
                <w:lang w:val="fr-CA"/>
              </w:rPr>
            </w:pPr>
          </w:p>
        </w:tc>
      </w:tr>
      <w:tr w:rsidR="00A268D3" w:rsidRPr="00ED4247" w:rsidTr="00A268D3">
        <w:tc>
          <w:tcPr>
            <w:tcW w:w="2427" w:type="pct"/>
            <w:gridSpan w:val="2"/>
          </w:tcPr>
          <w:p w:rsidR="00A268D3" w:rsidRPr="002F3871" w:rsidRDefault="00A268D3" w:rsidP="00A268D3">
            <w:pPr>
              <w:jc w:val="both"/>
              <w:rPr>
                <w:sz w:val="20"/>
                <w:lang w:val="fr-CA"/>
              </w:rPr>
            </w:pPr>
            <w:r w:rsidRPr="002F3871">
              <w:rPr>
                <w:sz w:val="20"/>
                <w:lang w:val="fr-CA"/>
              </w:rPr>
              <w:t>17 mars 2017</w:t>
            </w:r>
          </w:p>
          <w:p w:rsidR="00A268D3" w:rsidRPr="002F3871" w:rsidRDefault="00A268D3" w:rsidP="00A268D3">
            <w:pPr>
              <w:jc w:val="both"/>
              <w:rPr>
                <w:sz w:val="20"/>
                <w:lang w:val="fr-CA"/>
              </w:rPr>
            </w:pPr>
            <w:r w:rsidRPr="002F3871">
              <w:rPr>
                <w:sz w:val="20"/>
                <w:lang w:val="fr-CA"/>
              </w:rPr>
              <w:t>Cour suprême du Canada</w:t>
            </w:r>
          </w:p>
        </w:tc>
        <w:tc>
          <w:tcPr>
            <w:tcW w:w="243" w:type="pct"/>
          </w:tcPr>
          <w:p w:rsidR="00A268D3" w:rsidRPr="002F3871" w:rsidRDefault="00A268D3" w:rsidP="00A268D3">
            <w:pPr>
              <w:jc w:val="both"/>
              <w:rPr>
                <w:sz w:val="20"/>
                <w:lang w:val="fr-CA"/>
              </w:rPr>
            </w:pPr>
          </w:p>
        </w:tc>
        <w:tc>
          <w:tcPr>
            <w:tcW w:w="2330" w:type="pct"/>
          </w:tcPr>
          <w:p w:rsidR="00A268D3" w:rsidRPr="002F3871" w:rsidRDefault="00A268D3" w:rsidP="00A268D3">
            <w:pPr>
              <w:jc w:val="both"/>
              <w:rPr>
                <w:sz w:val="20"/>
                <w:lang w:val="fr-CA"/>
              </w:rPr>
            </w:pPr>
            <w:r w:rsidRPr="002F3871">
              <w:rPr>
                <w:sz w:val="20"/>
                <w:lang w:val="fr-CA"/>
              </w:rPr>
              <w:t xml:space="preserve">Dépôt de la demande d’autorisation d’appel </w:t>
            </w:r>
          </w:p>
        </w:tc>
      </w:tr>
    </w:tbl>
    <w:p w:rsidR="00A268D3" w:rsidRPr="002F3871" w:rsidRDefault="00ED4247" w:rsidP="00A268D3">
      <w:pPr>
        <w:jc w:val="both"/>
        <w:rPr>
          <w:sz w:val="20"/>
          <w:lang w:val="fr-CA"/>
        </w:rPr>
      </w:pPr>
      <w:r>
        <w:rPr>
          <w:sz w:val="20"/>
          <w:szCs w:val="20"/>
        </w:rPr>
        <w:pict>
          <v:rect id="_x0000_i1058" style="width:2in;height:1pt" o:hrpct="0" o:hralign="center" o:hrstd="t" o:hrnoshade="t" o:hr="t" fillcolor="black" stroked="f"/>
        </w:pict>
      </w:r>
    </w:p>
    <w:p w:rsidR="00A268D3" w:rsidRPr="002F3871" w:rsidRDefault="00A268D3" w:rsidP="00A268D3">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268D3" w:rsidRPr="002F3871" w:rsidTr="00A268D3">
        <w:tc>
          <w:tcPr>
            <w:tcW w:w="543" w:type="pct"/>
          </w:tcPr>
          <w:p w:rsidR="00A268D3" w:rsidRPr="002F3871" w:rsidRDefault="00A268D3" w:rsidP="00A268D3">
            <w:pPr>
              <w:jc w:val="both"/>
              <w:rPr>
                <w:sz w:val="20"/>
              </w:rPr>
            </w:pPr>
            <w:r w:rsidRPr="002F3871">
              <w:rPr>
                <w:rStyle w:val="SCCFileNumberChar"/>
                <w:sz w:val="20"/>
                <w:szCs w:val="20"/>
              </w:rPr>
              <w:t>37490</w:t>
            </w:r>
          </w:p>
        </w:tc>
        <w:tc>
          <w:tcPr>
            <w:tcW w:w="4457" w:type="pct"/>
            <w:gridSpan w:val="3"/>
          </w:tcPr>
          <w:p w:rsidR="00A268D3" w:rsidRPr="002F3871" w:rsidRDefault="00A268D3" w:rsidP="00A268D3">
            <w:pPr>
              <w:pStyle w:val="SCCLsocParty"/>
              <w:jc w:val="both"/>
              <w:rPr>
                <w:b/>
                <w:sz w:val="20"/>
                <w:szCs w:val="20"/>
                <w:lang w:val="en-US"/>
              </w:rPr>
            </w:pPr>
            <w:r w:rsidRPr="002F3871">
              <w:rPr>
                <w:b/>
                <w:sz w:val="20"/>
                <w:szCs w:val="20"/>
                <w:lang w:val="en-US"/>
              </w:rPr>
              <w:t>Christopher Lloyd Mehan v. Her Majesty the Queen</w:t>
            </w:r>
          </w:p>
          <w:p w:rsidR="00A268D3" w:rsidRPr="002F3871" w:rsidRDefault="00A268D3" w:rsidP="00A268D3">
            <w:pPr>
              <w:jc w:val="both"/>
              <w:rPr>
                <w:sz w:val="20"/>
              </w:rPr>
            </w:pPr>
            <w:r w:rsidRPr="002F3871">
              <w:rPr>
                <w:sz w:val="20"/>
              </w:rPr>
              <w:t>(B.C.) (Criminal) (By Leave)</w:t>
            </w:r>
          </w:p>
        </w:tc>
      </w:tr>
      <w:tr w:rsidR="00A268D3" w:rsidRPr="002F3871" w:rsidTr="00A268D3">
        <w:tc>
          <w:tcPr>
            <w:tcW w:w="543" w:type="pct"/>
          </w:tcPr>
          <w:p w:rsidR="00A268D3" w:rsidRPr="002F3871" w:rsidRDefault="00A268D3" w:rsidP="00A268D3">
            <w:pPr>
              <w:jc w:val="both"/>
              <w:rPr>
                <w:rStyle w:val="SCCFileNumberChar"/>
                <w:sz w:val="20"/>
                <w:szCs w:val="20"/>
              </w:rPr>
            </w:pPr>
            <w:r>
              <w:rPr>
                <w:rStyle w:val="SCCFileNumberChar"/>
                <w:sz w:val="20"/>
                <w:szCs w:val="20"/>
              </w:rPr>
              <w:t>Coram:</w:t>
            </w:r>
          </w:p>
        </w:tc>
        <w:tc>
          <w:tcPr>
            <w:tcW w:w="4457" w:type="pct"/>
            <w:gridSpan w:val="3"/>
          </w:tcPr>
          <w:p w:rsidR="00A268D3" w:rsidRDefault="00B12BC9" w:rsidP="00A268D3">
            <w:pPr>
              <w:pStyle w:val="SCCLsocParty"/>
              <w:jc w:val="both"/>
              <w:rPr>
                <w:sz w:val="20"/>
                <w:szCs w:val="20"/>
                <w:lang w:val="en-US"/>
              </w:rPr>
            </w:pPr>
            <w:r w:rsidRPr="00B12BC9">
              <w:rPr>
                <w:sz w:val="20"/>
                <w:szCs w:val="20"/>
                <w:lang w:val="en-US"/>
              </w:rPr>
              <w:t>McLachlin C.J. and Abella, Moldaver, Karakatsanis, Wagner, Gascon, Côté, Brown and Rowe JJ.</w:t>
            </w:r>
          </w:p>
          <w:p w:rsidR="00B12BC9" w:rsidRPr="00B12BC9" w:rsidRDefault="00B12BC9" w:rsidP="00B12BC9">
            <w:pPr>
              <w:rPr>
                <w:lang w:val="en-US"/>
              </w:rPr>
            </w:pPr>
          </w:p>
        </w:tc>
      </w:tr>
      <w:tr w:rsidR="00A268D3" w:rsidRPr="002F3871" w:rsidTr="00A268D3">
        <w:tc>
          <w:tcPr>
            <w:tcW w:w="5000" w:type="pct"/>
            <w:gridSpan w:val="4"/>
          </w:tcPr>
          <w:p w:rsidR="00A268D3" w:rsidRDefault="00B12BC9" w:rsidP="00B12BC9">
            <w:pPr>
              <w:pStyle w:val="SCCLsocParty"/>
              <w:jc w:val="both"/>
              <w:rPr>
                <w:sz w:val="20"/>
                <w:szCs w:val="20"/>
                <w:lang w:val="en-US"/>
              </w:rPr>
            </w:pPr>
            <w:r w:rsidRPr="00B12BC9">
              <w:rPr>
                <w:sz w:val="20"/>
                <w:szCs w:val="20"/>
                <w:lang w:val="en-US"/>
              </w:rPr>
              <w:t>The application for leave to appeal from the judgment of the Court of Appeal for British Columbia (Vancouver), Number CA43036, 2017 BCCA 21, dated January 16, 2017, is dismissed.</w:t>
            </w:r>
          </w:p>
          <w:p w:rsidR="00B12BC9" w:rsidRPr="00B12BC9" w:rsidRDefault="00B12BC9" w:rsidP="00B12BC9">
            <w:pPr>
              <w:rPr>
                <w:lang w:val="en-US"/>
              </w:rPr>
            </w:pPr>
          </w:p>
        </w:tc>
      </w:tr>
      <w:tr w:rsidR="00A268D3" w:rsidRPr="002F3871" w:rsidTr="00A268D3">
        <w:tc>
          <w:tcPr>
            <w:tcW w:w="5000" w:type="pct"/>
            <w:gridSpan w:val="4"/>
          </w:tcPr>
          <w:p w:rsidR="00A268D3" w:rsidRPr="002F3871" w:rsidRDefault="00A268D3" w:rsidP="00A268D3">
            <w:pPr>
              <w:jc w:val="both"/>
              <w:rPr>
                <w:sz w:val="20"/>
              </w:rPr>
            </w:pPr>
            <w:r w:rsidRPr="002F3871">
              <w:rPr>
                <w:i/>
                <w:sz w:val="20"/>
              </w:rPr>
              <w:t xml:space="preserve">Charter of Rights </w:t>
            </w:r>
            <w:r w:rsidRPr="002F3871">
              <w:rPr>
                <w:sz w:val="20"/>
              </w:rPr>
              <w:t xml:space="preserve">– Search and seizure – Drug Enforcement Agency in Los Angeles intercepts email correspondence between two Canadian residents in Canada and forwards intercepts to Canadian police – Whether motions judge properly dismissed application for </w:t>
            </w:r>
            <w:r w:rsidRPr="002F3871">
              <w:rPr>
                <w:i/>
                <w:sz w:val="20"/>
              </w:rPr>
              <w:t xml:space="preserve">voir dire </w:t>
            </w:r>
            <w:r w:rsidRPr="002F3871">
              <w:rPr>
                <w:sz w:val="20"/>
              </w:rPr>
              <w:t xml:space="preserve">to determine whether s. 8 of </w:t>
            </w:r>
            <w:r w:rsidRPr="002F3871">
              <w:rPr>
                <w:i/>
                <w:sz w:val="20"/>
              </w:rPr>
              <w:t>Charter</w:t>
            </w:r>
            <w:r w:rsidRPr="002F3871">
              <w:rPr>
                <w:sz w:val="20"/>
              </w:rPr>
              <w:t xml:space="preserve"> applies – Whether emails were foreign gathered evidence – Whether judicial authorisation from a Canadian court was required to receive and review intercepts in Canada – Whether protections in </w:t>
            </w:r>
            <w:r w:rsidRPr="002F3871">
              <w:rPr>
                <w:i/>
                <w:sz w:val="20"/>
              </w:rPr>
              <w:t>R. v. Telus</w:t>
            </w:r>
            <w:r w:rsidRPr="002F3871">
              <w:rPr>
                <w:sz w:val="20"/>
              </w:rPr>
              <w:t xml:space="preserve">, 2013 SCC 16, apply – Whether </w:t>
            </w:r>
            <w:r w:rsidRPr="002F3871">
              <w:rPr>
                <w:i/>
                <w:sz w:val="20"/>
              </w:rPr>
              <w:t>R. v. Hape</w:t>
            </w:r>
            <w:r w:rsidRPr="002F3871">
              <w:rPr>
                <w:sz w:val="20"/>
              </w:rPr>
              <w:t xml:space="preserve">, 2007 SCC 26, is consistent with </w:t>
            </w:r>
            <w:r w:rsidRPr="002F3871">
              <w:rPr>
                <w:i/>
                <w:sz w:val="20"/>
              </w:rPr>
              <w:t>Wakeling v. United States</w:t>
            </w:r>
            <w:r w:rsidRPr="002F3871">
              <w:rPr>
                <w:sz w:val="20"/>
              </w:rPr>
              <w:t>, 2014 SCC 72?</w:t>
            </w:r>
          </w:p>
        </w:tc>
      </w:tr>
      <w:tr w:rsidR="00A268D3" w:rsidRPr="002F3871" w:rsidTr="00A268D3">
        <w:tc>
          <w:tcPr>
            <w:tcW w:w="5000" w:type="pct"/>
            <w:gridSpan w:val="4"/>
          </w:tcPr>
          <w:p w:rsidR="00A268D3" w:rsidRPr="002F3871" w:rsidRDefault="00A268D3" w:rsidP="00A268D3">
            <w:pPr>
              <w:jc w:val="both"/>
              <w:rPr>
                <w:sz w:val="20"/>
              </w:rPr>
            </w:pPr>
          </w:p>
        </w:tc>
      </w:tr>
      <w:tr w:rsidR="00A268D3" w:rsidRPr="002F3871" w:rsidTr="00A268D3">
        <w:tc>
          <w:tcPr>
            <w:tcW w:w="5000" w:type="pct"/>
            <w:gridSpan w:val="4"/>
          </w:tcPr>
          <w:p w:rsidR="00A268D3" w:rsidRPr="002F3871" w:rsidRDefault="00A268D3" w:rsidP="00A268D3">
            <w:pPr>
              <w:jc w:val="both"/>
              <w:rPr>
                <w:sz w:val="20"/>
              </w:rPr>
            </w:pPr>
            <w:r w:rsidRPr="002F3871">
              <w:rPr>
                <w:sz w:val="20"/>
              </w:rPr>
              <w:t>In 2008, American and Canadian police forces began cooperating on parallel investigations of cross-border drug importation and trafficking. The Drug Enforcement Agency in Los Angeles obtained judicial authorisations in California to intercept targets’ communications. Mr. Jeremy Stark’s emails were intercepted, including his email correspondences with his co-accused Christopher Mehan. The emails in issue were sent and received within Canada. The Drug Enforcement Agency forwarded the intercepts to the Combined Forces Special Enforcement Unit in Canada. Two large shipments of cocaine being transported into Canada were seized at the border. The intercepts disclose that Mr. Stark and Mr. Mehan conspired with others to import and traffic the cocaine.</w:t>
            </w:r>
          </w:p>
          <w:p w:rsidR="00A268D3" w:rsidRPr="002F3871" w:rsidRDefault="00A268D3" w:rsidP="00A268D3">
            <w:pPr>
              <w:jc w:val="both"/>
              <w:rPr>
                <w:sz w:val="20"/>
              </w:rPr>
            </w:pPr>
          </w:p>
        </w:tc>
      </w:tr>
      <w:tr w:rsidR="00A268D3" w:rsidRPr="002F3871" w:rsidTr="00A268D3">
        <w:tc>
          <w:tcPr>
            <w:tcW w:w="2427" w:type="pct"/>
            <w:gridSpan w:val="2"/>
          </w:tcPr>
          <w:p w:rsidR="00A268D3" w:rsidRPr="002F3871" w:rsidRDefault="00A268D3" w:rsidP="00A268D3">
            <w:pPr>
              <w:jc w:val="both"/>
              <w:rPr>
                <w:sz w:val="20"/>
              </w:rPr>
            </w:pPr>
            <w:r w:rsidRPr="002F3871">
              <w:rPr>
                <w:sz w:val="20"/>
              </w:rPr>
              <w:t>November 27, 2014</w:t>
            </w:r>
          </w:p>
          <w:p w:rsidR="00A268D3" w:rsidRPr="002F3871" w:rsidRDefault="00A268D3" w:rsidP="00A268D3">
            <w:pPr>
              <w:jc w:val="both"/>
              <w:rPr>
                <w:sz w:val="20"/>
              </w:rPr>
            </w:pPr>
            <w:r w:rsidRPr="002F3871">
              <w:rPr>
                <w:sz w:val="20"/>
              </w:rPr>
              <w:t>Supreme Court of British Columbia</w:t>
            </w:r>
          </w:p>
          <w:p w:rsidR="00A268D3" w:rsidRPr="002F3871" w:rsidRDefault="00A268D3" w:rsidP="00A268D3">
            <w:pPr>
              <w:jc w:val="both"/>
              <w:rPr>
                <w:sz w:val="20"/>
              </w:rPr>
            </w:pPr>
            <w:r w:rsidRPr="002F3871">
              <w:rPr>
                <w:sz w:val="20"/>
              </w:rPr>
              <w:t>(Josephson J.)</w:t>
            </w:r>
          </w:p>
          <w:p w:rsidR="00A268D3" w:rsidRPr="002F3871" w:rsidRDefault="00ED4247" w:rsidP="00A268D3">
            <w:pPr>
              <w:jc w:val="both"/>
              <w:rPr>
                <w:sz w:val="20"/>
              </w:rPr>
            </w:pPr>
            <w:hyperlink r:id="rId32" w:tgtFrame="_parent" w:history="1">
              <w:r w:rsidR="00A268D3" w:rsidRPr="002F3871">
                <w:rPr>
                  <w:sz w:val="20"/>
                </w:rPr>
                <w:t>2014 BCSC 2242</w:t>
              </w:r>
            </w:hyperlink>
            <w:r w:rsidR="00A268D3" w:rsidRPr="002F3871">
              <w:rPr>
                <w:sz w:val="20"/>
              </w:rPr>
              <w:t xml:space="preserve"> (unreported)</w:t>
            </w:r>
          </w:p>
          <w:p w:rsidR="00A268D3" w:rsidRPr="002F3871" w:rsidRDefault="00A268D3" w:rsidP="00A268D3">
            <w:pPr>
              <w:jc w:val="both"/>
              <w:rPr>
                <w:sz w:val="20"/>
              </w:rPr>
            </w:pPr>
          </w:p>
        </w:tc>
        <w:tc>
          <w:tcPr>
            <w:tcW w:w="243" w:type="pct"/>
          </w:tcPr>
          <w:p w:rsidR="00A268D3" w:rsidRPr="002F3871" w:rsidRDefault="00A268D3" w:rsidP="00A268D3">
            <w:pPr>
              <w:jc w:val="both"/>
              <w:rPr>
                <w:sz w:val="20"/>
              </w:rPr>
            </w:pPr>
          </w:p>
        </w:tc>
        <w:tc>
          <w:tcPr>
            <w:tcW w:w="2330" w:type="pct"/>
          </w:tcPr>
          <w:p w:rsidR="00A268D3" w:rsidRPr="002F3871" w:rsidRDefault="00A268D3" w:rsidP="00A268D3">
            <w:pPr>
              <w:jc w:val="both"/>
              <w:rPr>
                <w:sz w:val="20"/>
              </w:rPr>
            </w:pPr>
            <w:r w:rsidRPr="002F3871">
              <w:rPr>
                <w:sz w:val="20"/>
              </w:rPr>
              <w:t xml:space="preserve">Application for </w:t>
            </w:r>
            <w:r w:rsidRPr="002F3871">
              <w:rPr>
                <w:i/>
                <w:sz w:val="20"/>
              </w:rPr>
              <w:t>voir dire</w:t>
            </w:r>
            <w:r w:rsidRPr="002F3871">
              <w:rPr>
                <w:sz w:val="20"/>
              </w:rPr>
              <w:t xml:space="preserve"> dismissed</w:t>
            </w:r>
          </w:p>
          <w:p w:rsidR="00A268D3" w:rsidRPr="002F3871" w:rsidRDefault="00A268D3" w:rsidP="00A268D3">
            <w:pPr>
              <w:jc w:val="both"/>
              <w:rPr>
                <w:sz w:val="20"/>
              </w:rPr>
            </w:pPr>
          </w:p>
        </w:tc>
      </w:tr>
      <w:tr w:rsidR="00A268D3" w:rsidRPr="002F3871" w:rsidTr="00A268D3">
        <w:tc>
          <w:tcPr>
            <w:tcW w:w="2427" w:type="pct"/>
            <w:gridSpan w:val="2"/>
          </w:tcPr>
          <w:p w:rsidR="00A268D3" w:rsidRPr="002F3871" w:rsidRDefault="00A268D3" w:rsidP="00A268D3">
            <w:pPr>
              <w:jc w:val="both"/>
              <w:rPr>
                <w:sz w:val="20"/>
              </w:rPr>
            </w:pPr>
            <w:r w:rsidRPr="002F3871">
              <w:rPr>
                <w:sz w:val="20"/>
              </w:rPr>
              <w:t>April 16, 2015</w:t>
            </w:r>
          </w:p>
          <w:p w:rsidR="00A268D3" w:rsidRPr="002F3871" w:rsidRDefault="00A268D3" w:rsidP="00A268D3">
            <w:pPr>
              <w:jc w:val="both"/>
              <w:rPr>
                <w:sz w:val="20"/>
              </w:rPr>
            </w:pPr>
            <w:r w:rsidRPr="002F3871">
              <w:rPr>
                <w:sz w:val="20"/>
              </w:rPr>
              <w:t>Supreme Court of British Columbia</w:t>
            </w:r>
          </w:p>
          <w:p w:rsidR="00A268D3" w:rsidRPr="002F3871" w:rsidRDefault="00A268D3" w:rsidP="00A268D3">
            <w:pPr>
              <w:jc w:val="both"/>
              <w:rPr>
                <w:sz w:val="20"/>
              </w:rPr>
            </w:pPr>
            <w:r w:rsidRPr="002F3871">
              <w:rPr>
                <w:sz w:val="20"/>
              </w:rPr>
              <w:t>(Unreported)</w:t>
            </w:r>
          </w:p>
          <w:p w:rsidR="00A268D3" w:rsidRPr="002F3871" w:rsidRDefault="00A268D3" w:rsidP="00A268D3">
            <w:pPr>
              <w:jc w:val="both"/>
              <w:rPr>
                <w:sz w:val="20"/>
              </w:rPr>
            </w:pPr>
          </w:p>
        </w:tc>
        <w:tc>
          <w:tcPr>
            <w:tcW w:w="243" w:type="pct"/>
          </w:tcPr>
          <w:p w:rsidR="00A268D3" w:rsidRPr="002F3871" w:rsidRDefault="00A268D3" w:rsidP="00A268D3">
            <w:pPr>
              <w:jc w:val="both"/>
              <w:rPr>
                <w:sz w:val="20"/>
              </w:rPr>
            </w:pPr>
          </w:p>
        </w:tc>
        <w:tc>
          <w:tcPr>
            <w:tcW w:w="2330" w:type="pct"/>
          </w:tcPr>
          <w:p w:rsidR="00A268D3" w:rsidRPr="002F3871" w:rsidRDefault="00A268D3" w:rsidP="00A268D3">
            <w:pPr>
              <w:jc w:val="both"/>
              <w:rPr>
                <w:sz w:val="20"/>
              </w:rPr>
            </w:pPr>
            <w:r w:rsidRPr="002F3871">
              <w:rPr>
                <w:sz w:val="20"/>
              </w:rPr>
              <w:t>Conviction by jury for conspiracy to import cocaine</w:t>
            </w:r>
          </w:p>
          <w:p w:rsidR="00A268D3" w:rsidRPr="002F3871" w:rsidRDefault="00A268D3" w:rsidP="00A268D3">
            <w:pPr>
              <w:jc w:val="both"/>
              <w:rPr>
                <w:sz w:val="20"/>
              </w:rPr>
            </w:pPr>
          </w:p>
        </w:tc>
      </w:tr>
      <w:tr w:rsidR="00A268D3" w:rsidRPr="002F3871" w:rsidTr="00A268D3">
        <w:tc>
          <w:tcPr>
            <w:tcW w:w="2427" w:type="pct"/>
            <w:gridSpan w:val="2"/>
          </w:tcPr>
          <w:p w:rsidR="00A268D3" w:rsidRPr="002F3871" w:rsidRDefault="00A268D3" w:rsidP="00A268D3">
            <w:pPr>
              <w:jc w:val="both"/>
              <w:rPr>
                <w:sz w:val="20"/>
              </w:rPr>
            </w:pPr>
            <w:r w:rsidRPr="002F3871">
              <w:rPr>
                <w:sz w:val="20"/>
              </w:rPr>
              <w:t>January 16, 2017</w:t>
            </w:r>
          </w:p>
          <w:p w:rsidR="00A268D3" w:rsidRPr="002F3871" w:rsidRDefault="00A268D3" w:rsidP="00A268D3">
            <w:pPr>
              <w:jc w:val="both"/>
              <w:rPr>
                <w:sz w:val="20"/>
              </w:rPr>
            </w:pPr>
            <w:r w:rsidRPr="002F3871">
              <w:rPr>
                <w:sz w:val="20"/>
              </w:rPr>
              <w:t xml:space="preserve">Court of Appeal for British Columbia </w:t>
            </w:r>
          </w:p>
          <w:p w:rsidR="00A268D3" w:rsidRPr="002F3871" w:rsidRDefault="00A268D3" w:rsidP="00A268D3">
            <w:pPr>
              <w:jc w:val="both"/>
              <w:rPr>
                <w:sz w:val="20"/>
              </w:rPr>
            </w:pPr>
            <w:r w:rsidRPr="002F3871">
              <w:rPr>
                <w:sz w:val="20"/>
              </w:rPr>
              <w:t>(Vancouver)</w:t>
            </w:r>
          </w:p>
          <w:p w:rsidR="00A268D3" w:rsidRPr="002F3871" w:rsidRDefault="00A268D3" w:rsidP="00A268D3">
            <w:pPr>
              <w:jc w:val="both"/>
              <w:rPr>
                <w:sz w:val="20"/>
              </w:rPr>
            </w:pPr>
            <w:r w:rsidRPr="002F3871">
              <w:rPr>
                <w:sz w:val="20"/>
              </w:rPr>
              <w:t>(Saunders, Smith, Groberman JJ.A.)</w:t>
            </w:r>
          </w:p>
          <w:p w:rsidR="00A268D3" w:rsidRPr="002F3871" w:rsidRDefault="00A268D3" w:rsidP="00A268D3">
            <w:pPr>
              <w:jc w:val="both"/>
              <w:rPr>
                <w:sz w:val="20"/>
              </w:rPr>
            </w:pPr>
            <w:r w:rsidRPr="002F3871">
              <w:rPr>
                <w:sz w:val="20"/>
              </w:rPr>
              <w:t>CA43036 (Mehan), CA43041 (Stark)</w:t>
            </w:r>
          </w:p>
          <w:p w:rsidR="00A268D3" w:rsidRPr="002F3871" w:rsidRDefault="00ED4247" w:rsidP="00A268D3">
            <w:pPr>
              <w:jc w:val="both"/>
              <w:rPr>
                <w:sz w:val="20"/>
              </w:rPr>
            </w:pPr>
            <w:hyperlink r:id="rId33" w:history="1">
              <w:r w:rsidR="00A268D3" w:rsidRPr="002F3871">
                <w:rPr>
                  <w:rStyle w:val="Hyperlink"/>
                  <w:sz w:val="20"/>
                </w:rPr>
                <w:t>2017 BCCA 21</w:t>
              </w:r>
            </w:hyperlink>
          </w:p>
          <w:p w:rsidR="00A268D3" w:rsidRPr="002F3871" w:rsidRDefault="00A268D3" w:rsidP="00A268D3">
            <w:pPr>
              <w:jc w:val="both"/>
              <w:rPr>
                <w:sz w:val="20"/>
              </w:rPr>
            </w:pPr>
          </w:p>
        </w:tc>
        <w:tc>
          <w:tcPr>
            <w:tcW w:w="243" w:type="pct"/>
          </w:tcPr>
          <w:p w:rsidR="00A268D3" w:rsidRPr="002F3871" w:rsidRDefault="00A268D3" w:rsidP="00A268D3">
            <w:pPr>
              <w:jc w:val="both"/>
              <w:rPr>
                <w:sz w:val="20"/>
              </w:rPr>
            </w:pPr>
          </w:p>
        </w:tc>
        <w:tc>
          <w:tcPr>
            <w:tcW w:w="2330" w:type="pct"/>
          </w:tcPr>
          <w:p w:rsidR="00A268D3" w:rsidRPr="002F3871" w:rsidRDefault="00A268D3" w:rsidP="00A268D3">
            <w:pPr>
              <w:jc w:val="both"/>
              <w:rPr>
                <w:sz w:val="20"/>
              </w:rPr>
            </w:pPr>
            <w:r w:rsidRPr="002F3871">
              <w:rPr>
                <w:sz w:val="20"/>
              </w:rPr>
              <w:t>Appeal from conviction dismissed</w:t>
            </w:r>
          </w:p>
          <w:p w:rsidR="00A268D3" w:rsidRPr="002F3871" w:rsidRDefault="00A268D3" w:rsidP="00A268D3">
            <w:pPr>
              <w:jc w:val="both"/>
              <w:rPr>
                <w:sz w:val="20"/>
              </w:rPr>
            </w:pPr>
          </w:p>
        </w:tc>
      </w:tr>
      <w:tr w:rsidR="00A268D3" w:rsidRPr="002F3871" w:rsidTr="00A268D3">
        <w:tc>
          <w:tcPr>
            <w:tcW w:w="2427" w:type="pct"/>
            <w:gridSpan w:val="2"/>
          </w:tcPr>
          <w:p w:rsidR="00A268D3" w:rsidRPr="002F3871" w:rsidRDefault="00A268D3" w:rsidP="00A268D3">
            <w:pPr>
              <w:jc w:val="both"/>
              <w:rPr>
                <w:sz w:val="20"/>
              </w:rPr>
            </w:pPr>
            <w:r w:rsidRPr="002F3871">
              <w:rPr>
                <w:sz w:val="20"/>
              </w:rPr>
              <w:t>March 17, 2017</w:t>
            </w:r>
          </w:p>
          <w:p w:rsidR="00A268D3" w:rsidRPr="002F3871" w:rsidRDefault="00A268D3" w:rsidP="00A268D3">
            <w:pPr>
              <w:jc w:val="both"/>
              <w:rPr>
                <w:sz w:val="20"/>
              </w:rPr>
            </w:pPr>
            <w:r w:rsidRPr="002F3871">
              <w:rPr>
                <w:sz w:val="20"/>
              </w:rPr>
              <w:t>Supreme Court of Canada</w:t>
            </w:r>
          </w:p>
        </w:tc>
        <w:tc>
          <w:tcPr>
            <w:tcW w:w="243" w:type="pct"/>
          </w:tcPr>
          <w:p w:rsidR="00A268D3" w:rsidRPr="002F3871" w:rsidRDefault="00A268D3" w:rsidP="00A268D3">
            <w:pPr>
              <w:jc w:val="both"/>
              <w:rPr>
                <w:sz w:val="20"/>
              </w:rPr>
            </w:pPr>
          </w:p>
        </w:tc>
        <w:tc>
          <w:tcPr>
            <w:tcW w:w="2330" w:type="pct"/>
          </w:tcPr>
          <w:p w:rsidR="00A268D3" w:rsidRPr="002F3871" w:rsidRDefault="00A268D3" w:rsidP="00A268D3">
            <w:pPr>
              <w:jc w:val="both"/>
              <w:rPr>
                <w:sz w:val="20"/>
              </w:rPr>
            </w:pPr>
            <w:r w:rsidRPr="002F3871">
              <w:rPr>
                <w:sz w:val="20"/>
              </w:rPr>
              <w:t xml:space="preserve">Application for leave to appeal filed </w:t>
            </w:r>
          </w:p>
        </w:tc>
      </w:tr>
    </w:tbl>
    <w:p w:rsidR="00A268D3" w:rsidRPr="002F3871" w:rsidRDefault="00ED4247" w:rsidP="00A268D3">
      <w:pPr>
        <w:jc w:val="both"/>
        <w:rPr>
          <w:sz w:val="20"/>
        </w:rPr>
      </w:pPr>
      <w:r>
        <w:rPr>
          <w:sz w:val="20"/>
          <w:szCs w:val="20"/>
        </w:rPr>
        <w:pict>
          <v:rect id="_x0000_i1059" style="width:2in;height:1pt" o:hrpct="0" o:hralign="center" o:hrstd="t" o:hrnoshade="t" o:hr="t" fillcolor="black" stroked="f"/>
        </w:pict>
      </w:r>
    </w:p>
    <w:p w:rsidR="00A268D3" w:rsidRPr="002F3871" w:rsidRDefault="00A268D3" w:rsidP="00A268D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268D3" w:rsidRPr="00ED4247" w:rsidTr="00A268D3">
        <w:tc>
          <w:tcPr>
            <w:tcW w:w="543" w:type="pct"/>
          </w:tcPr>
          <w:p w:rsidR="00A268D3" w:rsidRPr="002F3871" w:rsidRDefault="00A268D3" w:rsidP="00A268D3">
            <w:pPr>
              <w:jc w:val="both"/>
              <w:rPr>
                <w:sz w:val="20"/>
                <w:lang w:val="fr-CA"/>
              </w:rPr>
            </w:pPr>
            <w:r w:rsidRPr="002F3871">
              <w:rPr>
                <w:rStyle w:val="SCCFileNumberChar"/>
                <w:sz w:val="20"/>
                <w:szCs w:val="20"/>
                <w:lang w:val="fr-CA"/>
              </w:rPr>
              <w:t>37490</w:t>
            </w:r>
          </w:p>
        </w:tc>
        <w:tc>
          <w:tcPr>
            <w:tcW w:w="4457" w:type="pct"/>
            <w:gridSpan w:val="3"/>
          </w:tcPr>
          <w:p w:rsidR="00A268D3" w:rsidRPr="002F3871" w:rsidRDefault="00A268D3" w:rsidP="00A268D3">
            <w:pPr>
              <w:pStyle w:val="SCCLsocParty"/>
              <w:jc w:val="both"/>
              <w:rPr>
                <w:b/>
                <w:sz w:val="20"/>
                <w:szCs w:val="20"/>
              </w:rPr>
            </w:pPr>
            <w:r w:rsidRPr="002F3871">
              <w:rPr>
                <w:b/>
                <w:sz w:val="20"/>
                <w:szCs w:val="20"/>
              </w:rPr>
              <w:t>Christopher Lloyd Mehan c. Sa Majesté la Reine</w:t>
            </w:r>
          </w:p>
          <w:p w:rsidR="00A268D3" w:rsidRPr="002F3871" w:rsidRDefault="00A268D3" w:rsidP="00A268D3">
            <w:pPr>
              <w:jc w:val="both"/>
              <w:rPr>
                <w:sz w:val="20"/>
                <w:lang w:val="fr-CA"/>
              </w:rPr>
            </w:pPr>
            <w:r w:rsidRPr="002F3871">
              <w:rPr>
                <w:sz w:val="20"/>
                <w:lang w:val="fr-CA"/>
              </w:rPr>
              <w:t>(C.-B.) (Criminelle) (Sur autorisation)</w:t>
            </w:r>
          </w:p>
        </w:tc>
      </w:tr>
      <w:tr w:rsidR="00A268D3" w:rsidRPr="00ED4247" w:rsidTr="00A268D3">
        <w:tc>
          <w:tcPr>
            <w:tcW w:w="543" w:type="pct"/>
          </w:tcPr>
          <w:p w:rsidR="00A268D3" w:rsidRPr="002F3871" w:rsidRDefault="00A268D3" w:rsidP="00A268D3">
            <w:pPr>
              <w:jc w:val="both"/>
              <w:rPr>
                <w:rStyle w:val="SCCFileNumberChar"/>
                <w:sz w:val="20"/>
                <w:szCs w:val="20"/>
                <w:lang w:val="fr-CA"/>
              </w:rPr>
            </w:pPr>
            <w:r>
              <w:rPr>
                <w:rStyle w:val="SCCFileNumberChar"/>
                <w:sz w:val="20"/>
                <w:szCs w:val="20"/>
                <w:lang w:val="fr-CA"/>
              </w:rPr>
              <w:t>Coram :</w:t>
            </w:r>
          </w:p>
        </w:tc>
        <w:tc>
          <w:tcPr>
            <w:tcW w:w="4457" w:type="pct"/>
            <w:gridSpan w:val="3"/>
          </w:tcPr>
          <w:p w:rsidR="00A268D3" w:rsidRDefault="00B12BC9" w:rsidP="00A268D3">
            <w:pPr>
              <w:pStyle w:val="SCCLsocParty"/>
              <w:jc w:val="both"/>
              <w:rPr>
                <w:sz w:val="20"/>
                <w:szCs w:val="20"/>
                <w:lang w:val="fr-FR"/>
              </w:rPr>
            </w:pPr>
            <w:r w:rsidRPr="005A7C16">
              <w:rPr>
                <w:sz w:val="20"/>
                <w:szCs w:val="20"/>
                <w:lang w:val="fr-FR"/>
              </w:rPr>
              <w:t>La juge en chef McLachlin et les juges Abella, Moldaver, Karakatsanis, Wagner, Gascon, Côté, Brown et Rowe</w:t>
            </w:r>
          </w:p>
          <w:p w:rsidR="00B12BC9" w:rsidRPr="00B12BC9" w:rsidRDefault="00B12BC9" w:rsidP="00B12BC9">
            <w:pPr>
              <w:rPr>
                <w:lang w:val="fr-FR"/>
              </w:rPr>
            </w:pPr>
          </w:p>
        </w:tc>
      </w:tr>
      <w:tr w:rsidR="00A268D3" w:rsidRPr="00ED4247" w:rsidTr="00A268D3">
        <w:tc>
          <w:tcPr>
            <w:tcW w:w="5000" w:type="pct"/>
            <w:gridSpan w:val="4"/>
          </w:tcPr>
          <w:p w:rsidR="00A268D3" w:rsidRDefault="00B12BC9" w:rsidP="00A268D3">
            <w:pPr>
              <w:pStyle w:val="SCCLsocParty"/>
              <w:jc w:val="both"/>
              <w:rPr>
                <w:sz w:val="20"/>
                <w:szCs w:val="20"/>
              </w:rPr>
            </w:pPr>
            <w:r w:rsidRPr="005A7C16">
              <w:rPr>
                <w:sz w:val="20"/>
                <w:szCs w:val="20"/>
              </w:rPr>
              <w:t xml:space="preserve">La demande d’autorisation d’appel de l’arrêt de la </w:t>
            </w:r>
            <w:r w:rsidRPr="005A7C16">
              <w:rPr>
                <w:sz w:val="20"/>
                <w:szCs w:val="20"/>
                <w:lang w:val="fr-FR"/>
              </w:rPr>
              <w:t>Cour d’appel de la Colombie-Britannique (Vancouver)</w:t>
            </w:r>
            <w:r w:rsidRPr="005A7C16">
              <w:rPr>
                <w:sz w:val="20"/>
                <w:szCs w:val="20"/>
              </w:rPr>
              <w:t xml:space="preserve">, numéro </w:t>
            </w:r>
            <w:r w:rsidRPr="005A7C16">
              <w:rPr>
                <w:sz w:val="20"/>
                <w:szCs w:val="20"/>
                <w:lang w:val="fr-FR"/>
              </w:rPr>
              <w:t>CA43036, 2017 BCCA 21</w:t>
            </w:r>
            <w:r w:rsidRPr="005A7C16">
              <w:rPr>
                <w:sz w:val="20"/>
                <w:szCs w:val="20"/>
              </w:rPr>
              <w:t xml:space="preserve">, daté du </w:t>
            </w:r>
            <w:r w:rsidRPr="005A7C16">
              <w:rPr>
                <w:sz w:val="20"/>
                <w:szCs w:val="20"/>
                <w:lang w:val="fr-FR"/>
              </w:rPr>
              <w:t>16 janvier 2017</w:t>
            </w:r>
            <w:r w:rsidRPr="005A7C16">
              <w:rPr>
                <w:sz w:val="20"/>
                <w:szCs w:val="20"/>
              </w:rPr>
              <w:t>, est rejetée.</w:t>
            </w:r>
          </w:p>
          <w:p w:rsidR="00B12BC9" w:rsidRPr="00B12BC9" w:rsidRDefault="00B12BC9" w:rsidP="00B12BC9">
            <w:pPr>
              <w:rPr>
                <w:lang w:val="fr-CA"/>
              </w:rPr>
            </w:pPr>
          </w:p>
        </w:tc>
      </w:tr>
      <w:tr w:rsidR="00A268D3" w:rsidRPr="00ED4247" w:rsidTr="00A268D3">
        <w:tc>
          <w:tcPr>
            <w:tcW w:w="5000" w:type="pct"/>
            <w:gridSpan w:val="4"/>
          </w:tcPr>
          <w:p w:rsidR="00A268D3" w:rsidRPr="002F3871" w:rsidRDefault="00A268D3" w:rsidP="00A268D3">
            <w:pPr>
              <w:jc w:val="both"/>
              <w:rPr>
                <w:sz w:val="20"/>
                <w:lang w:val="fr-CA"/>
              </w:rPr>
            </w:pPr>
            <w:r w:rsidRPr="002F3871">
              <w:rPr>
                <w:i/>
                <w:sz w:val="20"/>
                <w:lang w:val="fr-CA"/>
              </w:rPr>
              <w:t xml:space="preserve">Charte des droits </w:t>
            </w:r>
            <w:r w:rsidRPr="002F3871">
              <w:rPr>
                <w:sz w:val="20"/>
                <w:lang w:val="fr-CA"/>
              </w:rPr>
              <w:t xml:space="preserve">– Fouilles, perquisitions et saisies – La Drug Enforcement Agency à Los Angeles a intercepté de la correspondance par courriel entre deux résidents canadiens et a transmis les communications interceptées à la police canadienne – Le juge de première instance a-t-il eu raison de rejeter la demande de voir-dire pour déterminer si l’art. 8 de la </w:t>
            </w:r>
            <w:r w:rsidRPr="002F3871">
              <w:rPr>
                <w:i/>
                <w:sz w:val="20"/>
                <w:lang w:val="fr-CA"/>
              </w:rPr>
              <w:t>Charte</w:t>
            </w:r>
            <w:r w:rsidRPr="002F3871">
              <w:rPr>
                <w:sz w:val="20"/>
                <w:lang w:val="fr-CA"/>
              </w:rPr>
              <w:t xml:space="preserve"> s’appliquait? – Les courriels étaient-ils des éléments de preuve obtenus à l’étranger? – L’autorisation judiciaire d’un tribunal canadien était-elle nécessaire pour recevoir et analyser les communications interceptées au Canada? – Les protections fondées sur l’arrêt </w:t>
            </w:r>
            <w:r w:rsidRPr="002F3871">
              <w:rPr>
                <w:i/>
                <w:sz w:val="20"/>
                <w:lang w:val="fr-CA"/>
              </w:rPr>
              <w:t>R. c. Telus</w:t>
            </w:r>
            <w:r w:rsidRPr="002F3871">
              <w:rPr>
                <w:sz w:val="20"/>
                <w:lang w:val="fr-CA"/>
              </w:rPr>
              <w:t xml:space="preserve">, 2013 CSC 16, s’appliquent-elles? – L’arrêt </w:t>
            </w:r>
            <w:r w:rsidRPr="002F3871">
              <w:rPr>
                <w:i/>
                <w:sz w:val="20"/>
                <w:lang w:val="fr-CA"/>
              </w:rPr>
              <w:t>R. c. Hape</w:t>
            </w:r>
            <w:r w:rsidRPr="002F3871">
              <w:rPr>
                <w:sz w:val="20"/>
                <w:lang w:val="fr-CA"/>
              </w:rPr>
              <w:t xml:space="preserve">, 2007 CSC 26, est-il compatible avec l’arrêt </w:t>
            </w:r>
            <w:r w:rsidRPr="002F3871">
              <w:rPr>
                <w:i/>
                <w:sz w:val="20"/>
                <w:lang w:val="fr-CA"/>
              </w:rPr>
              <w:t>Wakeling c. États-Unis d’Amérique</w:t>
            </w:r>
            <w:r w:rsidRPr="002F3871">
              <w:rPr>
                <w:sz w:val="20"/>
                <w:lang w:val="fr-CA"/>
              </w:rPr>
              <w:t>, 2014 CSC 72?</w:t>
            </w:r>
          </w:p>
        </w:tc>
      </w:tr>
      <w:tr w:rsidR="00A268D3" w:rsidRPr="00ED4247" w:rsidTr="00A268D3">
        <w:tc>
          <w:tcPr>
            <w:tcW w:w="5000" w:type="pct"/>
            <w:gridSpan w:val="4"/>
          </w:tcPr>
          <w:p w:rsidR="00A268D3" w:rsidRPr="002F3871" w:rsidRDefault="00A268D3" w:rsidP="00A268D3">
            <w:pPr>
              <w:jc w:val="both"/>
              <w:rPr>
                <w:sz w:val="20"/>
                <w:lang w:val="fr-CA"/>
              </w:rPr>
            </w:pPr>
          </w:p>
        </w:tc>
      </w:tr>
      <w:tr w:rsidR="00A268D3" w:rsidRPr="00ED4247" w:rsidTr="00A268D3">
        <w:tc>
          <w:tcPr>
            <w:tcW w:w="5000" w:type="pct"/>
            <w:gridSpan w:val="4"/>
          </w:tcPr>
          <w:p w:rsidR="00A268D3" w:rsidRPr="002F3871" w:rsidRDefault="00A268D3" w:rsidP="00A268D3">
            <w:pPr>
              <w:jc w:val="both"/>
              <w:rPr>
                <w:sz w:val="20"/>
                <w:lang w:val="fr-CA"/>
              </w:rPr>
            </w:pPr>
            <w:r w:rsidRPr="002F3871">
              <w:rPr>
                <w:sz w:val="20"/>
                <w:lang w:val="fr-CA"/>
              </w:rPr>
              <w:t xml:space="preserve">En 2008, des forces policières américaines et canadiennes ont commencé à collaborer dans des enquêtes parallèles sur l’importation et le trafic transfrontaliers de drogues. La Drug Enforcement Agency à Los Angeles a obtenu des autorisations judiciaires en Californie pour intercepter des communications de la personne visée. Les courriels de M. Jeremy Stark ont été interceptés, y compris sa correspondance par courriel avec son coaccusé Christopher Mehan. Les courriels en cause ont été envoyés et reçus au Canada. La Drug Enforcement Agency a transmis les communications interceptées au Groupe spécial interpolices au Canada. Deux gros envois de cocaïne transportés à destination du Canada ont été interceptés à la frontière. Il ressort des communications interceptées que M. Stark et M. Mehan ont comploté avec des tiers en vue de faire l’importation et le trafic de cocaïne. </w:t>
            </w:r>
          </w:p>
          <w:p w:rsidR="00A268D3" w:rsidRPr="002F3871" w:rsidRDefault="00A268D3" w:rsidP="00A268D3">
            <w:pPr>
              <w:jc w:val="both"/>
              <w:rPr>
                <w:sz w:val="20"/>
                <w:lang w:val="fr-CA"/>
              </w:rPr>
            </w:pPr>
          </w:p>
        </w:tc>
      </w:tr>
      <w:tr w:rsidR="00A268D3" w:rsidRPr="00ED4247" w:rsidTr="00A268D3">
        <w:tc>
          <w:tcPr>
            <w:tcW w:w="2427" w:type="pct"/>
            <w:gridSpan w:val="2"/>
          </w:tcPr>
          <w:p w:rsidR="00A268D3" w:rsidRPr="002F3871" w:rsidRDefault="00A268D3" w:rsidP="00A268D3">
            <w:pPr>
              <w:jc w:val="both"/>
              <w:rPr>
                <w:sz w:val="20"/>
                <w:lang w:val="fr-CA"/>
              </w:rPr>
            </w:pPr>
            <w:r w:rsidRPr="002F3871">
              <w:rPr>
                <w:sz w:val="20"/>
                <w:lang w:val="fr-CA"/>
              </w:rPr>
              <w:t>27 novembre 2014</w:t>
            </w:r>
          </w:p>
          <w:p w:rsidR="00A268D3" w:rsidRPr="002F3871" w:rsidRDefault="00A268D3" w:rsidP="00A268D3">
            <w:pPr>
              <w:jc w:val="both"/>
              <w:rPr>
                <w:sz w:val="20"/>
                <w:lang w:val="fr-CA"/>
              </w:rPr>
            </w:pPr>
            <w:r w:rsidRPr="002F3871">
              <w:rPr>
                <w:sz w:val="20"/>
                <w:lang w:val="fr-CA"/>
              </w:rPr>
              <w:t>Cour suprême de la Colombie-Britannique</w:t>
            </w:r>
          </w:p>
          <w:p w:rsidR="00A268D3" w:rsidRPr="002F3871" w:rsidRDefault="00A268D3" w:rsidP="00A268D3">
            <w:pPr>
              <w:jc w:val="both"/>
              <w:rPr>
                <w:sz w:val="20"/>
                <w:lang w:val="fr-CA"/>
              </w:rPr>
            </w:pPr>
            <w:r w:rsidRPr="002F3871">
              <w:rPr>
                <w:sz w:val="20"/>
                <w:lang w:val="fr-CA"/>
              </w:rPr>
              <w:t>(Juge Josephson)</w:t>
            </w:r>
          </w:p>
          <w:p w:rsidR="00A268D3" w:rsidRPr="002F3871" w:rsidRDefault="00ED4247" w:rsidP="00A268D3">
            <w:pPr>
              <w:jc w:val="both"/>
              <w:rPr>
                <w:sz w:val="20"/>
                <w:lang w:val="fr-CA"/>
              </w:rPr>
            </w:pPr>
            <w:hyperlink r:id="rId34" w:tgtFrame="_parent" w:history="1">
              <w:r w:rsidR="00A268D3" w:rsidRPr="002F3871">
                <w:rPr>
                  <w:sz w:val="20"/>
                  <w:lang w:val="fr-CA"/>
                </w:rPr>
                <w:t>2014 BCSC 2242</w:t>
              </w:r>
            </w:hyperlink>
            <w:r w:rsidR="00A268D3" w:rsidRPr="002F3871">
              <w:rPr>
                <w:sz w:val="20"/>
                <w:lang w:val="fr-CA"/>
              </w:rPr>
              <w:t xml:space="preserve"> (non publié)</w:t>
            </w:r>
          </w:p>
          <w:p w:rsidR="00A268D3" w:rsidRPr="002F3871" w:rsidRDefault="00A268D3" w:rsidP="00A268D3">
            <w:pPr>
              <w:jc w:val="both"/>
              <w:rPr>
                <w:sz w:val="20"/>
                <w:lang w:val="fr-CA"/>
              </w:rPr>
            </w:pPr>
          </w:p>
        </w:tc>
        <w:tc>
          <w:tcPr>
            <w:tcW w:w="243" w:type="pct"/>
          </w:tcPr>
          <w:p w:rsidR="00A268D3" w:rsidRPr="002F3871" w:rsidRDefault="00A268D3" w:rsidP="00A268D3">
            <w:pPr>
              <w:jc w:val="both"/>
              <w:rPr>
                <w:sz w:val="20"/>
                <w:lang w:val="fr-CA"/>
              </w:rPr>
            </w:pPr>
          </w:p>
        </w:tc>
        <w:tc>
          <w:tcPr>
            <w:tcW w:w="2330" w:type="pct"/>
          </w:tcPr>
          <w:p w:rsidR="00A268D3" w:rsidRPr="002F3871" w:rsidRDefault="00A268D3" w:rsidP="00A268D3">
            <w:pPr>
              <w:jc w:val="both"/>
              <w:rPr>
                <w:sz w:val="20"/>
                <w:lang w:val="fr-CA"/>
              </w:rPr>
            </w:pPr>
            <w:r w:rsidRPr="002F3871">
              <w:rPr>
                <w:sz w:val="20"/>
                <w:lang w:val="fr-CA"/>
              </w:rPr>
              <w:t>Rejet de la demande de voir-dire</w:t>
            </w:r>
          </w:p>
          <w:p w:rsidR="00A268D3" w:rsidRPr="002F3871" w:rsidRDefault="00A268D3" w:rsidP="00A268D3">
            <w:pPr>
              <w:jc w:val="both"/>
              <w:rPr>
                <w:sz w:val="20"/>
                <w:lang w:val="fr-CA"/>
              </w:rPr>
            </w:pPr>
          </w:p>
        </w:tc>
      </w:tr>
      <w:tr w:rsidR="00A268D3" w:rsidRPr="00ED4247" w:rsidTr="00A268D3">
        <w:tc>
          <w:tcPr>
            <w:tcW w:w="2427" w:type="pct"/>
            <w:gridSpan w:val="2"/>
          </w:tcPr>
          <w:p w:rsidR="00A268D3" w:rsidRPr="002F3871" w:rsidRDefault="00A268D3" w:rsidP="00A268D3">
            <w:pPr>
              <w:jc w:val="both"/>
              <w:rPr>
                <w:sz w:val="20"/>
                <w:lang w:val="fr-CA"/>
              </w:rPr>
            </w:pPr>
            <w:r w:rsidRPr="002F3871">
              <w:rPr>
                <w:sz w:val="20"/>
                <w:lang w:val="fr-CA"/>
              </w:rPr>
              <w:t>16 avril 2015</w:t>
            </w:r>
          </w:p>
          <w:p w:rsidR="00A268D3" w:rsidRPr="002F3871" w:rsidRDefault="00A268D3" w:rsidP="00A268D3">
            <w:pPr>
              <w:jc w:val="both"/>
              <w:rPr>
                <w:sz w:val="20"/>
                <w:lang w:val="fr-CA"/>
              </w:rPr>
            </w:pPr>
            <w:r w:rsidRPr="002F3871">
              <w:rPr>
                <w:sz w:val="20"/>
                <w:lang w:val="fr-CA"/>
              </w:rPr>
              <w:t>Cour suprême de la Colombie-Britannique</w:t>
            </w:r>
          </w:p>
          <w:p w:rsidR="00A268D3" w:rsidRPr="002F3871" w:rsidRDefault="00A268D3" w:rsidP="00A268D3">
            <w:pPr>
              <w:jc w:val="both"/>
              <w:rPr>
                <w:sz w:val="20"/>
                <w:lang w:val="fr-CA"/>
              </w:rPr>
            </w:pPr>
            <w:r w:rsidRPr="002F3871">
              <w:rPr>
                <w:sz w:val="20"/>
                <w:lang w:val="fr-CA"/>
              </w:rPr>
              <w:t>(non publié)</w:t>
            </w:r>
          </w:p>
          <w:p w:rsidR="00A268D3" w:rsidRPr="002F3871" w:rsidRDefault="00A268D3" w:rsidP="00A268D3">
            <w:pPr>
              <w:jc w:val="both"/>
              <w:rPr>
                <w:sz w:val="20"/>
                <w:lang w:val="fr-CA"/>
              </w:rPr>
            </w:pPr>
          </w:p>
        </w:tc>
        <w:tc>
          <w:tcPr>
            <w:tcW w:w="243" w:type="pct"/>
          </w:tcPr>
          <w:p w:rsidR="00A268D3" w:rsidRPr="002F3871" w:rsidRDefault="00A268D3" w:rsidP="00A268D3">
            <w:pPr>
              <w:jc w:val="both"/>
              <w:rPr>
                <w:sz w:val="20"/>
                <w:lang w:val="fr-CA"/>
              </w:rPr>
            </w:pPr>
          </w:p>
        </w:tc>
        <w:tc>
          <w:tcPr>
            <w:tcW w:w="2330" w:type="pct"/>
          </w:tcPr>
          <w:p w:rsidR="00A268D3" w:rsidRPr="002F3871" w:rsidRDefault="00A268D3" w:rsidP="00A268D3">
            <w:pPr>
              <w:jc w:val="both"/>
              <w:rPr>
                <w:sz w:val="20"/>
                <w:lang w:val="fr-CA"/>
              </w:rPr>
            </w:pPr>
            <w:r w:rsidRPr="002F3871">
              <w:rPr>
                <w:sz w:val="20"/>
                <w:lang w:val="fr-CA"/>
              </w:rPr>
              <w:t xml:space="preserve">Déclaration de culpabilité par un jury de complot en vue d’importer de la cocaïne </w:t>
            </w:r>
          </w:p>
          <w:p w:rsidR="00A268D3" w:rsidRPr="002F3871" w:rsidRDefault="00A268D3" w:rsidP="00A268D3">
            <w:pPr>
              <w:jc w:val="both"/>
              <w:rPr>
                <w:sz w:val="20"/>
                <w:lang w:val="fr-CA"/>
              </w:rPr>
            </w:pPr>
          </w:p>
        </w:tc>
      </w:tr>
      <w:tr w:rsidR="00A268D3" w:rsidRPr="00ED4247" w:rsidTr="00A268D3">
        <w:tc>
          <w:tcPr>
            <w:tcW w:w="2427" w:type="pct"/>
            <w:gridSpan w:val="2"/>
          </w:tcPr>
          <w:p w:rsidR="00A268D3" w:rsidRPr="002F3871" w:rsidRDefault="00A268D3" w:rsidP="00A268D3">
            <w:pPr>
              <w:jc w:val="both"/>
              <w:rPr>
                <w:sz w:val="20"/>
                <w:lang w:val="fr-CA"/>
              </w:rPr>
            </w:pPr>
            <w:r w:rsidRPr="002F3871">
              <w:rPr>
                <w:sz w:val="20"/>
                <w:lang w:val="fr-CA"/>
              </w:rPr>
              <w:t>16 janvier 2017</w:t>
            </w:r>
          </w:p>
          <w:p w:rsidR="00A268D3" w:rsidRPr="002F3871" w:rsidRDefault="00A268D3" w:rsidP="00A268D3">
            <w:pPr>
              <w:jc w:val="both"/>
              <w:rPr>
                <w:sz w:val="20"/>
                <w:lang w:val="fr-CA"/>
              </w:rPr>
            </w:pPr>
            <w:r w:rsidRPr="002F3871">
              <w:rPr>
                <w:sz w:val="20"/>
                <w:lang w:val="fr-CA"/>
              </w:rPr>
              <w:t xml:space="preserve">Cour d’appel de la Colombie-Britannique </w:t>
            </w:r>
          </w:p>
          <w:p w:rsidR="00A268D3" w:rsidRPr="002F3871" w:rsidRDefault="00A268D3" w:rsidP="00A268D3">
            <w:pPr>
              <w:jc w:val="both"/>
              <w:rPr>
                <w:sz w:val="20"/>
                <w:lang w:val="fr-CA"/>
              </w:rPr>
            </w:pPr>
            <w:r w:rsidRPr="002F3871">
              <w:rPr>
                <w:sz w:val="20"/>
                <w:lang w:val="fr-CA"/>
              </w:rPr>
              <w:t>(Vancouver)</w:t>
            </w:r>
          </w:p>
          <w:p w:rsidR="00A268D3" w:rsidRPr="002F3871" w:rsidRDefault="00A268D3" w:rsidP="00A268D3">
            <w:pPr>
              <w:jc w:val="both"/>
              <w:rPr>
                <w:sz w:val="20"/>
                <w:lang w:val="fr-CA"/>
              </w:rPr>
            </w:pPr>
            <w:r w:rsidRPr="002F3871">
              <w:rPr>
                <w:sz w:val="20"/>
                <w:lang w:val="fr-CA"/>
              </w:rPr>
              <w:t>(Juges Saunders, Smith et Groberman)</w:t>
            </w:r>
          </w:p>
          <w:p w:rsidR="00A268D3" w:rsidRPr="002F3871" w:rsidRDefault="00A268D3" w:rsidP="00A268D3">
            <w:pPr>
              <w:jc w:val="both"/>
              <w:rPr>
                <w:sz w:val="20"/>
              </w:rPr>
            </w:pPr>
            <w:r w:rsidRPr="002F3871">
              <w:rPr>
                <w:sz w:val="20"/>
              </w:rPr>
              <w:t>CA43036 (Mehan), CA43041 (Stark)</w:t>
            </w:r>
          </w:p>
          <w:p w:rsidR="00A268D3" w:rsidRPr="002F3871" w:rsidRDefault="00ED4247" w:rsidP="00A268D3">
            <w:pPr>
              <w:jc w:val="both"/>
              <w:rPr>
                <w:sz w:val="20"/>
              </w:rPr>
            </w:pPr>
            <w:hyperlink r:id="rId35" w:history="1">
              <w:r w:rsidR="00A268D3" w:rsidRPr="002F3871">
                <w:rPr>
                  <w:rStyle w:val="Hyperlink"/>
                  <w:sz w:val="20"/>
                </w:rPr>
                <w:t>2017 BCCA 21</w:t>
              </w:r>
            </w:hyperlink>
          </w:p>
          <w:p w:rsidR="00A268D3" w:rsidRPr="002F3871" w:rsidRDefault="00A268D3" w:rsidP="00A268D3">
            <w:pPr>
              <w:jc w:val="both"/>
              <w:rPr>
                <w:sz w:val="20"/>
              </w:rPr>
            </w:pPr>
          </w:p>
        </w:tc>
        <w:tc>
          <w:tcPr>
            <w:tcW w:w="243" w:type="pct"/>
          </w:tcPr>
          <w:p w:rsidR="00A268D3" w:rsidRPr="002F3871" w:rsidRDefault="00A268D3" w:rsidP="00A268D3">
            <w:pPr>
              <w:jc w:val="both"/>
              <w:rPr>
                <w:sz w:val="20"/>
              </w:rPr>
            </w:pPr>
          </w:p>
        </w:tc>
        <w:tc>
          <w:tcPr>
            <w:tcW w:w="2330" w:type="pct"/>
          </w:tcPr>
          <w:p w:rsidR="00A268D3" w:rsidRPr="002F3871" w:rsidRDefault="00A268D3" w:rsidP="00A268D3">
            <w:pPr>
              <w:jc w:val="both"/>
              <w:rPr>
                <w:sz w:val="20"/>
                <w:lang w:val="fr-CA"/>
              </w:rPr>
            </w:pPr>
            <w:r w:rsidRPr="002F3871">
              <w:rPr>
                <w:sz w:val="20"/>
                <w:lang w:val="fr-CA"/>
              </w:rPr>
              <w:t>Rejet de l’appel de la déclaration de culpabilité</w:t>
            </w:r>
          </w:p>
          <w:p w:rsidR="00A268D3" w:rsidRPr="002F3871" w:rsidRDefault="00A268D3" w:rsidP="00A268D3">
            <w:pPr>
              <w:jc w:val="both"/>
              <w:rPr>
                <w:sz w:val="20"/>
                <w:lang w:val="fr-CA"/>
              </w:rPr>
            </w:pPr>
          </w:p>
        </w:tc>
      </w:tr>
      <w:tr w:rsidR="00A268D3" w:rsidRPr="00ED4247" w:rsidTr="00A268D3">
        <w:tc>
          <w:tcPr>
            <w:tcW w:w="2427" w:type="pct"/>
            <w:gridSpan w:val="2"/>
          </w:tcPr>
          <w:p w:rsidR="00A268D3" w:rsidRPr="002F3871" w:rsidRDefault="00A268D3" w:rsidP="00A268D3">
            <w:pPr>
              <w:jc w:val="both"/>
              <w:rPr>
                <w:sz w:val="20"/>
                <w:lang w:val="fr-CA"/>
              </w:rPr>
            </w:pPr>
            <w:r w:rsidRPr="002F3871">
              <w:rPr>
                <w:sz w:val="20"/>
                <w:lang w:val="fr-CA"/>
              </w:rPr>
              <w:t>17 mars 2017</w:t>
            </w:r>
          </w:p>
          <w:p w:rsidR="00A268D3" w:rsidRPr="002F3871" w:rsidRDefault="00A268D3" w:rsidP="00A268D3">
            <w:pPr>
              <w:jc w:val="both"/>
              <w:rPr>
                <w:sz w:val="20"/>
                <w:lang w:val="fr-CA"/>
              </w:rPr>
            </w:pPr>
            <w:r w:rsidRPr="002F3871">
              <w:rPr>
                <w:sz w:val="20"/>
                <w:lang w:val="fr-CA"/>
              </w:rPr>
              <w:t>Cour suprême du Canada</w:t>
            </w:r>
          </w:p>
        </w:tc>
        <w:tc>
          <w:tcPr>
            <w:tcW w:w="243" w:type="pct"/>
          </w:tcPr>
          <w:p w:rsidR="00A268D3" w:rsidRPr="002F3871" w:rsidRDefault="00A268D3" w:rsidP="00A268D3">
            <w:pPr>
              <w:jc w:val="both"/>
              <w:rPr>
                <w:sz w:val="20"/>
                <w:lang w:val="fr-CA"/>
              </w:rPr>
            </w:pPr>
          </w:p>
        </w:tc>
        <w:tc>
          <w:tcPr>
            <w:tcW w:w="2330" w:type="pct"/>
          </w:tcPr>
          <w:p w:rsidR="00A268D3" w:rsidRPr="002F3871" w:rsidRDefault="00A268D3" w:rsidP="00A268D3">
            <w:pPr>
              <w:jc w:val="both"/>
              <w:rPr>
                <w:sz w:val="20"/>
                <w:lang w:val="fr-CA"/>
              </w:rPr>
            </w:pPr>
            <w:r w:rsidRPr="002F3871">
              <w:rPr>
                <w:sz w:val="20"/>
                <w:lang w:val="fr-CA"/>
              </w:rPr>
              <w:t xml:space="preserve">Dépôt de la demande d’autorisation d’appel </w:t>
            </w:r>
          </w:p>
        </w:tc>
      </w:tr>
    </w:tbl>
    <w:p w:rsidR="00A268D3" w:rsidRPr="002F3871" w:rsidRDefault="00ED4247" w:rsidP="00A268D3">
      <w:pPr>
        <w:jc w:val="both"/>
        <w:rPr>
          <w:sz w:val="20"/>
          <w:lang w:val="fr-CA"/>
        </w:rPr>
      </w:pPr>
      <w:r>
        <w:rPr>
          <w:sz w:val="20"/>
          <w:szCs w:val="20"/>
        </w:rPr>
        <w:pict>
          <v:rect id="_x0000_i1060" style="width:2in;height:1pt" o:hrpct="0" o:hralign="center" o:hrstd="t" o:hrnoshade="t" o:hr="t" fillcolor="black" stroked="f"/>
        </w:pict>
      </w:r>
    </w:p>
    <w:p w:rsidR="00A268D3" w:rsidRPr="002F3871" w:rsidRDefault="00A268D3" w:rsidP="00A268D3">
      <w:pPr>
        <w:ind w:left="360" w:hanging="360"/>
        <w:jc w:val="both"/>
        <w:rPr>
          <w:sz w:val="20"/>
          <w:lang w:val="fr-CA" w:eastAsia="en-CA"/>
        </w:rPr>
      </w:pPr>
    </w:p>
    <w:p w:rsidR="00B12BC9" w:rsidRDefault="00B12BC9">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268D3" w:rsidRPr="002F3871" w:rsidTr="00A268D3">
        <w:tc>
          <w:tcPr>
            <w:tcW w:w="543" w:type="pct"/>
          </w:tcPr>
          <w:p w:rsidR="00A268D3" w:rsidRPr="002F3871" w:rsidRDefault="00A268D3" w:rsidP="00A268D3">
            <w:pPr>
              <w:jc w:val="both"/>
              <w:rPr>
                <w:sz w:val="20"/>
              </w:rPr>
            </w:pPr>
            <w:r w:rsidRPr="002F3871">
              <w:rPr>
                <w:rStyle w:val="SCCFileNumberChar"/>
                <w:sz w:val="20"/>
                <w:szCs w:val="20"/>
              </w:rPr>
              <w:lastRenderedPageBreak/>
              <w:t>37449</w:t>
            </w:r>
          </w:p>
        </w:tc>
        <w:tc>
          <w:tcPr>
            <w:tcW w:w="4457" w:type="pct"/>
            <w:gridSpan w:val="3"/>
          </w:tcPr>
          <w:p w:rsidR="00A268D3" w:rsidRPr="002F3871" w:rsidRDefault="00B12BC9" w:rsidP="00A268D3">
            <w:pPr>
              <w:jc w:val="both"/>
              <w:rPr>
                <w:sz w:val="20"/>
              </w:rPr>
            </w:pPr>
            <w:r w:rsidRPr="00B12BC9">
              <w:rPr>
                <w:rFonts w:eastAsia="Calibri" w:cs="Times New Roman"/>
                <w:b/>
                <w:sz w:val="20"/>
                <w:szCs w:val="20"/>
                <w:lang w:val="en-US"/>
              </w:rPr>
              <w:t xml:space="preserve">Chief Liz Logan in her own right and on behalf of the Members of the Fort Nelson First Nation v. Executive Director of the British Columbia Environmental Assessment Office, Canadian Silica Industries Inc. and Jeffrey Bond </w:t>
            </w:r>
            <w:r w:rsidR="00A268D3" w:rsidRPr="002F3871">
              <w:rPr>
                <w:sz w:val="20"/>
              </w:rPr>
              <w:t>(B.C.) (Civil) (By Leave)</w:t>
            </w:r>
          </w:p>
        </w:tc>
      </w:tr>
      <w:tr w:rsidR="00A268D3" w:rsidRPr="002F3871" w:rsidTr="00A268D3">
        <w:tc>
          <w:tcPr>
            <w:tcW w:w="543" w:type="pct"/>
          </w:tcPr>
          <w:p w:rsidR="00A268D3" w:rsidRPr="002F3871" w:rsidRDefault="00A268D3" w:rsidP="00A268D3">
            <w:pPr>
              <w:jc w:val="both"/>
              <w:rPr>
                <w:rStyle w:val="SCCFileNumberChar"/>
                <w:sz w:val="20"/>
                <w:szCs w:val="20"/>
              </w:rPr>
            </w:pPr>
            <w:r>
              <w:rPr>
                <w:rStyle w:val="SCCFileNumberChar"/>
                <w:sz w:val="20"/>
                <w:szCs w:val="20"/>
              </w:rPr>
              <w:t>Coram:</w:t>
            </w:r>
          </w:p>
        </w:tc>
        <w:tc>
          <w:tcPr>
            <w:tcW w:w="4457" w:type="pct"/>
            <w:gridSpan w:val="3"/>
          </w:tcPr>
          <w:p w:rsidR="00A268D3" w:rsidRDefault="00B12BC9" w:rsidP="00A268D3">
            <w:pPr>
              <w:pStyle w:val="SCCLsocParty"/>
              <w:jc w:val="both"/>
              <w:rPr>
                <w:sz w:val="20"/>
                <w:szCs w:val="20"/>
                <w:lang w:val="en-US"/>
              </w:rPr>
            </w:pPr>
            <w:r w:rsidRPr="00B12BC9">
              <w:rPr>
                <w:sz w:val="20"/>
                <w:szCs w:val="20"/>
                <w:lang w:val="en-US"/>
              </w:rPr>
              <w:t>McLachlin C.J. and Abella, Moldaver, Karakatsanis, Wagner, Gascon, Côté, Brown and Rowe JJ.</w:t>
            </w:r>
          </w:p>
          <w:p w:rsidR="00B12BC9" w:rsidRPr="00B12BC9" w:rsidRDefault="00B12BC9" w:rsidP="00B12BC9">
            <w:pPr>
              <w:rPr>
                <w:lang w:val="en-US"/>
              </w:rPr>
            </w:pPr>
          </w:p>
        </w:tc>
      </w:tr>
      <w:tr w:rsidR="00A268D3" w:rsidRPr="002F3871" w:rsidTr="00A268D3">
        <w:tc>
          <w:tcPr>
            <w:tcW w:w="5000" w:type="pct"/>
            <w:gridSpan w:val="4"/>
          </w:tcPr>
          <w:p w:rsidR="00A268D3" w:rsidRDefault="00B12BC9" w:rsidP="00A268D3">
            <w:pPr>
              <w:pStyle w:val="SCCLsocParty"/>
              <w:jc w:val="both"/>
              <w:rPr>
                <w:sz w:val="20"/>
                <w:szCs w:val="20"/>
                <w:lang w:val="en-US"/>
              </w:rPr>
            </w:pPr>
            <w:r w:rsidRPr="00B12BC9">
              <w:rPr>
                <w:sz w:val="20"/>
                <w:szCs w:val="20"/>
                <w:lang w:val="en-US"/>
              </w:rPr>
              <w:t>The application for leave to appeal from the judgment of the Court of Appeal for British Columbia (Vancouver), Numbers CA42996 and CA42997, 2016 BCCA 500, dated December 19, 2016, is dismissed with costs.</w:t>
            </w:r>
          </w:p>
          <w:p w:rsidR="00B12BC9" w:rsidRPr="00B12BC9" w:rsidRDefault="00B12BC9" w:rsidP="00B12BC9">
            <w:pPr>
              <w:rPr>
                <w:lang w:val="en-US"/>
              </w:rPr>
            </w:pPr>
          </w:p>
        </w:tc>
      </w:tr>
      <w:tr w:rsidR="00A268D3" w:rsidRPr="002F3871" w:rsidTr="00A268D3">
        <w:tc>
          <w:tcPr>
            <w:tcW w:w="5000" w:type="pct"/>
            <w:gridSpan w:val="4"/>
          </w:tcPr>
          <w:p w:rsidR="00A268D3" w:rsidRPr="002F3871" w:rsidRDefault="00A268D3" w:rsidP="00A268D3">
            <w:pPr>
              <w:jc w:val="both"/>
              <w:rPr>
                <w:sz w:val="20"/>
              </w:rPr>
            </w:pPr>
            <w:r w:rsidRPr="002F3871">
              <w:rPr>
                <w:sz w:val="20"/>
              </w:rPr>
              <w:t xml:space="preserve">Aboriginal law — Administrative law — Judicial review — Environmental assessments — Respondent’s proposed frac sand mine project is located within applicant First Nation’s traditional territory — Respondents applied to move mine into production — First Nation wrote to respondent Environmental Assessment Office (EAO), expressing concern that project was reviewable under </w:t>
            </w:r>
            <w:r w:rsidRPr="002F3871">
              <w:rPr>
                <w:i/>
                <w:sz w:val="20"/>
              </w:rPr>
              <w:t>Environmental Assessment Act</w:t>
            </w:r>
            <w:r w:rsidRPr="002F3871">
              <w:rPr>
                <w:sz w:val="20"/>
              </w:rPr>
              <w:t xml:space="preserve">, S.B.C. 2002, c. 43, and </w:t>
            </w:r>
            <w:r w:rsidRPr="002F3871">
              <w:rPr>
                <w:i/>
                <w:sz w:val="20"/>
              </w:rPr>
              <w:t>Reviewable Projects Regulation</w:t>
            </w:r>
            <w:r w:rsidRPr="002F3871">
              <w:rPr>
                <w:sz w:val="20"/>
              </w:rPr>
              <w:t>, B.C. Reg. 370/2002, and therefore requiring environmental assessment — EAO interpreted term “production capacity” to mean amount of sand and gravel sold or used in operation — Under EAO’s interpretation, project not automatically reviewable — First Nation disagreed and brought petition for judicial review, on grounds that EAO’s interpretation of term was unreasonable and that EAO failed to satisfy duty to consult — Chambers judge found EAO’s interpretation unreasonable — Court of Appeal however found EAO’s interpretation unreviewable and allowed appeal — Whether EAO and other environmental assessment agencies across Canada have power to interpret and apply regulatory thresholds under their home statutes in order to uphold purpose and operation of statutes — Whether EAO and other environmental assessment agencies can avoid judicial review by disavowing legal effects of their conduct, even when conduct has real consequences for proponents, other government officials and interested parties — Whether Court of Appeal erred in finding EAO’s decision reasonable — Whether interpretation and application of regulation is strategic, higher-level decision that triggers Crown’s duty to consult.</w:t>
            </w:r>
          </w:p>
        </w:tc>
      </w:tr>
      <w:tr w:rsidR="00A268D3" w:rsidRPr="002F3871" w:rsidTr="00A268D3">
        <w:tc>
          <w:tcPr>
            <w:tcW w:w="5000" w:type="pct"/>
            <w:gridSpan w:val="4"/>
          </w:tcPr>
          <w:p w:rsidR="00A268D3" w:rsidRPr="002F3871" w:rsidRDefault="00A268D3" w:rsidP="00A268D3">
            <w:pPr>
              <w:jc w:val="both"/>
              <w:rPr>
                <w:sz w:val="20"/>
              </w:rPr>
            </w:pPr>
          </w:p>
        </w:tc>
      </w:tr>
      <w:tr w:rsidR="00A268D3" w:rsidRPr="002F3871" w:rsidTr="00A268D3">
        <w:tc>
          <w:tcPr>
            <w:tcW w:w="5000" w:type="pct"/>
            <w:gridSpan w:val="4"/>
          </w:tcPr>
          <w:p w:rsidR="00A268D3" w:rsidRPr="002F3871" w:rsidRDefault="00A268D3" w:rsidP="00A268D3">
            <w:pPr>
              <w:jc w:val="both"/>
              <w:rPr>
                <w:sz w:val="20"/>
              </w:rPr>
            </w:pPr>
            <w:r w:rsidRPr="002F3871">
              <w:rPr>
                <w:sz w:val="20"/>
              </w:rPr>
              <w:t xml:space="preserve">This leave application relates to a frac sand mine project located within the traditional territory of the applicant Fort Nelson First Nation. The respondents Canadian Silica Industries Inc. and Jeffrey Bond (collectively, the “CSI”) had applied to move the mine into production. The First Nation wrote to the respondent Environmental Assessment Office (the “EAO”), expressing concern that the project was reviewable under the </w:t>
            </w:r>
            <w:r w:rsidRPr="002F3871">
              <w:rPr>
                <w:i/>
                <w:sz w:val="20"/>
              </w:rPr>
              <w:t>Environmental Assessment Act</w:t>
            </w:r>
            <w:r w:rsidRPr="002F3871">
              <w:rPr>
                <w:sz w:val="20"/>
              </w:rPr>
              <w:t xml:space="preserve">, S.B.C. 2002, c. 43 (the “EAA”), and the </w:t>
            </w:r>
            <w:r w:rsidRPr="002F3871">
              <w:rPr>
                <w:i/>
                <w:sz w:val="20"/>
              </w:rPr>
              <w:t>Reviewable Projects Regulation</w:t>
            </w:r>
            <w:r w:rsidRPr="002F3871">
              <w:rPr>
                <w:sz w:val="20"/>
              </w:rPr>
              <w:t>, B.C. Reg. 370/2002 (the “Regulation”), and therefore requiring an environmental assessment. It argued that production capacity for the project exceeded the numeric threshold for reviewability based on the total amount of sand and gravel to be excavated. Before the EAO could respond to the First Nation, the CSI sent a letter seeking confirmation of its view that the project was not reviewable because the production level for products to be sold and used from the operation would be less than the threshold. The EAO wrote back to the CSI, placing responsibility with the CSI to determine whether the project met the threshold for reviewability. In the letter, the EAO stated that a project with the capacity of the CSI’s mine would not be reviewable. The EAO then responded to the First Nation, acknowledging the First Nation’s interpretation of the term “production capacity”, while reiterating its own position that “production capacity” included only sand and gravel produced for sale or use, not all excavated material. Further correspondence was exchanged between the EAO and the First Nation before the First Nation commenced its petition for judicial review. On judicial review, the chambers judge found that the EAO’s interpretation was unreasonable. On appeal, however, that decision was set aside.</w:t>
            </w:r>
          </w:p>
          <w:p w:rsidR="00A268D3" w:rsidRPr="002F3871" w:rsidRDefault="00A268D3" w:rsidP="00A268D3">
            <w:pPr>
              <w:jc w:val="both"/>
              <w:rPr>
                <w:sz w:val="20"/>
              </w:rPr>
            </w:pPr>
          </w:p>
        </w:tc>
      </w:tr>
      <w:tr w:rsidR="00A268D3" w:rsidRPr="002F3871" w:rsidTr="00A268D3">
        <w:tc>
          <w:tcPr>
            <w:tcW w:w="2427" w:type="pct"/>
            <w:gridSpan w:val="2"/>
          </w:tcPr>
          <w:p w:rsidR="00A268D3" w:rsidRPr="002F3871" w:rsidRDefault="00A268D3" w:rsidP="00A268D3">
            <w:pPr>
              <w:jc w:val="both"/>
              <w:rPr>
                <w:sz w:val="20"/>
              </w:rPr>
            </w:pPr>
            <w:r w:rsidRPr="002F3871">
              <w:rPr>
                <w:sz w:val="20"/>
              </w:rPr>
              <w:t>July 7, 2015</w:t>
            </w:r>
          </w:p>
          <w:p w:rsidR="00A268D3" w:rsidRPr="002F3871" w:rsidRDefault="00A268D3" w:rsidP="00A268D3">
            <w:pPr>
              <w:jc w:val="both"/>
              <w:rPr>
                <w:sz w:val="20"/>
              </w:rPr>
            </w:pPr>
            <w:r w:rsidRPr="002F3871">
              <w:rPr>
                <w:sz w:val="20"/>
              </w:rPr>
              <w:t>Supreme Court of British Columbia</w:t>
            </w:r>
          </w:p>
          <w:p w:rsidR="00A268D3" w:rsidRPr="002F3871" w:rsidRDefault="00A268D3" w:rsidP="00A268D3">
            <w:pPr>
              <w:jc w:val="both"/>
              <w:rPr>
                <w:sz w:val="20"/>
              </w:rPr>
            </w:pPr>
            <w:r w:rsidRPr="002F3871">
              <w:rPr>
                <w:sz w:val="20"/>
              </w:rPr>
              <w:t>(Davies J.)</w:t>
            </w:r>
          </w:p>
          <w:p w:rsidR="00A268D3" w:rsidRPr="002F3871" w:rsidRDefault="00ED4247" w:rsidP="00A268D3">
            <w:pPr>
              <w:jc w:val="both"/>
              <w:rPr>
                <w:sz w:val="20"/>
              </w:rPr>
            </w:pPr>
            <w:hyperlink r:id="rId36" w:history="1">
              <w:r w:rsidR="00A268D3" w:rsidRPr="002F3871">
                <w:rPr>
                  <w:rStyle w:val="Hyperlink"/>
                  <w:sz w:val="20"/>
                </w:rPr>
                <w:t>2015 BCSC 1180</w:t>
              </w:r>
            </w:hyperlink>
          </w:p>
          <w:p w:rsidR="00A268D3" w:rsidRPr="002F3871" w:rsidRDefault="00A268D3" w:rsidP="00A268D3">
            <w:pPr>
              <w:jc w:val="both"/>
              <w:rPr>
                <w:sz w:val="20"/>
              </w:rPr>
            </w:pPr>
          </w:p>
        </w:tc>
        <w:tc>
          <w:tcPr>
            <w:tcW w:w="243" w:type="pct"/>
          </w:tcPr>
          <w:p w:rsidR="00A268D3" w:rsidRPr="002F3871" w:rsidRDefault="00A268D3" w:rsidP="00A268D3">
            <w:pPr>
              <w:jc w:val="both"/>
              <w:rPr>
                <w:sz w:val="20"/>
              </w:rPr>
            </w:pPr>
          </w:p>
        </w:tc>
        <w:tc>
          <w:tcPr>
            <w:tcW w:w="2330" w:type="pct"/>
          </w:tcPr>
          <w:p w:rsidR="00A268D3" w:rsidRPr="002F3871" w:rsidRDefault="00A268D3" w:rsidP="00A268D3">
            <w:pPr>
              <w:jc w:val="both"/>
              <w:rPr>
                <w:sz w:val="20"/>
              </w:rPr>
            </w:pPr>
            <w:r w:rsidRPr="002F3871">
              <w:rPr>
                <w:sz w:val="20"/>
              </w:rPr>
              <w:t>On judicial review, Environmental Assessment Office decision that mine not reviewable project set aside.</w:t>
            </w:r>
          </w:p>
          <w:p w:rsidR="00A268D3" w:rsidRPr="002F3871" w:rsidRDefault="00A268D3" w:rsidP="00A268D3">
            <w:pPr>
              <w:jc w:val="both"/>
              <w:rPr>
                <w:sz w:val="20"/>
              </w:rPr>
            </w:pPr>
          </w:p>
        </w:tc>
      </w:tr>
      <w:tr w:rsidR="00A268D3" w:rsidRPr="002F3871" w:rsidTr="00A268D3">
        <w:tc>
          <w:tcPr>
            <w:tcW w:w="2427" w:type="pct"/>
            <w:gridSpan w:val="2"/>
          </w:tcPr>
          <w:p w:rsidR="00A268D3" w:rsidRPr="002F3871" w:rsidRDefault="00A268D3" w:rsidP="00A268D3">
            <w:pPr>
              <w:jc w:val="both"/>
              <w:rPr>
                <w:sz w:val="20"/>
              </w:rPr>
            </w:pPr>
            <w:r w:rsidRPr="002F3871">
              <w:rPr>
                <w:sz w:val="20"/>
              </w:rPr>
              <w:t>December 19, 2016</w:t>
            </w:r>
          </w:p>
          <w:p w:rsidR="00A268D3" w:rsidRPr="002F3871" w:rsidRDefault="00A268D3" w:rsidP="00A268D3">
            <w:pPr>
              <w:jc w:val="both"/>
              <w:rPr>
                <w:sz w:val="20"/>
              </w:rPr>
            </w:pPr>
            <w:r w:rsidRPr="002F3871">
              <w:rPr>
                <w:sz w:val="20"/>
              </w:rPr>
              <w:t>Court of Appeal for British Columbia (Vancouver)</w:t>
            </w:r>
          </w:p>
          <w:p w:rsidR="00A268D3" w:rsidRPr="002F3871" w:rsidRDefault="00A268D3" w:rsidP="00A268D3">
            <w:pPr>
              <w:jc w:val="both"/>
              <w:rPr>
                <w:sz w:val="20"/>
              </w:rPr>
            </w:pPr>
            <w:r w:rsidRPr="002F3871">
              <w:rPr>
                <w:sz w:val="20"/>
              </w:rPr>
              <w:t>(Frankel, Garson and Harris JJ.A.)</w:t>
            </w:r>
          </w:p>
          <w:p w:rsidR="00A268D3" w:rsidRPr="002F3871" w:rsidRDefault="00ED4247" w:rsidP="00A268D3">
            <w:pPr>
              <w:jc w:val="both"/>
              <w:rPr>
                <w:sz w:val="20"/>
              </w:rPr>
            </w:pPr>
            <w:hyperlink r:id="rId37" w:history="1">
              <w:r w:rsidR="00A268D3" w:rsidRPr="002F3871">
                <w:rPr>
                  <w:rStyle w:val="Hyperlink"/>
                  <w:sz w:val="20"/>
                </w:rPr>
                <w:t>2016 BCCA 500</w:t>
              </w:r>
            </w:hyperlink>
          </w:p>
          <w:p w:rsidR="00A268D3" w:rsidRPr="002F3871" w:rsidRDefault="00A268D3" w:rsidP="00A268D3">
            <w:pPr>
              <w:jc w:val="both"/>
              <w:rPr>
                <w:sz w:val="20"/>
              </w:rPr>
            </w:pPr>
          </w:p>
        </w:tc>
        <w:tc>
          <w:tcPr>
            <w:tcW w:w="243" w:type="pct"/>
          </w:tcPr>
          <w:p w:rsidR="00A268D3" w:rsidRPr="002F3871" w:rsidRDefault="00A268D3" w:rsidP="00A268D3">
            <w:pPr>
              <w:jc w:val="both"/>
              <w:rPr>
                <w:sz w:val="20"/>
              </w:rPr>
            </w:pPr>
          </w:p>
        </w:tc>
        <w:tc>
          <w:tcPr>
            <w:tcW w:w="2330" w:type="pct"/>
          </w:tcPr>
          <w:p w:rsidR="00A268D3" w:rsidRPr="002F3871" w:rsidRDefault="00A268D3" w:rsidP="00A268D3">
            <w:pPr>
              <w:jc w:val="both"/>
              <w:rPr>
                <w:sz w:val="20"/>
              </w:rPr>
            </w:pPr>
            <w:r w:rsidRPr="002F3871">
              <w:rPr>
                <w:sz w:val="20"/>
              </w:rPr>
              <w:t>Appeal allowed.</w:t>
            </w:r>
          </w:p>
          <w:p w:rsidR="00A268D3" w:rsidRPr="002F3871" w:rsidRDefault="00A268D3" w:rsidP="00A268D3">
            <w:pPr>
              <w:jc w:val="both"/>
              <w:rPr>
                <w:sz w:val="20"/>
              </w:rPr>
            </w:pPr>
          </w:p>
        </w:tc>
      </w:tr>
      <w:tr w:rsidR="00A268D3" w:rsidRPr="002F3871" w:rsidTr="00A268D3">
        <w:tc>
          <w:tcPr>
            <w:tcW w:w="2427" w:type="pct"/>
            <w:gridSpan w:val="2"/>
          </w:tcPr>
          <w:p w:rsidR="00A268D3" w:rsidRPr="002F3871" w:rsidRDefault="00A268D3" w:rsidP="00A268D3">
            <w:pPr>
              <w:jc w:val="both"/>
              <w:rPr>
                <w:sz w:val="20"/>
              </w:rPr>
            </w:pPr>
            <w:r w:rsidRPr="002F3871">
              <w:rPr>
                <w:sz w:val="20"/>
              </w:rPr>
              <w:lastRenderedPageBreak/>
              <w:t>February 17, 2017</w:t>
            </w:r>
          </w:p>
          <w:p w:rsidR="00A268D3" w:rsidRPr="002F3871" w:rsidRDefault="00A268D3" w:rsidP="00A268D3">
            <w:pPr>
              <w:jc w:val="both"/>
              <w:rPr>
                <w:sz w:val="20"/>
              </w:rPr>
            </w:pPr>
            <w:r w:rsidRPr="002F3871">
              <w:rPr>
                <w:sz w:val="20"/>
              </w:rPr>
              <w:t>Supreme Court of Canada</w:t>
            </w:r>
          </w:p>
        </w:tc>
        <w:tc>
          <w:tcPr>
            <w:tcW w:w="243" w:type="pct"/>
          </w:tcPr>
          <w:p w:rsidR="00A268D3" w:rsidRPr="002F3871" w:rsidRDefault="00A268D3" w:rsidP="00A268D3">
            <w:pPr>
              <w:jc w:val="both"/>
              <w:rPr>
                <w:sz w:val="20"/>
              </w:rPr>
            </w:pPr>
          </w:p>
        </w:tc>
        <w:tc>
          <w:tcPr>
            <w:tcW w:w="2330" w:type="pct"/>
          </w:tcPr>
          <w:p w:rsidR="00A268D3" w:rsidRPr="002F3871" w:rsidRDefault="00A268D3" w:rsidP="00A268D3">
            <w:pPr>
              <w:jc w:val="both"/>
              <w:rPr>
                <w:sz w:val="20"/>
              </w:rPr>
            </w:pPr>
            <w:r w:rsidRPr="002F3871">
              <w:rPr>
                <w:sz w:val="20"/>
              </w:rPr>
              <w:t>Application for leave to appeal filed.</w:t>
            </w:r>
          </w:p>
          <w:p w:rsidR="00A268D3" w:rsidRPr="002F3871" w:rsidRDefault="00A268D3" w:rsidP="00A268D3">
            <w:pPr>
              <w:jc w:val="both"/>
              <w:rPr>
                <w:sz w:val="20"/>
              </w:rPr>
            </w:pPr>
          </w:p>
        </w:tc>
      </w:tr>
    </w:tbl>
    <w:p w:rsidR="00A268D3" w:rsidRPr="002F3871" w:rsidRDefault="00ED4247" w:rsidP="00A268D3">
      <w:pPr>
        <w:jc w:val="both"/>
        <w:rPr>
          <w:sz w:val="20"/>
        </w:rPr>
      </w:pPr>
      <w:r>
        <w:rPr>
          <w:sz w:val="20"/>
          <w:szCs w:val="20"/>
        </w:rPr>
        <w:pict>
          <v:rect id="_x0000_i1061" style="width:2in;height:1pt" o:hrpct="0" o:hralign="center" o:hrstd="t" o:hrnoshade="t" o:hr="t" fillcolor="black" stroked="f"/>
        </w:pict>
      </w:r>
    </w:p>
    <w:p w:rsidR="00A268D3" w:rsidRPr="002F3871" w:rsidRDefault="00A268D3" w:rsidP="00A268D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268D3" w:rsidRPr="00224C9D" w:rsidTr="00A268D3">
        <w:tc>
          <w:tcPr>
            <w:tcW w:w="543" w:type="pct"/>
          </w:tcPr>
          <w:p w:rsidR="00A268D3" w:rsidRPr="002F3871" w:rsidRDefault="00A268D3" w:rsidP="00A268D3">
            <w:pPr>
              <w:jc w:val="both"/>
              <w:rPr>
                <w:sz w:val="20"/>
                <w:lang w:val="fr-CA"/>
              </w:rPr>
            </w:pPr>
            <w:r w:rsidRPr="002F3871">
              <w:rPr>
                <w:rStyle w:val="SCCFileNumberChar"/>
                <w:sz w:val="20"/>
                <w:szCs w:val="20"/>
                <w:lang w:val="fr-CA"/>
              </w:rPr>
              <w:t>37449</w:t>
            </w:r>
          </w:p>
        </w:tc>
        <w:tc>
          <w:tcPr>
            <w:tcW w:w="4457" w:type="pct"/>
            <w:gridSpan w:val="3"/>
          </w:tcPr>
          <w:p w:rsidR="00A268D3" w:rsidRPr="002F3871" w:rsidRDefault="00B12BC9" w:rsidP="00A268D3">
            <w:pPr>
              <w:jc w:val="both"/>
              <w:rPr>
                <w:sz w:val="20"/>
                <w:lang w:val="fr-CA"/>
              </w:rPr>
            </w:pPr>
            <w:r w:rsidRPr="00B12BC9">
              <w:rPr>
                <w:rFonts w:eastAsia="Calibri" w:cs="Times New Roman"/>
                <w:b/>
                <w:sz w:val="20"/>
                <w:szCs w:val="20"/>
                <w:lang w:val="fr-CA"/>
              </w:rPr>
              <w:t xml:space="preserve">Chief Liz Logan à titre personnel et au nom des membres de Fort Nelson First Nation c. Executive Director of the British Columbia Environmental Assessment Office, Canadian Silica Industries Inc. et Jeffrey Bond </w:t>
            </w:r>
            <w:r w:rsidR="00A268D3" w:rsidRPr="002F3871">
              <w:rPr>
                <w:sz w:val="20"/>
                <w:lang w:val="fr-CA"/>
              </w:rPr>
              <w:t>(C.-B.) (Civile) (Sur autorisation)</w:t>
            </w:r>
          </w:p>
        </w:tc>
      </w:tr>
      <w:tr w:rsidR="00A268D3" w:rsidRPr="00ED4247" w:rsidTr="00A268D3">
        <w:tc>
          <w:tcPr>
            <w:tcW w:w="543" w:type="pct"/>
          </w:tcPr>
          <w:p w:rsidR="00A268D3" w:rsidRPr="002F3871" w:rsidRDefault="00A268D3" w:rsidP="00A268D3">
            <w:pPr>
              <w:jc w:val="both"/>
              <w:rPr>
                <w:rStyle w:val="SCCFileNumberChar"/>
                <w:sz w:val="20"/>
                <w:szCs w:val="20"/>
                <w:lang w:val="fr-CA"/>
              </w:rPr>
            </w:pPr>
            <w:r>
              <w:rPr>
                <w:rStyle w:val="SCCFileNumberChar"/>
                <w:sz w:val="20"/>
                <w:szCs w:val="20"/>
                <w:lang w:val="fr-CA"/>
              </w:rPr>
              <w:t>Coram :</w:t>
            </w:r>
          </w:p>
        </w:tc>
        <w:tc>
          <w:tcPr>
            <w:tcW w:w="4457" w:type="pct"/>
            <w:gridSpan w:val="3"/>
          </w:tcPr>
          <w:p w:rsidR="00A268D3" w:rsidRDefault="00B12BC9" w:rsidP="00A268D3">
            <w:pPr>
              <w:pStyle w:val="SCCLsocParty"/>
              <w:jc w:val="both"/>
              <w:rPr>
                <w:sz w:val="20"/>
                <w:szCs w:val="20"/>
                <w:lang w:val="fr-FR"/>
              </w:rPr>
            </w:pPr>
            <w:r w:rsidRPr="00962759">
              <w:rPr>
                <w:sz w:val="20"/>
                <w:szCs w:val="20"/>
                <w:lang w:val="fr-FR"/>
              </w:rPr>
              <w:t>La juge en chef McLachlin et les juges Abella, Moldaver, Karakatsanis, Wagner, Gascon, Côté, Brown et Rowe</w:t>
            </w:r>
          </w:p>
          <w:p w:rsidR="00B12BC9" w:rsidRPr="00B12BC9" w:rsidRDefault="00B12BC9" w:rsidP="00B12BC9">
            <w:pPr>
              <w:rPr>
                <w:lang w:val="fr-FR"/>
              </w:rPr>
            </w:pPr>
          </w:p>
        </w:tc>
      </w:tr>
      <w:tr w:rsidR="00A268D3" w:rsidRPr="00ED4247" w:rsidTr="00A268D3">
        <w:tc>
          <w:tcPr>
            <w:tcW w:w="5000" w:type="pct"/>
            <w:gridSpan w:val="4"/>
          </w:tcPr>
          <w:p w:rsidR="00A268D3" w:rsidRDefault="00B12BC9" w:rsidP="00A268D3">
            <w:pPr>
              <w:pStyle w:val="SCCLsocParty"/>
              <w:jc w:val="both"/>
              <w:rPr>
                <w:sz w:val="20"/>
                <w:szCs w:val="20"/>
              </w:rPr>
            </w:pPr>
            <w:r w:rsidRPr="00962759">
              <w:rPr>
                <w:sz w:val="20"/>
                <w:szCs w:val="20"/>
              </w:rPr>
              <w:t xml:space="preserve">La demande d’autorisation d’appel de l’arrêt de la </w:t>
            </w:r>
            <w:r w:rsidRPr="00962759">
              <w:rPr>
                <w:sz w:val="20"/>
                <w:szCs w:val="20"/>
                <w:lang w:val="fr-FR"/>
              </w:rPr>
              <w:t>Cour d’appel de la Colombie-Britannique (Vancouver)</w:t>
            </w:r>
            <w:r w:rsidRPr="00962759">
              <w:rPr>
                <w:sz w:val="20"/>
                <w:szCs w:val="20"/>
              </w:rPr>
              <w:t xml:space="preserve">, numéros </w:t>
            </w:r>
            <w:r w:rsidRPr="00962759">
              <w:rPr>
                <w:sz w:val="20"/>
                <w:szCs w:val="20"/>
                <w:lang w:val="fr-FR"/>
              </w:rPr>
              <w:t xml:space="preserve"> CA42996 et CA42997</w:t>
            </w:r>
            <w:r w:rsidRPr="00962759">
              <w:rPr>
                <w:sz w:val="20"/>
                <w:szCs w:val="20"/>
              </w:rPr>
              <w:t xml:space="preserve">, </w:t>
            </w:r>
            <w:r w:rsidRPr="00962759">
              <w:rPr>
                <w:sz w:val="20"/>
                <w:szCs w:val="20"/>
                <w:lang w:val="fr-FR"/>
              </w:rPr>
              <w:t xml:space="preserve">2016 BCCA 500, </w:t>
            </w:r>
            <w:r w:rsidRPr="00962759">
              <w:rPr>
                <w:sz w:val="20"/>
                <w:szCs w:val="20"/>
              </w:rPr>
              <w:t xml:space="preserve">daté du </w:t>
            </w:r>
            <w:r w:rsidRPr="00962759">
              <w:rPr>
                <w:sz w:val="20"/>
                <w:szCs w:val="20"/>
                <w:lang w:val="fr-FR"/>
              </w:rPr>
              <w:t>19 décembre 2016</w:t>
            </w:r>
            <w:r w:rsidRPr="00962759">
              <w:rPr>
                <w:sz w:val="20"/>
                <w:szCs w:val="20"/>
              </w:rPr>
              <w:t>, est rejetée avec dépens.</w:t>
            </w:r>
          </w:p>
          <w:p w:rsidR="00B12BC9" w:rsidRPr="00B12BC9" w:rsidRDefault="00B12BC9" w:rsidP="00B12BC9">
            <w:pPr>
              <w:rPr>
                <w:lang w:val="fr-CA"/>
              </w:rPr>
            </w:pPr>
          </w:p>
        </w:tc>
      </w:tr>
      <w:tr w:rsidR="00A268D3" w:rsidRPr="00ED4247" w:rsidTr="00A268D3">
        <w:tc>
          <w:tcPr>
            <w:tcW w:w="5000" w:type="pct"/>
            <w:gridSpan w:val="4"/>
          </w:tcPr>
          <w:p w:rsidR="00A268D3" w:rsidRPr="002F3871" w:rsidRDefault="00A268D3" w:rsidP="00A268D3">
            <w:pPr>
              <w:jc w:val="both"/>
              <w:rPr>
                <w:sz w:val="20"/>
                <w:lang w:val="fr-CA"/>
              </w:rPr>
            </w:pPr>
            <w:r w:rsidRPr="002F3871">
              <w:rPr>
                <w:sz w:val="20"/>
                <w:lang w:val="fr-CA"/>
              </w:rPr>
              <w:t>Droit des Autochtones — Droit administratif — Contrôle judiciaire — Évaluations environnementales — Le projet de mine de sable de fractionnement de l’intimée est situé à l’intérieur du territoire traditionnel de la Première Nation demanderesse — Les intimés ont présenté une demande de mise en production de la mine — La Première Nation a écrit au bureau des évaluations environnementales intimé (le Bureau) pour lui faire part de ses préoccupations, à savoir que le projet était assujetti à la procédure d’examen en application de l’</w:t>
            </w:r>
            <w:r w:rsidRPr="002F3871">
              <w:rPr>
                <w:i/>
                <w:sz w:val="20"/>
                <w:lang w:val="fr-CA"/>
              </w:rPr>
              <w:t>Environmental Assessment Act</w:t>
            </w:r>
            <w:r w:rsidRPr="002F3871">
              <w:rPr>
                <w:sz w:val="20"/>
                <w:lang w:val="fr-CA"/>
              </w:rPr>
              <w:t xml:space="preserve">, S.B.C. 2002, ch. 43, et du </w:t>
            </w:r>
            <w:r w:rsidRPr="002F3871">
              <w:rPr>
                <w:i/>
                <w:sz w:val="20"/>
                <w:lang w:val="fr-CA"/>
              </w:rPr>
              <w:t>Reviewable Projects Regulation</w:t>
            </w:r>
            <w:r w:rsidRPr="002F3871">
              <w:rPr>
                <w:sz w:val="20"/>
                <w:lang w:val="fr-CA"/>
              </w:rPr>
              <w:t>, B.C. Reg. 370/2002, si bien qu’une évaluation environnementale était nécessaire — Le Bureau a interprété l’expression « </w:t>
            </w:r>
            <w:r w:rsidRPr="002F3871">
              <w:rPr>
                <w:i/>
                <w:sz w:val="20"/>
                <w:lang w:val="fr-CA"/>
              </w:rPr>
              <w:t>production capacity</w:t>
            </w:r>
            <w:r w:rsidRPr="002F3871">
              <w:rPr>
                <w:sz w:val="20"/>
                <w:lang w:val="fr-CA"/>
              </w:rPr>
              <w:t> » comme voulant dire la quantité de sable et de gravier vendue ou utilisée pendant l’exploitation — Selon l’interprétation du Bureau, le projet n’était pas automatiquement assujetti à la procédure d’examen — La Première Nation n’était pas de cet avis et a présenté une requête en contrôle judiciaire, alléguant que l’interprétation de l’expression était déraisonnable et que le Bureau ne s’était pas acquitté de son obligation de consulter — Le juge en cabinet a conclu que l’interprétation du Bureau était déraisonnable — Toutefois, la Cour d’appel a conclu que l’interprétation du Bureau n’était pas susceptible de révision et a accueilli l’appel — Le Bureau et les autres organismes d’évaluation environnementale au Canada ont-ils le pouvoir d’interpréter et d’appliquer les seuils réglementaires en application de leurs lois constitutives pour assurer la mise en œuvre de l’objet des lois et leur application? — Le Bureau et les autres organismes d’évaluation environnementale peuvent-ils se soustraire au contrôle judiciaire en désavouant les effets juridiques de leur conduite, même si leur conduite a des conséquences réelles pour les promoteurs, d’autres représentants du gouvernement et les parties intéressées? — La Cour d’appel a-t-elle eu tort de conclure que la décision du Bureau était raisonnable? — L’interprétation et l’application d’un règlement sont-elles une décision stratégique prise en haut lieu, ce donnant naissance à l’obligation de consulter qui incombe à la Couronne?</w:t>
            </w:r>
          </w:p>
        </w:tc>
      </w:tr>
      <w:tr w:rsidR="00A268D3" w:rsidRPr="00ED4247" w:rsidTr="00A268D3">
        <w:tc>
          <w:tcPr>
            <w:tcW w:w="5000" w:type="pct"/>
            <w:gridSpan w:val="4"/>
          </w:tcPr>
          <w:p w:rsidR="00A268D3" w:rsidRPr="002F3871" w:rsidRDefault="00A268D3" w:rsidP="00A268D3">
            <w:pPr>
              <w:jc w:val="both"/>
              <w:rPr>
                <w:sz w:val="20"/>
                <w:lang w:val="fr-CA"/>
              </w:rPr>
            </w:pPr>
          </w:p>
        </w:tc>
      </w:tr>
      <w:tr w:rsidR="00A268D3" w:rsidRPr="002F3871" w:rsidTr="00A268D3">
        <w:tc>
          <w:tcPr>
            <w:tcW w:w="5000" w:type="pct"/>
            <w:gridSpan w:val="4"/>
          </w:tcPr>
          <w:p w:rsidR="00A268D3" w:rsidRPr="002F3871" w:rsidRDefault="00A268D3" w:rsidP="00A268D3">
            <w:pPr>
              <w:jc w:val="both"/>
              <w:rPr>
                <w:sz w:val="20"/>
                <w:lang w:val="fr-CA"/>
              </w:rPr>
            </w:pPr>
            <w:r w:rsidRPr="002F3871">
              <w:rPr>
                <w:sz w:val="20"/>
                <w:lang w:val="fr-CA"/>
              </w:rPr>
              <w:t>La présente demande d’autorisation d’appel concerne un projet de mine de sable de fractionnement situé à l’intérieur du territoire traditionnel de la Première Nation de Fort Nelson, demanderesse. Les intimés, Canadian Silica Industries Inc. et Jeffrey Bond (collectivement, « CSI ») avaient présenté une demande de mise en production de la mine. La Première Nation a écrit au bureau des évaluations environnementales intimé (le Bureau) pour lui faire part de ses préoccupations, à savoir que le projet était assujetti à la procédure d’examen en application de l’</w:t>
            </w:r>
            <w:r w:rsidRPr="002F3871">
              <w:rPr>
                <w:i/>
                <w:sz w:val="20"/>
                <w:lang w:val="fr-CA"/>
              </w:rPr>
              <w:t>Environmental Assessment Act</w:t>
            </w:r>
            <w:r w:rsidRPr="002F3871">
              <w:rPr>
                <w:sz w:val="20"/>
                <w:lang w:val="fr-CA"/>
              </w:rPr>
              <w:t xml:space="preserve">, S.B.C. 2002, ch. 43 (la « Loi »), et du </w:t>
            </w:r>
            <w:r w:rsidRPr="002F3871">
              <w:rPr>
                <w:i/>
                <w:sz w:val="20"/>
                <w:lang w:val="fr-CA"/>
              </w:rPr>
              <w:t>Reviewable Projects Regulation</w:t>
            </w:r>
            <w:r w:rsidRPr="002F3871">
              <w:rPr>
                <w:sz w:val="20"/>
                <w:lang w:val="fr-CA"/>
              </w:rPr>
              <w:t>, B.C. Reg. 370/2002, (le « Règlement »), si bien qu’une évaluation environnementale était nécessaire. Elle a plaidé que la capacité de production du projet dépassait le seuil numérique qui assujettissait le projet à la procédure d’examen en fonction de la quantité totale de sable et de gravier qui devait être excavée. Avant que le Bureau puisse répondre à la Première Nation, CSI a envoyé une lettre demandant la confirmation de sa thèse selon laquelle le projet n’était pas assujetti à la procédure d’examen, puisque le niveau de production des matières qui devaient être vendues et utilisées à partir de l’exploitation de la mine serait en deçà du seuil. Le Bureau a répondu à la lettre de CSI, la chargeant de déterminer si le projet respectait le seuil d’assujettissement à la procédure d’examen. Dans la lettre, le Bureau a affirmé qu’un projet ayant la capacité de la mine de CSI ne serait pas assujetti à la procédure d’examen. Le Bureau a alors répondu à la Première Nation, reconnaissant l’interprétation donnée par la Première Nation à l’expression « </w:t>
            </w:r>
            <w:r w:rsidRPr="002F3871">
              <w:rPr>
                <w:i/>
                <w:sz w:val="20"/>
                <w:lang w:val="fr-CA"/>
              </w:rPr>
              <w:t>production capacity</w:t>
            </w:r>
            <w:r w:rsidRPr="002F3871">
              <w:rPr>
                <w:sz w:val="20"/>
                <w:lang w:val="fr-CA"/>
              </w:rPr>
              <w:t xml:space="preserve"> », tout en réitérant sa propre position selon laquelle cette expression ne comprenait que le sable et le gravier produits pour la vente ou l’utilisation, et non pas tout le matériel excavé. D’autres lettres ont été échangées entre le Bureau et la Première Nation avant que la Première Nation introduise </w:t>
            </w:r>
            <w:r w:rsidRPr="002F3871">
              <w:rPr>
                <w:sz w:val="20"/>
                <w:lang w:val="fr-CA"/>
              </w:rPr>
              <w:lastRenderedPageBreak/>
              <w:t xml:space="preserve">sa requête en contrôle judiciaire. Lors du contrôle judiciaire, le juge en cabinet a conclu que l’interprétation du Bureau était déraisonnable. Toutefois, en appel, cette décision a été infirmée. </w:t>
            </w:r>
          </w:p>
          <w:p w:rsidR="00A268D3" w:rsidRPr="002F3871" w:rsidRDefault="00A268D3" w:rsidP="00A268D3">
            <w:pPr>
              <w:jc w:val="both"/>
              <w:rPr>
                <w:sz w:val="20"/>
                <w:lang w:val="fr-CA"/>
              </w:rPr>
            </w:pPr>
          </w:p>
        </w:tc>
      </w:tr>
      <w:tr w:rsidR="00A268D3" w:rsidRPr="00ED4247" w:rsidTr="00A268D3">
        <w:tc>
          <w:tcPr>
            <w:tcW w:w="2427" w:type="pct"/>
            <w:gridSpan w:val="2"/>
          </w:tcPr>
          <w:p w:rsidR="00A268D3" w:rsidRPr="002F3871" w:rsidRDefault="00A268D3" w:rsidP="00A268D3">
            <w:pPr>
              <w:jc w:val="both"/>
              <w:rPr>
                <w:sz w:val="20"/>
                <w:lang w:val="fr-CA"/>
              </w:rPr>
            </w:pPr>
            <w:r w:rsidRPr="002F3871">
              <w:rPr>
                <w:sz w:val="20"/>
                <w:lang w:val="fr-CA"/>
              </w:rPr>
              <w:lastRenderedPageBreak/>
              <w:t>7 juillet 2015</w:t>
            </w:r>
          </w:p>
          <w:p w:rsidR="00A268D3" w:rsidRPr="002F3871" w:rsidRDefault="00A268D3" w:rsidP="00A268D3">
            <w:pPr>
              <w:jc w:val="both"/>
              <w:rPr>
                <w:sz w:val="20"/>
                <w:lang w:val="fr-CA"/>
              </w:rPr>
            </w:pPr>
            <w:r w:rsidRPr="002F3871">
              <w:rPr>
                <w:sz w:val="20"/>
                <w:lang w:val="fr-CA"/>
              </w:rPr>
              <w:t xml:space="preserve">Cour suprême de la Colombie-Britannique </w:t>
            </w:r>
          </w:p>
          <w:p w:rsidR="00A268D3" w:rsidRPr="002F3871" w:rsidRDefault="00A268D3" w:rsidP="00A268D3">
            <w:pPr>
              <w:jc w:val="both"/>
              <w:rPr>
                <w:sz w:val="20"/>
                <w:lang w:val="fr-CA"/>
              </w:rPr>
            </w:pPr>
            <w:r w:rsidRPr="002F3871">
              <w:rPr>
                <w:sz w:val="20"/>
                <w:lang w:val="fr-CA"/>
              </w:rPr>
              <w:t>(Juge Davies)</w:t>
            </w:r>
          </w:p>
          <w:p w:rsidR="00A268D3" w:rsidRPr="002F3871" w:rsidRDefault="00ED4247" w:rsidP="00A268D3">
            <w:pPr>
              <w:jc w:val="both"/>
              <w:rPr>
                <w:sz w:val="20"/>
                <w:lang w:val="fr-CA"/>
              </w:rPr>
            </w:pPr>
            <w:hyperlink r:id="rId38" w:history="1">
              <w:r w:rsidR="00A268D3" w:rsidRPr="002F3871">
                <w:rPr>
                  <w:rStyle w:val="Hyperlink"/>
                  <w:sz w:val="20"/>
                  <w:lang w:val="fr-CA"/>
                </w:rPr>
                <w:t>2015 BCSC 1180</w:t>
              </w:r>
            </w:hyperlink>
          </w:p>
          <w:p w:rsidR="00A268D3" w:rsidRPr="002F3871" w:rsidRDefault="00A268D3" w:rsidP="00A268D3">
            <w:pPr>
              <w:jc w:val="both"/>
              <w:rPr>
                <w:sz w:val="20"/>
                <w:lang w:val="fr-CA"/>
              </w:rPr>
            </w:pPr>
          </w:p>
        </w:tc>
        <w:tc>
          <w:tcPr>
            <w:tcW w:w="243" w:type="pct"/>
          </w:tcPr>
          <w:p w:rsidR="00A268D3" w:rsidRPr="002F3871" w:rsidRDefault="00A268D3" w:rsidP="00A268D3">
            <w:pPr>
              <w:jc w:val="both"/>
              <w:rPr>
                <w:sz w:val="20"/>
                <w:lang w:val="fr-CA"/>
              </w:rPr>
            </w:pPr>
          </w:p>
        </w:tc>
        <w:tc>
          <w:tcPr>
            <w:tcW w:w="2330" w:type="pct"/>
          </w:tcPr>
          <w:p w:rsidR="00A268D3" w:rsidRPr="002F3871" w:rsidRDefault="00A268D3" w:rsidP="00A268D3">
            <w:pPr>
              <w:jc w:val="both"/>
              <w:rPr>
                <w:sz w:val="20"/>
                <w:lang w:val="fr-CA"/>
              </w:rPr>
            </w:pPr>
            <w:r w:rsidRPr="002F3871">
              <w:rPr>
                <w:sz w:val="20"/>
                <w:lang w:val="fr-CA"/>
              </w:rPr>
              <w:t>Lors d’un contrôle judiciaire, annulation de la décision du bureau d’évaluation environnementale portant que la mine n’était pas un projet assujetti à la procédure d’examen.</w:t>
            </w:r>
          </w:p>
          <w:p w:rsidR="00A268D3" w:rsidRPr="002F3871" w:rsidRDefault="00A268D3" w:rsidP="00A268D3">
            <w:pPr>
              <w:jc w:val="both"/>
              <w:rPr>
                <w:sz w:val="20"/>
                <w:lang w:val="fr-CA"/>
              </w:rPr>
            </w:pPr>
          </w:p>
        </w:tc>
      </w:tr>
      <w:tr w:rsidR="00A268D3" w:rsidRPr="002F3871" w:rsidTr="00A268D3">
        <w:tc>
          <w:tcPr>
            <w:tcW w:w="2427" w:type="pct"/>
            <w:gridSpan w:val="2"/>
          </w:tcPr>
          <w:p w:rsidR="00A268D3" w:rsidRPr="002F3871" w:rsidRDefault="00A268D3" w:rsidP="00A268D3">
            <w:pPr>
              <w:jc w:val="both"/>
              <w:rPr>
                <w:sz w:val="20"/>
                <w:lang w:val="fr-CA"/>
              </w:rPr>
            </w:pPr>
            <w:r w:rsidRPr="002F3871">
              <w:rPr>
                <w:sz w:val="20"/>
                <w:lang w:val="fr-CA"/>
              </w:rPr>
              <w:t>19 décembre 2016</w:t>
            </w:r>
          </w:p>
          <w:p w:rsidR="00A268D3" w:rsidRPr="002F3871" w:rsidRDefault="00A268D3" w:rsidP="00A268D3">
            <w:pPr>
              <w:jc w:val="both"/>
              <w:rPr>
                <w:sz w:val="20"/>
                <w:lang w:val="fr-CA"/>
              </w:rPr>
            </w:pPr>
            <w:r w:rsidRPr="002F3871">
              <w:rPr>
                <w:sz w:val="20"/>
                <w:lang w:val="fr-CA"/>
              </w:rPr>
              <w:t>Cour d’appel de la Colombie-Britannique (Vancouver)</w:t>
            </w:r>
          </w:p>
          <w:p w:rsidR="00A268D3" w:rsidRPr="002F3871" w:rsidRDefault="00A268D3" w:rsidP="00A268D3">
            <w:pPr>
              <w:jc w:val="both"/>
              <w:rPr>
                <w:sz w:val="20"/>
                <w:lang w:val="fr-CA"/>
              </w:rPr>
            </w:pPr>
            <w:r w:rsidRPr="002F3871">
              <w:rPr>
                <w:sz w:val="20"/>
                <w:lang w:val="fr-CA"/>
              </w:rPr>
              <w:t>(Juges Frankel, Garson et Harris)</w:t>
            </w:r>
          </w:p>
          <w:p w:rsidR="00A268D3" w:rsidRPr="002F3871" w:rsidRDefault="00ED4247" w:rsidP="00A268D3">
            <w:pPr>
              <w:jc w:val="both"/>
              <w:rPr>
                <w:sz w:val="20"/>
                <w:lang w:val="fr-CA"/>
              </w:rPr>
            </w:pPr>
            <w:hyperlink r:id="rId39" w:history="1">
              <w:r w:rsidR="00A268D3" w:rsidRPr="002F3871">
                <w:rPr>
                  <w:rStyle w:val="Hyperlink"/>
                  <w:sz w:val="20"/>
                  <w:lang w:val="fr-CA"/>
                </w:rPr>
                <w:t>2016 BCCA 500</w:t>
              </w:r>
            </w:hyperlink>
          </w:p>
          <w:p w:rsidR="00A268D3" w:rsidRPr="002F3871" w:rsidRDefault="00A268D3" w:rsidP="00A268D3">
            <w:pPr>
              <w:jc w:val="both"/>
              <w:rPr>
                <w:sz w:val="20"/>
                <w:lang w:val="fr-CA"/>
              </w:rPr>
            </w:pPr>
          </w:p>
        </w:tc>
        <w:tc>
          <w:tcPr>
            <w:tcW w:w="243" w:type="pct"/>
          </w:tcPr>
          <w:p w:rsidR="00A268D3" w:rsidRPr="002F3871" w:rsidRDefault="00A268D3" w:rsidP="00A268D3">
            <w:pPr>
              <w:jc w:val="both"/>
              <w:rPr>
                <w:sz w:val="20"/>
                <w:lang w:val="fr-CA"/>
              </w:rPr>
            </w:pPr>
          </w:p>
        </w:tc>
        <w:tc>
          <w:tcPr>
            <w:tcW w:w="2330" w:type="pct"/>
          </w:tcPr>
          <w:p w:rsidR="00A268D3" w:rsidRPr="002F3871" w:rsidRDefault="00A268D3" w:rsidP="00A268D3">
            <w:pPr>
              <w:jc w:val="both"/>
              <w:rPr>
                <w:sz w:val="20"/>
                <w:lang w:val="fr-CA"/>
              </w:rPr>
            </w:pPr>
            <w:r w:rsidRPr="002F3871">
              <w:rPr>
                <w:sz w:val="20"/>
                <w:lang w:val="fr-CA"/>
              </w:rPr>
              <w:t>Arrêt accueillant l’appel.</w:t>
            </w:r>
          </w:p>
          <w:p w:rsidR="00A268D3" w:rsidRPr="002F3871" w:rsidRDefault="00A268D3" w:rsidP="00A268D3">
            <w:pPr>
              <w:jc w:val="both"/>
              <w:rPr>
                <w:sz w:val="20"/>
                <w:lang w:val="fr-CA"/>
              </w:rPr>
            </w:pPr>
          </w:p>
        </w:tc>
      </w:tr>
      <w:tr w:rsidR="00A268D3" w:rsidRPr="00ED4247" w:rsidTr="00A268D3">
        <w:tc>
          <w:tcPr>
            <w:tcW w:w="2427" w:type="pct"/>
            <w:gridSpan w:val="2"/>
          </w:tcPr>
          <w:p w:rsidR="00A268D3" w:rsidRPr="002F3871" w:rsidRDefault="00A268D3" w:rsidP="00A268D3">
            <w:pPr>
              <w:jc w:val="both"/>
              <w:rPr>
                <w:sz w:val="20"/>
                <w:lang w:val="fr-CA"/>
              </w:rPr>
            </w:pPr>
            <w:r w:rsidRPr="002F3871">
              <w:rPr>
                <w:sz w:val="20"/>
                <w:lang w:val="fr-CA"/>
              </w:rPr>
              <w:t>17 février 2017</w:t>
            </w:r>
          </w:p>
          <w:p w:rsidR="00A268D3" w:rsidRPr="002F3871" w:rsidRDefault="00A268D3" w:rsidP="00A268D3">
            <w:pPr>
              <w:jc w:val="both"/>
              <w:rPr>
                <w:sz w:val="20"/>
                <w:lang w:val="fr-CA"/>
              </w:rPr>
            </w:pPr>
            <w:r w:rsidRPr="002F3871">
              <w:rPr>
                <w:sz w:val="20"/>
                <w:lang w:val="fr-CA"/>
              </w:rPr>
              <w:t>Cour suprême du Canada</w:t>
            </w:r>
          </w:p>
        </w:tc>
        <w:tc>
          <w:tcPr>
            <w:tcW w:w="243" w:type="pct"/>
          </w:tcPr>
          <w:p w:rsidR="00A268D3" w:rsidRPr="002F3871" w:rsidRDefault="00A268D3" w:rsidP="00A268D3">
            <w:pPr>
              <w:jc w:val="both"/>
              <w:rPr>
                <w:sz w:val="20"/>
                <w:lang w:val="fr-CA"/>
              </w:rPr>
            </w:pPr>
          </w:p>
        </w:tc>
        <w:tc>
          <w:tcPr>
            <w:tcW w:w="2330" w:type="pct"/>
          </w:tcPr>
          <w:p w:rsidR="00A268D3" w:rsidRPr="002F3871" w:rsidRDefault="00A268D3" w:rsidP="00A268D3">
            <w:pPr>
              <w:jc w:val="both"/>
              <w:rPr>
                <w:sz w:val="20"/>
                <w:lang w:val="fr-CA"/>
              </w:rPr>
            </w:pPr>
            <w:r w:rsidRPr="002F3871">
              <w:rPr>
                <w:sz w:val="20"/>
                <w:lang w:val="fr-CA"/>
              </w:rPr>
              <w:t>Dépôt de la demande d’autorisation d’appel.</w:t>
            </w:r>
          </w:p>
          <w:p w:rsidR="00A268D3" w:rsidRPr="002F3871" w:rsidRDefault="00A268D3" w:rsidP="00A268D3">
            <w:pPr>
              <w:jc w:val="both"/>
              <w:rPr>
                <w:sz w:val="20"/>
                <w:lang w:val="fr-CA"/>
              </w:rPr>
            </w:pPr>
          </w:p>
        </w:tc>
      </w:tr>
    </w:tbl>
    <w:p w:rsidR="00A268D3" w:rsidRPr="002F3871" w:rsidRDefault="00ED4247" w:rsidP="00A268D3">
      <w:pPr>
        <w:jc w:val="both"/>
        <w:rPr>
          <w:sz w:val="20"/>
          <w:lang w:val="fr-CA"/>
        </w:rPr>
      </w:pPr>
      <w:r>
        <w:rPr>
          <w:sz w:val="20"/>
          <w:szCs w:val="20"/>
        </w:rPr>
        <w:pict>
          <v:rect id="_x0000_i1062" style="width:2in;height:1pt" o:hrpct="0" o:hralign="center" o:hrstd="t" o:hrnoshade="t" o:hr="t" fillcolor="black" stroked="f"/>
        </w:pict>
      </w:r>
    </w:p>
    <w:p w:rsidR="00A268D3" w:rsidRPr="002F3871" w:rsidRDefault="00A268D3" w:rsidP="00A268D3">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268D3" w:rsidRPr="002F3871" w:rsidTr="00A268D3">
        <w:tc>
          <w:tcPr>
            <w:tcW w:w="543" w:type="pct"/>
          </w:tcPr>
          <w:p w:rsidR="00A268D3" w:rsidRPr="002F3871" w:rsidRDefault="00A268D3" w:rsidP="00A268D3">
            <w:pPr>
              <w:jc w:val="both"/>
              <w:rPr>
                <w:sz w:val="20"/>
              </w:rPr>
            </w:pPr>
            <w:r w:rsidRPr="002F3871">
              <w:rPr>
                <w:rStyle w:val="SCCFileNumberChar"/>
                <w:sz w:val="20"/>
                <w:szCs w:val="20"/>
              </w:rPr>
              <w:t>37514</w:t>
            </w:r>
          </w:p>
        </w:tc>
        <w:tc>
          <w:tcPr>
            <w:tcW w:w="4457" w:type="pct"/>
            <w:gridSpan w:val="3"/>
          </w:tcPr>
          <w:p w:rsidR="00A268D3" w:rsidRPr="002F3871" w:rsidRDefault="00A268D3" w:rsidP="00A268D3">
            <w:pPr>
              <w:pStyle w:val="SCCLsocParty"/>
              <w:jc w:val="both"/>
              <w:rPr>
                <w:b/>
                <w:sz w:val="20"/>
                <w:szCs w:val="20"/>
                <w:lang w:val="en-US"/>
              </w:rPr>
            </w:pPr>
            <w:r w:rsidRPr="002F3871">
              <w:rPr>
                <w:b/>
                <w:sz w:val="20"/>
                <w:szCs w:val="20"/>
                <w:lang w:val="en-US"/>
              </w:rPr>
              <w:t>Charles Gerald Patrick v. Her Majesty the Queen</w:t>
            </w:r>
          </w:p>
          <w:p w:rsidR="00A268D3" w:rsidRPr="002F3871" w:rsidRDefault="00A268D3" w:rsidP="00A268D3">
            <w:pPr>
              <w:jc w:val="both"/>
              <w:rPr>
                <w:sz w:val="20"/>
              </w:rPr>
            </w:pPr>
            <w:r w:rsidRPr="002F3871">
              <w:rPr>
                <w:sz w:val="20"/>
              </w:rPr>
              <w:t>(B.C.) (Criminal) (By Leave)</w:t>
            </w:r>
          </w:p>
        </w:tc>
      </w:tr>
      <w:tr w:rsidR="00A268D3" w:rsidRPr="002F3871" w:rsidTr="00A268D3">
        <w:tc>
          <w:tcPr>
            <w:tcW w:w="543" w:type="pct"/>
          </w:tcPr>
          <w:p w:rsidR="00A268D3" w:rsidRPr="002F3871" w:rsidRDefault="00A268D3" w:rsidP="00A268D3">
            <w:pPr>
              <w:jc w:val="both"/>
              <w:rPr>
                <w:rStyle w:val="SCCFileNumberChar"/>
                <w:sz w:val="20"/>
                <w:szCs w:val="20"/>
              </w:rPr>
            </w:pPr>
            <w:r>
              <w:rPr>
                <w:rStyle w:val="SCCFileNumberChar"/>
                <w:sz w:val="20"/>
                <w:szCs w:val="20"/>
              </w:rPr>
              <w:t>Coram:</w:t>
            </w:r>
          </w:p>
        </w:tc>
        <w:tc>
          <w:tcPr>
            <w:tcW w:w="4457" w:type="pct"/>
            <w:gridSpan w:val="3"/>
          </w:tcPr>
          <w:p w:rsidR="00A268D3" w:rsidRDefault="00B12BC9" w:rsidP="00A268D3">
            <w:pPr>
              <w:pStyle w:val="SCCLsocParty"/>
              <w:jc w:val="both"/>
              <w:rPr>
                <w:sz w:val="20"/>
                <w:szCs w:val="20"/>
                <w:lang w:val="en-US"/>
              </w:rPr>
            </w:pPr>
            <w:r w:rsidRPr="00B12BC9">
              <w:rPr>
                <w:sz w:val="20"/>
                <w:szCs w:val="20"/>
                <w:lang w:val="en-US"/>
              </w:rPr>
              <w:t>McLachlin C.J. and Abella, Moldaver, Karakatsanis, Wagner, Gascon, Côté, Brown and Rowe JJ.</w:t>
            </w:r>
          </w:p>
          <w:p w:rsidR="00B12BC9" w:rsidRPr="00B12BC9" w:rsidRDefault="00B12BC9" w:rsidP="00B12BC9">
            <w:pPr>
              <w:rPr>
                <w:lang w:val="en-US"/>
              </w:rPr>
            </w:pPr>
          </w:p>
        </w:tc>
      </w:tr>
      <w:tr w:rsidR="00A268D3" w:rsidRPr="002F3871" w:rsidTr="00A268D3">
        <w:tc>
          <w:tcPr>
            <w:tcW w:w="5000" w:type="pct"/>
            <w:gridSpan w:val="4"/>
          </w:tcPr>
          <w:p w:rsidR="00A268D3" w:rsidRDefault="00B12BC9" w:rsidP="00A268D3">
            <w:pPr>
              <w:pStyle w:val="SCCLsocParty"/>
              <w:jc w:val="both"/>
              <w:rPr>
                <w:sz w:val="20"/>
                <w:szCs w:val="20"/>
              </w:rPr>
            </w:pPr>
            <w:r w:rsidRPr="00B12BC9">
              <w:rPr>
                <w:sz w:val="20"/>
                <w:szCs w:val="20"/>
                <w:lang w:val="en-US"/>
              </w:rPr>
              <w:t xml:space="preserve">An oral hearing of the application for leave to appeal is ordered in accordance with s. 43(1.2) of the </w:t>
            </w:r>
            <w:r w:rsidRPr="00B12BC9">
              <w:rPr>
                <w:i/>
                <w:sz w:val="20"/>
                <w:szCs w:val="20"/>
                <w:lang w:val="en-US"/>
              </w:rPr>
              <w:t>Supreme Court Act</w:t>
            </w:r>
            <w:r w:rsidRPr="00B12BC9">
              <w:rPr>
                <w:sz w:val="20"/>
                <w:szCs w:val="20"/>
                <w:lang w:val="en-US"/>
              </w:rPr>
              <w:t xml:space="preserve">, R.S.C., 1985, c. S-26. </w:t>
            </w:r>
            <w:r w:rsidRPr="00D75DBA">
              <w:rPr>
                <w:sz w:val="20"/>
                <w:szCs w:val="20"/>
              </w:rPr>
              <w:t>The hearing date will be fixed by the Registrar.</w:t>
            </w:r>
          </w:p>
          <w:p w:rsidR="00B12BC9" w:rsidRPr="00B12BC9" w:rsidRDefault="00B12BC9" w:rsidP="00B12BC9">
            <w:pPr>
              <w:rPr>
                <w:lang w:val="fr-CA"/>
              </w:rPr>
            </w:pPr>
          </w:p>
        </w:tc>
      </w:tr>
      <w:tr w:rsidR="00A268D3" w:rsidRPr="002F3871" w:rsidTr="00A268D3">
        <w:tc>
          <w:tcPr>
            <w:tcW w:w="5000" w:type="pct"/>
            <w:gridSpan w:val="4"/>
          </w:tcPr>
          <w:p w:rsidR="00A268D3" w:rsidRPr="002F3871" w:rsidRDefault="00A268D3" w:rsidP="00A268D3">
            <w:pPr>
              <w:jc w:val="both"/>
              <w:rPr>
                <w:sz w:val="20"/>
              </w:rPr>
            </w:pPr>
            <w:r w:rsidRPr="002F3871">
              <w:rPr>
                <w:i/>
                <w:sz w:val="20"/>
              </w:rPr>
              <w:t>Charter of Rights</w:t>
            </w:r>
            <w:r w:rsidRPr="002F3871">
              <w:rPr>
                <w:sz w:val="20"/>
              </w:rPr>
              <w:t xml:space="preserve"> – Constitutional law – Search and seizure</w:t>
            </w:r>
            <w:r w:rsidRPr="002F3871">
              <w:rPr>
                <w:iCs/>
                <w:sz w:val="20"/>
                <w:lang w:val="en-GB"/>
              </w:rPr>
              <w:t xml:space="preserve"> – Investigative detention – Search power incidental to investigative detention –</w:t>
            </w:r>
            <w:r w:rsidRPr="002F3871">
              <w:rPr>
                <w:i/>
                <w:iCs/>
                <w:sz w:val="20"/>
                <w:lang w:val="en-GB"/>
              </w:rPr>
              <w:t xml:space="preserve"> </w:t>
            </w:r>
            <w:r w:rsidRPr="002F3871">
              <w:rPr>
                <w:sz w:val="20"/>
              </w:rPr>
              <w:t>Does a police officer have the power to question a detainee during the course of conducting a pat-down search incident to an investigative detention?</w:t>
            </w:r>
          </w:p>
        </w:tc>
      </w:tr>
      <w:tr w:rsidR="00A268D3" w:rsidRPr="002F3871" w:rsidTr="00A268D3">
        <w:tc>
          <w:tcPr>
            <w:tcW w:w="5000" w:type="pct"/>
            <w:gridSpan w:val="4"/>
          </w:tcPr>
          <w:p w:rsidR="00A268D3" w:rsidRPr="002F3871" w:rsidRDefault="00A268D3" w:rsidP="00A268D3">
            <w:pPr>
              <w:jc w:val="both"/>
              <w:rPr>
                <w:sz w:val="20"/>
              </w:rPr>
            </w:pPr>
          </w:p>
        </w:tc>
      </w:tr>
      <w:tr w:rsidR="00A268D3" w:rsidRPr="002F3871" w:rsidTr="00A268D3">
        <w:tc>
          <w:tcPr>
            <w:tcW w:w="5000" w:type="pct"/>
            <w:gridSpan w:val="4"/>
          </w:tcPr>
          <w:p w:rsidR="00A268D3" w:rsidRPr="002F3871" w:rsidRDefault="00A268D3" w:rsidP="00A268D3">
            <w:pPr>
              <w:jc w:val="both"/>
              <w:rPr>
                <w:sz w:val="20"/>
              </w:rPr>
            </w:pPr>
            <w:r w:rsidRPr="002F3871">
              <w:rPr>
                <w:sz w:val="20"/>
              </w:rPr>
              <w:t>In the early morning hours of December 11, 2013, the Applicant and his three other passengers were stopped in a vehicle. The investigating officer believed the group was associated with a local drug house. Insurance inquiries made during the stop led the officer to believe the vehicle had been obtained fraudulently. Backup soon arrived on the scene. The Applicant and his passengers were asked to exit the vehicle. Upon exiting the vehicle, the officer observed a bulge in the Applicant’s jacket. She asked the Applicant, “Do you have anything on you?” The Applicant responded that he had a shotgun. The firearm was seized and the Applicant was placed under arrest. The Applicant was not afforded an opportunity to speak with counsel until arriving at the police detachment about 40 minutes after the roadside stop occurred. He was ultimately charged in an eight count indictment with a variety of firearm-related offences.</w:t>
            </w:r>
          </w:p>
          <w:p w:rsidR="00A268D3" w:rsidRPr="002F3871" w:rsidRDefault="00A268D3" w:rsidP="00A268D3">
            <w:pPr>
              <w:jc w:val="both"/>
              <w:rPr>
                <w:sz w:val="20"/>
              </w:rPr>
            </w:pPr>
          </w:p>
        </w:tc>
      </w:tr>
      <w:tr w:rsidR="00A268D3" w:rsidRPr="002F3871" w:rsidTr="00A268D3">
        <w:tc>
          <w:tcPr>
            <w:tcW w:w="2427" w:type="pct"/>
            <w:gridSpan w:val="2"/>
          </w:tcPr>
          <w:p w:rsidR="00A268D3" w:rsidRPr="002F3871" w:rsidRDefault="00A268D3" w:rsidP="00A268D3">
            <w:pPr>
              <w:jc w:val="both"/>
              <w:rPr>
                <w:sz w:val="20"/>
              </w:rPr>
            </w:pPr>
            <w:r w:rsidRPr="002F3871">
              <w:rPr>
                <w:sz w:val="20"/>
              </w:rPr>
              <w:t>December 15, 2015</w:t>
            </w:r>
          </w:p>
          <w:p w:rsidR="00A268D3" w:rsidRPr="002F3871" w:rsidRDefault="00A268D3" w:rsidP="00A268D3">
            <w:pPr>
              <w:jc w:val="both"/>
              <w:rPr>
                <w:sz w:val="20"/>
              </w:rPr>
            </w:pPr>
            <w:r w:rsidRPr="002F3871">
              <w:rPr>
                <w:sz w:val="20"/>
              </w:rPr>
              <w:t>Supreme Court of British Columbia</w:t>
            </w:r>
          </w:p>
          <w:p w:rsidR="00A268D3" w:rsidRPr="002F3871" w:rsidRDefault="00A268D3" w:rsidP="00A268D3">
            <w:pPr>
              <w:jc w:val="both"/>
              <w:rPr>
                <w:sz w:val="20"/>
              </w:rPr>
            </w:pPr>
            <w:r w:rsidRPr="002F3871">
              <w:rPr>
                <w:sz w:val="20"/>
              </w:rPr>
              <w:t>(Hyslop J.)</w:t>
            </w:r>
          </w:p>
          <w:p w:rsidR="00A268D3" w:rsidRPr="002F3871" w:rsidRDefault="00A268D3" w:rsidP="00A268D3">
            <w:pPr>
              <w:jc w:val="both"/>
              <w:rPr>
                <w:sz w:val="20"/>
              </w:rPr>
            </w:pPr>
            <w:r w:rsidRPr="002F3871">
              <w:rPr>
                <w:sz w:val="20"/>
              </w:rPr>
              <w:t>No. 97293</w:t>
            </w:r>
          </w:p>
          <w:p w:rsidR="00A268D3" w:rsidRPr="002F3871" w:rsidRDefault="00A268D3" w:rsidP="00A268D3">
            <w:pPr>
              <w:jc w:val="both"/>
              <w:rPr>
                <w:sz w:val="20"/>
              </w:rPr>
            </w:pPr>
            <w:r w:rsidRPr="002F3871">
              <w:rPr>
                <w:sz w:val="20"/>
              </w:rPr>
              <w:t>2015 BCSC 2362</w:t>
            </w:r>
          </w:p>
          <w:p w:rsidR="00A268D3" w:rsidRPr="002F3871" w:rsidRDefault="00A268D3" w:rsidP="00A268D3">
            <w:pPr>
              <w:jc w:val="both"/>
              <w:rPr>
                <w:sz w:val="20"/>
              </w:rPr>
            </w:pPr>
          </w:p>
        </w:tc>
        <w:tc>
          <w:tcPr>
            <w:tcW w:w="243" w:type="pct"/>
          </w:tcPr>
          <w:p w:rsidR="00A268D3" w:rsidRPr="002F3871" w:rsidRDefault="00A268D3" w:rsidP="00A268D3">
            <w:pPr>
              <w:jc w:val="both"/>
              <w:rPr>
                <w:sz w:val="20"/>
              </w:rPr>
            </w:pPr>
          </w:p>
        </w:tc>
        <w:tc>
          <w:tcPr>
            <w:tcW w:w="2330" w:type="pct"/>
          </w:tcPr>
          <w:p w:rsidR="00A268D3" w:rsidRPr="002F3871" w:rsidRDefault="00A268D3" w:rsidP="00A268D3">
            <w:pPr>
              <w:jc w:val="both"/>
              <w:rPr>
                <w:sz w:val="20"/>
              </w:rPr>
            </w:pPr>
            <w:r w:rsidRPr="002F3871">
              <w:rPr>
                <w:sz w:val="20"/>
              </w:rPr>
              <w:t>Acquittal on all counts.</w:t>
            </w:r>
          </w:p>
          <w:p w:rsidR="00A268D3" w:rsidRPr="002F3871" w:rsidRDefault="00A268D3" w:rsidP="00A268D3">
            <w:pPr>
              <w:jc w:val="both"/>
              <w:rPr>
                <w:sz w:val="20"/>
              </w:rPr>
            </w:pPr>
          </w:p>
        </w:tc>
      </w:tr>
      <w:tr w:rsidR="00A268D3" w:rsidRPr="002F3871" w:rsidTr="00A268D3">
        <w:tc>
          <w:tcPr>
            <w:tcW w:w="2427" w:type="pct"/>
            <w:gridSpan w:val="2"/>
          </w:tcPr>
          <w:p w:rsidR="00A268D3" w:rsidRPr="002F3871" w:rsidRDefault="00A268D3" w:rsidP="00A268D3">
            <w:pPr>
              <w:jc w:val="both"/>
              <w:rPr>
                <w:sz w:val="20"/>
              </w:rPr>
            </w:pPr>
            <w:r w:rsidRPr="002F3871">
              <w:rPr>
                <w:sz w:val="20"/>
              </w:rPr>
              <w:t>February 3, 2017</w:t>
            </w:r>
          </w:p>
          <w:p w:rsidR="00A268D3" w:rsidRPr="002F3871" w:rsidRDefault="00A268D3" w:rsidP="00A268D3">
            <w:pPr>
              <w:jc w:val="both"/>
              <w:rPr>
                <w:sz w:val="20"/>
              </w:rPr>
            </w:pPr>
            <w:r w:rsidRPr="002F3871">
              <w:rPr>
                <w:sz w:val="20"/>
              </w:rPr>
              <w:t xml:space="preserve">Court of Appeal for British Columbia </w:t>
            </w:r>
          </w:p>
          <w:p w:rsidR="00A268D3" w:rsidRPr="002F3871" w:rsidRDefault="00A268D3" w:rsidP="00A268D3">
            <w:pPr>
              <w:jc w:val="both"/>
              <w:rPr>
                <w:sz w:val="20"/>
              </w:rPr>
            </w:pPr>
            <w:r w:rsidRPr="002F3871">
              <w:rPr>
                <w:sz w:val="20"/>
              </w:rPr>
              <w:t>(Vancouver)</w:t>
            </w:r>
          </w:p>
          <w:p w:rsidR="00A268D3" w:rsidRPr="002F3871" w:rsidRDefault="00A268D3" w:rsidP="00A268D3">
            <w:pPr>
              <w:jc w:val="both"/>
              <w:rPr>
                <w:sz w:val="20"/>
              </w:rPr>
            </w:pPr>
            <w:r w:rsidRPr="002F3871">
              <w:rPr>
                <w:sz w:val="20"/>
              </w:rPr>
              <w:t>(Harris, Goepel and Fitch JJ.A.)</w:t>
            </w:r>
          </w:p>
          <w:p w:rsidR="00A268D3" w:rsidRPr="002F3871" w:rsidRDefault="00A268D3" w:rsidP="00A268D3">
            <w:pPr>
              <w:jc w:val="both"/>
              <w:rPr>
                <w:sz w:val="20"/>
              </w:rPr>
            </w:pPr>
            <w:r w:rsidRPr="002F3871">
              <w:rPr>
                <w:sz w:val="20"/>
              </w:rPr>
              <w:t>No. CA43342</w:t>
            </w:r>
          </w:p>
          <w:p w:rsidR="00A268D3" w:rsidRPr="002F3871" w:rsidRDefault="00ED4247" w:rsidP="00A268D3">
            <w:pPr>
              <w:jc w:val="both"/>
              <w:rPr>
                <w:sz w:val="20"/>
              </w:rPr>
            </w:pPr>
            <w:hyperlink r:id="rId40" w:history="1">
              <w:r w:rsidR="00A268D3" w:rsidRPr="002F3871">
                <w:rPr>
                  <w:rStyle w:val="Hyperlink"/>
                  <w:sz w:val="20"/>
                </w:rPr>
                <w:t>2017 BCCA 57</w:t>
              </w:r>
            </w:hyperlink>
          </w:p>
          <w:p w:rsidR="00A268D3" w:rsidRPr="002F3871" w:rsidRDefault="00A268D3" w:rsidP="00A268D3">
            <w:pPr>
              <w:jc w:val="both"/>
              <w:rPr>
                <w:sz w:val="20"/>
              </w:rPr>
            </w:pPr>
          </w:p>
        </w:tc>
        <w:tc>
          <w:tcPr>
            <w:tcW w:w="243" w:type="pct"/>
          </w:tcPr>
          <w:p w:rsidR="00A268D3" w:rsidRPr="002F3871" w:rsidRDefault="00A268D3" w:rsidP="00A268D3">
            <w:pPr>
              <w:jc w:val="both"/>
              <w:rPr>
                <w:sz w:val="20"/>
              </w:rPr>
            </w:pPr>
          </w:p>
        </w:tc>
        <w:tc>
          <w:tcPr>
            <w:tcW w:w="2330" w:type="pct"/>
          </w:tcPr>
          <w:p w:rsidR="00A268D3" w:rsidRPr="002F3871" w:rsidRDefault="00A268D3" w:rsidP="00A268D3">
            <w:pPr>
              <w:jc w:val="both"/>
              <w:rPr>
                <w:sz w:val="20"/>
              </w:rPr>
            </w:pPr>
            <w:r w:rsidRPr="002F3871">
              <w:rPr>
                <w:sz w:val="20"/>
              </w:rPr>
              <w:t>Appeal allowed in part and new trial ordered on three counts.</w:t>
            </w:r>
          </w:p>
          <w:p w:rsidR="00A268D3" w:rsidRPr="002F3871" w:rsidRDefault="00A268D3" w:rsidP="00A268D3">
            <w:pPr>
              <w:jc w:val="both"/>
              <w:rPr>
                <w:sz w:val="20"/>
              </w:rPr>
            </w:pPr>
          </w:p>
        </w:tc>
      </w:tr>
      <w:tr w:rsidR="00A268D3" w:rsidRPr="002F3871" w:rsidTr="00A268D3">
        <w:tc>
          <w:tcPr>
            <w:tcW w:w="2427" w:type="pct"/>
            <w:gridSpan w:val="2"/>
          </w:tcPr>
          <w:p w:rsidR="00A268D3" w:rsidRPr="002F3871" w:rsidRDefault="00A268D3" w:rsidP="00A268D3">
            <w:pPr>
              <w:jc w:val="both"/>
              <w:rPr>
                <w:sz w:val="20"/>
              </w:rPr>
            </w:pPr>
            <w:r w:rsidRPr="002F3871">
              <w:rPr>
                <w:sz w:val="20"/>
              </w:rPr>
              <w:t>April 3, 2017</w:t>
            </w:r>
          </w:p>
          <w:p w:rsidR="00A268D3" w:rsidRPr="002F3871" w:rsidRDefault="00A268D3" w:rsidP="00A268D3">
            <w:pPr>
              <w:jc w:val="both"/>
              <w:rPr>
                <w:sz w:val="20"/>
              </w:rPr>
            </w:pPr>
            <w:r w:rsidRPr="002F3871">
              <w:rPr>
                <w:sz w:val="20"/>
              </w:rPr>
              <w:t>Supreme Court of Canada</w:t>
            </w:r>
          </w:p>
        </w:tc>
        <w:tc>
          <w:tcPr>
            <w:tcW w:w="243" w:type="pct"/>
          </w:tcPr>
          <w:p w:rsidR="00A268D3" w:rsidRPr="002F3871" w:rsidRDefault="00A268D3" w:rsidP="00A268D3">
            <w:pPr>
              <w:jc w:val="both"/>
              <w:rPr>
                <w:sz w:val="20"/>
              </w:rPr>
            </w:pPr>
          </w:p>
        </w:tc>
        <w:tc>
          <w:tcPr>
            <w:tcW w:w="2330" w:type="pct"/>
          </w:tcPr>
          <w:p w:rsidR="00A268D3" w:rsidRPr="002F3871" w:rsidRDefault="00A268D3" w:rsidP="00A268D3">
            <w:pPr>
              <w:jc w:val="both"/>
              <w:rPr>
                <w:sz w:val="20"/>
              </w:rPr>
            </w:pPr>
            <w:r w:rsidRPr="002F3871">
              <w:rPr>
                <w:sz w:val="20"/>
              </w:rPr>
              <w:t>Application for leave to appeal filed.</w:t>
            </w:r>
          </w:p>
          <w:p w:rsidR="00A268D3" w:rsidRPr="002F3871" w:rsidRDefault="00A268D3" w:rsidP="00A268D3">
            <w:pPr>
              <w:jc w:val="both"/>
              <w:rPr>
                <w:sz w:val="20"/>
              </w:rPr>
            </w:pPr>
          </w:p>
        </w:tc>
      </w:tr>
    </w:tbl>
    <w:p w:rsidR="00A268D3" w:rsidRPr="002F3871" w:rsidRDefault="00ED4247" w:rsidP="00A268D3">
      <w:pPr>
        <w:jc w:val="both"/>
        <w:rPr>
          <w:sz w:val="20"/>
        </w:rPr>
      </w:pPr>
      <w:r>
        <w:rPr>
          <w:sz w:val="20"/>
          <w:szCs w:val="20"/>
        </w:rPr>
        <w:pict>
          <v:rect id="_x0000_i1063" style="width:2in;height:1pt" o:hrpct="0" o:hralign="center" o:hrstd="t" o:hrnoshade="t" o:hr="t" fillcolor="black" stroked="f"/>
        </w:pict>
      </w:r>
    </w:p>
    <w:p w:rsidR="00A268D3" w:rsidRPr="002F3871" w:rsidRDefault="00A268D3" w:rsidP="00A268D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268D3" w:rsidRPr="00ED4247" w:rsidTr="00A268D3">
        <w:tc>
          <w:tcPr>
            <w:tcW w:w="543" w:type="pct"/>
          </w:tcPr>
          <w:p w:rsidR="00A268D3" w:rsidRPr="002F3871" w:rsidRDefault="00A268D3" w:rsidP="00A268D3">
            <w:pPr>
              <w:jc w:val="both"/>
              <w:rPr>
                <w:sz w:val="20"/>
                <w:lang w:val="fr-CA"/>
              </w:rPr>
            </w:pPr>
            <w:r w:rsidRPr="002F3871">
              <w:rPr>
                <w:rStyle w:val="SCCFileNumberChar"/>
                <w:sz w:val="20"/>
                <w:szCs w:val="20"/>
                <w:lang w:val="fr-CA"/>
              </w:rPr>
              <w:t>37514</w:t>
            </w:r>
          </w:p>
        </w:tc>
        <w:tc>
          <w:tcPr>
            <w:tcW w:w="4457" w:type="pct"/>
            <w:gridSpan w:val="3"/>
          </w:tcPr>
          <w:p w:rsidR="00A268D3" w:rsidRPr="002F3871" w:rsidRDefault="00A268D3" w:rsidP="00A268D3">
            <w:pPr>
              <w:pStyle w:val="SCCLsocParty"/>
              <w:jc w:val="both"/>
              <w:rPr>
                <w:b/>
                <w:sz w:val="20"/>
                <w:szCs w:val="20"/>
              </w:rPr>
            </w:pPr>
            <w:r w:rsidRPr="002F3871">
              <w:rPr>
                <w:b/>
                <w:sz w:val="20"/>
                <w:szCs w:val="20"/>
              </w:rPr>
              <w:t>Charles Gerald Patrick c. Sa Majesté la Reine</w:t>
            </w:r>
          </w:p>
          <w:p w:rsidR="00A268D3" w:rsidRPr="002F3871" w:rsidRDefault="00A268D3" w:rsidP="00A268D3">
            <w:pPr>
              <w:jc w:val="both"/>
              <w:rPr>
                <w:sz w:val="20"/>
                <w:lang w:val="fr-CA"/>
              </w:rPr>
            </w:pPr>
            <w:r w:rsidRPr="002F3871">
              <w:rPr>
                <w:sz w:val="20"/>
                <w:lang w:val="fr-CA"/>
              </w:rPr>
              <w:t>(C.-B.) (Criminelle) (Sur autorisation)</w:t>
            </w:r>
          </w:p>
        </w:tc>
      </w:tr>
      <w:tr w:rsidR="00A268D3" w:rsidRPr="00ED4247" w:rsidTr="00A268D3">
        <w:tc>
          <w:tcPr>
            <w:tcW w:w="543" w:type="pct"/>
          </w:tcPr>
          <w:p w:rsidR="00A268D3" w:rsidRPr="002F3871" w:rsidRDefault="00A268D3" w:rsidP="00A268D3">
            <w:pPr>
              <w:jc w:val="both"/>
              <w:rPr>
                <w:rStyle w:val="SCCFileNumberChar"/>
                <w:sz w:val="20"/>
                <w:szCs w:val="20"/>
                <w:lang w:val="fr-CA"/>
              </w:rPr>
            </w:pPr>
            <w:r>
              <w:rPr>
                <w:rStyle w:val="SCCFileNumberChar"/>
                <w:sz w:val="20"/>
                <w:szCs w:val="20"/>
                <w:lang w:val="fr-CA"/>
              </w:rPr>
              <w:t>Coram :</w:t>
            </w:r>
          </w:p>
        </w:tc>
        <w:tc>
          <w:tcPr>
            <w:tcW w:w="4457" w:type="pct"/>
            <w:gridSpan w:val="3"/>
          </w:tcPr>
          <w:p w:rsidR="00A268D3" w:rsidRDefault="00B12BC9" w:rsidP="00A268D3">
            <w:pPr>
              <w:pStyle w:val="SCCLsocParty"/>
              <w:jc w:val="both"/>
              <w:rPr>
                <w:sz w:val="20"/>
                <w:szCs w:val="20"/>
                <w:lang w:val="fr-FR"/>
              </w:rPr>
            </w:pPr>
            <w:r w:rsidRPr="00D75DBA">
              <w:rPr>
                <w:sz w:val="20"/>
                <w:szCs w:val="20"/>
                <w:lang w:val="fr-FR"/>
              </w:rPr>
              <w:t>La juge en chef McLachlin et les juges Abella, Moldaver, Karakatsanis, Wagner, Gascon, Côté, Brown et Rowe</w:t>
            </w:r>
          </w:p>
          <w:p w:rsidR="00B12BC9" w:rsidRPr="00B12BC9" w:rsidRDefault="00B12BC9" w:rsidP="00B12BC9">
            <w:pPr>
              <w:rPr>
                <w:lang w:val="fr-FR"/>
              </w:rPr>
            </w:pPr>
          </w:p>
        </w:tc>
      </w:tr>
      <w:tr w:rsidR="00A268D3" w:rsidRPr="00224C9D" w:rsidTr="00A268D3">
        <w:tc>
          <w:tcPr>
            <w:tcW w:w="5000" w:type="pct"/>
            <w:gridSpan w:val="4"/>
          </w:tcPr>
          <w:p w:rsidR="00A268D3" w:rsidRDefault="00B12BC9" w:rsidP="00A268D3">
            <w:pPr>
              <w:pStyle w:val="SCCLsocParty"/>
              <w:tabs>
                <w:tab w:val="left" w:pos="1518"/>
              </w:tabs>
              <w:jc w:val="both"/>
              <w:rPr>
                <w:sz w:val="20"/>
                <w:szCs w:val="20"/>
              </w:rPr>
            </w:pPr>
            <w:r w:rsidRPr="00D75DBA">
              <w:rPr>
                <w:sz w:val="20"/>
                <w:szCs w:val="20"/>
              </w:rPr>
              <w:t xml:space="preserve">La tenue d’une audience pour décider la demande d’autorisation d’appel est ordonnée, conformément à l’article 43(1.2) de la </w:t>
            </w:r>
            <w:r w:rsidRPr="00D75DBA">
              <w:rPr>
                <w:i/>
                <w:sz w:val="20"/>
                <w:szCs w:val="20"/>
              </w:rPr>
              <w:t>Loi sur la Cour suprême</w:t>
            </w:r>
            <w:r w:rsidRPr="00D75DBA">
              <w:rPr>
                <w:sz w:val="20"/>
                <w:szCs w:val="20"/>
              </w:rPr>
              <w:t>, L.R.C., 1985, c. S-26. La date d’audience sera fixée par le registraire.</w:t>
            </w:r>
          </w:p>
          <w:p w:rsidR="00B12BC9" w:rsidRPr="00B12BC9" w:rsidRDefault="00B12BC9" w:rsidP="00B12BC9">
            <w:pPr>
              <w:rPr>
                <w:lang w:val="fr-CA"/>
              </w:rPr>
            </w:pPr>
          </w:p>
        </w:tc>
      </w:tr>
      <w:tr w:rsidR="00A268D3" w:rsidRPr="00ED4247" w:rsidTr="00A268D3">
        <w:tc>
          <w:tcPr>
            <w:tcW w:w="5000" w:type="pct"/>
            <w:gridSpan w:val="4"/>
          </w:tcPr>
          <w:p w:rsidR="00A268D3" w:rsidRPr="002F3871" w:rsidRDefault="00A268D3" w:rsidP="00A268D3">
            <w:pPr>
              <w:jc w:val="both"/>
              <w:rPr>
                <w:sz w:val="20"/>
                <w:lang w:val="fr-CA"/>
              </w:rPr>
            </w:pPr>
            <w:r w:rsidRPr="002F3871">
              <w:rPr>
                <w:i/>
                <w:sz w:val="20"/>
                <w:lang w:val="fr-CA"/>
              </w:rPr>
              <w:t xml:space="preserve">Charte des droits </w:t>
            </w:r>
            <w:r w:rsidRPr="002F3871">
              <w:rPr>
                <w:sz w:val="20"/>
                <w:lang w:val="fr-CA"/>
              </w:rPr>
              <w:t xml:space="preserve">– Droit constitutionnel – Fouilles, perquisitions et saisies </w:t>
            </w:r>
            <w:r w:rsidRPr="002F3871">
              <w:rPr>
                <w:iCs/>
                <w:sz w:val="20"/>
                <w:lang w:val="fr-CA"/>
              </w:rPr>
              <w:t>– Détention aux fins d’enquête – Pouvoir de fouille accessoire à la détention aux fins d’enquête –</w:t>
            </w:r>
            <w:r w:rsidRPr="002F3871">
              <w:rPr>
                <w:sz w:val="20"/>
                <w:lang w:val="fr-CA"/>
              </w:rPr>
              <w:t xml:space="preserve"> Un policier a-t-il le pouvoir d’interroger un détenu au cours d’une fouille par palpation accessoire à une détention aux fins d’enquête?</w:t>
            </w:r>
          </w:p>
        </w:tc>
      </w:tr>
      <w:tr w:rsidR="00A268D3" w:rsidRPr="00ED4247" w:rsidTr="00A268D3">
        <w:tc>
          <w:tcPr>
            <w:tcW w:w="5000" w:type="pct"/>
            <w:gridSpan w:val="4"/>
          </w:tcPr>
          <w:p w:rsidR="00A268D3" w:rsidRPr="002F3871" w:rsidRDefault="00A268D3" w:rsidP="00A268D3">
            <w:pPr>
              <w:jc w:val="both"/>
              <w:rPr>
                <w:sz w:val="20"/>
                <w:lang w:val="fr-CA"/>
              </w:rPr>
            </w:pPr>
          </w:p>
        </w:tc>
      </w:tr>
      <w:tr w:rsidR="00A268D3" w:rsidRPr="00ED4247" w:rsidTr="00A268D3">
        <w:tc>
          <w:tcPr>
            <w:tcW w:w="5000" w:type="pct"/>
            <w:gridSpan w:val="4"/>
          </w:tcPr>
          <w:p w:rsidR="00A268D3" w:rsidRPr="002F3871" w:rsidRDefault="00A268D3" w:rsidP="00A268D3">
            <w:pPr>
              <w:jc w:val="both"/>
              <w:rPr>
                <w:sz w:val="20"/>
                <w:lang w:val="fr-CA"/>
              </w:rPr>
            </w:pPr>
            <w:r w:rsidRPr="002F3871">
              <w:rPr>
                <w:sz w:val="20"/>
                <w:lang w:val="fr-CA"/>
              </w:rPr>
              <w:t>Au petit matin, le 11 décembre 2013, le demandeur et ses trois passagers ont été interceptés à bord d’un véhicule. La policière qui menait l’enquête croyait que le groupe était lié à une planque de drogue locale. Les vérifications d’assurances effectuées lors de l’interception ont amené la policière à croire que le véhicule avait été obtenu frauduleusement. Des renforts sont arrivés sur les lieux peu après. La policière a demandé au demandeur et à ses passagers de sortir du véhicule. À leur sortie du véhicule, la policière a observé un renflement du blouson du demandeur. Elle a lui demandé s’il portait quelque chose sur lui et celui-ci a répondu qu’il avait un fusil de chasse. L’arme à feu a été saisie et le demandeur a été mis en état d’arrestation. Le demandeur ne s’est vu offrir l’occasion de parler à un avocat qu’à son arrivée au poste de police environ 40 minutes après le contrôle routier. Le demandeur a finalement été l’objet de huit chefs d’accusation de diverses infractions liées aux armes à feu.</w:t>
            </w:r>
          </w:p>
          <w:p w:rsidR="00A268D3" w:rsidRPr="002F3871" w:rsidRDefault="00A268D3" w:rsidP="00A268D3">
            <w:pPr>
              <w:jc w:val="both"/>
              <w:rPr>
                <w:sz w:val="20"/>
                <w:lang w:val="fr-CA"/>
              </w:rPr>
            </w:pPr>
          </w:p>
        </w:tc>
      </w:tr>
      <w:tr w:rsidR="00A268D3" w:rsidRPr="00ED4247" w:rsidTr="00A268D3">
        <w:tc>
          <w:tcPr>
            <w:tcW w:w="2427" w:type="pct"/>
            <w:gridSpan w:val="2"/>
          </w:tcPr>
          <w:p w:rsidR="00A268D3" w:rsidRPr="002F3871" w:rsidRDefault="00A268D3" w:rsidP="00A268D3">
            <w:pPr>
              <w:jc w:val="both"/>
              <w:rPr>
                <w:sz w:val="20"/>
                <w:lang w:val="fr-CA"/>
              </w:rPr>
            </w:pPr>
            <w:r w:rsidRPr="002F3871">
              <w:rPr>
                <w:sz w:val="20"/>
                <w:lang w:val="fr-CA"/>
              </w:rPr>
              <w:t>15 décembre 2015</w:t>
            </w:r>
          </w:p>
          <w:p w:rsidR="00A268D3" w:rsidRPr="002F3871" w:rsidRDefault="00A268D3" w:rsidP="00A268D3">
            <w:pPr>
              <w:jc w:val="both"/>
              <w:rPr>
                <w:sz w:val="20"/>
                <w:lang w:val="fr-CA"/>
              </w:rPr>
            </w:pPr>
            <w:r w:rsidRPr="002F3871">
              <w:rPr>
                <w:sz w:val="20"/>
                <w:lang w:val="fr-CA"/>
              </w:rPr>
              <w:t>Cour suprême de la Colombie-Britannique</w:t>
            </w:r>
          </w:p>
          <w:p w:rsidR="00A268D3" w:rsidRPr="002F3871" w:rsidRDefault="00A268D3" w:rsidP="00A268D3">
            <w:pPr>
              <w:jc w:val="both"/>
              <w:rPr>
                <w:sz w:val="20"/>
                <w:lang w:val="fr-CA"/>
              </w:rPr>
            </w:pPr>
            <w:r w:rsidRPr="002F3871">
              <w:rPr>
                <w:sz w:val="20"/>
                <w:lang w:val="fr-CA"/>
              </w:rPr>
              <w:t>(Juge Hyslop)</w:t>
            </w:r>
          </w:p>
          <w:p w:rsidR="00A268D3" w:rsidRPr="002F3871" w:rsidRDefault="00A268D3" w:rsidP="00A268D3">
            <w:pPr>
              <w:jc w:val="both"/>
              <w:rPr>
                <w:sz w:val="20"/>
                <w:lang w:val="fr-CA"/>
              </w:rPr>
            </w:pPr>
            <w:r w:rsidRPr="002F3871">
              <w:rPr>
                <w:sz w:val="20"/>
                <w:lang w:val="fr-CA"/>
              </w:rPr>
              <w:t>N</w:t>
            </w:r>
            <w:r w:rsidRPr="002F3871">
              <w:rPr>
                <w:sz w:val="20"/>
                <w:vertAlign w:val="superscript"/>
                <w:lang w:val="fr-CA"/>
              </w:rPr>
              <w:t>o</w:t>
            </w:r>
            <w:r w:rsidRPr="002F3871">
              <w:rPr>
                <w:sz w:val="20"/>
                <w:lang w:val="fr-CA"/>
              </w:rPr>
              <w:t xml:space="preserve"> 97293</w:t>
            </w:r>
          </w:p>
          <w:p w:rsidR="00A268D3" w:rsidRPr="002F3871" w:rsidRDefault="00A268D3" w:rsidP="00A268D3">
            <w:pPr>
              <w:jc w:val="both"/>
              <w:rPr>
                <w:sz w:val="20"/>
                <w:lang w:val="fr-CA"/>
              </w:rPr>
            </w:pPr>
            <w:r w:rsidRPr="002F3871">
              <w:rPr>
                <w:sz w:val="20"/>
                <w:lang w:val="fr-CA"/>
              </w:rPr>
              <w:t>2015 BCSC 2362</w:t>
            </w:r>
          </w:p>
          <w:p w:rsidR="00A268D3" w:rsidRPr="002F3871" w:rsidRDefault="00A268D3" w:rsidP="00A268D3">
            <w:pPr>
              <w:jc w:val="both"/>
              <w:rPr>
                <w:sz w:val="20"/>
                <w:lang w:val="fr-CA"/>
              </w:rPr>
            </w:pPr>
          </w:p>
        </w:tc>
        <w:tc>
          <w:tcPr>
            <w:tcW w:w="243" w:type="pct"/>
          </w:tcPr>
          <w:p w:rsidR="00A268D3" w:rsidRPr="002F3871" w:rsidRDefault="00A268D3" w:rsidP="00A268D3">
            <w:pPr>
              <w:jc w:val="both"/>
              <w:rPr>
                <w:sz w:val="20"/>
                <w:lang w:val="fr-CA"/>
              </w:rPr>
            </w:pPr>
          </w:p>
        </w:tc>
        <w:tc>
          <w:tcPr>
            <w:tcW w:w="2330" w:type="pct"/>
          </w:tcPr>
          <w:p w:rsidR="00A268D3" w:rsidRPr="002F3871" w:rsidRDefault="00A268D3" w:rsidP="00A268D3">
            <w:pPr>
              <w:jc w:val="both"/>
              <w:rPr>
                <w:sz w:val="20"/>
                <w:lang w:val="fr-CA"/>
              </w:rPr>
            </w:pPr>
            <w:r w:rsidRPr="002F3871">
              <w:rPr>
                <w:sz w:val="20"/>
                <w:lang w:val="fr-CA"/>
              </w:rPr>
              <w:t>Acquittement à l’égard de tous les chefs d’accusation.</w:t>
            </w:r>
          </w:p>
          <w:p w:rsidR="00A268D3" w:rsidRPr="002F3871" w:rsidRDefault="00A268D3" w:rsidP="00A268D3">
            <w:pPr>
              <w:jc w:val="both"/>
              <w:rPr>
                <w:sz w:val="20"/>
                <w:lang w:val="fr-CA"/>
              </w:rPr>
            </w:pPr>
          </w:p>
        </w:tc>
      </w:tr>
      <w:tr w:rsidR="00A268D3" w:rsidRPr="00ED4247" w:rsidTr="00A268D3">
        <w:tc>
          <w:tcPr>
            <w:tcW w:w="2427" w:type="pct"/>
            <w:gridSpan w:val="2"/>
          </w:tcPr>
          <w:p w:rsidR="00A268D3" w:rsidRPr="002F3871" w:rsidRDefault="00A268D3" w:rsidP="00A268D3">
            <w:pPr>
              <w:jc w:val="both"/>
              <w:rPr>
                <w:sz w:val="20"/>
                <w:lang w:val="fr-CA"/>
              </w:rPr>
            </w:pPr>
            <w:r w:rsidRPr="002F3871">
              <w:rPr>
                <w:sz w:val="20"/>
                <w:lang w:val="fr-CA"/>
              </w:rPr>
              <w:t>3 février 2017</w:t>
            </w:r>
          </w:p>
          <w:p w:rsidR="00A268D3" w:rsidRPr="002F3871" w:rsidRDefault="00A268D3" w:rsidP="00A268D3">
            <w:pPr>
              <w:jc w:val="both"/>
              <w:rPr>
                <w:sz w:val="20"/>
                <w:lang w:val="fr-CA"/>
              </w:rPr>
            </w:pPr>
            <w:r w:rsidRPr="002F3871">
              <w:rPr>
                <w:sz w:val="20"/>
                <w:lang w:val="fr-CA"/>
              </w:rPr>
              <w:t>Cour d’appel de la Colombie-Britannique</w:t>
            </w:r>
          </w:p>
          <w:p w:rsidR="00A268D3" w:rsidRPr="002F3871" w:rsidRDefault="00A268D3" w:rsidP="00A268D3">
            <w:pPr>
              <w:jc w:val="both"/>
              <w:rPr>
                <w:sz w:val="20"/>
                <w:lang w:val="fr-CA"/>
              </w:rPr>
            </w:pPr>
            <w:r w:rsidRPr="002F3871">
              <w:rPr>
                <w:sz w:val="20"/>
                <w:lang w:val="fr-CA"/>
              </w:rPr>
              <w:t>(Vancouver)</w:t>
            </w:r>
          </w:p>
          <w:p w:rsidR="00A268D3" w:rsidRPr="002F3871" w:rsidRDefault="00A268D3" w:rsidP="00A268D3">
            <w:pPr>
              <w:jc w:val="both"/>
              <w:rPr>
                <w:sz w:val="20"/>
                <w:lang w:val="fr-CA"/>
              </w:rPr>
            </w:pPr>
            <w:r w:rsidRPr="002F3871">
              <w:rPr>
                <w:sz w:val="20"/>
                <w:lang w:val="fr-CA"/>
              </w:rPr>
              <w:t>(Juges Harris, Goepel et Fitch)</w:t>
            </w:r>
          </w:p>
          <w:p w:rsidR="00A268D3" w:rsidRPr="002F3871" w:rsidRDefault="00A268D3" w:rsidP="00A268D3">
            <w:pPr>
              <w:jc w:val="both"/>
              <w:rPr>
                <w:sz w:val="20"/>
                <w:lang w:val="fr-CA"/>
              </w:rPr>
            </w:pPr>
            <w:r w:rsidRPr="002F3871">
              <w:rPr>
                <w:sz w:val="20"/>
                <w:lang w:val="fr-CA"/>
              </w:rPr>
              <w:t>N</w:t>
            </w:r>
            <w:r w:rsidRPr="002F3871">
              <w:rPr>
                <w:sz w:val="20"/>
                <w:vertAlign w:val="superscript"/>
                <w:lang w:val="fr-CA"/>
              </w:rPr>
              <w:t>o</w:t>
            </w:r>
            <w:r w:rsidRPr="002F3871">
              <w:rPr>
                <w:sz w:val="20"/>
                <w:lang w:val="fr-CA"/>
              </w:rPr>
              <w:t xml:space="preserve"> CA43342</w:t>
            </w:r>
          </w:p>
          <w:p w:rsidR="00A268D3" w:rsidRPr="002F3871" w:rsidRDefault="00ED4247" w:rsidP="00A268D3">
            <w:pPr>
              <w:jc w:val="both"/>
              <w:rPr>
                <w:sz w:val="20"/>
                <w:lang w:val="fr-CA"/>
              </w:rPr>
            </w:pPr>
            <w:hyperlink r:id="rId41" w:history="1">
              <w:r w:rsidR="00A268D3" w:rsidRPr="002F3871">
                <w:rPr>
                  <w:rStyle w:val="Hyperlink"/>
                  <w:sz w:val="20"/>
                  <w:lang w:val="fr-CA"/>
                </w:rPr>
                <w:t>2017 BCCA 57</w:t>
              </w:r>
            </w:hyperlink>
          </w:p>
          <w:p w:rsidR="00A268D3" w:rsidRPr="002F3871" w:rsidRDefault="00A268D3" w:rsidP="00A268D3">
            <w:pPr>
              <w:jc w:val="both"/>
              <w:rPr>
                <w:sz w:val="20"/>
                <w:lang w:val="fr-CA"/>
              </w:rPr>
            </w:pPr>
          </w:p>
        </w:tc>
        <w:tc>
          <w:tcPr>
            <w:tcW w:w="243" w:type="pct"/>
          </w:tcPr>
          <w:p w:rsidR="00A268D3" w:rsidRPr="002F3871" w:rsidRDefault="00A268D3" w:rsidP="00A268D3">
            <w:pPr>
              <w:jc w:val="both"/>
              <w:rPr>
                <w:sz w:val="20"/>
                <w:lang w:val="fr-CA"/>
              </w:rPr>
            </w:pPr>
          </w:p>
        </w:tc>
        <w:tc>
          <w:tcPr>
            <w:tcW w:w="2330" w:type="pct"/>
          </w:tcPr>
          <w:p w:rsidR="00A268D3" w:rsidRPr="002F3871" w:rsidRDefault="00A268D3" w:rsidP="00A268D3">
            <w:pPr>
              <w:jc w:val="both"/>
              <w:rPr>
                <w:sz w:val="20"/>
                <w:lang w:val="fr-CA"/>
              </w:rPr>
            </w:pPr>
            <w:r w:rsidRPr="002F3871">
              <w:rPr>
                <w:sz w:val="20"/>
                <w:lang w:val="fr-CA"/>
              </w:rPr>
              <w:t>Arrêt accueillant l’appel en partie et ordonnant un nouveau procès à l’égard de trois chefs d’accusation.</w:t>
            </w:r>
          </w:p>
          <w:p w:rsidR="00A268D3" w:rsidRPr="002F3871" w:rsidRDefault="00A268D3" w:rsidP="00A268D3">
            <w:pPr>
              <w:jc w:val="both"/>
              <w:rPr>
                <w:sz w:val="20"/>
                <w:lang w:val="fr-CA"/>
              </w:rPr>
            </w:pPr>
          </w:p>
        </w:tc>
      </w:tr>
      <w:tr w:rsidR="00A268D3" w:rsidRPr="00ED4247" w:rsidTr="00A268D3">
        <w:tc>
          <w:tcPr>
            <w:tcW w:w="2427" w:type="pct"/>
            <w:gridSpan w:val="2"/>
          </w:tcPr>
          <w:p w:rsidR="00A268D3" w:rsidRPr="002F3871" w:rsidRDefault="00A268D3" w:rsidP="00A268D3">
            <w:pPr>
              <w:jc w:val="both"/>
              <w:rPr>
                <w:sz w:val="20"/>
                <w:lang w:val="fr-CA"/>
              </w:rPr>
            </w:pPr>
            <w:r w:rsidRPr="002F3871">
              <w:rPr>
                <w:sz w:val="20"/>
                <w:lang w:val="fr-CA"/>
              </w:rPr>
              <w:t>3 avril 2017</w:t>
            </w:r>
          </w:p>
          <w:p w:rsidR="00A268D3" w:rsidRPr="002F3871" w:rsidRDefault="00A268D3" w:rsidP="00A268D3">
            <w:pPr>
              <w:jc w:val="both"/>
              <w:rPr>
                <w:sz w:val="20"/>
                <w:lang w:val="fr-CA"/>
              </w:rPr>
            </w:pPr>
            <w:r w:rsidRPr="002F3871">
              <w:rPr>
                <w:sz w:val="20"/>
                <w:lang w:val="fr-CA"/>
              </w:rPr>
              <w:t>Cour suprême du Canada</w:t>
            </w:r>
          </w:p>
        </w:tc>
        <w:tc>
          <w:tcPr>
            <w:tcW w:w="243" w:type="pct"/>
          </w:tcPr>
          <w:p w:rsidR="00A268D3" w:rsidRPr="002F3871" w:rsidRDefault="00A268D3" w:rsidP="00A268D3">
            <w:pPr>
              <w:jc w:val="both"/>
              <w:rPr>
                <w:sz w:val="20"/>
                <w:lang w:val="fr-CA"/>
              </w:rPr>
            </w:pPr>
          </w:p>
        </w:tc>
        <w:tc>
          <w:tcPr>
            <w:tcW w:w="2330" w:type="pct"/>
          </w:tcPr>
          <w:p w:rsidR="00A268D3" w:rsidRPr="002F3871" w:rsidRDefault="00A268D3" w:rsidP="00A268D3">
            <w:pPr>
              <w:jc w:val="both"/>
              <w:rPr>
                <w:sz w:val="20"/>
                <w:lang w:val="fr-CA"/>
              </w:rPr>
            </w:pPr>
            <w:r w:rsidRPr="002F3871">
              <w:rPr>
                <w:sz w:val="20"/>
                <w:lang w:val="fr-CA"/>
              </w:rPr>
              <w:t>Dépôt de la demande d’autorisation d’appel.</w:t>
            </w:r>
          </w:p>
          <w:p w:rsidR="00A268D3" w:rsidRPr="002F3871" w:rsidRDefault="00A268D3" w:rsidP="00A268D3">
            <w:pPr>
              <w:jc w:val="both"/>
              <w:rPr>
                <w:sz w:val="20"/>
                <w:lang w:val="fr-CA"/>
              </w:rPr>
            </w:pPr>
          </w:p>
        </w:tc>
      </w:tr>
    </w:tbl>
    <w:p w:rsidR="00A268D3" w:rsidRPr="002F3871" w:rsidRDefault="00ED4247" w:rsidP="00A268D3">
      <w:pPr>
        <w:jc w:val="both"/>
        <w:rPr>
          <w:sz w:val="20"/>
          <w:lang w:val="fr-CA"/>
        </w:rPr>
      </w:pPr>
      <w:r>
        <w:rPr>
          <w:sz w:val="20"/>
          <w:szCs w:val="20"/>
        </w:rPr>
        <w:pict>
          <v:rect id="_x0000_i1064" style="width:2in;height:1pt" o:hrpct="0" o:hralign="center" o:hrstd="t" o:hrnoshade="t" o:hr="t" fillcolor="black" stroked="f"/>
        </w:pict>
      </w:r>
    </w:p>
    <w:p w:rsidR="00A268D3" w:rsidRPr="002F3871" w:rsidRDefault="00A268D3" w:rsidP="00A268D3">
      <w:pPr>
        <w:ind w:left="360" w:hanging="360"/>
        <w:jc w:val="both"/>
        <w:rPr>
          <w:sz w:val="20"/>
          <w:lang w:val="fr-CA" w:eastAsia="en-CA"/>
        </w:rPr>
      </w:pPr>
    </w:p>
    <w:p w:rsidR="00B12BC9" w:rsidRDefault="00B12BC9">
      <w:r>
        <w:br w:type="page"/>
      </w:r>
    </w:p>
    <w:tbl>
      <w:tblPr>
        <w:tblW w:w="5000" w:type="pct"/>
        <w:tblLayout w:type="fixed"/>
        <w:tblCellMar>
          <w:left w:w="0" w:type="dxa"/>
          <w:bottom w:w="99" w:type="dxa"/>
          <w:right w:w="0" w:type="dxa"/>
        </w:tblCellMar>
        <w:tblLook w:val="04A0" w:firstRow="1" w:lastRow="0" w:firstColumn="1" w:lastColumn="0" w:noHBand="0" w:noVBand="1"/>
      </w:tblPr>
      <w:tblGrid>
        <w:gridCol w:w="1033"/>
        <w:gridCol w:w="3521"/>
        <w:gridCol w:w="514"/>
        <w:gridCol w:w="4459"/>
        <w:gridCol w:w="92"/>
      </w:tblGrid>
      <w:tr w:rsidR="00A268D3" w:rsidRPr="002F3871" w:rsidTr="00A268D3">
        <w:trPr>
          <w:gridAfter w:val="1"/>
          <w:wAfter w:w="48" w:type="pct"/>
        </w:trPr>
        <w:tc>
          <w:tcPr>
            <w:tcW w:w="537" w:type="pct"/>
          </w:tcPr>
          <w:p w:rsidR="00A268D3" w:rsidRPr="002F3871" w:rsidRDefault="00A268D3" w:rsidP="00A268D3">
            <w:pPr>
              <w:jc w:val="both"/>
              <w:rPr>
                <w:sz w:val="20"/>
              </w:rPr>
            </w:pPr>
            <w:r w:rsidRPr="002F3871">
              <w:rPr>
                <w:rStyle w:val="SCCFileNumberChar"/>
                <w:sz w:val="20"/>
                <w:szCs w:val="20"/>
              </w:rPr>
              <w:lastRenderedPageBreak/>
              <w:t>37286</w:t>
            </w:r>
          </w:p>
        </w:tc>
        <w:tc>
          <w:tcPr>
            <w:tcW w:w="4415" w:type="pct"/>
            <w:gridSpan w:val="3"/>
          </w:tcPr>
          <w:p w:rsidR="00A268D3" w:rsidRPr="002F3871" w:rsidRDefault="00B12BC9" w:rsidP="00A268D3">
            <w:pPr>
              <w:jc w:val="both"/>
              <w:rPr>
                <w:sz w:val="20"/>
              </w:rPr>
            </w:pPr>
            <w:r w:rsidRPr="00B12BC9">
              <w:rPr>
                <w:rFonts w:eastAsia="Calibri" w:cs="Times New Roman"/>
                <w:b/>
                <w:sz w:val="20"/>
                <w:szCs w:val="20"/>
                <w:lang w:val="en-US"/>
              </w:rPr>
              <w:t xml:space="preserve">Patrick Joseph Burns, Angus Wilde Publications Inc., Dr. Domingo M. Lopez Corp., Shirley Mae McFadden, Executor and Trustee under the last Will and Testament of Bernard Ralph McFadden, deceased, Shirley Mae McFadden, Lipp Kan Chia, Denise Ching Wan Min Kee, Betty Lai Sim Wong, Marion Merle Loney, George Tien, Amy Fu-Tak Tien, Harold Isao Morioka, Elaine Chiyeko Morioka, Bob Chin, Sarah Chin, Diana May Wilson, Executrix and Trustee under the last Will and Testament of Gordon Grant Wilson, deceased, Diana May Wilson, Arthur Phillip Davis, Thomas Wai Kwok Lee, Tage Munk Pedersen, Linda Pedersen, Virginia Emiko Sato, George Mok Yong Chan, Cameron Richard Essery, Cameron Richard Essery as Executor and Trustee under the last Will and Testament of Maria Michela Essery deceased, David Sui Mo Cheung, Bock Yip, James Christie Annable, Dawn Wai Jun Annable, Mary Winifred Chu, Dr. Howan Koo, Inc., Jenny Suk Ha Ho, Joseph Shaw, Ruby Shaw, Mohinder Jit Singh Grewal, Narinder Kaur Grewal, James Robert Bardal, Anita Bernita Bardal, Christopher Boyd and Patrick Boyd, as Executors and Trustees under the last Will and Testament of Jan Marie Boyd, deceased, Michael Yun Kei Lee, Helena Martha Wai Yin Lee, Scottsdale Investments Ltd., Samson Chi-Wang Mui, Frances Shuk Fun Lee, Man Ding Lam, Ngar Lai Ng, Timothy Shon Low, Margaret Kuen Low, Alpana Swarup Aggarwal, Newford Investments Ltd., Suki Enterprises Inc., Dr. William F. Yeung M.D., Inc., Chi-Lap Lin, Cindy Lin, Bel-Aire Agencies Ltd., Seran Holdings Inc., Woon Ying Lai, Michael John Engelbert, Susan Mary Engelbert, 347599 B.C. Ltd., Sandeep &amp; Taseem Investments Ltd., Grant Leong Lee, Alnashir Amirally Premji, Rozina Premji, Bowman &amp; Sons Investments Inc., Aman Investments Ltd., Alphonsus Zan-Lam Hui, Josephine Suk-Ying Hui, 462871 B.C. Ltd., Yin Ng, Joji Matsui, Douglas Paul Ashbee, Randi Christine Ashbee, Yoon Hee Ok, Beverly Ann Kaiser, Gordon Andrew Wang Kei Hsu, Mei Ling Hsu, Vincent Kin Chung Law, Kin Yee Lo, Lim Soon Noy, as Executor and Trustee under the last Will and Testament of Alvin Yong, deceased, Susan Chinn, as Executor and Trustee under the last Will and Testament of Albert Chinn, deceased, Susan Chinn, Eugene Wai Chiu Tsang, Stella Yuk Ping Tsang, Peng Loon Thong, Mi Lung Chan Thong, Kai Sun Chin, Donna May Wah Chin, John Patrick Meagher, Jan Lea Gibson, Brian George White, Yrsa Liselotte Jensen, Robert Vong, Catherine Vong, Richard Lonsdale, Sandra Lonsdale, Chi King Agnes Lam, Pak Ho Lam, Richard Chung-Sop Cook, Laurence Alexander Bosley, Narinder Kumar Dhir, Prem Lata Dhir, T.S.K. Ventures Ltd., Manhope Enterprises Inc., Richard Yan Wai Yau, Connie Yuet Kwan Lam, Oluf Peter Skov, Roald Skov, Willis Higgins Building Corporation, Donald Wiseman, Mary Chan, Lulu Siu Yin Loh, Thomas Wahlig, Daisy Lan Lee, Wenceslawa Lenie Buenaventura, as Executor and Trustee under the last Will and Testament of Arsenio Buenaventura, deceased, Wenceslawa Lenie Buenaventura, Josh Holdings Ltd., David William Clark, Joanne Marylyn Clark, Gilberto Gerardo Talamo, Greta Lucia Talamo, Sze Hiong Liew, Sonia Rattan and Judy Charlotte Woodward v. Homer Street Development Limited Partnership, formerly Cressey (Homer) Limited Partnership, Trilogy Robson Development Limited Partnership, 455322 British Columbia Ltd. individually, and together doing business as The Grand Development Partnership, Cressey Development Corporation, Norman Cressey, Joan Cressey, Scott Cressey, 511953 British Columbia Ltd., formerly Trilogy Pacific Enterprises Corporation, John de C. Evans, Jonathon Wener and Douglas Pascal </w:t>
            </w:r>
            <w:r w:rsidR="00A268D3" w:rsidRPr="002F3871">
              <w:rPr>
                <w:sz w:val="20"/>
              </w:rPr>
              <w:t>(B.C.) (Civil) (By Leave)</w:t>
            </w:r>
          </w:p>
        </w:tc>
      </w:tr>
      <w:tr w:rsidR="00C41450" w:rsidRPr="002F3871" w:rsidTr="00A268D3">
        <w:trPr>
          <w:gridAfter w:val="1"/>
          <w:wAfter w:w="48" w:type="pct"/>
        </w:trPr>
        <w:tc>
          <w:tcPr>
            <w:tcW w:w="537" w:type="pct"/>
          </w:tcPr>
          <w:p w:rsidR="00C41450" w:rsidRPr="002F3871" w:rsidRDefault="00C41450" w:rsidP="00A268D3">
            <w:pPr>
              <w:jc w:val="both"/>
              <w:rPr>
                <w:rStyle w:val="SCCFileNumberChar"/>
                <w:sz w:val="20"/>
                <w:szCs w:val="20"/>
              </w:rPr>
            </w:pPr>
            <w:r>
              <w:rPr>
                <w:rStyle w:val="SCCFileNumberChar"/>
                <w:sz w:val="20"/>
                <w:szCs w:val="20"/>
              </w:rPr>
              <w:t>Coram:</w:t>
            </w:r>
          </w:p>
        </w:tc>
        <w:tc>
          <w:tcPr>
            <w:tcW w:w="4415" w:type="pct"/>
            <w:gridSpan w:val="3"/>
          </w:tcPr>
          <w:p w:rsidR="00C41450" w:rsidRDefault="00B12BC9" w:rsidP="00A268D3">
            <w:pPr>
              <w:pStyle w:val="SCCLsocParty"/>
              <w:jc w:val="both"/>
              <w:rPr>
                <w:sz w:val="20"/>
                <w:szCs w:val="20"/>
                <w:lang w:val="en-US"/>
              </w:rPr>
            </w:pPr>
            <w:r w:rsidRPr="00B12BC9">
              <w:rPr>
                <w:sz w:val="20"/>
                <w:szCs w:val="20"/>
                <w:lang w:val="en-US"/>
              </w:rPr>
              <w:t>McLachlin C.J. and Abella, Moldaver, Karakatsanis, Wagner, Gascon, Côté, Brown and Rowe JJ.</w:t>
            </w:r>
            <w:r>
              <w:rPr>
                <w:sz w:val="20"/>
                <w:szCs w:val="20"/>
                <w:lang w:val="en-US"/>
              </w:rPr>
              <w:t xml:space="preserve"> </w:t>
            </w:r>
          </w:p>
          <w:p w:rsidR="00B12BC9" w:rsidRPr="00B12BC9" w:rsidRDefault="00B12BC9" w:rsidP="00B12BC9">
            <w:pPr>
              <w:rPr>
                <w:lang w:val="en-US"/>
              </w:rPr>
            </w:pPr>
          </w:p>
        </w:tc>
      </w:tr>
      <w:tr w:rsidR="00C41450" w:rsidRPr="002F3871" w:rsidTr="00C41450">
        <w:trPr>
          <w:gridAfter w:val="1"/>
          <w:wAfter w:w="48" w:type="pct"/>
        </w:trPr>
        <w:tc>
          <w:tcPr>
            <w:tcW w:w="4952" w:type="pct"/>
            <w:gridSpan w:val="4"/>
          </w:tcPr>
          <w:p w:rsidR="00C41450" w:rsidRPr="00B12BC9" w:rsidRDefault="00B12BC9" w:rsidP="00A268D3">
            <w:pPr>
              <w:pStyle w:val="SCCLsocParty"/>
              <w:jc w:val="both"/>
              <w:rPr>
                <w:sz w:val="20"/>
                <w:szCs w:val="20"/>
                <w:lang w:val="en-US"/>
              </w:rPr>
            </w:pPr>
            <w:r w:rsidRPr="00B12BC9">
              <w:rPr>
                <w:sz w:val="20"/>
                <w:szCs w:val="20"/>
                <w:lang w:val="en-US"/>
              </w:rPr>
              <w:t>The application for leave to appeal from the judgment of the Court of Appeal for British Columbia (Vancouver), Number CA43125, 2016 BCCA 371, dated September 15, 2016, is dismissed with costs.</w:t>
            </w:r>
          </w:p>
          <w:p w:rsidR="00B12BC9" w:rsidRPr="00B12BC9" w:rsidRDefault="00B12BC9" w:rsidP="00B12BC9">
            <w:pPr>
              <w:rPr>
                <w:lang w:val="en-US"/>
              </w:rPr>
            </w:pPr>
          </w:p>
        </w:tc>
      </w:tr>
      <w:tr w:rsidR="00A268D3" w:rsidRPr="002F3871" w:rsidTr="00A268D3">
        <w:trPr>
          <w:gridAfter w:val="1"/>
          <w:wAfter w:w="48" w:type="pct"/>
        </w:trPr>
        <w:tc>
          <w:tcPr>
            <w:tcW w:w="4952" w:type="pct"/>
            <w:gridSpan w:val="4"/>
          </w:tcPr>
          <w:p w:rsidR="00A268D3" w:rsidRPr="002F3871" w:rsidRDefault="00A268D3" w:rsidP="00A268D3">
            <w:pPr>
              <w:jc w:val="both"/>
              <w:rPr>
                <w:sz w:val="20"/>
              </w:rPr>
            </w:pPr>
            <w:r w:rsidRPr="002F3871">
              <w:rPr>
                <w:sz w:val="20"/>
              </w:rPr>
              <w:t xml:space="preserve">Damages — Quantum — Misrepresentation — Disclosure statement — Developers — Condominiums — Applicant investors purchased strata units in Vancouver Westin Grand Hotel in 1996 — Transactions closed in 1999 upon construction and opening for business — Liability trial found material misrepresentation in financial statements regarding projected occupancy — Assessment trial awarded applicant investors $8 million plus prejudgment interest — Appeal by respondent developers from assessment of damages allowed — Whether two-part test for causation should be adopted in claims for damages for misrepresentation inducing entry into contract, in preference to “but for” test — </w:t>
            </w:r>
            <w:r w:rsidRPr="002F3871">
              <w:rPr>
                <w:sz w:val="20"/>
              </w:rPr>
              <w:lastRenderedPageBreak/>
              <w:t xml:space="preserve">What is proper approach to interpretation of statutory remedies for misrepresentation? — </w:t>
            </w:r>
            <w:r w:rsidRPr="002F3871">
              <w:rPr>
                <w:i/>
                <w:sz w:val="20"/>
              </w:rPr>
              <w:t>Real Estate Act</w:t>
            </w:r>
            <w:r w:rsidRPr="002F3871">
              <w:rPr>
                <w:sz w:val="20"/>
              </w:rPr>
              <w:t xml:space="preserve">, R.S.B.C. 1979, c. 356. </w:t>
            </w:r>
          </w:p>
        </w:tc>
      </w:tr>
      <w:tr w:rsidR="00A268D3" w:rsidRPr="002F3871" w:rsidTr="00A268D3">
        <w:trPr>
          <w:gridAfter w:val="1"/>
          <w:wAfter w:w="48" w:type="pct"/>
        </w:trPr>
        <w:tc>
          <w:tcPr>
            <w:tcW w:w="4952" w:type="pct"/>
            <w:gridSpan w:val="4"/>
          </w:tcPr>
          <w:p w:rsidR="00A268D3" w:rsidRPr="002F3871" w:rsidRDefault="00A268D3" w:rsidP="00A268D3">
            <w:pPr>
              <w:jc w:val="both"/>
              <w:rPr>
                <w:sz w:val="20"/>
              </w:rPr>
            </w:pPr>
          </w:p>
        </w:tc>
      </w:tr>
      <w:tr w:rsidR="00A268D3" w:rsidRPr="002F3871" w:rsidTr="00A268D3">
        <w:trPr>
          <w:gridAfter w:val="1"/>
          <w:wAfter w:w="48" w:type="pct"/>
        </w:trPr>
        <w:tc>
          <w:tcPr>
            <w:tcW w:w="4952" w:type="pct"/>
            <w:gridSpan w:val="4"/>
          </w:tcPr>
          <w:p w:rsidR="00A268D3" w:rsidRPr="002F3871" w:rsidRDefault="00A268D3" w:rsidP="00A268D3">
            <w:pPr>
              <w:jc w:val="both"/>
              <w:rPr>
                <w:sz w:val="20"/>
              </w:rPr>
            </w:pPr>
            <w:r w:rsidRPr="002F3871">
              <w:rPr>
                <w:sz w:val="20"/>
              </w:rPr>
              <w:t xml:space="preserve">This leave application arises out of the sale of strata units in the Westin Grand Hotel in downtown Vancouver. The applicant investors purchased their units in November 1996 after receiving a disclosure statement issued under the </w:t>
            </w:r>
            <w:r w:rsidRPr="002F3871">
              <w:rPr>
                <w:i/>
                <w:sz w:val="20"/>
              </w:rPr>
              <w:t>Real Estate Act</w:t>
            </w:r>
            <w:r w:rsidRPr="002F3871">
              <w:rPr>
                <w:sz w:val="20"/>
              </w:rPr>
              <w:t>, R.S.B.C. 1979, c. 356 (subsequently R.S.B.C. 1996 c. 397). The sales closed in April 1999. At the liability trial, the judge found that the disclosure statement contained a material misrepresentation concerning a projection of anticipated occupancy rates. His conclusion was upheld on appeal. After a 26-day quantum trial, the judge assessed damages at $8,000,000.00, which represented the fall in the value of the units as of the date of closing. The respondent developers appealed, raising two grounds: first, that the judge erred in excluding evidence on the issue of reliance on the part of the applicant investors; and second, that the judge erred in his determination of compensation by choosing the incorrect date to assess the applicant investors’ losses and by not limiting them to those caused by the misrepresentation. A unanimous Court of Appeal allowed the appeal.</w:t>
            </w:r>
          </w:p>
          <w:p w:rsidR="00A268D3" w:rsidRPr="002F3871" w:rsidRDefault="00A268D3" w:rsidP="00A268D3">
            <w:pPr>
              <w:jc w:val="both"/>
              <w:rPr>
                <w:sz w:val="20"/>
              </w:rPr>
            </w:pPr>
          </w:p>
        </w:tc>
      </w:tr>
      <w:tr w:rsidR="00A268D3" w:rsidRPr="002F3871" w:rsidTr="00A268D3">
        <w:tblPrEx>
          <w:tblCellMar>
            <w:bottom w:w="0" w:type="dxa"/>
          </w:tblCellMar>
        </w:tblPrEx>
        <w:tc>
          <w:tcPr>
            <w:tcW w:w="2367" w:type="pct"/>
            <w:gridSpan w:val="2"/>
          </w:tcPr>
          <w:p w:rsidR="00A268D3" w:rsidRPr="002F3871" w:rsidRDefault="00A268D3" w:rsidP="00A268D3">
            <w:pPr>
              <w:jc w:val="both"/>
              <w:rPr>
                <w:sz w:val="20"/>
              </w:rPr>
            </w:pPr>
            <w:r w:rsidRPr="002F3871">
              <w:rPr>
                <w:sz w:val="20"/>
              </w:rPr>
              <w:t>September 1, 2015</w:t>
            </w:r>
          </w:p>
          <w:p w:rsidR="00A268D3" w:rsidRPr="002F3871" w:rsidRDefault="00A268D3" w:rsidP="00A268D3">
            <w:pPr>
              <w:jc w:val="both"/>
              <w:rPr>
                <w:sz w:val="20"/>
              </w:rPr>
            </w:pPr>
            <w:r w:rsidRPr="002F3871">
              <w:rPr>
                <w:sz w:val="20"/>
              </w:rPr>
              <w:t>Supreme Court of British Columbia</w:t>
            </w:r>
          </w:p>
          <w:p w:rsidR="00A268D3" w:rsidRPr="002F3871" w:rsidRDefault="00A268D3" w:rsidP="00A268D3">
            <w:pPr>
              <w:jc w:val="both"/>
              <w:rPr>
                <w:sz w:val="20"/>
              </w:rPr>
            </w:pPr>
            <w:r w:rsidRPr="002F3871">
              <w:rPr>
                <w:sz w:val="20"/>
              </w:rPr>
              <w:t>(Truscott J.)</w:t>
            </w:r>
          </w:p>
          <w:p w:rsidR="00A268D3" w:rsidRPr="002F3871" w:rsidRDefault="00ED4247" w:rsidP="00A268D3">
            <w:pPr>
              <w:jc w:val="both"/>
              <w:rPr>
                <w:sz w:val="20"/>
              </w:rPr>
            </w:pPr>
            <w:hyperlink r:id="rId42" w:history="1">
              <w:r w:rsidR="00A268D3" w:rsidRPr="002F3871">
                <w:rPr>
                  <w:rStyle w:val="Hyperlink"/>
                  <w:sz w:val="20"/>
                </w:rPr>
                <w:t>2015 BCSC 1564</w:t>
              </w:r>
            </w:hyperlink>
          </w:p>
          <w:p w:rsidR="00A268D3" w:rsidRPr="002F3871" w:rsidRDefault="00A268D3" w:rsidP="00A268D3">
            <w:pPr>
              <w:jc w:val="both"/>
              <w:rPr>
                <w:sz w:val="20"/>
              </w:rPr>
            </w:pPr>
          </w:p>
        </w:tc>
        <w:tc>
          <w:tcPr>
            <w:tcW w:w="267" w:type="pct"/>
          </w:tcPr>
          <w:p w:rsidR="00A268D3" w:rsidRPr="002F3871" w:rsidRDefault="00A268D3" w:rsidP="00A268D3">
            <w:pPr>
              <w:jc w:val="both"/>
              <w:rPr>
                <w:sz w:val="20"/>
              </w:rPr>
            </w:pPr>
          </w:p>
        </w:tc>
        <w:tc>
          <w:tcPr>
            <w:tcW w:w="2366" w:type="pct"/>
            <w:gridSpan w:val="2"/>
          </w:tcPr>
          <w:p w:rsidR="00A268D3" w:rsidRPr="002F3871" w:rsidRDefault="00A268D3" w:rsidP="00A268D3">
            <w:pPr>
              <w:jc w:val="both"/>
              <w:rPr>
                <w:sz w:val="20"/>
              </w:rPr>
            </w:pPr>
            <w:r w:rsidRPr="002F3871">
              <w:rPr>
                <w:sz w:val="20"/>
              </w:rPr>
              <w:t>Respondent developers found liable to make compensation to applicant investors in amount of $8,000,000.00 plus pre-judgment interest of $3,121,490.98.</w:t>
            </w:r>
          </w:p>
        </w:tc>
      </w:tr>
      <w:tr w:rsidR="00A268D3" w:rsidRPr="002F3871" w:rsidTr="00A268D3">
        <w:tblPrEx>
          <w:tblCellMar>
            <w:bottom w:w="0" w:type="dxa"/>
          </w:tblCellMar>
        </w:tblPrEx>
        <w:tc>
          <w:tcPr>
            <w:tcW w:w="2367" w:type="pct"/>
            <w:gridSpan w:val="2"/>
          </w:tcPr>
          <w:p w:rsidR="00A268D3" w:rsidRPr="002F3871" w:rsidRDefault="00A268D3" w:rsidP="00A268D3">
            <w:pPr>
              <w:jc w:val="both"/>
              <w:rPr>
                <w:sz w:val="20"/>
              </w:rPr>
            </w:pPr>
            <w:r w:rsidRPr="002F3871">
              <w:rPr>
                <w:sz w:val="20"/>
              </w:rPr>
              <w:t>September 15, 2016</w:t>
            </w:r>
          </w:p>
          <w:p w:rsidR="00A268D3" w:rsidRPr="002F3871" w:rsidRDefault="00A268D3" w:rsidP="00A268D3">
            <w:pPr>
              <w:jc w:val="both"/>
              <w:rPr>
                <w:sz w:val="20"/>
              </w:rPr>
            </w:pPr>
            <w:r w:rsidRPr="002F3871">
              <w:rPr>
                <w:sz w:val="20"/>
              </w:rPr>
              <w:t>Court of Appeal for British Columbia (Vancouver)</w:t>
            </w:r>
          </w:p>
          <w:p w:rsidR="00A268D3" w:rsidRPr="002F3871" w:rsidRDefault="00A268D3" w:rsidP="00A268D3">
            <w:pPr>
              <w:jc w:val="both"/>
              <w:rPr>
                <w:sz w:val="20"/>
              </w:rPr>
            </w:pPr>
            <w:r w:rsidRPr="002F3871">
              <w:rPr>
                <w:sz w:val="20"/>
              </w:rPr>
              <w:t>(Frankel, Goepel and Dickson JJ.A.)</w:t>
            </w:r>
          </w:p>
          <w:p w:rsidR="00A268D3" w:rsidRPr="002F3871" w:rsidRDefault="00ED4247" w:rsidP="00A268D3">
            <w:pPr>
              <w:jc w:val="both"/>
              <w:rPr>
                <w:sz w:val="20"/>
              </w:rPr>
            </w:pPr>
            <w:hyperlink r:id="rId43" w:history="1">
              <w:r w:rsidR="00A268D3" w:rsidRPr="002F3871">
                <w:rPr>
                  <w:rStyle w:val="Hyperlink"/>
                  <w:sz w:val="20"/>
                </w:rPr>
                <w:t>2016 BCCA 371</w:t>
              </w:r>
            </w:hyperlink>
          </w:p>
          <w:p w:rsidR="00A268D3" w:rsidRPr="002F3871" w:rsidRDefault="00A268D3" w:rsidP="00A268D3">
            <w:pPr>
              <w:jc w:val="both"/>
              <w:rPr>
                <w:sz w:val="20"/>
              </w:rPr>
            </w:pPr>
          </w:p>
        </w:tc>
        <w:tc>
          <w:tcPr>
            <w:tcW w:w="267" w:type="pct"/>
          </w:tcPr>
          <w:p w:rsidR="00A268D3" w:rsidRPr="002F3871" w:rsidRDefault="00A268D3" w:rsidP="00A268D3">
            <w:pPr>
              <w:jc w:val="both"/>
              <w:rPr>
                <w:sz w:val="20"/>
              </w:rPr>
            </w:pPr>
          </w:p>
        </w:tc>
        <w:tc>
          <w:tcPr>
            <w:tcW w:w="2366" w:type="pct"/>
            <w:gridSpan w:val="2"/>
          </w:tcPr>
          <w:p w:rsidR="00A268D3" w:rsidRPr="002F3871" w:rsidRDefault="00A268D3" w:rsidP="00A268D3">
            <w:pPr>
              <w:jc w:val="both"/>
              <w:rPr>
                <w:sz w:val="20"/>
              </w:rPr>
            </w:pPr>
            <w:r w:rsidRPr="002F3871">
              <w:rPr>
                <w:sz w:val="20"/>
              </w:rPr>
              <w:t>Appeal allowed.</w:t>
            </w:r>
          </w:p>
          <w:p w:rsidR="00A268D3" w:rsidRPr="002F3871" w:rsidRDefault="00A268D3" w:rsidP="00A268D3">
            <w:pPr>
              <w:jc w:val="both"/>
              <w:rPr>
                <w:sz w:val="20"/>
              </w:rPr>
            </w:pPr>
          </w:p>
        </w:tc>
      </w:tr>
      <w:tr w:rsidR="00A268D3" w:rsidRPr="002F3871" w:rsidTr="00A268D3">
        <w:tblPrEx>
          <w:tblCellMar>
            <w:bottom w:w="0" w:type="dxa"/>
          </w:tblCellMar>
        </w:tblPrEx>
        <w:tc>
          <w:tcPr>
            <w:tcW w:w="2367" w:type="pct"/>
            <w:gridSpan w:val="2"/>
          </w:tcPr>
          <w:p w:rsidR="00A268D3" w:rsidRPr="002F3871" w:rsidRDefault="00A268D3" w:rsidP="00A268D3">
            <w:pPr>
              <w:jc w:val="both"/>
              <w:rPr>
                <w:sz w:val="20"/>
              </w:rPr>
            </w:pPr>
            <w:r w:rsidRPr="002F3871">
              <w:rPr>
                <w:sz w:val="20"/>
              </w:rPr>
              <w:t>November 9, 2016</w:t>
            </w:r>
          </w:p>
          <w:p w:rsidR="00A268D3" w:rsidRPr="002F3871" w:rsidRDefault="00A268D3" w:rsidP="00A268D3">
            <w:pPr>
              <w:jc w:val="both"/>
              <w:rPr>
                <w:sz w:val="20"/>
              </w:rPr>
            </w:pPr>
            <w:r w:rsidRPr="002F3871">
              <w:rPr>
                <w:sz w:val="20"/>
              </w:rPr>
              <w:t>Supreme Court of Canada</w:t>
            </w:r>
          </w:p>
          <w:p w:rsidR="00A268D3" w:rsidRPr="002F3871" w:rsidRDefault="00A268D3" w:rsidP="00A268D3">
            <w:pPr>
              <w:jc w:val="both"/>
              <w:rPr>
                <w:sz w:val="20"/>
              </w:rPr>
            </w:pPr>
          </w:p>
        </w:tc>
        <w:tc>
          <w:tcPr>
            <w:tcW w:w="267" w:type="pct"/>
          </w:tcPr>
          <w:p w:rsidR="00A268D3" w:rsidRPr="002F3871" w:rsidRDefault="00A268D3" w:rsidP="00A268D3">
            <w:pPr>
              <w:jc w:val="both"/>
              <w:rPr>
                <w:sz w:val="20"/>
              </w:rPr>
            </w:pPr>
          </w:p>
        </w:tc>
        <w:tc>
          <w:tcPr>
            <w:tcW w:w="2366" w:type="pct"/>
            <w:gridSpan w:val="2"/>
          </w:tcPr>
          <w:p w:rsidR="00A268D3" w:rsidRPr="002F3871" w:rsidRDefault="00A268D3" w:rsidP="00A268D3">
            <w:pPr>
              <w:jc w:val="both"/>
              <w:rPr>
                <w:sz w:val="20"/>
              </w:rPr>
            </w:pPr>
            <w:r w:rsidRPr="002F3871">
              <w:rPr>
                <w:sz w:val="20"/>
              </w:rPr>
              <w:t>Application for leave to appeal filed.</w:t>
            </w:r>
          </w:p>
          <w:p w:rsidR="00A268D3" w:rsidRPr="002F3871" w:rsidRDefault="00A268D3" w:rsidP="00A268D3">
            <w:pPr>
              <w:jc w:val="both"/>
              <w:rPr>
                <w:sz w:val="20"/>
              </w:rPr>
            </w:pPr>
          </w:p>
        </w:tc>
      </w:tr>
      <w:tr w:rsidR="00A268D3" w:rsidRPr="002F3871" w:rsidTr="00A268D3">
        <w:tblPrEx>
          <w:tblCellMar>
            <w:bottom w:w="0" w:type="dxa"/>
          </w:tblCellMar>
        </w:tblPrEx>
        <w:tc>
          <w:tcPr>
            <w:tcW w:w="2367" w:type="pct"/>
            <w:gridSpan w:val="2"/>
          </w:tcPr>
          <w:p w:rsidR="00A268D3" w:rsidRPr="002F3871" w:rsidRDefault="00A268D3" w:rsidP="00A268D3">
            <w:pPr>
              <w:jc w:val="both"/>
              <w:rPr>
                <w:sz w:val="20"/>
              </w:rPr>
            </w:pPr>
            <w:r w:rsidRPr="002F3871">
              <w:rPr>
                <w:sz w:val="20"/>
              </w:rPr>
              <w:t>March 3, 2017</w:t>
            </w:r>
          </w:p>
          <w:p w:rsidR="00A268D3" w:rsidRPr="002F3871" w:rsidRDefault="00A268D3" w:rsidP="00A268D3">
            <w:pPr>
              <w:jc w:val="both"/>
              <w:rPr>
                <w:sz w:val="20"/>
              </w:rPr>
            </w:pPr>
            <w:r w:rsidRPr="002F3871">
              <w:rPr>
                <w:sz w:val="20"/>
              </w:rPr>
              <w:t>Supreme Court of Canada</w:t>
            </w:r>
          </w:p>
        </w:tc>
        <w:tc>
          <w:tcPr>
            <w:tcW w:w="267" w:type="pct"/>
          </w:tcPr>
          <w:p w:rsidR="00A268D3" w:rsidRPr="002F3871" w:rsidRDefault="00A268D3" w:rsidP="00A268D3">
            <w:pPr>
              <w:jc w:val="both"/>
              <w:rPr>
                <w:sz w:val="20"/>
              </w:rPr>
            </w:pPr>
          </w:p>
        </w:tc>
        <w:tc>
          <w:tcPr>
            <w:tcW w:w="2366" w:type="pct"/>
            <w:gridSpan w:val="2"/>
          </w:tcPr>
          <w:p w:rsidR="00A268D3" w:rsidRPr="002F3871" w:rsidRDefault="00A268D3" w:rsidP="00A268D3">
            <w:pPr>
              <w:jc w:val="both"/>
              <w:rPr>
                <w:sz w:val="20"/>
              </w:rPr>
            </w:pPr>
            <w:r w:rsidRPr="002F3871">
              <w:rPr>
                <w:sz w:val="20"/>
              </w:rPr>
              <w:t>Respondent developers’ motion to serve and file Sur-reply to applicant investors’ reply granted without costs.</w:t>
            </w:r>
          </w:p>
        </w:tc>
      </w:tr>
    </w:tbl>
    <w:p w:rsidR="00A268D3" w:rsidRPr="002F3871" w:rsidRDefault="00ED4247" w:rsidP="00A268D3">
      <w:pPr>
        <w:jc w:val="both"/>
        <w:rPr>
          <w:sz w:val="20"/>
        </w:rPr>
      </w:pPr>
      <w:r>
        <w:rPr>
          <w:sz w:val="20"/>
          <w:szCs w:val="20"/>
        </w:rPr>
        <w:pict>
          <v:rect id="_x0000_i1065" style="width:2in;height:1pt" o:hrpct="0" o:hralign="center" o:hrstd="t" o:hrnoshade="t" o:hr="t" fillcolor="black" stroked="f"/>
        </w:pict>
      </w:r>
    </w:p>
    <w:p w:rsidR="00A268D3" w:rsidRPr="002F3871" w:rsidRDefault="00A268D3" w:rsidP="00A268D3">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33"/>
        <w:gridCol w:w="3521"/>
        <w:gridCol w:w="514"/>
        <w:gridCol w:w="4459"/>
        <w:gridCol w:w="92"/>
      </w:tblGrid>
      <w:tr w:rsidR="00A268D3" w:rsidRPr="00224C9D" w:rsidTr="00A268D3">
        <w:trPr>
          <w:gridAfter w:val="1"/>
          <w:wAfter w:w="48" w:type="pct"/>
        </w:trPr>
        <w:tc>
          <w:tcPr>
            <w:tcW w:w="537" w:type="pct"/>
          </w:tcPr>
          <w:p w:rsidR="00A268D3" w:rsidRPr="002F3871" w:rsidRDefault="00A268D3" w:rsidP="00A268D3">
            <w:pPr>
              <w:jc w:val="both"/>
              <w:rPr>
                <w:sz w:val="20"/>
                <w:lang w:val="fr-CA"/>
              </w:rPr>
            </w:pPr>
            <w:r w:rsidRPr="002F3871">
              <w:rPr>
                <w:rStyle w:val="SCCFileNumberChar"/>
                <w:sz w:val="20"/>
                <w:szCs w:val="20"/>
                <w:lang w:val="fr-CA"/>
              </w:rPr>
              <w:t>37286</w:t>
            </w:r>
          </w:p>
        </w:tc>
        <w:tc>
          <w:tcPr>
            <w:tcW w:w="4415" w:type="pct"/>
            <w:gridSpan w:val="3"/>
          </w:tcPr>
          <w:p w:rsidR="00A268D3" w:rsidRPr="002F3871" w:rsidRDefault="00B12BC9" w:rsidP="00A268D3">
            <w:pPr>
              <w:jc w:val="both"/>
              <w:rPr>
                <w:sz w:val="20"/>
                <w:lang w:val="fr-CA"/>
              </w:rPr>
            </w:pPr>
            <w:r w:rsidRPr="00B12BC9">
              <w:rPr>
                <w:rFonts w:eastAsia="Calibri" w:cs="Times New Roman"/>
                <w:b/>
                <w:sz w:val="20"/>
                <w:szCs w:val="20"/>
                <w:lang w:val="fr-CA"/>
              </w:rPr>
              <w:t>Patrick Joseph Burns, Angus Wilde Publications Inc., Dr. Domingo M. Lopez Corp., Shirley Mae McFadden, exécutrice et fiduciaire testamentaire de Bernard Ralph McFadden, décédé, Shirley Mae McFadden, Lipp Kan Chia, Denise Ching Wan Min Kee, Betty Lai Sim Wong, Marion Merle Loney, George Tien, Amy Fu-Tak Tien, Harold Isao Morioka, Elaine Chiyeko Morioka, Bob Chin, Sarah Chin, Diana May Wilson, exécutrice et fiduciaire testamentaire de Gordon Grant Wilson, décédé, Diana May Wilson, Arthur Phillip Davis, Thomas Wai Kwok Lee, Tage Munk Pedersen, Linda Pedersen, Virginia Emiko Sato, George Mok Yong Chan, Cameron Richard Essery, Cameron Richard Essery, exécuteur et fiduciaire testamentaire de  Maria Michela Essery décédée, David Sui Mo Cheung, Bock Yip, James Christie Annable, Dawn Wai Jun Annable, Mary Winifred Chu, Dr. Howan Koo, Inc., Jenny Suk Ha Ho, Joseph Shaw, Ruby Shaw, Mohinder Jit Singh Grewal, Narinder Kaur Grewal, James Robert Bardal, Anita Bernita Bardal, Christopher Boyd et Patrick Boyd, exécuteurs et fiduciaires testamentaires de Jan Marie Boyd, décédée, Michael Yun Kei Lee, Helena Martha Wai Yin Lee, Scottsdale Investments Ltd., Samson Chi-Wang Mui, Frances Shuk Fun Lee, Man Ding Lam, Ngar Lai Ng, Timothy Shon Low, Margaret Kuen Low, Alpana Swarup Aggarwal, Newford Investments Ltd., Suki Enterprises Inc., Dr. William F. Yeung M.D., Inc., Chi-Lap Lin, Cindy Lin, Bel-Aire Agencies Ltd., Seran Holdings Inc., Woon Ying Lai, Michael John Engelbert, Susan Mary Engelbert, 3</w:t>
            </w:r>
            <w:r w:rsidRPr="00ED4247">
              <w:rPr>
                <w:rFonts w:eastAsia="Calibri" w:cs="Times New Roman"/>
                <w:b/>
                <w:sz w:val="20"/>
                <w:szCs w:val="20"/>
                <w:lang w:val="en-US"/>
              </w:rPr>
              <w:t xml:space="preserve">47599 B.C. Ltd., Sandeep &amp; </w:t>
            </w:r>
            <w:proofErr w:type="spellStart"/>
            <w:r w:rsidRPr="00ED4247">
              <w:rPr>
                <w:rFonts w:eastAsia="Calibri" w:cs="Times New Roman"/>
                <w:b/>
                <w:sz w:val="20"/>
                <w:szCs w:val="20"/>
                <w:lang w:val="en-US"/>
              </w:rPr>
              <w:t>Taseem</w:t>
            </w:r>
            <w:proofErr w:type="spellEnd"/>
            <w:r w:rsidRPr="00ED4247">
              <w:rPr>
                <w:rFonts w:eastAsia="Calibri" w:cs="Times New Roman"/>
                <w:b/>
                <w:sz w:val="20"/>
                <w:szCs w:val="20"/>
                <w:lang w:val="en-US"/>
              </w:rPr>
              <w:t xml:space="preserve"> Investments Ltd., Grant Leong Lee, </w:t>
            </w:r>
            <w:proofErr w:type="spellStart"/>
            <w:r w:rsidRPr="00ED4247">
              <w:rPr>
                <w:rFonts w:eastAsia="Calibri" w:cs="Times New Roman"/>
                <w:b/>
                <w:sz w:val="20"/>
                <w:szCs w:val="20"/>
                <w:lang w:val="en-US"/>
              </w:rPr>
              <w:t>Alnashir</w:t>
            </w:r>
            <w:proofErr w:type="spellEnd"/>
            <w:r w:rsidRPr="00ED4247">
              <w:rPr>
                <w:rFonts w:eastAsia="Calibri" w:cs="Times New Roman"/>
                <w:b/>
                <w:sz w:val="20"/>
                <w:szCs w:val="20"/>
                <w:lang w:val="en-US"/>
              </w:rPr>
              <w:t xml:space="preserve"> </w:t>
            </w:r>
            <w:proofErr w:type="spellStart"/>
            <w:r w:rsidRPr="00ED4247">
              <w:rPr>
                <w:rFonts w:eastAsia="Calibri" w:cs="Times New Roman"/>
                <w:b/>
                <w:sz w:val="20"/>
                <w:szCs w:val="20"/>
                <w:lang w:val="en-US"/>
              </w:rPr>
              <w:t>Amirally</w:t>
            </w:r>
            <w:proofErr w:type="spellEnd"/>
            <w:r w:rsidRPr="00ED4247">
              <w:rPr>
                <w:rFonts w:eastAsia="Calibri" w:cs="Times New Roman"/>
                <w:b/>
                <w:sz w:val="20"/>
                <w:szCs w:val="20"/>
                <w:lang w:val="en-US"/>
              </w:rPr>
              <w:t xml:space="preserve"> </w:t>
            </w:r>
            <w:proofErr w:type="spellStart"/>
            <w:r w:rsidRPr="00ED4247">
              <w:rPr>
                <w:rFonts w:eastAsia="Calibri" w:cs="Times New Roman"/>
                <w:b/>
                <w:sz w:val="20"/>
                <w:szCs w:val="20"/>
                <w:lang w:val="en-US"/>
              </w:rPr>
              <w:t>Premji</w:t>
            </w:r>
            <w:proofErr w:type="spellEnd"/>
            <w:r w:rsidRPr="00ED4247">
              <w:rPr>
                <w:rFonts w:eastAsia="Calibri" w:cs="Times New Roman"/>
                <w:b/>
                <w:sz w:val="20"/>
                <w:szCs w:val="20"/>
                <w:lang w:val="en-US"/>
              </w:rPr>
              <w:t xml:space="preserve">, </w:t>
            </w:r>
            <w:proofErr w:type="spellStart"/>
            <w:r w:rsidRPr="00ED4247">
              <w:rPr>
                <w:rFonts w:eastAsia="Calibri" w:cs="Times New Roman"/>
                <w:b/>
                <w:sz w:val="20"/>
                <w:szCs w:val="20"/>
                <w:lang w:val="en-US"/>
              </w:rPr>
              <w:t>Rozina</w:t>
            </w:r>
            <w:proofErr w:type="spellEnd"/>
            <w:r w:rsidRPr="00ED4247">
              <w:rPr>
                <w:rFonts w:eastAsia="Calibri" w:cs="Times New Roman"/>
                <w:b/>
                <w:sz w:val="20"/>
                <w:szCs w:val="20"/>
                <w:lang w:val="en-US"/>
              </w:rPr>
              <w:t xml:space="preserve"> </w:t>
            </w:r>
            <w:proofErr w:type="spellStart"/>
            <w:r w:rsidRPr="00ED4247">
              <w:rPr>
                <w:rFonts w:eastAsia="Calibri" w:cs="Times New Roman"/>
                <w:b/>
                <w:sz w:val="20"/>
                <w:szCs w:val="20"/>
                <w:lang w:val="en-US"/>
              </w:rPr>
              <w:t>Premji</w:t>
            </w:r>
            <w:proofErr w:type="spellEnd"/>
            <w:r w:rsidRPr="00ED4247">
              <w:rPr>
                <w:rFonts w:eastAsia="Calibri" w:cs="Times New Roman"/>
                <w:b/>
                <w:sz w:val="20"/>
                <w:szCs w:val="20"/>
                <w:lang w:val="en-US"/>
              </w:rPr>
              <w:t xml:space="preserve">, Bowman &amp; Sons Investments Inc., </w:t>
            </w:r>
            <w:proofErr w:type="spellStart"/>
            <w:r w:rsidRPr="00ED4247">
              <w:rPr>
                <w:rFonts w:eastAsia="Calibri" w:cs="Times New Roman"/>
                <w:b/>
                <w:sz w:val="20"/>
                <w:szCs w:val="20"/>
                <w:lang w:val="en-US"/>
              </w:rPr>
              <w:t>Aman</w:t>
            </w:r>
            <w:proofErr w:type="spellEnd"/>
            <w:r w:rsidRPr="00ED4247">
              <w:rPr>
                <w:rFonts w:eastAsia="Calibri" w:cs="Times New Roman"/>
                <w:b/>
                <w:sz w:val="20"/>
                <w:szCs w:val="20"/>
                <w:lang w:val="en-US"/>
              </w:rPr>
              <w:t xml:space="preserve"> Investments Ltd., </w:t>
            </w:r>
            <w:proofErr w:type="spellStart"/>
            <w:r w:rsidRPr="00ED4247">
              <w:rPr>
                <w:rFonts w:eastAsia="Calibri" w:cs="Times New Roman"/>
                <w:b/>
                <w:sz w:val="20"/>
                <w:szCs w:val="20"/>
                <w:lang w:val="en-US"/>
              </w:rPr>
              <w:t>Alphonsus</w:t>
            </w:r>
            <w:proofErr w:type="spellEnd"/>
            <w:r w:rsidRPr="00ED4247">
              <w:rPr>
                <w:rFonts w:eastAsia="Calibri" w:cs="Times New Roman"/>
                <w:b/>
                <w:sz w:val="20"/>
                <w:szCs w:val="20"/>
                <w:lang w:val="en-US"/>
              </w:rPr>
              <w:t xml:space="preserve"> </w:t>
            </w:r>
            <w:proofErr w:type="spellStart"/>
            <w:r w:rsidRPr="00ED4247">
              <w:rPr>
                <w:rFonts w:eastAsia="Calibri" w:cs="Times New Roman"/>
                <w:b/>
                <w:sz w:val="20"/>
                <w:szCs w:val="20"/>
                <w:lang w:val="en-US"/>
              </w:rPr>
              <w:t>Zan</w:t>
            </w:r>
            <w:proofErr w:type="spellEnd"/>
            <w:r w:rsidRPr="00ED4247">
              <w:rPr>
                <w:rFonts w:eastAsia="Calibri" w:cs="Times New Roman"/>
                <w:b/>
                <w:sz w:val="20"/>
                <w:szCs w:val="20"/>
                <w:lang w:val="en-US"/>
              </w:rPr>
              <w:t xml:space="preserve">-Lam Hui, Josephine Suk-Ying Hui, 462871 B.C. Ltd., Yin Ng, </w:t>
            </w:r>
            <w:proofErr w:type="spellStart"/>
            <w:r w:rsidRPr="00ED4247">
              <w:rPr>
                <w:rFonts w:eastAsia="Calibri" w:cs="Times New Roman"/>
                <w:b/>
                <w:sz w:val="20"/>
                <w:szCs w:val="20"/>
                <w:lang w:val="en-US"/>
              </w:rPr>
              <w:t>Joji</w:t>
            </w:r>
            <w:proofErr w:type="spellEnd"/>
            <w:r w:rsidRPr="00ED4247">
              <w:rPr>
                <w:rFonts w:eastAsia="Calibri" w:cs="Times New Roman"/>
                <w:b/>
                <w:sz w:val="20"/>
                <w:szCs w:val="20"/>
                <w:lang w:val="en-US"/>
              </w:rPr>
              <w:t xml:space="preserve"> Matsui, Douglas Paul Ashbee, Randi Christine Ashbee, Yoon </w:t>
            </w:r>
            <w:proofErr w:type="spellStart"/>
            <w:r w:rsidRPr="00ED4247">
              <w:rPr>
                <w:rFonts w:eastAsia="Calibri" w:cs="Times New Roman"/>
                <w:b/>
                <w:sz w:val="20"/>
                <w:szCs w:val="20"/>
                <w:lang w:val="en-US"/>
              </w:rPr>
              <w:t>Hee</w:t>
            </w:r>
            <w:proofErr w:type="spellEnd"/>
            <w:r w:rsidRPr="00ED4247">
              <w:rPr>
                <w:rFonts w:eastAsia="Calibri" w:cs="Times New Roman"/>
                <w:b/>
                <w:sz w:val="20"/>
                <w:szCs w:val="20"/>
                <w:lang w:val="en-US"/>
              </w:rPr>
              <w:t xml:space="preserve"> Ok, Beverly Ann Kaiser, Gordon Andrew Wang Kei Hsu, Mei Ling Hsu, Vincent Kin Chung Law, Kin Yee Lo, Lim Soon </w:t>
            </w:r>
            <w:proofErr w:type="spellStart"/>
            <w:r w:rsidRPr="00ED4247">
              <w:rPr>
                <w:rFonts w:eastAsia="Calibri" w:cs="Times New Roman"/>
                <w:b/>
                <w:sz w:val="20"/>
                <w:szCs w:val="20"/>
                <w:lang w:val="en-US"/>
              </w:rPr>
              <w:t>Noy</w:t>
            </w:r>
            <w:proofErr w:type="spellEnd"/>
            <w:r w:rsidRPr="00ED4247">
              <w:rPr>
                <w:rFonts w:eastAsia="Calibri" w:cs="Times New Roman"/>
                <w:b/>
                <w:sz w:val="20"/>
                <w:szCs w:val="20"/>
                <w:lang w:val="en-US"/>
              </w:rPr>
              <w:t xml:space="preserve">, </w:t>
            </w:r>
            <w:proofErr w:type="spellStart"/>
            <w:r w:rsidRPr="00ED4247">
              <w:rPr>
                <w:rFonts w:eastAsia="Calibri" w:cs="Times New Roman"/>
                <w:b/>
                <w:sz w:val="20"/>
                <w:szCs w:val="20"/>
                <w:lang w:val="en-US"/>
              </w:rPr>
              <w:t>exécuteur</w:t>
            </w:r>
            <w:proofErr w:type="spellEnd"/>
            <w:r w:rsidRPr="00ED4247">
              <w:rPr>
                <w:rFonts w:eastAsia="Calibri" w:cs="Times New Roman"/>
                <w:b/>
                <w:sz w:val="20"/>
                <w:szCs w:val="20"/>
                <w:lang w:val="en-US"/>
              </w:rPr>
              <w:t xml:space="preserve"> et </w:t>
            </w:r>
            <w:proofErr w:type="spellStart"/>
            <w:r w:rsidRPr="00ED4247">
              <w:rPr>
                <w:rFonts w:eastAsia="Calibri" w:cs="Times New Roman"/>
                <w:b/>
                <w:sz w:val="20"/>
                <w:szCs w:val="20"/>
                <w:lang w:val="en-US"/>
              </w:rPr>
              <w:t>fiduciaire</w:t>
            </w:r>
            <w:proofErr w:type="spellEnd"/>
            <w:r w:rsidRPr="00ED4247">
              <w:rPr>
                <w:rFonts w:eastAsia="Calibri" w:cs="Times New Roman"/>
                <w:b/>
                <w:sz w:val="20"/>
                <w:szCs w:val="20"/>
                <w:lang w:val="en-US"/>
              </w:rPr>
              <w:t xml:space="preserve"> </w:t>
            </w:r>
            <w:proofErr w:type="spellStart"/>
            <w:r w:rsidRPr="00ED4247">
              <w:rPr>
                <w:rFonts w:eastAsia="Calibri" w:cs="Times New Roman"/>
                <w:b/>
                <w:sz w:val="20"/>
                <w:szCs w:val="20"/>
                <w:lang w:val="en-US"/>
              </w:rPr>
              <w:t>testamentaire</w:t>
            </w:r>
            <w:proofErr w:type="spellEnd"/>
            <w:r w:rsidRPr="00ED4247">
              <w:rPr>
                <w:rFonts w:eastAsia="Calibri" w:cs="Times New Roman"/>
                <w:b/>
                <w:sz w:val="20"/>
                <w:szCs w:val="20"/>
                <w:lang w:val="en-US"/>
              </w:rPr>
              <w:t xml:space="preserve"> de Alvin Yong, </w:t>
            </w:r>
            <w:proofErr w:type="spellStart"/>
            <w:r w:rsidRPr="00ED4247">
              <w:rPr>
                <w:rFonts w:eastAsia="Calibri" w:cs="Times New Roman"/>
                <w:b/>
                <w:sz w:val="20"/>
                <w:szCs w:val="20"/>
                <w:lang w:val="en-US"/>
              </w:rPr>
              <w:t>décédé</w:t>
            </w:r>
            <w:proofErr w:type="spellEnd"/>
            <w:r w:rsidRPr="00ED4247">
              <w:rPr>
                <w:rFonts w:eastAsia="Calibri" w:cs="Times New Roman"/>
                <w:b/>
                <w:sz w:val="20"/>
                <w:szCs w:val="20"/>
                <w:lang w:val="en-US"/>
              </w:rPr>
              <w:t xml:space="preserve">, Susan Chinn, </w:t>
            </w:r>
            <w:proofErr w:type="spellStart"/>
            <w:r w:rsidRPr="00ED4247">
              <w:rPr>
                <w:rFonts w:eastAsia="Calibri" w:cs="Times New Roman"/>
                <w:b/>
                <w:sz w:val="20"/>
                <w:szCs w:val="20"/>
                <w:lang w:val="en-US"/>
              </w:rPr>
              <w:t>exécutrice</w:t>
            </w:r>
            <w:proofErr w:type="spellEnd"/>
            <w:r w:rsidRPr="00ED4247">
              <w:rPr>
                <w:rFonts w:eastAsia="Calibri" w:cs="Times New Roman"/>
                <w:b/>
                <w:sz w:val="20"/>
                <w:szCs w:val="20"/>
                <w:lang w:val="en-US"/>
              </w:rPr>
              <w:t xml:space="preserve"> et </w:t>
            </w:r>
            <w:proofErr w:type="spellStart"/>
            <w:r w:rsidRPr="00ED4247">
              <w:rPr>
                <w:rFonts w:eastAsia="Calibri" w:cs="Times New Roman"/>
                <w:b/>
                <w:sz w:val="20"/>
                <w:szCs w:val="20"/>
                <w:lang w:val="en-US"/>
              </w:rPr>
              <w:t>fiduciaire</w:t>
            </w:r>
            <w:proofErr w:type="spellEnd"/>
            <w:r w:rsidRPr="00ED4247">
              <w:rPr>
                <w:rFonts w:eastAsia="Calibri" w:cs="Times New Roman"/>
                <w:b/>
                <w:sz w:val="20"/>
                <w:szCs w:val="20"/>
                <w:lang w:val="en-US"/>
              </w:rPr>
              <w:t xml:space="preserve"> </w:t>
            </w:r>
            <w:proofErr w:type="spellStart"/>
            <w:r w:rsidRPr="00ED4247">
              <w:rPr>
                <w:rFonts w:eastAsia="Calibri" w:cs="Times New Roman"/>
                <w:b/>
                <w:sz w:val="20"/>
                <w:szCs w:val="20"/>
                <w:lang w:val="en-US"/>
              </w:rPr>
              <w:t>testamentaire</w:t>
            </w:r>
            <w:proofErr w:type="spellEnd"/>
            <w:r w:rsidRPr="00ED4247">
              <w:rPr>
                <w:rFonts w:eastAsia="Calibri" w:cs="Times New Roman"/>
                <w:b/>
                <w:sz w:val="20"/>
                <w:szCs w:val="20"/>
                <w:lang w:val="en-US"/>
              </w:rPr>
              <w:t xml:space="preserve"> </w:t>
            </w:r>
            <w:proofErr w:type="spellStart"/>
            <w:r w:rsidRPr="00ED4247">
              <w:rPr>
                <w:rFonts w:eastAsia="Calibri" w:cs="Times New Roman"/>
                <w:b/>
                <w:sz w:val="20"/>
                <w:szCs w:val="20"/>
                <w:lang w:val="en-US"/>
              </w:rPr>
              <w:lastRenderedPageBreak/>
              <w:t>d’Albert</w:t>
            </w:r>
            <w:proofErr w:type="spellEnd"/>
            <w:r w:rsidRPr="00ED4247">
              <w:rPr>
                <w:rFonts w:eastAsia="Calibri" w:cs="Times New Roman"/>
                <w:b/>
                <w:sz w:val="20"/>
                <w:szCs w:val="20"/>
                <w:lang w:val="en-US"/>
              </w:rPr>
              <w:t xml:space="preserve"> Chinn, </w:t>
            </w:r>
            <w:proofErr w:type="spellStart"/>
            <w:r w:rsidRPr="00ED4247">
              <w:rPr>
                <w:rFonts w:eastAsia="Calibri" w:cs="Times New Roman"/>
                <w:b/>
                <w:sz w:val="20"/>
                <w:szCs w:val="20"/>
                <w:lang w:val="en-US"/>
              </w:rPr>
              <w:t>décédé</w:t>
            </w:r>
            <w:proofErr w:type="spellEnd"/>
            <w:r w:rsidRPr="00ED4247">
              <w:rPr>
                <w:rFonts w:eastAsia="Calibri" w:cs="Times New Roman"/>
                <w:b/>
                <w:sz w:val="20"/>
                <w:szCs w:val="20"/>
                <w:lang w:val="en-US"/>
              </w:rPr>
              <w:t xml:space="preserve">, Susan Chinn, Eugene Wai Chiu Tsang, Stella Yuk Ping Tsang, Peng Loon Thong, </w:t>
            </w:r>
            <w:proofErr w:type="spellStart"/>
            <w:r w:rsidRPr="00ED4247">
              <w:rPr>
                <w:rFonts w:eastAsia="Calibri" w:cs="Times New Roman"/>
                <w:b/>
                <w:sz w:val="20"/>
                <w:szCs w:val="20"/>
                <w:lang w:val="en-US"/>
              </w:rPr>
              <w:t>Mi</w:t>
            </w:r>
            <w:proofErr w:type="spellEnd"/>
            <w:r w:rsidRPr="00ED4247">
              <w:rPr>
                <w:rFonts w:eastAsia="Calibri" w:cs="Times New Roman"/>
                <w:b/>
                <w:sz w:val="20"/>
                <w:szCs w:val="20"/>
                <w:lang w:val="en-US"/>
              </w:rPr>
              <w:t xml:space="preserve"> Lung Chan Thong, Kai Sun Chin, Donna May </w:t>
            </w:r>
            <w:proofErr w:type="spellStart"/>
            <w:r w:rsidRPr="00ED4247">
              <w:rPr>
                <w:rFonts w:eastAsia="Calibri" w:cs="Times New Roman"/>
                <w:b/>
                <w:sz w:val="20"/>
                <w:szCs w:val="20"/>
                <w:lang w:val="en-US"/>
              </w:rPr>
              <w:t>Wah</w:t>
            </w:r>
            <w:proofErr w:type="spellEnd"/>
            <w:r w:rsidRPr="00ED4247">
              <w:rPr>
                <w:rFonts w:eastAsia="Calibri" w:cs="Times New Roman"/>
                <w:b/>
                <w:sz w:val="20"/>
                <w:szCs w:val="20"/>
                <w:lang w:val="en-US"/>
              </w:rPr>
              <w:t xml:space="preserve"> Chin, John Patrick Meagher, Jan Lea Gibson, Brian George White, </w:t>
            </w:r>
            <w:proofErr w:type="spellStart"/>
            <w:r w:rsidRPr="00ED4247">
              <w:rPr>
                <w:rFonts w:eastAsia="Calibri" w:cs="Times New Roman"/>
                <w:b/>
                <w:sz w:val="20"/>
                <w:szCs w:val="20"/>
                <w:lang w:val="en-US"/>
              </w:rPr>
              <w:t>Yrsa</w:t>
            </w:r>
            <w:proofErr w:type="spellEnd"/>
            <w:r w:rsidRPr="00ED4247">
              <w:rPr>
                <w:rFonts w:eastAsia="Calibri" w:cs="Times New Roman"/>
                <w:b/>
                <w:sz w:val="20"/>
                <w:szCs w:val="20"/>
                <w:lang w:val="en-US"/>
              </w:rPr>
              <w:t xml:space="preserve"> Liselotte Jensen, Robert </w:t>
            </w:r>
            <w:proofErr w:type="spellStart"/>
            <w:r w:rsidRPr="00ED4247">
              <w:rPr>
                <w:rFonts w:eastAsia="Calibri" w:cs="Times New Roman"/>
                <w:b/>
                <w:sz w:val="20"/>
                <w:szCs w:val="20"/>
                <w:lang w:val="en-US"/>
              </w:rPr>
              <w:t>Vong</w:t>
            </w:r>
            <w:proofErr w:type="spellEnd"/>
            <w:r w:rsidRPr="00ED4247">
              <w:rPr>
                <w:rFonts w:eastAsia="Calibri" w:cs="Times New Roman"/>
                <w:b/>
                <w:sz w:val="20"/>
                <w:szCs w:val="20"/>
                <w:lang w:val="en-US"/>
              </w:rPr>
              <w:t xml:space="preserve">, Catherine </w:t>
            </w:r>
            <w:proofErr w:type="spellStart"/>
            <w:r w:rsidRPr="00ED4247">
              <w:rPr>
                <w:rFonts w:eastAsia="Calibri" w:cs="Times New Roman"/>
                <w:b/>
                <w:sz w:val="20"/>
                <w:szCs w:val="20"/>
                <w:lang w:val="en-US"/>
              </w:rPr>
              <w:t>Vong</w:t>
            </w:r>
            <w:proofErr w:type="spellEnd"/>
            <w:r w:rsidRPr="00ED4247">
              <w:rPr>
                <w:rFonts w:eastAsia="Calibri" w:cs="Times New Roman"/>
                <w:b/>
                <w:sz w:val="20"/>
                <w:szCs w:val="20"/>
                <w:lang w:val="en-US"/>
              </w:rPr>
              <w:t xml:space="preserve">, Richard Lonsdale, Sandra Lonsdale, Chi King Agnes Lam, Pak Ho Lam, Richard Chung-Sop Cook, Laurence Alexander </w:t>
            </w:r>
            <w:proofErr w:type="spellStart"/>
            <w:r w:rsidRPr="00ED4247">
              <w:rPr>
                <w:rFonts w:eastAsia="Calibri" w:cs="Times New Roman"/>
                <w:b/>
                <w:sz w:val="20"/>
                <w:szCs w:val="20"/>
                <w:lang w:val="en-US"/>
              </w:rPr>
              <w:t>Bosley</w:t>
            </w:r>
            <w:proofErr w:type="spellEnd"/>
            <w:r w:rsidRPr="00ED4247">
              <w:rPr>
                <w:rFonts w:eastAsia="Calibri" w:cs="Times New Roman"/>
                <w:b/>
                <w:sz w:val="20"/>
                <w:szCs w:val="20"/>
                <w:lang w:val="en-US"/>
              </w:rPr>
              <w:t xml:space="preserve">, </w:t>
            </w:r>
            <w:proofErr w:type="spellStart"/>
            <w:r w:rsidRPr="00ED4247">
              <w:rPr>
                <w:rFonts w:eastAsia="Calibri" w:cs="Times New Roman"/>
                <w:b/>
                <w:sz w:val="20"/>
                <w:szCs w:val="20"/>
                <w:lang w:val="en-US"/>
              </w:rPr>
              <w:t>Narinder</w:t>
            </w:r>
            <w:proofErr w:type="spellEnd"/>
            <w:r w:rsidRPr="00ED4247">
              <w:rPr>
                <w:rFonts w:eastAsia="Calibri" w:cs="Times New Roman"/>
                <w:b/>
                <w:sz w:val="20"/>
                <w:szCs w:val="20"/>
                <w:lang w:val="en-US"/>
              </w:rPr>
              <w:t xml:space="preserve"> Kumar </w:t>
            </w:r>
            <w:proofErr w:type="spellStart"/>
            <w:r w:rsidRPr="00ED4247">
              <w:rPr>
                <w:rFonts w:eastAsia="Calibri" w:cs="Times New Roman"/>
                <w:b/>
                <w:sz w:val="20"/>
                <w:szCs w:val="20"/>
                <w:lang w:val="en-US"/>
              </w:rPr>
              <w:t>Dhir</w:t>
            </w:r>
            <w:proofErr w:type="spellEnd"/>
            <w:r w:rsidRPr="00ED4247">
              <w:rPr>
                <w:rFonts w:eastAsia="Calibri" w:cs="Times New Roman"/>
                <w:b/>
                <w:sz w:val="20"/>
                <w:szCs w:val="20"/>
                <w:lang w:val="en-US"/>
              </w:rPr>
              <w:t xml:space="preserve">, </w:t>
            </w:r>
            <w:proofErr w:type="spellStart"/>
            <w:r w:rsidRPr="00ED4247">
              <w:rPr>
                <w:rFonts w:eastAsia="Calibri" w:cs="Times New Roman"/>
                <w:b/>
                <w:sz w:val="20"/>
                <w:szCs w:val="20"/>
                <w:lang w:val="en-US"/>
              </w:rPr>
              <w:t>Prem</w:t>
            </w:r>
            <w:proofErr w:type="spellEnd"/>
            <w:r w:rsidRPr="00ED4247">
              <w:rPr>
                <w:rFonts w:eastAsia="Calibri" w:cs="Times New Roman"/>
                <w:b/>
                <w:sz w:val="20"/>
                <w:szCs w:val="20"/>
                <w:lang w:val="en-US"/>
              </w:rPr>
              <w:t xml:space="preserve"> </w:t>
            </w:r>
            <w:proofErr w:type="spellStart"/>
            <w:r w:rsidRPr="00ED4247">
              <w:rPr>
                <w:rFonts w:eastAsia="Calibri" w:cs="Times New Roman"/>
                <w:b/>
                <w:sz w:val="20"/>
                <w:szCs w:val="20"/>
                <w:lang w:val="en-US"/>
              </w:rPr>
              <w:t>Lata</w:t>
            </w:r>
            <w:proofErr w:type="spellEnd"/>
            <w:r w:rsidRPr="00ED4247">
              <w:rPr>
                <w:rFonts w:eastAsia="Calibri" w:cs="Times New Roman"/>
                <w:b/>
                <w:sz w:val="20"/>
                <w:szCs w:val="20"/>
                <w:lang w:val="en-US"/>
              </w:rPr>
              <w:t xml:space="preserve"> </w:t>
            </w:r>
            <w:proofErr w:type="spellStart"/>
            <w:r w:rsidRPr="00ED4247">
              <w:rPr>
                <w:rFonts w:eastAsia="Calibri" w:cs="Times New Roman"/>
                <w:b/>
                <w:sz w:val="20"/>
                <w:szCs w:val="20"/>
                <w:lang w:val="en-US"/>
              </w:rPr>
              <w:t>Dhir</w:t>
            </w:r>
            <w:proofErr w:type="spellEnd"/>
            <w:r w:rsidRPr="00ED4247">
              <w:rPr>
                <w:rFonts w:eastAsia="Calibri" w:cs="Times New Roman"/>
                <w:b/>
                <w:sz w:val="20"/>
                <w:szCs w:val="20"/>
                <w:lang w:val="en-US"/>
              </w:rPr>
              <w:t xml:space="preserve">, T.S.K. Ventures Ltd., </w:t>
            </w:r>
            <w:proofErr w:type="spellStart"/>
            <w:r w:rsidRPr="00ED4247">
              <w:rPr>
                <w:rFonts w:eastAsia="Calibri" w:cs="Times New Roman"/>
                <w:b/>
                <w:sz w:val="20"/>
                <w:szCs w:val="20"/>
                <w:lang w:val="en-US"/>
              </w:rPr>
              <w:t>Manhope</w:t>
            </w:r>
            <w:proofErr w:type="spellEnd"/>
            <w:r w:rsidRPr="00ED4247">
              <w:rPr>
                <w:rFonts w:eastAsia="Calibri" w:cs="Times New Roman"/>
                <w:b/>
                <w:sz w:val="20"/>
                <w:szCs w:val="20"/>
                <w:lang w:val="en-US"/>
              </w:rPr>
              <w:t xml:space="preserve"> Enterprises Inc., Richard Yan Wai </w:t>
            </w:r>
            <w:proofErr w:type="spellStart"/>
            <w:r w:rsidRPr="00ED4247">
              <w:rPr>
                <w:rFonts w:eastAsia="Calibri" w:cs="Times New Roman"/>
                <w:b/>
                <w:sz w:val="20"/>
                <w:szCs w:val="20"/>
                <w:lang w:val="en-US"/>
              </w:rPr>
              <w:t>Yau</w:t>
            </w:r>
            <w:proofErr w:type="spellEnd"/>
            <w:r w:rsidRPr="00ED4247">
              <w:rPr>
                <w:rFonts w:eastAsia="Calibri" w:cs="Times New Roman"/>
                <w:b/>
                <w:sz w:val="20"/>
                <w:szCs w:val="20"/>
                <w:lang w:val="en-US"/>
              </w:rPr>
              <w:t xml:space="preserve">, Connie </w:t>
            </w:r>
            <w:proofErr w:type="spellStart"/>
            <w:r w:rsidRPr="00ED4247">
              <w:rPr>
                <w:rFonts w:eastAsia="Calibri" w:cs="Times New Roman"/>
                <w:b/>
                <w:sz w:val="20"/>
                <w:szCs w:val="20"/>
                <w:lang w:val="en-US"/>
              </w:rPr>
              <w:t>Yuet</w:t>
            </w:r>
            <w:proofErr w:type="spellEnd"/>
            <w:r w:rsidRPr="00ED4247">
              <w:rPr>
                <w:rFonts w:eastAsia="Calibri" w:cs="Times New Roman"/>
                <w:b/>
                <w:sz w:val="20"/>
                <w:szCs w:val="20"/>
                <w:lang w:val="en-US"/>
              </w:rPr>
              <w:t xml:space="preserve"> Kwan Lam, </w:t>
            </w:r>
            <w:proofErr w:type="spellStart"/>
            <w:r w:rsidRPr="00ED4247">
              <w:rPr>
                <w:rFonts w:eastAsia="Calibri" w:cs="Times New Roman"/>
                <w:b/>
                <w:sz w:val="20"/>
                <w:szCs w:val="20"/>
                <w:lang w:val="en-US"/>
              </w:rPr>
              <w:t>Oluf</w:t>
            </w:r>
            <w:proofErr w:type="spellEnd"/>
            <w:r w:rsidRPr="00ED4247">
              <w:rPr>
                <w:rFonts w:eastAsia="Calibri" w:cs="Times New Roman"/>
                <w:b/>
                <w:sz w:val="20"/>
                <w:szCs w:val="20"/>
                <w:lang w:val="en-US"/>
              </w:rPr>
              <w:t xml:space="preserve"> Peter </w:t>
            </w:r>
            <w:proofErr w:type="spellStart"/>
            <w:r w:rsidRPr="00ED4247">
              <w:rPr>
                <w:rFonts w:eastAsia="Calibri" w:cs="Times New Roman"/>
                <w:b/>
                <w:sz w:val="20"/>
                <w:szCs w:val="20"/>
                <w:lang w:val="en-US"/>
              </w:rPr>
              <w:t>Skov</w:t>
            </w:r>
            <w:proofErr w:type="spellEnd"/>
            <w:r w:rsidRPr="00ED4247">
              <w:rPr>
                <w:rFonts w:eastAsia="Calibri" w:cs="Times New Roman"/>
                <w:b/>
                <w:sz w:val="20"/>
                <w:szCs w:val="20"/>
                <w:lang w:val="en-US"/>
              </w:rPr>
              <w:t xml:space="preserve">, Roald </w:t>
            </w:r>
            <w:proofErr w:type="spellStart"/>
            <w:r w:rsidRPr="00ED4247">
              <w:rPr>
                <w:rFonts w:eastAsia="Calibri" w:cs="Times New Roman"/>
                <w:b/>
                <w:sz w:val="20"/>
                <w:szCs w:val="20"/>
                <w:lang w:val="en-US"/>
              </w:rPr>
              <w:t>Skov</w:t>
            </w:r>
            <w:proofErr w:type="spellEnd"/>
            <w:r w:rsidRPr="00ED4247">
              <w:rPr>
                <w:rFonts w:eastAsia="Calibri" w:cs="Times New Roman"/>
                <w:b/>
                <w:sz w:val="20"/>
                <w:szCs w:val="20"/>
                <w:lang w:val="en-US"/>
              </w:rPr>
              <w:t xml:space="preserve">, Willis Higgins Building Corporation, Donald Wiseman, Mary Chan, Lulu Siu Yin </w:t>
            </w:r>
            <w:proofErr w:type="spellStart"/>
            <w:r w:rsidRPr="00ED4247">
              <w:rPr>
                <w:rFonts w:eastAsia="Calibri" w:cs="Times New Roman"/>
                <w:b/>
                <w:sz w:val="20"/>
                <w:szCs w:val="20"/>
                <w:lang w:val="en-US"/>
              </w:rPr>
              <w:t>Loh</w:t>
            </w:r>
            <w:proofErr w:type="spellEnd"/>
            <w:r w:rsidRPr="00ED4247">
              <w:rPr>
                <w:rFonts w:eastAsia="Calibri" w:cs="Times New Roman"/>
                <w:b/>
                <w:sz w:val="20"/>
                <w:szCs w:val="20"/>
                <w:lang w:val="en-US"/>
              </w:rPr>
              <w:t xml:space="preserve">, Thomas </w:t>
            </w:r>
            <w:proofErr w:type="spellStart"/>
            <w:r w:rsidRPr="00ED4247">
              <w:rPr>
                <w:rFonts w:eastAsia="Calibri" w:cs="Times New Roman"/>
                <w:b/>
                <w:sz w:val="20"/>
                <w:szCs w:val="20"/>
                <w:lang w:val="en-US"/>
              </w:rPr>
              <w:t>Wahlig</w:t>
            </w:r>
            <w:proofErr w:type="spellEnd"/>
            <w:r w:rsidRPr="00ED4247">
              <w:rPr>
                <w:rFonts w:eastAsia="Calibri" w:cs="Times New Roman"/>
                <w:b/>
                <w:sz w:val="20"/>
                <w:szCs w:val="20"/>
                <w:lang w:val="en-US"/>
              </w:rPr>
              <w:t xml:space="preserve">, Daisy Lan Lee, </w:t>
            </w:r>
            <w:proofErr w:type="spellStart"/>
            <w:r w:rsidRPr="00ED4247">
              <w:rPr>
                <w:rFonts w:eastAsia="Calibri" w:cs="Times New Roman"/>
                <w:b/>
                <w:sz w:val="20"/>
                <w:szCs w:val="20"/>
                <w:lang w:val="en-US"/>
              </w:rPr>
              <w:t>Wenceslawa</w:t>
            </w:r>
            <w:proofErr w:type="spellEnd"/>
            <w:r w:rsidRPr="00ED4247">
              <w:rPr>
                <w:rFonts w:eastAsia="Calibri" w:cs="Times New Roman"/>
                <w:b/>
                <w:sz w:val="20"/>
                <w:szCs w:val="20"/>
                <w:lang w:val="en-US"/>
              </w:rPr>
              <w:t xml:space="preserve"> </w:t>
            </w:r>
            <w:proofErr w:type="spellStart"/>
            <w:r w:rsidRPr="00ED4247">
              <w:rPr>
                <w:rFonts w:eastAsia="Calibri" w:cs="Times New Roman"/>
                <w:b/>
                <w:sz w:val="20"/>
                <w:szCs w:val="20"/>
                <w:lang w:val="en-US"/>
              </w:rPr>
              <w:t>Lenie</w:t>
            </w:r>
            <w:proofErr w:type="spellEnd"/>
            <w:r w:rsidRPr="00ED4247">
              <w:rPr>
                <w:rFonts w:eastAsia="Calibri" w:cs="Times New Roman"/>
                <w:b/>
                <w:sz w:val="20"/>
                <w:szCs w:val="20"/>
                <w:lang w:val="en-US"/>
              </w:rPr>
              <w:t xml:space="preserve"> Buenaventura, </w:t>
            </w:r>
            <w:proofErr w:type="spellStart"/>
            <w:r w:rsidRPr="00ED4247">
              <w:rPr>
                <w:rFonts w:eastAsia="Calibri" w:cs="Times New Roman"/>
                <w:b/>
                <w:sz w:val="20"/>
                <w:szCs w:val="20"/>
                <w:lang w:val="en-US"/>
              </w:rPr>
              <w:t>exécutrice</w:t>
            </w:r>
            <w:proofErr w:type="spellEnd"/>
            <w:r w:rsidRPr="00ED4247">
              <w:rPr>
                <w:rFonts w:eastAsia="Calibri" w:cs="Times New Roman"/>
                <w:b/>
                <w:sz w:val="20"/>
                <w:szCs w:val="20"/>
                <w:lang w:val="en-US"/>
              </w:rPr>
              <w:t xml:space="preserve"> et </w:t>
            </w:r>
            <w:proofErr w:type="spellStart"/>
            <w:r w:rsidRPr="00ED4247">
              <w:rPr>
                <w:rFonts w:eastAsia="Calibri" w:cs="Times New Roman"/>
                <w:b/>
                <w:sz w:val="20"/>
                <w:szCs w:val="20"/>
                <w:lang w:val="en-US"/>
              </w:rPr>
              <w:t>fiduciaire</w:t>
            </w:r>
            <w:proofErr w:type="spellEnd"/>
            <w:r w:rsidRPr="00ED4247">
              <w:rPr>
                <w:rFonts w:eastAsia="Calibri" w:cs="Times New Roman"/>
                <w:b/>
                <w:sz w:val="20"/>
                <w:szCs w:val="20"/>
                <w:lang w:val="en-US"/>
              </w:rPr>
              <w:t xml:space="preserve"> </w:t>
            </w:r>
            <w:proofErr w:type="spellStart"/>
            <w:r w:rsidRPr="00ED4247">
              <w:rPr>
                <w:rFonts w:eastAsia="Calibri" w:cs="Times New Roman"/>
                <w:b/>
                <w:sz w:val="20"/>
                <w:szCs w:val="20"/>
                <w:lang w:val="en-US"/>
              </w:rPr>
              <w:t>testamentaire</w:t>
            </w:r>
            <w:proofErr w:type="spellEnd"/>
            <w:r w:rsidRPr="00ED4247">
              <w:rPr>
                <w:rFonts w:eastAsia="Calibri" w:cs="Times New Roman"/>
                <w:b/>
                <w:sz w:val="20"/>
                <w:szCs w:val="20"/>
                <w:lang w:val="en-US"/>
              </w:rPr>
              <w:t xml:space="preserve"> </w:t>
            </w:r>
            <w:proofErr w:type="spellStart"/>
            <w:r w:rsidRPr="00ED4247">
              <w:rPr>
                <w:rFonts w:eastAsia="Calibri" w:cs="Times New Roman"/>
                <w:b/>
                <w:sz w:val="20"/>
                <w:szCs w:val="20"/>
                <w:lang w:val="en-US"/>
              </w:rPr>
              <w:t>d’Arsenio</w:t>
            </w:r>
            <w:proofErr w:type="spellEnd"/>
            <w:r w:rsidRPr="00ED4247">
              <w:rPr>
                <w:rFonts w:eastAsia="Calibri" w:cs="Times New Roman"/>
                <w:b/>
                <w:sz w:val="20"/>
                <w:szCs w:val="20"/>
                <w:lang w:val="en-US"/>
              </w:rPr>
              <w:t xml:space="preserve"> Buenaventura, </w:t>
            </w:r>
            <w:proofErr w:type="spellStart"/>
            <w:r w:rsidRPr="00ED4247">
              <w:rPr>
                <w:rFonts w:eastAsia="Calibri" w:cs="Times New Roman"/>
                <w:b/>
                <w:sz w:val="20"/>
                <w:szCs w:val="20"/>
                <w:lang w:val="en-US"/>
              </w:rPr>
              <w:t>décédé</w:t>
            </w:r>
            <w:proofErr w:type="spellEnd"/>
            <w:r w:rsidRPr="00ED4247">
              <w:rPr>
                <w:rFonts w:eastAsia="Calibri" w:cs="Times New Roman"/>
                <w:b/>
                <w:sz w:val="20"/>
                <w:szCs w:val="20"/>
                <w:lang w:val="en-US"/>
              </w:rPr>
              <w:t xml:space="preserve">, </w:t>
            </w:r>
            <w:proofErr w:type="spellStart"/>
            <w:r w:rsidRPr="00ED4247">
              <w:rPr>
                <w:rFonts w:eastAsia="Calibri" w:cs="Times New Roman"/>
                <w:b/>
                <w:sz w:val="20"/>
                <w:szCs w:val="20"/>
                <w:lang w:val="en-US"/>
              </w:rPr>
              <w:t>Wenceslawa</w:t>
            </w:r>
            <w:proofErr w:type="spellEnd"/>
            <w:r w:rsidRPr="00ED4247">
              <w:rPr>
                <w:rFonts w:eastAsia="Calibri" w:cs="Times New Roman"/>
                <w:b/>
                <w:sz w:val="20"/>
                <w:szCs w:val="20"/>
                <w:lang w:val="en-US"/>
              </w:rPr>
              <w:t xml:space="preserve"> </w:t>
            </w:r>
            <w:proofErr w:type="spellStart"/>
            <w:r w:rsidRPr="00ED4247">
              <w:rPr>
                <w:rFonts w:eastAsia="Calibri" w:cs="Times New Roman"/>
                <w:b/>
                <w:sz w:val="20"/>
                <w:szCs w:val="20"/>
                <w:lang w:val="en-US"/>
              </w:rPr>
              <w:t>Lenie</w:t>
            </w:r>
            <w:proofErr w:type="spellEnd"/>
            <w:r w:rsidRPr="00ED4247">
              <w:rPr>
                <w:rFonts w:eastAsia="Calibri" w:cs="Times New Roman"/>
                <w:b/>
                <w:sz w:val="20"/>
                <w:szCs w:val="20"/>
                <w:lang w:val="en-US"/>
              </w:rPr>
              <w:t xml:space="preserve"> Buenaventura, Josh Holdings Ltd., David William Clark, Joanne Marylyn Clark, Gilberto Gerardo </w:t>
            </w:r>
            <w:proofErr w:type="spellStart"/>
            <w:r w:rsidRPr="00ED4247">
              <w:rPr>
                <w:rFonts w:eastAsia="Calibri" w:cs="Times New Roman"/>
                <w:b/>
                <w:sz w:val="20"/>
                <w:szCs w:val="20"/>
                <w:lang w:val="en-US"/>
              </w:rPr>
              <w:t>Talamo</w:t>
            </w:r>
            <w:proofErr w:type="spellEnd"/>
            <w:r w:rsidRPr="00ED4247">
              <w:rPr>
                <w:rFonts w:eastAsia="Calibri" w:cs="Times New Roman"/>
                <w:b/>
                <w:sz w:val="20"/>
                <w:szCs w:val="20"/>
                <w:lang w:val="en-US"/>
              </w:rPr>
              <w:t xml:space="preserve">, Greta Lucia </w:t>
            </w:r>
            <w:proofErr w:type="spellStart"/>
            <w:r w:rsidRPr="00ED4247">
              <w:rPr>
                <w:rFonts w:eastAsia="Calibri" w:cs="Times New Roman"/>
                <w:b/>
                <w:sz w:val="20"/>
                <w:szCs w:val="20"/>
                <w:lang w:val="en-US"/>
              </w:rPr>
              <w:t>Talamo</w:t>
            </w:r>
            <w:proofErr w:type="spellEnd"/>
            <w:r w:rsidRPr="00ED4247">
              <w:rPr>
                <w:rFonts w:eastAsia="Calibri" w:cs="Times New Roman"/>
                <w:b/>
                <w:sz w:val="20"/>
                <w:szCs w:val="20"/>
                <w:lang w:val="en-US"/>
              </w:rPr>
              <w:t xml:space="preserve">, Sze </w:t>
            </w:r>
            <w:proofErr w:type="spellStart"/>
            <w:r w:rsidRPr="00ED4247">
              <w:rPr>
                <w:rFonts w:eastAsia="Calibri" w:cs="Times New Roman"/>
                <w:b/>
                <w:sz w:val="20"/>
                <w:szCs w:val="20"/>
                <w:lang w:val="en-US"/>
              </w:rPr>
              <w:t>Hiong</w:t>
            </w:r>
            <w:proofErr w:type="spellEnd"/>
            <w:r w:rsidRPr="00ED4247">
              <w:rPr>
                <w:rFonts w:eastAsia="Calibri" w:cs="Times New Roman"/>
                <w:b/>
                <w:sz w:val="20"/>
                <w:szCs w:val="20"/>
                <w:lang w:val="en-US"/>
              </w:rPr>
              <w:t xml:space="preserve"> </w:t>
            </w:r>
            <w:proofErr w:type="spellStart"/>
            <w:r w:rsidRPr="00ED4247">
              <w:rPr>
                <w:rFonts w:eastAsia="Calibri" w:cs="Times New Roman"/>
                <w:b/>
                <w:sz w:val="20"/>
                <w:szCs w:val="20"/>
                <w:lang w:val="en-US"/>
              </w:rPr>
              <w:t>Liew</w:t>
            </w:r>
            <w:proofErr w:type="spellEnd"/>
            <w:r w:rsidRPr="00ED4247">
              <w:rPr>
                <w:rFonts w:eastAsia="Calibri" w:cs="Times New Roman"/>
                <w:b/>
                <w:sz w:val="20"/>
                <w:szCs w:val="20"/>
                <w:lang w:val="en-US"/>
              </w:rPr>
              <w:t>, Sonia Rattan et Judy Charlotte Woodward c. Homer Street Dev</w:t>
            </w:r>
            <w:r w:rsidRPr="00B12BC9">
              <w:rPr>
                <w:rFonts w:eastAsia="Calibri" w:cs="Times New Roman"/>
                <w:b/>
                <w:sz w:val="20"/>
                <w:szCs w:val="20"/>
                <w:lang w:val="en-US"/>
              </w:rPr>
              <w:t xml:space="preserve">elopment Limited Partnership, </w:t>
            </w:r>
            <w:proofErr w:type="spellStart"/>
            <w:r w:rsidRPr="00B12BC9">
              <w:rPr>
                <w:rFonts w:eastAsia="Calibri" w:cs="Times New Roman"/>
                <w:b/>
                <w:sz w:val="20"/>
                <w:szCs w:val="20"/>
                <w:lang w:val="en-US"/>
              </w:rPr>
              <w:t>anciennement</w:t>
            </w:r>
            <w:proofErr w:type="spellEnd"/>
            <w:r w:rsidRPr="00B12BC9">
              <w:rPr>
                <w:rFonts w:eastAsia="Calibri" w:cs="Times New Roman"/>
                <w:b/>
                <w:sz w:val="20"/>
                <w:szCs w:val="20"/>
                <w:lang w:val="en-US"/>
              </w:rPr>
              <w:t xml:space="preserve"> </w:t>
            </w:r>
            <w:proofErr w:type="spellStart"/>
            <w:r w:rsidRPr="00B12BC9">
              <w:rPr>
                <w:rFonts w:eastAsia="Calibri" w:cs="Times New Roman"/>
                <w:b/>
                <w:sz w:val="20"/>
                <w:szCs w:val="20"/>
                <w:lang w:val="en-US"/>
              </w:rPr>
              <w:t>Cressey</w:t>
            </w:r>
            <w:proofErr w:type="spellEnd"/>
            <w:r w:rsidRPr="00B12BC9">
              <w:rPr>
                <w:rFonts w:eastAsia="Calibri" w:cs="Times New Roman"/>
                <w:b/>
                <w:sz w:val="20"/>
                <w:szCs w:val="20"/>
                <w:lang w:val="en-US"/>
              </w:rPr>
              <w:t xml:space="preserve"> (Homer) Limited Partnership, Trilogy Robson Development Limited Partnership, 455322 British Columbia Ltd. individuellement et faisant affaire ensemble sous le nom de The Grand Development Partnership, Cressey Development Corporation, Norman Cressey, Joan Cressey, Scott Cressey, 511953 British Columbia Ltd., anciennement Trilogy Pacific Enterprises Corporation, John de C. Evans, Jonathon Wener et Douglas Pascal </w:t>
            </w:r>
            <w:r w:rsidR="00A268D3" w:rsidRPr="00B12BC9">
              <w:rPr>
                <w:sz w:val="20"/>
                <w:lang w:val="en-US"/>
              </w:rPr>
              <w:t xml:space="preserve">(C.-B.) </w:t>
            </w:r>
            <w:r w:rsidR="00A268D3" w:rsidRPr="002F3871">
              <w:rPr>
                <w:sz w:val="20"/>
                <w:lang w:val="fr-CA"/>
              </w:rPr>
              <w:t>(Civile) (Sur autorisation)</w:t>
            </w:r>
          </w:p>
        </w:tc>
      </w:tr>
      <w:tr w:rsidR="00C41450" w:rsidRPr="00ED4247" w:rsidTr="00A268D3">
        <w:trPr>
          <w:gridAfter w:val="1"/>
          <w:wAfter w:w="48" w:type="pct"/>
        </w:trPr>
        <w:tc>
          <w:tcPr>
            <w:tcW w:w="537" w:type="pct"/>
          </w:tcPr>
          <w:p w:rsidR="00C41450" w:rsidRPr="002F3871" w:rsidRDefault="00C41450" w:rsidP="00A268D3">
            <w:pPr>
              <w:jc w:val="both"/>
              <w:rPr>
                <w:rStyle w:val="SCCFileNumberChar"/>
                <w:sz w:val="20"/>
                <w:szCs w:val="20"/>
                <w:lang w:val="fr-CA"/>
              </w:rPr>
            </w:pPr>
            <w:r>
              <w:rPr>
                <w:rStyle w:val="SCCFileNumberChar"/>
                <w:sz w:val="20"/>
                <w:szCs w:val="20"/>
                <w:lang w:val="fr-CA"/>
              </w:rPr>
              <w:lastRenderedPageBreak/>
              <w:t>Coram :</w:t>
            </w:r>
          </w:p>
        </w:tc>
        <w:tc>
          <w:tcPr>
            <w:tcW w:w="4415" w:type="pct"/>
            <w:gridSpan w:val="3"/>
          </w:tcPr>
          <w:p w:rsidR="00C41450" w:rsidRDefault="00B12BC9" w:rsidP="00A268D3">
            <w:pPr>
              <w:pStyle w:val="SCCLsocParty"/>
              <w:jc w:val="both"/>
              <w:rPr>
                <w:sz w:val="20"/>
                <w:szCs w:val="20"/>
                <w:lang w:val="fr-FR"/>
              </w:rPr>
            </w:pPr>
            <w:r w:rsidRPr="00063CAD">
              <w:rPr>
                <w:sz w:val="20"/>
                <w:szCs w:val="20"/>
                <w:lang w:val="fr-FR"/>
              </w:rPr>
              <w:t>La juge en chef McLachlin et les juges Abella, Moldaver, Karakatsanis, Wagner, Gascon, Côté, Brown et Rowe</w:t>
            </w:r>
          </w:p>
          <w:p w:rsidR="00B12BC9" w:rsidRPr="00B12BC9" w:rsidRDefault="00B12BC9" w:rsidP="00B12BC9">
            <w:pPr>
              <w:rPr>
                <w:lang w:val="fr-FR"/>
              </w:rPr>
            </w:pPr>
          </w:p>
        </w:tc>
      </w:tr>
      <w:tr w:rsidR="00C41450" w:rsidRPr="00ED4247" w:rsidTr="00C41450">
        <w:trPr>
          <w:gridAfter w:val="1"/>
          <w:wAfter w:w="48" w:type="pct"/>
        </w:trPr>
        <w:tc>
          <w:tcPr>
            <w:tcW w:w="4952" w:type="pct"/>
            <w:gridSpan w:val="4"/>
          </w:tcPr>
          <w:p w:rsidR="00C41450" w:rsidRDefault="00B12BC9" w:rsidP="00A268D3">
            <w:pPr>
              <w:pStyle w:val="SCCLsocParty"/>
              <w:jc w:val="both"/>
              <w:rPr>
                <w:sz w:val="20"/>
                <w:szCs w:val="20"/>
              </w:rPr>
            </w:pPr>
            <w:r w:rsidRPr="00063CAD">
              <w:rPr>
                <w:sz w:val="20"/>
                <w:szCs w:val="20"/>
              </w:rPr>
              <w:t>La demande d’autorisation d’appel de l’arrêt de la Cour d’appel de la Colombie-Britannique (Vancouver), numéro CA43125, 2016 BCCA 371, daté du 15 septembre 2016, est rejetée avec dépens.</w:t>
            </w:r>
          </w:p>
          <w:p w:rsidR="00B12BC9" w:rsidRPr="00B12BC9" w:rsidRDefault="00B12BC9" w:rsidP="00B12BC9">
            <w:pPr>
              <w:rPr>
                <w:lang w:val="fr-CA"/>
              </w:rPr>
            </w:pPr>
          </w:p>
        </w:tc>
      </w:tr>
      <w:tr w:rsidR="00A268D3" w:rsidRPr="00ED4247" w:rsidTr="00A268D3">
        <w:trPr>
          <w:gridAfter w:val="1"/>
          <w:wAfter w:w="48" w:type="pct"/>
        </w:trPr>
        <w:tc>
          <w:tcPr>
            <w:tcW w:w="4952" w:type="pct"/>
            <w:gridSpan w:val="4"/>
          </w:tcPr>
          <w:p w:rsidR="00A268D3" w:rsidRPr="002F3871" w:rsidRDefault="00A268D3" w:rsidP="00A268D3">
            <w:pPr>
              <w:jc w:val="both"/>
              <w:rPr>
                <w:sz w:val="20"/>
                <w:lang w:val="fr-CA"/>
              </w:rPr>
            </w:pPr>
            <w:r w:rsidRPr="002F3871">
              <w:rPr>
                <w:sz w:val="20"/>
                <w:lang w:val="fr-CA"/>
              </w:rPr>
              <w:t xml:space="preserve">Dommages-intérêts — Quantum — Déclaration inexacte — Document d’information — Promoteurs — Condominiums — Les investisseurs demandeurs ont acheté des unités du Westin Grand Hotel de Vancouver en 1996 — Les transactions ont été conclues en 1999 après la construction et l’ouverture de l’hôtel — L’instruction de la question de la responsabilité a permis de conclure qu’il y avait eu déclaration inexacte portant sur un point important dans les états financiers relativement à l’occupation projetée — Au terme de l’instruction d’évaluation des dommages-intérêts, les investisseurs demandeurs se sont vu accorder 8 millions de dollars plus les intérêts antérieurs au jugement — L’appel des promoteurs intimés de l’évaluation des dommages-intérêts a été accueilli— Y a-t-il lieu d’adopter un critère en deux volets pour statuer sur le lien de causalité dans les demandes en dommages-intérêts pour déclaration inexacte incitant à la conclusion d’un contrat de préférence au critère du « facteur déterminant »?— Quelle est la bonne approche pour l’interprétation des recours d’origine législative en déclaration inexacte ? — </w:t>
            </w:r>
            <w:r w:rsidRPr="002F3871">
              <w:rPr>
                <w:i/>
                <w:sz w:val="20"/>
                <w:lang w:val="fr-CA"/>
              </w:rPr>
              <w:t>Real Estate Act</w:t>
            </w:r>
            <w:r w:rsidRPr="002F3871">
              <w:rPr>
                <w:sz w:val="20"/>
                <w:lang w:val="fr-CA"/>
              </w:rPr>
              <w:t xml:space="preserve">, R.S.B.C. 1979, ch. 356. </w:t>
            </w:r>
          </w:p>
        </w:tc>
      </w:tr>
      <w:tr w:rsidR="00A268D3" w:rsidRPr="00ED4247" w:rsidTr="00A268D3">
        <w:trPr>
          <w:gridAfter w:val="1"/>
          <w:wAfter w:w="48" w:type="pct"/>
        </w:trPr>
        <w:tc>
          <w:tcPr>
            <w:tcW w:w="4952" w:type="pct"/>
            <w:gridSpan w:val="4"/>
          </w:tcPr>
          <w:p w:rsidR="00A268D3" w:rsidRPr="002F3871" w:rsidRDefault="00A268D3" w:rsidP="00A268D3">
            <w:pPr>
              <w:jc w:val="both"/>
              <w:rPr>
                <w:sz w:val="20"/>
                <w:lang w:val="fr-CA"/>
              </w:rPr>
            </w:pPr>
          </w:p>
        </w:tc>
      </w:tr>
      <w:tr w:rsidR="00A268D3" w:rsidRPr="00ED4247" w:rsidTr="00A268D3">
        <w:trPr>
          <w:gridAfter w:val="1"/>
          <w:wAfter w:w="48" w:type="pct"/>
        </w:trPr>
        <w:tc>
          <w:tcPr>
            <w:tcW w:w="4952" w:type="pct"/>
            <w:gridSpan w:val="4"/>
          </w:tcPr>
          <w:p w:rsidR="00A268D3" w:rsidRPr="002F3871" w:rsidRDefault="00A268D3" w:rsidP="00A268D3">
            <w:pPr>
              <w:jc w:val="both"/>
              <w:rPr>
                <w:sz w:val="20"/>
                <w:lang w:val="fr-CA"/>
              </w:rPr>
            </w:pPr>
            <w:r w:rsidRPr="002F3871">
              <w:rPr>
                <w:sz w:val="20"/>
                <w:lang w:val="fr-CA"/>
              </w:rPr>
              <w:t xml:space="preserve">La présente demande d’autorisation découle de la vente d’unités du Westin Grand Hotel au centre-ville de Vancouver. Les investisseurs demandeurs ont acheté leurs unités en novembre 1996, après avoir reçu un document d’information délivré en application de la </w:t>
            </w:r>
            <w:r w:rsidRPr="002F3871">
              <w:rPr>
                <w:i/>
                <w:sz w:val="20"/>
                <w:lang w:val="fr-CA"/>
              </w:rPr>
              <w:t>Real Estate Act</w:t>
            </w:r>
            <w:r w:rsidRPr="002F3871">
              <w:rPr>
                <w:sz w:val="20"/>
                <w:lang w:val="fr-CA"/>
              </w:rPr>
              <w:t>, R.S.B.C. 1979, ch. 356 (subséquemment R.S.B.C. 1996 ch. 397). Les ventes ont été conclues en avril 1999. À l’instruction de la question de la responsabilité, le juge a conclu que le document d’information renfermait une déclaration inexacte sur un point important, à savoir une projection des taux d’occupation prévus. Sa conclusion a été confirmée en appel. Au terme d’une instruction de 26 jours portant sur le quantum, le juge a évalué les dommages-intérêts à 8 millions de dollars, ce qui représentait la chute de la valeur des unités à la date de conclusion du contrat. Les promoteurs intimés ont interjeté appel, soulevant deux motifs : premièrement, que le juge avait eu tort d’exclure la preuve sur la question de savoir si les investisseurs demandeurs s’étaient fiés aux déclarations inexactes; deuxièmement, que le juge avait commis une erreur dans sa détermination de l’indemnisation en choisissant la mauvaise date pour l’évaluation des pertes des investisseurs demandeurs et de ne pas les avoir limitées à celles causées par la déclaration inexacte. À l’unanimité, les juges de la Cour d’appel ont accueilli l’appel.</w:t>
            </w:r>
          </w:p>
          <w:p w:rsidR="00A268D3" w:rsidRPr="002F3871" w:rsidRDefault="00A268D3" w:rsidP="00A268D3">
            <w:pPr>
              <w:jc w:val="both"/>
              <w:rPr>
                <w:sz w:val="20"/>
                <w:lang w:val="fr-CA"/>
              </w:rPr>
            </w:pPr>
          </w:p>
        </w:tc>
      </w:tr>
      <w:tr w:rsidR="00A268D3" w:rsidRPr="00ED4247" w:rsidTr="00A268D3">
        <w:tblPrEx>
          <w:tblCellMar>
            <w:bottom w:w="0" w:type="dxa"/>
          </w:tblCellMar>
        </w:tblPrEx>
        <w:tc>
          <w:tcPr>
            <w:tcW w:w="2367" w:type="pct"/>
            <w:gridSpan w:val="2"/>
          </w:tcPr>
          <w:p w:rsidR="00A268D3" w:rsidRPr="002F3871" w:rsidRDefault="00A268D3" w:rsidP="00A268D3">
            <w:pPr>
              <w:jc w:val="both"/>
              <w:rPr>
                <w:sz w:val="20"/>
                <w:lang w:val="fr-CA"/>
              </w:rPr>
            </w:pPr>
            <w:r w:rsidRPr="002F3871">
              <w:rPr>
                <w:sz w:val="20"/>
                <w:lang w:val="fr-CA"/>
              </w:rPr>
              <w:t>1</w:t>
            </w:r>
            <w:r w:rsidRPr="002F3871">
              <w:rPr>
                <w:sz w:val="20"/>
                <w:vertAlign w:val="superscript"/>
                <w:lang w:val="fr-CA"/>
              </w:rPr>
              <w:t>er</w:t>
            </w:r>
            <w:r w:rsidRPr="002F3871">
              <w:rPr>
                <w:sz w:val="20"/>
                <w:lang w:val="fr-CA"/>
              </w:rPr>
              <w:t xml:space="preserve"> septembre 2015</w:t>
            </w:r>
          </w:p>
          <w:p w:rsidR="00A268D3" w:rsidRPr="002F3871" w:rsidRDefault="00A268D3" w:rsidP="00A268D3">
            <w:pPr>
              <w:jc w:val="both"/>
              <w:rPr>
                <w:sz w:val="20"/>
                <w:lang w:val="fr-CA"/>
              </w:rPr>
            </w:pPr>
            <w:r w:rsidRPr="002F3871">
              <w:rPr>
                <w:sz w:val="20"/>
                <w:lang w:val="fr-CA"/>
              </w:rPr>
              <w:t xml:space="preserve">Cour suprême de la Colombie-Britannique </w:t>
            </w:r>
          </w:p>
          <w:p w:rsidR="00A268D3" w:rsidRPr="002F3871" w:rsidRDefault="00A268D3" w:rsidP="00A268D3">
            <w:pPr>
              <w:jc w:val="both"/>
              <w:rPr>
                <w:sz w:val="20"/>
                <w:lang w:val="fr-CA"/>
              </w:rPr>
            </w:pPr>
            <w:r w:rsidRPr="002F3871">
              <w:rPr>
                <w:sz w:val="20"/>
                <w:lang w:val="fr-CA"/>
              </w:rPr>
              <w:t>(Juge Truscott)</w:t>
            </w:r>
          </w:p>
          <w:p w:rsidR="00A268D3" w:rsidRPr="002F3871" w:rsidRDefault="00ED4247" w:rsidP="00A268D3">
            <w:pPr>
              <w:jc w:val="both"/>
              <w:rPr>
                <w:sz w:val="20"/>
                <w:lang w:val="fr-CA"/>
              </w:rPr>
            </w:pPr>
            <w:hyperlink r:id="rId44" w:history="1">
              <w:r w:rsidR="00A268D3" w:rsidRPr="002F3871">
                <w:rPr>
                  <w:rStyle w:val="Hyperlink"/>
                  <w:sz w:val="20"/>
                  <w:lang w:val="fr-CA"/>
                </w:rPr>
                <w:t>2015 BCSC 1564</w:t>
              </w:r>
            </w:hyperlink>
          </w:p>
          <w:p w:rsidR="00A268D3" w:rsidRPr="002F3871" w:rsidRDefault="00A268D3" w:rsidP="00A268D3">
            <w:pPr>
              <w:jc w:val="both"/>
              <w:rPr>
                <w:sz w:val="20"/>
                <w:lang w:val="fr-CA"/>
              </w:rPr>
            </w:pPr>
          </w:p>
        </w:tc>
        <w:tc>
          <w:tcPr>
            <w:tcW w:w="267" w:type="pct"/>
          </w:tcPr>
          <w:p w:rsidR="00A268D3" w:rsidRPr="002F3871" w:rsidRDefault="00A268D3" w:rsidP="00A268D3">
            <w:pPr>
              <w:jc w:val="both"/>
              <w:rPr>
                <w:sz w:val="20"/>
                <w:lang w:val="fr-CA"/>
              </w:rPr>
            </w:pPr>
          </w:p>
        </w:tc>
        <w:tc>
          <w:tcPr>
            <w:tcW w:w="2366" w:type="pct"/>
            <w:gridSpan w:val="2"/>
          </w:tcPr>
          <w:p w:rsidR="00A268D3" w:rsidRPr="002F3871" w:rsidRDefault="00A268D3" w:rsidP="00A268D3">
            <w:pPr>
              <w:jc w:val="both"/>
              <w:rPr>
                <w:sz w:val="20"/>
                <w:lang w:val="fr-CA"/>
              </w:rPr>
            </w:pPr>
            <w:r w:rsidRPr="002F3871">
              <w:rPr>
                <w:sz w:val="20"/>
                <w:lang w:val="fr-CA"/>
              </w:rPr>
              <w:t>Jugement condamnant les promoteurs intimés à verser aux investisseurs demandeurs des dommages-intérêts de 8 millions de dollars plus les intérêts antérieurs au jugement de 3 121 490,98 $.</w:t>
            </w:r>
          </w:p>
        </w:tc>
      </w:tr>
      <w:tr w:rsidR="00A268D3" w:rsidRPr="002F3871" w:rsidTr="00A268D3">
        <w:tblPrEx>
          <w:tblCellMar>
            <w:bottom w:w="0" w:type="dxa"/>
          </w:tblCellMar>
        </w:tblPrEx>
        <w:tc>
          <w:tcPr>
            <w:tcW w:w="2367" w:type="pct"/>
            <w:gridSpan w:val="2"/>
          </w:tcPr>
          <w:p w:rsidR="00A268D3" w:rsidRPr="002F3871" w:rsidRDefault="00A268D3" w:rsidP="00A268D3">
            <w:pPr>
              <w:jc w:val="both"/>
              <w:rPr>
                <w:sz w:val="20"/>
                <w:lang w:val="fr-CA"/>
              </w:rPr>
            </w:pPr>
            <w:r w:rsidRPr="002F3871">
              <w:rPr>
                <w:sz w:val="20"/>
                <w:lang w:val="fr-CA"/>
              </w:rPr>
              <w:lastRenderedPageBreak/>
              <w:t>15 septembre 2016</w:t>
            </w:r>
          </w:p>
          <w:p w:rsidR="00A268D3" w:rsidRPr="002F3871" w:rsidRDefault="00A268D3" w:rsidP="00A268D3">
            <w:pPr>
              <w:jc w:val="both"/>
              <w:rPr>
                <w:sz w:val="20"/>
                <w:lang w:val="fr-CA"/>
              </w:rPr>
            </w:pPr>
            <w:r w:rsidRPr="002F3871">
              <w:rPr>
                <w:sz w:val="20"/>
                <w:lang w:val="fr-CA"/>
              </w:rPr>
              <w:t>Cour d’appel de la Colombie-Britannique (Vancouver)</w:t>
            </w:r>
          </w:p>
          <w:p w:rsidR="00A268D3" w:rsidRPr="002F3871" w:rsidRDefault="00A268D3" w:rsidP="00A268D3">
            <w:pPr>
              <w:jc w:val="both"/>
              <w:rPr>
                <w:sz w:val="20"/>
                <w:lang w:val="fr-CA"/>
              </w:rPr>
            </w:pPr>
            <w:r w:rsidRPr="002F3871">
              <w:rPr>
                <w:sz w:val="20"/>
                <w:lang w:val="fr-CA"/>
              </w:rPr>
              <w:t>(Juges Frankel, Goepel et Dickson)</w:t>
            </w:r>
          </w:p>
          <w:p w:rsidR="00A268D3" w:rsidRPr="002F3871" w:rsidRDefault="00ED4247" w:rsidP="00A268D3">
            <w:pPr>
              <w:jc w:val="both"/>
              <w:rPr>
                <w:sz w:val="20"/>
                <w:lang w:val="fr-CA"/>
              </w:rPr>
            </w:pPr>
            <w:hyperlink r:id="rId45" w:history="1">
              <w:r w:rsidR="00A268D3" w:rsidRPr="002F3871">
                <w:rPr>
                  <w:rStyle w:val="Hyperlink"/>
                  <w:sz w:val="20"/>
                  <w:lang w:val="fr-CA"/>
                </w:rPr>
                <w:t>2016 BCCA 371</w:t>
              </w:r>
            </w:hyperlink>
          </w:p>
          <w:p w:rsidR="00A268D3" w:rsidRPr="002F3871" w:rsidRDefault="00A268D3" w:rsidP="00A268D3">
            <w:pPr>
              <w:jc w:val="both"/>
              <w:rPr>
                <w:sz w:val="20"/>
                <w:lang w:val="fr-CA"/>
              </w:rPr>
            </w:pPr>
          </w:p>
        </w:tc>
        <w:tc>
          <w:tcPr>
            <w:tcW w:w="267" w:type="pct"/>
          </w:tcPr>
          <w:p w:rsidR="00A268D3" w:rsidRPr="002F3871" w:rsidRDefault="00A268D3" w:rsidP="00A268D3">
            <w:pPr>
              <w:jc w:val="both"/>
              <w:rPr>
                <w:sz w:val="20"/>
                <w:lang w:val="fr-CA"/>
              </w:rPr>
            </w:pPr>
          </w:p>
        </w:tc>
        <w:tc>
          <w:tcPr>
            <w:tcW w:w="2366" w:type="pct"/>
            <w:gridSpan w:val="2"/>
          </w:tcPr>
          <w:p w:rsidR="00A268D3" w:rsidRPr="002F3871" w:rsidRDefault="00A268D3" w:rsidP="00A268D3">
            <w:pPr>
              <w:jc w:val="both"/>
              <w:rPr>
                <w:sz w:val="20"/>
                <w:lang w:val="fr-CA"/>
              </w:rPr>
            </w:pPr>
            <w:r w:rsidRPr="002F3871">
              <w:rPr>
                <w:sz w:val="20"/>
                <w:lang w:val="fr-CA"/>
              </w:rPr>
              <w:t>Arrêt accueillant l’appel.</w:t>
            </w:r>
          </w:p>
          <w:p w:rsidR="00A268D3" w:rsidRPr="002F3871" w:rsidRDefault="00A268D3" w:rsidP="00A268D3">
            <w:pPr>
              <w:jc w:val="both"/>
              <w:rPr>
                <w:sz w:val="20"/>
                <w:lang w:val="fr-CA"/>
              </w:rPr>
            </w:pPr>
          </w:p>
        </w:tc>
      </w:tr>
      <w:tr w:rsidR="00A268D3" w:rsidRPr="00ED4247" w:rsidTr="00A268D3">
        <w:tblPrEx>
          <w:tblCellMar>
            <w:bottom w:w="0" w:type="dxa"/>
          </w:tblCellMar>
        </w:tblPrEx>
        <w:tc>
          <w:tcPr>
            <w:tcW w:w="2367" w:type="pct"/>
            <w:gridSpan w:val="2"/>
          </w:tcPr>
          <w:p w:rsidR="00A268D3" w:rsidRPr="002F3871" w:rsidRDefault="00A268D3" w:rsidP="00A268D3">
            <w:pPr>
              <w:jc w:val="both"/>
              <w:rPr>
                <w:sz w:val="20"/>
                <w:lang w:val="fr-CA"/>
              </w:rPr>
            </w:pPr>
            <w:r w:rsidRPr="002F3871">
              <w:rPr>
                <w:sz w:val="20"/>
                <w:lang w:val="fr-CA"/>
              </w:rPr>
              <w:t>9 novembre 2016</w:t>
            </w:r>
          </w:p>
          <w:p w:rsidR="00A268D3" w:rsidRPr="002F3871" w:rsidRDefault="00A268D3" w:rsidP="00A268D3">
            <w:pPr>
              <w:jc w:val="both"/>
              <w:rPr>
                <w:sz w:val="20"/>
                <w:lang w:val="fr-CA"/>
              </w:rPr>
            </w:pPr>
            <w:r w:rsidRPr="002F3871">
              <w:rPr>
                <w:sz w:val="20"/>
                <w:lang w:val="fr-CA"/>
              </w:rPr>
              <w:t>Cour suprême du Canada</w:t>
            </w:r>
          </w:p>
          <w:p w:rsidR="00A268D3" w:rsidRPr="002F3871" w:rsidRDefault="00A268D3" w:rsidP="00A268D3">
            <w:pPr>
              <w:jc w:val="both"/>
              <w:rPr>
                <w:sz w:val="20"/>
                <w:lang w:val="fr-CA"/>
              </w:rPr>
            </w:pPr>
          </w:p>
        </w:tc>
        <w:tc>
          <w:tcPr>
            <w:tcW w:w="267" w:type="pct"/>
          </w:tcPr>
          <w:p w:rsidR="00A268D3" w:rsidRPr="002F3871" w:rsidRDefault="00A268D3" w:rsidP="00A268D3">
            <w:pPr>
              <w:jc w:val="both"/>
              <w:rPr>
                <w:sz w:val="20"/>
                <w:lang w:val="fr-CA"/>
              </w:rPr>
            </w:pPr>
          </w:p>
        </w:tc>
        <w:tc>
          <w:tcPr>
            <w:tcW w:w="2366" w:type="pct"/>
            <w:gridSpan w:val="2"/>
          </w:tcPr>
          <w:p w:rsidR="00A268D3" w:rsidRPr="002F3871" w:rsidRDefault="00A268D3" w:rsidP="00A268D3">
            <w:pPr>
              <w:jc w:val="both"/>
              <w:rPr>
                <w:sz w:val="20"/>
                <w:lang w:val="fr-CA"/>
              </w:rPr>
            </w:pPr>
            <w:r w:rsidRPr="002F3871">
              <w:rPr>
                <w:sz w:val="20"/>
                <w:lang w:val="fr-CA"/>
              </w:rPr>
              <w:t>Dépôt de la demande d’autorisation d’appel.</w:t>
            </w:r>
          </w:p>
          <w:p w:rsidR="00A268D3" w:rsidRPr="002F3871" w:rsidRDefault="00A268D3" w:rsidP="00A268D3">
            <w:pPr>
              <w:jc w:val="both"/>
              <w:rPr>
                <w:sz w:val="20"/>
                <w:lang w:val="fr-CA"/>
              </w:rPr>
            </w:pPr>
          </w:p>
        </w:tc>
      </w:tr>
      <w:tr w:rsidR="00A268D3" w:rsidRPr="00ED4247" w:rsidTr="00A268D3">
        <w:tblPrEx>
          <w:tblCellMar>
            <w:bottom w:w="0" w:type="dxa"/>
          </w:tblCellMar>
        </w:tblPrEx>
        <w:tc>
          <w:tcPr>
            <w:tcW w:w="2367" w:type="pct"/>
            <w:gridSpan w:val="2"/>
          </w:tcPr>
          <w:p w:rsidR="00A268D3" w:rsidRPr="002F3871" w:rsidRDefault="00A268D3" w:rsidP="00A268D3">
            <w:pPr>
              <w:jc w:val="both"/>
              <w:rPr>
                <w:sz w:val="20"/>
                <w:lang w:val="fr-CA"/>
              </w:rPr>
            </w:pPr>
            <w:r w:rsidRPr="002F3871">
              <w:rPr>
                <w:sz w:val="20"/>
                <w:lang w:val="fr-CA"/>
              </w:rPr>
              <w:t>3 mars 2017</w:t>
            </w:r>
          </w:p>
          <w:p w:rsidR="00A268D3" w:rsidRPr="002F3871" w:rsidRDefault="00A268D3" w:rsidP="00A268D3">
            <w:pPr>
              <w:jc w:val="both"/>
              <w:rPr>
                <w:sz w:val="20"/>
                <w:lang w:val="fr-CA"/>
              </w:rPr>
            </w:pPr>
            <w:r w:rsidRPr="002F3871">
              <w:rPr>
                <w:sz w:val="20"/>
                <w:lang w:val="fr-CA"/>
              </w:rPr>
              <w:t>Cour suprême du Canada</w:t>
            </w:r>
          </w:p>
        </w:tc>
        <w:tc>
          <w:tcPr>
            <w:tcW w:w="267" w:type="pct"/>
          </w:tcPr>
          <w:p w:rsidR="00A268D3" w:rsidRPr="002F3871" w:rsidRDefault="00A268D3" w:rsidP="00A268D3">
            <w:pPr>
              <w:jc w:val="both"/>
              <w:rPr>
                <w:sz w:val="20"/>
                <w:lang w:val="fr-CA"/>
              </w:rPr>
            </w:pPr>
          </w:p>
        </w:tc>
        <w:tc>
          <w:tcPr>
            <w:tcW w:w="2366" w:type="pct"/>
            <w:gridSpan w:val="2"/>
          </w:tcPr>
          <w:p w:rsidR="00A268D3" w:rsidRPr="002F3871" w:rsidRDefault="00A268D3" w:rsidP="00A268D3">
            <w:pPr>
              <w:jc w:val="both"/>
              <w:rPr>
                <w:sz w:val="20"/>
                <w:lang w:val="fr-CA"/>
              </w:rPr>
            </w:pPr>
            <w:r w:rsidRPr="002F3871">
              <w:rPr>
                <w:sz w:val="20"/>
                <w:lang w:val="fr-CA"/>
              </w:rPr>
              <w:t>Jugement accueillant sans dépens la requête des promoteurs intimés en vue de signifier et de déposer une réponse à la réplique des investisseurs demandeurs.</w:t>
            </w:r>
          </w:p>
        </w:tc>
      </w:tr>
    </w:tbl>
    <w:p w:rsidR="00A268D3" w:rsidRPr="002F3871" w:rsidRDefault="00ED4247" w:rsidP="00A268D3">
      <w:pPr>
        <w:jc w:val="both"/>
        <w:rPr>
          <w:sz w:val="20"/>
          <w:lang w:val="fr-CA"/>
        </w:rPr>
      </w:pPr>
      <w:r>
        <w:rPr>
          <w:sz w:val="20"/>
          <w:szCs w:val="20"/>
        </w:rPr>
        <w:pict>
          <v:rect id="_x0000_i1066" style="width:2in;height:1pt" o:hrpct="0" o:hralign="center" o:hrstd="t" o:hrnoshade="t" o:hr="t" fillcolor="black" stroked="f"/>
        </w:pict>
      </w:r>
    </w:p>
    <w:p w:rsidR="00A268D3" w:rsidRPr="002F3871" w:rsidRDefault="00A268D3" w:rsidP="00A268D3">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268D3" w:rsidRPr="002F3871" w:rsidTr="00A268D3">
        <w:tc>
          <w:tcPr>
            <w:tcW w:w="543" w:type="pct"/>
          </w:tcPr>
          <w:p w:rsidR="00A268D3" w:rsidRPr="002F3871" w:rsidRDefault="00A268D3" w:rsidP="00A268D3">
            <w:pPr>
              <w:jc w:val="both"/>
              <w:rPr>
                <w:sz w:val="20"/>
              </w:rPr>
            </w:pPr>
            <w:r w:rsidRPr="002F3871">
              <w:rPr>
                <w:rStyle w:val="SCCFileNumberChar"/>
                <w:sz w:val="20"/>
                <w:szCs w:val="20"/>
              </w:rPr>
              <w:t>37471</w:t>
            </w:r>
          </w:p>
        </w:tc>
        <w:tc>
          <w:tcPr>
            <w:tcW w:w="4457" w:type="pct"/>
            <w:gridSpan w:val="3"/>
          </w:tcPr>
          <w:p w:rsidR="00A268D3" w:rsidRPr="002F3871" w:rsidRDefault="00A268D3" w:rsidP="00A268D3">
            <w:pPr>
              <w:pStyle w:val="SCCLsocParty"/>
              <w:jc w:val="both"/>
              <w:rPr>
                <w:b/>
                <w:sz w:val="20"/>
                <w:szCs w:val="20"/>
                <w:lang w:val="en-US"/>
              </w:rPr>
            </w:pPr>
            <w:r w:rsidRPr="002F3871">
              <w:rPr>
                <w:b/>
                <w:sz w:val="20"/>
                <w:szCs w:val="20"/>
                <w:lang w:val="en-US"/>
              </w:rPr>
              <w:t>Roman Paryniuk v. Her Majesty the Queen</w:t>
            </w:r>
          </w:p>
          <w:p w:rsidR="00A268D3" w:rsidRPr="002F3871" w:rsidRDefault="00A268D3" w:rsidP="00A268D3">
            <w:pPr>
              <w:jc w:val="both"/>
              <w:rPr>
                <w:sz w:val="20"/>
              </w:rPr>
            </w:pPr>
            <w:r w:rsidRPr="002F3871">
              <w:rPr>
                <w:sz w:val="20"/>
              </w:rPr>
              <w:t>(Ont.) (Criminal) (By Leave)</w:t>
            </w:r>
          </w:p>
        </w:tc>
      </w:tr>
      <w:tr w:rsidR="00C41450" w:rsidRPr="002F3871" w:rsidTr="00A268D3">
        <w:tc>
          <w:tcPr>
            <w:tcW w:w="543" w:type="pct"/>
          </w:tcPr>
          <w:p w:rsidR="00C41450" w:rsidRPr="002F3871" w:rsidRDefault="00C41450" w:rsidP="00A268D3">
            <w:pPr>
              <w:jc w:val="both"/>
              <w:rPr>
                <w:rStyle w:val="SCCFileNumberChar"/>
                <w:sz w:val="20"/>
                <w:szCs w:val="20"/>
              </w:rPr>
            </w:pPr>
            <w:r>
              <w:rPr>
                <w:rStyle w:val="SCCFileNumberChar"/>
                <w:sz w:val="20"/>
                <w:szCs w:val="20"/>
              </w:rPr>
              <w:t>Coram:</w:t>
            </w:r>
          </w:p>
        </w:tc>
        <w:tc>
          <w:tcPr>
            <w:tcW w:w="4457" w:type="pct"/>
            <w:gridSpan w:val="3"/>
          </w:tcPr>
          <w:p w:rsidR="00C41450" w:rsidRDefault="00B47A79" w:rsidP="00A268D3">
            <w:pPr>
              <w:pStyle w:val="SCCLsocParty"/>
              <w:jc w:val="both"/>
              <w:rPr>
                <w:rFonts w:eastAsiaTheme="minorEastAsia"/>
                <w:sz w:val="20"/>
                <w:szCs w:val="20"/>
                <w:lang w:val="en-US" w:eastAsia="en-CA"/>
              </w:rPr>
            </w:pPr>
            <w:proofErr w:type="spellStart"/>
            <w:r w:rsidRPr="00B47A79">
              <w:rPr>
                <w:rFonts w:eastAsiaTheme="minorEastAsia"/>
                <w:sz w:val="20"/>
                <w:szCs w:val="20"/>
                <w:lang w:val="en-US" w:eastAsia="en-CA"/>
              </w:rPr>
              <w:t>McLachlin</w:t>
            </w:r>
            <w:proofErr w:type="spellEnd"/>
            <w:r w:rsidRPr="00B47A79">
              <w:rPr>
                <w:rFonts w:eastAsiaTheme="minorEastAsia"/>
                <w:sz w:val="20"/>
                <w:szCs w:val="20"/>
                <w:lang w:val="en-US" w:eastAsia="en-CA"/>
              </w:rPr>
              <w:t xml:space="preserve"> C.J. and </w:t>
            </w:r>
            <w:proofErr w:type="spellStart"/>
            <w:r w:rsidRPr="00B47A79">
              <w:rPr>
                <w:rFonts w:eastAsiaTheme="minorEastAsia"/>
                <w:sz w:val="20"/>
                <w:szCs w:val="20"/>
                <w:lang w:val="en-US" w:eastAsia="en-CA"/>
              </w:rPr>
              <w:t>Abella</w:t>
            </w:r>
            <w:proofErr w:type="spellEnd"/>
            <w:r w:rsidRPr="00B47A79">
              <w:rPr>
                <w:rFonts w:eastAsiaTheme="minorEastAsia"/>
                <w:sz w:val="20"/>
                <w:szCs w:val="20"/>
                <w:lang w:val="en-US" w:eastAsia="en-CA"/>
              </w:rPr>
              <w:t xml:space="preserve">, </w:t>
            </w:r>
            <w:proofErr w:type="spellStart"/>
            <w:r w:rsidRPr="00B47A79">
              <w:rPr>
                <w:rFonts w:eastAsiaTheme="minorEastAsia"/>
                <w:sz w:val="20"/>
                <w:szCs w:val="20"/>
                <w:lang w:val="en-US" w:eastAsia="en-CA"/>
              </w:rPr>
              <w:t>Moldaver</w:t>
            </w:r>
            <w:proofErr w:type="spellEnd"/>
            <w:r w:rsidRPr="00B47A79">
              <w:rPr>
                <w:rFonts w:eastAsiaTheme="minorEastAsia"/>
                <w:sz w:val="20"/>
                <w:szCs w:val="20"/>
                <w:lang w:val="en-US" w:eastAsia="en-CA"/>
              </w:rPr>
              <w:t xml:space="preserve">, </w:t>
            </w:r>
            <w:proofErr w:type="spellStart"/>
            <w:r w:rsidRPr="00B47A79">
              <w:rPr>
                <w:rFonts w:eastAsiaTheme="minorEastAsia"/>
                <w:sz w:val="20"/>
                <w:szCs w:val="20"/>
                <w:lang w:val="en-US" w:eastAsia="en-CA"/>
              </w:rPr>
              <w:t>Karakatsanis</w:t>
            </w:r>
            <w:proofErr w:type="spellEnd"/>
            <w:r w:rsidRPr="00B47A79">
              <w:rPr>
                <w:rFonts w:eastAsiaTheme="minorEastAsia"/>
                <w:sz w:val="20"/>
                <w:szCs w:val="20"/>
                <w:lang w:val="en-US" w:eastAsia="en-CA"/>
              </w:rPr>
              <w:t xml:space="preserve">, Wagner, </w:t>
            </w:r>
            <w:proofErr w:type="spellStart"/>
            <w:r w:rsidRPr="00B47A79">
              <w:rPr>
                <w:rFonts w:eastAsiaTheme="minorEastAsia"/>
                <w:sz w:val="20"/>
                <w:szCs w:val="20"/>
                <w:lang w:val="en-US" w:eastAsia="en-CA"/>
              </w:rPr>
              <w:t>Gascon</w:t>
            </w:r>
            <w:proofErr w:type="spellEnd"/>
            <w:r w:rsidRPr="00B47A79">
              <w:rPr>
                <w:rFonts w:eastAsiaTheme="minorEastAsia"/>
                <w:sz w:val="20"/>
                <w:szCs w:val="20"/>
                <w:lang w:val="en-US" w:eastAsia="en-CA"/>
              </w:rPr>
              <w:t xml:space="preserve">, </w:t>
            </w:r>
            <w:proofErr w:type="spellStart"/>
            <w:r w:rsidRPr="00B47A79">
              <w:rPr>
                <w:rFonts w:eastAsiaTheme="minorEastAsia"/>
                <w:sz w:val="20"/>
                <w:szCs w:val="20"/>
                <w:lang w:val="en-US" w:eastAsia="en-CA"/>
              </w:rPr>
              <w:t>Côté</w:t>
            </w:r>
            <w:proofErr w:type="spellEnd"/>
            <w:r w:rsidRPr="00B47A79">
              <w:rPr>
                <w:rFonts w:eastAsiaTheme="minorEastAsia"/>
                <w:sz w:val="20"/>
                <w:szCs w:val="20"/>
                <w:lang w:val="en-US" w:eastAsia="en-CA"/>
              </w:rPr>
              <w:t>, Brown and Rowe JJ.</w:t>
            </w:r>
          </w:p>
          <w:p w:rsidR="00B47A79" w:rsidRPr="00B47A79" w:rsidRDefault="00B47A79" w:rsidP="00B47A79">
            <w:pPr>
              <w:rPr>
                <w:lang w:val="en-US" w:eastAsia="en-CA"/>
              </w:rPr>
            </w:pPr>
          </w:p>
        </w:tc>
      </w:tr>
      <w:tr w:rsidR="00C41450" w:rsidRPr="002F3871" w:rsidTr="00C41450">
        <w:tc>
          <w:tcPr>
            <w:tcW w:w="5000" w:type="pct"/>
            <w:gridSpan w:val="4"/>
          </w:tcPr>
          <w:p w:rsidR="00C41450" w:rsidRDefault="00B47A79" w:rsidP="00A268D3">
            <w:pPr>
              <w:pStyle w:val="SCCLsocParty"/>
              <w:jc w:val="both"/>
              <w:rPr>
                <w:sz w:val="20"/>
                <w:szCs w:val="20"/>
                <w:lang w:val="en-US"/>
              </w:rPr>
            </w:pPr>
            <w:r w:rsidRPr="00B47A79">
              <w:rPr>
                <w:sz w:val="20"/>
                <w:szCs w:val="20"/>
                <w:lang w:val="en-US"/>
              </w:rPr>
              <w:t>The application for leave to appeal from the judgment of the Court of Appeal for Ontario, Number C57206, 2017 ONCA 87, dated February 1, 2017, is dismissed.</w:t>
            </w:r>
          </w:p>
          <w:p w:rsidR="00B47A79" w:rsidRPr="00B47A79" w:rsidRDefault="00B47A79" w:rsidP="00B47A79">
            <w:pPr>
              <w:rPr>
                <w:lang w:val="en-US"/>
              </w:rPr>
            </w:pPr>
          </w:p>
        </w:tc>
      </w:tr>
      <w:tr w:rsidR="00A268D3" w:rsidRPr="002F3871" w:rsidTr="00A268D3">
        <w:tc>
          <w:tcPr>
            <w:tcW w:w="5000" w:type="pct"/>
            <w:gridSpan w:val="4"/>
          </w:tcPr>
          <w:p w:rsidR="00A268D3" w:rsidRPr="002F3871" w:rsidRDefault="00A268D3" w:rsidP="00A268D3">
            <w:pPr>
              <w:jc w:val="both"/>
              <w:rPr>
                <w:sz w:val="20"/>
              </w:rPr>
            </w:pPr>
            <w:r w:rsidRPr="002F3871">
              <w:rPr>
                <w:i/>
                <w:sz w:val="20"/>
              </w:rPr>
              <w:t>Charter of Rights</w:t>
            </w:r>
            <w:r w:rsidRPr="002F3871">
              <w:rPr>
                <w:sz w:val="20"/>
              </w:rPr>
              <w:t xml:space="preserve"> – Criminal law – Search and seizure – Search warrants – Whether the Court of Appeal for Ontario erred in law in holding that the abuse of process paradigm applies to a judge’s residual discretion to quash a search warrant where there has been intentional deception of the issuing justice – Whether the Court of Appeal for Ontario erred in law in holding that intentional deception of the issuing justice does not necessarily constitute subversion of the pre-authorization process – Whether the Court of Appeal for Ontario erred in law in holding that the trial judge’s reliance on the “clearest of cases” standard was not a misapprehension of the law.</w:t>
            </w:r>
          </w:p>
        </w:tc>
      </w:tr>
      <w:tr w:rsidR="00A268D3" w:rsidRPr="002F3871" w:rsidTr="00A268D3">
        <w:tc>
          <w:tcPr>
            <w:tcW w:w="5000" w:type="pct"/>
            <w:gridSpan w:val="4"/>
          </w:tcPr>
          <w:p w:rsidR="00A268D3" w:rsidRPr="002F3871" w:rsidRDefault="00A268D3" w:rsidP="00A268D3">
            <w:pPr>
              <w:jc w:val="both"/>
              <w:rPr>
                <w:sz w:val="20"/>
              </w:rPr>
            </w:pPr>
          </w:p>
        </w:tc>
      </w:tr>
      <w:tr w:rsidR="00A268D3" w:rsidRPr="002F3871" w:rsidTr="00A268D3">
        <w:tc>
          <w:tcPr>
            <w:tcW w:w="5000" w:type="pct"/>
            <w:gridSpan w:val="4"/>
          </w:tcPr>
          <w:p w:rsidR="00A268D3" w:rsidRPr="002F3871" w:rsidRDefault="00A268D3" w:rsidP="00A268D3">
            <w:pPr>
              <w:jc w:val="both"/>
              <w:rPr>
                <w:sz w:val="20"/>
              </w:rPr>
            </w:pPr>
            <w:r w:rsidRPr="002F3871">
              <w:rPr>
                <w:sz w:val="20"/>
              </w:rPr>
              <w:t xml:space="preserve">The Applicant, Mr. Paryniuk is charged with five drug related offences, six firearm related offences, and one charge of proceeds obtained by crime and four charges of possession of stolen property arising from allegations of participation in a marijuana production operation, commonly known as a “grow op”. The charges were laid following the execution of a search warrant of a home in the city of Toronto. Mr. Paryniuk resided at the property at the time of the search. During the entry pursuant to the warrant issued, police found a number of marijuana plants growing in the basement and in other parts of the house they found dried marijuana, cash, a quantity of psilocybin, a number of credit cards and identification in different names, a loaded handgun and some ammunition. Mr. Paryniuk took the position that the search and seizure constituted a violation of his rights under s. 8 of the </w:t>
            </w:r>
            <w:r w:rsidRPr="002F3871">
              <w:rPr>
                <w:i/>
                <w:sz w:val="20"/>
              </w:rPr>
              <w:t>Canadian Charter of Rights and Freedoms</w:t>
            </w:r>
            <w:r w:rsidRPr="002F3871">
              <w:rPr>
                <w:sz w:val="20"/>
              </w:rPr>
              <w:t xml:space="preserve"> and he sought an order excluding all evidence seized in execution of the search warrant pursuant to s. 24(2) of the </w:t>
            </w:r>
            <w:r w:rsidRPr="002F3871">
              <w:rPr>
                <w:i/>
                <w:sz w:val="20"/>
              </w:rPr>
              <w:t>Charter</w:t>
            </w:r>
            <w:r w:rsidRPr="002F3871">
              <w:rPr>
                <w:sz w:val="20"/>
              </w:rPr>
              <w:t xml:space="preserve">. The </w:t>
            </w:r>
            <w:r w:rsidRPr="002F3871">
              <w:rPr>
                <w:i/>
                <w:sz w:val="20"/>
              </w:rPr>
              <w:t>Charter</w:t>
            </w:r>
            <w:r w:rsidRPr="002F3871">
              <w:rPr>
                <w:sz w:val="20"/>
              </w:rPr>
              <w:t xml:space="preserve"> application was dismissed as was the subsequent request that the search warrant be quashed. The appeal to the Court of Appeal was also dismissed.</w:t>
            </w:r>
          </w:p>
          <w:p w:rsidR="00A268D3" w:rsidRPr="002F3871" w:rsidRDefault="00A268D3" w:rsidP="00A268D3">
            <w:pPr>
              <w:jc w:val="both"/>
              <w:rPr>
                <w:sz w:val="20"/>
              </w:rPr>
            </w:pPr>
          </w:p>
        </w:tc>
      </w:tr>
      <w:tr w:rsidR="00A268D3" w:rsidRPr="002F3871" w:rsidTr="00A268D3">
        <w:tc>
          <w:tcPr>
            <w:tcW w:w="2427" w:type="pct"/>
            <w:gridSpan w:val="2"/>
          </w:tcPr>
          <w:p w:rsidR="00A268D3" w:rsidRPr="002F3871" w:rsidRDefault="00A268D3" w:rsidP="00A268D3">
            <w:pPr>
              <w:jc w:val="both"/>
              <w:rPr>
                <w:sz w:val="20"/>
              </w:rPr>
            </w:pPr>
            <w:r w:rsidRPr="002F3871">
              <w:rPr>
                <w:sz w:val="20"/>
              </w:rPr>
              <w:t>December 19, 2012</w:t>
            </w:r>
          </w:p>
          <w:p w:rsidR="00A268D3" w:rsidRPr="002F3871" w:rsidRDefault="00A268D3" w:rsidP="00A268D3">
            <w:pPr>
              <w:jc w:val="both"/>
              <w:rPr>
                <w:sz w:val="20"/>
              </w:rPr>
            </w:pPr>
            <w:r w:rsidRPr="002F3871">
              <w:rPr>
                <w:sz w:val="20"/>
              </w:rPr>
              <w:t>Ontario Court of Justice (General Division)</w:t>
            </w:r>
          </w:p>
          <w:p w:rsidR="00A268D3" w:rsidRPr="002F3871" w:rsidRDefault="00A268D3" w:rsidP="00A268D3">
            <w:pPr>
              <w:jc w:val="both"/>
              <w:rPr>
                <w:sz w:val="20"/>
              </w:rPr>
            </w:pPr>
            <w:r w:rsidRPr="002F3871">
              <w:rPr>
                <w:sz w:val="20"/>
              </w:rPr>
              <w:t>(Harris J.)</w:t>
            </w:r>
          </w:p>
          <w:p w:rsidR="00A268D3" w:rsidRPr="002F3871" w:rsidRDefault="00ED4247" w:rsidP="00A268D3">
            <w:pPr>
              <w:jc w:val="both"/>
              <w:rPr>
                <w:sz w:val="20"/>
              </w:rPr>
            </w:pPr>
            <w:hyperlink r:id="rId46" w:history="1">
              <w:r w:rsidR="00A268D3" w:rsidRPr="002F3871">
                <w:rPr>
                  <w:rStyle w:val="Hyperlink"/>
                  <w:sz w:val="20"/>
                </w:rPr>
                <w:t>2012 ONCJ 852</w:t>
              </w:r>
            </w:hyperlink>
          </w:p>
          <w:p w:rsidR="00A268D3" w:rsidRPr="002F3871" w:rsidRDefault="00A268D3" w:rsidP="00A268D3">
            <w:pPr>
              <w:jc w:val="both"/>
              <w:rPr>
                <w:sz w:val="20"/>
              </w:rPr>
            </w:pPr>
          </w:p>
        </w:tc>
        <w:tc>
          <w:tcPr>
            <w:tcW w:w="243" w:type="pct"/>
          </w:tcPr>
          <w:p w:rsidR="00A268D3" w:rsidRPr="002F3871" w:rsidRDefault="00A268D3" w:rsidP="00A268D3">
            <w:pPr>
              <w:jc w:val="both"/>
              <w:rPr>
                <w:sz w:val="20"/>
              </w:rPr>
            </w:pPr>
          </w:p>
        </w:tc>
        <w:tc>
          <w:tcPr>
            <w:tcW w:w="2330" w:type="pct"/>
          </w:tcPr>
          <w:p w:rsidR="00A268D3" w:rsidRPr="002F3871" w:rsidRDefault="00A268D3" w:rsidP="00A268D3">
            <w:pPr>
              <w:jc w:val="both"/>
              <w:rPr>
                <w:sz w:val="20"/>
              </w:rPr>
            </w:pPr>
            <w:r w:rsidRPr="002F3871">
              <w:rPr>
                <w:sz w:val="20"/>
              </w:rPr>
              <w:t xml:space="preserve">Section 8 </w:t>
            </w:r>
            <w:r w:rsidRPr="002F3871">
              <w:rPr>
                <w:i/>
                <w:sz w:val="20"/>
              </w:rPr>
              <w:t>Charter</w:t>
            </w:r>
            <w:r w:rsidRPr="002F3871">
              <w:rPr>
                <w:sz w:val="20"/>
              </w:rPr>
              <w:t xml:space="preserve"> application dismissed</w:t>
            </w:r>
          </w:p>
          <w:p w:rsidR="00A268D3" w:rsidRPr="002F3871" w:rsidRDefault="00A268D3" w:rsidP="00A268D3">
            <w:pPr>
              <w:jc w:val="both"/>
              <w:rPr>
                <w:sz w:val="20"/>
              </w:rPr>
            </w:pPr>
          </w:p>
        </w:tc>
      </w:tr>
      <w:tr w:rsidR="00A268D3" w:rsidRPr="002F3871" w:rsidTr="00A268D3">
        <w:tc>
          <w:tcPr>
            <w:tcW w:w="2427" w:type="pct"/>
            <w:gridSpan w:val="2"/>
          </w:tcPr>
          <w:p w:rsidR="00A268D3" w:rsidRPr="002F3871" w:rsidRDefault="00A268D3" w:rsidP="00A268D3">
            <w:pPr>
              <w:jc w:val="both"/>
              <w:rPr>
                <w:sz w:val="20"/>
              </w:rPr>
            </w:pPr>
            <w:r w:rsidRPr="002F3871">
              <w:rPr>
                <w:sz w:val="20"/>
              </w:rPr>
              <w:t>February 11, 2013</w:t>
            </w:r>
          </w:p>
          <w:p w:rsidR="00A268D3" w:rsidRPr="002F3871" w:rsidRDefault="00A268D3" w:rsidP="00A268D3">
            <w:pPr>
              <w:jc w:val="both"/>
              <w:rPr>
                <w:sz w:val="20"/>
              </w:rPr>
            </w:pPr>
            <w:r w:rsidRPr="002F3871">
              <w:rPr>
                <w:sz w:val="20"/>
              </w:rPr>
              <w:t>Ontario Court of Justice (General Division)</w:t>
            </w:r>
          </w:p>
          <w:p w:rsidR="00A268D3" w:rsidRPr="002F3871" w:rsidRDefault="00A268D3" w:rsidP="00A268D3">
            <w:pPr>
              <w:jc w:val="both"/>
              <w:rPr>
                <w:sz w:val="20"/>
              </w:rPr>
            </w:pPr>
            <w:r w:rsidRPr="002F3871">
              <w:rPr>
                <w:sz w:val="20"/>
              </w:rPr>
              <w:t>(Harris J.)</w:t>
            </w:r>
          </w:p>
          <w:p w:rsidR="00A268D3" w:rsidRPr="002F3871" w:rsidRDefault="00A268D3" w:rsidP="00A268D3">
            <w:pPr>
              <w:jc w:val="both"/>
              <w:rPr>
                <w:sz w:val="20"/>
              </w:rPr>
            </w:pPr>
          </w:p>
        </w:tc>
        <w:tc>
          <w:tcPr>
            <w:tcW w:w="243" w:type="pct"/>
          </w:tcPr>
          <w:p w:rsidR="00A268D3" w:rsidRPr="002F3871" w:rsidRDefault="00A268D3" w:rsidP="00A268D3">
            <w:pPr>
              <w:jc w:val="both"/>
              <w:rPr>
                <w:sz w:val="20"/>
              </w:rPr>
            </w:pPr>
          </w:p>
        </w:tc>
        <w:tc>
          <w:tcPr>
            <w:tcW w:w="2330" w:type="pct"/>
          </w:tcPr>
          <w:p w:rsidR="00A268D3" w:rsidRPr="002F3871" w:rsidRDefault="00A268D3" w:rsidP="00A268D3">
            <w:pPr>
              <w:jc w:val="both"/>
              <w:rPr>
                <w:sz w:val="20"/>
              </w:rPr>
            </w:pPr>
            <w:r w:rsidRPr="002F3871">
              <w:rPr>
                <w:sz w:val="20"/>
              </w:rPr>
              <w:t>Application to quash search warrant dismissed; applicant convicted of drug and firearms related offences</w:t>
            </w:r>
          </w:p>
        </w:tc>
      </w:tr>
    </w:tbl>
    <w:p w:rsidR="00B47A79" w:rsidRDefault="00B47A79">
      <w: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268D3" w:rsidRPr="002F3871" w:rsidTr="00A268D3">
        <w:tc>
          <w:tcPr>
            <w:tcW w:w="2427" w:type="pct"/>
          </w:tcPr>
          <w:p w:rsidR="00A268D3" w:rsidRPr="002F3871" w:rsidRDefault="00A268D3" w:rsidP="00A268D3">
            <w:pPr>
              <w:jc w:val="both"/>
              <w:rPr>
                <w:sz w:val="20"/>
              </w:rPr>
            </w:pPr>
            <w:r w:rsidRPr="002F3871">
              <w:rPr>
                <w:sz w:val="20"/>
              </w:rPr>
              <w:lastRenderedPageBreak/>
              <w:t>February 1, 2017</w:t>
            </w:r>
          </w:p>
          <w:p w:rsidR="00A268D3" w:rsidRPr="002F3871" w:rsidRDefault="00A268D3" w:rsidP="00A268D3">
            <w:pPr>
              <w:jc w:val="both"/>
              <w:rPr>
                <w:sz w:val="20"/>
              </w:rPr>
            </w:pPr>
            <w:r w:rsidRPr="002F3871">
              <w:rPr>
                <w:sz w:val="20"/>
              </w:rPr>
              <w:t>Court of Appeal for Ontario</w:t>
            </w:r>
          </w:p>
          <w:p w:rsidR="00A268D3" w:rsidRPr="002F3871" w:rsidRDefault="00A268D3" w:rsidP="00A268D3">
            <w:pPr>
              <w:jc w:val="both"/>
              <w:rPr>
                <w:sz w:val="20"/>
              </w:rPr>
            </w:pPr>
            <w:r w:rsidRPr="002F3871">
              <w:rPr>
                <w:sz w:val="20"/>
              </w:rPr>
              <w:t>(Watt, Epstein and Rensburg JJ.A.)</w:t>
            </w:r>
          </w:p>
          <w:p w:rsidR="00A268D3" w:rsidRPr="002F3871" w:rsidRDefault="00ED4247" w:rsidP="00A268D3">
            <w:pPr>
              <w:jc w:val="both"/>
              <w:rPr>
                <w:sz w:val="20"/>
              </w:rPr>
            </w:pPr>
            <w:hyperlink r:id="rId47" w:history="1">
              <w:r w:rsidR="00A268D3" w:rsidRPr="002F3871">
                <w:rPr>
                  <w:rStyle w:val="Hyperlink"/>
                  <w:sz w:val="20"/>
                </w:rPr>
                <w:t>2017 ONCA 87</w:t>
              </w:r>
            </w:hyperlink>
            <w:r w:rsidR="00A268D3" w:rsidRPr="002F3871">
              <w:rPr>
                <w:sz w:val="20"/>
              </w:rPr>
              <w:t>; C57206</w:t>
            </w:r>
          </w:p>
          <w:p w:rsidR="00A268D3" w:rsidRPr="002F3871" w:rsidRDefault="00A268D3" w:rsidP="00A268D3">
            <w:pPr>
              <w:jc w:val="both"/>
              <w:rPr>
                <w:sz w:val="20"/>
              </w:rPr>
            </w:pPr>
          </w:p>
        </w:tc>
        <w:tc>
          <w:tcPr>
            <w:tcW w:w="243" w:type="pct"/>
          </w:tcPr>
          <w:p w:rsidR="00A268D3" w:rsidRPr="002F3871" w:rsidRDefault="00A268D3" w:rsidP="00A268D3">
            <w:pPr>
              <w:jc w:val="both"/>
              <w:rPr>
                <w:sz w:val="20"/>
              </w:rPr>
            </w:pPr>
          </w:p>
        </w:tc>
        <w:tc>
          <w:tcPr>
            <w:tcW w:w="2330" w:type="pct"/>
          </w:tcPr>
          <w:p w:rsidR="00A268D3" w:rsidRPr="002F3871" w:rsidRDefault="00A268D3" w:rsidP="00A268D3">
            <w:pPr>
              <w:jc w:val="both"/>
              <w:rPr>
                <w:sz w:val="20"/>
              </w:rPr>
            </w:pPr>
            <w:r w:rsidRPr="002F3871">
              <w:rPr>
                <w:sz w:val="20"/>
              </w:rPr>
              <w:t>Appeal dismissed</w:t>
            </w:r>
          </w:p>
          <w:p w:rsidR="00A268D3" w:rsidRPr="002F3871" w:rsidRDefault="00A268D3" w:rsidP="00A268D3">
            <w:pPr>
              <w:jc w:val="both"/>
              <w:rPr>
                <w:sz w:val="20"/>
              </w:rPr>
            </w:pPr>
          </w:p>
        </w:tc>
      </w:tr>
      <w:tr w:rsidR="00A268D3" w:rsidRPr="002F3871" w:rsidTr="00A268D3">
        <w:tc>
          <w:tcPr>
            <w:tcW w:w="2427" w:type="pct"/>
          </w:tcPr>
          <w:p w:rsidR="00A268D3" w:rsidRPr="002F3871" w:rsidRDefault="00A268D3" w:rsidP="00A268D3">
            <w:pPr>
              <w:jc w:val="both"/>
              <w:rPr>
                <w:sz w:val="20"/>
              </w:rPr>
            </w:pPr>
            <w:r w:rsidRPr="002F3871">
              <w:rPr>
                <w:sz w:val="20"/>
              </w:rPr>
              <w:t>March 9, 2017</w:t>
            </w:r>
          </w:p>
          <w:p w:rsidR="00A268D3" w:rsidRPr="002F3871" w:rsidRDefault="00A268D3" w:rsidP="00A268D3">
            <w:pPr>
              <w:jc w:val="both"/>
              <w:rPr>
                <w:sz w:val="20"/>
              </w:rPr>
            </w:pPr>
            <w:r w:rsidRPr="002F3871">
              <w:rPr>
                <w:sz w:val="20"/>
              </w:rPr>
              <w:t>Supreme Court of Canada</w:t>
            </w:r>
          </w:p>
        </w:tc>
        <w:tc>
          <w:tcPr>
            <w:tcW w:w="243" w:type="pct"/>
          </w:tcPr>
          <w:p w:rsidR="00A268D3" w:rsidRPr="002F3871" w:rsidRDefault="00A268D3" w:rsidP="00A268D3">
            <w:pPr>
              <w:jc w:val="both"/>
              <w:rPr>
                <w:sz w:val="20"/>
              </w:rPr>
            </w:pPr>
          </w:p>
        </w:tc>
        <w:tc>
          <w:tcPr>
            <w:tcW w:w="2330" w:type="pct"/>
          </w:tcPr>
          <w:p w:rsidR="00A268D3" w:rsidRPr="002F3871" w:rsidRDefault="00A268D3" w:rsidP="00A268D3">
            <w:pPr>
              <w:jc w:val="both"/>
              <w:rPr>
                <w:sz w:val="20"/>
              </w:rPr>
            </w:pPr>
            <w:r w:rsidRPr="002F3871">
              <w:rPr>
                <w:sz w:val="20"/>
              </w:rPr>
              <w:t>Application for leave to appeal filed</w:t>
            </w:r>
          </w:p>
        </w:tc>
      </w:tr>
    </w:tbl>
    <w:p w:rsidR="00A268D3" w:rsidRPr="002F3871" w:rsidRDefault="00ED4247" w:rsidP="00A268D3">
      <w:pPr>
        <w:jc w:val="both"/>
        <w:rPr>
          <w:sz w:val="20"/>
        </w:rPr>
      </w:pPr>
      <w:r>
        <w:rPr>
          <w:sz w:val="20"/>
          <w:szCs w:val="20"/>
        </w:rPr>
        <w:pict>
          <v:rect id="_x0000_i1067" style="width:2in;height:1pt" o:hrpct="0" o:hralign="center" o:hrstd="t" o:hrnoshade="t" o:hr="t" fillcolor="black" stroked="f"/>
        </w:pict>
      </w:r>
    </w:p>
    <w:p w:rsidR="00A268D3" w:rsidRPr="002F3871" w:rsidRDefault="00A268D3" w:rsidP="00A268D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268D3" w:rsidRPr="002F3871" w:rsidTr="00A268D3">
        <w:tc>
          <w:tcPr>
            <w:tcW w:w="543" w:type="pct"/>
          </w:tcPr>
          <w:p w:rsidR="00A268D3" w:rsidRPr="002F3871" w:rsidRDefault="00A268D3" w:rsidP="00A268D3">
            <w:pPr>
              <w:jc w:val="both"/>
              <w:rPr>
                <w:sz w:val="20"/>
                <w:lang w:val="fr-CA"/>
              </w:rPr>
            </w:pPr>
            <w:r w:rsidRPr="002F3871">
              <w:rPr>
                <w:rStyle w:val="SCCFileNumberChar"/>
                <w:sz w:val="20"/>
                <w:szCs w:val="20"/>
                <w:lang w:val="fr-CA"/>
              </w:rPr>
              <w:t>37471</w:t>
            </w:r>
          </w:p>
        </w:tc>
        <w:tc>
          <w:tcPr>
            <w:tcW w:w="4457" w:type="pct"/>
            <w:gridSpan w:val="3"/>
          </w:tcPr>
          <w:p w:rsidR="00A268D3" w:rsidRPr="002F3871" w:rsidRDefault="00A268D3" w:rsidP="00A268D3">
            <w:pPr>
              <w:pStyle w:val="SCCLsocParty"/>
              <w:jc w:val="both"/>
              <w:rPr>
                <w:b/>
                <w:sz w:val="20"/>
                <w:szCs w:val="20"/>
              </w:rPr>
            </w:pPr>
            <w:r w:rsidRPr="002F3871">
              <w:rPr>
                <w:b/>
                <w:sz w:val="20"/>
                <w:szCs w:val="20"/>
              </w:rPr>
              <w:t>Roman Paryniuk c. Sa Majesté la Reine</w:t>
            </w:r>
          </w:p>
          <w:p w:rsidR="00A268D3" w:rsidRPr="002F3871" w:rsidRDefault="00A268D3" w:rsidP="00A268D3">
            <w:pPr>
              <w:jc w:val="both"/>
              <w:rPr>
                <w:sz w:val="20"/>
                <w:lang w:val="fr-CA"/>
              </w:rPr>
            </w:pPr>
            <w:r w:rsidRPr="002F3871">
              <w:rPr>
                <w:sz w:val="20"/>
                <w:lang w:val="fr-CA"/>
              </w:rPr>
              <w:t>(Ont.) (Criminelle) (Sur autorisation)</w:t>
            </w:r>
          </w:p>
        </w:tc>
      </w:tr>
      <w:tr w:rsidR="00C41450" w:rsidRPr="00ED4247" w:rsidTr="00A268D3">
        <w:tc>
          <w:tcPr>
            <w:tcW w:w="543" w:type="pct"/>
          </w:tcPr>
          <w:p w:rsidR="00C41450" w:rsidRPr="002F3871" w:rsidRDefault="00C41450" w:rsidP="00A268D3">
            <w:pPr>
              <w:jc w:val="both"/>
              <w:rPr>
                <w:rStyle w:val="SCCFileNumberChar"/>
                <w:sz w:val="20"/>
                <w:szCs w:val="20"/>
                <w:lang w:val="fr-CA"/>
              </w:rPr>
            </w:pPr>
            <w:r>
              <w:rPr>
                <w:rStyle w:val="SCCFileNumberChar"/>
                <w:sz w:val="20"/>
                <w:szCs w:val="20"/>
                <w:lang w:val="fr-CA"/>
              </w:rPr>
              <w:t>Coram :</w:t>
            </w:r>
          </w:p>
        </w:tc>
        <w:tc>
          <w:tcPr>
            <w:tcW w:w="4457" w:type="pct"/>
            <w:gridSpan w:val="3"/>
          </w:tcPr>
          <w:p w:rsidR="00C41450" w:rsidRDefault="00B47A79" w:rsidP="00A268D3">
            <w:pPr>
              <w:pStyle w:val="SCCLsocParty"/>
              <w:jc w:val="both"/>
              <w:rPr>
                <w:rFonts w:eastAsiaTheme="minorEastAsia"/>
                <w:sz w:val="20"/>
                <w:szCs w:val="20"/>
                <w:lang w:val="fr-FR" w:eastAsia="en-CA"/>
              </w:rPr>
            </w:pPr>
            <w:r w:rsidRPr="00BE5420">
              <w:rPr>
                <w:rFonts w:eastAsiaTheme="minorEastAsia"/>
                <w:sz w:val="20"/>
                <w:szCs w:val="20"/>
                <w:lang w:val="fr-FR" w:eastAsia="en-CA"/>
              </w:rPr>
              <w:t xml:space="preserve">La juge en chef </w:t>
            </w:r>
            <w:proofErr w:type="spellStart"/>
            <w:r w:rsidRPr="00BE5420">
              <w:rPr>
                <w:rFonts w:eastAsiaTheme="minorEastAsia"/>
                <w:sz w:val="20"/>
                <w:szCs w:val="20"/>
                <w:lang w:val="fr-FR" w:eastAsia="en-CA"/>
              </w:rPr>
              <w:t>McLachlin</w:t>
            </w:r>
            <w:proofErr w:type="spellEnd"/>
            <w:r w:rsidRPr="00BE5420">
              <w:rPr>
                <w:rFonts w:eastAsiaTheme="minorEastAsia"/>
                <w:sz w:val="20"/>
                <w:szCs w:val="20"/>
                <w:lang w:val="fr-FR" w:eastAsia="en-CA"/>
              </w:rPr>
              <w:t xml:space="preserve"> et les juges Abella, </w:t>
            </w:r>
            <w:proofErr w:type="spellStart"/>
            <w:r w:rsidRPr="00BE5420">
              <w:rPr>
                <w:rFonts w:eastAsiaTheme="minorEastAsia"/>
                <w:sz w:val="20"/>
                <w:szCs w:val="20"/>
                <w:lang w:val="fr-FR" w:eastAsia="en-CA"/>
              </w:rPr>
              <w:t>Moldaver</w:t>
            </w:r>
            <w:proofErr w:type="spellEnd"/>
            <w:r w:rsidRPr="00BE5420">
              <w:rPr>
                <w:rFonts w:eastAsiaTheme="minorEastAsia"/>
                <w:sz w:val="20"/>
                <w:szCs w:val="20"/>
                <w:lang w:val="fr-FR" w:eastAsia="en-CA"/>
              </w:rPr>
              <w:t xml:space="preserve">, </w:t>
            </w:r>
            <w:proofErr w:type="spellStart"/>
            <w:r w:rsidRPr="00BE5420">
              <w:rPr>
                <w:rFonts w:eastAsiaTheme="minorEastAsia"/>
                <w:sz w:val="20"/>
                <w:szCs w:val="20"/>
                <w:lang w:val="fr-FR" w:eastAsia="en-CA"/>
              </w:rPr>
              <w:t>Karakatsanis</w:t>
            </w:r>
            <w:proofErr w:type="spellEnd"/>
            <w:r w:rsidRPr="00BE5420">
              <w:rPr>
                <w:rFonts w:eastAsiaTheme="minorEastAsia"/>
                <w:sz w:val="20"/>
                <w:szCs w:val="20"/>
                <w:lang w:val="fr-FR" w:eastAsia="en-CA"/>
              </w:rPr>
              <w:t>, Wagner, Gascon, Côté, Brown et Rowe</w:t>
            </w:r>
          </w:p>
          <w:p w:rsidR="00B47A79" w:rsidRPr="00B47A79" w:rsidRDefault="00B47A79" w:rsidP="00B47A79">
            <w:pPr>
              <w:rPr>
                <w:lang w:val="fr-FR" w:eastAsia="en-CA"/>
              </w:rPr>
            </w:pPr>
          </w:p>
        </w:tc>
      </w:tr>
      <w:tr w:rsidR="00C41450" w:rsidRPr="00ED4247" w:rsidTr="00C41450">
        <w:tc>
          <w:tcPr>
            <w:tcW w:w="5000" w:type="pct"/>
            <w:gridSpan w:val="4"/>
          </w:tcPr>
          <w:p w:rsidR="00C41450" w:rsidRDefault="00B47A79" w:rsidP="00A268D3">
            <w:pPr>
              <w:pStyle w:val="SCCLsocParty"/>
              <w:jc w:val="both"/>
              <w:rPr>
                <w:sz w:val="20"/>
                <w:szCs w:val="20"/>
              </w:rPr>
            </w:pPr>
            <w:r w:rsidRPr="00BE5420">
              <w:rPr>
                <w:sz w:val="20"/>
                <w:szCs w:val="20"/>
              </w:rPr>
              <w:t xml:space="preserve">La demande d’autorisation d’appel de l’arrêt de la </w:t>
            </w:r>
            <w:r w:rsidRPr="00BE5420">
              <w:rPr>
                <w:sz w:val="20"/>
                <w:szCs w:val="20"/>
                <w:lang w:val="fr-FR"/>
              </w:rPr>
              <w:t>Cour d’appel de l’Ontario</w:t>
            </w:r>
            <w:r w:rsidRPr="00BE5420">
              <w:rPr>
                <w:sz w:val="20"/>
                <w:szCs w:val="20"/>
              </w:rPr>
              <w:t xml:space="preserve">, numéro </w:t>
            </w:r>
            <w:r w:rsidRPr="00BE5420">
              <w:rPr>
                <w:sz w:val="20"/>
                <w:szCs w:val="20"/>
                <w:lang w:val="fr-FR"/>
              </w:rPr>
              <w:t>C57206, 2017 ONCA 87</w:t>
            </w:r>
            <w:r w:rsidRPr="00BE5420">
              <w:rPr>
                <w:sz w:val="20"/>
                <w:szCs w:val="20"/>
              </w:rPr>
              <w:t xml:space="preserve">, daté du </w:t>
            </w:r>
            <w:r w:rsidRPr="00BE5420">
              <w:rPr>
                <w:sz w:val="20"/>
                <w:szCs w:val="20"/>
                <w:lang w:val="fr-FR"/>
              </w:rPr>
              <w:t>1 février 2017</w:t>
            </w:r>
            <w:r w:rsidRPr="00BE5420">
              <w:rPr>
                <w:sz w:val="20"/>
                <w:szCs w:val="20"/>
              </w:rPr>
              <w:t>, est rejetée.</w:t>
            </w:r>
          </w:p>
          <w:p w:rsidR="00B47A79" w:rsidRPr="00B47A79" w:rsidRDefault="00B47A79" w:rsidP="00B47A79">
            <w:pPr>
              <w:rPr>
                <w:lang w:val="fr-CA"/>
              </w:rPr>
            </w:pPr>
          </w:p>
        </w:tc>
      </w:tr>
      <w:tr w:rsidR="00A268D3" w:rsidRPr="00ED4247" w:rsidTr="00A268D3">
        <w:tc>
          <w:tcPr>
            <w:tcW w:w="5000" w:type="pct"/>
            <w:gridSpan w:val="4"/>
          </w:tcPr>
          <w:p w:rsidR="00A268D3" w:rsidRPr="002F3871" w:rsidRDefault="00A268D3" w:rsidP="00A268D3">
            <w:pPr>
              <w:jc w:val="both"/>
              <w:rPr>
                <w:sz w:val="20"/>
                <w:lang w:val="fr-CA"/>
              </w:rPr>
            </w:pPr>
            <w:r w:rsidRPr="002F3871">
              <w:rPr>
                <w:i/>
                <w:sz w:val="20"/>
                <w:lang w:val="fr-CA"/>
              </w:rPr>
              <w:t xml:space="preserve">Charte des droits </w:t>
            </w:r>
            <w:r w:rsidRPr="002F3871">
              <w:rPr>
                <w:sz w:val="20"/>
                <w:lang w:val="fr-CA"/>
              </w:rPr>
              <w:t>– Droit criminel – Fouilles, perquisitions et saisies – Mandat de perquisition – La Cour d’appel a-t-elle commis une erreur de droit en statuant que le paradigme de l’abus de procédure s’appliquait au pouvoir discrétionnaire résiduel du juge d’annuler un mandat de perquisition lorsque le juge de paix qui a décerné le mandat a été délibérément induit en erreur? – La Cour d’appel de l’Ontario a-t-elle commis une erreur de droit en statuant que le fait d’avoir délibérément induit en erreur le juge de paix qui a décerné le mandat ne constituait pas nécessairement une subversion du processus d’autorisation préalable? – La Cour d’appel de l’Ontario a-t-elle commis une erreur de droit en statuant que le juge du procès n’avait pas mal interprété le droit en s’appuyant sur la norme des « cas les plus manifestes »?</w:t>
            </w:r>
          </w:p>
        </w:tc>
      </w:tr>
      <w:tr w:rsidR="00A268D3" w:rsidRPr="00ED4247" w:rsidTr="00A268D3">
        <w:tc>
          <w:tcPr>
            <w:tcW w:w="5000" w:type="pct"/>
            <w:gridSpan w:val="4"/>
          </w:tcPr>
          <w:p w:rsidR="00A268D3" w:rsidRPr="002F3871" w:rsidRDefault="00A268D3" w:rsidP="00A268D3">
            <w:pPr>
              <w:jc w:val="both"/>
              <w:rPr>
                <w:sz w:val="20"/>
                <w:lang w:val="fr-CA"/>
              </w:rPr>
            </w:pPr>
          </w:p>
        </w:tc>
      </w:tr>
      <w:tr w:rsidR="00A268D3" w:rsidRPr="002F3871" w:rsidTr="00A268D3">
        <w:tc>
          <w:tcPr>
            <w:tcW w:w="5000" w:type="pct"/>
            <w:gridSpan w:val="4"/>
          </w:tcPr>
          <w:p w:rsidR="00A268D3" w:rsidRPr="002F3871" w:rsidRDefault="00A268D3" w:rsidP="00A268D3">
            <w:pPr>
              <w:jc w:val="both"/>
              <w:rPr>
                <w:sz w:val="20"/>
                <w:lang w:val="fr-CA"/>
              </w:rPr>
            </w:pPr>
            <w:r w:rsidRPr="002F3871">
              <w:rPr>
                <w:sz w:val="20"/>
                <w:lang w:val="fr-CA"/>
              </w:rPr>
              <w:t>Le demandeur, M. Paryniuk, est accusé de cinq infractions liées à la drogue, de six infractions liées aux armes à feu, de possession de produits de la criminalité et de quatre chefs de recel découlant d’allégations de participation à une opération de culture de marijuana. Les accusations ont été portées après l’exécution d’un mandat de perquisition dans une maison dans la ville de Toronto. Monsieur Paryniuk habitait la maison à l’époque de la perquisition. Lorsqu’ils sont entrés dans la maison en exécution du mandat décerné, les policiers ont trouvé des plants de marijuana qui poussaient au sous-sol et, dans d’autres parties de la maison, ils ont trouvé de la marijuana séchée, de l’argent comptant, une quantité de psilocybine, des cartes de crédit et des cartes d’identité établies à plusieurs noms, une arme de poing chargée et des munitions. Monsieur Paryniuk a fait valoir que la perquisition et la saisie constituaient une violation des droits que lui garantit l’art. 8 de la</w:t>
            </w:r>
            <w:r w:rsidRPr="002F3871">
              <w:rPr>
                <w:i/>
                <w:sz w:val="20"/>
                <w:lang w:val="fr-CA"/>
              </w:rPr>
              <w:t xml:space="preserve"> Charte canadienne des droits et libertés </w:t>
            </w:r>
            <w:r w:rsidRPr="002F3871">
              <w:rPr>
                <w:sz w:val="20"/>
                <w:lang w:val="fr-CA"/>
              </w:rPr>
              <w:t xml:space="preserve">et il a sollicité, en application du par. 24(2) de la </w:t>
            </w:r>
            <w:r w:rsidRPr="002F3871">
              <w:rPr>
                <w:i/>
                <w:sz w:val="20"/>
                <w:lang w:val="fr-CA"/>
              </w:rPr>
              <w:t>Charte</w:t>
            </w:r>
            <w:r w:rsidRPr="002F3871">
              <w:rPr>
                <w:sz w:val="20"/>
                <w:lang w:val="fr-CA"/>
              </w:rPr>
              <w:t xml:space="preserve">, une ordonnance d’exclusion de tous les éléments de preuve saisis en exécution du mandat de perquisition. La demande fondée sur la </w:t>
            </w:r>
            <w:r w:rsidRPr="002F3871">
              <w:rPr>
                <w:i/>
                <w:sz w:val="20"/>
                <w:lang w:val="fr-CA"/>
              </w:rPr>
              <w:t>Charte</w:t>
            </w:r>
            <w:r w:rsidRPr="002F3871">
              <w:rPr>
                <w:sz w:val="20"/>
                <w:lang w:val="fr-CA"/>
              </w:rPr>
              <w:t xml:space="preserve"> a été rejetée, tout comme la demande subséquente d’annulation du mandat de perquisition. L’appel à la Cour d’appel a également été rejeté.</w:t>
            </w:r>
          </w:p>
          <w:p w:rsidR="00A268D3" w:rsidRPr="002F3871" w:rsidRDefault="00A268D3" w:rsidP="00A268D3">
            <w:pPr>
              <w:jc w:val="both"/>
              <w:rPr>
                <w:sz w:val="20"/>
                <w:lang w:val="fr-CA"/>
              </w:rPr>
            </w:pPr>
          </w:p>
        </w:tc>
      </w:tr>
      <w:tr w:rsidR="00A268D3" w:rsidRPr="00ED4247" w:rsidTr="00A268D3">
        <w:tc>
          <w:tcPr>
            <w:tcW w:w="2427" w:type="pct"/>
            <w:gridSpan w:val="2"/>
          </w:tcPr>
          <w:p w:rsidR="00A268D3" w:rsidRPr="002F3871" w:rsidRDefault="00A268D3" w:rsidP="00A268D3">
            <w:pPr>
              <w:jc w:val="both"/>
              <w:rPr>
                <w:sz w:val="20"/>
                <w:lang w:val="fr-CA"/>
              </w:rPr>
            </w:pPr>
            <w:r w:rsidRPr="002F3871">
              <w:rPr>
                <w:sz w:val="20"/>
                <w:lang w:val="fr-CA"/>
              </w:rPr>
              <w:t>19 décembre 2012</w:t>
            </w:r>
          </w:p>
          <w:p w:rsidR="00A268D3" w:rsidRPr="002F3871" w:rsidRDefault="00A268D3" w:rsidP="00A268D3">
            <w:pPr>
              <w:jc w:val="both"/>
              <w:rPr>
                <w:sz w:val="20"/>
                <w:lang w:val="fr-CA"/>
              </w:rPr>
            </w:pPr>
            <w:r w:rsidRPr="002F3871">
              <w:rPr>
                <w:sz w:val="20"/>
                <w:lang w:val="fr-CA"/>
              </w:rPr>
              <w:t>Cour de justice de l’Ontario (Division générale)</w:t>
            </w:r>
          </w:p>
          <w:p w:rsidR="00A268D3" w:rsidRPr="002F3871" w:rsidRDefault="00A268D3" w:rsidP="00A268D3">
            <w:pPr>
              <w:jc w:val="both"/>
              <w:rPr>
                <w:sz w:val="20"/>
                <w:lang w:val="fr-CA"/>
              </w:rPr>
            </w:pPr>
            <w:r w:rsidRPr="002F3871">
              <w:rPr>
                <w:sz w:val="20"/>
                <w:lang w:val="fr-CA"/>
              </w:rPr>
              <w:t>(Juge Harris)</w:t>
            </w:r>
          </w:p>
          <w:p w:rsidR="00A268D3" w:rsidRPr="002F3871" w:rsidRDefault="00ED4247" w:rsidP="00A268D3">
            <w:pPr>
              <w:jc w:val="both"/>
              <w:rPr>
                <w:sz w:val="20"/>
                <w:lang w:val="fr-CA"/>
              </w:rPr>
            </w:pPr>
            <w:hyperlink r:id="rId48" w:history="1">
              <w:r w:rsidR="00A268D3" w:rsidRPr="002F3871">
                <w:rPr>
                  <w:rStyle w:val="Hyperlink"/>
                  <w:sz w:val="20"/>
                  <w:lang w:val="fr-CA"/>
                </w:rPr>
                <w:t>2012 ONCJ 852</w:t>
              </w:r>
            </w:hyperlink>
          </w:p>
          <w:p w:rsidR="00A268D3" w:rsidRPr="002F3871" w:rsidRDefault="00A268D3" w:rsidP="00A268D3">
            <w:pPr>
              <w:jc w:val="both"/>
              <w:rPr>
                <w:sz w:val="20"/>
                <w:lang w:val="fr-CA"/>
              </w:rPr>
            </w:pPr>
          </w:p>
        </w:tc>
        <w:tc>
          <w:tcPr>
            <w:tcW w:w="243" w:type="pct"/>
          </w:tcPr>
          <w:p w:rsidR="00A268D3" w:rsidRPr="002F3871" w:rsidRDefault="00A268D3" w:rsidP="00A268D3">
            <w:pPr>
              <w:jc w:val="both"/>
              <w:rPr>
                <w:sz w:val="20"/>
                <w:lang w:val="fr-CA"/>
              </w:rPr>
            </w:pPr>
          </w:p>
        </w:tc>
        <w:tc>
          <w:tcPr>
            <w:tcW w:w="2330" w:type="pct"/>
          </w:tcPr>
          <w:p w:rsidR="00A268D3" w:rsidRPr="002F3871" w:rsidRDefault="00A268D3" w:rsidP="00A268D3">
            <w:pPr>
              <w:jc w:val="both"/>
              <w:rPr>
                <w:i/>
                <w:sz w:val="20"/>
                <w:lang w:val="fr-CA"/>
              </w:rPr>
            </w:pPr>
            <w:r w:rsidRPr="002F3871">
              <w:rPr>
                <w:sz w:val="20"/>
                <w:lang w:val="fr-CA"/>
              </w:rPr>
              <w:t xml:space="preserve">Rejet de la demande fondée sur l’article 8 de la </w:t>
            </w:r>
            <w:r w:rsidRPr="002F3871">
              <w:rPr>
                <w:i/>
                <w:sz w:val="20"/>
                <w:lang w:val="fr-CA"/>
              </w:rPr>
              <w:t>Charte</w:t>
            </w:r>
          </w:p>
          <w:p w:rsidR="00A268D3" w:rsidRPr="002F3871" w:rsidRDefault="00A268D3" w:rsidP="00A268D3">
            <w:pPr>
              <w:jc w:val="both"/>
              <w:rPr>
                <w:sz w:val="20"/>
                <w:lang w:val="fr-CA"/>
              </w:rPr>
            </w:pPr>
          </w:p>
        </w:tc>
      </w:tr>
      <w:tr w:rsidR="00A268D3" w:rsidRPr="00ED4247" w:rsidTr="00A268D3">
        <w:tc>
          <w:tcPr>
            <w:tcW w:w="2427" w:type="pct"/>
            <w:gridSpan w:val="2"/>
          </w:tcPr>
          <w:p w:rsidR="00A268D3" w:rsidRPr="002F3871" w:rsidRDefault="00A268D3" w:rsidP="00A268D3">
            <w:pPr>
              <w:jc w:val="both"/>
              <w:rPr>
                <w:sz w:val="20"/>
                <w:lang w:val="fr-CA"/>
              </w:rPr>
            </w:pPr>
            <w:r w:rsidRPr="002F3871">
              <w:rPr>
                <w:sz w:val="20"/>
                <w:lang w:val="fr-CA"/>
              </w:rPr>
              <w:t>11 février 2013</w:t>
            </w:r>
          </w:p>
          <w:p w:rsidR="00A268D3" w:rsidRPr="002F3871" w:rsidRDefault="00A268D3" w:rsidP="00A268D3">
            <w:pPr>
              <w:jc w:val="both"/>
              <w:rPr>
                <w:sz w:val="20"/>
                <w:lang w:val="fr-CA"/>
              </w:rPr>
            </w:pPr>
            <w:r w:rsidRPr="002F3871">
              <w:rPr>
                <w:sz w:val="20"/>
                <w:lang w:val="fr-CA"/>
              </w:rPr>
              <w:t>Cour de justice de l’Ontario (Division générale)</w:t>
            </w:r>
          </w:p>
          <w:p w:rsidR="00A268D3" w:rsidRPr="002F3871" w:rsidRDefault="00A268D3" w:rsidP="00A268D3">
            <w:pPr>
              <w:jc w:val="both"/>
              <w:rPr>
                <w:sz w:val="20"/>
                <w:lang w:val="fr-CA"/>
              </w:rPr>
            </w:pPr>
            <w:r w:rsidRPr="002F3871">
              <w:rPr>
                <w:sz w:val="20"/>
                <w:lang w:val="fr-CA"/>
              </w:rPr>
              <w:t>(Juge Harris)</w:t>
            </w:r>
          </w:p>
          <w:p w:rsidR="00A268D3" w:rsidRPr="002F3871" w:rsidRDefault="00A268D3" w:rsidP="00A268D3">
            <w:pPr>
              <w:jc w:val="both"/>
              <w:rPr>
                <w:sz w:val="20"/>
                <w:lang w:val="fr-CA"/>
              </w:rPr>
            </w:pPr>
          </w:p>
        </w:tc>
        <w:tc>
          <w:tcPr>
            <w:tcW w:w="243" w:type="pct"/>
          </w:tcPr>
          <w:p w:rsidR="00A268D3" w:rsidRPr="002F3871" w:rsidRDefault="00A268D3" w:rsidP="00A268D3">
            <w:pPr>
              <w:jc w:val="both"/>
              <w:rPr>
                <w:sz w:val="20"/>
                <w:lang w:val="fr-CA"/>
              </w:rPr>
            </w:pPr>
          </w:p>
        </w:tc>
        <w:tc>
          <w:tcPr>
            <w:tcW w:w="2330" w:type="pct"/>
          </w:tcPr>
          <w:p w:rsidR="00A268D3" w:rsidRPr="002F3871" w:rsidRDefault="00A268D3" w:rsidP="00A268D3">
            <w:pPr>
              <w:jc w:val="both"/>
              <w:rPr>
                <w:sz w:val="20"/>
                <w:lang w:val="fr-CA"/>
              </w:rPr>
            </w:pPr>
            <w:r w:rsidRPr="002F3871">
              <w:rPr>
                <w:sz w:val="20"/>
                <w:lang w:val="fr-CA"/>
              </w:rPr>
              <w:t>Rejet de la demande d’annulation du mandat de perquisition; déclaration de culpabilité d’infractions liées à la drogue et aux armes à feu</w:t>
            </w:r>
          </w:p>
        </w:tc>
      </w:tr>
    </w:tbl>
    <w:p w:rsidR="00B47A79" w:rsidRPr="00ED4247" w:rsidRDefault="00B47A79">
      <w:pPr>
        <w:rPr>
          <w:lang w:val="fr-CA"/>
        </w:rPr>
      </w:pPr>
      <w:r w:rsidRPr="00ED4247">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268D3" w:rsidRPr="002F3871" w:rsidTr="00A268D3">
        <w:tc>
          <w:tcPr>
            <w:tcW w:w="2427" w:type="pct"/>
          </w:tcPr>
          <w:p w:rsidR="00A268D3" w:rsidRPr="002F3871" w:rsidRDefault="00A268D3" w:rsidP="00A268D3">
            <w:pPr>
              <w:jc w:val="both"/>
              <w:rPr>
                <w:sz w:val="20"/>
                <w:lang w:val="fr-CA"/>
              </w:rPr>
            </w:pPr>
            <w:r w:rsidRPr="002F3871">
              <w:rPr>
                <w:sz w:val="20"/>
                <w:lang w:val="fr-CA"/>
              </w:rPr>
              <w:lastRenderedPageBreak/>
              <w:t>1</w:t>
            </w:r>
            <w:r w:rsidRPr="002F3871">
              <w:rPr>
                <w:sz w:val="20"/>
                <w:vertAlign w:val="superscript"/>
                <w:lang w:val="fr-CA"/>
              </w:rPr>
              <w:t>er</w:t>
            </w:r>
            <w:r w:rsidRPr="002F3871">
              <w:rPr>
                <w:sz w:val="20"/>
                <w:lang w:val="fr-CA"/>
              </w:rPr>
              <w:t xml:space="preserve"> février 2017</w:t>
            </w:r>
          </w:p>
          <w:p w:rsidR="00A268D3" w:rsidRPr="002F3871" w:rsidRDefault="00A268D3" w:rsidP="00A268D3">
            <w:pPr>
              <w:jc w:val="both"/>
              <w:rPr>
                <w:sz w:val="20"/>
                <w:lang w:val="fr-CA"/>
              </w:rPr>
            </w:pPr>
            <w:r w:rsidRPr="002F3871">
              <w:rPr>
                <w:sz w:val="20"/>
                <w:lang w:val="fr-CA"/>
              </w:rPr>
              <w:t xml:space="preserve">Cour d’appel de l’Ontario </w:t>
            </w:r>
          </w:p>
          <w:p w:rsidR="00A268D3" w:rsidRPr="002F3871" w:rsidRDefault="00A268D3" w:rsidP="00A268D3">
            <w:pPr>
              <w:jc w:val="both"/>
              <w:rPr>
                <w:sz w:val="20"/>
                <w:lang w:val="fr-CA"/>
              </w:rPr>
            </w:pPr>
            <w:r w:rsidRPr="002F3871">
              <w:rPr>
                <w:sz w:val="20"/>
                <w:lang w:val="fr-CA"/>
              </w:rPr>
              <w:t>(Juges Watt, Epstein et Rensburg)</w:t>
            </w:r>
          </w:p>
          <w:p w:rsidR="00A268D3" w:rsidRPr="002F3871" w:rsidRDefault="00ED4247" w:rsidP="00A268D3">
            <w:pPr>
              <w:jc w:val="both"/>
              <w:rPr>
                <w:sz w:val="20"/>
                <w:lang w:val="fr-CA"/>
              </w:rPr>
            </w:pPr>
            <w:hyperlink r:id="rId49" w:history="1">
              <w:r w:rsidR="00A268D3" w:rsidRPr="002F3871">
                <w:rPr>
                  <w:rStyle w:val="Hyperlink"/>
                  <w:sz w:val="20"/>
                  <w:lang w:val="fr-CA"/>
                </w:rPr>
                <w:t>2017 ONCA 87</w:t>
              </w:r>
            </w:hyperlink>
            <w:r w:rsidR="00A268D3" w:rsidRPr="002F3871">
              <w:rPr>
                <w:sz w:val="20"/>
                <w:lang w:val="fr-CA"/>
              </w:rPr>
              <w:t>; C57206</w:t>
            </w:r>
          </w:p>
          <w:p w:rsidR="00A268D3" w:rsidRPr="002F3871" w:rsidRDefault="00A268D3" w:rsidP="00A268D3">
            <w:pPr>
              <w:jc w:val="both"/>
              <w:rPr>
                <w:sz w:val="20"/>
                <w:lang w:val="fr-CA"/>
              </w:rPr>
            </w:pPr>
          </w:p>
        </w:tc>
        <w:tc>
          <w:tcPr>
            <w:tcW w:w="243" w:type="pct"/>
          </w:tcPr>
          <w:p w:rsidR="00A268D3" w:rsidRPr="002F3871" w:rsidRDefault="00A268D3" w:rsidP="00A268D3">
            <w:pPr>
              <w:jc w:val="both"/>
              <w:rPr>
                <w:sz w:val="20"/>
                <w:lang w:val="fr-CA"/>
              </w:rPr>
            </w:pPr>
          </w:p>
        </w:tc>
        <w:tc>
          <w:tcPr>
            <w:tcW w:w="2330" w:type="pct"/>
          </w:tcPr>
          <w:p w:rsidR="00A268D3" w:rsidRPr="002F3871" w:rsidRDefault="00A268D3" w:rsidP="00A268D3">
            <w:pPr>
              <w:jc w:val="both"/>
              <w:rPr>
                <w:sz w:val="20"/>
                <w:lang w:val="fr-CA"/>
              </w:rPr>
            </w:pPr>
            <w:r w:rsidRPr="002F3871">
              <w:rPr>
                <w:sz w:val="20"/>
                <w:lang w:val="fr-CA"/>
              </w:rPr>
              <w:t>Rejet de l’appel</w:t>
            </w:r>
          </w:p>
          <w:p w:rsidR="00A268D3" w:rsidRPr="002F3871" w:rsidRDefault="00A268D3" w:rsidP="00A268D3">
            <w:pPr>
              <w:jc w:val="both"/>
              <w:rPr>
                <w:sz w:val="20"/>
                <w:lang w:val="fr-CA"/>
              </w:rPr>
            </w:pPr>
          </w:p>
        </w:tc>
      </w:tr>
      <w:tr w:rsidR="00A268D3" w:rsidRPr="00ED4247" w:rsidTr="00A268D3">
        <w:tc>
          <w:tcPr>
            <w:tcW w:w="2427" w:type="pct"/>
          </w:tcPr>
          <w:p w:rsidR="00A268D3" w:rsidRPr="002F3871" w:rsidRDefault="00A268D3" w:rsidP="00A268D3">
            <w:pPr>
              <w:jc w:val="both"/>
              <w:rPr>
                <w:sz w:val="20"/>
                <w:lang w:val="fr-CA"/>
              </w:rPr>
            </w:pPr>
            <w:r w:rsidRPr="002F3871">
              <w:rPr>
                <w:sz w:val="20"/>
                <w:lang w:val="fr-CA"/>
              </w:rPr>
              <w:t>9 mars 2017</w:t>
            </w:r>
          </w:p>
          <w:p w:rsidR="00A268D3" w:rsidRPr="002F3871" w:rsidRDefault="00A268D3" w:rsidP="00A268D3">
            <w:pPr>
              <w:jc w:val="both"/>
              <w:rPr>
                <w:sz w:val="20"/>
                <w:lang w:val="fr-CA"/>
              </w:rPr>
            </w:pPr>
            <w:r w:rsidRPr="002F3871">
              <w:rPr>
                <w:sz w:val="20"/>
                <w:lang w:val="fr-CA"/>
              </w:rPr>
              <w:t>Cour suprême du Canada</w:t>
            </w:r>
          </w:p>
        </w:tc>
        <w:tc>
          <w:tcPr>
            <w:tcW w:w="243" w:type="pct"/>
          </w:tcPr>
          <w:p w:rsidR="00A268D3" w:rsidRPr="002F3871" w:rsidRDefault="00A268D3" w:rsidP="00A268D3">
            <w:pPr>
              <w:jc w:val="both"/>
              <w:rPr>
                <w:sz w:val="20"/>
                <w:lang w:val="fr-CA"/>
              </w:rPr>
            </w:pPr>
          </w:p>
        </w:tc>
        <w:tc>
          <w:tcPr>
            <w:tcW w:w="2330" w:type="pct"/>
          </w:tcPr>
          <w:p w:rsidR="00A268D3" w:rsidRPr="002F3871" w:rsidRDefault="00A268D3" w:rsidP="00A268D3">
            <w:pPr>
              <w:jc w:val="both"/>
              <w:rPr>
                <w:sz w:val="20"/>
                <w:lang w:val="fr-CA"/>
              </w:rPr>
            </w:pPr>
            <w:r w:rsidRPr="002F3871">
              <w:rPr>
                <w:sz w:val="20"/>
                <w:lang w:val="fr-CA"/>
              </w:rPr>
              <w:t>Dépôt de la demande d’autorisation d’appel</w:t>
            </w:r>
          </w:p>
        </w:tc>
      </w:tr>
    </w:tbl>
    <w:p w:rsidR="00A268D3" w:rsidRPr="002F3871" w:rsidRDefault="00ED4247" w:rsidP="00A268D3">
      <w:pPr>
        <w:jc w:val="both"/>
        <w:rPr>
          <w:sz w:val="20"/>
          <w:lang w:val="fr-CA"/>
        </w:rPr>
      </w:pPr>
      <w:r>
        <w:rPr>
          <w:sz w:val="20"/>
          <w:szCs w:val="20"/>
        </w:rPr>
        <w:pict>
          <v:rect id="_x0000_i1068" style="width:2in;height:1pt" o:hrpct="0" o:hralign="center" o:hrstd="t" o:hrnoshade="t" o:hr="t" fillcolor="black" stroked="f"/>
        </w:pict>
      </w:r>
    </w:p>
    <w:p w:rsidR="00A268D3" w:rsidRPr="002F3871" w:rsidRDefault="00A268D3" w:rsidP="00A268D3">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268D3" w:rsidRPr="002F3871" w:rsidTr="00A268D3">
        <w:tc>
          <w:tcPr>
            <w:tcW w:w="543" w:type="pct"/>
          </w:tcPr>
          <w:p w:rsidR="00A268D3" w:rsidRPr="002F3871" w:rsidRDefault="00A268D3" w:rsidP="00A268D3">
            <w:pPr>
              <w:jc w:val="both"/>
              <w:rPr>
                <w:sz w:val="20"/>
              </w:rPr>
            </w:pPr>
            <w:r w:rsidRPr="002F3871">
              <w:rPr>
                <w:rStyle w:val="SCCFileNumberChar"/>
                <w:sz w:val="20"/>
                <w:szCs w:val="20"/>
              </w:rPr>
              <w:t>37460</w:t>
            </w:r>
          </w:p>
        </w:tc>
        <w:tc>
          <w:tcPr>
            <w:tcW w:w="4457" w:type="pct"/>
            <w:gridSpan w:val="3"/>
          </w:tcPr>
          <w:p w:rsidR="00A268D3" w:rsidRPr="002F3871" w:rsidRDefault="00A268D3" w:rsidP="00A268D3">
            <w:pPr>
              <w:pStyle w:val="SCCLsocParty"/>
              <w:jc w:val="both"/>
              <w:rPr>
                <w:b/>
                <w:sz w:val="20"/>
                <w:szCs w:val="20"/>
                <w:lang w:val="en-US"/>
              </w:rPr>
            </w:pPr>
            <w:r w:rsidRPr="002F3871">
              <w:rPr>
                <w:b/>
                <w:sz w:val="20"/>
                <w:szCs w:val="20"/>
                <w:lang w:val="en-US"/>
              </w:rPr>
              <w:t xml:space="preserve">Entes Industrial Plants Construction &amp; Erection Contracting Co. Inc. v. Kyrgyz Republic, </w:t>
            </w:r>
            <w:proofErr w:type="spellStart"/>
            <w:r w:rsidRPr="002F3871">
              <w:rPr>
                <w:b/>
                <w:sz w:val="20"/>
                <w:szCs w:val="20"/>
                <w:lang w:val="en-US"/>
              </w:rPr>
              <w:t>Kyrgyzaltyn</w:t>
            </w:r>
            <w:proofErr w:type="spellEnd"/>
            <w:r w:rsidRPr="002F3871">
              <w:rPr>
                <w:b/>
                <w:sz w:val="20"/>
                <w:szCs w:val="20"/>
                <w:lang w:val="en-US"/>
              </w:rPr>
              <w:t xml:space="preserve"> JSC</w:t>
            </w:r>
            <w:r w:rsidR="00B47A79">
              <w:rPr>
                <w:b/>
                <w:sz w:val="20"/>
                <w:szCs w:val="20"/>
                <w:lang w:val="en-US"/>
              </w:rPr>
              <w:t xml:space="preserve"> and</w:t>
            </w:r>
            <w:r w:rsidRPr="002F3871">
              <w:rPr>
                <w:b/>
                <w:sz w:val="20"/>
                <w:szCs w:val="20"/>
                <w:lang w:val="en-US"/>
              </w:rPr>
              <w:t xml:space="preserve"> </w:t>
            </w:r>
            <w:proofErr w:type="spellStart"/>
            <w:r w:rsidRPr="002F3871">
              <w:rPr>
                <w:b/>
                <w:sz w:val="20"/>
                <w:szCs w:val="20"/>
                <w:lang w:val="en-US"/>
              </w:rPr>
              <w:t>Centerra</w:t>
            </w:r>
            <w:proofErr w:type="spellEnd"/>
            <w:r w:rsidRPr="002F3871">
              <w:rPr>
                <w:b/>
                <w:sz w:val="20"/>
                <w:szCs w:val="20"/>
                <w:lang w:val="en-US"/>
              </w:rPr>
              <w:t xml:space="preserve"> Gold Inc.</w:t>
            </w:r>
          </w:p>
          <w:p w:rsidR="00A268D3" w:rsidRPr="002F3871" w:rsidRDefault="00A268D3" w:rsidP="00A268D3">
            <w:pPr>
              <w:jc w:val="both"/>
              <w:rPr>
                <w:sz w:val="20"/>
              </w:rPr>
            </w:pPr>
            <w:r w:rsidRPr="002F3871">
              <w:rPr>
                <w:sz w:val="20"/>
              </w:rPr>
              <w:t>(Ont.) (Civil) (By Leave)</w:t>
            </w:r>
          </w:p>
        </w:tc>
      </w:tr>
      <w:tr w:rsidR="00C41450" w:rsidRPr="002F3871" w:rsidTr="00A268D3">
        <w:tc>
          <w:tcPr>
            <w:tcW w:w="543" w:type="pct"/>
          </w:tcPr>
          <w:p w:rsidR="00C41450" w:rsidRPr="002F3871" w:rsidRDefault="00C41450" w:rsidP="00A268D3">
            <w:pPr>
              <w:jc w:val="both"/>
              <w:rPr>
                <w:rStyle w:val="SCCFileNumberChar"/>
                <w:sz w:val="20"/>
                <w:szCs w:val="20"/>
              </w:rPr>
            </w:pPr>
            <w:r>
              <w:rPr>
                <w:rStyle w:val="SCCFileNumberChar"/>
                <w:sz w:val="20"/>
                <w:szCs w:val="20"/>
              </w:rPr>
              <w:t>Coram:</w:t>
            </w:r>
          </w:p>
        </w:tc>
        <w:tc>
          <w:tcPr>
            <w:tcW w:w="4457" w:type="pct"/>
            <w:gridSpan w:val="3"/>
          </w:tcPr>
          <w:p w:rsidR="00C41450" w:rsidRDefault="00B47A79" w:rsidP="00A268D3">
            <w:pPr>
              <w:pStyle w:val="SCCLsocParty"/>
              <w:jc w:val="both"/>
              <w:rPr>
                <w:rFonts w:eastAsiaTheme="minorEastAsia"/>
                <w:sz w:val="20"/>
                <w:szCs w:val="20"/>
                <w:lang w:val="en-US" w:eastAsia="en-CA"/>
              </w:rPr>
            </w:pPr>
            <w:proofErr w:type="spellStart"/>
            <w:r w:rsidRPr="00B47A79">
              <w:rPr>
                <w:rFonts w:eastAsiaTheme="minorEastAsia"/>
                <w:sz w:val="20"/>
                <w:szCs w:val="20"/>
                <w:lang w:val="en-US" w:eastAsia="en-CA"/>
              </w:rPr>
              <w:t>McLachlin</w:t>
            </w:r>
            <w:proofErr w:type="spellEnd"/>
            <w:r w:rsidRPr="00B47A79">
              <w:rPr>
                <w:rFonts w:eastAsiaTheme="minorEastAsia"/>
                <w:sz w:val="20"/>
                <w:szCs w:val="20"/>
                <w:lang w:val="en-US" w:eastAsia="en-CA"/>
              </w:rPr>
              <w:t xml:space="preserve"> C.J. and </w:t>
            </w:r>
            <w:proofErr w:type="spellStart"/>
            <w:r w:rsidRPr="00B47A79">
              <w:rPr>
                <w:rFonts w:eastAsiaTheme="minorEastAsia"/>
                <w:sz w:val="20"/>
                <w:szCs w:val="20"/>
                <w:lang w:val="en-US" w:eastAsia="en-CA"/>
              </w:rPr>
              <w:t>Abella</w:t>
            </w:r>
            <w:proofErr w:type="spellEnd"/>
            <w:r w:rsidRPr="00B47A79">
              <w:rPr>
                <w:rFonts w:eastAsiaTheme="minorEastAsia"/>
                <w:sz w:val="20"/>
                <w:szCs w:val="20"/>
                <w:lang w:val="en-US" w:eastAsia="en-CA"/>
              </w:rPr>
              <w:t xml:space="preserve">, </w:t>
            </w:r>
            <w:proofErr w:type="spellStart"/>
            <w:r w:rsidRPr="00B47A79">
              <w:rPr>
                <w:rFonts w:eastAsiaTheme="minorEastAsia"/>
                <w:sz w:val="20"/>
                <w:szCs w:val="20"/>
                <w:lang w:val="en-US" w:eastAsia="en-CA"/>
              </w:rPr>
              <w:t>Moldaver</w:t>
            </w:r>
            <w:proofErr w:type="spellEnd"/>
            <w:r w:rsidRPr="00B47A79">
              <w:rPr>
                <w:rFonts w:eastAsiaTheme="minorEastAsia"/>
                <w:sz w:val="20"/>
                <w:szCs w:val="20"/>
                <w:lang w:val="en-US" w:eastAsia="en-CA"/>
              </w:rPr>
              <w:t xml:space="preserve">, </w:t>
            </w:r>
            <w:proofErr w:type="spellStart"/>
            <w:r w:rsidRPr="00B47A79">
              <w:rPr>
                <w:rFonts w:eastAsiaTheme="minorEastAsia"/>
                <w:sz w:val="20"/>
                <w:szCs w:val="20"/>
                <w:lang w:val="en-US" w:eastAsia="en-CA"/>
              </w:rPr>
              <w:t>Karakatsanis</w:t>
            </w:r>
            <w:proofErr w:type="spellEnd"/>
            <w:r w:rsidRPr="00B47A79">
              <w:rPr>
                <w:rFonts w:eastAsiaTheme="minorEastAsia"/>
                <w:sz w:val="20"/>
                <w:szCs w:val="20"/>
                <w:lang w:val="en-US" w:eastAsia="en-CA"/>
              </w:rPr>
              <w:t xml:space="preserve">, Wagner, </w:t>
            </w:r>
            <w:proofErr w:type="spellStart"/>
            <w:r w:rsidRPr="00B47A79">
              <w:rPr>
                <w:rFonts w:eastAsiaTheme="minorEastAsia"/>
                <w:sz w:val="20"/>
                <w:szCs w:val="20"/>
                <w:lang w:val="en-US" w:eastAsia="en-CA"/>
              </w:rPr>
              <w:t>Gascon</w:t>
            </w:r>
            <w:proofErr w:type="spellEnd"/>
            <w:r w:rsidRPr="00B47A79">
              <w:rPr>
                <w:rFonts w:eastAsiaTheme="minorEastAsia"/>
                <w:sz w:val="20"/>
                <w:szCs w:val="20"/>
                <w:lang w:val="en-US" w:eastAsia="en-CA"/>
              </w:rPr>
              <w:t xml:space="preserve">, </w:t>
            </w:r>
            <w:proofErr w:type="spellStart"/>
            <w:r w:rsidRPr="00B47A79">
              <w:rPr>
                <w:rFonts w:eastAsiaTheme="minorEastAsia"/>
                <w:sz w:val="20"/>
                <w:szCs w:val="20"/>
                <w:lang w:val="en-US" w:eastAsia="en-CA"/>
              </w:rPr>
              <w:t>Côté</w:t>
            </w:r>
            <w:proofErr w:type="spellEnd"/>
            <w:r w:rsidRPr="00B47A79">
              <w:rPr>
                <w:rFonts w:eastAsiaTheme="minorEastAsia"/>
                <w:sz w:val="20"/>
                <w:szCs w:val="20"/>
                <w:lang w:val="en-US" w:eastAsia="en-CA"/>
              </w:rPr>
              <w:t>, Brown and Rowe JJ.</w:t>
            </w:r>
          </w:p>
          <w:p w:rsidR="00B47A79" w:rsidRPr="00B47A79" w:rsidRDefault="00B47A79" w:rsidP="00B47A79">
            <w:pPr>
              <w:rPr>
                <w:lang w:val="en-US" w:eastAsia="en-CA"/>
              </w:rPr>
            </w:pPr>
          </w:p>
        </w:tc>
      </w:tr>
      <w:tr w:rsidR="00C41450" w:rsidRPr="002F3871" w:rsidTr="00C41450">
        <w:tc>
          <w:tcPr>
            <w:tcW w:w="5000" w:type="pct"/>
            <w:gridSpan w:val="4"/>
          </w:tcPr>
          <w:p w:rsidR="00C41450" w:rsidRPr="00B47A79" w:rsidRDefault="00B47A79" w:rsidP="00A268D3">
            <w:pPr>
              <w:pStyle w:val="SCCLsocParty"/>
              <w:jc w:val="both"/>
              <w:rPr>
                <w:sz w:val="20"/>
                <w:szCs w:val="20"/>
                <w:lang w:val="en-US"/>
              </w:rPr>
            </w:pPr>
            <w:r w:rsidRPr="00B47A79">
              <w:rPr>
                <w:sz w:val="20"/>
                <w:szCs w:val="20"/>
                <w:lang w:val="en-US"/>
              </w:rPr>
              <w:t xml:space="preserve">The application for leave to appeal from the judgment of the Court of Appeal for Ontario, Number C62501, 2016 ONCA 981, dated December 29, 2016, is dismissed with costs to the respondents,  the Kyrgyz Republic and </w:t>
            </w:r>
            <w:proofErr w:type="spellStart"/>
            <w:r w:rsidRPr="00B47A79">
              <w:rPr>
                <w:sz w:val="20"/>
                <w:szCs w:val="20"/>
                <w:lang w:val="en-US"/>
              </w:rPr>
              <w:t>Kyrgyzaltyn</w:t>
            </w:r>
            <w:proofErr w:type="spellEnd"/>
            <w:r w:rsidRPr="00B47A79">
              <w:rPr>
                <w:sz w:val="20"/>
                <w:szCs w:val="20"/>
                <w:lang w:val="en-US"/>
              </w:rPr>
              <w:t xml:space="preserve"> JSC.</w:t>
            </w:r>
          </w:p>
          <w:p w:rsidR="00B47A79" w:rsidRPr="00B47A79" w:rsidRDefault="00B47A79" w:rsidP="00B47A79">
            <w:pPr>
              <w:rPr>
                <w:lang w:val="en-US"/>
              </w:rPr>
            </w:pPr>
          </w:p>
        </w:tc>
      </w:tr>
      <w:tr w:rsidR="00A268D3" w:rsidRPr="002F3871" w:rsidTr="00A268D3">
        <w:tc>
          <w:tcPr>
            <w:tcW w:w="5000" w:type="pct"/>
            <w:gridSpan w:val="4"/>
          </w:tcPr>
          <w:p w:rsidR="00A268D3" w:rsidRPr="002F3871" w:rsidRDefault="00A268D3" w:rsidP="00A268D3">
            <w:pPr>
              <w:jc w:val="both"/>
              <w:rPr>
                <w:sz w:val="20"/>
              </w:rPr>
            </w:pPr>
            <w:r w:rsidRPr="002F3871">
              <w:rPr>
                <w:sz w:val="20"/>
              </w:rPr>
              <w:t xml:space="preserve">Trusts – Presumption of resulting trust – Contracts – Commercial contracts – Interpretation –  Applicant seeking declaration that Kyrgyz Republic has ownership interest in certain shares – Whether the presumption of a resulting trust applies where a corporation acquires an asset that is purchased for it by its shareholder – Generally, where a presumption of a purchase money resulting trust has arisen, whether it can be rebutted solely by the language in the underlying contract of purchase and sale transferring the asset to the legal title holder.  </w:t>
            </w:r>
          </w:p>
        </w:tc>
      </w:tr>
      <w:tr w:rsidR="00A268D3" w:rsidRPr="002F3871" w:rsidTr="00A268D3">
        <w:tc>
          <w:tcPr>
            <w:tcW w:w="5000" w:type="pct"/>
            <w:gridSpan w:val="4"/>
          </w:tcPr>
          <w:p w:rsidR="00A268D3" w:rsidRPr="002F3871" w:rsidRDefault="00A268D3" w:rsidP="00A268D3">
            <w:pPr>
              <w:jc w:val="both"/>
              <w:rPr>
                <w:sz w:val="20"/>
              </w:rPr>
            </w:pPr>
          </w:p>
        </w:tc>
      </w:tr>
      <w:tr w:rsidR="00A268D3" w:rsidRPr="002F3871" w:rsidTr="00A268D3">
        <w:tc>
          <w:tcPr>
            <w:tcW w:w="5000" w:type="pct"/>
            <w:gridSpan w:val="4"/>
          </w:tcPr>
          <w:p w:rsidR="00A268D3" w:rsidRPr="002F3871" w:rsidRDefault="00A268D3" w:rsidP="00A268D3">
            <w:pPr>
              <w:jc w:val="both"/>
              <w:rPr>
                <w:sz w:val="20"/>
              </w:rPr>
            </w:pPr>
            <w:r w:rsidRPr="002F3871">
              <w:rPr>
                <w:sz w:val="20"/>
              </w:rPr>
              <w:t xml:space="preserve">The applicant holds a foreign arbitral award against the Kyrgyz Republic. To enforce the award, the applicant sought a declaration that the Republic has an ownership interest in the shares of Centerra Gold Inc., a Canadian corporation, subject to seizure and sale under s. 18 of the </w:t>
            </w:r>
            <w:r w:rsidRPr="002F3871">
              <w:rPr>
                <w:i/>
                <w:iCs/>
                <w:sz w:val="20"/>
              </w:rPr>
              <w:t>Execution Act</w:t>
            </w:r>
            <w:r w:rsidRPr="002F3871">
              <w:rPr>
                <w:sz w:val="20"/>
              </w:rPr>
              <w:t xml:space="preserve">, R.S.O. 1990, c. E.24. The shares are registered in the name of Kyrgyzaltyn JSC, the Republic’s wholly-owned subsidiary. Kyrgyzaltyn, together with Cameco, a Canadian corporation, are the largest shareholders in Centerra.  </w:t>
            </w:r>
          </w:p>
          <w:p w:rsidR="00A268D3" w:rsidRPr="002F3871" w:rsidRDefault="00A268D3" w:rsidP="00A268D3">
            <w:pPr>
              <w:jc w:val="both"/>
              <w:rPr>
                <w:sz w:val="20"/>
              </w:rPr>
            </w:pPr>
          </w:p>
          <w:p w:rsidR="00A268D3" w:rsidRPr="002F3871" w:rsidRDefault="00A268D3" w:rsidP="00A268D3">
            <w:pPr>
              <w:jc w:val="both"/>
              <w:rPr>
                <w:sz w:val="20"/>
              </w:rPr>
            </w:pPr>
            <w:r w:rsidRPr="002F3871">
              <w:rPr>
                <w:sz w:val="20"/>
              </w:rPr>
              <w:t xml:space="preserve">The applicant relied on the language of the 2009 Agreement on New Terms for the Kumtor Project, signed by the Government on behalf of the Republic, Kyrgyzaltyn, Cameco, Centerra and Centerra’s two operating subsidiaries. The Agreement governs ownership terms for the operation of the country’s largest gold mine and settles all claims arising out of an earlier investment arbitration against the Republic in relation to the project. The applicant alleged that the Agreement, on its own or in combination with other evidence, establishes that the Republic owns the shares in question. In the alternative, the applicant alleged that Kyrgyzaltyn holds the shares in trust for the Republic. In the further alternative, the applicant contended that Kyrgyzaltyn holds the shares on a purchase money resulting trust. </w:t>
            </w:r>
          </w:p>
          <w:p w:rsidR="00A268D3" w:rsidRPr="002F3871" w:rsidRDefault="00A268D3" w:rsidP="00A268D3">
            <w:pPr>
              <w:jc w:val="both"/>
              <w:rPr>
                <w:sz w:val="20"/>
              </w:rPr>
            </w:pPr>
          </w:p>
        </w:tc>
      </w:tr>
      <w:tr w:rsidR="00A268D3" w:rsidRPr="002F3871" w:rsidTr="00A268D3">
        <w:tc>
          <w:tcPr>
            <w:tcW w:w="2427" w:type="pct"/>
            <w:gridSpan w:val="2"/>
          </w:tcPr>
          <w:p w:rsidR="00A268D3" w:rsidRPr="002F3871" w:rsidRDefault="00A268D3" w:rsidP="00A268D3">
            <w:pPr>
              <w:jc w:val="both"/>
              <w:rPr>
                <w:sz w:val="20"/>
              </w:rPr>
            </w:pPr>
            <w:r w:rsidRPr="002F3871">
              <w:rPr>
                <w:sz w:val="20"/>
              </w:rPr>
              <w:t>July 11, 2016</w:t>
            </w:r>
          </w:p>
          <w:p w:rsidR="00A268D3" w:rsidRPr="002F3871" w:rsidRDefault="00A268D3" w:rsidP="00A268D3">
            <w:pPr>
              <w:jc w:val="both"/>
              <w:rPr>
                <w:sz w:val="20"/>
              </w:rPr>
            </w:pPr>
            <w:r w:rsidRPr="002F3871">
              <w:rPr>
                <w:sz w:val="20"/>
              </w:rPr>
              <w:t>Ontario Superior Court of Justice</w:t>
            </w:r>
          </w:p>
          <w:p w:rsidR="00A268D3" w:rsidRPr="002F3871" w:rsidRDefault="00A268D3" w:rsidP="00A268D3">
            <w:pPr>
              <w:jc w:val="both"/>
              <w:rPr>
                <w:sz w:val="20"/>
              </w:rPr>
            </w:pPr>
            <w:r w:rsidRPr="002F3871">
              <w:rPr>
                <w:sz w:val="20"/>
              </w:rPr>
              <w:t>(Conway J.)</w:t>
            </w:r>
          </w:p>
          <w:p w:rsidR="00A268D3" w:rsidRPr="002F3871" w:rsidRDefault="00ED4247" w:rsidP="00A268D3">
            <w:pPr>
              <w:jc w:val="both"/>
              <w:rPr>
                <w:sz w:val="20"/>
              </w:rPr>
            </w:pPr>
            <w:hyperlink r:id="rId50" w:history="1">
              <w:r w:rsidR="00A268D3" w:rsidRPr="002F3871">
                <w:rPr>
                  <w:rStyle w:val="Hyperlink"/>
                  <w:sz w:val="20"/>
                </w:rPr>
                <w:t>2016 ONSC 4506</w:t>
              </w:r>
            </w:hyperlink>
          </w:p>
          <w:p w:rsidR="00A268D3" w:rsidRPr="002F3871" w:rsidRDefault="00A268D3" w:rsidP="00A268D3">
            <w:pPr>
              <w:jc w:val="both"/>
              <w:rPr>
                <w:sz w:val="20"/>
              </w:rPr>
            </w:pPr>
          </w:p>
        </w:tc>
        <w:tc>
          <w:tcPr>
            <w:tcW w:w="243" w:type="pct"/>
          </w:tcPr>
          <w:p w:rsidR="00A268D3" w:rsidRPr="002F3871" w:rsidRDefault="00A268D3" w:rsidP="00A268D3">
            <w:pPr>
              <w:jc w:val="both"/>
              <w:rPr>
                <w:sz w:val="20"/>
              </w:rPr>
            </w:pPr>
          </w:p>
        </w:tc>
        <w:tc>
          <w:tcPr>
            <w:tcW w:w="2330" w:type="pct"/>
          </w:tcPr>
          <w:p w:rsidR="00A268D3" w:rsidRPr="002F3871" w:rsidRDefault="00A268D3" w:rsidP="00A268D3">
            <w:pPr>
              <w:jc w:val="both"/>
              <w:rPr>
                <w:sz w:val="20"/>
              </w:rPr>
            </w:pPr>
            <w:r w:rsidRPr="002F3871">
              <w:rPr>
                <w:sz w:val="20"/>
              </w:rPr>
              <w:t xml:space="preserve">Application dismissed </w:t>
            </w:r>
          </w:p>
          <w:p w:rsidR="00A268D3" w:rsidRPr="002F3871" w:rsidRDefault="00A268D3" w:rsidP="00A268D3">
            <w:pPr>
              <w:jc w:val="both"/>
              <w:rPr>
                <w:sz w:val="20"/>
              </w:rPr>
            </w:pPr>
          </w:p>
        </w:tc>
      </w:tr>
      <w:tr w:rsidR="00A268D3" w:rsidRPr="002F3871" w:rsidTr="00A268D3">
        <w:tc>
          <w:tcPr>
            <w:tcW w:w="2427" w:type="pct"/>
            <w:gridSpan w:val="2"/>
          </w:tcPr>
          <w:p w:rsidR="00A268D3" w:rsidRPr="002F3871" w:rsidRDefault="00A268D3" w:rsidP="00A268D3">
            <w:pPr>
              <w:jc w:val="both"/>
              <w:rPr>
                <w:sz w:val="20"/>
              </w:rPr>
            </w:pPr>
            <w:r w:rsidRPr="002F3871">
              <w:rPr>
                <w:sz w:val="20"/>
              </w:rPr>
              <w:t>December 29, 2016</w:t>
            </w:r>
          </w:p>
          <w:p w:rsidR="00A268D3" w:rsidRPr="002F3871" w:rsidRDefault="00A268D3" w:rsidP="00A268D3">
            <w:pPr>
              <w:jc w:val="both"/>
              <w:rPr>
                <w:sz w:val="20"/>
              </w:rPr>
            </w:pPr>
            <w:r w:rsidRPr="002F3871">
              <w:rPr>
                <w:sz w:val="20"/>
              </w:rPr>
              <w:t>Court of Appeal for Ontario</w:t>
            </w:r>
          </w:p>
          <w:p w:rsidR="00A268D3" w:rsidRPr="002F3871" w:rsidRDefault="00A268D3" w:rsidP="00A268D3">
            <w:pPr>
              <w:jc w:val="both"/>
              <w:rPr>
                <w:sz w:val="20"/>
              </w:rPr>
            </w:pPr>
            <w:r w:rsidRPr="002F3871">
              <w:rPr>
                <w:sz w:val="20"/>
              </w:rPr>
              <w:t>(Cronk, Juriansz and Roberts JJ.A.)</w:t>
            </w:r>
          </w:p>
          <w:p w:rsidR="00A268D3" w:rsidRPr="002F3871" w:rsidRDefault="00ED4247" w:rsidP="00A268D3">
            <w:pPr>
              <w:jc w:val="both"/>
              <w:rPr>
                <w:rStyle w:val="nowrap"/>
                <w:sz w:val="20"/>
              </w:rPr>
            </w:pPr>
            <w:hyperlink r:id="rId51" w:history="1">
              <w:r w:rsidR="00A268D3" w:rsidRPr="002F3871">
                <w:rPr>
                  <w:rStyle w:val="Hyperlink"/>
                  <w:sz w:val="20"/>
                </w:rPr>
                <w:t>2016 ONCA 981</w:t>
              </w:r>
            </w:hyperlink>
            <w:r w:rsidR="00A268D3" w:rsidRPr="002F3871">
              <w:rPr>
                <w:sz w:val="20"/>
              </w:rPr>
              <w:t xml:space="preserve"> </w:t>
            </w:r>
          </w:p>
          <w:p w:rsidR="00A268D3" w:rsidRPr="002F3871" w:rsidRDefault="00A268D3" w:rsidP="00A268D3">
            <w:pPr>
              <w:jc w:val="both"/>
              <w:rPr>
                <w:sz w:val="20"/>
              </w:rPr>
            </w:pPr>
          </w:p>
        </w:tc>
        <w:tc>
          <w:tcPr>
            <w:tcW w:w="243" w:type="pct"/>
          </w:tcPr>
          <w:p w:rsidR="00A268D3" w:rsidRPr="002F3871" w:rsidRDefault="00A268D3" w:rsidP="00A268D3">
            <w:pPr>
              <w:jc w:val="both"/>
              <w:rPr>
                <w:sz w:val="20"/>
              </w:rPr>
            </w:pPr>
          </w:p>
        </w:tc>
        <w:tc>
          <w:tcPr>
            <w:tcW w:w="2330" w:type="pct"/>
          </w:tcPr>
          <w:p w:rsidR="00A268D3" w:rsidRPr="002F3871" w:rsidRDefault="00A268D3" w:rsidP="00A268D3">
            <w:pPr>
              <w:jc w:val="both"/>
              <w:rPr>
                <w:sz w:val="20"/>
              </w:rPr>
            </w:pPr>
            <w:r w:rsidRPr="002F3871">
              <w:rPr>
                <w:sz w:val="20"/>
              </w:rPr>
              <w:t xml:space="preserve">Appeal dismissed </w:t>
            </w:r>
          </w:p>
        </w:tc>
      </w:tr>
    </w:tbl>
    <w:p w:rsidR="00B47A79" w:rsidRDefault="00B47A79">
      <w: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268D3" w:rsidRPr="002F3871" w:rsidTr="00A268D3">
        <w:tc>
          <w:tcPr>
            <w:tcW w:w="2427" w:type="pct"/>
          </w:tcPr>
          <w:p w:rsidR="00A268D3" w:rsidRPr="002F3871" w:rsidRDefault="00A268D3" w:rsidP="00A268D3">
            <w:pPr>
              <w:jc w:val="both"/>
              <w:rPr>
                <w:sz w:val="20"/>
              </w:rPr>
            </w:pPr>
            <w:r w:rsidRPr="002F3871">
              <w:rPr>
                <w:sz w:val="20"/>
              </w:rPr>
              <w:lastRenderedPageBreak/>
              <w:t>February 27, 2017</w:t>
            </w:r>
          </w:p>
          <w:p w:rsidR="00A268D3" w:rsidRPr="002F3871" w:rsidRDefault="00A268D3" w:rsidP="00A268D3">
            <w:pPr>
              <w:jc w:val="both"/>
              <w:rPr>
                <w:sz w:val="20"/>
              </w:rPr>
            </w:pPr>
            <w:r w:rsidRPr="002F3871">
              <w:rPr>
                <w:sz w:val="20"/>
              </w:rPr>
              <w:t>Supreme Court of Canada</w:t>
            </w:r>
          </w:p>
        </w:tc>
        <w:tc>
          <w:tcPr>
            <w:tcW w:w="243" w:type="pct"/>
          </w:tcPr>
          <w:p w:rsidR="00A268D3" w:rsidRPr="002F3871" w:rsidRDefault="00A268D3" w:rsidP="00A268D3">
            <w:pPr>
              <w:jc w:val="both"/>
              <w:rPr>
                <w:sz w:val="20"/>
              </w:rPr>
            </w:pPr>
          </w:p>
        </w:tc>
        <w:tc>
          <w:tcPr>
            <w:tcW w:w="2330" w:type="pct"/>
          </w:tcPr>
          <w:p w:rsidR="00A268D3" w:rsidRPr="002F3871" w:rsidRDefault="00A268D3" w:rsidP="00A268D3">
            <w:pPr>
              <w:jc w:val="both"/>
              <w:rPr>
                <w:sz w:val="20"/>
              </w:rPr>
            </w:pPr>
            <w:r w:rsidRPr="002F3871">
              <w:rPr>
                <w:sz w:val="20"/>
              </w:rPr>
              <w:t>Application for leave to appeal filed</w:t>
            </w:r>
          </w:p>
          <w:p w:rsidR="00A268D3" w:rsidRPr="002F3871" w:rsidRDefault="00A268D3" w:rsidP="00A268D3">
            <w:pPr>
              <w:jc w:val="both"/>
              <w:rPr>
                <w:sz w:val="20"/>
              </w:rPr>
            </w:pPr>
          </w:p>
        </w:tc>
      </w:tr>
    </w:tbl>
    <w:p w:rsidR="00A268D3" w:rsidRPr="002F3871" w:rsidRDefault="00ED4247" w:rsidP="00A268D3">
      <w:pPr>
        <w:jc w:val="both"/>
        <w:rPr>
          <w:sz w:val="20"/>
        </w:rPr>
      </w:pPr>
      <w:r>
        <w:rPr>
          <w:sz w:val="20"/>
          <w:szCs w:val="20"/>
        </w:rPr>
        <w:pict>
          <v:rect id="_x0000_i1069" style="width:2in;height:1pt" o:hrpct="0" o:hralign="center" o:hrstd="t" o:hrnoshade="t" o:hr="t" fillcolor="black" stroked="f"/>
        </w:pict>
      </w:r>
    </w:p>
    <w:p w:rsidR="00A268D3" w:rsidRPr="002F3871" w:rsidRDefault="00A268D3" w:rsidP="00A268D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268D3" w:rsidRPr="00ED4247" w:rsidTr="00A268D3">
        <w:tc>
          <w:tcPr>
            <w:tcW w:w="543" w:type="pct"/>
          </w:tcPr>
          <w:p w:rsidR="00A268D3" w:rsidRPr="002F3871" w:rsidRDefault="00A268D3" w:rsidP="00A268D3">
            <w:pPr>
              <w:jc w:val="both"/>
              <w:rPr>
                <w:sz w:val="20"/>
                <w:lang w:val="fr-CA"/>
              </w:rPr>
            </w:pPr>
            <w:r w:rsidRPr="002F3871">
              <w:rPr>
                <w:rStyle w:val="SCCFileNumberChar"/>
                <w:sz w:val="20"/>
                <w:szCs w:val="20"/>
                <w:lang w:val="fr-CA"/>
              </w:rPr>
              <w:t>37460</w:t>
            </w:r>
          </w:p>
        </w:tc>
        <w:tc>
          <w:tcPr>
            <w:tcW w:w="4457" w:type="pct"/>
            <w:gridSpan w:val="3"/>
          </w:tcPr>
          <w:p w:rsidR="00A268D3" w:rsidRPr="002F3871" w:rsidRDefault="00A268D3" w:rsidP="00A268D3">
            <w:pPr>
              <w:pStyle w:val="SCCLsocParty"/>
              <w:jc w:val="both"/>
              <w:rPr>
                <w:b/>
                <w:sz w:val="20"/>
                <w:szCs w:val="20"/>
              </w:rPr>
            </w:pPr>
            <w:r w:rsidRPr="002F3871">
              <w:rPr>
                <w:b/>
                <w:sz w:val="20"/>
                <w:szCs w:val="20"/>
              </w:rPr>
              <w:t xml:space="preserve">Entes Industrial Plants Construction &amp; Erection Contracting Co. Inc. c. République kirghize, </w:t>
            </w:r>
            <w:proofErr w:type="spellStart"/>
            <w:r w:rsidRPr="002F3871">
              <w:rPr>
                <w:b/>
                <w:sz w:val="20"/>
                <w:szCs w:val="20"/>
              </w:rPr>
              <w:t>Kyrgyzaltyn</w:t>
            </w:r>
            <w:proofErr w:type="spellEnd"/>
            <w:r w:rsidRPr="002F3871">
              <w:rPr>
                <w:b/>
                <w:sz w:val="20"/>
                <w:szCs w:val="20"/>
              </w:rPr>
              <w:t xml:space="preserve"> JSC</w:t>
            </w:r>
            <w:r w:rsidR="00B47A79">
              <w:rPr>
                <w:b/>
                <w:sz w:val="20"/>
                <w:szCs w:val="20"/>
              </w:rPr>
              <w:t xml:space="preserve"> et</w:t>
            </w:r>
            <w:r w:rsidRPr="002F3871">
              <w:rPr>
                <w:b/>
                <w:sz w:val="20"/>
                <w:szCs w:val="20"/>
              </w:rPr>
              <w:t xml:space="preserve"> </w:t>
            </w:r>
            <w:proofErr w:type="spellStart"/>
            <w:r w:rsidRPr="002F3871">
              <w:rPr>
                <w:b/>
                <w:sz w:val="20"/>
                <w:szCs w:val="20"/>
              </w:rPr>
              <w:t>Centerra</w:t>
            </w:r>
            <w:proofErr w:type="spellEnd"/>
            <w:r w:rsidRPr="002F3871">
              <w:rPr>
                <w:b/>
                <w:sz w:val="20"/>
                <w:szCs w:val="20"/>
              </w:rPr>
              <w:t xml:space="preserve"> Gold Inc.</w:t>
            </w:r>
          </w:p>
          <w:p w:rsidR="00A268D3" w:rsidRPr="002F3871" w:rsidRDefault="00A268D3" w:rsidP="00A268D3">
            <w:pPr>
              <w:jc w:val="both"/>
              <w:rPr>
                <w:sz w:val="20"/>
                <w:lang w:val="fr-CA"/>
              </w:rPr>
            </w:pPr>
            <w:r w:rsidRPr="002F3871">
              <w:rPr>
                <w:sz w:val="20"/>
                <w:lang w:val="fr-CA"/>
              </w:rPr>
              <w:t>(Ont.) (Civile) (Sur autorisation)</w:t>
            </w:r>
          </w:p>
        </w:tc>
      </w:tr>
      <w:tr w:rsidR="00C41450" w:rsidRPr="00ED4247" w:rsidTr="00C41450">
        <w:trPr>
          <w:trHeight w:val="166"/>
        </w:trPr>
        <w:tc>
          <w:tcPr>
            <w:tcW w:w="543" w:type="pct"/>
          </w:tcPr>
          <w:p w:rsidR="00C41450" w:rsidRPr="002F3871" w:rsidRDefault="00C41450" w:rsidP="00A268D3">
            <w:pPr>
              <w:jc w:val="both"/>
              <w:rPr>
                <w:rStyle w:val="SCCFileNumberChar"/>
                <w:sz w:val="20"/>
                <w:szCs w:val="20"/>
                <w:lang w:val="fr-CA"/>
              </w:rPr>
            </w:pPr>
            <w:r>
              <w:rPr>
                <w:rStyle w:val="SCCFileNumberChar"/>
                <w:sz w:val="20"/>
                <w:szCs w:val="20"/>
                <w:lang w:val="fr-CA"/>
              </w:rPr>
              <w:t>Coram :</w:t>
            </w:r>
          </w:p>
        </w:tc>
        <w:tc>
          <w:tcPr>
            <w:tcW w:w="4457" w:type="pct"/>
            <w:gridSpan w:val="3"/>
          </w:tcPr>
          <w:p w:rsidR="00C41450" w:rsidRDefault="00B47A79" w:rsidP="00A268D3">
            <w:pPr>
              <w:pStyle w:val="SCCLsocParty"/>
              <w:jc w:val="both"/>
              <w:rPr>
                <w:rFonts w:eastAsiaTheme="minorEastAsia"/>
                <w:sz w:val="20"/>
                <w:szCs w:val="20"/>
                <w:lang w:val="fr-FR" w:eastAsia="en-CA"/>
              </w:rPr>
            </w:pPr>
            <w:r w:rsidRPr="00D8674B">
              <w:rPr>
                <w:rFonts w:eastAsiaTheme="minorEastAsia"/>
                <w:sz w:val="20"/>
                <w:szCs w:val="20"/>
                <w:lang w:val="fr-FR" w:eastAsia="en-CA"/>
              </w:rPr>
              <w:t xml:space="preserve">La juge en chef </w:t>
            </w:r>
            <w:proofErr w:type="spellStart"/>
            <w:r w:rsidRPr="00D8674B">
              <w:rPr>
                <w:rFonts w:eastAsiaTheme="minorEastAsia"/>
                <w:sz w:val="20"/>
                <w:szCs w:val="20"/>
                <w:lang w:val="fr-FR" w:eastAsia="en-CA"/>
              </w:rPr>
              <w:t>McLachlin</w:t>
            </w:r>
            <w:proofErr w:type="spellEnd"/>
            <w:r w:rsidRPr="00D8674B">
              <w:rPr>
                <w:rFonts w:eastAsiaTheme="minorEastAsia"/>
                <w:sz w:val="20"/>
                <w:szCs w:val="20"/>
                <w:lang w:val="fr-FR" w:eastAsia="en-CA"/>
              </w:rPr>
              <w:t xml:space="preserve"> et les juges Abella, </w:t>
            </w:r>
            <w:proofErr w:type="spellStart"/>
            <w:r w:rsidRPr="00D8674B">
              <w:rPr>
                <w:rFonts w:eastAsiaTheme="minorEastAsia"/>
                <w:sz w:val="20"/>
                <w:szCs w:val="20"/>
                <w:lang w:val="fr-FR" w:eastAsia="en-CA"/>
              </w:rPr>
              <w:t>Moldaver</w:t>
            </w:r>
            <w:proofErr w:type="spellEnd"/>
            <w:r w:rsidRPr="00D8674B">
              <w:rPr>
                <w:rFonts w:eastAsiaTheme="minorEastAsia"/>
                <w:sz w:val="20"/>
                <w:szCs w:val="20"/>
                <w:lang w:val="fr-FR" w:eastAsia="en-CA"/>
              </w:rPr>
              <w:t xml:space="preserve">, </w:t>
            </w:r>
            <w:proofErr w:type="spellStart"/>
            <w:r w:rsidRPr="00D8674B">
              <w:rPr>
                <w:rFonts w:eastAsiaTheme="minorEastAsia"/>
                <w:sz w:val="20"/>
                <w:szCs w:val="20"/>
                <w:lang w:val="fr-FR" w:eastAsia="en-CA"/>
              </w:rPr>
              <w:t>Karakatsanis</w:t>
            </w:r>
            <w:proofErr w:type="spellEnd"/>
            <w:r w:rsidRPr="00D8674B">
              <w:rPr>
                <w:rFonts w:eastAsiaTheme="minorEastAsia"/>
                <w:sz w:val="20"/>
                <w:szCs w:val="20"/>
                <w:lang w:val="fr-FR" w:eastAsia="en-CA"/>
              </w:rPr>
              <w:t>, Wagner, Gascon, Côté, Brown et Rowe</w:t>
            </w:r>
          </w:p>
          <w:p w:rsidR="00B47A79" w:rsidRPr="00B47A79" w:rsidRDefault="00B47A79" w:rsidP="00B47A79">
            <w:pPr>
              <w:rPr>
                <w:lang w:val="fr-FR" w:eastAsia="en-CA"/>
              </w:rPr>
            </w:pPr>
          </w:p>
        </w:tc>
      </w:tr>
      <w:tr w:rsidR="00C41450" w:rsidRPr="00ED4247" w:rsidTr="00C41450">
        <w:tc>
          <w:tcPr>
            <w:tcW w:w="5000" w:type="pct"/>
            <w:gridSpan w:val="4"/>
          </w:tcPr>
          <w:p w:rsidR="00C41450" w:rsidRDefault="00B47A79" w:rsidP="00A268D3">
            <w:pPr>
              <w:pStyle w:val="SCCLsocParty"/>
              <w:jc w:val="both"/>
              <w:rPr>
                <w:sz w:val="20"/>
                <w:szCs w:val="20"/>
              </w:rPr>
            </w:pPr>
            <w:r w:rsidRPr="00D8674B">
              <w:rPr>
                <w:sz w:val="20"/>
                <w:szCs w:val="20"/>
              </w:rPr>
              <w:t xml:space="preserve">La demande d’autorisation d’appel de l’arrêt de la </w:t>
            </w:r>
            <w:r w:rsidRPr="00D8674B">
              <w:rPr>
                <w:sz w:val="20"/>
                <w:szCs w:val="20"/>
                <w:lang w:val="fr-FR"/>
              </w:rPr>
              <w:t>Cour d’appel de l’Ontario</w:t>
            </w:r>
            <w:r w:rsidRPr="00D8674B">
              <w:rPr>
                <w:sz w:val="20"/>
                <w:szCs w:val="20"/>
              </w:rPr>
              <w:t xml:space="preserve">, numéro </w:t>
            </w:r>
            <w:r w:rsidRPr="00D8674B">
              <w:rPr>
                <w:sz w:val="20"/>
                <w:szCs w:val="20"/>
                <w:lang w:val="fr-FR"/>
              </w:rPr>
              <w:t>C62501, 2016 ONCA 981</w:t>
            </w:r>
            <w:r w:rsidRPr="00D8674B">
              <w:rPr>
                <w:sz w:val="20"/>
                <w:szCs w:val="20"/>
              </w:rPr>
              <w:t xml:space="preserve">, daté du </w:t>
            </w:r>
            <w:r w:rsidRPr="00D8674B">
              <w:rPr>
                <w:sz w:val="20"/>
                <w:szCs w:val="20"/>
                <w:lang w:val="fr-FR"/>
              </w:rPr>
              <w:t>29 décembre 2016</w:t>
            </w:r>
            <w:r w:rsidRPr="00D8674B">
              <w:rPr>
                <w:sz w:val="20"/>
                <w:szCs w:val="20"/>
              </w:rPr>
              <w:t xml:space="preserve">, est rejetée avec dépens en faveur des intimées, la </w:t>
            </w:r>
            <w:r w:rsidRPr="00D8674B">
              <w:rPr>
                <w:sz w:val="20"/>
                <w:szCs w:val="20"/>
                <w:lang w:val="fr-FR"/>
              </w:rPr>
              <w:t xml:space="preserve">République kirghize et </w:t>
            </w:r>
            <w:proofErr w:type="spellStart"/>
            <w:r w:rsidRPr="00D8674B">
              <w:rPr>
                <w:sz w:val="20"/>
                <w:szCs w:val="20"/>
                <w:lang w:val="fr-FR"/>
              </w:rPr>
              <w:t>Kyrgyzaltyn</w:t>
            </w:r>
            <w:proofErr w:type="spellEnd"/>
            <w:r w:rsidRPr="00D8674B">
              <w:rPr>
                <w:sz w:val="20"/>
                <w:szCs w:val="20"/>
                <w:lang w:val="fr-FR"/>
              </w:rPr>
              <w:t xml:space="preserve"> JSC</w:t>
            </w:r>
            <w:r w:rsidRPr="00D8674B">
              <w:rPr>
                <w:sz w:val="20"/>
                <w:szCs w:val="20"/>
              </w:rPr>
              <w:t>.</w:t>
            </w:r>
          </w:p>
          <w:p w:rsidR="00B47A79" w:rsidRPr="00B47A79" w:rsidRDefault="00B47A79" w:rsidP="00B47A79">
            <w:pPr>
              <w:rPr>
                <w:lang w:val="fr-CA"/>
              </w:rPr>
            </w:pPr>
          </w:p>
        </w:tc>
      </w:tr>
      <w:tr w:rsidR="00A268D3" w:rsidRPr="00ED4247" w:rsidTr="00A268D3">
        <w:tc>
          <w:tcPr>
            <w:tcW w:w="5000" w:type="pct"/>
            <w:gridSpan w:val="4"/>
          </w:tcPr>
          <w:p w:rsidR="00A268D3" w:rsidRPr="002F3871" w:rsidRDefault="00A268D3" w:rsidP="00A268D3">
            <w:pPr>
              <w:jc w:val="both"/>
              <w:rPr>
                <w:sz w:val="20"/>
                <w:lang w:val="fr-CA"/>
              </w:rPr>
            </w:pPr>
            <w:r w:rsidRPr="002F3871">
              <w:rPr>
                <w:sz w:val="20"/>
                <w:lang w:val="fr-CA"/>
              </w:rPr>
              <w:t xml:space="preserve">Fiducie – Présomption de fiducie résultoire – Contrats – Contrats commerciaux – Interprétation – La demanderesse sollicite un jugement déclarant que la République kirghize a une participation dans certaines actions – La présomption de fiducie résultoire s’applique-t-elle lorsqu’une société par actions acquiert un élément d’actif qui lui est acheté par son actionnaire? – Généralement, lorsque naît une présomption de fiducie résultoire découlant des circonstances d’achat, la présomption peut-elle être réfutée uniquement par le texte du contrat d’achat et de vente sous-jacent qui transfère l’élément actif au détenteur du titre légal? </w:t>
            </w:r>
          </w:p>
        </w:tc>
      </w:tr>
      <w:tr w:rsidR="00A268D3" w:rsidRPr="00ED4247" w:rsidTr="00A268D3">
        <w:tc>
          <w:tcPr>
            <w:tcW w:w="5000" w:type="pct"/>
            <w:gridSpan w:val="4"/>
          </w:tcPr>
          <w:p w:rsidR="00A268D3" w:rsidRPr="002F3871" w:rsidRDefault="00A268D3" w:rsidP="00A268D3">
            <w:pPr>
              <w:jc w:val="both"/>
              <w:rPr>
                <w:sz w:val="20"/>
                <w:lang w:val="fr-CA"/>
              </w:rPr>
            </w:pPr>
          </w:p>
        </w:tc>
      </w:tr>
      <w:tr w:rsidR="00A268D3" w:rsidRPr="00ED4247" w:rsidTr="00A268D3">
        <w:tc>
          <w:tcPr>
            <w:tcW w:w="5000" w:type="pct"/>
            <w:gridSpan w:val="4"/>
          </w:tcPr>
          <w:p w:rsidR="00A268D3" w:rsidRPr="002F3871" w:rsidRDefault="00A268D3" w:rsidP="00A268D3">
            <w:pPr>
              <w:jc w:val="both"/>
              <w:rPr>
                <w:sz w:val="20"/>
                <w:lang w:val="fr-CA"/>
              </w:rPr>
            </w:pPr>
            <w:r w:rsidRPr="002F3871">
              <w:rPr>
                <w:sz w:val="20"/>
                <w:lang w:val="fr-CA"/>
              </w:rPr>
              <w:t xml:space="preserve">La demanderesse est titulaire d’une sentence arbitrale étrangère contre la République kirghize. Pour exécuter la sentence, la demanderesse a sollicité un jugement déclarant que la République a une participation dans les actions de Centerra Gold Inc., une société par actions canadienne, lesquelles peuvent être saisies et vendues en application de l’art. 18 de la </w:t>
            </w:r>
            <w:r w:rsidRPr="002F3871">
              <w:rPr>
                <w:i/>
                <w:iCs/>
                <w:sz w:val="20"/>
                <w:lang w:val="fr-CA"/>
              </w:rPr>
              <w:t>Loi sur l’exécution forcée</w:t>
            </w:r>
            <w:r w:rsidRPr="002F3871">
              <w:rPr>
                <w:sz w:val="20"/>
                <w:lang w:val="fr-CA"/>
              </w:rPr>
              <w:t>, L.R.O. 1990, ch. E.24. Les actions sont enregistrées au nom de Kyrgyzaltyn JSC, la filiale en propriété exclusive de la République. Kyrgyzaltyn, de même que Cameco, une société par actions canadienne, sont les principaux actionnaires de Centerra.</w:t>
            </w:r>
          </w:p>
          <w:p w:rsidR="00A268D3" w:rsidRPr="002F3871" w:rsidRDefault="00A268D3" w:rsidP="00A268D3">
            <w:pPr>
              <w:jc w:val="both"/>
              <w:rPr>
                <w:sz w:val="20"/>
                <w:lang w:val="fr-CA"/>
              </w:rPr>
            </w:pPr>
          </w:p>
          <w:p w:rsidR="00A268D3" w:rsidRPr="002F3871" w:rsidRDefault="00A268D3" w:rsidP="00A268D3">
            <w:pPr>
              <w:jc w:val="both"/>
              <w:rPr>
                <w:sz w:val="20"/>
                <w:lang w:val="fr-CA"/>
              </w:rPr>
            </w:pPr>
            <w:r w:rsidRPr="002F3871">
              <w:rPr>
                <w:sz w:val="20"/>
                <w:lang w:val="fr-CA"/>
              </w:rPr>
              <w:t>La demanderesse s’est appuyée sur le texte de [</w:t>
            </w:r>
            <w:r w:rsidRPr="002F3871">
              <w:rPr>
                <w:smallCaps/>
                <w:sz w:val="20"/>
                <w:lang w:val="fr-CA"/>
              </w:rPr>
              <w:t>traduction</w:t>
            </w:r>
            <w:r w:rsidRPr="002F3871">
              <w:rPr>
                <w:sz w:val="20"/>
                <w:lang w:val="fr-CA"/>
              </w:rPr>
              <w:t xml:space="preserve">] l’Accord de 2009 sur les nouvelles conditions régissant le projet Kumtor, signé par le gouvernement au nom de la République, Kyrgyzaltyn, Cameco, Centerra et les deux filiales actives de Centerra. L’accord régit les conditions de propriété relative à l’exploitation de la plus importante mine d’or du pays et règle toutes les réclamations découlant d’un arbitrage antérieur en matière d’investissement contre la République relativement au projet. La demanderesse allègue que l’accord, considéré seul ou en combinaison avec d’autres éléments de preuve, établit que la République est titulaire des actions en question. Subsidiairement, la demanderesse allègue que Kyrgyzaltyn est titulaire des actions en fiducie pour la République. Subsidiairement encore, la demanderesse soutient que Kyrgyzaltyn est titulaire des actions en vertu d’une fiducie résolutoire découlant des circonstances d’achat. </w:t>
            </w:r>
          </w:p>
          <w:p w:rsidR="00A268D3" w:rsidRPr="002F3871" w:rsidRDefault="00A268D3" w:rsidP="00A268D3">
            <w:pPr>
              <w:jc w:val="both"/>
              <w:rPr>
                <w:sz w:val="20"/>
                <w:lang w:val="fr-CA"/>
              </w:rPr>
            </w:pPr>
          </w:p>
        </w:tc>
      </w:tr>
      <w:tr w:rsidR="00A268D3" w:rsidRPr="002F3871" w:rsidTr="00A268D3">
        <w:tc>
          <w:tcPr>
            <w:tcW w:w="2427" w:type="pct"/>
            <w:gridSpan w:val="2"/>
          </w:tcPr>
          <w:p w:rsidR="00A268D3" w:rsidRPr="002F3871" w:rsidRDefault="00A268D3" w:rsidP="00A268D3">
            <w:pPr>
              <w:jc w:val="both"/>
              <w:rPr>
                <w:sz w:val="20"/>
                <w:lang w:val="fr-CA"/>
              </w:rPr>
            </w:pPr>
            <w:r w:rsidRPr="002F3871">
              <w:rPr>
                <w:sz w:val="20"/>
                <w:lang w:val="fr-CA"/>
              </w:rPr>
              <w:t>11 juillet 2016</w:t>
            </w:r>
          </w:p>
          <w:p w:rsidR="00A268D3" w:rsidRPr="002F3871" w:rsidRDefault="00A268D3" w:rsidP="00A268D3">
            <w:pPr>
              <w:jc w:val="both"/>
              <w:rPr>
                <w:sz w:val="20"/>
                <w:lang w:val="fr-CA"/>
              </w:rPr>
            </w:pPr>
            <w:r w:rsidRPr="002F3871">
              <w:rPr>
                <w:sz w:val="20"/>
                <w:lang w:val="fr-CA"/>
              </w:rPr>
              <w:t>Cour supérieure de justice de l’Ontario</w:t>
            </w:r>
          </w:p>
          <w:p w:rsidR="00A268D3" w:rsidRPr="002F3871" w:rsidRDefault="00A268D3" w:rsidP="00A268D3">
            <w:pPr>
              <w:jc w:val="both"/>
              <w:rPr>
                <w:sz w:val="20"/>
                <w:lang w:val="fr-CA"/>
              </w:rPr>
            </w:pPr>
            <w:r w:rsidRPr="002F3871">
              <w:rPr>
                <w:sz w:val="20"/>
                <w:lang w:val="fr-CA"/>
              </w:rPr>
              <w:t>(Juge Conway)</w:t>
            </w:r>
          </w:p>
          <w:p w:rsidR="00A268D3" w:rsidRPr="002F3871" w:rsidRDefault="00ED4247" w:rsidP="00A268D3">
            <w:pPr>
              <w:jc w:val="both"/>
              <w:rPr>
                <w:sz w:val="20"/>
                <w:lang w:val="fr-CA"/>
              </w:rPr>
            </w:pPr>
            <w:hyperlink r:id="rId52" w:history="1">
              <w:r w:rsidR="00A268D3" w:rsidRPr="002F3871">
                <w:rPr>
                  <w:rStyle w:val="Hyperlink"/>
                  <w:sz w:val="20"/>
                  <w:lang w:val="fr-CA"/>
                </w:rPr>
                <w:t>2016 ONSC 4506</w:t>
              </w:r>
            </w:hyperlink>
          </w:p>
          <w:p w:rsidR="00A268D3" w:rsidRPr="002F3871" w:rsidRDefault="00A268D3" w:rsidP="00A268D3">
            <w:pPr>
              <w:jc w:val="both"/>
              <w:rPr>
                <w:sz w:val="20"/>
                <w:lang w:val="fr-CA"/>
              </w:rPr>
            </w:pPr>
          </w:p>
        </w:tc>
        <w:tc>
          <w:tcPr>
            <w:tcW w:w="243" w:type="pct"/>
          </w:tcPr>
          <w:p w:rsidR="00A268D3" w:rsidRPr="002F3871" w:rsidRDefault="00A268D3" w:rsidP="00A268D3">
            <w:pPr>
              <w:jc w:val="both"/>
              <w:rPr>
                <w:sz w:val="20"/>
                <w:lang w:val="fr-CA"/>
              </w:rPr>
            </w:pPr>
          </w:p>
        </w:tc>
        <w:tc>
          <w:tcPr>
            <w:tcW w:w="2330" w:type="pct"/>
          </w:tcPr>
          <w:p w:rsidR="00A268D3" w:rsidRPr="002F3871" w:rsidRDefault="00A268D3" w:rsidP="00A268D3">
            <w:pPr>
              <w:jc w:val="both"/>
              <w:rPr>
                <w:sz w:val="20"/>
                <w:lang w:val="fr-CA"/>
              </w:rPr>
            </w:pPr>
            <w:r w:rsidRPr="002F3871">
              <w:rPr>
                <w:sz w:val="20"/>
                <w:lang w:val="fr-CA"/>
              </w:rPr>
              <w:t>Rejet de la demande</w:t>
            </w:r>
          </w:p>
          <w:p w:rsidR="00A268D3" w:rsidRPr="002F3871" w:rsidRDefault="00A268D3" w:rsidP="00A268D3">
            <w:pPr>
              <w:jc w:val="both"/>
              <w:rPr>
                <w:sz w:val="20"/>
                <w:lang w:val="fr-CA"/>
              </w:rPr>
            </w:pPr>
          </w:p>
        </w:tc>
      </w:tr>
      <w:tr w:rsidR="00A268D3" w:rsidRPr="002F3871" w:rsidTr="00A268D3">
        <w:tc>
          <w:tcPr>
            <w:tcW w:w="2427" w:type="pct"/>
            <w:gridSpan w:val="2"/>
          </w:tcPr>
          <w:p w:rsidR="00A268D3" w:rsidRPr="002F3871" w:rsidRDefault="00A268D3" w:rsidP="00A268D3">
            <w:pPr>
              <w:jc w:val="both"/>
              <w:rPr>
                <w:sz w:val="20"/>
                <w:lang w:val="fr-CA"/>
              </w:rPr>
            </w:pPr>
            <w:r w:rsidRPr="002F3871">
              <w:rPr>
                <w:sz w:val="20"/>
                <w:lang w:val="fr-CA"/>
              </w:rPr>
              <w:t>29 décembre 2016</w:t>
            </w:r>
          </w:p>
          <w:p w:rsidR="00A268D3" w:rsidRPr="002F3871" w:rsidRDefault="00A268D3" w:rsidP="00A268D3">
            <w:pPr>
              <w:jc w:val="both"/>
              <w:rPr>
                <w:sz w:val="20"/>
                <w:lang w:val="fr-CA"/>
              </w:rPr>
            </w:pPr>
            <w:r w:rsidRPr="002F3871">
              <w:rPr>
                <w:sz w:val="20"/>
                <w:lang w:val="fr-CA"/>
              </w:rPr>
              <w:t xml:space="preserve">Cour d’appel de l’Ontario </w:t>
            </w:r>
          </w:p>
          <w:p w:rsidR="00A268D3" w:rsidRPr="002F3871" w:rsidRDefault="00A268D3" w:rsidP="00A268D3">
            <w:pPr>
              <w:jc w:val="both"/>
              <w:rPr>
                <w:sz w:val="20"/>
                <w:lang w:val="fr-CA"/>
              </w:rPr>
            </w:pPr>
            <w:r w:rsidRPr="002F3871">
              <w:rPr>
                <w:sz w:val="20"/>
                <w:lang w:val="fr-CA"/>
              </w:rPr>
              <w:t>(Juges Cronk, Juriansz et Roberts)</w:t>
            </w:r>
          </w:p>
          <w:p w:rsidR="00A268D3" w:rsidRPr="002F3871" w:rsidRDefault="00ED4247" w:rsidP="00A268D3">
            <w:pPr>
              <w:jc w:val="both"/>
              <w:rPr>
                <w:rStyle w:val="nowrap"/>
                <w:sz w:val="20"/>
                <w:lang w:val="fr-CA"/>
              </w:rPr>
            </w:pPr>
            <w:hyperlink r:id="rId53" w:history="1">
              <w:r w:rsidR="00A268D3" w:rsidRPr="002F3871">
                <w:rPr>
                  <w:rStyle w:val="Hyperlink"/>
                  <w:sz w:val="20"/>
                  <w:lang w:val="fr-CA"/>
                </w:rPr>
                <w:t>2016 ONCA 981</w:t>
              </w:r>
            </w:hyperlink>
            <w:r w:rsidR="00A268D3" w:rsidRPr="002F3871">
              <w:rPr>
                <w:sz w:val="20"/>
                <w:lang w:val="fr-CA"/>
              </w:rPr>
              <w:t xml:space="preserve"> </w:t>
            </w:r>
          </w:p>
          <w:p w:rsidR="00A268D3" w:rsidRPr="002F3871" w:rsidRDefault="00A268D3" w:rsidP="00A268D3">
            <w:pPr>
              <w:jc w:val="both"/>
              <w:rPr>
                <w:sz w:val="20"/>
                <w:lang w:val="fr-CA"/>
              </w:rPr>
            </w:pPr>
          </w:p>
        </w:tc>
        <w:tc>
          <w:tcPr>
            <w:tcW w:w="243" w:type="pct"/>
          </w:tcPr>
          <w:p w:rsidR="00A268D3" w:rsidRPr="002F3871" w:rsidRDefault="00A268D3" w:rsidP="00A268D3">
            <w:pPr>
              <w:jc w:val="both"/>
              <w:rPr>
                <w:sz w:val="20"/>
                <w:lang w:val="fr-CA"/>
              </w:rPr>
            </w:pPr>
          </w:p>
        </w:tc>
        <w:tc>
          <w:tcPr>
            <w:tcW w:w="2330" w:type="pct"/>
          </w:tcPr>
          <w:p w:rsidR="00A268D3" w:rsidRPr="002F3871" w:rsidRDefault="00A268D3" w:rsidP="00A268D3">
            <w:pPr>
              <w:jc w:val="both"/>
              <w:rPr>
                <w:sz w:val="20"/>
                <w:lang w:val="fr-CA"/>
              </w:rPr>
            </w:pPr>
            <w:r w:rsidRPr="002F3871">
              <w:rPr>
                <w:sz w:val="20"/>
                <w:lang w:val="fr-CA"/>
              </w:rPr>
              <w:t>Rejet de l’appel</w:t>
            </w:r>
          </w:p>
        </w:tc>
      </w:tr>
      <w:tr w:rsidR="00A268D3" w:rsidRPr="00ED4247" w:rsidTr="00A268D3">
        <w:tc>
          <w:tcPr>
            <w:tcW w:w="2427" w:type="pct"/>
            <w:gridSpan w:val="2"/>
          </w:tcPr>
          <w:p w:rsidR="00A268D3" w:rsidRPr="002F3871" w:rsidRDefault="00A268D3" w:rsidP="00A268D3">
            <w:pPr>
              <w:jc w:val="both"/>
              <w:rPr>
                <w:sz w:val="20"/>
                <w:lang w:val="fr-CA"/>
              </w:rPr>
            </w:pPr>
            <w:r w:rsidRPr="002F3871">
              <w:rPr>
                <w:sz w:val="20"/>
                <w:lang w:val="fr-CA"/>
              </w:rPr>
              <w:t>27 février 2017</w:t>
            </w:r>
          </w:p>
          <w:p w:rsidR="00A268D3" w:rsidRPr="002F3871" w:rsidRDefault="00A268D3" w:rsidP="00A268D3">
            <w:pPr>
              <w:jc w:val="both"/>
              <w:rPr>
                <w:sz w:val="20"/>
                <w:lang w:val="fr-CA"/>
              </w:rPr>
            </w:pPr>
            <w:r w:rsidRPr="002F3871">
              <w:rPr>
                <w:sz w:val="20"/>
                <w:lang w:val="fr-CA"/>
              </w:rPr>
              <w:t>Cour suprême du Canada</w:t>
            </w:r>
          </w:p>
        </w:tc>
        <w:tc>
          <w:tcPr>
            <w:tcW w:w="243" w:type="pct"/>
          </w:tcPr>
          <w:p w:rsidR="00A268D3" w:rsidRPr="002F3871" w:rsidRDefault="00A268D3" w:rsidP="00A268D3">
            <w:pPr>
              <w:jc w:val="both"/>
              <w:rPr>
                <w:sz w:val="20"/>
                <w:lang w:val="fr-CA"/>
              </w:rPr>
            </w:pPr>
          </w:p>
        </w:tc>
        <w:tc>
          <w:tcPr>
            <w:tcW w:w="2330" w:type="pct"/>
          </w:tcPr>
          <w:p w:rsidR="00A268D3" w:rsidRPr="002F3871" w:rsidRDefault="00A268D3" w:rsidP="00A268D3">
            <w:pPr>
              <w:jc w:val="both"/>
              <w:rPr>
                <w:sz w:val="20"/>
                <w:lang w:val="fr-CA"/>
              </w:rPr>
            </w:pPr>
            <w:r w:rsidRPr="002F3871">
              <w:rPr>
                <w:sz w:val="20"/>
                <w:lang w:val="fr-CA"/>
              </w:rPr>
              <w:t>Dépôt de la demande d’autorisation d’appel</w:t>
            </w:r>
          </w:p>
          <w:p w:rsidR="00A268D3" w:rsidRPr="002F3871" w:rsidRDefault="00A268D3" w:rsidP="00A268D3">
            <w:pPr>
              <w:jc w:val="both"/>
              <w:rPr>
                <w:sz w:val="20"/>
                <w:lang w:val="fr-CA"/>
              </w:rPr>
            </w:pPr>
          </w:p>
        </w:tc>
      </w:tr>
    </w:tbl>
    <w:p w:rsidR="00A268D3" w:rsidRPr="002F3871" w:rsidRDefault="00ED4247" w:rsidP="00A268D3">
      <w:pPr>
        <w:jc w:val="both"/>
        <w:rPr>
          <w:sz w:val="20"/>
          <w:lang w:val="fr-CA"/>
        </w:rPr>
      </w:pPr>
      <w:r>
        <w:rPr>
          <w:sz w:val="20"/>
          <w:szCs w:val="20"/>
        </w:rPr>
        <w:pict>
          <v:rect id="_x0000_i1070" style="width:2in;height:1pt" o:hrpct="0" o:hralign="center" o:hrstd="t" o:hrnoshade="t" o:hr="t" fillcolor="black" stroked="f"/>
        </w:pict>
      </w:r>
    </w:p>
    <w:p w:rsidR="00A268D3" w:rsidRPr="002F3871" w:rsidRDefault="00A268D3" w:rsidP="00A268D3">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268D3" w:rsidRPr="002F3871" w:rsidTr="00A268D3">
        <w:tc>
          <w:tcPr>
            <w:tcW w:w="543" w:type="pct"/>
          </w:tcPr>
          <w:p w:rsidR="00A268D3" w:rsidRPr="002F3871" w:rsidRDefault="00A268D3" w:rsidP="00A268D3">
            <w:pPr>
              <w:jc w:val="both"/>
              <w:rPr>
                <w:sz w:val="20"/>
              </w:rPr>
            </w:pPr>
            <w:r w:rsidRPr="002F3871">
              <w:rPr>
                <w:rStyle w:val="SCCFileNumberChar"/>
                <w:sz w:val="20"/>
                <w:szCs w:val="20"/>
              </w:rPr>
              <w:t>37463</w:t>
            </w:r>
          </w:p>
        </w:tc>
        <w:tc>
          <w:tcPr>
            <w:tcW w:w="4457" w:type="pct"/>
            <w:gridSpan w:val="3"/>
          </w:tcPr>
          <w:p w:rsidR="00A268D3" w:rsidRPr="002F3871" w:rsidRDefault="00A268D3" w:rsidP="00A268D3">
            <w:pPr>
              <w:pStyle w:val="SCCLsocParty"/>
              <w:jc w:val="both"/>
              <w:rPr>
                <w:b/>
                <w:sz w:val="20"/>
                <w:szCs w:val="20"/>
                <w:lang w:val="en-US"/>
              </w:rPr>
            </w:pPr>
            <w:r w:rsidRPr="002F3871">
              <w:rPr>
                <w:b/>
                <w:sz w:val="20"/>
                <w:szCs w:val="20"/>
                <w:lang w:val="en-US"/>
              </w:rPr>
              <w:t>Sistem Mühendislik Insaat Sanayi Ve Ticaret Anonim Sirketi v. Kyrgyz Republic</w:t>
            </w:r>
            <w:r w:rsidR="00BA1B9B">
              <w:rPr>
                <w:b/>
                <w:sz w:val="20"/>
                <w:szCs w:val="20"/>
                <w:lang w:val="en-US"/>
              </w:rPr>
              <w:t xml:space="preserve"> and</w:t>
            </w:r>
            <w:r w:rsidRPr="002F3871">
              <w:rPr>
                <w:b/>
                <w:sz w:val="20"/>
                <w:szCs w:val="20"/>
                <w:lang w:val="en-US"/>
              </w:rPr>
              <w:t xml:space="preserve"> </w:t>
            </w:r>
            <w:proofErr w:type="spellStart"/>
            <w:r w:rsidRPr="002F3871">
              <w:rPr>
                <w:b/>
                <w:sz w:val="20"/>
                <w:szCs w:val="20"/>
                <w:lang w:val="en-US"/>
              </w:rPr>
              <w:t>Kyrgyzaltyn</w:t>
            </w:r>
            <w:proofErr w:type="spellEnd"/>
            <w:r w:rsidRPr="002F3871">
              <w:rPr>
                <w:b/>
                <w:sz w:val="20"/>
                <w:szCs w:val="20"/>
                <w:lang w:val="en-US"/>
              </w:rPr>
              <w:t xml:space="preserve"> JSC</w:t>
            </w:r>
          </w:p>
          <w:p w:rsidR="00A268D3" w:rsidRPr="002F3871" w:rsidRDefault="00A268D3" w:rsidP="00A268D3">
            <w:pPr>
              <w:jc w:val="both"/>
              <w:rPr>
                <w:sz w:val="20"/>
              </w:rPr>
            </w:pPr>
            <w:r w:rsidRPr="002F3871">
              <w:rPr>
                <w:sz w:val="20"/>
              </w:rPr>
              <w:t>(Ont.) (Civil) (By Leave)</w:t>
            </w:r>
          </w:p>
        </w:tc>
      </w:tr>
      <w:tr w:rsidR="00C41450" w:rsidRPr="002F3871" w:rsidTr="00C41450">
        <w:trPr>
          <w:trHeight w:val="241"/>
        </w:trPr>
        <w:tc>
          <w:tcPr>
            <w:tcW w:w="543" w:type="pct"/>
          </w:tcPr>
          <w:p w:rsidR="00C41450" w:rsidRPr="002F3871" w:rsidRDefault="00C41450" w:rsidP="00A268D3">
            <w:pPr>
              <w:jc w:val="both"/>
              <w:rPr>
                <w:rStyle w:val="SCCFileNumberChar"/>
                <w:sz w:val="20"/>
                <w:szCs w:val="20"/>
              </w:rPr>
            </w:pPr>
            <w:r>
              <w:rPr>
                <w:rStyle w:val="SCCFileNumberChar"/>
                <w:sz w:val="20"/>
                <w:szCs w:val="20"/>
              </w:rPr>
              <w:t>Coram:</w:t>
            </w:r>
          </w:p>
        </w:tc>
        <w:tc>
          <w:tcPr>
            <w:tcW w:w="4457" w:type="pct"/>
            <w:gridSpan w:val="3"/>
          </w:tcPr>
          <w:p w:rsidR="00C41450" w:rsidRDefault="00B47A79" w:rsidP="00A268D3">
            <w:pPr>
              <w:pStyle w:val="SCCLsocParty"/>
              <w:jc w:val="both"/>
              <w:rPr>
                <w:rFonts w:eastAsiaTheme="minorEastAsia"/>
                <w:sz w:val="20"/>
                <w:szCs w:val="20"/>
                <w:lang w:val="en-US" w:eastAsia="en-CA"/>
              </w:rPr>
            </w:pPr>
            <w:proofErr w:type="spellStart"/>
            <w:r w:rsidRPr="00B47A79">
              <w:rPr>
                <w:rFonts w:eastAsiaTheme="minorEastAsia"/>
                <w:sz w:val="20"/>
                <w:szCs w:val="20"/>
                <w:lang w:val="en-US" w:eastAsia="en-CA"/>
              </w:rPr>
              <w:t>McLachlin</w:t>
            </w:r>
            <w:proofErr w:type="spellEnd"/>
            <w:r w:rsidRPr="00B47A79">
              <w:rPr>
                <w:rFonts w:eastAsiaTheme="minorEastAsia"/>
                <w:sz w:val="20"/>
                <w:szCs w:val="20"/>
                <w:lang w:val="en-US" w:eastAsia="en-CA"/>
              </w:rPr>
              <w:t xml:space="preserve"> C.J. and </w:t>
            </w:r>
            <w:proofErr w:type="spellStart"/>
            <w:r w:rsidRPr="00B47A79">
              <w:rPr>
                <w:rFonts w:eastAsiaTheme="minorEastAsia"/>
                <w:sz w:val="20"/>
                <w:szCs w:val="20"/>
                <w:lang w:val="en-US" w:eastAsia="en-CA"/>
              </w:rPr>
              <w:t>Abella</w:t>
            </w:r>
            <w:proofErr w:type="spellEnd"/>
            <w:r w:rsidRPr="00B47A79">
              <w:rPr>
                <w:rFonts w:eastAsiaTheme="minorEastAsia"/>
                <w:sz w:val="20"/>
                <w:szCs w:val="20"/>
                <w:lang w:val="en-US" w:eastAsia="en-CA"/>
              </w:rPr>
              <w:t xml:space="preserve">, </w:t>
            </w:r>
            <w:proofErr w:type="spellStart"/>
            <w:r w:rsidRPr="00B47A79">
              <w:rPr>
                <w:rFonts w:eastAsiaTheme="minorEastAsia"/>
                <w:sz w:val="20"/>
                <w:szCs w:val="20"/>
                <w:lang w:val="en-US" w:eastAsia="en-CA"/>
              </w:rPr>
              <w:t>Moldaver</w:t>
            </w:r>
            <w:proofErr w:type="spellEnd"/>
            <w:r w:rsidRPr="00B47A79">
              <w:rPr>
                <w:rFonts w:eastAsiaTheme="minorEastAsia"/>
                <w:sz w:val="20"/>
                <w:szCs w:val="20"/>
                <w:lang w:val="en-US" w:eastAsia="en-CA"/>
              </w:rPr>
              <w:t xml:space="preserve">, </w:t>
            </w:r>
            <w:proofErr w:type="spellStart"/>
            <w:r w:rsidRPr="00B47A79">
              <w:rPr>
                <w:rFonts w:eastAsiaTheme="minorEastAsia"/>
                <w:sz w:val="20"/>
                <w:szCs w:val="20"/>
                <w:lang w:val="en-US" w:eastAsia="en-CA"/>
              </w:rPr>
              <w:t>Karakatsanis</w:t>
            </w:r>
            <w:proofErr w:type="spellEnd"/>
            <w:r w:rsidRPr="00B47A79">
              <w:rPr>
                <w:rFonts w:eastAsiaTheme="minorEastAsia"/>
                <w:sz w:val="20"/>
                <w:szCs w:val="20"/>
                <w:lang w:val="en-US" w:eastAsia="en-CA"/>
              </w:rPr>
              <w:t xml:space="preserve">, Wagner, </w:t>
            </w:r>
            <w:proofErr w:type="spellStart"/>
            <w:r w:rsidRPr="00B47A79">
              <w:rPr>
                <w:rFonts w:eastAsiaTheme="minorEastAsia"/>
                <w:sz w:val="20"/>
                <w:szCs w:val="20"/>
                <w:lang w:val="en-US" w:eastAsia="en-CA"/>
              </w:rPr>
              <w:t>Gascon</w:t>
            </w:r>
            <w:proofErr w:type="spellEnd"/>
            <w:r w:rsidRPr="00B47A79">
              <w:rPr>
                <w:rFonts w:eastAsiaTheme="minorEastAsia"/>
                <w:sz w:val="20"/>
                <w:szCs w:val="20"/>
                <w:lang w:val="en-US" w:eastAsia="en-CA"/>
              </w:rPr>
              <w:t xml:space="preserve">, </w:t>
            </w:r>
            <w:proofErr w:type="spellStart"/>
            <w:r w:rsidRPr="00B47A79">
              <w:rPr>
                <w:rFonts w:eastAsiaTheme="minorEastAsia"/>
                <w:sz w:val="20"/>
                <w:szCs w:val="20"/>
                <w:lang w:val="en-US" w:eastAsia="en-CA"/>
              </w:rPr>
              <w:t>Côté</w:t>
            </w:r>
            <w:proofErr w:type="spellEnd"/>
            <w:r w:rsidRPr="00B47A79">
              <w:rPr>
                <w:rFonts w:eastAsiaTheme="minorEastAsia"/>
                <w:sz w:val="20"/>
                <w:szCs w:val="20"/>
                <w:lang w:val="en-US" w:eastAsia="en-CA"/>
              </w:rPr>
              <w:t>, Brown and Rowe JJ.</w:t>
            </w:r>
          </w:p>
          <w:p w:rsidR="00B47A79" w:rsidRPr="00B47A79" w:rsidRDefault="00B47A79" w:rsidP="00B47A79">
            <w:pPr>
              <w:rPr>
                <w:lang w:val="en-US" w:eastAsia="en-CA"/>
              </w:rPr>
            </w:pPr>
          </w:p>
        </w:tc>
      </w:tr>
      <w:tr w:rsidR="00C41450" w:rsidRPr="002F3871" w:rsidTr="00C41450">
        <w:tc>
          <w:tcPr>
            <w:tcW w:w="5000" w:type="pct"/>
            <w:gridSpan w:val="4"/>
          </w:tcPr>
          <w:p w:rsidR="00C41450" w:rsidRPr="00B47A79" w:rsidRDefault="00B47A79" w:rsidP="00A268D3">
            <w:pPr>
              <w:pStyle w:val="SCCLsocParty"/>
              <w:jc w:val="both"/>
              <w:rPr>
                <w:sz w:val="20"/>
                <w:szCs w:val="20"/>
                <w:lang w:val="en-US"/>
              </w:rPr>
            </w:pPr>
            <w:r w:rsidRPr="00B47A79">
              <w:rPr>
                <w:sz w:val="20"/>
                <w:szCs w:val="20"/>
                <w:lang w:val="en-US"/>
              </w:rPr>
              <w:t>The application for leave to appeal from the judgment of the Court of Appeal for Ontario, Number C62530, 2016 ONCA 981, dated December 29, 2016, is dismissed with costs.</w:t>
            </w:r>
          </w:p>
          <w:p w:rsidR="00B47A79" w:rsidRPr="00B47A79" w:rsidRDefault="00B47A79" w:rsidP="00B47A79">
            <w:pPr>
              <w:rPr>
                <w:lang w:val="en-US"/>
              </w:rPr>
            </w:pPr>
          </w:p>
        </w:tc>
      </w:tr>
      <w:tr w:rsidR="00A268D3" w:rsidRPr="002F3871" w:rsidTr="00A268D3">
        <w:tc>
          <w:tcPr>
            <w:tcW w:w="5000" w:type="pct"/>
            <w:gridSpan w:val="4"/>
          </w:tcPr>
          <w:p w:rsidR="00A268D3" w:rsidRPr="002F3871" w:rsidRDefault="00A268D3" w:rsidP="00A268D3">
            <w:pPr>
              <w:jc w:val="both"/>
              <w:rPr>
                <w:sz w:val="20"/>
              </w:rPr>
            </w:pPr>
            <w:r w:rsidRPr="002F3871">
              <w:rPr>
                <w:sz w:val="20"/>
              </w:rPr>
              <w:t>Trusts – Presumption of resulting trust – Contracts – Commercial contracts – Interpretation – Applicant seeking declaration that Kyrgyz Republic has ownership interest in certain shares – What rule determines whether contractual interpretation is to be treated as a question of law or a mixed question of law or fact in respect of contracts for which there is no factual matrix, particularly when the law by which the contract is governed excludes considerations of fact?</w:t>
            </w:r>
          </w:p>
        </w:tc>
      </w:tr>
      <w:tr w:rsidR="00A268D3" w:rsidRPr="002F3871" w:rsidTr="00A268D3">
        <w:tc>
          <w:tcPr>
            <w:tcW w:w="5000" w:type="pct"/>
            <w:gridSpan w:val="4"/>
          </w:tcPr>
          <w:p w:rsidR="00A268D3" w:rsidRPr="002F3871" w:rsidRDefault="00A268D3" w:rsidP="00A268D3">
            <w:pPr>
              <w:jc w:val="both"/>
              <w:rPr>
                <w:sz w:val="20"/>
              </w:rPr>
            </w:pPr>
          </w:p>
        </w:tc>
      </w:tr>
      <w:tr w:rsidR="00A268D3" w:rsidRPr="002F3871" w:rsidTr="00A268D3">
        <w:tc>
          <w:tcPr>
            <w:tcW w:w="5000" w:type="pct"/>
            <w:gridSpan w:val="4"/>
          </w:tcPr>
          <w:p w:rsidR="00A268D3" w:rsidRPr="002F3871" w:rsidRDefault="00A268D3" w:rsidP="00A268D3">
            <w:pPr>
              <w:jc w:val="both"/>
              <w:rPr>
                <w:sz w:val="20"/>
              </w:rPr>
            </w:pPr>
            <w:r w:rsidRPr="002F3871">
              <w:rPr>
                <w:sz w:val="20"/>
              </w:rPr>
              <w:t xml:space="preserve">The applicant holds a foreign arbitral award against the Kyrgyz Republic. To enforce the award, the applicant sought a declaration that the Republic has an ownership interest in the shares of Centerra Gold Inc., a Canadian corporation, subject to seizure and sale under s. 18 of the </w:t>
            </w:r>
            <w:r w:rsidRPr="002F3871">
              <w:rPr>
                <w:i/>
                <w:iCs/>
                <w:sz w:val="20"/>
              </w:rPr>
              <w:t>Execution Act</w:t>
            </w:r>
            <w:r w:rsidRPr="002F3871">
              <w:rPr>
                <w:sz w:val="20"/>
              </w:rPr>
              <w:t xml:space="preserve">, R.S.O. 1990, c. E.24. The shares are registered in the name of Kyrgyzaltyn JSC, the Republic’s wholly-owned subsidiary. Kyrgyzaltyn, together with Cameco, a Canadian corporation, are the largest shareholders in Centerra.  </w:t>
            </w:r>
          </w:p>
          <w:p w:rsidR="00A268D3" w:rsidRPr="002F3871" w:rsidRDefault="00A268D3" w:rsidP="00A268D3">
            <w:pPr>
              <w:jc w:val="both"/>
              <w:rPr>
                <w:sz w:val="20"/>
              </w:rPr>
            </w:pPr>
          </w:p>
          <w:p w:rsidR="00A268D3" w:rsidRPr="002F3871" w:rsidRDefault="00A268D3" w:rsidP="00A268D3">
            <w:pPr>
              <w:jc w:val="both"/>
              <w:rPr>
                <w:sz w:val="20"/>
              </w:rPr>
            </w:pPr>
            <w:r w:rsidRPr="002F3871">
              <w:rPr>
                <w:sz w:val="20"/>
              </w:rPr>
              <w:t>The applicant relied on the language of the 2009 Agreement on New Terms for the Kumtor Project, signed by the Government on behalf of the Republic, Kyrgyzaltyn, Cameco, Centerra and Centerra’s two operating subsidiaries. The Agreement governs ownership terms for the operation of the country’s largest gold mine and settles all claims arising out of an earlier investment arbitration against the Republic in relation to the project. The applicant alleged that the Agreement, on its own or in combination with other evidence, establishes that the Republic owns the shares in question. In the further alternative, the applicant contended that Kyrgyzaltyn holds the shares on a purchase money resulting trust.</w:t>
            </w:r>
          </w:p>
          <w:p w:rsidR="00A268D3" w:rsidRPr="002F3871" w:rsidRDefault="00A268D3" w:rsidP="00A268D3">
            <w:pPr>
              <w:jc w:val="both"/>
              <w:rPr>
                <w:sz w:val="20"/>
              </w:rPr>
            </w:pPr>
          </w:p>
        </w:tc>
      </w:tr>
      <w:tr w:rsidR="00A268D3" w:rsidRPr="002F3871" w:rsidTr="00A268D3">
        <w:tc>
          <w:tcPr>
            <w:tcW w:w="2427" w:type="pct"/>
            <w:gridSpan w:val="2"/>
          </w:tcPr>
          <w:p w:rsidR="00A268D3" w:rsidRPr="002F3871" w:rsidRDefault="00A268D3" w:rsidP="00A268D3">
            <w:pPr>
              <w:jc w:val="both"/>
              <w:rPr>
                <w:sz w:val="20"/>
              </w:rPr>
            </w:pPr>
            <w:r w:rsidRPr="002F3871">
              <w:rPr>
                <w:sz w:val="20"/>
              </w:rPr>
              <w:t>July 11, 2016</w:t>
            </w:r>
          </w:p>
          <w:p w:rsidR="00A268D3" w:rsidRPr="002F3871" w:rsidRDefault="00A268D3" w:rsidP="00A268D3">
            <w:pPr>
              <w:jc w:val="both"/>
              <w:rPr>
                <w:sz w:val="20"/>
              </w:rPr>
            </w:pPr>
            <w:r w:rsidRPr="002F3871">
              <w:rPr>
                <w:sz w:val="20"/>
              </w:rPr>
              <w:t>Ontario Superior Court of Justice</w:t>
            </w:r>
          </w:p>
          <w:p w:rsidR="00A268D3" w:rsidRPr="002F3871" w:rsidRDefault="00A268D3" w:rsidP="00A268D3">
            <w:pPr>
              <w:jc w:val="both"/>
              <w:rPr>
                <w:sz w:val="20"/>
              </w:rPr>
            </w:pPr>
            <w:r w:rsidRPr="002F3871">
              <w:rPr>
                <w:sz w:val="20"/>
              </w:rPr>
              <w:t>(Conway J.)</w:t>
            </w:r>
          </w:p>
          <w:p w:rsidR="00A268D3" w:rsidRPr="002F3871" w:rsidRDefault="00ED4247" w:rsidP="00A268D3">
            <w:pPr>
              <w:jc w:val="both"/>
              <w:rPr>
                <w:sz w:val="20"/>
              </w:rPr>
            </w:pPr>
            <w:hyperlink r:id="rId54" w:history="1">
              <w:r w:rsidR="00A268D3" w:rsidRPr="002F3871">
                <w:rPr>
                  <w:rStyle w:val="Hyperlink"/>
                  <w:sz w:val="20"/>
                </w:rPr>
                <w:t>2016 ONSC 4506</w:t>
              </w:r>
            </w:hyperlink>
          </w:p>
          <w:p w:rsidR="00A268D3" w:rsidRPr="002F3871" w:rsidRDefault="00A268D3" w:rsidP="00A268D3">
            <w:pPr>
              <w:jc w:val="both"/>
              <w:rPr>
                <w:sz w:val="20"/>
              </w:rPr>
            </w:pPr>
          </w:p>
        </w:tc>
        <w:tc>
          <w:tcPr>
            <w:tcW w:w="243" w:type="pct"/>
          </w:tcPr>
          <w:p w:rsidR="00A268D3" w:rsidRPr="002F3871" w:rsidRDefault="00A268D3" w:rsidP="00A268D3">
            <w:pPr>
              <w:jc w:val="both"/>
              <w:rPr>
                <w:sz w:val="20"/>
              </w:rPr>
            </w:pPr>
          </w:p>
        </w:tc>
        <w:tc>
          <w:tcPr>
            <w:tcW w:w="2330" w:type="pct"/>
          </w:tcPr>
          <w:p w:rsidR="00A268D3" w:rsidRPr="002F3871" w:rsidRDefault="00A268D3" w:rsidP="00A268D3">
            <w:pPr>
              <w:jc w:val="both"/>
              <w:rPr>
                <w:sz w:val="20"/>
              </w:rPr>
            </w:pPr>
            <w:r w:rsidRPr="002F3871">
              <w:rPr>
                <w:sz w:val="20"/>
              </w:rPr>
              <w:t xml:space="preserve">Application dismissed </w:t>
            </w:r>
          </w:p>
          <w:p w:rsidR="00A268D3" w:rsidRPr="002F3871" w:rsidRDefault="00A268D3" w:rsidP="00A268D3">
            <w:pPr>
              <w:jc w:val="both"/>
              <w:rPr>
                <w:sz w:val="20"/>
              </w:rPr>
            </w:pPr>
          </w:p>
        </w:tc>
      </w:tr>
      <w:tr w:rsidR="00A268D3" w:rsidRPr="002F3871" w:rsidTr="00A268D3">
        <w:tc>
          <w:tcPr>
            <w:tcW w:w="2427" w:type="pct"/>
            <w:gridSpan w:val="2"/>
          </w:tcPr>
          <w:p w:rsidR="00A268D3" w:rsidRPr="002F3871" w:rsidRDefault="00A268D3" w:rsidP="00A268D3">
            <w:pPr>
              <w:jc w:val="both"/>
              <w:rPr>
                <w:sz w:val="20"/>
              </w:rPr>
            </w:pPr>
            <w:r w:rsidRPr="002F3871">
              <w:rPr>
                <w:sz w:val="20"/>
              </w:rPr>
              <w:t>December 29, 2016</w:t>
            </w:r>
          </w:p>
          <w:p w:rsidR="00A268D3" w:rsidRPr="002F3871" w:rsidRDefault="00A268D3" w:rsidP="00A268D3">
            <w:pPr>
              <w:jc w:val="both"/>
              <w:rPr>
                <w:sz w:val="20"/>
              </w:rPr>
            </w:pPr>
            <w:r w:rsidRPr="002F3871">
              <w:rPr>
                <w:sz w:val="20"/>
              </w:rPr>
              <w:t>Court of Appeal for Ontario</w:t>
            </w:r>
          </w:p>
          <w:p w:rsidR="00A268D3" w:rsidRPr="002F3871" w:rsidRDefault="00A268D3" w:rsidP="00A268D3">
            <w:pPr>
              <w:jc w:val="both"/>
              <w:rPr>
                <w:sz w:val="20"/>
              </w:rPr>
            </w:pPr>
            <w:r w:rsidRPr="002F3871">
              <w:rPr>
                <w:sz w:val="20"/>
              </w:rPr>
              <w:t>(Cronk, Juriansz and Roberts JJ.A.)</w:t>
            </w:r>
          </w:p>
          <w:p w:rsidR="00A268D3" w:rsidRPr="002F3871" w:rsidRDefault="00ED4247" w:rsidP="00A268D3">
            <w:pPr>
              <w:jc w:val="both"/>
              <w:rPr>
                <w:rStyle w:val="nowrap"/>
                <w:sz w:val="20"/>
              </w:rPr>
            </w:pPr>
            <w:hyperlink r:id="rId55" w:history="1">
              <w:r w:rsidR="00A268D3" w:rsidRPr="002F3871">
                <w:rPr>
                  <w:rStyle w:val="Hyperlink"/>
                  <w:sz w:val="20"/>
                </w:rPr>
                <w:t>2016 ONCA 981</w:t>
              </w:r>
            </w:hyperlink>
            <w:r w:rsidR="00A268D3" w:rsidRPr="002F3871">
              <w:rPr>
                <w:sz w:val="20"/>
              </w:rPr>
              <w:t xml:space="preserve"> </w:t>
            </w:r>
          </w:p>
          <w:p w:rsidR="00A268D3" w:rsidRPr="002F3871" w:rsidRDefault="00A268D3" w:rsidP="00A268D3">
            <w:pPr>
              <w:jc w:val="both"/>
              <w:rPr>
                <w:sz w:val="20"/>
              </w:rPr>
            </w:pPr>
          </w:p>
        </w:tc>
        <w:tc>
          <w:tcPr>
            <w:tcW w:w="243" w:type="pct"/>
          </w:tcPr>
          <w:p w:rsidR="00A268D3" w:rsidRPr="002F3871" w:rsidRDefault="00A268D3" w:rsidP="00A268D3">
            <w:pPr>
              <w:jc w:val="both"/>
              <w:rPr>
                <w:sz w:val="20"/>
              </w:rPr>
            </w:pPr>
          </w:p>
        </w:tc>
        <w:tc>
          <w:tcPr>
            <w:tcW w:w="2330" w:type="pct"/>
          </w:tcPr>
          <w:p w:rsidR="00A268D3" w:rsidRPr="002F3871" w:rsidRDefault="00A268D3" w:rsidP="00A268D3">
            <w:pPr>
              <w:jc w:val="both"/>
              <w:rPr>
                <w:sz w:val="20"/>
              </w:rPr>
            </w:pPr>
            <w:r w:rsidRPr="002F3871">
              <w:rPr>
                <w:sz w:val="20"/>
              </w:rPr>
              <w:t xml:space="preserve">Appeal dismissed </w:t>
            </w:r>
          </w:p>
        </w:tc>
      </w:tr>
      <w:tr w:rsidR="00A268D3" w:rsidRPr="002F3871" w:rsidTr="00A268D3">
        <w:tc>
          <w:tcPr>
            <w:tcW w:w="2427" w:type="pct"/>
            <w:gridSpan w:val="2"/>
          </w:tcPr>
          <w:p w:rsidR="00A268D3" w:rsidRPr="002F3871" w:rsidRDefault="00A268D3" w:rsidP="00A268D3">
            <w:pPr>
              <w:jc w:val="both"/>
              <w:rPr>
                <w:sz w:val="20"/>
              </w:rPr>
            </w:pPr>
            <w:r w:rsidRPr="002F3871">
              <w:rPr>
                <w:sz w:val="20"/>
              </w:rPr>
              <w:t>February 27, 2017</w:t>
            </w:r>
          </w:p>
          <w:p w:rsidR="00A268D3" w:rsidRPr="002F3871" w:rsidRDefault="00A268D3" w:rsidP="00A268D3">
            <w:pPr>
              <w:jc w:val="both"/>
              <w:rPr>
                <w:sz w:val="20"/>
              </w:rPr>
            </w:pPr>
            <w:r w:rsidRPr="002F3871">
              <w:rPr>
                <w:sz w:val="20"/>
              </w:rPr>
              <w:t>Supreme Court of Canada</w:t>
            </w:r>
          </w:p>
        </w:tc>
        <w:tc>
          <w:tcPr>
            <w:tcW w:w="243" w:type="pct"/>
          </w:tcPr>
          <w:p w:rsidR="00A268D3" w:rsidRPr="002F3871" w:rsidRDefault="00A268D3" w:rsidP="00A268D3">
            <w:pPr>
              <w:jc w:val="both"/>
              <w:rPr>
                <w:sz w:val="20"/>
              </w:rPr>
            </w:pPr>
          </w:p>
        </w:tc>
        <w:tc>
          <w:tcPr>
            <w:tcW w:w="2330" w:type="pct"/>
          </w:tcPr>
          <w:p w:rsidR="00A268D3" w:rsidRPr="002F3871" w:rsidRDefault="00A268D3" w:rsidP="00A268D3">
            <w:pPr>
              <w:jc w:val="both"/>
              <w:rPr>
                <w:sz w:val="20"/>
              </w:rPr>
            </w:pPr>
            <w:r w:rsidRPr="002F3871">
              <w:rPr>
                <w:sz w:val="20"/>
              </w:rPr>
              <w:t>Application for leave to appeal filed</w:t>
            </w:r>
          </w:p>
        </w:tc>
      </w:tr>
    </w:tbl>
    <w:p w:rsidR="00A268D3" w:rsidRPr="002F3871" w:rsidRDefault="00ED4247" w:rsidP="00A268D3">
      <w:pPr>
        <w:jc w:val="both"/>
        <w:rPr>
          <w:sz w:val="20"/>
        </w:rPr>
      </w:pPr>
      <w:r>
        <w:rPr>
          <w:sz w:val="20"/>
          <w:szCs w:val="20"/>
        </w:rPr>
        <w:pict>
          <v:rect id="_x0000_i1071" style="width:2in;height:1pt" o:hrpct="0" o:hralign="center" o:hrstd="t" o:hrnoshade="t" o:hr="t" fillcolor="black" stroked="f"/>
        </w:pict>
      </w:r>
    </w:p>
    <w:p w:rsidR="00A268D3" w:rsidRPr="002F3871" w:rsidRDefault="00A268D3" w:rsidP="00A268D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268D3" w:rsidRPr="00B47A79" w:rsidTr="00A268D3">
        <w:tc>
          <w:tcPr>
            <w:tcW w:w="543" w:type="pct"/>
          </w:tcPr>
          <w:p w:rsidR="00A268D3" w:rsidRPr="002F3871" w:rsidRDefault="00A268D3" w:rsidP="00A268D3">
            <w:pPr>
              <w:jc w:val="both"/>
              <w:rPr>
                <w:sz w:val="20"/>
                <w:lang w:val="fr-CA"/>
              </w:rPr>
            </w:pPr>
            <w:r w:rsidRPr="002F3871">
              <w:rPr>
                <w:rStyle w:val="SCCFileNumberChar"/>
                <w:sz w:val="20"/>
                <w:szCs w:val="20"/>
                <w:lang w:val="fr-CA"/>
              </w:rPr>
              <w:t>37463</w:t>
            </w:r>
          </w:p>
        </w:tc>
        <w:tc>
          <w:tcPr>
            <w:tcW w:w="4457" w:type="pct"/>
            <w:gridSpan w:val="3"/>
          </w:tcPr>
          <w:p w:rsidR="00A268D3" w:rsidRPr="002F3871" w:rsidRDefault="00A268D3" w:rsidP="00B47A79">
            <w:pPr>
              <w:pStyle w:val="SCCLsocParty"/>
              <w:jc w:val="both"/>
              <w:rPr>
                <w:sz w:val="20"/>
              </w:rPr>
            </w:pPr>
            <w:r w:rsidRPr="002F3871">
              <w:rPr>
                <w:b/>
                <w:sz w:val="20"/>
                <w:szCs w:val="20"/>
              </w:rPr>
              <w:t xml:space="preserve">Sistem Mühendislik Insaat Sanayi Ve Ticaret Anonim </w:t>
            </w:r>
            <w:r w:rsidR="00BA1B9B">
              <w:rPr>
                <w:b/>
                <w:sz w:val="20"/>
                <w:szCs w:val="20"/>
              </w:rPr>
              <w:t>Sirketti c. République kirghize et</w:t>
            </w:r>
            <w:r w:rsidRPr="002F3871">
              <w:rPr>
                <w:b/>
                <w:sz w:val="20"/>
                <w:szCs w:val="20"/>
              </w:rPr>
              <w:t xml:space="preserve"> </w:t>
            </w:r>
            <w:proofErr w:type="spellStart"/>
            <w:r w:rsidRPr="002F3871">
              <w:rPr>
                <w:b/>
                <w:sz w:val="20"/>
                <w:szCs w:val="20"/>
              </w:rPr>
              <w:t>Kyrgyzaltyn</w:t>
            </w:r>
            <w:proofErr w:type="spellEnd"/>
            <w:r w:rsidRPr="002F3871">
              <w:rPr>
                <w:b/>
                <w:sz w:val="20"/>
                <w:szCs w:val="20"/>
              </w:rPr>
              <w:t xml:space="preserve"> JSC</w:t>
            </w:r>
            <w:r w:rsidR="00B47A79">
              <w:rPr>
                <w:b/>
                <w:sz w:val="20"/>
                <w:szCs w:val="20"/>
              </w:rPr>
              <w:t xml:space="preserve"> </w:t>
            </w:r>
            <w:r w:rsidRPr="002F3871">
              <w:rPr>
                <w:sz w:val="20"/>
              </w:rPr>
              <w:t>(Ont.) (Civile) (Sur autorisation)</w:t>
            </w:r>
          </w:p>
        </w:tc>
      </w:tr>
      <w:tr w:rsidR="00C41450" w:rsidRPr="00ED4247" w:rsidTr="00A268D3">
        <w:tc>
          <w:tcPr>
            <w:tcW w:w="543" w:type="pct"/>
          </w:tcPr>
          <w:p w:rsidR="00C41450" w:rsidRPr="002F3871" w:rsidRDefault="00C41450" w:rsidP="00A268D3">
            <w:pPr>
              <w:jc w:val="both"/>
              <w:rPr>
                <w:rStyle w:val="SCCFileNumberChar"/>
                <w:sz w:val="20"/>
                <w:szCs w:val="20"/>
                <w:lang w:val="fr-CA"/>
              </w:rPr>
            </w:pPr>
            <w:r>
              <w:rPr>
                <w:rStyle w:val="SCCFileNumberChar"/>
                <w:sz w:val="20"/>
                <w:szCs w:val="20"/>
                <w:lang w:val="fr-CA"/>
              </w:rPr>
              <w:t>Coram :</w:t>
            </w:r>
          </w:p>
        </w:tc>
        <w:tc>
          <w:tcPr>
            <w:tcW w:w="4457" w:type="pct"/>
            <w:gridSpan w:val="3"/>
          </w:tcPr>
          <w:p w:rsidR="00C41450" w:rsidRDefault="00B47A79" w:rsidP="00A268D3">
            <w:pPr>
              <w:pStyle w:val="SCCLsocParty"/>
              <w:jc w:val="both"/>
              <w:rPr>
                <w:rFonts w:eastAsiaTheme="minorEastAsia"/>
                <w:sz w:val="20"/>
                <w:szCs w:val="20"/>
                <w:lang w:val="fr-FR" w:eastAsia="en-CA"/>
              </w:rPr>
            </w:pPr>
            <w:r w:rsidRPr="00831056">
              <w:rPr>
                <w:rFonts w:eastAsiaTheme="minorEastAsia"/>
                <w:sz w:val="20"/>
                <w:szCs w:val="20"/>
                <w:lang w:val="fr-FR" w:eastAsia="en-CA"/>
              </w:rPr>
              <w:t xml:space="preserve">La juge en chef </w:t>
            </w:r>
            <w:proofErr w:type="spellStart"/>
            <w:r w:rsidRPr="00831056">
              <w:rPr>
                <w:rFonts w:eastAsiaTheme="minorEastAsia"/>
                <w:sz w:val="20"/>
                <w:szCs w:val="20"/>
                <w:lang w:val="fr-FR" w:eastAsia="en-CA"/>
              </w:rPr>
              <w:t>McLachlin</w:t>
            </w:r>
            <w:proofErr w:type="spellEnd"/>
            <w:r w:rsidRPr="00831056">
              <w:rPr>
                <w:rFonts w:eastAsiaTheme="minorEastAsia"/>
                <w:sz w:val="20"/>
                <w:szCs w:val="20"/>
                <w:lang w:val="fr-FR" w:eastAsia="en-CA"/>
              </w:rPr>
              <w:t xml:space="preserve"> et les juges Abella, </w:t>
            </w:r>
            <w:proofErr w:type="spellStart"/>
            <w:r w:rsidRPr="00831056">
              <w:rPr>
                <w:rFonts w:eastAsiaTheme="minorEastAsia"/>
                <w:sz w:val="20"/>
                <w:szCs w:val="20"/>
                <w:lang w:val="fr-FR" w:eastAsia="en-CA"/>
              </w:rPr>
              <w:t>Moldaver</w:t>
            </w:r>
            <w:proofErr w:type="spellEnd"/>
            <w:r w:rsidRPr="00831056">
              <w:rPr>
                <w:rFonts w:eastAsiaTheme="minorEastAsia"/>
                <w:sz w:val="20"/>
                <w:szCs w:val="20"/>
                <w:lang w:val="fr-FR" w:eastAsia="en-CA"/>
              </w:rPr>
              <w:t xml:space="preserve">, </w:t>
            </w:r>
            <w:proofErr w:type="spellStart"/>
            <w:r w:rsidRPr="00831056">
              <w:rPr>
                <w:rFonts w:eastAsiaTheme="minorEastAsia"/>
                <w:sz w:val="20"/>
                <w:szCs w:val="20"/>
                <w:lang w:val="fr-FR" w:eastAsia="en-CA"/>
              </w:rPr>
              <w:t>Karakatsanis</w:t>
            </w:r>
            <w:proofErr w:type="spellEnd"/>
            <w:r w:rsidRPr="00831056">
              <w:rPr>
                <w:rFonts w:eastAsiaTheme="minorEastAsia"/>
                <w:sz w:val="20"/>
                <w:szCs w:val="20"/>
                <w:lang w:val="fr-FR" w:eastAsia="en-CA"/>
              </w:rPr>
              <w:t>, Wagner, Gascon, Côté, Brown et Rowe</w:t>
            </w:r>
          </w:p>
          <w:p w:rsidR="00B47A79" w:rsidRPr="00B47A79" w:rsidRDefault="00B47A79" w:rsidP="00B47A79">
            <w:pPr>
              <w:rPr>
                <w:lang w:val="fr-FR" w:eastAsia="en-CA"/>
              </w:rPr>
            </w:pPr>
          </w:p>
        </w:tc>
      </w:tr>
      <w:tr w:rsidR="00C41450" w:rsidRPr="00ED4247" w:rsidTr="00C41450">
        <w:tc>
          <w:tcPr>
            <w:tcW w:w="5000" w:type="pct"/>
            <w:gridSpan w:val="4"/>
          </w:tcPr>
          <w:p w:rsidR="00C41450" w:rsidRDefault="00B47A79" w:rsidP="00A268D3">
            <w:pPr>
              <w:pStyle w:val="SCCLsocParty"/>
              <w:jc w:val="both"/>
              <w:rPr>
                <w:sz w:val="20"/>
                <w:szCs w:val="20"/>
              </w:rPr>
            </w:pPr>
            <w:r w:rsidRPr="00831056">
              <w:rPr>
                <w:sz w:val="20"/>
                <w:szCs w:val="20"/>
              </w:rPr>
              <w:t xml:space="preserve">La demande d’autorisation d’appel de l’arrêt de la </w:t>
            </w:r>
            <w:r w:rsidRPr="00831056">
              <w:rPr>
                <w:sz w:val="20"/>
                <w:szCs w:val="20"/>
                <w:lang w:val="fr-FR"/>
              </w:rPr>
              <w:t>Cour d’appel de l’Ontario</w:t>
            </w:r>
            <w:r w:rsidRPr="00831056">
              <w:rPr>
                <w:sz w:val="20"/>
                <w:szCs w:val="20"/>
              </w:rPr>
              <w:t xml:space="preserve">, numéro </w:t>
            </w:r>
            <w:r w:rsidRPr="00831056">
              <w:rPr>
                <w:sz w:val="20"/>
                <w:szCs w:val="20"/>
                <w:lang w:val="fr-FR"/>
              </w:rPr>
              <w:t>C62530, 2016 ONCA 981</w:t>
            </w:r>
            <w:r w:rsidRPr="00831056">
              <w:rPr>
                <w:sz w:val="20"/>
                <w:szCs w:val="20"/>
              </w:rPr>
              <w:t xml:space="preserve">, daté du </w:t>
            </w:r>
            <w:r w:rsidRPr="00831056">
              <w:rPr>
                <w:sz w:val="20"/>
                <w:szCs w:val="20"/>
                <w:lang w:val="fr-FR"/>
              </w:rPr>
              <w:t>29 décembre 2016</w:t>
            </w:r>
            <w:r w:rsidRPr="00831056">
              <w:rPr>
                <w:sz w:val="20"/>
                <w:szCs w:val="20"/>
              </w:rPr>
              <w:t>, est rejetée avec dépens.</w:t>
            </w:r>
          </w:p>
          <w:p w:rsidR="00B47A79" w:rsidRPr="00B47A79" w:rsidRDefault="00B47A79" w:rsidP="00B47A79">
            <w:pPr>
              <w:rPr>
                <w:lang w:val="fr-CA"/>
              </w:rPr>
            </w:pPr>
          </w:p>
        </w:tc>
      </w:tr>
      <w:tr w:rsidR="00A268D3" w:rsidRPr="00ED4247" w:rsidTr="00A268D3">
        <w:tc>
          <w:tcPr>
            <w:tcW w:w="5000" w:type="pct"/>
            <w:gridSpan w:val="4"/>
          </w:tcPr>
          <w:p w:rsidR="00A268D3" w:rsidRPr="002F3871" w:rsidRDefault="00A268D3" w:rsidP="00A268D3">
            <w:pPr>
              <w:jc w:val="both"/>
              <w:rPr>
                <w:sz w:val="20"/>
                <w:lang w:val="fr-CA"/>
              </w:rPr>
            </w:pPr>
            <w:r w:rsidRPr="002F3871">
              <w:rPr>
                <w:sz w:val="20"/>
                <w:lang w:val="fr-CA"/>
              </w:rPr>
              <w:lastRenderedPageBreak/>
              <w:t xml:space="preserve">Fiducie – Présomption de fiducie résultoire – Contrats – Contrats commerciaux – Interprétation – La demanderesse sollicite un jugement déclarant que la République kirghize a une participation dans certaines actions – Quelles règles permettent de trancher la question de savoir si l’interprétation contractuelle doit être traitée comme une question de droit ou une question mixte de droit ou de fait à l’égard de contrats pour lesquels il n’y a aucun fondement factuel, particulièrement lorsque le droit qui régit le contrat exclut les considérations de fait? </w:t>
            </w:r>
          </w:p>
        </w:tc>
      </w:tr>
      <w:tr w:rsidR="00A268D3" w:rsidRPr="00ED4247" w:rsidTr="00A268D3">
        <w:tc>
          <w:tcPr>
            <w:tcW w:w="5000" w:type="pct"/>
            <w:gridSpan w:val="4"/>
          </w:tcPr>
          <w:p w:rsidR="00A268D3" w:rsidRPr="002F3871" w:rsidRDefault="00A268D3" w:rsidP="00A268D3">
            <w:pPr>
              <w:jc w:val="both"/>
              <w:rPr>
                <w:sz w:val="20"/>
                <w:lang w:val="fr-CA"/>
              </w:rPr>
            </w:pPr>
          </w:p>
        </w:tc>
      </w:tr>
      <w:tr w:rsidR="00A268D3" w:rsidRPr="00ED4247" w:rsidTr="00A268D3">
        <w:tc>
          <w:tcPr>
            <w:tcW w:w="5000" w:type="pct"/>
            <w:gridSpan w:val="4"/>
          </w:tcPr>
          <w:p w:rsidR="00A268D3" w:rsidRPr="002F3871" w:rsidRDefault="00A268D3" w:rsidP="00A268D3">
            <w:pPr>
              <w:jc w:val="both"/>
              <w:rPr>
                <w:sz w:val="20"/>
                <w:lang w:val="fr-CA"/>
              </w:rPr>
            </w:pPr>
            <w:r w:rsidRPr="002F3871">
              <w:rPr>
                <w:sz w:val="20"/>
                <w:lang w:val="fr-CA"/>
              </w:rPr>
              <w:t xml:space="preserve">La demanderesse est titulaire d’une sentence arbitrale étrangère contre la République kirghize. Pour exécuter la sentence, la demanderesse a sollicité un jugement déclarant que la République a une participation dans les actions de Centerra Gold Inc., une société par actions canadienne, lesquelles peuvent être saisies et vendues en application de l’art. 18 de la </w:t>
            </w:r>
            <w:r w:rsidRPr="002F3871">
              <w:rPr>
                <w:i/>
                <w:iCs/>
                <w:sz w:val="20"/>
                <w:lang w:val="fr-CA"/>
              </w:rPr>
              <w:t>Loi sur l’exécution forcée</w:t>
            </w:r>
            <w:r w:rsidRPr="002F3871">
              <w:rPr>
                <w:sz w:val="20"/>
                <w:lang w:val="fr-CA"/>
              </w:rPr>
              <w:t xml:space="preserve">, L.R.O. 1990, ch. E.24. Les actions sont enregistrées au nom de Kyrgyzaltyn JSC, la filiale en propriété exclusive de la République. Kyrgyzaltyn, de même que Cameco, une société par actions canadienne, sont les principaux actionnaires de Centerra.  </w:t>
            </w:r>
          </w:p>
          <w:p w:rsidR="00A268D3" w:rsidRPr="002F3871" w:rsidRDefault="00A268D3" w:rsidP="00A268D3">
            <w:pPr>
              <w:jc w:val="both"/>
              <w:rPr>
                <w:sz w:val="20"/>
                <w:lang w:val="fr-CA"/>
              </w:rPr>
            </w:pPr>
          </w:p>
          <w:p w:rsidR="00A268D3" w:rsidRPr="002F3871" w:rsidRDefault="00A268D3" w:rsidP="00A268D3">
            <w:pPr>
              <w:jc w:val="both"/>
              <w:rPr>
                <w:sz w:val="20"/>
                <w:lang w:val="fr-CA"/>
              </w:rPr>
            </w:pPr>
            <w:r w:rsidRPr="002F3871">
              <w:rPr>
                <w:sz w:val="20"/>
                <w:lang w:val="fr-CA"/>
              </w:rPr>
              <w:t>La demanderesse s’est appuyée sur le texte de [</w:t>
            </w:r>
            <w:r w:rsidRPr="002F3871">
              <w:rPr>
                <w:smallCaps/>
                <w:sz w:val="20"/>
                <w:lang w:val="fr-CA"/>
              </w:rPr>
              <w:t>traduction</w:t>
            </w:r>
            <w:r w:rsidRPr="002F3871">
              <w:rPr>
                <w:sz w:val="20"/>
                <w:lang w:val="fr-CA"/>
              </w:rPr>
              <w:t>] l’Accord de 2009 sur les nouvelles conditions régissant le projet Kumtor, signé par le gouvernement au nom de la République, Kyrgyzaltyn, Cameco, Centerra et les deux filiales actives de Centerra. L’accord régit les conditions de propriété relative à l’exploitation de la plus importante mine d’or du pays et règle toutes les réclamations découlant d’un arbitrage antérieur en matière d’investissement contre la République relativement au projet. La demanderesse allègue que l’accord, considéré seul ou en combinaison avec d’autres éléments de preuve, établit que la République est titulaire des actions en question. Subsidiairement, la demanderesse soutient que Kyrgyzaltyn est titulaire des actions en vertu d’une fiducie résolutoire découlant des circonstances d’achat.</w:t>
            </w:r>
          </w:p>
          <w:p w:rsidR="00A268D3" w:rsidRPr="002F3871" w:rsidRDefault="00A268D3" w:rsidP="00A268D3">
            <w:pPr>
              <w:jc w:val="both"/>
              <w:rPr>
                <w:sz w:val="20"/>
                <w:lang w:val="fr-CA"/>
              </w:rPr>
            </w:pPr>
          </w:p>
        </w:tc>
      </w:tr>
      <w:tr w:rsidR="00A268D3" w:rsidRPr="002F3871" w:rsidTr="00A268D3">
        <w:tc>
          <w:tcPr>
            <w:tcW w:w="2427" w:type="pct"/>
            <w:gridSpan w:val="2"/>
          </w:tcPr>
          <w:p w:rsidR="00A268D3" w:rsidRPr="002F3871" w:rsidRDefault="00A268D3" w:rsidP="00A268D3">
            <w:pPr>
              <w:jc w:val="both"/>
              <w:rPr>
                <w:sz w:val="20"/>
                <w:lang w:val="fr-CA"/>
              </w:rPr>
            </w:pPr>
            <w:r w:rsidRPr="002F3871">
              <w:rPr>
                <w:sz w:val="20"/>
                <w:lang w:val="fr-CA"/>
              </w:rPr>
              <w:t>11 juillet 2016</w:t>
            </w:r>
          </w:p>
          <w:p w:rsidR="00A268D3" w:rsidRPr="002F3871" w:rsidRDefault="00A268D3" w:rsidP="00A268D3">
            <w:pPr>
              <w:jc w:val="both"/>
              <w:rPr>
                <w:sz w:val="20"/>
                <w:lang w:val="fr-CA"/>
              </w:rPr>
            </w:pPr>
            <w:r w:rsidRPr="002F3871">
              <w:rPr>
                <w:sz w:val="20"/>
                <w:lang w:val="fr-CA"/>
              </w:rPr>
              <w:t>Cour supérieure de justice de l’Ontario</w:t>
            </w:r>
          </w:p>
          <w:p w:rsidR="00A268D3" w:rsidRPr="002F3871" w:rsidRDefault="00A268D3" w:rsidP="00A268D3">
            <w:pPr>
              <w:jc w:val="both"/>
              <w:rPr>
                <w:sz w:val="20"/>
                <w:lang w:val="fr-CA"/>
              </w:rPr>
            </w:pPr>
            <w:r w:rsidRPr="002F3871">
              <w:rPr>
                <w:sz w:val="20"/>
                <w:lang w:val="fr-CA"/>
              </w:rPr>
              <w:t>(Juge Conway)</w:t>
            </w:r>
          </w:p>
          <w:p w:rsidR="00A268D3" w:rsidRPr="002F3871" w:rsidRDefault="00ED4247" w:rsidP="00A268D3">
            <w:pPr>
              <w:jc w:val="both"/>
              <w:rPr>
                <w:sz w:val="20"/>
                <w:lang w:val="fr-CA"/>
              </w:rPr>
            </w:pPr>
            <w:hyperlink r:id="rId56" w:history="1">
              <w:r w:rsidR="00A268D3" w:rsidRPr="002F3871">
                <w:rPr>
                  <w:rStyle w:val="Hyperlink"/>
                  <w:sz w:val="20"/>
                  <w:lang w:val="fr-CA"/>
                </w:rPr>
                <w:t>2016 ONSC 4506</w:t>
              </w:r>
            </w:hyperlink>
          </w:p>
          <w:p w:rsidR="00A268D3" w:rsidRPr="002F3871" w:rsidRDefault="00A268D3" w:rsidP="00A268D3">
            <w:pPr>
              <w:jc w:val="both"/>
              <w:rPr>
                <w:sz w:val="20"/>
                <w:lang w:val="fr-CA"/>
              </w:rPr>
            </w:pPr>
          </w:p>
        </w:tc>
        <w:tc>
          <w:tcPr>
            <w:tcW w:w="243" w:type="pct"/>
          </w:tcPr>
          <w:p w:rsidR="00A268D3" w:rsidRPr="002F3871" w:rsidRDefault="00A268D3" w:rsidP="00A268D3">
            <w:pPr>
              <w:jc w:val="both"/>
              <w:rPr>
                <w:sz w:val="20"/>
                <w:lang w:val="fr-CA"/>
              </w:rPr>
            </w:pPr>
          </w:p>
        </w:tc>
        <w:tc>
          <w:tcPr>
            <w:tcW w:w="2330" w:type="pct"/>
          </w:tcPr>
          <w:p w:rsidR="00A268D3" w:rsidRPr="002F3871" w:rsidRDefault="00A268D3" w:rsidP="00A268D3">
            <w:pPr>
              <w:jc w:val="both"/>
              <w:rPr>
                <w:sz w:val="20"/>
                <w:lang w:val="fr-CA"/>
              </w:rPr>
            </w:pPr>
            <w:r w:rsidRPr="002F3871">
              <w:rPr>
                <w:sz w:val="20"/>
                <w:lang w:val="fr-CA"/>
              </w:rPr>
              <w:t>Rejet de la demande</w:t>
            </w:r>
          </w:p>
          <w:p w:rsidR="00A268D3" w:rsidRPr="002F3871" w:rsidRDefault="00A268D3" w:rsidP="00A268D3">
            <w:pPr>
              <w:jc w:val="both"/>
              <w:rPr>
                <w:sz w:val="20"/>
                <w:lang w:val="fr-CA"/>
              </w:rPr>
            </w:pPr>
          </w:p>
        </w:tc>
      </w:tr>
      <w:tr w:rsidR="00A268D3" w:rsidRPr="002F3871" w:rsidTr="00A268D3">
        <w:tc>
          <w:tcPr>
            <w:tcW w:w="2427" w:type="pct"/>
            <w:gridSpan w:val="2"/>
          </w:tcPr>
          <w:p w:rsidR="00A268D3" w:rsidRPr="002F3871" w:rsidRDefault="00A268D3" w:rsidP="00A268D3">
            <w:pPr>
              <w:jc w:val="both"/>
              <w:rPr>
                <w:sz w:val="20"/>
                <w:lang w:val="fr-CA"/>
              </w:rPr>
            </w:pPr>
            <w:r w:rsidRPr="002F3871">
              <w:rPr>
                <w:sz w:val="20"/>
                <w:lang w:val="fr-CA"/>
              </w:rPr>
              <w:t>29 décembre 2016</w:t>
            </w:r>
          </w:p>
          <w:p w:rsidR="00A268D3" w:rsidRPr="002F3871" w:rsidRDefault="00A268D3" w:rsidP="00A268D3">
            <w:pPr>
              <w:jc w:val="both"/>
              <w:rPr>
                <w:sz w:val="20"/>
                <w:lang w:val="fr-CA"/>
              </w:rPr>
            </w:pPr>
            <w:r w:rsidRPr="002F3871">
              <w:rPr>
                <w:sz w:val="20"/>
                <w:lang w:val="fr-CA"/>
              </w:rPr>
              <w:t xml:space="preserve">Cour d’appel de l’Ontario </w:t>
            </w:r>
          </w:p>
          <w:p w:rsidR="00A268D3" w:rsidRPr="002F3871" w:rsidRDefault="00A268D3" w:rsidP="00A268D3">
            <w:pPr>
              <w:jc w:val="both"/>
              <w:rPr>
                <w:sz w:val="20"/>
                <w:lang w:val="fr-CA"/>
              </w:rPr>
            </w:pPr>
            <w:r w:rsidRPr="002F3871">
              <w:rPr>
                <w:sz w:val="20"/>
                <w:lang w:val="fr-CA"/>
              </w:rPr>
              <w:t>(Juges Cronk, Juriansz et Roberts)</w:t>
            </w:r>
          </w:p>
          <w:p w:rsidR="00A268D3" w:rsidRPr="002F3871" w:rsidRDefault="00ED4247" w:rsidP="00A268D3">
            <w:pPr>
              <w:jc w:val="both"/>
              <w:rPr>
                <w:rStyle w:val="nowrap"/>
                <w:sz w:val="20"/>
                <w:lang w:val="fr-CA"/>
              </w:rPr>
            </w:pPr>
            <w:hyperlink r:id="rId57" w:history="1">
              <w:r w:rsidR="00A268D3" w:rsidRPr="002F3871">
                <w:rPr>
                  <w:rStyle w:val="Hyperlink"/>
                  <w:sz w:val="20"/>
                  <w:lang w:val="fr-CA"/>
                </w:rPr>
                <w:t>2016 ONCA 981</w:t>
              </w:r>
            </w:hyperlink>
          </w:p>
          <w:p w:rsidR="00A268D3" w:rsidRPr="002F3871" w:rsidRDefault="00A268D3" w:rsidP="00A268D3">
            <w:pPr>
              <w:jc w:val="both"/>
              <w:rPr>
                <w:sz w:val="20"/>
                <w:lang w:val="fr-CA"/>
              </w:rPr>
            </w:pPr>
          </w:p>
        </w:tc>
        <w:tc>
          <w:tcPr>
            <w:tcW w:w="243" w:type="pct"/>
          </w:tcPr>
          <w:p w:rsidR="00A268D3" w:rsidRPr="002F3871" w:rsidRDefault="00A268D3" w:rsidP="00A268D3">
            <w:pPr>
              <w:jc w:val="both"/>
              <w:rPr>
                <w:sz w:val="20"/>
                <w:lang w:val="fr-CA"/>
              </w:rPr>
            </w:pPr>
          </w:p>
        </w:tc>
        <w:tc>
          <w:tcPr>
            <w:tcW w:w="2330" w:type="pct"/>
          </w:tcPr>
          <w:p w:rsidR="00A268D3" w:rsidRPr="002F3871" w:rsidRDefault="00A268D3" w:rsidP="00A268D3">
            <w:pPr>
              <w:jc w:val="both"/>
              <w:rPr>
                <w:sz w:val="20"/>
                <w:lang w:val="fr-CA"/>
              </w:rPr>
            </w:pPr>
            <w:r w:rsidRPr="002F3871">
              <w:rPr>
                <w:sz w:val="20"/>
                <w:lang w:val="fr-CA"/>
              </w:rPr>
              <w:t>Rejet de l’appel</w:t>
            </w:r>
          </w:p>
        </w:tc>
      </w:tr>
      <w:tr w:rsidR="00A268D3" w:rsidRPr="00ED4247" w:rsidTr="00A268D3">
        <w:tc>
          <w:tcPr>
            <w:tcW w:w="2427" w:type="pct"/>
            <w:gridSpan w:val="2"/>
          </w:tcPr>
          <w:p w:rsidR="00A268D3" w:rsidRPr="002F3871" w:rsidRDefault="00A268D3" w:rsidP="00A268D3">
            <w:pPr>
              <w:jc w:val="both"/>
              <w:rPr>
                <w:sz w:val="20"/>
                <w:lang w:val="fr-CA"/>
              </w:rPr>
            </w:pPr>
            <w:r w:rsidRPr="002F3871">
              <w:rPr>
                <w:sz w:val="20"/>
                <w:lang w:val="fr-CA"/>
              </w:rPr>
              <w:t>27 février 2017</w:t>
            </w:r>
          </w:p>
          <w:p w:rsidR="00A268D3" w:rsidRPr="002F3871" w:rsidRDefault="00A268D3" w:rsidP="00A268D3">
            <w:pPr>
              <w:jc w:val="both"/>
              <w:rPr>
                <w:sz w:val="20"/>
                <w:lang w:val="fr-CA"/>
              </w:rPr>
            </w:pPr>
            <w:r w:rsidRPr="002F3871">
              <w:rPr>
                <w:sz w:val="20"/>
                <w:lang w:val="fr-CA"/>
              </w:rPr>
              <w:t>Cour suprême du Canada</w:t>
            </w:r>
          </w:p>
        </w:tc>
        <w:tc>
          <w:tcPr>
            <w:tcW w:w="243" w:type="pct"/>
          </w:tcPr>
          <w:p w:rsidR="00A268D3" w:rsidRPr="002F3871" w:rsidRDefault="00A268D3" w:rsidP="00A268D3">
            <w:pPr>
              <w:jc w:val="both"/>
              <w:rPr>
                <w:sz w:val="20"/>
                <w:lang w:val="fr-CA"/>
              </w:rPr>
            </w:pPr>
          </w:p>
        </w:tc>
        <w:tc>
          <w:tcPr>
            <w:tcW w:w="2330" w:type="pct"/>
          </w:tcPr>
          <w:p w:rsidR="00A268D3" w:rsidRPr="002F3871" w:rsidRDefault="00A268D3" w:rsidP="00A268D3">
            <w:pPr>
              <w:jc w:val="both"/>
              <w:rPr>
                <w:sz w:val="20"/>
                <w:lang w:val="fr-CA"/>
              </w:rPr>
            </w:pPr>
            <w:r w:rsidRPr="002F3871">
              <w:rPr>
                <w:sz w:val="20"/>
                <w:lang w:val="fr-CA"/>
              </w:rPr>
              <w:t>Dépôt de la demande d’autorisation d’appel</w:t>
            </w:r>
          </w:p>
          <w:p w:rsidR="00A268D3" w:rsidRPr="002F3871" w:rsidRDefault="00A268D3" w:rsidP="00A268D3">
            <w:pPr>
              <w:jc w:val="both"/>
              <w:rPr>
                <w:sz w:val="20"/>
                <w:lang w:val="fr-CA"/>
              </w:rPr>
            </w:pPr>
          </w:p>
        </w:tc>
      </w:tr>
    </w:tbl>
    <w:p w:rsidR="00A268D3" w:rsidRPr="002F3871" w:rsidRDefault="00ED4247" w:rsidP="00A268D3">
      <w:pPr>
        <w:jc w:val="both"/>
        <w:rPr>
          <w:sz w:val="20"/>
          <w:lang w:val="fr-CA"/>
        </w:rPr>
      </w:pPr>
      <w:r>
        <w:rPr>
          <w:sz w:val="20"/>
          <w:szCs w:val="20"/>
        </w:rPr>
        <w:pict>
          <v:rect id="_x0000_i1072" style="width:2in;height:1pt" o:hrpct="0" o:hralign="center" o:hrstd="t" o:hrnoshade="t" o:hr="t" fillcolor="black" stroked="f"/>
        </w:pict>
      </w:r>
    </w:p>
    <w:p w:rsidR="00A268D3" w:rsidRPr="002F3871" w:rsidRDefault="00A268D3" w:rsidP="00A268D3">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A268D3" w:rsidRPr="002F3871" w:rsidTr="00A268D3">
        <w:tc>
          <w:tcPr>
            <w:tcW w:w="543" w:type="pct"/>
          </w:tcPr>
          <w:p w:rsidR="00A268D3" w:rsidRPr="002F3871" w:rsidRDefault="00A268D3" w:rsidP="00A268D3">
            <w:pPr>
              <w:jc w:val="both"/>
              <w:rPr>
                <w:sz w:val="20"/>
              </w:rPr>
            </w:pPr>
            <w:r w:rsidRPr="002F3871">
              <w:rPr>
                <w:rStyle w:val="SCCFileNumberChar"/>
                <w:sz w:val="20"/>
                <w:szCs w:val="20"/>
              </w:rPr>
              <w:t>37486</w:t>
            </w:r>
          </w:p>
        </w:tc>
        <w:tc>
          <w:tcPr>
            <w:tcW w:w="4457" w:type="pct"/>
          </w:tcPr>
          <w:p w:rsidR="00A268D3" w:rsidRPr="002F3871" w:rsidRDefault="00A268D3" w:rsidP="00A268D3">
            <w:pPr>
              <w:pStyle w:val="SCCLsocParty"/>
              <w:jc w:val="both"/>
              <w:rPr>
                <w:b/>
                <w:sz w:val="20"/>
                <w:szCs w:val="20"/>
                <w:lang w:val="en-US"/>
              </w:rPr>
            </w:pPr>
            <w:r w:rsidRPr="002F3871">
              <w:rPr>
                <w:b/>
                <w:sz w:val="20"/>
                <w:szCs w:val="20"/>
                <w:lang w:val="en-US"/>
              </w:rPr>
              <w:t>Jimmy John v. Her Majesty the Queen</w:t>
            </w:r>
          </w:p>
          <w:p w:rsidR="00A268D3" w:rsidRPr="002F3871" w:rsidRDefault="00A268D3" w:rsidP="00A268D3">
            <w:pPr>
              <w:jc w:val="both"/>
              <w:rPr>
                <w:sz w:val="20"/>
              </w:rPr>
            </w:pPr>
            <w:r w:rsidRPr="002F3871">
              <w:rPr>
                <w:sz w:val="20"/>
              </w:rPr>
              <w:t>(Ont.) (Criminal) (By Leave)</w:t>
            </w:r>
          </w:p>
        </w:tc>
      </w:tr>
      <w:tr w:rsidR="00C41450" w:rsidRPr="002F3871" w:rsidTr="00A268D3">
        <w:tc>
          <w:tcPr>
            <w:tcW w:w="543" w:type="pct"/>
          </w:tcPr>
          <w:p w:rsidR="00C41450" w:rsidRPr="002F3871" w:rsidRDefault="00C41450" w:rsidP="00A268D3">
            <w:pPr>
              <w:jc w:val="both"/>
              <w:rPr>
                <w:rStyle w:val="SCCFileNumberChar"/>
                <w:sz w:val="20"/>
                <w:szCs w:val="20"/>
              </w:rPr>
            </w:pPr>
            <w:r>
              <w:rPr>
                <w:rStyle w:val="SCCFileNumberChar"/>
                <w:sz w:val="20"/>
                <w:szCs w:val="20"/>
              </w:rPr>
              <w:t>Coram:</w:t>
            </w:r>
          </w:p>
        </w:tc>
        <w:tc>
          <w:tcPr>
            <w:tcW w:w="4457" w:type="pct"/>
          </w:tcPr>
          <w:p w:rsidR="00C41450" w:rsidRDefault="00BA1B9B" w:rsidP="00A268D3">
            <w:pPr>
              <w:pStyle w:val="SCCLsocParty"/>
              <w:jc w:val="both"/>
              <w:rPr>
                <w:rFonts w:eastAsiaTheme="minorEastAsia"/>
                <w:sz w:val="20"/>
                <w:szCs w:val="20"/>
                <w:lang w:val="en-US" w:eastAsia="en-CA"/>
              </w:rPr>
            </w:pPr>
            <w:proofErr w:type="spellStart"/>
            <w:r w:rsidRPr="00BA1B9B">
              <w:rPr>
                <w:rFonts w:eastAsiaTheme="minorEastAsia"/>
                <w:sz w:val="20"/>
                <w:szCs w:val="20"/>
                <w:lang w:val="en-US" w:eastAsia="en-CA"/>
              </w:rPr>
              <w:t>McLachlin</w:t>
            </w:r>
            <w:proofErr w:type="spellEnd"/>
            <w:r w:rsidRPr="00BA1B9B">
              <w:rPr>
                <w:rFonts w:eastAsiaTheme="minorEastAsia"/>
                <w:sz w:val="20"/>
                <w:szCs w:val="20"/>
                <w:lang w:val="en-US" w:eastAsia="en-CA"/>
              </w:rPr>
              <w:t xml:space="preserve"> C.J. and </w:t>
            </w:r>
            <w:proofErr w:type="spellStart"/>
            <w:r w:rsidRPr="00BA1B9B">
              <w:rPr>
                <w:rFonts w:eastAsiaTheme="minorEastAsia"/>
                <w:sz w:val="20"/>
                <w:szCs w:val="20"/>
                <w:lang w:val="en-US" w:eastAsia="en-CA"/>
              </w:rPr>
              <w:t>Abella</w:t>
            </w:r>
            <w:proofErr w:type="spellEnd"/>
            <w:r w:rsidRPr="00BA1B9B">
              <w:rPr>
                <w:rFonts w:eastAsiaTheme="minorEastAsia"/>
                <w:sz w:val="20"/>
                <w:szCs w:val="20"/>
                <w:lang w:val="en-US" w:eastAsia="en-CA"/>
              </w:rPr>
              <w:t xml:space="preserve">, </w:t>
            </w:r>
            <w:proofErr w:type="spellStart"/>
            <w:r w:rsidRPr="00BA1B9B">
              <w:rPr>
                <w:rFonts w:eastAsiaTheme="minorEastAsia"/>
                <w:sz w:val="20"/>
                <w:szCs w:val="20"/>
                <w:lang w:val="en-US" w:eastAsia="en-CA"/>
              </w:rPr>
              <w:t>Moldaver</w:t>
            </w:r>
            <w:proofErr w:type="spellEnd"/>
            <w:r w:rsidRPr="00BA1B9B">
              <w:rPr>
                <w:rFonts w:eastAsiaTheme="minorEastAsia"/>
                <w:sz w:val="20"/>
                <w:szCs w:val="20"/>
                <w:lang w:val="en-US" w:eastAsia="en-CA"/>
              </w:rPr>
              <w:t xml:space="preserve">, </w:t>
            </w:r>
            <w:proofErr w:type="spellStart"/>
            <w:r w:rsidRPr="00BA1B9B">
              <w:rPr>
                <w:rFonts w:eastAsiaTheme="minorEastAsia"/>
                <w:sz w:val="20"/>
                <w:szCs w:val="20"/>
                <w:lang w:val="en-US" w:eastAsia="en-CA"/>
              </w:rPr>
              <w:t>Karakatsanis</w:t>
            </w:r>
            <w:proofErr w:type="spellEnd"/>
            <w:r w:rsidRPr="00BA1B9B">
              <w:rPr>
                <w:rFonts w:eastAsiaTheme="minorEastAsia"/>
                <w:sz w:val="20"/>
                <w:szCs w:val="20"/>
                <w:lang w:val="en-US" w:eastAsia="en-CA"/>
              </w:rPr>
              <w:t xml:space="preserve">, Wagner, </w:t>
            </w:r>
            <w:proofErr w:type="spellStart"/>
            <w:r w:rsidRPr="00BA1B9B">
              <w:rPr>
                <w:rFonts w:eastAsiaTheme="minorEastAsia"/>
                <w:sz w:val="20"/>
                <w:szCs w:val="20"/>
                <w:lang w:val="en-US" w:eastAsia="en-CA"/>
              </w:rPr>
              <w:t>Gascon</w:t>
            </w:r>
            <w:proofErr w:type="spellEnd"/>
            <w:r w:rsidRPr="00BA1B9B">
              <w:rPr>
                <w:rFonts w:eastAsiaTheme="minorEastAsia"/>
                <w:sz w:val="20"/>
                <w:szCs w:val="20"/>
                <w:lang w:val="en-US" w:eastAsia="en-CA"/>
              </w:rPr>
              <w:t xml:space="preserve">, </w:t>
            </w:r>
            <w:proofErr w:type="spellStart"/>
            <w:r w:rsidRPr="00BA1B9B">
              <w:rPr>
                <w:rFonts w:eastAsiaTheme="minorEastAsia"/>
                <w:sz w:val="20"/>
                <w:szCs w:val="20"/>
                <w:lang w:val="en-US" w:eastAsia="en-CA"/>
              </w:rPr>
              <w:t>Côté</w:t>
            </w:r>
            <w:proofErr w:type="spellEnd"/>
            <w:r w:rsidRPr="00BA1B9B">
              <w:rPr>
                <w:rFonts w:eastAsiaTheme="minorEastAsia"/>
                <w:sz w:val="20"/>
                <w:szCs w:val="20"/>
                <w:lang w:val="en-US" w:eastAsia="en-CA"/>
              </w:rPr>
              <w:t>, Brown and Rowe JJ.</w:t>
            </w:r>
          </w:p>
          <w:p w:rsidR="00BA1B9B" w:rsidRPr="00BA1B9B" w:rsidRDefault="00BA1B9B" w:rsidP="00BA1B9B">
            <w:pPr>
              <w:rPr>
                <w:lang w:val="en-US" w:eastAsia="en-CA"/>
              </w:rPr>
            </w:pPr>
          </w:p>
        </w:tc>
      </w:tr>
      <w:tr w:rsidR="00C41450" w:rsidRPr="002F3871" w:rsidTr="00C41450">
        <w:tc>
          <w:tcPr>
            <w:tcW w:w="5000" w:type="pct"/>
            <w:gridSpan w:val="2"/>
          </w:tcPr>
          <w:p w:rsidR="00C41450" w:rsidRDefault="00BA1B9B" w:rsidP="00A268D3">
            <w:pPr>
              <w:pStyle w:val="SCCLsocParty"/>
              <w:jc w:val="both"/>
              <w:rPr>
                <w:sz w:val="20"/>
                <w:szCs w:val="20"/>
                <w:lang w:val="en-US"/>
              </w:rPr>
            </w:pPr>
            <w:r w:rsidRPr="00BA1B9B">
              <w:rPr>
                <w:sz w:val="20"/>
                <w:szCs w:val="20"/>
                <w:lang w:val="en-US"/>
              </w:rPr>
              <w:t>The motion for an extension of time to serve and file the application for leave to appeal is granted. The application for leave to appeal from the judgment of the Court of Appeal for Ontario, Number C54442, 2016 ONCA 615, dated August 8, 2016, is dismissed.</w:t>
            </w:r>
          </w:p>
          <w:p w:rsidR="00BA1B9B" w:rsidRPr="00BA1B9B" w:rsidRDefault="00BA1B9B" w:rsidP="00BA1B9B">
            <w:pPr>
              <w:rPr>
                <w:lang w:val="en-US"/>
              </w:rPr>
            </w:pPr>
          </w:p>
        </w:tc>
      </w:tr>
      <w:tr w:rsidR="00A268D3" w:rsidRPr="002F3871" w:rsidTr="00A268D3">
        <w:tc>
          <w:tcPr>
            <w:tcW w:w="5000" w:type="pct"/>
            <w:gridSpan w:val="2"/>
          </w:tcPr>
          <w:p w:rsidR="00A268D3" w:rsidRPr="002F3871" w:rsidRDefault="00A268D3" w:rsidP="00A268D3">
            <w:pPr>
              <w:jc w:val="both"/>
              <w:rPr>
                <w:sz w:val="20"/>
              </w:rPr>
            </w:pPr>
            <w:r w:rsidRPr="002F3871">
              <w:rPr>
                <w:sz w:val="20"/>
              </w:rPr>
              <w:t xml:space="preserve">Criminal law – Trial – Whether Crown’s conduct vitiated a fair trial – Should trial and appellate courts be more protective of an accused’s fair trial rights when the Crown’s conduct has intentionally jeopardized them? </w:t>
            </w:r>
          </w:p>
        </w:tc>
      </w:tr>
      <w:tr w:rsidR="00A268D3" w:rsidRPr="002F3871" w:rsidTr="00A268D3">
        <w:tc>
          <w:tcPr>
            <w:tcW w:w="5000" w:type="pct"/>
            <w:gridSpan w:val="2"/>
          </w:tcPr>
          <w:p w:rsidR="00A268D3" w:rsidRPr="002F3871" w:rsidRDefault="00A268D3" w:rsidP="00A268D3">
            <w:pPr>
              <w:jc w:val="both"/>
              <w:rPr>
                <w:sz w:val="20"/>
              </w:rPr>
            </w:pPr>
          </w:p>
        </w:tc>
      </w:tr>
      <w:tr w:rsidR="00A268D3" w:rsidRPr="002F3871" w:rsidTr="00A268D3">
        <w:tc>
          <w:tcPr>
            <w:tcW w:w="5000" w:type="pct"/>
            <w:gridSpan w:val="2"/>
          </w:tcPr>
          <w:p w:rsidR="00A268D3" w:rsidRPr="002F3871" w:rsidRDefault="00A268D3" w:rsidP="00A268D3">
            <w:pPr>
              <w:jc w:val="both"/>
              <w:rPr>
                <w:sz w:val="20"/>
              </w:rPr>
            </w:pPr>
            <w:r w:rsidRPr="002F3871">
              <w:rPr>
                <w:sz w:val="20"/>
              </w:rPr>
              <w:lastRenderedPageBreak/>
              <w:t>The deceased was shot during an altercation on a Toronto street in the presence of a large crowd participating in a Jamaica Day celebration. He died as a result of his injuries a few days later. The trial judge declined to grant the applicant’s request for a mistrial based on the Crown’s conduct. The trial judge gave strong corrective instructions to the jury. The applicant was convicted of second degree murder. The conviction appeal was dismissed by the Court of Appeal.</w:t>
            </w:r>
          </w:p>
          <w:p w:rsidR="00A268D3" w:rsidRPr="002F3871" w:rsidRDefault="00A268D3" w:rsidP="00A268D3">
            <w:pPr>
              <w:jc w:val="both"/>
              <w:rPr>
                <w:sz w:val="20"/>
              </w:rPr>
            </w:pPr>
          </w:p>
        </w:tc>
      </w:tr>
      <w:tr w:rsidR="00A268D3" w:rsidRPr="002F3871" w:rsidTr="00A268D3">
        <w:tc>
          <w:tcPr>
            <w:tcW w:w="5000" w:type="pct"/>
            <w:gridSpan w:val="2"/>
          </w:tcPr>
          <w:tbl>
            <w:tblPr>
              <w:tblW w:w="5000" w:type="pct"/>
              <w:tblLayout w:type="fixed"/>
              <w:tblCellMar>
                <w:left w:w="0" w:type="dxa"/>
                <w:right w:w="0" w:type="dxa"/>
              </w:tblCellMar>
              <w:tblLook w:val="04A0" w:firstRow="1" w:lastRow="0" w:firstColumn="1" w:lastColumn="0" w:noHBand="0" w:noVBand="1"/>
            </w:tblPr>
            <w:tblGrid>
              <w:gridCol w:w="4510"/>
              <w:gridCol w:w="509"/>
              <w:gridCol w:w="4508"/>
            </w:tblGrid>
            <w:tr w:rsidR="00A268D3" w:rsidRPr="002F3871" w:rsidTr="00A268D3">
              <w:tc>
                <w:tcPr>
                  <w:tcW w:w="2367" w:type="pct"/>
                </w:tcPr>
                <w:p w:rsidR="00A268D3" w:rsidRPr="002F3871" w:rsidRDefault="00A268D3" w:rsidP="00A268D3">
                  <w:pPr>
                    <w:jc w:val="both"/>
                    <w:rPr>
                      <w:sz w:val="20"/>
                    </w:rPr>
                  </w:pPr>
                  <w:r w:rsidRPr="002F3871">
                    <w:rPr>
                      <w:sz w:val="20"/>
                    </w:rPr>
                    <w:t>March 18, 2011</w:t>
                  </w:r>
                </w:p>
                <w:p w:rsidR="00A268D3" w:rsidRPr="002F3871" w:rsidRDefault="00A268D3" w:rsidP="00A268D3">
                  <w:pPr>
                    <w:jc w:val="both"/>
                    <w:rPr>
                      <w:sz w:val="20"/>
                    </w:rPr>
                  </w:pPr>
                  <w:r w:rsidRPr="002F3871">
                    <w:rPr>
                      <w:sz w:val="20"/>
                    </w:rPr>
                    <w:t>Ontario Superior Court of Justice</w:t>
                  </w:r>
                </w:p>
                <w:p w:rsidR="00A268D3" w:rsidRPr="002F3871" w:rsidRDefault="00A268D3" w:rsidP="00A268D3">
                  <w:pPr>
                    <w:jc w:val="both"/>
                    <w:rPr>
                      <w:sz w:val="20"/>
                    </w:rPr>
                  </w:pPr>
                  <w:r w:rsidRPr="002F3871">
                    <w:rPr>
                      <w:sz w:val="20"/>
                    </w:rPr>
                    <w:t>(O'Marra J.)</w:t>
                  </w:r>
                </w:p>
                <w:p w:rsidR="00A268D3" w:rsidRPr="002F3871" w:rsidRDefault="00A268D3" w:rsidP="00A268D3">
                  <w:pPr>
                    <w:jc w:val="both"/>
                    <w:rPr>
                      <w:sz w:val="20"/>
                    </w:rPr>
                  </w:pPr>
                </w:p>
              </w:tc>
              <w:tc>
                <w:tcPr>
                  <w:tcW w:w="267" w:type="pct"/>
                </w:tcPr>
                <w:p w:rsidR="00A268D3" w:rsidRPr="002F3871" w:rsidRDefault="00A268D3" w:rsidP="00A268D3">
                  <w:pPr>
                    <w:jc w:val="both"/>
                    <w:rPr>
                      <w:sz w:val="20"/>
                    </w:rPr>
                  </w:pPr>
                </w:p>
              </w:tc>
              <w:tc>
                <w:tcPr>
                  <w:tcW w:w="2366" w:type="pct"/>
                </w:tcPr>
                <w:p w:rsidR="00A268D3" w:rsidRPr="002F3871" w:rsidRDefault="00A268D3" w:rsidP="00A268D3">
                  <w:pPr>
                    <w:jc w:val="both"/>
                    <w:rPr>
                      <w:sz w:val="20"/>
                    </w:rPr>
                  </w:pPr>
                  <w:r w:rsidRPr="002F3871">
                    <w:rPr>
                      <w:sz w:val="20"/>
                    </w:rPr>
                    <w:t>Conviction for second degree murder</w:t>
                  </w:r>
                </w:p>
                <w:p w:rsidR="00A268D3" w:rsidRPr="002F3871" w:rsidRDefault="00A268D3" w:rsidP="00A268D3">
                  <w:pPr>
                    <w:jc w:val="both"/>
                    <w:rPr>
                      <w:sz w:val="20"/>
                    </w:rPr>
                  </w:pPr>
                </w:p>
              </w:tc>
            </w:tr>
            <w:tr w:rsidR="00A268D3" w:rsidRPr="002F3871" w:rsidTr="00A268D3">
              <w:tc>
                <w:tcPr>
                  <w:tcW w:w="2367" w:type="pct"/>
                </w:tcPr>
                <w:p w:rsidR="00A268D3" w:rsidRPr="002F3871" w:rsidRDefault="00A268D3" w:rsidP="00A268D3">
                  <w:pPr>
                    <w:jc w:val="both"/>
                    <w:rPr>
                      <w:sz w:val="20"/>
                    </w:rPr>
                  </w:pPr>
                  <w:r w:rsidRPr="002F3871">
                    <w:rPr>
                      <w:sz w:val="20"/>
                    </w:rPr>
                    <w:t>August 8, 2016</w:t>
                  </w:r>
                </w:p>
                <w:p w:rsidR="00A268D3" w:rsidRPr="002F3871" w:rsidRDefault="00A268D3" w:rsidP="00A268D3">
                  <w:pPr>
                    <w:jc w:val="both"/>
                    <w:rPr>
                      <w:sz w:val="20"/>
                    </w:rPr>
                  </w:pPr>
                  <w:r w:rsidRPr="002F3871">
                    <w:rPr>
                      <w:sz w:val="20"/>
                    </w:rPr>
                    <w:t>Court of Appeal for Ontario</w:t>
                  </w:r>
                </w:p>
                <w:p w:rsidR="00A268D3" w:rsidRPr="002F3871" w:rsidRDefault="00A268D3" w:rsidP="00A268D3">
                  <w:pPr>
                    <w:jc w:val="both"/>
                    <w:rPr>
                      <w:sz w:val="20"/>
                    </w:rPr>
                  </w:pPr>
                  <w:r w:rsidRPr="002F3871">
                    <w:rPr>
                      <w:sz w:val="20"/>
                    </w:rPr>
                    <w:t>(Sharpe, Watt, Brown JJ.A.)</w:t>
                  </w:r>
                </w:p>
                <w:p w:rsidR="00A268D3" w:rsidRPr="002F3871" w:rsidRDefault="00A268D3" w:rsidP="00A268D3">
                  <w:pPr>
                    <w:jc w:val="both"/>
                    <w:rPr>
                      <w:sz w:val="20"/>
                    </w:rPr>
                  </w:pPr>
                  <w:r w:rsidRPr="002F3871">
                    <w:rPr>
                      <w:sz w:val="20"/>
                    </w:rPr>
                    <w:t>2016 ONCA 615; C54442</w:t>
                  </w:r>
                </w:p>
                <w:p w:rsidR="00A268D3" w:rsidRPr="002F3871" w:rsidRDefault="00A268D3" w:rsidP="00A268D3">
                  <w:pPr>
                    <w:jc w:val="both"/>
                    <w:rPr>
                      <w:sz w:val="20"/>
                    </w:rPr>
                  </w:pPr>
                </w:p>
              </w:tc>
              <w:tc>
                <w:tcPr>
                  <w:tcW w:w="267" w:type="pct"/>
                </w:tcPr>
                <w:p w:rsidR="00A268D3" w:rsidRPr="002F3871" w:rsidRDefault="00A268D3" w:rsidP="00A268D3">
                  <w:pPr>
                    <w:jc w:val="both"/>
                    <w:rPr>
                      <w:sz w:val="20"/>
                    </w:rPr>
                  </w:pPr>
                </w:p>
              </w:tc>
              <w:tc>
                <w:tcPr>
                  <w:tcW w:w="2366" w:type="pct"/>
                </w:tcPr>
                <w:p w:rsidR="00A268D3" w:rsidRPr="002F3871" w:rsidRDefault="00A268D3" w:rsidP="00A268D3">
                  <w:pPr>
                    <w:jc w:val="both"/>
                    <w:rPr>
                      <w:sz w:val="20"/>
                    </w:rPr>
                  </w:pPr>
                  <w:r w:rsidRPr="002F3871">
                    <w:rPr>
                      <w:sz w:val="20"/>
                    </w:rPr>
                    <w:t>Conviction appeal dismissed</w:t>
                  </w:r>
                </w:p>
                <w:p w:rsidR="00A268D3" w:rsidRPr="002F3871" w:rsidRDefault="00A268D3" w:rsidP="00A268D3">
                  <w:pPr>
                    <w:jc w:val="both"/>
                    <w:rPr>
                      <w:sz w:val="20"/>
                    </w:rPr>
                  </w:pPr>
                </w:p>
              </w:tc>
            </w:tr>
            <w:tr w:rsidR="00A268D3" w:rsidRPr="002F3871" w:rsidTr="00A268D3">
              <w:tc>
                <w:tcPr>
                  <w:tcW w:w="2367" w:type="pct"/>
                </w:tcPr>
                <w:p w:rsidR="00A268D3" w:rsidRPr="002F3871" w:rsidRDefault="00A268D3" w:rsidP="00A268D3">
                  <w:pPr>
                    <w:jc w:val="both"/>
                    <w:rPr>
                      <w:sz w:val="20"/>
                    </w:rPr>
                  </w:pPr>
                  <w:r w:rsidRPr="002F3871">
                    <w:rPr>
                      <w:sz w:val="20"/>
                    </w:rPr>
                    <w:t>March 16, 2017</w:t>
                  </w:r>
                </w:p>
                <w:p w:rsidR="00A268D3" w:rsidRPr="002F3871" w:rsidRDefault="00A268D3" w:rsidP="00A268D3">
                  <w:pPr>
                    <w:jc w:val="both"/>
                    <w:rPr>
                      <w:sz w:val="20"/>
                    </w:rPr>
                  </w:pPr>
                  <w:r w:rsidRPr="002F3871">
                    <w:rPr>
                      <w:sz w:val="20"/>
                    </w:rPr>
                    <w:t>Supreme Court of Canada</w:t>
                  </w:r>
                </w:p>
              </w:tc>
              <w:tc>
                <w:tcPr>
                  <w:tcW w:w="267" w:type="pct"/>
                </w:tcPr>
                <w:p w:rsidR="00A268D3" w:rsidRPr="002F3871" w:rsidRDefault="00A268D3" w:rsidP="00A268D3">
                  <w:pPr>
                    <w:jc w:val="both"/>
                    <w:rPr>
                      <w:sz w:val="20"/>
                    </w:rPr>
                  </w:pPr>
                </w:p>
              </w:tc>
              <w:tc>
                <w:tcPr>
                  <w:tcW w:w="2366" w:type="pct"/>
                </w:tcPr>
                <w:p w:rsidR="00A268D3" w:rsidRPr="002F3871" w:rsidRDefault="00A268D3" w:rsidP="00A268D3">
                  <w:pPr>
                    <w:jc w:val="both"/>
                    <w:rPr>
                      <w:sz w:val="20"/>
                    </w:rPr>
                  </w:pPr>
                  <w:r w:rsidRPr="002F3871">
                    <w:rPr>
                      <w:sz w:val="20"/>
                    </w:rPr>
                    <w:t>Motion for an extension of time to serve and file the application for leave to appeal and application for leave to appeal filed</w:t>
                  </w:r>
                </w:p>
              </w:tc>
            </w:tr>
          </w:tbl>
          <w:p w:rsidR="00A268D3" w:rsidRPr="002F3871" w:rsidRDefault="00A268D3" w:rsidP="00A268D3">
            <w:pPr>
              <w:jc w:val="both"/>
              <w:rPr>
                <w:sz w:val="20"/>
              </w:rPr>
            </w:pPr>
          </w:p>
        </w:tc>
      </w:tr>
    </w:tbl>
    <w:p w:rsidR="00A268D3" w:rsidRPr="002F3871" w:rsidRDefault="00ED4247" w:rsidP="00A268D3">
      <w:pPr>
        <w:jc w:val="both"/>
        <w:rPr>
          <w:sz w:val="20"/>
        </w:rPr>
      </w:pPr>
      <w:r>
        <w:rPr>
          <w:sz w:val="20"/>
          <w:szCs w:val="20"/>
        </w:rPr>
        <w:pict>
          <v:rect id="_x0000_i1073" style="width:2in;height:1pt" o:hrpct="0" o:hralign="center" o:hrstd="t" o:hrnoshade="t" o:hr="t" fillcolor="black" stroked="f"/>
        </w:pict>
      </w:r>
    </w:p>
    <w:p w:rsidR="00A268D3" w:rsidRPr="002F3871" w:rsidRDefault="00A268D3" w:rsidP="00A268D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A268D3" w:rsidRPr="002F3871" w:rsidTr="00A268D3">
        <w:tc>
          <w:tcPr>
            <w:tcW w:w="543" w:type="pct"/>
          </w:tcPr>
          <w:p w:rsidR="00A268D3" w:rsidRPr="002F3871" w:rsidRDefault="00A268D3" w:rsidP="00A268D3">
            <w:pPr>
              <w:jc w:val="both"/>
              <w:rPr>
                <w:sz w:val="20"/>
                <w:lang w:val="fr-CA"/>
              </w:rPr>
            </w:pPr>
            <w:r w:rsidRPr="002F3871">
              <w:rPr>
                <w:rStyle w:val="SCCFileNumberChar"/>
                <w:sz w:val="20"/>
                <w:szCs w:val="20"/>
                <w:lang w:val="fr-CA"/>
              </w:rPr>
              <w:t>37486</w:t>
            </w:r>
          </w:p>
        </w:tc>
        <w:tc>
          <w:tcPr>
            <w:tcW w:w="4457" w:type="pct"/>
          </w:tcPr>
          <w:p w:rsidR="00A268D3" w:rsidRPr="002F3871" w:rsidRDefault="00A268D3" w:rsidP="00A268D3">
            <w:pPr>
              <w:pStyle w:val="SCCLsocParty"/>
              <w:jc w:val="both"/>
              <w:rPr>
                <w:b/>
                <w:sz w:val="20"/>
                <w:szCs w:val="20"/>
              </w:rPr>
            </w:pPr>
            <w:r w:rsidRPr="002F3871">
              <w:rPr>
                <w:b/>
                <w:sz w:val="20"/>
                <w:szCs w:val="20"/>
              </w:rPr>
              <w:t>Jimmy John c. Sa Majesté la Reine</w:t>
            </w:r>
          </w:p>
          <w:p w:rsidR="00A268D3" w:rsidRPr="002F3871" w:rsidRDefault="00A268D3" w:rsidP="00A268D3">
            <w:pPr>
              <w:jc w:val="both"/>
              <w:rPr>
                <w:sz w:val="20"/>
                <w:lang w:val="fr-CA"/>
              </w:rPr>
            </w:pPr>
            <w:r w:rsidRPr="002F3871">
              <w:rPr>
                <w:sz w:val="20"/>
                <w:lang w:val="fr-CA"/>
              </w:rPr>
              <w:t>(Ont.) (Criminelle) (Sur autorisation)</w:t>
            </w:r>
          </w:p>
        </w:tc>
      </w:tr>
      <w:tr w:rsidR="00C41450" w:rsidRPr="00ED4247" w:rsidTr="00A268D3">
        <w:tc>
          <w:tcPr>
            <w:tcW w:w="543" w:type="pct"/>
          </w:tcPr>
          <w:p w:rsidR="00C41450" w:rsidRPr="002F3871" w:rsidRDefault="00C41450" w:rsidP="00A268D3">
            <w:pPr>
              <w:jc w:val="both"/>
              <w:rPr>
                <w:rStyle w:val="SCCFileNumberChar"/>
                <w:sz w:val="20"/>
                <w:szCs w:val="20"/>
                <w:lang w:val="fr-CA"/>
              </w:rPr>
            </w:pPr>
            <w:r>
              <w:rPr>
                <w:rStyle w:val="SCCFileNumberChar"/>
                <w:sz w:val="20"/>
                <w:szCs w:val="20"/>
                <w:lang w:val="fr-CA"/>
              </w:rPr>
              <w:t>Coram :</w:t>
            </w:r>
          </w:p>
        </w:tc>
        <w:tc>
          <w:tcPr>
            <w:tcW w:w="4457" w:type="pct"/>
          </w:tcPr>
          <w:p w:rsidR="00C41450" w:rsidRDefault="00BA1B9B" w:rsidP="00A268D3">
            <w:pPr>
              <w:pStyle w:val="SCCLsocParty"/>
              <w:jc w:val="both"/>
              <w:rPr>
                <w:rFonts w:eastAsiaTheme="minorEastAsia"/>
                <w:sz w:val="20"/>
                <w:szCs w:val="20"/>
                <w:lang w:val="fr-FR" w:eastAsia="en-CA"/>
              </w:rPr>
            </w:pPr>
            <w:r w:rsidRPr="00F11EBD">
              <w:rPr>
                <w:rFonts w:eastAsiaTheme="minorEastAsia"/>
                <w:sz w:val="20"/>
                <w:szCs w:val="20"/>
                <w:lang w:val="fr-FR" w:eastAsia="en-CA"/>
              </w:rPr>
              <w:t xml:space="preserve">La juge en chef </w:t>
            </w:r>
            <w:proofErr w:type="spellStart"/>
            <w:r w:rsidRPr="00F11EBD">
              <w:rPr>
                <w:rFonts w:eastAsiaTheme="minorEastAsia"/>
                <w:sz w:val="20"/>
                <w:szCs w:val="20"/>
                <w:lang w:val="fr-FR" w:eastAsia="en-CA"/>
              </w:rPr>
              <w:t>McLachlin</w:t>
            </w:r>
            <w:proofErr w:type="spellEnd"/>
            <w:r w:rsidRPr="00F11EBD">
              <w:rPr>
                <w:rFonts w:eastAsiaTheme="minorEastAsia"/>
                <w:sz w:val="20"/>
                <w:szCs w:val="20"/>
                <w:lang w:val="fr-FR" w:eastAsia="en-CA"/>
              </w:rPr>
              <w:t xml:space="preserve"> et les juges Abella, </w:t>
            </w:r>
            <w:proofErr w:type="spellStart"/>
            <w:r w:rsidRPr="00F11EBD">
              <w:rPr>
                <w:rFonts w:eastAsiaTheme="minorEastAsia"/>
                <w:sz w:val="20"/>
                <w:szCs w:val="20"/>
                <w:lang w:val="fr-FR" w:eastAsia="en-CA"/>
              </w:rPr>
              <w:t>Moldaver</w:t>
            </w:r>
            <w:proofErr w:type="spellEnd"/>
            <w:r w:rsidRPr="00F11EBD">
              <w:rPr>
                <w:rFonts w:eastAsiaTheme="minorEastAsia"/>
                <w:sz w:val="20"/>
                <w:szCs w:val="20"/>
                <w:lang w:val="fr-FR" w:eastAsia="en-CA"/>
              </w:rPr>
              <w:t xml:space="preserve">, </w:t>
            </w:r>
            <w:proofErr w:type="spellStart"/>
            <w:r w:rsidRPr="00F11EBD">
              <w:rPr>
                <w:rFonts w:eastAsiaTheme="minorEastAsia"/>
                <w:sz w:val="20"/>
                <w:szCs w:val="20"/>
                <w:lang w:val="fr-FR" w:eastAsia="en-CA"/>
              </w:rPr>
              <w:t>Karakatsanis</w:t>
            </w:r>
            <w:proofErr w:type="spellEnd"/>
            <w:r w:rsidRPr="00F11EBD">
              <w:rPr>
                <w:rFonts w:eastAsiaTheme="minorEastAsia"/>
                <w:sz w:val="20"/>
                <w:szCs w:val="20"/>
                <w:lang w:val="fr-FR" w:eastAsia="en-CA"/>
              </w:rPr>
              <w:t>, Wagner, Gascon, Côté, Brown et Rowe</w:t>
            </w:r>
          </w:p>
          <w:p w:rsidR="00BA1B9B" w:rsidRPr="00BA1B9B" w:rsidRDefault="00BA1B9B" w:rsidP="00BA1B9B">
            <w:pPr>
              <w:rPr>
                <w:lang w:val="fr-FR" w:eastAsia="en-CA"/>
              </w:rPr>
            </w:pPr>
          </w:p>
        </w:tc>
      </w:tr>
      <w:tr w:rsidR="00C41450" w:rsidRPr="00ED4247" w:rsidTr="00C41450">
        <w:tc>
          <w:tcPr>
            <w:tcW w:w="5000" w:type="pct"/>
            <w:gridSpan w:val="2"/>
          </w:tcPr>
          <w:p w:rsidR="00C41450" w:rsidRDefault="00BA1B9B" w:rsidP="00A268D3">
            <w:pPr>
              <w:pStyle w:val="SCCLsocParty"/>
              <w:jc w:val="both"/>
              <w:rPr>
                <w:sz w:val="20"/>
                <w:szCs w:val="20"/>
              </w:rPr>
            </w:pPr>
            <w:r w:rsidRPr="00F11EBD">
              <w:rPr>
                <w:sz w:val="20"/>
                <w:szCs w:val="20"/>
              </w:rPr>
              <w:t xml:space="preserve">La requête en prorogation du délai de signification et de dépôt de la demande d’autorisation d’appel est accueillie. La demande d’autorisation d’appel de l’arrêt de la </w:t>
            </w:r>
            <w:r w:rsidRPr="00F11EBD">
              <w:rPr>
                <w:sz w:val="20"/>
                <w:szCs w:val="20"/>
                <w:lang w:val="fr-FR"/>
              </w:rPr>
              <w:t>Cour d’appel de l’Ontario</w:t>
            </w:r>
            <w:r w:rsidRPr="00F11EBD">
              <w:rPr>
                <w:sz w:val="20"/>
                <w:szCs w:val="20"/>
              </w:rPr>
              <w:t xml:space="preserve">, numéro </w:t>
            </w:r>
            <w:r w:rsidRPr="00F11EBD">
              <w:rPr>
                <w:sz w:val="20"/>
                <w:szCs w:val="20"/>
                <w:lang w:val="fr-FR"/>
              </w:rPr>
              <w:t>C54442, 2016 ONCA 615</w:t>
            </w:r>
            <w:r w:rsidRPr="00F11EBD">
              <w:rPr>
                <w:sz w:val="20"/>
                <w:szCs w:val="20"/>
              </w:rPr>
              <w:t xml:space="preserve">, daté du </w:t>
            </w:r>
            <w:r w:rsidRPr="00F11EBD">
              <w:rPr>
                <w:sz w:val="20"/>
                <w:szCs w:val="20"/>
                <w:lang w:val="fr-FR"/>
              </w:rPr>
              <w:t>8 août 2016</w:t>
            </w:r>
            <w:r w:rsidRPr="00F11EBD">
              <w:rPr>
                <w:sz w:val="20"/>
                <w:szCs w:val="20"/>
              </w:rPr>
              <w:t>, est rejetée.</w:t>
            </w:r>
          </w:p>
          <w:p w:rsidR="00BA1B9B" w:rsidRPr="00BA1B9B" w:rsidRDefault="00BA1B9B" w:rsidP="00BA1B9B">
            <w:pPr>
              <w:rPr>
                <w:lang w:val="fr-CA"/>
              </w:rPr>
            </w:pPr>
          </w:p>
        </w:tc>
      </w:tr>
      <w:tr w:rsidR="00A268D3" w:rsidRPr="00ED4247" w:rsidTr="00A268D3">
        <w:tc>
          <w:tcPr>
            <w:tcW w:w="5000" w:type="pct"/>
            <w:gridSpan w:val="2"/>
          </w:tcPr>
          <w:p w:rsidR="00A268D3" w:rsidRPr="002F3871" w:rsidRDefault="00A268D3" w:rsidP="00A268D3">
            <w:pPr>
              <w:jc w:val="both"/>
              <w:rPr>
                <w:sz w:val="20"/>
                <w:lang w:val="fr-CA"/>
              </w:rPr>
            </w:pPr>
            <w:r w:rsidRPr="002F3871">
              <w:rPr>
                <w:sz w:val="20"/>
                <w:lang w:val="fr-CA"/>
              </w:rPr>
              <w:t xml:space="preserve">Droit criminel – Procès – La conduite du ministère public a-t-elle vicié un procès équitable? – Les tribunaux de première instance et d’appel devraient-ils protéger davantage les droits de l’accusé à un procès équitable lorsque la conduite du ministère public met intentionnellement ces droits en péril? </w:t>
            </w:r>
          </w:p>
        </w:tc>
      </w:tr>
      <w:tr w:rsidR="00A268D3" w:rsidRPr="00ED4247" w:rsidTr="00A268D3">
        <w:tc>
          <w:tcPr>
            <w:tcW w:w="5000" w:type="pct"/>
            <w:gridSpan w:val="2"/>
          </w:tcPr>
          <w:p w:rsidR="00A268D3" w:rsidRPr="002F3871" w:rsidRDefault="00A268D3" w:rsidP="00A268D3">
            <w:pPr>
              <w:jc w:val="both"/>
              <w:rPr>
                <w:sz w:val="20"/>
                <w:lang w:val="fr-CA"/>
              </w:rPr>
            </w:pPr>
          </w:p>
        </w:tc>
      </w:tr>
      <w:tr w:rsidR="00A268D3" w:rsidRPr="00ED4247" w:rsidTr="00A268D3">
        <w:tc>
          <w:tcPr>
            <w:tcW w:w="5000" w:type="pct"/>
            <w:gridSpan w:val="2"/>
          </w:tcPr>
          <w:p w:rsidR="00A268D3" w:rsidRPr="002F3871" w:rsidRDefault="00A268D3" w:rsidP="00A268D3">
            <w:pPr>
              <w:jc w:val="both"/>
              <w:rPr>
                <w:sz w:val="20"/>
                <w:lang w:val="fr-CA"/>
              </w:rPr>
            </w:pPr>
            <w:r w:rsidRPr="002F3871">
              <w:rPr>
                <w:sz w:val="20"/>
                <w:lang w:val="fr-CA"/>
              </w:rPr>
              <w:t>Un homme a été atteint d’un projectile d’arme à feu au cours d’une altercation dans une rue de Toronto en présence d’une grande foule qui participait à la célébration du Jamaica Day. L’homme a succombé à ses blessures quelques jours plus tard. Le juge du procès a refusé d’accueillir la demande du demandeur en nullité du procès fondée sur la conduite du ministère public. Le juge du procès a donné de fortes directives correctives au jury. Le demandeur a été déclaré coupable de meurtre au deuxième degré. La Cour d’appel a rejeté l’appel de la déclaration de culpabilité.</w:t>
            </w:r>
          </w:p>
          <w:p w:rsidR="00A268D3" w:rsidRPr="002F3871" w:rsidRDefault="00A268D3" w:rsidP="00A268D3">
            <w:pPr>
              <w:jc w:val="both"/>
              <w:rPr>
                <w:sz w:val="20"/>
                <w:lang w:val="fr-CA"/>
              </w:rPr>
            </w:pPr>
          </w:p>
        </w:tc>
      </w:tr>
      <w:tr w:rsidR="00A268D3" w:rsidRPr="00ED4247" w:rsidTr="00A268D3">
        <w:tc>
          <w:tcPr>
            <w:tcW w:w="5000" w:type="pct"/>
            <w:gridSpan w:val="2"/>
          </w:tcPr>
          <w:tbl>
            <w:tblPr>
              <w:tblW w:w="5000" w:type="pct"/>
              <w:tblLayout w:type="fixed"/>
              <w:tblCellMar>
                <w:left w:w="0" w:type="dxa"/>
                <w:right w:w="0" w:type="dxa"/>
              </w:tblCellMar>
              <w:tblLook w:val="04A0" w:firstRow="1" w:lastRow="0" w:firstColumn="1" w:lastColumn="0" w:noHBand="0" w:noVBand="1"/>
            </w:tblPr>
            <w:tblGrid>
              <w:gridCol w:w="4510"/>
              <w:gridCol w:w="509"/>
              <w:gridCol w:w="4508"/>
            </w:tblGrid>
            <w:tr w:rsidR="00A268D3" w:rsidRPr="00ED4247" w:rsidTr="00A268D3">
              <w:tc>
                <w:tcPr>
                  <w:tcW w:w="2367" w:type="pct"/>
                </w:tcPr>
                <w:p w:rsidR="00A268D3" w:rsidRPr="002F3871" w:rsidRDefault="00A268D3" w:rsidP="00A268D3">
                  <w:pPr>
                    <w:jc w:val="both"/>
                    <w:rPr>
                      <w:sz w:val="20"/>
                      <w:lang w:val="fr-CA"/>
                    </w:rPr>
                  </w:pPr>
                  <w:r w:rsidRPr="002F3871">
                    <w:rPr>
                      <w:sz w:val="20"/>
                      <w:lang w:val="fr-CA"/>
                    </w:rPr>
                    <w:t>18 mars 2011</w:t>
                  </w:r>
                </w:p>
                <w:p w:rsidR="00A268D3" w:rsidRPr="002F3871" w:rsidRDefault="00A268D3" w:rsidP="00A268D3">
                  <w:pPr>
                    <w:jc w:val="both"/>
                    <w:rPr>
                      <w:sz w:val="20"/>
                      <w:lang w:val="fr-CA"/>
                    </w:rPr>
                  </w:pPr>
                  <w:r w:rsidRPr="002F3871">
                    <w:rPr>
                      <w:sz w:val="20"/>
                      <w:lang w:val="fr-CA"/>
                    </w:rPr>
                    <w:t>Cour supérieure de justice de l’Ontario</w:t>
                  </w:r>
                </w:p>
                <w:p w:rsidR="00A268D3" w:rsidRPr="002F3871" w:rsidRDefault="00A268D3" w:rsidP="00A268D3">
                  <w:pPr>
                    <w:jc w:val="both"/>
                    <w:rPr>
                      <w:sz w:val="20"/>
                      <w:lang w:val="fr-CA"/>
                    </w:rPr>
                  </w:pPr>
                  <w:r w:rsidRPr="002F3871">
                    <w:rPr>
                      <w:sz w:val="20"/>
                      <w:lang w:val="fr-CA"/>
                    </w:rPr>
                    <w:t>(Juge O'Marra)</w:t>
                  </w:r>
                </w:p>
                <w:p w:rsidR="00A268D3" w:rsidRPr="002F3871" w:rsidRDefault="00A268D3" w:rsidP="00A268D3">
                  <w:pPr>
                    <w:jc w:val="both"/>
                    <w:rPr>
                      <w:sz w:val="20"/>
                      <w:lang w:val="fr-CA"/>
                    </w:rPr>
                  </w:pPr>
                </w:p>
              </w:tc>
              <w:tc>
                <w:tcPr>
                  <w:tcW w:w="267" w:type="pct"/>
                </w:tcPr>
                <w:p w:rsidR="00A268D3" w:rsidRPr="002F3871" w:rsidRDefault="00A268D3" w:rsidP="00A268D3">
                  <w:pPr>
                    <w:jc w:val="both"/>
                    <w:rPr>
                      <w:sz w:val="20"/>
                      <w:lang w:val="fr-CA"/>
                    </w:rPr>
                  </w:pPr>
                </w:p>
              </w:tc>
              <w:tc>
                <w:tcPr>
                  <w:tcW w:w="2366" w:type="pct"/>
                </w:tcPr>
                <w:p w:rsidR="00A268D3" w:rsidRPr="002F3871" w:rsidRDefault="00A268D3" w:rsidP="00A268D3">
                  <w:pPr>
                    <w:jc w:val="both"/>
                    <w:rPr>
                      <w:sz w:val="20"/>
                      <w:lang w:val="fr-CA"/>
                    </w:rPr>
                  </w:pPr>
                  <w:r w:rsidRPr="002F3871">
                    <w:rPr>
                      <w:sz w:val="20"/>
                      <w:lang w:val="fr-CA"/>
                    </w:rPr>
                    <w:t>Déclaration de culpabilité de meurtre au deuxième degré</w:t>
                  </w:r>
                </w:p>
                <w:p w:rsidR="00A268D3" w:rsidRPr="002F3871" w:rsidRDefault="00A268D3" w:rsidP="00A268D3">
                  <w:pPr>
                    <w:jc w:val="both"/>
                    <w:rPr>
                      <w:sz w:val="20"/>
                      <w:lang w:val="fr-CA"/>
                    </w:rPr>
                  </w:pPr>
                </w:p>
              </w:tc>
            </w:tr>
            <w:tr w:rsidR="00A268D3" w:rsidRPr="00ED4247" w:rsidTr="00A268D3">
              <w:tc>
                <w:tcPr>
                  <w:tcW w:w="2367" w:type="pct"/>
                </w:tcPr>
                <w:p w:rsidR="00A268D3" w:rsidRPr="002F3871" w:rsidRDefault="00A268D3" w:rsidP="00A268D3">
                  <w:pPr>
                    <w:jc w:val="both"/>
                    <w:rPr>
                      <w:sz w:val="20"/>
                      <w:lang w:val="fr-CA"/>
                    </w:rPr>
                  </w:pPr>
                  <w:r w:rsidRPr="002F3871">
                    <w:rPr>
                      <w:sz w:val="20"/>
                      <w:lang w:val="fr-CA"/>
                    </w:rPr>
                    <w:t>8 août 2016</w:t>
                  </w:r>
                </w:p>
                <w:p w:rsidR="00A268D3" w:rsidRPr="002F3871" w:rsidRDefault="00A268D3" w:rsidP="00A268D3">
                  <w:pPr>
                    <w:jc w:val="both"/>
                    <w:rPr>
                      <w:sz w:val="20"/>
                      <w:lang w:val="fr-CA"/>
                    </w:rPr>
                  </w:pPr>
                  <w:r w:rsidRPr="002F3871">
                    <w:rPr>
                      <w:sz w:val="20"/>
                      <w:lang w:val="fr-CA"/>
                    </w:rPr>
                    <w:t xml:space="preserve">Cour d’appel de l’Ontario </w:t>
                  </w:r>
                </w:p>
                <w:p w:rsidR="00A268D3" w:rsidRPr="002F3871" w:rsidRDefault="00A268D3" w:rsidP="00A268D3">
                  <w:pPr>
                    <w:jc w:val="both"/>
                    <w:rPr>
                      <w:sz w:val="20"/>
                      <w:lang w:val="fr-CA"/>
                    </w:rPr>
                  </w:pPr>
                  <w:r w:rsidRPr="002F3871">
                    <w:rPr>
                      <w:sz w:val="20"/>
                      <w:lang w:val="fr-CA"/>
                    </w:rPr>
                    <w:t>(Juges Sharpe, Watt et Brown)</w:t>
                  </w:r>
                </w:p>
                <w:p w:rsidR="00A268D3" w:rsidRPr="002F3871" w:rsidRDefault="00A268D3" w:rsidP="00A268D3">
                  <w:pPr>
                    <w:jc w:val="both"/>
                    <w:rPr>
                      <w:sz w:val="20"/>
                      <w:lang w:val="fr-CA"/>
                    </w:rPr>
                  </w:pPr>
                  <w:r w:rsidRPr="002F3871">
                    <w:rPr>
                      <w:sz w:val="20"/>
                      <w:lang w:val="fr-CA"/>
                    </w:rPr>
                    <w:t>2016 ONCA 615; C54442</w:t>
                  </w:r>
                </w:p>
                <w:p w:rsidR="00A268D3" w:rsidRPr="002F3871" w:rsidRDefault="00A268D3" w:rsidP="00A268D3">
                  <w:pPr>
                    <w:jc w:val="both"/>
                    <w:rPr>
                      <w:sz w:val="20"/>
                      <w:lang w:val="fr-CA"/>
                    </w:rPr>
                  </w:pPr>
                </w:p>
              </w:tc>
              <w:tc>
                <w:tcPr>
                  <w:tcW w:w="267" w:type="pct"/>
                </w:tcPr>
                <w:p w:rsidR="00A268D3" w:rsidRPr="002F3871" w:rsidRDefault="00A268D3" w:rsidP="00A268D3">
                  <w:pPr>
                    <w:jc w:val="both"/>
                    <w:rPr>
                      <w:sz w:val="20"/>
                      <w:lang w:val="fr-CA"/>
                    </w:rPr>
                  </w:pPr>
                </w:p>
              </w:tc>
              <w:tc>
                <w:tcPr>
                  <w:tcW w:w="2366" w:type="pct"/>
                </w:tcPr>
                <w:p w:rsidR="00A268D3" w:rsidRPr="002F3871" w:rsidRDefault="00A268D3" w:rsidP="00A268D3">
                  <w:pPr>
                    <w:jc w:val="both"/>
                    <w:rPr>
                      <w:sz w:val="20"/>
                      <w:lang w:val="fr-CA"/>
                    </w:rPr>
                  </w:pPr>
                  <w:r w:rsidRPr="002F3871">
                    <w:rPr>
                      <w:sz w:val="20"/>
                      <w:lang w:val="fr-CA"/>
                    </w:rPr>
                    <w:t>Rejet de l’appel de la déclaration de culpabilité</w:t>
                  </w:r>
                </w:p>
                <w:p w:rsidR="00A268D3" w:rsidRPr="002F3871" w:rsidRDefault="00A268D3" w:rsidP="00A268D3">
                  <w:pPr>
                    <w:jc w:val="both"/>
                    <w:rPr>
                      <w:sz w:val="20"/>
                      <w:lang w:val="fr-CA"/>
                    </w:rPr>
                  </w:pPr>
                </w:p>
              </w:tc>
            </w:tr>
            <w:tr w:rsidR="00A268D3" w:rsidRPr="00ED4247" w:rsidTr="00A268D3">
              <w:tc>
                <w:tcPr>
                  <w:tcW w:w="2367" w:type="pct"/>
                </w:tcPr>
                <w:p w:rsidR="00A268D3" w:rsidRPr="002F3871" w:rsidRDefault="00A268D3" w:rsidP="00A268D3">
                  <w:pPr>
                    <w:jc w:val="both"/>
                    <w:rPr>
                      <w:sz w:val="20"/>
                      <w:lang w:val="fr-CA"/>
                    </w:rPr>
                  </w:pPr>
                  <w:r w:rsidRPr="002F3871">
                    <w:rPr>
                      <w:sz w:val="20"/>
                      <w:lang w:val="fr-CA"/>
                    </w:rPr>
                    <w:lastRenderedPageBreak/>
                    <w:t>16 mars 2017</w:t>
                  </w:r>
                </w:p>
                <w:p w:rsidR="00A268D3" w:rsidRPr="002F3871" w:rsidRDefault="00A268D3" w:rsidP="00A268D3">
                  <w:pPr>
                    <w:jc w:val="both"/>
                    <w:rPr>
                      <w:sz w:val="20"/>
                      <w:lang w:val="fr-CA"/>
                    </w:rPr>
                  </w:pPr>
                  <w:r w:rsidRPr="002F3871">
                    <w:rPr>
                      <w:sz w:val="20"/>
                      <w:lang w:val="fr-CA"/>
                    </w:rPr>
                    <w:t>Cour suprême du Canada</w:t>
                  </w:r>
                </w:p>
              </w:tc>
              <w:tc>
                <w:tcPr>
                  <w:tcW w:w="267" w:type="pct"/>
                </w:tcPr>
                <w:p w:rsidR="00A268D3" w:rsidRPr="002F3871" w:rsidRDefault="00A268D3" w:rsidP="00A268D3">
                  <w:pPr>
                    <w:jc w:val="both"/>
                    <w:rPr>
                      <w:sz w:val="20"/>
                      <w:lang w:val="fr-CA"/>
                    </w:rPr>
                  </w:pPr>
                </w:p>
              </w:tc>
              <w:tc>
                <w:tcPr>
                  <w:tcW w:w="2366" w:type="pct"/>
                </w:tcPr>
                <w:p w:rsidR="00A268D3" w:rsidRPr="002F3871" w:rsidRDefault="00A268D3" w:rsidP="00A268D3">
                  <w:pPr>
                    <w:jc w:val="both"/>
                    <w:rPr>
                      <w:sz w:val="20"/>
                      <w:lang w:val="fr-CA"/>
                    </w:rPr>
                  </w:pPr>
                  <w:r w:rsidRPr="002F3871">
                    <w:rPr>
                      <w:sz w:val="20"/>
                      <w:lang w:val="fr-CA"/>
                    </w:rPr>
                    <w:t>Dépôt de la requête en prorogation du délai de signification et de dépôt de la demande d’autorisation d’appel et de la demande d’autorisation d’appel</w:t>
                  </w:r>
                </w:p>
              </w:tc>
            </w:tr>
          </w:tbl>
          <w:p w:rsidR="00A268D3" w:rsidRPr="002F3871" w:rsidRDefault="00A268D3" w:rsidP="00A268D3">
            <w:pPr>
              <w:jc w:val="both"/>
              <w:rPr>
                <w:sz w:val="20"/>
                <w:lang w:val="fr-CA"/>
              </w:rPr>
            </w:pPr>
          </w:p>
        </w:tc>
      </w:tr>
    </w:tbl>
    <w:p w:rsidR="00A268D3" w:rsidRPr="002F3871" w:rsidRDefault="00ED4247" w:rsidP="00A268D3">
      <w:pPr>
        <w:jc w:val="both"/>
        <w:rPr>
          <w:sz w:val="20"/>
          <w:lang w:val="fr-CA"/>
        </w:rPr>
      </w:pPr>
      <w:r>
        <w:rPr>
          <w:sz w:val="20"/>
          <w:szCs w:val="20"/>
        </w:rPr>
        <w:lastRenderedPageBreak/>
        <w:pict>
          <v:rect id="_x0000_i1074" style="width:2in;height:1pt" o:hrpct="0" o:hralign="center" o:hrstd="t" o:hrnoshade="t" o:hr="t" fillcolor="black" stroked="f"/>
        </w:pict>
      </w:r>
    </w:p>
    <w:p w:rsidR="00A268D3" w:rsidRPr="002F3871" w:rsidRDefault="00A268D3" w:rsidP="00A268D3">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268D3" w:rsidRPr="002F3871" w:rsidTr="00A268D3">
        <w:tc>
          <w:tcPr>
            <w:tcW w:w="543" w:type="pct"/>
          </w:tcPr>
          <w:p w:rsidR="00A268D3" w:rsidRPr="002F3871" w:rsidRDefault="00A268D3" w:rsidP="00A268D3">
            <w:pPr>
              <w:jc w:val="both"/>
              <w:rPr>
                <w:sz w:val="20"/>
              </w:rPr>
            </w:pPr>
            <w:r w:rsidRPr="002F3871">
              <w:rPr>
                <w:rStyle w:val="SCCFileNumberChar"/>
                <w:sz w:val="20"/>
                <w:szCs w:val="20"/>
              </w:rPr>
              <w:t>37480</w:t>
            </w:r>
          </w:p>
        </w:tc>
        <w:tc>
          <w:tcPr>
            <w:tcW w:w="4457" w:type="pct"/>
            <w:gridSpan w:val="3"/>
          </w:tcPr>
          <w:p w:rsidR="00A268D3" w:rsidRPr="002F3871" w:rsidRDefault="00A268D3" w:rsidP="00A268D3">
            <w:pPr>
              <w:pStyle w:val="SCCLsocParty"/>
              <w:jc w:val="both"/>
              <w:rPr>
                <w:b/>
                <w:sz w:val="20"/>
                <w:szCs w:val="20"/>
                <w:lang w:val="en-US"/>
              </w:rPr>
            </w:pPr>
            <w:r w:rsidRPr="002F3871">
              <w:rPr>
                <w:b/>
                <w:sz w:val="20"/>
                <w:szCs w:val="20"/>
                <w:lang w:val="en-US"/>
              </w:rPr>
              <w:t>Her Majesty the Queen v. M.W.</w:t>
            </w:r>
            <w:r w:rsidR="002B10AF">
              <w:rPr>
                <w:b/>
                <w:sz w:val="20"/>
                <w:szCs w:val="20"/>
                <w:lang w:val="en-US"/>
              </w:rPr>
              <w:t xml:space="preserve"> and</w:t>
            </w:r>
            <w:r w:rsidRPr="002F3871">
              <w:rPr>
                <w:b/>
                <w:sz w:val="20"/>
                <w:szCs w:val="20"/>
                <w:lang w:val="en-US"/>
              </w:rPr>
              <w:t xml:space="preserve"> T.F.</w:t>
            </w:r>
          </w:p>
          <w:p w:rsidR="00A268D3" w:rsidRPr="002F3871" w:rsidRDefault="00A268D3" w:rsidP="00A268D3">
            <w:pPr>
              <w:jc w:val="both"/>
              <w:rPr>
                <w:sz w:val="20"/>
              </w:rPr>
            </w:pPr>
            <w:r w:rsidRPr="002F3871">
              <w:rPr>
                <w:sz w:val="20"/>
              </w:rPr>
              <w:t>(Ont.) (Criminal) (By Leave)</w:t>
            </w:r>
          </w:p>
        </w:tc>
      </w:tr>
      <w:tr w:rsidR="00C41450" w:rsidRPr="002F3871" w:rsidTr="00A268D3">
        <w:tc>
          <w:tcPr>
            <w:tcW w:w="543" w:type="pct"/>
          </w:tcPr>
          <w:p w:rsidR="00C41450" w:rsidRPr="002F3871" w:rsidRDefault="00C41450" w:rsidP="00A268D3">
            <w:pPr>
              <w:jc w:val="both"/>
              <w:rPr>
                <w:rStyle w:val="SCCFileNumberChar"/>
                <w:sz w:val="20"/>
                <w:szCs w:val="20"/>
              </w:rPr>
            </w:pPr>
            <w:r>
              <w:rPr>
                <w:rStyle w:val="SCCFileNumberChar"/>
                <w:sz w:val="20"/>
                <w:szCs w:val="20"/>
              </w:rPr>
              <w:t>Coram:</w:t>
            </w:r>
          </w:p>
        </w:tc>
        <w:tc>
          <w:tcPr>
            <w:tcW w:w="4457" w:type="pct"/>
            <w:gridSpan w:val="3"/>
          </w:tcPr>
          <w:p w:rsidR="00C41450" w:rsidRDefault="002B10AF" w:rsidP="00A268D3">
            <w:pPr>
              <w:pStyle w:val="SCCLsocParty"/>
              <w:jc w:val="both"/>
              <w:rPr>
                <w:rFonts w:eastAsiaTheme="minorEastAsia"/>
                <w:sz w:val="20"/>
                <w:szCs w:val="20"/>
                <w:lang w:val="en-US" w:eastAsia="en-CA"/>
              </w:rPr>
            </w:pPr>
            <w:proofErr w:type="spellStart"/>
            <w:r w:rsidRPr="002B10AF">
              <w:rPr>
                <w:rFonts w:eastAsiaTheme="minorEastAsia"/>
                <w:sz w:val="20"/>
                <w:szCs w:val="20"/>
                <w:lang w:val="en-US" w:eastAsia="en-CA"/>
              </w:rPr>
              <w:t>McLachlin</w:t>
            </w:r>
            <w:proofErr w:type="spellEnd"/>
            <w:r w:rsidRPr="002B10AF">
              <w:rPr>
                <w:rFonts w:eastAsiaTheme="minorEastAsia"/>
                <w:sz w:val="20"/>
                <w:szCs w:val="20"/>
                <w:lang w:val="en-US" w:eastAsia="en-CA"/>
              </w:rPr>
              <w:t xml:space="preserve"> C.J. and </w:t>
            </w:r>
            <w:proofErr w:type="spellStart"/>
            <w:r w:rsidRPr="002B10AF">
              <w:rPr>
                <w:rFonts w:eastAsiaTheme="minorEastAsia"/>
                <w:sz w:val="20"/>
                <w:szCs w:val="20"/>
                <w:lang w:val="en-US" w:eastAsia="en-CA"/>
              </w:rPr>
              <w:t>Abella</w:t>
            </w:r>
            <w:proofErr w:type="spellEnd"/>
            <w:r w:rsidRPr="002B10AF">
              <w:rPr>
                <w:rFonts w:eastAsiaTheme="minorEastAsia"/>
                <w:sz w:val="20"/>
                <w:szCs w:val="20"/>
                <w:lang w:val="en-US" w:eastAsia="en-CA"/>
              </w:rPr>
              <w:t xml:space="preserve">, </w:t>
            </w:r>
            <w:proofErr w:type="spellStart"/>
            <w:r w:rsidRPr="002B10AF">
              <w:rPr>
                <w:rFonts w:eastAsiaTheme="minorEastAsia"/>
                <w:sz w:val="20"/>
                <w:szCs w:val="20"/>
                <w:lang w:val="en-US" w:eastAsia="en-CA"/>
              </w:rPr>
              <w:t>Moldaver</w:t>
            </w:r>
            <w:proofErr w:type="spellEnd"/>
            <w:r w:rsidRPr="002B10AF">
              <w:rPr>
                <w:rFonts w:eastAsiaTheme="minorEastAsia"/>
                <w:sz w:val="20"/>
                <w:szCs w:val="20"/>
                <w:lang w:val="en-US" w:eastAsia="en-CA"/>
              </w:rPr>
              <w:t xml:space="preserve">, </w:t>
            </w:r>
            <w:proofErr w:type="spellStart"/>
            <w:r w:rsidRPr="002B10AF">
              <w:rPr>
                <w:rFonts w:eastAsiaTheme="minorEastAsia"/>
                <w:sz w:val="20"/>
                <w:szCs w:val="20"/>
                <w:lang w:val="en-US" w:eastAsia="en-CA"/>
              </w:rPr>
              <w:t>Karakatsanis</w:t>
            </w:r>
            <w:proofErr w:type="spellEnd"/>
            <w:r w:rsidRPr="002B10AF">
              <w:rPr>
                <w:rFonts w:eastAsiaTheme="minorEastAsia"/>
                <w:sz w:val="20"/>
                <w:szCs w:val="20"/>
                <w:lang w:val="en-US" w:eastAsia="en-CA"/>
              </w:rPr>
              <w:t xml:space="preserve">, Wagner, </w:t>
            </w:r>
            <w:proofErr w:type="spellStart"/>
            <w:r w:rsidRPr="002B10AF">
              <w:rPr>
                <w:rFonts w:eastAsiaTheme="minorEastAsia"/>
                <w:sz w:val="20"/>
                <w:szCs w:val="20"/>
                <w:lang w:val="en-US" w:eastAsia="en-CA"/>
              </w:rPr>
              <w:t>Gascon</w:t>
            </w:r>
            <w:proofErr w:type="spellEnd"/>
            <w:r w:rsidRPr="002B10AF">
              <w:rPr>
                <w:rFonts w:eastAsiaTheme="minorEastAsia"/>
                <w:sz w:val="20"/>
                <w:szCs w:val="20"/>
                <w:lang w:val="en-US" w:eastAsia="en-CA"/>
              </w:rPr>
              <w:t xml:space="preserve">, </w:t>
            </w:r>
            <w:proofErr w:type="spellStart"/>
            <w:r w:rsidRPr="002B10AF">
              <w:rPr>
                <w:rFonts w:eastAsiaTheme="minorEastAsia"/>
                <w:sz w:val="20"/>
                <w:szCs w:val="20"/>
                <w:lang w:val="en-US" w:eastAsia="en-CA"/>
              </w:rPr>
              <w:t>Côté</w:t>
            </w:r>
            <w:proofErr w:type="spellEnd"/>
            <w:r w:rsidRPr="002B10AF">
              <w:rPr>
                <w:rFonts w:eastAsiaTheme="minorEastAsia"/>
                <w:sz w:val="20"/>
                <w:szCs w:val="20"/>
                <w:lang w:val="en-US" w:eastAsia="en-CA"/>
              </w:rPr>
              <w:t>, Brown and Rowe JJ.</w:t>
            </w:r>
          </w:p>
          <w:p w:rsidR="002B10AF" w:rsidRPr="002B10AF" w:rsidRDefault="002B10AF" w:rsidP="002B10AF">
            <w:pPr>
              <w:rPr>
                <w:lang w:val="en-US" w:eastAsia="en-CA"/>
              </w:rPr>
            </w:pPr>
          </w:p>
        </w:tc>
      </w:tr>
      <w:tr w:rsidR="00C41450" w:rsidRPr="002F3871" w:rsidTr="00C41450">
        <w:tc>
          <w:tcPr>
            <w:tcW w:w="5000" w:type="pct"/>
            <w:gridSpan w:val="4"/>
          </w:tcPr>
          <w:p w:rsidR="00C41450" w:rsidRDefault="002B10AF" w:rsidP="00A268D3">
            <w:pPr>
              <w:pStyle w:val="SCCLsocParty"/>
              <w:jc w:val="both"/>
              <w:rPr>
                <w:sz w:val="20"/>
                <w:szCs w:val="20"/>
                <w:lang w:val="en-US"/>
              </w:rPr>
            </w:pPr>
            <w:r w:rsidRPr="003461DD">
              <w:rPr>
                <w:rFonts w:eastAsiaTheme="minorEastAsia"/>
                <w:sz w:val="20"/>
                <w:szCs w:val="20"/>
                <w:lang w:val="en-US" w:eastAsia="en-CA"/>
              </w:rPr>
              <w:t xml:space="preserve">The motion to file a joint application for leave to appeal </w:t>
            </w:r>
            <w:r w:rsidRPr="002B10AF">
              <w:rPr>
                <w:sz w:val="20"/>
                <w:szCs w:val="20"/>
                <w:lang w:val="en-US"/>
              </w:rPr>
              <w:t>from the Court of Appeal file nos. C59241 and C59382, is granted. The application for leave to appeal from the judgment of the Court of Appeal for Ontario, Numbers C59241 and C59382, 2017 ONCA 22, dated January 13, 2017, is dismissed.</w:t>
            </w:r>
          </w:p>
          <w:p w:rsidR="002B10AF" w:rsidRPr="002B10AF" w:rsidRDefault="002B10AF" w:rsidP="002B10AF">
            <w:pPr>
              <w:rPr>
                <w:lang w:val="en-US"/>
              </w:rPr>
            </w:pPr>
          </w:p>
        </w:tc>
      </w:tr>
      <w:tr w:rsidR="00A268D3" w:rsidRPr="002F3871" w:rsidTr="00A268D3">
        <w:tc>
          <w:tcPr>
            <w:tcW w:w="5000" w:type="pct"/>
            <w:gridSpan w:val="4"/>
          </w:tcPr>
          <w:p w:rsidR="00A268D3" w:rsidRPr="002F3871" w:rsidRDefault="00A268D3" w:rsidP="00A268D3">
            <w:pPr>
              <w:pStyle w:val="SCCBanSummary"/>
              <w:rPr>
                <w:sz w:val="20"/>
                <w:szCs w:val="20"/>
              </w:rPr>
            </w:pPr>
            <w:r w:rsidRPr="002F3871">
              <w:rPr>
                <w:sz w:val="20"/>
                <w:szCs w:val="20"/>
              </w:rPr>
              <w:t>(Publication ban in case) (Publication ban on party) (Court file contains information that is not available for inspection by the public)</w:t>
            </w:r>
          </w:p>
          <w:p w:rsidR="00A268D3" w:rsidRPr="002F3871" w:rsidRDefault="00A268D3" w:rsidP="00A268D3">
            <w:pPr>
              <w:jc w:val="both"/>
              <w:rPr>
                <w:sz w:val="20"/>
              </w:rPr>
            </w:pPr>
          </w:p>
          <w:p w:rsidR="00A268D3" w:rsidRPr="002F3871" w:rsidRDefault="00A268D3" w:rsidP="00A268D3">
            <w:pPr>
              <w:jc w:val="both"/>
              <w:rPr>
                <w:sz w:val="20"/>
              </w:rPr>
            </w:pPr>
            <w:r w:rsidRPr="002F3871">
              <w:rPr>
                <w:sz w:val="20"/>
              </w:rPr>
              <w:t xml:space="preserve">Criminal law – Young persons – Sentencing – Considerations – Whether the Court of Appeal erred in law by concluding that the 2012 amendments to s. 72(1) of the </w:t>
            </w:r>
            <w:r w:rsidRPr="002F3871">
              <w:rPr>
                <w:i/>
                <w:sz w:val="20"/>
                <w:lang w:val="en"/>
              </w:rPr>
              <w:t>Youth Criminal Justice Act</w:t>
            </w:r>
            <w:r w:rsidRPr="002F3871">
              <w:rPr>
                <w:sz w:val="20"/>
                <w:lang w:val="en"/>
              </w:rPr>
              <w:t xml:space="preserve">, S.C. 2002, c. 1, </w:t>
            </w:r>
            <w:r w:rsidRPr="002F3871">
              <w:rPr>
                <w:sz w:val="20"/>
              </w:rPr>
              <w:t>changed the test for the imposition of an adult sentence – Whether the Court of Appeal erred in law by holding that to rebut the presumption of diminished moral blameworthiness, the Crown must satisfy the court that the evidence supported a finding that the young person “demonstrated the level of maturity, moral sophistication and capacity for independent judgement of an adult” – Whether the Court of Appeal erred in law by concluding effectively that a lengthy period of pre-trial and/or pre-sentence custody ought to militate in favour of a youth sentence.</w:t>
            </w:r>
          </w:p>
        </w:tc>
      </w:tr>
      <w:tr w:rsidR="00A268D3" w:rsidRPr="002F3871" w:rsidTr="00A268D3">
        <w:tc>
          <w:tcPr>
            <w:tcW w:w="5000" w:type="pct"/>
            <w:gridSpan w:val="4"/>
          </w:tcPr>
          <w:p w:rsidR="00A268D3" w:rsidRPr="002F3871" w:rsidRDefault="00A268D3" w:rsidP="00A268D3">
            <w:pPr>
              <w:jc w:val="both"/>
              <w:rPr>
                <w:sz w:val="20"/>
              </w:rPr>
            </w:pPr>
          </w:p>
        </w:tc>
      </w:tr>
      <w:tr w:rsidR="00A268D3" w:rsidRPr="002F3871" w:rsidTr="00A268D3">
        <w:tc>
          <w:tcPr>
            <w:tcW w:w="5000" w:type="pct"/>
            <w:gridSpan w:val="4"/>
          </w:tcPr>
          <w:p w:rsidR="00A268D3" w:rsidRPr="002F3871" w:rsidRDefault="00A268D3" w:rsidP="00A268D3">
            <w:pPr>
              <w:jc w:val="both"/>
              <w:rPr>
                <w:sz w:val="20"/>
              </w:rPr>
            </w:pPr>
            <w:r w:rsidRPr="002F3871">
              <w:rPr>
                <w:sz w:val="20"/>
              </w:rPr>
              <w:t>The victim was shot in the head in the stairwell of an apartment building. The victim died instantly. The victim and both respondents were 16 years of age. Both respondents were convicted of first degree murder. The sentencing judge imposed adult sentences on the basis that a youth sentence would not adequately protect the public. The Court of Appeal allowed the respondents’ sentence appeals and the adult sentences were set aside. In their place, youth sentences of 10 years with Intensive Rehabilitative Custody Supervision program orders were imposed.</w:t>
            </w:r>
          </w:p>
          <w:p w:rsidR="00A268D3" w:rsidRPr="002F3871" w:rsidRDefault="00A268D3" w:rsidP="00A268D3">
            <w:pPr>
              <w:jc w:val="both"/>
              <w:rPr>
                <w:sz w:val="20"/>
              </w:rPr>
            </w:pPr>
          </w:p>
        </w:tc>
      </w:tr>
      <w:tr w:rsidR="00A268D3" w:rsidRPr="002F3871" w:rsidTr="00A268D3">
        <w:tc>
          <w:tcPr>
            <w:tcW w:w="2427" w:type="pct"/>
            <w:gridSpan w:val="2"/>
          </w:tcPr>
          <w:p w:rsidR="00A268D3" w:rsidRPr="002F3871" w:rsidRDefault="00A268D3" w:rsidP="00A268D3">
            <w:pPr>
              <w:jc w:val="both"/>
              <w:rPr>
                <w:sz w:val="20"/>
              </w:rPr>
            </w:pPr>
            <w:r w:rsidRPr="002F3871">
              <w:rPr>
                <w:sz w:val="20"/>
              </w:rPr>
              <w:t>May 29, 2013</w:t>
            </w:r>
          </w:p>
          <w:p w:rsidR="00A268D3" w:rsidRPr="002F3871" w:rsidRDefault="00A268D3" w:rsidP="00A268D3">
            <w:pPr>
              <w:jc w:val="both"/>
              <w:rPr>
                <w:sz w:val="20"/>
              </w:rPr>
            </w:pPr>
            <w:r w:rsidRPr="002F3871">
              <w:rPr>
                <w:sz w:val="20"/>
              </w:rPr>
              <w:t>Ontario Superior Court of Justice</w:t>
            </w:r>
          </w:p>
          <w:p w:rsidR="00A268D3" w:rsidRPr="002F3871" w:rsidRDefault="00A268D3" w:rsidP="00A268D3">
            <w:pPr>
              <w:jc w:val="both"/>
              <w:rPr>
                <w:sz w:val="20"/>
              </w:rPr>
            </w:pPr>
            <w:r w:rsidRPr="002F3871">
              <w:rPr>
                <w:sz w:val="20"/>
              </w:rPr>
              <w:t>(Nordheimer J.)</w:t>
            </w:r>
          </w:p>
          <w:p w:rsidR="00A268D3" w:rsidRPr="002F3871" w:rsidRDefault="00A268D3" w:rsidP="00A268D3">
            <w:pPr>
              <w:jc w:val="both"/>
              <w:rPr>
                <w:sz w:val="20"/>
              </w:rPr>
            </w:pPr>
            <w:r w:rsidRPr="002F3871">
              <w:rPr>
                <w:sz w:val="20"/>
              </w:rPr>
              <w:t>2013 ONSC 3139</w:t>
            </w:r>
          </w:p>
          <w:p w:rsidR="00A268D3" w:rsidRPr="002F3871" w:rsidRDefault="00A268D3" w:rsidP="00A268D3">
            <w:pPr>
              <w:jc w:val="both"/>
              <w:rPr>
                <w:sz w:val="20"/>
              </w:rPr>
            </w:pPr>
          </w:p>
        </w:tc>
        <w:tc>
          <w:tcPr>
            <w:tcW w:w="243" w:type="pct"/>
          </w:tcPr>
          <w:p w:rsidR="00A268D3" w:rsidRPr="002F3871" w:rsidRDefault="00A268D3" w:rsidP="00A268D3">
            <w:pPr>
              <w:jc w:val="both"/>
              <w:rPr>
                <w:sz w:val="20"/>
              </w:rPr>
            </w:pPr>
          </w:p>
        </w:tc>
        <w:tc>
          <w:tcPr>
            <w:tcW w:w="2330" w:type="pct"/>
          </w:tcPr>
          <w:p w:rsidR="00A268D3" w:rsidRPr="002F3871" w:rsidRDefault="00A268D3" w:rsidP="00A268D3">
            <w:pPr>
              <w:jc w:val="both"/>
              <w:rPr>
                <w:sz w:val="20"/>
              </w:rPr>
            </w:pPr>
            <w:r w:rsidRPr="002F3871">
              <w:rPr>
                <w:sz w:val="20"/>
              </w:rPr>
              <w:t>Respondents convicted of first degree murder</w:t>
            </w:r>
          </w:p>
          <w:p w:rsidR="00A268D3" w:rsidRPr="002F3871" w:rsidRDefault="00A268D3" w:rsidP="00A268D3">
            <w:pPr>
              <w:jc w:val="both"/>
              <w:rPr>
                <w:sz w:val="20"/>
              </w:rPr>
            </w:pPr>
          </w:p>
        </w:tc>
      </w:tr>
      <w:tr w:rsidR="00A268D3" w:rsidRPr="002F3871" w:rsidTr="00A268D3">
        <w:tc>
          <w:tcPr>
            <w:tcW w:w="2427" w:type="pct"/>
            <w:gridSpan w:val="2"/>
          </w:tcPr>
          <w:p w:rsidR="00A268D3" w:rsidRPr="002F3871" w:rsidRDefault="00A268D3" w:rsidP="00A268D3">
            <w:pPr>
              <w:jc w:val="both"/>
              <w:rPr>
                <w:sz w:val="20"/>
              </w:rPr>
            </w:pPr>
            <w:r w:rsidRPr="002F3871">
              <w:rPr>
                <w:sz w:val="20"/>
              </w:rPr>
              <w:t>June 10, 2014</w:t>
            </w:r>
          </w:p>
          <w:p w:rsidR="00A268D3" w:rsidRPr="002F3871" w:rsidRDefault="00A268D3" w:rsidP="00A268D3">
            <w:pPr>
              <w:jc w:val="both"/>
              <w:rPr>
                <w:sz w:val="20"/>
              </w:rPr>
            </w:pPr>
            <w:r w:rsidRPr="002F3871">
              <w:rPr>
                <w:sz w:val="20"/>
              </w:rPr>
              <w:t>Ontario Superior Court of Justice</w:t>
            </w:r>
          </w:p>
          <w:p w:rsidR="00A268D3" w:rsidRPr="002F3871" w:rsidRDefault="00A268D3" w:rsidP="00A268D3">
            <w:pPr>
              <w:jc w:val="both"/>
              <w:rPr>
                <w:sz w:val="20"/>
              </w:rPr>
            </w:pPr>
            <w:r w:rsidRPr="002F3871">
              <w:rPr>
                <w:sz w:val="20"/>
              </w:rPr>
              <w:t>(Nordheimer J.)</w:t>
            </w:r>
          </w:p>
          <w:p w:rsidR="00A268D3" w:rsidRPr="002F3871" w:rsidRDefault="00A268D3" w:rsidP="00A268D3">
            <w:pPr>
              <w:jc w:val="both"/>
              <w:rPr>
                <w:sz w:val="20"/>
              </w:rPr>
            </w:pPr>
            <w:r w:rsidRPr="002F3871">
              <w:rPr>
                <w:sz w:val="20"/>
              </w:rPr>
              <w:t>2014 ONSC 3436</w:t>
            </w:r>
          </w:p>
          <w:p w:rsidR="00A268D3" w:rsidRPr="002F3871" w:rsidRDefault="00A268D3" w:rsidP="00A268D3">
            <w:pPr>
              <w:jc w:val="both"/>
              <w:rPr>
                <w:sz w:val="20"/>
              </w:rPr>
            </w:pPr>
          </w:p>
        </w:tc>
        <w:tc>
          <w:tcPr>
            <w:tcW w:w="243" w:type="pct"/>
          </w:tcPr>
          <w:p w:rsidR="00A268D3" w:rsidRPr="002F3871" w:rsidRDefault="00A268D3" w:rsidP="00A268D3">
            <w:pPr>
              <w:jc w:val="both"/>
              <w:rPr>
                <w:sz w:val="20"/>
              </w:rPr>
            </w:pPr>
          </w:p>
        </w:tc>
        <w:tc>
          <w:tcPr>
            <w:tcW w:w="2330" w:type="pct"/>
          </w:tcPr>
          <w:p w:rsidR="00A268D3" w:rsidRPr="002F3871" w:rsidRDefault="00A268D3" w:rsidP="00A268D3">
            <w:pPr>
              <w:jc w:val="both"/>
              <w:rPr>
                <w:sz w:val="20"/>
              </w:rPr>
            </w:pPr>
            <w:r w:rsidRPr="002F3871">
              <w:rPr>
                <w:sz w:val="20"/>
              </w:rPr>
              <w:t>Sentence imposed: adult sentences imposed</w:t>
            </w:r>
          </w:p>
          <w:p w:rsidR="00A268D3" w:rsidRPr="002F3871" w:rsidRDefault="00A268D3" w:rsidP="00A268D3">
            <w:pPr>
              <w:jc w:val="both"/>
              <w:rPr>
                <w:sz w:val="20"/>
              </w:rPr>
            </w:pPr>
          </w:p>
        </w:tc>
      </w:tr>
      <w:tr w:rsidR="00A268D3" w:rsidRPr="002F3871" w:rsidTr="00A268D3">
        <w:tc>
          <w:tcPr>
            <w:tcW w:w="2427" w:type="pct"/>
            <w:gridSpan w:val="2"/>
          </w:tcPr>
          <w:p w:rsidR="00A268D3" w:rsidRPr="002F3871" w:rsidRDefault="00A268D3" w:rsidP="00A268D3">
            <w:pPr>
              <w:jc w:val="both"/>
              <w:rPr>
                <w:sz w:val="20"/>
              </w:rPr>
            </w:pPr>
            <w:r w:rsidRPr="002F3871">
              <w:rPr>
                <w:sz w:val="20"/>
              </w:rPr>
              <w:t>January 13, 2017</w:t>
            </w:r>
          </w:p>
          <w:p w:rsidR="00A268D3" w:rsidRPr="002F3871" w:rsidRDefault="00A268D3" w:rsidP="00A268D3">
            <w:pPr>
              <w:jc w:val="both"/>
              <w:rPr>
                <w:sz w:val="20"/>
              </w:rPr>
            </w:pPr>
            <w:r w:rsidRPr="002F3871">
              <w:rPr>
                <w:sz w:val="20"/>
              </w:rPr>
              <w:t>Court of Appeal for Ontario</w:t>
            </w:r>
          </w:p>
          <w:p w:rsidR="00A268D3" w:rsidRPr="002F3871" w:rsidRDefault="00A268D3" w:rsidP="00A268D3">
            <w:pPr>
              <w:jc w:val="both"/>
              <w:rPr>
                <w:sz w:val="20"/>
              </w:rPr>
            </w:pPr>
            <w:r w:rsidRPr="002F3871">
              <w:rPr>
                <w:sz w:val="20"/>
              </w:rPr>
              <w:t>(Epstein, Pepall, van Rensburg JJ.A.)</w:t>
            </w:r>
          </w:p>
          <w:p w:rsidR="00A268D3" w:rsidRPr="002F3871" w:rsidRDefault="00A268D3" w:rsidP="00A268D3">
            <w:pPr>
              <w:jc w:val="both"/>
              <w:rPr>
                <w:sz w:val="20"/>
              </w:rPr>
            </w:pPr>
            <w:r w:rsidRPr="002F3871">
              <w:rPr>
                <w:sz w:val="20"/>
              </w:rPr>
              <w:t>2017 ONCA 22; C59241, C59382</w:t>
            </w:r>
          </w:p>
          <w:p w:rsidR="00A268D3" w:rsidRPr="002F3871" w:rsidRDefault="00ED4247" w:rsidP="00A268D3">
            <w:pPr>
              <w:jc w:val="both"/>
              <w:rPr>
                <w:sz w:val="20"/>
              </w:rPr>
            </w:pPr>
            <w:hyperlink r:id="rId58" w:history="1">
              <w:r w:rsidR="00A268D3" w:rsidRPr="002F3871">
                <w:rPr>
                  <w:rStyle w:val="Hyperlink"/>
                  <w:rFonts w:eastAsiaTheme="majorEastAsia"/>
                  <w:sz w:val="20"/>
                </w:rPr>
                <w:t>http://canlii.ca/t/gwvnr</w:t>
              </w:r>
            </w:hyperlink>
          </w:p>
          <w:p w:rsidR="00A268D3" w:rsidRPr="002F3871" w:rsidRDefault="00A268D3" w:rsidP="00A268D3">
            <w:pPr>
              <w:jc w:val="both"/>
              <w:rPr>
                <w:sz w:val="20"/>
              </w:rPr>
            </w:pPr>
          </w:p>
        </w:tc>
        <w:tc>
          <w:tcPr>
            <w:tcW w:w="243" w:type="pct"/>
          </w:tcPr>
          <w:p w:rsidR="00A268D3" w:rsidRPr="002F3871" w:rsidRDefault="00A268D3" w:rsidP="00A268D3">
            <w:pPr>
              <w:jc w:val="both"/>
              <w:rPr>
                <w:sz w:val="20"/>
              </w:rPr>
            </w:pPr>
          </w:p>
        </w:tc>
        <w:tc>
          <w:tcPr>
            <w:tcW w:w="2330" w:type="pct"/>
          </w:tcPr>
          <w:p w:rsidR="00A268D3" w:rsidRPr="002F3871" w:rsidRDefault="00A268D3" w:rsidP="00A268D3">
            <w:pPr>
              <w:jc w:val="both"/>
              <w:rPr>
                <w:sz w:val="20"/>
              </w:rPr>
            </w:pPr>
            <w:r w:rsidRPr="002F3871">
              <w:rPr>
                <w:sz w:val="20"/>
              </w:rPr>
              <w:t>Sentence appeals allowed: adult sentences set aside; youth sentences of 10 years with Intensive Rehabilitative Custody Supervision program orders imposed</w:t>
            </w:r>
          </w:p>
          <w:p w:rsidR="00A268D3" w:rsidRPr="002F3871" w:rsidRDefault="00A268D3" w:rsidP="00A268D3">
            <w:pPr>
              <w:jc w:val="both"/>
              <w:rPr>
                <w:sz w:val="20"/>
              </w:rPr>
            </w:pPr>
          </w:p>
        </w:tc>
      </w:tr>
      <w:tr w:rsidR="00A268D3" w:rsidRPr="002F3871" w:rsidTr="00A268D3">
        <w:tc>
          <w:tcPr>
            <w:tcW w:w="2427" w:type="pct"/>
            <w:gridSpan w:val="2"/>
          </w:tcPr>
          <w:p w:rsidR="00A268D3" w:rsidRPr="002F3871" w:rsidRDefault="00A268D3" w:rsidP="00A268D3">
            <w:pPr>
              <w:jc w:val="both"/>
              <w:rPr>
                <w:sz w:val="20"/>
              </w:rPr>
            </w:pPr>
            <w:r w:rsidRPr="002F3871">
              <w:rPr>
                <w:sz w:val="20"/>
              </w:rPr>
              <w:t>March 13, 2017</w:t>
            </w:r>
          </w:p>
          <w:p w:rsidR="00A268D3" w:rsidRPr="002F3871" w:rsidRDefault="00A268D3" w:rsidP="00A268D3">
            <w:pPr>
              <w:jc w:val="both"/>
              <w:rPr>
                <w:sz w:val="20"/>
              </w:rPr>
            </w:pPr>
            <w:r w:rsidRPr="002F3871">
              <w:rPr>
                <w:sz w:val="20"/>
              </w:rPr>
              <w:t>Supreme Court of Canada</w:t>
            </w:r>
          </w:p>
        </w:tc>
        <w:tc>
          <w:tcPr>
            <w:tcW w:w="243" w:type="pct"/>
          </w:tcPr>
          <w:p w:rsidR="00A268D3" w:rsidRPr="002F3871" w:rsidRDefault="00A268D3" w:rsidP="00A268D3">
            <w:pPr>
              <w:jc w:val="both"/>
              <w:rPr>
                <w:sz w:val="20"/>
              </w:rPr>
            </w:pPr>
          </w:p>
        </w:tc>
        <w:tc>
          <w:tcPr>
            <w:tcW w:w="2330" w:type="pct"/>
          </w:tcPr>
          <w:p w:rsidR="00A268D3" w:rsidRPr="002F3871" w:rsidRDefault="00A268D3" w:rsidP="00A268D3">
            <w:pPr>
              <w:jc w:val="both"/>
              <w:rPr>
                <w:sz w:val="20"/>
              </w:rPr>
            </w:pPr>
            <w:r w:rsidRPr="002F3871">
              <w:rPr>
                <w:sz w:val="20"/>
              </w:rPr>
              <w:t>Miscellaneous motion and application for leave to appeal filed</w:t>
            </w:r>
          </w:p>
        </w:tc>
      </w:tr>
    </w:tbl>
    <w:p w:rsidR="00A268D3" w:rsidRPr="002F3871" w:rsidRDefault="00ED4247" w:rsidP="00A268D3">
      <w:pPr>
        <w:jc w:val="both"/>
        <w:rPr>
          <w:sz w:val="20"/>
        </w:rPr>
      </w:pPr>
      <w:r>
        <w:rPr>
          <w:sz w:val="20"/>
          <w:szCs w:val="20"/>
        </w:rPr>
        <w:pict>
          <v:rect id="_x0000_i1075" style="width:2in;height:1pt" o:hrpct="0" o:hralign="center" o:hrstd="t" o:hrnoshade="t" o:hr="t" fillcolor="black" stroked="f"/>
        </w:pict>
      </w:r>
    </w:p>
    <w:p w:rsidR="00A268D3" w:rsidRPr="002F3871" w:rsidRDefault="00A268D3" w:rsidP="00A268D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268D3" w:rsidRPr="002F3871" w:rsidTr="00A268D3">
        <w:tc>
          <w:tcPr>
            <w:tcW w:w="543" w:type="pct"/>
          </w:tcPr>
          <w:p w:rsidR="00A268D3" w:rsidRPr="002F3871" w:rsidRDefault="00A268D3" w:rsidP="00A268D3">
            <w:pPr>
              <w:jc w:val="both"/>
              <w:rPr>
                <w:sz w:val="20"/>
                <w:lang w:val="fr-CA"/>
              </w:rPr>
            </w:pPr>
            <w:r w:rsidRPr="002F3871">
              <w:rPr>
                <w:rStyle w:val="SCCFileNumberChar"/>
                <w:sz w:val="20"/>
                <w:szCs w:val="20"/>
                <w:lang w:val="fr-CA"/>
              </w:rPr>
              <w:t>37480</w:t>
            </w:r>
          </w:p>
        </w:tc>
        <w:tc>
          <w:tcPr>
            <w:tcW w:w="4457" w:type="pct"/>
            <w:gridSpan w:val="3"/>
          </w:tcPr>
          <w:p w:rsidR="00A268D3" w:rsidRPr="002F3871" w:rsidRDefault="00A268D3" w:rsidP="00A268D3">
            <w:pPr>
              <w:pStyle w:val="SCCLsocParty"/>
              <w:jc w:val="both"/>
              <w:rPr>
                <w:b/>
                <w:sz w:val="20"/>
                <w:szCs w:val="20"/>
              </w:rPr>
            </w:pPr>
            <w:r w:rsidRPr="002F3871">
              <w:rPr>
                <w:b/>
                <w:sz w:val="20"/>
                <w:szCs w:val="20"/>
              </w:rPr>
              <w:t>Sa Majesté la Reine c. M.W.</w:t>
            </w:r>
            <w:r w:rsidR="002B10AF">
              <w:rPr>
                <w:b/>
                <w:sz w:val="20"/>
                <w:szCs w:val="20"/>
              </w:rPr>
              <w:t xml:space="preserve"> et</w:t>
            </w:r>
            <w:r w:rsidRPr="002F3871">
              <w:rPr>
                <w:b/>
                <w:sz w:val="20"/>
                <w:szCs w:val="20"/>
              </w:rPr>
              <w:t xml:space="preserve"> T.F.</w:t>
            </w:r>
          </w:p>
          <w:p w:rsidR="00A268D3" w:rsidRPr="002F3871" w:rsidRDefault="00A268D3" w:rsidP="00A268D3">
            <w:pPr>
              <w:jc w:val="both"/>
              <w:rPr>
                <w:sz w:val="20"/>
                <w:lang w:val="fr-CA"/>
              </w:rPr>
            </w:pPr>
            <w:r w:rsidRPr="002F3871">
              <w:rPr>
                <w:sz w:val="20"/>
                <w:lang w:val="fr-CA"/>
              </w:rPr>
              <w:t>(Ont.) (Criminelle) (Sur autorisation)</w:t>
            </w:r>
          </w:p>
        </w:tc>
      </w:tr>
      <w:tr w:rsidR="00C41450" w:rsidRPr="00ED4247" w:rsidTr="00A268D3">
        <w:tc>
          <w:tcPr>
            <w:tcW w:w="543" w:type="pct"/>
          </w:tcPr>
          <w:p w:rsidR="00C41450" w:rsidRPr="002F3871" w:rsidRDefault="00C41450" w:rsidP="00A268D3">
            <w:pPr>
              <w:jc w:val="both"/>
              <w:rPr>
                <w:rStyle w:val="SCCFileNumberChar"/>
                <w:sz w:val="20"/>
                <w:szCs w:val="20"/>
                <w:lang w:val="fr-CA"/>
              </w:rPr>
            </w:pPr>
            <w:r>
              <w:rPr>
                <w:rStyle w:val="SCCFileNumberChar"/>
                <w:sz w:val="20"/>
                <w:szCs w:val="20"/>
                <w:lang w:val="fr-CA"/>
              </w:rPr>
              <w:t>Coram :</w:t>
            </w:r>
          </w:p>
        </w:tc>
        <w:tc>
          <w:tcPr>
            <w:tcW w:w="4457" w:type="pct"/>
            <w:gridSpan w:val="3"/>
          </w:tcPr>
          <w:p w:rsidR="00C41450" w:rsidRDefault="002B10AF" w:rsidP="00A268D3">
            <w:pPr>
              <w:pStyle w:val="SCCLsocParty"/>
              <w:jc w:val="both"/>
              <w:rPr>
                <w:rFonts w:eastAsiaTheme="minorEastAsia"/>
                <w:sz w:val="20"/>
                <w:szCs w:val="20"/>
                <w:lang w:val="fr-FR" w:eastAsia="en-CA"/>
              </w:rPr>
            </w:pPr>
            <w:r w:rsidRPr="003461DD">
              <w:rPr>
                <w:rFonts w:eastAsiaTheme="minorEastAsia"/>
                <w:sz w:val="20"/>
                <w:szCs w:val="20"/>
                <w:lang w:val="fr-FR" w:eastAsia="en-CA"/>
              </w:rPr>
              <w:t xml:space="preserve">La juge en chef </w:t>
            </w:r>
            <w:proofErr w:type="spellStart"/>
            <w:r w:rsidRPr="003461DD">
              <w:rPr>
                <w:rFonts w:eastAsiaTheme="minorEastAsia"/>
                <w:sz w:val="20"/>
                <w:szCs w:val="20"/>
                <w:lang w:val="fr-FR" w:eastAsia="en-CA"/>
              </w:rPr>
              <w:t>McLachlin</w:t>
            </w:r>
            <w:proofErr w:type="spellEnd"/>
            <w:r w:rsidRPr="003461DD">
              <w:rPr>
                <w:rFonts w:eastAsiaTheme="minorEastAsia"/>
                <w:sz w:val="20"/>
                <w:szCs w:val="20"/>
                <w:lang w:val="fr-FR" w:eastAsia="en-CA"/>
              </w:rPr>
              <w:t xml:space="preserve"> et les juges Abella, </w:t>
            </w:r>
            <w:proofErr w:type="spellStart"/>
            <w:r w:rsidRPr="003461DD">
              <w:rPr>
                <w:rFonts w:eastAsiaTheme="minorEastAsia"/>
                <w:sz w:val="20"/>
                <w:szCs w:val="20"/>
                <w:lang w:val="fr-FR" w:eastAsia="en-CA"/>
              </w:rPr>
              <w:t>Moldaver</w:t>
            </w:r>
            <w:proofErr w:type="spellEnd"/>
            <w:r w:rsidRPr="003461DD">
              <w:rPr>
                <w:rFonts w:eastAsiaTheme="minorEastAsia"/>
                <w:sz w:val="20"/>
                <w:szCs w:val="20"/>
                <w:lang w:val="fr-FR" w:eastAsia="en-CA"/>
              </w:rPr>
              <w:t xml:space="preserve">, </w:t>
            </w:r>
            <w:proofErr w:type="spellStart"/>
            <w:r w:rsidRPr="003461DD">
              <w:rPr>
                <w:rFonts w:eastAsiaTheme="minorEastAsia"/>
                <w:sz w:val="20"/>
                <w:szCs w:val="20"/>
                <w:lang w:val="fr-FR" w:eastAsia="en-CA"/>
              </w:rPr>
              <w:t>Karakatsanis</w:t>
            </w:r>
            <w:proofErr w:type="spellEnd"/>
            <w:r w:rsidRPr="003461DD">
              <w:rPr>
                <w:rFonts w:eastAsiaTheme="minorEastAsia"/>
                <w:sz w:val="20"/>
                <w:szCs w:val="20"/>
                <w:lang w:val="fr-FR" w:eastAsia="en-CA"/>
              </w:rPr>
              <w:t>, Wagner, Gascon, Côté, Brown et Rowe</w:t>
            </w:r>
          </w:p>
          <w:p w:rsidR="002B10AF" w:rsidRPr="002B10AF" w:rsidRDefault="002B10AF" w:rsidP="002B10AF">
            <w:pPr>
              <w:rPr>
                <w:lang w:val="fr-FR" w:eastAsia="en-CA"/>
              </w:rPr>
            </w:pPr>
          </w:p>
        </w:tc>
      </w:tr>
      <w:tr w:rsidR="00C41450" w:rsidRPr="00ED4247" w:rsidTr="00C41450">
        <w:tc>
          <w:tcPr>
            <w:tcW w:w="5000" w:type="pct"/>
            <w:gridSpan w:val="4"/>
          </w:tcPr>
          <w:p w:rsidR="00C41450" w:rsidRDefault="002B10AF" w:rsidP="00A268D3">
            <w:pPr>
              <w:pStyle w:val="SCCLsocParty"/>
              <w:jc w:val="both"/>
              <w:rPr>
                <w:sz w:val="20"/>
                <w:szCs w:val="20"/>
                <w:lang w:val="fr-FR"/>
              </w:rPr>
            </w:pPr>
            <w:r w:rsidRPr="003461DD">
              <w:rPr>
                <w:sz w:val="20"/>
                <w:szCs w:val="20"/>
                <w:lang w:val="fr-FR"/>
              </w:rPr>
              <w:t>La requête pour déposer une demande d’autorisation d’appel conjointe de l’arrêt de la Cour d’appel, dossiers n</w:t>
            </w:r>
            <w:r w:rsidRPr="003461DD">
              <w:rPr>
                <w:sz w:val="20"/>
                <w:szCs w:val="20"/>
                <w:vertAlign w:val="superscript"/>
                <w:lang w:val="fr-FR"/>
              </w:rPr>
              <w:t>o</w:t>
            </w:r>
            <w:r w:rsidRPr="003461DD">
              <w:rPr>
                <w:sz w:val="20"/>
                <w:szCs w:val="20"/>
                <w:lang w:val="fr-FR"/>
              </w:rPr>
              <w:t xml:space="preserve"> C59241 et C59382, est accueillie. La demande d’autorisation d’appel de l’arrêt de la Cour d’appel de l’Ontario, numéros C59241 et C59382, 2017 ONCA 22, daté du 13 janvier 2017, est rejetée.</w:t>
            </w:r>
          </w:p>
          <w:p w:rsidR="002B10AF" w:rsidRPr="002B10AF" w:rsidRDefault="002B10AF" w:rsidP="002B10AF">
            <w:pPr>
              <w:rPr>
                <w:lang w:val="fr-FR"/>
              </w:rPr>
            </w:pPr>
          </w:p>
        </w:tc>
      </w:tr>
      <w:tr w:rsidR="00A268D3" w:rsidRPr="00ED4247" w:rsidTr="00A268D3">
        <w:tc>
          <w:tcPr>
            <w:tcW w:w="5000" w:type="pct"/>
            <w:gridSpan w:val="4"/>
            <w:shd w:val="clear" w:color="auto" w:fill="auto"/>
          </w:tcPr>
          <w:p w:rsidR="00A268D3" w:rsidRPr="002F3871" w:rsidRDefault="00A268D3" w:rsidP="00A268D3">
            <w:pPr>
              <w:pStyle w:val="SCCBanSummary"/>
              <w:rPr>
                <w:sz w:val="20"/>
                <w:szCs w:val="20"/>
                <w:lang w:val="fr-CA"/>
              </w:rPr>
            </w:pPr>
            <w:r w:rsidRPr="002F3871">
              <w:rPr>
                <w:sz w:val="20"/>
                <w:szCs w:val="20"/>
                <w:lang w:val="fr-CA"/>
              </w:rPr>
              <w:t>(Ordonnance de non-publication dans le dossier) (Ordonnance de non-publication visant une partie) (Le dossier de la Cour renferme des données que le public n’est pas autorisé à consulter)</w:t>
            </w:r>
          </w:p>
          <w:p w:rsidR="00A268D3" w:rsidRPr="002F3871" w:rsidRDefault="00A268D3" w:rsidP="00A268D3">
            <w:pPr>
              <w:jc w:val="both"/>
              <w:rPr>
                <w:sz w:val="20"/>
                <w:lang w:val="fr-CA"/>
              </w:rPr>
            </w:pPr>
          </w:p>
          <w:p w:rsidR="00A268D3" w:rsidRPr="002F3871" w:rsidRDefault="00A268D3" w:rsidP="00A268D3">
            <w:pPr>
              <w:jc w:val="both"/>
              <w:rPr>
                <w:sz w:val="20"/>
                <w:lang w:val="fr-CA"/>
              </w:rPr>
            </w:pPr>
            <w:r w:rsidRPr="002F3871">
              <w:rPr>
                <w:sz w:val="20"/>
                <w:lang w:val="fr-CA"/>
              </w:rPr>
              <w:t xml:space="preserve">Droit criminel – Adolescents – Détermination de la peine – Éléments à prendre en compte – La Cour d’appel a-t-elle commis une erreur de droit en concluant que les modifications apportées en 2012 au par. 72(1) de la </w:t>
            </w:r>
            <w:r w:rsidRPr="002F3871">
              <w:rPr>
                <w:i/>
                <w:sz w:val="20"/>
                <w:lang w:val="fr-CA"/>
              </w:rPr>
              <w:t>Loi sur le système de justice pénale pour les adolescents</w:t>
            </w:r>
            <w:r w:rsidRPr="002F3871">
              <w:rPr>
                <w:sz w:val="20"/>
                <w:lang w:val="fr-CA"/>
              </w:rPr>
              <w:t>, L.C. 2002, ch. 1, ont modifié le critère d’imposition d’une peine applicable aux adultes? – La Cour d’appel a-t-elle commis une erreur de droit en statuant que pour réfuter la présomption de culpabilité morale moins élevée, le ministère public doit convaincre le tribunal que la preuve permettait de conclure que l’adolescent [</w:t>
            </w:r>
            <w:r w:rsidRPr="002F3871">
              <w:rPr>
                <w:smallCaps/>
                <w:sz w:val="20"/>
                <w:lang w:val="fr-CA"/>
              </w:rPr>
              <w:t>traduction</w:t>
            </w:r>
            <w:r w:rsidRPr="002F3871">
              <w:rPr>
                <w:sz w:val="20"/>
                <w:lang w:val="fr-CA"/>
              </w:rPr>
              <w:t>] « faisait preuve du degré de maturité, du discernement moral et de la capacité de jugement indépendant d’un adulte » – La Cour d’appel a-t-elle commis une erreur de droit en concluant qu’effectivement, une longue période de maintien sous garde avant le procès ou avant l’imposition de la peine devait militer en faveur d’une peine spécifique?</w:t>
            </w:r>
          </w:p>
        </w:tc>
      </w:tr>
      <w:tr w:rsidR="00A268D3" w:rsidRPr="00ED4247" w:rsidTr="00A268D3">
        <w:tc>
          <w:tcPr>
            <w:tcW w:w="5000" w:type="pct"/>
            <w:gridSpan w:val="4"/>
          </w:tcPr>
          <w:p w:rsidR="00A268D3" w:rsidRPr="002F3871" w:rsidRDefault="00A268D3" w:rsidP="00A268D3">
            <w:pPr>
              <w:jc w:val="both"/>
              <w:rPr>
                <w:sz w:val="20"/>
                <w:lang w:val="fr-CA"/>
              </w:rPr>
            </w:pPr>
          </w:p>
        </w:tc>
      </w:tr>
      <w:tr w:rsidR="00A268D3" w:rsidRPr="00ED4247" w:rsidTr="00A268D3">
        <w:tc>
          <w:tcPr>
            <w:tcW w:w="5000" w:type="pct"/>
            <w:gridSpan w:val="4"/>
          </w:tcPr>
          <w:p w:rsidR="00A268D3" w:rsidRPr="002F3871" w:rsidRDefault="00A268D3" w:rsidP="00A268D3">
            <w:pPr>
              <w:jc w:val="both"/>
              <w:rPr>
                <w:sz w:val="20"/>
                <w:lang w:val="fr-CA"/>
              </w:rPr>
            </w:pPr>
            <w:r w:rsidRPr="002F3871">
              <w:rPr>
                <w:sz w:val="20"/>
                <w:lang w:val="fr-CA"/>
              </w:rPr>
              <w:t>La victime a été atteinte d’un projectile d’arme à feu à la tête dans la cage d’escalier d’un immeuble d’habitation. La victime est décédée sur le coup. La victime et les deux intimés étaient âgés de seize ans. Les deux intimés ont été déclarés coupables de meurtre au premier degré. Le juge a imposé des peines applicables aux adultes, statuant qu’une peine spécifique ne protégerait pas adéquatement le public. La Cour d’appel a accueilli les appels des peines des intimés et les peines applicables aux adultes ont été annulées. À leur place, la Cour d’appel a infligé des peines spécifiques de dix ans exécutées dans le cadre d’un programme intensif de réadaptation.</w:t>
            </w:r>
          </w:p>
          <w:p w:rsidR="00A268D3" w:rsidRPr="002F3871" w:rsidRDefault="00A268D3" w:rsidP="00A268D3">
            <w:pPr>
              <w:jc w:val="both"/>
              <w:rPr>
                <w:sz w:val="20"/>
                <w:lang w:val="fr-CA"/>
              </w:rPr>
            </w:pPr>
          </w:p>
        </w:tc>
      </w:tr>
      <w:tr w:rsidR="00A268D3" w:rsidRPr="00ED4247" w:rsidTr="00A268D3">
        <w:tc>
          <w:tcPr>
            <w:tcW w:w="2427" w:type="pct"/>
            <w:gridSpan w:val="2"/>
          </w:tcPr>
          <w:p w:rsidR="00A268D3" w:rsidRPr="002F3871" w:rsidRDefault="00A268D3" w:rsidP="00A268D3">
            <w:pPr>
              <w:jc w:val="both"/>
              <w:rPr>
                <w:sz w:val="20"/>
                <w:lang w:val="fr-CA"/>
              </w:rPr>
            </w:pPr>
            <w:r w:rsidRPr="002F3871">
              <w:rPr>
                <w:sz w:val="20"/>
                <w:lang w:val="fr-CA"/>
              </w:rPr>
              <w:t>29 mai 2013</w:t>
            </w:r>
          </w:p>
          <w:p w:rsidR="00A268D3" w:rsidRPr="002F3871" w:rsidRDefault="00A268D3" w:rsidP="00A268D3">
            <w:pPr>
              <w:jc w:val="both"/>
              <w:rPr>
                <w:sz w:val="20"/>
                <w:lang w:val="fr-CA"/>
              </w:rPr>
            </w:pPr>
            <w:r w:rsidRPr="002F3871">
              <w:rPr>
                <w:sz w:val="20"/>
                <w:lang w:val="fr-CA"/>
              </w:rPr>
              <w:t xml:space="preserve">Cour supérieure de justice de l’Ontario </w:t>
            </w:r>
          </w:p>
          <w:p w:rsidR="00A268D3" w:rsidRPr="002F3871" w:rsidRDefault="00A268D3" w:rsidP="00A268D3">
            <w:pPr>
              <w:jc w:val="both"/>
              <w:rPr>
                <w:sz w:val="20"/>
                <w:lang w:val="fr-CA"/>
              </w:rPr>
            </w:pPr>
            <w:r w:rsidRPr="002F3871">
              <w:rPr>
                <w:sz w:val="20"/>
                <w:lang w:val="fr-CA"/>
              </w:rPr>
              <w:t>(Juge Nordheimer)</w:t>
            </w:r>
          </w:p>
          <w:p w:rsidR="00A268D3" w:rsidRPr="002F3871" w:rsidRDefault="00A268D3" w:rsidP="00A268D3">
            <w:pPr>
              <w:jc w:val="both"/>
              <w:rPr>
                <w:sz w:val="20"/>
                <w:lang w:val="fr-CA"/>
              </w:rPr>
            </w:pPr>
            <w:r w:rsidRPr="002F3871">
              <w:rPr>
                <w:sz w:val="20"/>
                <w:lang w:val="fr-CA"/>
              </w:rPr>
              <w:t>2013 ONSC 3139</w:t>
            </w:r>
          </w:p>
          <w:p w:rsidR="00A268D3" w:rsidRPr="002F3871" w:rsidRDefault="00A268D3" w:rsidP="00A268D3">
            <w:pPr>
              <w:jc w:val="both"/>
              <w:rPr>
                <w:sz w:val="20"/>
                <w:lang w:val="fr-CA"/>
              </w:rPr>
            </w:pPr>
          </w:p>
        </w:tc>
        <w:tc>
          <w:tcPr>
            <w:tcW w:w="243" w:type="pct"/>
          </w:tcPr>
          <w:p w:rsidR="00A268D3" w:rsidRPr="002F3871" w:rsidRDefault="00A268D3" w:rsidP="00A268D3">
            <w:pPr>
              <w:jc w:val="both"/>
              <w:rPr>
                <w:sz w:val="20"/>
                <w:lang w:val="fr-CA"/>
              </w:rPr>
            </w:pPr>
          </w:p>
        </w:tc>
        <w:tc>
          <w:tcPr>
            <w:tcW w:w="2330" w:type="pct"/>
          </w:tcPr>
          <w:p w:rsidR="00A268D3" w:rsidRPr="002F3871" w:rsidRDefault="00A268D3" w:rsidP="00A268D3">
            <w:pPr>
              <w:jc w:val="both"/>
              <w:rPr>
                <w:sz w:val="20"/>
                <w:lang w:val="fr-CA"/>
              </w:rPr>
            </w:pPr>
            <w:r w:rsidRPr="002F3871">
              <w:rPr>
                <w:sz w:val="20"/>
                <w:lang w:val="fr-CA"/>
              </w:rPr>
              <w:t>Déclaration de culpabilité de meurtre au premier degré prononcée contre les intimés</w:t>
            </w:r>
          </w:p>
          <w:p w:rsidR="00A268D3" w:rsidRPr="002F3871" w:rsidRDefault="00A268D3" w:rsidP="00A268D3">
            <w:pPr>
              <w:jc w:val="both"/>
              <w:rPr>
                <w:sz w:val="20"/>
                <w:lang w:val="fr-CA"/>
              </w:rPr>
            </w:pPr>
          </w:p>
        </w:tc>
      </w:tr>
      <w:tr w:rsidR="00A268D3" w:rsidRPr="00ED4247" w:rsidTr="00A268D3">
        <w:tc>
          <w:tcPr>
            <w:tcW w:w="2427" w:type="pct"/>
            <w:gridSpan w:val="2"/>
          </w:tcPr>
          <w:p w:rsidR="00A268D3" w:rsidRPr="002F3871" w:rsidRDefault="00A268D3" w:rsidP="00A268D3">
            <w:pPr>
              <w:jc w:val="both"/>
              <w:rPr>
                <w:sz w:val="20"/>
                <w:lang w:val="fr-CA"/>
              </w:rPr>
            </w:pPr>
            <w:r w:rsidRPr="002F3871">
              <w:rPr>
                <w:sz w:val="20"/>
                <w:lang w:val="fr-CA"/>
              </w:rPr>
              <w:t>10 juin 2014</w:t>
            </w:r>
          </w:p>
          <w:p w:rsidR="00A268D3" w:rsidRPr="002F3871" w:rsidRDefault="00A268D3" w:rsidP="00A268D3">
            <w:pPr>
              <w:jc w:val="both"/>
              <w:rPr>
                <w:sz w:val="20"/>
                <w:lang w:val="fr-CA"/>
              </w:rPr>
            </w:pPr>
            <w:r w:rsidRPr="002F3871">
              <w:rPr>
                <w:sz w:val="20"/>
                <w:lang w:val="fr-CA"/>
              </w:rPr>
              <w:t xml:space="preserve">Cour supérieure de justice de l’Ontario </w:t>
            </w:r>
          </w:p>
          <w:p w:rsidR="00A268D3" w:rsidRPr="002F3871" w:rsidRDefault="00A268D3" w:rsidP="00A268D3">
            <w:pPr>
              <w:jc w:val="both"/>
              <w:rPr>
                <w:sz w:val="20"/>
                <w:lang w:val="fr-CA"/>
              </w:rPr>
            </w:pPr>
            <w:r w:rsidRPr="002F3871">
              <w:rPr>
                <w:sz w:val="20"/>
                <w:lang w:val="fr-CA"/>
              </w:rPr>
              <w:t>(Juge Nordheimer)</w:t>
            </w:r>
          </w:p>
          <w:p w:rsidR="00A268D3" w:rsidRPr="002F3871" w:rsidRDefault="00A268D3" w:rsidP="00A268D3">
            <w:pPr>
              <w:jc w:val="both"/>
              <w:rPr>
                <w:sz w:val="20"/>
                <w:lang w:val="fr-CA"/>
              </w:rPr>
            </w:pPr>
            <w:r w:rsidRPr="002F3871">
              <w:rPr>
                <w:sz w:val="20"/>
                <w:lang w:val="fr-CA"/>
              </w:rPr>
              <w:t>2014 ONSC 3436</w:t>
            </w:r>
          </w:p>
          <w:p w:rsidR="00A268D3" w:rsidRPr="002F3871" w:rsidRDefault="00A268D3" w:rsidP="00A268D3">
            <w:pPr>
              <w:jc w:val="both"/>
              <w:rPr>
                <w:sz w:val="20"/>
                <w:lang w:val="fr-CA"/>
              </w:rPr>
            </w:pPr>
          </w:p>
        </w:tc>
        <w:tc>
          <w:tcPr>
            <w:tcW w:w="243" w:type="pct"/>
          </w:tcPr>
          <w:p w:rsidR="00A268D3" w:rsidRPr="002F3871" w:rsidRDefault="00A268D3" w:rsidP="00A268D3">
            <w:pPr>
              <w:jc w:val="both"/>
              <w:rPr>
                <w:sz w:val="20"/>
                <w:lang w:val="fr-CA"/>
              </w:rPr>
            </w:pPr>
          </w:p>
        </w:tc>
        <w:tc>
          <w:tcPr>
            <w:tcW w:w="2330" w:type="pct"/>
          </w:tcPr>
          <w:p w:rsidR="00A268D3" w:rsidRPr="002F3871" w:rsidRDefault="00A268D3" w:rsidP="00A268D3">
            <w:pPr>
              <w:jc w:val="both"/>
              <w:rPr>
                <w:sz w:val="20"/>
                <w:lang w:val="fr-CA"/>
              </w:rPr>
            </w:pPr>
            <w:r w:rsidRPr="002F3871">
              <w:rPr>
                <w:sz w:val="20"/>
                <w:lang w:val="fr-CA"/>
              </w:rPr>
              <w:t>Imposition d’une peine applicable aux adultes</w:t>
            </w:r>
          </w:p>
          <w:p w:rsidR="00A268D3" w:rsidRPr="002F3871" w:rsidRDefault="00A268D3" w:rsidP="00A268D3">
            <w:pPr>
              <w:jc w:val="both"/>
              <w:rPr>
                <w:sz w:val="20"/>
                <w:lang w:val="fr-CA"/>
              </w:rPr>
            </w:pPr>
          </w:p>
        </w:tc>
      </w:tr>
      <w:tr w:rsidR="00A268D3" w:rsidRPr="00ED4247" w:rsidTr="00A268D3">
        <w:tc>
          <w:tcPr>
            <w:tcW w:w="2427" w:type="pct"/>
            <w:gridSpan w:val="2"/>
          </w:tcPr>
          <w:p w:rsidR="00A268D3" w:rsidRPr="002F3871" w:rsidRDefault="00A268D3" w:rsidP="00A268D3">
            <w:pPr>
              <w:jc w:val="both"/>
              <w:rPr>
                <w:sz w:val="20"/>
                <w:lang w:val="fr-CA"/>
              </w:rPr>
            </w:pPr>
            <w:r w:rsidRPr="002F3871">
              <w:rPr>
                <w:sz w:val="20"/>
                <w:lang w:val="fr-CA"/>
              </w:rPr>
              <w:t>13 janvier 2017</w:t>
            </w:r>
          </w:p>
          <w:p w:rsidR="00A268D3" w:rsidRPr="002F3871" w:rsidRDefault="00A268D3" w:rsidP="00A268D3">
            <w:pPr>
              <w:jc w:val="both"/>
              <w:rPr>
                <w:sz w:val="20"/>
                <w:lang w:val="fr-CA"/>
              </w:rPr>
            </w:pPr>
            <w:r w:rsidRPr="002F3871">
              <w:rPr>
                <w:sz w:val="20"/>
                <w:lang w:val="fr-CA"/>
              </w:rPr>
              <w:t xml:space="preserve">Cour d’appel de l’Ontario </w:t>
            </w:r>
          </w:p>
          <w:p w:rsidR="00A268D3" w:rsidRPr="002F3871" w:rsidRDefault="00A268D3" w:rsidP="00A268D3">
            <w:pPr>
              <w:jc w:val="both"/>
              <w:rPr>
                <w:sz w:val="20"/>
                <w:lang w:val="fr-CA"/>
              </w:rPr>
            </w:pPr>
            <w:r w:rsidRPr="002F3871">
              <w:rPr>
                <w:sz w:val="20"/>
                <w:lang w:val="fr-CA"/>
              </w:rPr>
              <w:t>(Juges Epstein, Pepall et van Rensburg)</w:t>
            </w:r>
          </w:p>
          <w:p w:rsidR="00A268D3" w:rsidRPr="002F3871" w:rsidRDefault="00A268D3" w:rsidP="00A268D3">
            <w:pPr>
              <w:jc w:val="both"/>
              <w:rPr>
                <w:sz w:val="20"/>
              </w:rPr>
            </w:pPr>
            <w:r w:rsidRPr="002F3871">
              <w:rPr>
                <w:sz w:val="20"/>
              </w:rPr>
              <w:t>2017 ONCA 22; C59241, C59382</w:t>
            </w:r>
          </w:p>
          <w:p w:rsidR="00A268D3" w:rsidRPr="002F3871" w:rsidRDefault="00ED4247" w:rsidP="00A268D3">
            <w:pPr>
              <w:jc w:val="both"/>
              <w:rPr>
                <w:sz w:val="20"/>
              </w:rPr>
            </w:pPr>
            <w:hyperlink r:id="rId59" w:history="1">
              <w:r w:rsidR="00A268D3" w:rsidRPr="002F3871">
                <w:rPr>
                  <w:rStyle w:val="Hyperlink"/>
                  <w:rFonts w:eastAsiaTheme="majorEastAsia"/>
                  <w:sz w:val="20"/>
                </w:rPr>
                <w:t>http://canlii.ca/t/gwvnr</w:t>
              </w:r>
            </w:hyperlink>
          </w:p>
          <w:p w:rsidR="00A268D3" w:rsidRPr="002F3871" w:rsidRDefault="00A268D3" w:rsidP="00A268D3">
            <w:pPr>
              <w:jc w:val="both"/>
              <w:rPr>
                <w:sz w:val="20"/>
              </w:rPr>
            </w:pPr>
          </w:p>
        </w:tc>
        <w:tc>
          <w:tcPr>
            <w:tcW w:w="243" w:type="pct"/>
          </w:tcPr>
          <w:p w:rsidR="00A268D3" w:rsidRPr="002F3871" w:rsidRDefault="00A268D3" w:rsidP="00A268D3">
            <w:pPr>
              <w:jc w:val="both"/>
              <w:rPr>
                <w:sz w:val="20"/>
              </w:rPr>
            </w:pPr>
          </w:p>
        </w:tc>
        <w:tc>
          <w:tcPr>
            <w:tcW w:w="2330" w:type="pct"/>
          </w:tcPr>
          <w:p w:rsidR="00A268D3" w:rsidRPr="002F3871" w:rsidRDefault="00A268D3" w:rsidP="00A268D3">
            <w:pPr>
              <w:jc w:val="both"/>
              <w:rPr>
                <w:sz w:val="20"/>
                <w:lang w:val="fr-CA"/>
              </w:rPr>
            </w:pPr>
            <w:r w:rsidRPr="002F3871">
              <w:rPr>
                <w:sz w:val="20"/>
                <w:lang w:val="fr-CA"/>
              </w:rPr>
              <w:t xml:space="preserve">Arrêt accueillant les appels de la peine, annulant les peines applicables aux adultes et imposant des peines spécifiques de dix ans exécutées dans le cadre d’un programme intensif de réadaptation </w:t>
            </w:r>
          </w:p>
          <w:p w:rsidR="00A268D3" w:rsidRPr="002F3871" w:rsidRDefault="00A268D3" w:rsidP="00A268D3">
            <w:pPr>
              <w:jc w:val="both"/>
              <w:rPr>
                <w:sz w:val="20"/>
                <w:lang w:val="fr-CA"/>
              </w:rPr>
            </w:pPr>
          </w:p>
        </w:tc>
      </w:tr>
      <w:tr w:rsidR="00A268D3" w:rsidRPr="00ED4247" w:rsidTr="00A268D3">
        <w:tc>
          <w:tcPr>
            <w:tcW w:w="2427" w:type="pct"/>
            <w:gridSpan w:val="2"/>
          </w:tcPr>
          <w:p w:rsidR="00A268D3" w:rsidRPr="002F3871" w:rsidRDefault="00A268D3" w:rsidP="00A268D3">
            <w:pPr>
              <w:jc w:val="both"/>
              <w:rPr>
                <w:sz w:val="20"/>
                <w:lang w:val="fr-CA"/>
              </w:rPr>
            </w:pPr>
            <w:r w:rsidRPr="002F3871">
              <w:rPr>
                <w:sz w:val="20"/>
                <w:lang w:val="fr-CA"/>
              </w:rPr>
              <w:t>13 mars 2017</w:t>
            </w:r>
          </w:p>
          <w:p w:rsidR="00A268D3" w:rsidRPr="002F3871" w:rsidRDefault="00A268D3" w:rsidP="00A268D3">
            <w:pPr>
              <w:jc w:val="both"/>
              <w:rPr>
                <w:sz w:val="20"/>
                <w:lang w:val="fr-CA"/>
              </w:rPr>
            </w:pPr>
            <w:r w:rsidRPr="002F3871">
              <w:rPr>
                <w:sz w:val="20"/>
                <w:lang w:val="fr-CA"/>
              </w:rPr>
              <w:t>Cour suprême du Canada</w:t>
            </w:r>
          </w:p>
        </w:tc>
        <w:tc>
          <w:tcPr>
            <w:tcW w:w="243" w:type="pct"/>
          </w:tcPr>
          <w:p w:rsidR="00A268D3" w:rsidRPr="002F3871" w:rsidRDefault="00A268D3" w:rsidP="00A268D3">
            <w:pPr>
              <w:jc w:val="both"/>
              <w:rPr>
                <w:sz w:val="20"/>
                <w:lang w:val="fr-CA"/>
              </w:rPr>
            </w:pPr>
          </w:p>
        </w:tc>
        <w:tc>
          <w:tcPr>
            <w:tcW w:w="2330" w:type="pct"/>
          </w:tcPr>
          <w:p w:rsidR="00A268D3" w:rsidRPr="002F3871" w:rsidRDefault="00A268D3" w:rsidP="00A268D3">
            <w:pPr>
              <w:jc w:val="both"/>
              <w:rPr>
                <w:sz w:val="20"/>
                <w:lang w:val="fr-CA"/>
              </w:rPr>
            </w:pPr>
            <w:r w:rsidRPr="002F3871">
              <w:rPr>
                <w:sz w:val="20"/>
                <w:lang w:val="fr-CA"/>
              </w:rPr>
              <w:t>Dépôt de la requête diverse et de la demande d’autorisation d’appel</w:t>
            </w:r>
          </w:p>
        </w:tc>
      </w:tr>
    </w:tbl>
    <w:p w:rsidR="00A268D3" w:rsidRPr="002F3871" w:rsidRDefault="00ED4247" w:rsidP="00A268D3">
      <w:pPr>
        <w:jc w:val="both"/>
        <w:rPr>
          <w:sz w:val="20"/>
          <w:lang w:val="fr-CA"/>
        </w:rPr>
      </w:pPr>
      <w:r>
        <w:rPr>
          <w:sz w:val="20"/>
          <w:szCs w:val="20"/>
        </w:rPr>
        <w:pict>
          <v:rect id="_x0000_i1076" style="width:2in;height:1pt" o:hrpct="0" o:hralign="center" o:hrstd="t" o:hrnoshade="t" o:hr="t" fillcolor="black" stroked="f"/>
        </w:pict>
      </w:r>
    </w:p>
    <w:p w:rsidR="00A268D3" w:rsidRPr="002F3871" w:rsidRDefault="00A268D3" w:rsidP="00A268D3">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268D3" w:rsidRPr="002F3871" w:rsidTr="00A268D3">
        <w:tc>
          <w:tcPr>
            <w:tcW w:w="543" w:type="pct"/>
          </w:tcPr>
          <w:p w:rsidR="00A268D3" w:rsidRPr="002F3871" w:rsidRDefault="00A268D3" w:rsidP="00A268D3">
            <w:pPr>
              <w:jc w:val="both"/>
              <w:rPr>
                <w:sz w:val="20"/>
              </w:rPr>
            </w:pPr>
            <w:r w:rsidRPr="002F3871">
              <w:rPr>
                <w:rStyle w:val="SCCFileNumberChar"/>
                <w:sz w:val="20"/>
                <w:szCs w:val="20"/>
              </w:rPr>
              <w:lastRenderedPageBreak/>
              <w:t>37501</w:t>
            </w:r>
          </w:p>
        </w:tc>
        <w:tc>
          <w:tcPr>
            <w:tcW w:w="4457" w:type="pct"/>
            <w:gridSpan w:val="3"/>
          </w:tcPr>
          <w:p w:rsidR="00A268D3" w:rsidRPr="002F3871" w:rsidRDefault="00FD544E" w:rsidP="00A268D3">
            <w:pPr>
              <w:jc w:val="both"/>
              <w:rPr>
                <w:sz w:val="20"/>
              </w:rPr>
            </w:pPr>
            <w:r w:rsidRPr="00FD544E">
              <w:rPr>
                <w:rFonts w:eastAsia="Calibri" w:cs="Times New Roman"/>
                <w:b/>
                <w:sz w:val="20"/>
                <w:szCs w:val="20"/>
                <w:lang w:val="en-US"/>
              </w:rPr>
              <w:t xml:space="preserve">Terry </w:t>
            </w:r>
            <w:proofErr w:type="spellStart"/>
            <w:r w:rsidRPr="00FD544E">
              <w:rPr>
                <w:rFonts w:eastAsia="Calibri" w:cs="Times New Roman"/>
                <w:b/>
                <w:sz w:val="20"/>
                <w:szCs w:val="20"/>
                <w:lang w:val="en-US"/>
              </w:rPr>
              <w:t>Hirchberg</w:t>
            </w:r>
            <w:proofErr w:type="spellEnd"/>
            <w:r w:rsidRPr="00FD544E">
              <w:rPr>
                <w:rFonts w:eastAsia="Calibri" w:cs="Times New Roman"/>
                <w:b/>
                <w:sz w:val="20"/>
                <w:szCs w:val="20"/>
                <w:lang w:val="en-US"/>
              </w:rPr>
              <w:t xml:space="preserve"> v. Branson Drug Store/North York General Hospital, Odette Cancer Centre Pharmacy/Sunnybrook Health Sciences Centre, MD Mary Doherty - Odette Cancer Centre, MD Todd Mainprize - Sunnybrook Hospital, MD Ken </w:t>
            </w:r>
            <w:proofErr w:type="spellStart"/>
            <w:r w:rsidRPr="00FD544E">
              <w:rPr>
                <w:rFonts w:eastAsia="Calibri" w:cs="Times New Roman"/>
                <w:b/>
                <w:sz w:val="20"/>
                <w:szCs w:val="20"/>
                <w:lang w:val="en-US"/>
              </w:rPr>
              <w:t>Peckham</w:t>
            </w:r>
            <w:proofErr w:type="spellEnd"/>
            <w:r w:rsidRPr="00FD544E">
              <w:rPr>
                <w:rFonts w:eastAsia="Calibri" w:cs="Times New Roman"/>
                <w:b/>
                <w:sz w:val="20"/>
                <w:szCs w:val="20"/>
                <w:lang w:val="en-US"/>
              </w:rPr>
              <w:t xml:space="preserve"> - Sunnybrook Hospital and MD Michelle Hart - </w:t>
            </w:r>
            <w:proofErr w:type="spellStart"/>
            <w:r w:rsidRPr="00FD544E">
              <w:rPr>
                <w:rFonts w:eastAsia="Calibri" w:cs="Times New Roman"/>
                <w:b/>
                <w:sz w:val="20"/>
                <w:szCs w:val="20"/>
                <w:lang w:val="en-US"/>
              </w:rPr>
              <w:t>Baycrest</w:t>
            </w:r>
            <w:proofErr w:type="spellEnd"/>
            <w:r w:rsidRPr="00FD544E">
              <w:rPr>
                <w:rFonts w:eastAsia="Calibri" w:cs="Times New Roman"/>
                <w:b/>
                <w:sz w:val="20"/>
                <w:szCs w:val="20"/>
                <w:lang w:val="en-US"/>
              </w:rPr>
              <w:t xml:space="preserve"> Hospital </w:t>
            </w:r>
            <w:r w:rsidR="00A268D3" w:rsidRPr="002F3871">
              <w:rPr>
                <w:sz w:val="20"/>
              </w:rPr>
              <w:t>(Ont.) (Civil) (By Leave)</w:t>
            </w:r>
          </w:p>
        </w:tc>
      </w:tr>
      <w:tr w:rsidR="00C41450" w:rsidRPr="002F3871" w:rsidTr="00A268D3">
        <w:tc>
          <w:tcPr>
            <w:tcW w:w="543" w:type="pct"/>
          </w:tcPr>
          <w:p w:rsidR="00C41450" w:rsidRPr="002F3871" w:rsidRDefault="00C41450" w:rsidP="00A268D3">
            <w:pPr>
              <w:jc w:val="both"/>
              <w:rPr>
                <w:rStyle w:val="SCCFileNumberChar"/>
                <w:sz w:val="20"/>
                <w:szCs w:val="20"/>
              </w:rPr>
            </w:pPr>
            <w:r>
              <w:rPr>
                <w:rStyle w:val="SCCFileNumberChar"/>
                <w:sz w:val="20"/>
                <w:szCs w:val="20"/>
              </w:rPr>
              <w:t>Coram:</w:t>
            </w:r>
          </w:p>
        </w:tc>
        <w:tc>
          <w:tcPr>
            <w:tcW w:w="4457" w:type="pct"/>
            <w:gridSpan w:val="3"/>
          </w:tcPr>
          <w:p w:rsidR="00C41450" w:rsidRDefault="00FD544E" w:rsidP="00A268D3">
            <w:pPr>
              <w:pStyle w:val="SCCLsocParty"/>
              <w:jc w:val="both"/>
              <w:rPr>
                <w:rFonts w:eastAsiaTheme="minorEastAsia"/>
                <w:sz w:val="20"/>
                <w:szCs w:val="20"/>
                <w:lang w:val="en-US" w:eastAsia="en-CA"/>
              </w:rPr>
            </w:pPr>
            <w:proofErr w:type="spellStart"/>
            <w:r w:rsidRPr="00FD544E">
              <w:rPr>
                <w:rFonts w:eastAsiaTheme="minorEastAsia"/>
                <w:sz w:val="20"/>
                <w:szCs w:val="20"/>
                <w:lang w:val="en-US" w:eastAsia="en-CA"/>
              </w:rPr>
              <w:t>McLachlin</w:t>
            </w:r>
            <w:proofErr w:type="spellEnd"/>
            <w:r w:rsidRPr="00FD544E">
              <w:rPr>
                <w:rFonts w:eastAsiaTheme="minorEastAsia"/>
                <w:sz w:val="20"/>
                <w:szCs w:val="20"/>
                <w:lang w:val="en-US" w:eastAsia="en-CA"/>
              </w:rPr>
              <w:t xml:space="preserve"> C.J. and </w:t>
            </w:r>
            <w:proofErr w:type="spellStart"/>
            <w:r w:rsidRPr="00FD544E">
              <w:rPr>
                <w:rFonts w:eastAsiaTheme="minorEastAsia"/>
                <w:sz w:val="20"/>
                <w:szCs w:val="20"/>
                <w:lang w:val="en-US" w:eastAsia="en-CA"/>
              </w:rPr>
              <w:t>Abella</w:t>
            </w:r>
            <w:proofErr w:type="spellEnd"/>
            <w:r w:rsidRPr="00FD544E">
              <w:rPr>
                <w:rFonts w:eastAsiaTheme="minorEastAsia"/>
                <w:sz w:val="20"/>
                <w:szCs w:val="20"/>
                <w:lang w:val="en-US" w:eastAsia="en-CA"/>
              </w:rPr>
              <w:t xml:space="preserve">, </w:t>
            </w:r>
            <w:proofErr w:type="spellStart"/>
            <w:r w:rsidRPr="00FD544E">
              <w:rPr>
                <w:rFonts w:eastAsiaTheme="minorEastAsia"/>
                <w:sz w:val="20"/>
                <w:szCs w:val="20"/>
                <w:lang w:val="en-US" w:eastAsia="en-CA"/>
              </w:rPr>
              <w:t>Moldaver</w:t>
            </w:r>
            <w:proofErr w:type="spellEnd"/>
            <w:r w:rsidRPr="00FD544E">
              <w:rPr>
                <w:rFonts w:eastAsiaTheme="minorEastAsia"/>
                <w:sz w:val="20"/>
                <w:szCs w:val="20"/>
                <w:lang w:val="en-US" w:eastAsia="en-CA"/>
              </w:rPr>
              <w:t xml:space="preserve">, </w:t>
            </w:r>
            <w:proofErr w:type="spellStart"/>
            <w:r w:rsidRPr="00FD544E">
              <w:rPr>
                <w:rFonts w:eastAsiaTheme="minorEastAsia"/>
                <w:sz w:val="20"/>
                <w:szCs w:val="20"/>
                <w:lang w:val="en-US" w:eastAsia="en-CA"/>
              </w:rPr>
              <w:t>Karakatsanis</w:t>
            </w:r>
            <w:proofErr w:type="spellEnd"/>
            <w:r w:rsidRPr="00FD544E">
              <w:rPr>
                <w:rFonts w:eastAsiaTheme="minorEastAsia"/>
                <w:sz w:val="20"/>
                <w:szCs w:val="20"/>
                <w:lang w:val="en-US" w:eastAsia="en-CA"/>
              </w:rPr>
              <w:t xml:space="preserve">, Wagner, </w:t>
            </w:r>
            <w:proofErr w:type="spellStart"/>
            <w:r w:rsidRPr="00FD544E">
              <w:rPr>
                <w:rFonts w:eastAsiaTheme="minorEastAsia"/>
                <w:sz w:val="20"/>
                <w:szCs w:val="20"/>
                <w:lang w:val="en-US" w:eastAsia="en-CA"/>
              </w:rPr>
              <w:t>Gascon</w:t>
            </w:r>
            <w:proofErr w:type="spellEnd"/>
            <w:r w:rsidRPr="00FD544E">
              <w:rPr>
                <w:rFonts w:eastAsiaTheme="minorEastAsia"/>
                <w:sz w:val="20"/>
                <w:szCs w:val="20"/>
                <w:lang w:val="en-US" w:eastAsia="en-CA"/>
              </w:rPr>
              <w:t xml:space="preserve">, </w:t>
            </w:r>
            <w:proofErr w:type="spellStart"/>
            <w:r w:rsidRPr="00FD544E">
              <w:rPr>
                <w:rFonts w:eastAsiaTheme="minorEastAsia"/>
                <w:sz w:val="20"/>
                <w:szCs w:val="20"/>
                <w:lang w:val="en-US" w:eastAsia="en-CA"/>
              </w:rPr>
              <w:t>Côté</w:t>
            </w:r>
            <w:proofErr w:type="spellEnd"/>
            <w:r w:rsidRPr="00FD544E">
              <w:rPr>
                <w:rFonts w:eastAsiaTheme="minorEastAsia"/>
                <w:sz w:val="20"/>
                <w:szCs w:val="20"/>
                <w:lang w:val="en-US" w:eastAsia="en-CA"/>
              </w:rPr>
              <w:t>, Brown and Rowe JJ.</w:t>
            </w:r>
          </w:p>
          <w:p w:rsidR="00FD544E" w:rsidRPr="00FD544E" w:rsidRDefault="00FD544E" w:rsidP="00FD544E">
            <w:pPr>
              <w:rPr>
                <w:lang w:val="en-US" w:eastAsia="en-CA"/>
              </w:rPr>
            </w:pPr>
          </w:p>
        </w:tc>
      </w:tr>
      <w:tr w:rsidR="00C41450" w:rsidRPr="002F3871" w:rsidTr="00C41450">
        <w:tc>
          <w:tcPr>
            <w:tcW w:w="5000" w:type="pct"/>
            <w:gridSpan w:val="4"/>
          </w:tcPr>
          <w:p w:rsidR="00C41450" w:rsidRPr="00FD544E" w:rsidRDefault="00FD544E" w:rsidP="00A268D3">
            <w:pPr>
              <w:pStyle w:val="SCCLsocParty"/>
              <w:jc w:val="both"/>
              <w:rPr>
                <w:sz w:val="20"/>
                <w:szCs w:val="20"/>
                <w:lang w:val="en-US"/>
              </w:rPr>
            </w:pPr>
            <w:r w:rsidRPr="00FD544E">
              <w:rPr>
                <w:sz w:val="20"/>
                <w:szCs w:val="20"/>
                <w:lang w:val="en-US"/>
              </w:rPr>
              <w:t>The application for leave to appeal from the judgment of the Court of Appeal for Ontario, Number C62626, 2017 ONCA 62, dated January 25, 2017, is dismissed with costs.</w:t>
            </w:r>
          </w:p>
          <w:p w:rsidR="00FD544E" w:rsidRPr="00FD544E" w:rsidRDefault="00FD544E" w:rsidP="00FD544E">
            <w:pPr>
              <w:rPr>
                <w:lang w:val="en-US"/>
              </w:rPr>
            </w:pPr>
          </w:p>
        </w:tc>
      </w:tr>
      <w:tr w:rsidR="00A268D3" w:rsidRPr="002F3871" w:rsidTr="00A268D3">
        <w:tc>
          <w:tcPr>
            <w:tcW w:w="5000" w:type="pct"/>
            <w:gridSpan w:val="4"/>
          </w:tcPr>
          <w:p w:rsidR="00A268D3" w:rsidRPr="002F3871" w:rsidRDefault="00A268D3" w:rsidP="00A268D3">
            <w:pPr>
              <w:jc w:val="both"/>
              <w:rPr>
                <w:b/>
                <w:sz w:val="20"/>
              </w:rPr>
            </w:pPr>
            <w:r w:rsidRPr="002F3871">
              <w:rPr>
                <w:sz w:val="20"/>
              </w:rPr>
              <w:t>Health law — Consent to care — Drugs — Professional responsibility — Doctors — Practice and procedure — Evidence — Summary judgments — Applicant alleged medical malpractice and failure to disclose risks with respect to drug used to treat terminally ill spouse — Motion judge found no genuine issue for trial, that applicant failed to put forward expert evidence addressing issues of standard of care and causation and that applicant’s expert was not qualified — Respondents’ motions for summary judgment granted and applicant’s medical malpractice action dismissed — Applicant’s subsequent appeal also dismissed — Whether lower court’s interpretation of summary judgment rule 20.04(2.1) of Ontario’s</w:t>
            </w:r>
            <w:r w:rsidRPr="002F3871">
              <w:rPr>
                <w:i/>
                <w:sz w:val="20"/>
              </w:rPr>
              <w:t xml:space="preserve"> Rules of Civil Procedure</w:t>
            </w:r>
            <w:r w:rsidRPr="002F3871">
              <w:rPr>
                <w:sz w:val="20"/>
              </w:rPr>
              <w:t xml:space="preserve">, R.R.O. 1990, Reg. 194, correct — Whether excluding expert evidence allowed on summary judgement. </w:t>
            </w:r>
          </w:p>
        </w:tc>
      </w:tr>
      <w:tr w:rsidR="00A268D3" w:rsidRPr="002F3871" w:rsidTr="00A268D3">
        <w:tc>
          <w:tcPr>
            <w:tcW w:w="5000" w:type="pct"/>
            <w:gridSpan w:val="4"/>
          </w:tcPr>
          <w:p w:rsidR="00A268D3" w:rsidRPr="002F3871" w:rsidRDefault="00A268D3" w:rsidP="00A268D3">
            <w:pPr>
              <w:jc w:val="both"/>
              <w:rPr>
                <w:sz w:val="20"/>
              </w:rPr>
            </w:pPr>
          </w:p>
        </w:tc>
      </w:tr>
      <w:tr w:rsidR="00A268D3" w:rsidRPr="002F3871" w:rsidTr="00A268D3">
        <w:tc>
          <w:tcPr>
            <w:tcW w:w="5000" w:type="pct"/>
            <w:gridSpan w:val="4"/>
          </w:tcPr>
          <w:p w:rsidR="00A268D3" w:rsidRPr="002F3871" w:rsidRDefault="00A268D3" w:rsidP="00A268D3">
            <w:pPr>
              <w:jc w:val="both"/>
              <w:rPr>
                <w:sz w:val="20"/>
              </w:rPr>
            </w:pPr>
            <w:r w:rsidRPr="002F3871">
              <w:rPr>
                <w:sz w:val="20"/>
              </w:rPr>
              <w:t>The applicant, Mr. Hirchberg, brought a medical malpractice claim against the respondent hospitals, physicians and pharmacies. Mr. Hirchberg’s spouse passed away six months after her diagnosis with terminal brain cancer. Mr. Hirchberg took issue with his spouse’s treatment with dexamethasone, a drug used to reduce cerebral swelling associated with brain tumors. Mr. Hirchberg alleged that the drug was terminated without tapering off and that, having regard to the various risks associated with the drug, informed consent to its use was not obtained. The respondents brought summary judgment motions following a significant amount of documentary and oral discovery. The respondents took the position that the applicable standard of care was met, and that the death of Mr. Hirchberg’s spouse was caused by her illness rather than any of the alleged breaches of the standard of care. The motion judge found no genuine issue for trial and dismissed Mr. Hirchberg’s action. A unanimous Court of Appeal dismissed the appeal.</w:t>
            </w:r>
          </w:p>
          <w:p w:rsidR="00A268D3" w:rsidRPr="002F3871" w:rsidRDefault="00A268D3" w:rsidP="00A268D3">
            <w:pPr>
              <w:jc w:val="both"/>
              <w:rPr>
                <w:sz w:val="20"/>
              </w:rPr>
            </w:pPr>
          </w:p>
        </w:tc>
      </w:tr>
      <w:tr w:rsidR="00A268D3" w:rsidRPr="002F3871" w:rsidTr="00A268D3">
        <w:tc>
          <w:tcPr>
            <w:tcW w:w="2427" w:type="pct"/>
            <w:gridSpan w:val="2"/>
          </w:tcPr>
          <w:p w:rsidR="00A268D3" w:rsidRPr="002F3871" w:rsidRDefault="00A268D3" w:rsidP="00A268D3">
            <w:pPr>
              <w:jc w:val="both"/>
              <w:rPr>
                <w:sz w:val="20"/>
              </w:rPr>
            </w:pPr>
            <w:r w:rsidRPr="002F3871">
              <w:rPr>
                <w:sz w:val="20"/>
              </w:rPr>
              <w:t>August 2, 2016</w:t>
            </w:r>
          </w:p>
          <w:p w:rsidR="00A268D3" w:rsidRPr="002F3871" w:rsidRDefault="00A268D3" w:rsidP="00A268D3">
            <w:pPr>
              <w:jc w:val="both"/>
              <w:rPr>
                <w:sz w:val="20"/>
              </w:rPr>
            </w:pPr>
            <w:r w:rsidRPr="002F3871">
              <w:rPr>
                <w:sz w:val="20"/>
              </w:rPr>
              <w:t>Ontario Superior Court of Justice</w:t>
            </w:r>
          </w:p>
          <w:p w:rsidR="00A268D3" w:rsidRPr="002F3871" w:rsidRDefault="00A268D3" w:rsidP="00A268D3">
            <w:pPr>
              <w:jc w:val="both"/>
              <w:rPr>
                <w:sz w:val="20"/>
              </w:rPr>
            </w:pPr>
            <w:r w:rsidRPr="002F3871">
              <w:rPr>
                <w:sz w:val="20"/>
              </w:rPr>
              <w:t>(Matheson J.)</w:t>
            </w:r>
          </w:p>
          <w:p w:rsidR="00A268D3" w:rsidRPr="002F3871" w:rsidRDefault="00ED4247" w:rsidP="00A268D3">
            <w:pPr>
              <w:jc w:val="both"/>
              <w:rPr>
                <w:sz w:val="20"/>
              </w:rPr>
            </w:pPr>
            <w:hyperlink r:id="rId60" w:history="1">
              <w:r w:rsidR="00A268D3" w:rsidRPr="002F3871">
                <w:rPr>
                  <w:rStyle w:val="Hyperlink"/>
                  <w:sz w:val="20"/>
                </w:rPr>
                <w:t>2016 ONSC 4853</w:t>
              </w:r>
            </w:hyperlink>
          </w:p>
          <w:p w:rsidR="00A268D3" w:rsidRPr="002F3871" w:rsidRDefault="00A268D3" w:rsidP="00A268D3">
            <w:pPr>
              <w:jc w:val="both"/>
              <w:rPr>
                <w:sz w:val="20"/>
              </w:rPr>
            </w:pPr>
          </w:p>
        </w:tc>
        <w:tc>
          <w:tcPr>
            <w:tcW w:w="243" w:type="pct"/>
          </w:tcPr>
          <w:p w:rsidR="00A268D3" w:rsidRPr="002F3871" w:rsidRDefault="00A268D3" w:rsidP="00A268D3">
            <w:pPr>
              <w:jc w:val="both"/>
              <w:rPr>
                <w:sz w:val="20"/>
              </w:rPr>
            </w:pPr>
          </w:p>
        </w:tc>
        <w:tc>
          <w:tcPr>
            <w:tcW w:w="2330" w:type="pct"/>
          </w:tcPr>
          <w:p w:rsidR="00A268D3" w:rsidRPr="002F3871" w:rsidRDefault="00A268D3" w:rsidP="00A268D3">
            <w:pPr>
              <w:jc w:val="both"/>
              <w:rPr>
                <w:sz w:val="20"/>
              </w:rPr>
            </w:pPr>
            <w:r w:rsidRPr="002F3871">
              <w:rPr>
                <w:sz w:val="20"/>
              </w:rPr>
              <w:t>The respondents’ motions for summary judgment were granted and the applicant’s medical malpractice action was dismissed.</w:t>
            </w:r>
          </w:p>
        </w:tc>
      </w:tr>
      <w:tr w:rsidR="00A268D3" w:rsidRPr="002F3871" w:rsidTr="00A268D3">
        <w:tc>
          <w:tcPr>
            <w:tcW w:w="2427" w:type="pct"/>
            <w:gridSpan w:val="2"/>
          </w:tcPr>
          <w:p w:rsidR="00A268D3" w:rsidRPr="002F3871" w:rsidRDefault="00A268D3" w:rsidP="00A268D3">
            <w:pPr>
              <w:jc w:val="both"/>
              <w:rPr>
                <w:sz w:val="20"/>
              </w:rPr>
            </w:pPr>
            <w:r w:rsidRPr="002F3871">
              <w:rPr>
                <w:sz w:val="20"/>
              </w:rPr>
              <w:t>January 25, 2017</w:t>
            </w:r>
          </w:p>
          <w:p w:rsidR="00A268D3" w:rsidRPr="002F3871" w:rsidRDefault="00A268D3" w:rsidP="00A268D3">
            <w:pPr>
              <w:jc w:val="both"/>
              <w:rPr>
                <w:sz w:val="20"/>
              </w:rPr>
            </w:pPr>
            <w:r w:rsidRPr="002F3871">
              <w:rPr>
                <w:sz w:val="20"/>
              </w:rPr>
              <w:t>Court of Appeal for Ontario</w:t>
            </w:r>
          </w:p>
          <w:p w:rsidR="00A268D3" w:rsidRPr="002F3871" w:rsidRDefault="00A268D3" w:rsidP="00A268D3">
            <w:pPr>
              <w:jc w:val="both"/>
              <w:rPr>
                <w:sz w:val="20"/>
              </w:rPr>
            </w:pPr>
            <w:r w:rsidRPr="002F3871">
              <w:rPr>
                <w:sz w:val="20"/>
              </w:rPr>
              <w:t>(Cronk, van Rensburg and Pardu JJ.A.)</w:t>
            </w:r>
          </w:p>
          <w:p w:rsidR="00A268D3" w:rsidRPr="002F3871" w:rsidRDefault="00ED4247" w:rsidP="00A268D3">
            <w:pPr>
              <w:jc w:val="both"/>
              <w:rPr>
                <w:sz w:val="20"/>
              </w:rPr>
            </w:pPr>
            <w:hyperlink r:id="rId61" w:history="1">
              <w:r w:rsidR="00A268D3" w:rsidRPr="002F3871">
                <w:rPr>
                  <w:rStyle w:val="Hyperlink"/>
                  <w:sz w:val="20"/>
                </w:rPr>
                <w:t>2017 ONCA 62</w:t>
              </w:r>
            </w:hyperlink>
          </w:p>
          <w:p w:rsidR="00A268D3" w:rsidRPr="002F3871" w:rsidRDefault="00A268D3" w:rsidP="00A268D3">
            <w:pPr>
              <w:jc w:val="both"/>
              <w:rPr>
                <w:sz w:val="20"/>
              </w:rPr>
            </w:pPr>
          </w:p>
        </w:tc>
        <w:tc>
          <w:tcPr>
            <w:tcW w:w="243" w:type="pct"/>
          </w:tcPr>
          <w:p w:rsidR="00A268D3" w:rsidRPr="002F3871" w:rsidRDefault="00A268D3" w:rsidP="00A268D3">
            <w:pPr>
              <w:jc w:val="both"/>
              <w:rPr>
                <w:sz w:val="20"/>
              </w:rPr>
            </w:pPr>
          </w:p>
        </w:tc>
        <w:tc>
          <w:tcPr>
            <w:tcW w:w="2330" w:type="pct"/>
          </w:tcPr>
          <w:p w:rsidR="00A268D3" w:rsidRPr="002F3871" w:rsidRDefault="00A268D3" w:rsidP="00A268D3">
            <w:pPr>
              <w:jc w:val="both"/>
              <w:rPr>
                <w:sz w:val="20"/>
              </w:rPr>
            </w:pPr>
            <w:r w:rsidRPr="002F3871">
              <w:rPr>
                <w:sz w:val="20"/>
              </w:rPr>
              <w:t>Appeal dismissed.</w:t>
            </w:r>
          </w:p>
          <w:p w:rsidR="00A268D3" w:rsidRPr="002F3871" w:rsidRDefault="00A268D3" w:rsidP="00A268D3">
            <w:pPr>
              <w:jc w:val="both"/>
              <w:rPr>
                <w:sz w:val="20"/>
              </w:rPr>
            </w:pPr>
          </w:p>
        </w:tc>
      </w:tr>
      <w:tr w:rsidR="00A268D3" w:rsidRPr="002F3871" w:rsidTr="00A268D3">
        <w:tc>
          <w:tcPr>
            <w:tcW w:w="2427" w:type="pct"/>
            <w:gridSpan w:val="2"/>
          </w:tcPr>
          <w:p w:rsidR="00A268D3" w:rsidRPr="002F3871" w:rsidRDefault="00A268D3" w:rsidP="00A268D3">
            <w:pPr>
              <w:jc w:val="both"/>
              <w:rPr>
                <w:sz w:val="20"/>
              </w:rPr>
            </w:pPr>
            <w:r w:rsidRPr="002F3871">
              <w:rPr>
                <w:sz w:val="20"/>
              </w:rPr>
              <w:t>March 17, 2017</w:t>
            </w:r>
          </w:p>
          <w:p w:rsidR="00A268D3" w:rsidRPr="002F3871" w:rsidRDefault="00A268D3" w:rsidP="00A268D3">
            <w:pPr>
              <w:jc w:val="both"/>
              <w:rPr>
                <w:sz w:val="20"/>
              </w:rPr>
            </w:pPr>
            <w:r w:rsidRPr="002F3871">
              <w:rPr>
                <w:sz w:val="20"/>
              </w:rPr>
              <w:t>Supreme Court of Canada</w:t>
            </w:r>
          </w:p>
        </w:tc>
        <w:tc>
          <w:tcPr>
            <w:tcW w:w="243" w:type="pct"/>
          </w:tcPr>
          <w:p w:rsidR="00A268D3" w:rsidRPr="002F3871" w:rsidRDefault="00A268D3" w:rsidP="00A268D3">
            <w:pPr>
              <w:jc w:val="both"/>
              <w:rPr>
                <w:sz w:val="20"/>
              </w:rPr>
            </w:pPr>
          </w:p>
        </w:tc>
        <w:tc>
          <w:tcPr>
            <w:tcW w:w="2330" w:type="pct"/>
          </w:tcPr>
          <w:p w:rsidR="00A268D3" w:rsidRPr="002F3871" w:rsidRDefault="00A268D3" w:rsidP="00A268D3">
            <w:pPr>
              <w:jc w:val="both"/>
              <w:rPr>
                <w:sz w:val="20"/>
              </w:rPr>
            </w:pPr>
            <w:r w:rsidRPr="002F3871">
              <w:rPr>
                <w:sz w:val="20"/>
              </w:rPr>
              <w:t>Application for leave to appeal filed.</w:t>
            </w:r>
          </w:p>
          <w:p w:rsidR="00A268D3" w:rsidRPr="002F3871" w:rsidRDefault="00A268D3" w:rsidP="00A268D3">
            <w:pPr>
              <w:jc w:val="both"/>
              <w:rPr>
                <w:sz w:val="20"/>
              </w:rPr>
            </w:pPr>
          </w:p>
        </w:tc>
      </w:tr>
    </w:tbl>
    <w:p w:rsidR="00A268D3" w:rsidRPr="002F3871" w:rsidRDefault="00ED4247" w:rsidP="00A268D3">
      <w:pPr>
        <w:jc w:val="both"/>
        <w:rPr>
          <w:sz w:val="20"/>
        </w:rPr>
      </w:pPr>
      <w:r>
        <w:rPr>
          <w:sz w:val="20"/>
          <w:szCs w:val="20"/>
        </w:rPr>
        <w:pict>
          <v:rect id="_x0000_i1077" style="width:2in;height:1pt" o:hrpct="0" o:hralign="center" o:hrstd="t" o:hrnoshade="t" o:hr="t" fillcolor="black" stroked="f"/>
        </w:pict>
      </w:r>
    </w:p>
    <w:p w:rsidR="00A268D3" w:rsidRPr="002F3871" w:rsidRDefault="00A268D3" w:rsidP="00A268D3">
      <w:pPr>
        <w:jc w:val="both"/>
        <w:rPr>
          <w:sz w:val="20"/>
        </w:rPr>
      </w:pPr>
    </w:p>
    <w:p w:rsidR="00FD544E" w:rsidRDefault="00FD544E">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268D3" w:rsidRPr="002F3871" w:rsidTr="00A268D3">
        <w:tc>
          <w:tcPr>
            <w:tcW w:w="543" w:type="pct"/>
          </w:tcPr>
          <w:p w:rsidR="00A268D3" w:rsidRPr="002F3871" w:rsidRDefault="00A268D3" w:rsidP="00A268D3">
            <w:pPr>
              <w:jc w:val="both"/>
              <w:rPr>
                <w:sz w:val="20"/>
                <w:lang w:val="fr-CA"/>
              </w:rPr>
            </w:pPr>
            <w:r w:rsidRPr="002F3871">
              <w:rPr>
                <w:rStyle w:val="SCCFileNumberChar"/>
                <w:sz w:val="20"/>
                <w:szCs w:val="20"/>
                <w:lang w:val="fr-CA"/>
              </w:rPr>
              <w:lastRenderedPageBreak/>
              <w:t>37501</w:t>
            </w:r>
          </w:p>
        </w:tc>
        <w:tc>
          <w:tcPr>
            <w:tcW w:w="4457" w:type="pct"/>
            <w:gridSpan w:val="3"/>
          </w:tcPr>
          <w:p w:rsidR="00A268D3" w:rsidRPr="00FD544E" w:rsidRDefault="00FD544E" w:rsidP="00A268D3">
            <w:pPr>
              <w:jc w:val="both"/>
              <w:rPr>
                <w:sz w:val="20"/>
                <w:lang w:val="en-US"/>
              </w:rPr>
            </w:pPr>
            <w:r w:rsidRPr="00FD544E">
              <w:rPr>
                <w:rFonts w:eastAsia="Calibri" w:cs="Times New Roman"/>
                <w:b/>
                <w:sz w:val="20"/>
                <w:szCs w:val="20"/>
                <w:lang w:val="en-US"/>
              </w:rPr>
              <w:t xml:space="preserve">Terry </w:t>
            </w:r>
            <w:proofErr w:type="spellStart"/>
            <w:r w:rsidRPr="00FD544E">
              <w:rPr>
                <w:rFonts w:eastAsia="Calibri" w:cs="Times New Roman"/>
                <w:b/>
                <w:sz w:val="20"/>
                <w:szCs w:val="20"/>
                <w:lang w:val="en-US"/>
              </w:rPr>
              <w:t>Hirchberg</w:t>
            </w:r>
            <w:proofErr w:type="spellEnd"/>
            <w:r w:rsidRPr="00FD544E">
              <w:rPr>
                <w:rFonts w:eastAsia="Calibri" w:cs="Times New Roman"/>
                <w:b/>
                <w:sz w:val="20"/>
                <w:szCs w:val="20"/>
                <w:lang w:val="en-US"/>
              </w:rPr>
              <w:t xml:space="preserve"> c. Branson Drug Store/North York General Hospital, Odette Cancer Centre Pharmacy/Sunnybrook Health Sciences Centre, MD Mary Doherty - Odette Cancer Centre, MD Todd Mainprize - Sunnybrook Hospital, MD Ken </w:t>
            </w:r>
            <w:proofErr w:type="spellStart"/>
            <w:r w:rsidRPr="00FD544E">
              <w:rPr>
                <w:rFonts w:eastAsia="Calibri" w:cs="Times New Roman"/>
                <w:b/>
                <w:sz w:val="20"/>
                <w:szCs w:val="20"/>
                <w:lang w:val="en-US"/>
              </w:rPr>
              <w:t>Peckham</w:t>
            </w:r>
            <w:proofErr w:type="spellEnd"/>
            <w:r w:rsidRPr="00FD544E">
              <w:rPr>
                <w:rFonts w:eastAsia="Calibri" w:cs="Times New Roman"/>
                <w:b/>
                <w:sz w:val="20"/>
                <w:szCs w:val="20"/>
                <w:lang w:val="en-US"/>
              </w:rPr>
              <w:t xml:space="preserve"> - Sunnybrook Hospital et MD Michelle Hart - </w:t>
            </w:r>
            <w:proofErr w:type="spellStart"/>
            <w:r w:rsidRPr="00FD544E">
              <w:rPr>
                <w:rFonts w:eastAsia="Calibri" w:cs="Times New Roman"/>
                <w:b/>
                <w:sz w:val="20"/>
                <w:szCs w:val="20"/>
                <w:lang w:val="en-US"/>
              </w:rPr>
              <w:t>Baycrest</w:t>
            </w:r>
            <w:proofErr w:type="spellEnd"/>
            <w:r w:rsidRPr="00FD544E">
              <w:rPr>
                <w:rFonts w:eastAsia="Calibri" w:cs="Times New Roman"/>
                <w:b/>
                <w:sz w:val="20"/>
                <w:szCs w:val="20"/>
                <w:lang w:val="en-US"/>
              </w:rPr>
              <w:t xml:space="preserve"> Hospital </w:t>
            </w:r>
            <w:r w:rsidR="00A268D3" w:rsidRPr="00FD544E">
              <w:rPr>
                <w:sz w:val="20"/>
                <w:lang w:val="en-US"/>
              </w:rPr>
              <w:t>(Ont.) (</w:t>
            </w:r>
            <w:proofErr w:type="spellStart"/>
            <w:r w:rsidR="00A268D3" w:rsidRPr="00FD544E">
              <w:rPr>
                <w:sz w:val="20"/>
                <w:lang w:val="en-US"/>
              </w:rPr>
              <w:t>Civile</w:t>
            </w:r>
            <w:proofErr w:type="spellEnd"/>
            <w:r w:rsidR="00A268D3" w:rsidRPr="00FD544E">
              <w:rPr>
                <w:sz w:val="20"/>
                <w:lang w:val="en-US"/>
              </w:rPr>
              <w:t xml:space="preserve">) (Sur </w:t>
            </w:r>
            <w:proofErr w:type="spellStart"/>
            <w:r w:rsidR="00A268D3" w:rsidRPr="00FD544E">
              <w:rPr>
                <w:sz w:val="20"/>
                <w:lang w:val="en-US"/>
              </w:rPr>
              <w:t>autorisation</w:t>
            </w:r>
            <w:proofErr w:type="spellEnd"/>
            <w:r w:rsidR="00A268D3" w:rsidRPr="00FD544E">
              <w:rPr>
                <w:sz w:val="20"/>
                <w:lang w:val="en-US"/>
              </w:rPr>
              <w:t>)</w:t>
            </w:r>
          </w:p>
        </w:tc>
      </w:tr>
      <w:tr w:rsidR="00C41450" w:rsidRPr="00ED4247" w:rsidTr="00A268D3">
        <w:tc>
          <w:tcPr>
            <w:tcW w:w="543" w:type="pct"/>
          </w:tcPr>
          <w:p w:rsidR="00C41450" w:rsidRPr="002F3871" w:rsidRDefault="00C41450" w:rsidP="00A268D3">
            <w:pPr>
              <w:jc w:val="both"/>
              <w:rPr>
                <w:rStyle w:val="SCCFileNumberChar"/>
                <w:sz w:val="20"/>
                <w:szCs w:val="20"/>
                <w:lang w:val="fr-CA"/>
              </w:rPr>
            </w:pPr>
            <w:r>
              <w:rPr>
                <w:rStyle w:val="SCCFileNumberChar"/>
                <w:sz w:val="20"/>
                <w:szCs w:val="20"/>
                <w:lang w:val="fr-CA"/>
              </w:rPr>
              <w:t>Coram :</w:t>
            </w:r>
          </w:p>
        </w:tc>
        <w:tc>
          <w:tcPr>
            <w:tcW w:w="4457" w:type="pct"/>
            <w:gridSpan w:val="3"/>
          </w:tcPr>
          <w:p w:rsidR="00C41450" w:rsidRDefault="00FD544E" w:rsidP="00A268D3">
            <w:pPr>
              <w:pStyle w:val="SCCLsocParty"/>
              <w:jc w:val="both"/>
              <w:rPr>
                <w:rFonts w:eastAsiaTheme="minorEastAsia"/>
                <w:sz w:val="20"/>
                <w:szCs w:val="20"/>
                <w:lang w:val="fr-FR" w:eastAsia="en-CA"/>
              </w:rPr>
            </w:pPr>
            <w:r w:rsidRPr="008F5711">
              <w:rPr>
                <w:rFonts w:eastAsiaTheme="minorEastAsia"/>
                <w:sz w:val="20"/>
                <w:szCs w:val="20"/>
                <w:lang w:val="fr-FR" w:eastAsia="en-CA"/>
              </w:rPr>
              <w:t xml:space="preserve">La juge en chef </w:t>
            </w:r>
            <w:proofErr w:type="spellStart"/>
            <w:r w:rsidRPr="008F5711">
              <w:rPr>
                <w:rFonts w:eastAsiaTheme="minorEastAsia"/>
                <w:sz w:val="20"/>
                <w:szCs w:val="20"/>
                <w:lang w:val="fr-FR" w:eastAsia="en-CA"/>
              </w:rPr>
              <w:t>McLachlin</w:t>
            </w:r>
            <w:proofErr w:type="spellEnd"/>
            <w:r w:rsidRPr="008F5711">
              <w:rPr>
                <w:rFonts w:eastAsiaTheme="minorEastAsia"/>
                <w:sz w:val="20"/>
                <w:szCs w:val="20"/>
                <w:lang w:val="fr-FR" w:eastAsia="en-CA"/>
              </w:rPr>
              <w:t xml:space="preserve"> et les juges Abella, </w:t>
            </w:r>
            <w:proofErr w:type="spellStart"/>
            <w:r w:rsidRPr="008F5711">
              <w:rPr>
                <w:rFonts w:eastAsiaTheme="minorEastAsia"/>
                <w:sz w:val="20"/>
                <w:szCs w:val="20"/>
                <w:lang w:val="fr-FR" w:eastAsia="en-CA"/>
              </w:rPr>
              <w:t>Moldaver</w:t>
            </w:r>
            <w:proofErr w:type="spellEnd"/>
            <w:r w:rsidRPr="008F5711">
              <w:rPr>
                <w:rFonts w:eastAsiaTheme="minorEastAsia"/>
                <w:sz w:val="20"/>
                <w:szCs w:val="20"/>
                <w:lang w:val="fr-FR" w:eastAsia="en-CA"/>
              </w:rPr>
              <w:t xml:space="preserve">, </w:t>
            </w:r>
            <w:proofErr w:type="spellStart"/>
            <w:r w:rsidRPr="008F5711">
              <w:rPr>
                <w:rFonts w:eastAsiaTheme="minorEastAsia"/>
                <w:sz w:val="20"/>
                <w:szCs w:val="20"/>
                <w:lang w:val="fr-FR" w:eastAsia="en-CA"/>
              </w:rPr>
              <w:t>Karakatsanis</w:t>
            </w:r>
            <w:proofErr w:type="spellEnd"/>
            <w:r w:rsidRPr="008F5711">
              <w:rPr>
                <w:rFonts w:eastAsiaTheme="minorEastAsia"/>
                <w:sz w:val="20"/>
                <w:szCs w:val="20"/>
                <w:lang w:val="fr-FR" w:eastAsia="en-CA"/>
              </w:rPr>
              <w:t>, Wagner, Gascon, Côté, Brown et Rowe</w:t>
            </w:r>
          </w:p>
          <w:p w:rsidR="00FD544E" w:rsidRPr="00FD544E" w:rsidRDefault="00FD544E" w:rsidP="00FD544E">
            <w:pPr>
              <w:rPr>
                <w:lang w:val="fr-FR" w:eastAsia="en-CA"/>
              </w:rPr>
            </w:pPr>
          </w:p>
        </w:tc>
      </w:tr>
      <w:tr w:rsidR="00C41450" w:rsidRPr="00ED4247" w:rsidTr="00C41450">
        <w:tc>
          <w:tcPr>
            <w:tcW w:w="5000" w:type="pct"/>
            <w:gridSpan w:val="4"/>
          </w:tcPr>
          <w:p w:rsidR="00C41450" w:rsidRDefault="00FD544E" w:rsidP="00A268D3">
            <w:pPr>
              <w:pStyle w:val="SCCLsocParty"/>
              <w:jc w:val="both"/>
              <w:rPr>
                <w:sz w:val="20"/>
                <w:szCs w:val="20"/>
              </w:rPr>
            </w:pPr>
            <w:r w:rsidRPr="008F5711">
              <w:rPr>
                <w:sz w:val="20"/>
                <w:szCs w:val="20"/>
              </w:rPr>
              <w:t xml:space="preserve">La demande d’autorisation d’appel de l’arrêt de la </w:t>
            </w:r>
            <w:r w:rsidRPr="008F5711">
              <w:rPr>
                <w:sz w:val="20"/>
                <w:szCs w:val="20"/>
                <w:lang w:val="fr-FR"/>
              </w:rPr>
              <w:t>Cour d’appel de l’Ontario</w:t>
            </w:r>
            <w:r w:rsidRPr="008F5711">
              <w:rPr>
                <w:sz w:val="20"/>
                <w:szCs w:val="20"/>
              </w:rPr>
              <w:t xml:space="preserve">, numéro </w:t>
            </w:r>
            <w:r w:rsidRPr="008F5711">
              <w:rPr>
                <w:sz w:val="20"/>
                <w:szCs w:val="20"/>
                <w:lang w:val="fr-FR"/>
              </w:rPr>
              <w:t>C62626, 2017 ONCA 62</w:t>
            </w:r>
            <w:r w:rsidRPr="008F5711">
              <w:rPr>
                <w:sz w:val="20"/>
                <w:szCs w:val="20"/>
              </w:rPr>
              <w:t xml:space="preserve">, daté du </w:t>
            </w:r>
            <w:r w:rsidRPr="008F5711">
              <w:rPr>
                <w:sz w:val="20"/>
                <w:szCs w:val="20"/>
                <w:lang w:val="fr-FR"/>
              </w:rPr>
              <w:t>25 janvier 2017</w:t>
            </w:r>
            <w:r w:rsidRPr="008F5711">
              <w:rPr>
                <w:sz w:val="20"/>
                <w:szCs w:val="20"/>
              </w:rPr>
              <w:t>, est rejetée avec dépens.</w:t>
            </w:r>
          </w:p>
          <w:p w:rsidR="00FD544E" w:rsidRPr="00FD544E" w:rsidRDefault="00FD544E" w:rsidP="00FD544E">
            <w:pPr>
              <w:rPr>
                <w:lang w:val="fr-CA"/>
              </w:rPr>
            </w:pPr>
          </w:p>
        </w:tc>
      </w:tr>
      <w:tr w:rsidR="00A268D3" w:rsidRPr="00ED4247" w:rsidTr="00A268D3">
        <w:tc>
          <w:tcPr>
            <w:tcW w:w="5000" w:type="pct"/>
            <w:gridSpan w:val="4"/>
          </w:tcPr>
          <w:p w:rsidR="00A268D3" w:rsidRPr="002F3871" w:rsidRDefault="00A268D3" w:rsidP="00A268D3">
            <w:pPr>
              <w:jc w:val="both"/>
              <w:rPr>
                <w:b/>
                <w:sz w:val="20"/>
                <w:lang w:val="fr-CA"/>
              </w:rPr>
            </w:pPr>
            <w:r w:rsidRPr="002F3871">
              <w:rPr>
                <w:sz w:val="20"/>
                <w:lang w:val="fr-CA"/>
              </w:rPr>
              <w:t xml:space="preserve">Droit de la santé — Consentement aux soins — Médicaments — Responsabilité professionnelle — Médecins — Pratique et procédure — Preuve — Jugement sommaire — Le demandeur allègue la faute médicale et l’omission de révéler les risques relatifs à un médicament utilisé pour traiter son épouse en phase terminale — La juge de première instance a conclu qu’il n’y avait aucune véritable question litigieuse, que le demandeur n’avait pas présenté de preuve d’expert portant sur les questions de la norme de diligence et du lien de causalité et que l’expert du demandeur n’était pas qualifié — Les motions des intimées en jugement sommaire ont été accueillies et l’action du demandeur en faute médicale a été rejetée — L’appel subséquent du demandeur a également été rejeté — La juridiction inférieure a-t-elle correctement interprété la règle 20.04(2.1) des </w:t>
            </w:r>
            <w:r w:rsidRPr="002F3871">
              <w:rPr>
                <w:i/>
                <w:sz w:val="20"/>
                <w:lang w:val="fr-CA"/>
              </w:rPr>
              <w:t xml:space="preserve"> Règles de procédure civile</w:t>
            </w:r>
            <w:r w:rsidRPr="002F3871">
              <w:rPr>
                <w:sz w:val="20"/>
                <w:lang w:val="fr-CA"/>
              </w:rPr>
              <w:t xml:space="preserve">, R.R.O. 1990, Reg. 194 (Ontario) en matière de jugement sommaire? — Est-il permis d’exclure une preuve d’expert dans un jugement sommaire? </w:t>
            </w:r>
          </w:p>
        </w:tc>
      </w:tr>
      <w:tr w:rsidR="00A268D3" w:rsidRPr="00ED4247" w:rsidTr="00A268D3">
        <w:tc>
          <w:tcPr>
            <w:tcW w:w="5000" w:type="pct"/>
            <w:gridSpan w:val="4"/>
          </w:tcPr>
          <w:p w:rsidR="00A268D3" w:rsidRPr="002F3871" w:rsidRDefault="00A268D3" w:rsidP="00A268D3">
            <w:pPr>
              <w:jc w:val="both"/>
              <w:rPr>
                <w:sz w:val="20"/>
                <w:lang w:val="fr-CA"/>
              </w:rPr>
            </w:pPr>
          </w:p>
        </w:tc>
      </w:tr>
      <w:tr w:rsidR="00A268D3" w:rsidRPr="00ED4247" w:rsidTr="00A268D3">
        <w:tc>
          <w:tcPr>
            <w:tcW w:w="5000" w:type="pct"/>
            <w:gridSpan w:val="4"/>
          </w:tcPr>
          <w:p w:rsidR="00A268D3" w:rsidRPr="002F3871" w:rsidRDefault="00A268D3" w:rsidP="00A268D3">
            <w:pPr>
              <w:jc w:val="both"/>
              <w:rPr>
                <w:sz w:val="20"/>
                <w:lang w:val="fr-CA"/>
              </w:rPr>
            </w:pPr>
            <w:r w:rsidRPr="002F3871">
              <w:rPr>
                <w:sz w:val="20"/>
                <w:lang w:val="fr-CA"/>
              </w:rPr>
              <w:t>Le demandeur, M. Hirchberg, a intenté une action pour faute médicale contre les hôpitaux, les médecins et les pharmacies intimés. L’épouse de M. Hirchberg est décédée six mois après son diagnostic de cancer terminal du cerveau. Monsieur Hirchberg a contesté le traitement de son épouse par la dexaméthasone, un médicament utilisé pour réduire l’œdème cérébral lié aux tumeurs au cerveau. Monsieur Hirchberg a allégué qu’il avait été mis fin au traitement trop brusquement et que, eu égard aux divers risques liés au médicament, le consentement éclairé quant à son utilisation n’avait pas été obtenu. Les intimés ont présenté des motions en jugement sommaire à la suite d’une communication préalable abondante de preuves documentaire et orale. Les intimés ont fait valoir que la norme de diligence applicable avait été respectée et que le décès de l’épouse de M. Hirchberg avait été causé par sa maladie, plutôt que par des manquements allégués à la norme de diligence. La juge de première instance a conclu qu’il n’y avait aucune véritable question litigieuse et a rejeté l’action de M. Hirchberg. À l’unanimité, les juges de la Cour d’appel ont rejeté l’appel.</w:t>
            </w:r>
          </w:p>
          <w:p w:rsidR="00A268D3" w:rsidRPr="002F3871" w:rsidRDefault="00A268D3" w:rsidP="00A268D3">
            <w:pPr>
              <w:jc w:val="both"/>
              <w:rPr>
                <w:sz w:val="20"/>
                <w:lang w:val="fr-CA"/>
              </w:rPr>
            </w:pPr>
          </w:p>
        </w:tc>
      </w:tr>
      <w:tr w:rsidR="00A268D3" w:rsidRPr="00ED4247" w:rsidTr="00A268D3">
        <w:tc>
          <w:tcPr>
            <w:tcW w:w="2427" w:type="pct"/>
            <w:gridSpan w:val="2"/>
          </w:tcPr>
          <w:p w:rsidR="00A268D3" w:rsidRPr="002F3871" w:rsidRDefault="00A268D3" w:rsidP="00A268D3">
            <w:pPr>
              <w:jc w:val="both"/>
              <w:rPr>
                <w:sz w:val="20"/>
                <w:lang w:val="fr-CA"/>
              </w:rPr>
            </w:pPr>
            <w:r w:rsidRPr="002F3871">
              <w:rPr>
                <w:sz w:val="20"/>
                <w:lang w:val="fr-CA"/>
              </w:rPr>
              <w:t>2 août 2016</w:t>
            </w:r>
          </w:p>
          <w:p w:rsidR="00A268D3" w:rsidRPr="002F3871" w:rsidRDefault="00A268D3" w:rsidP="00A268D3">
            <w:pPr>
              <w:jc w:val="both"/>
              <w:rPr>
                <w:sz w:val="20"/>
                <w:lang w:val="fr-CA"/>
              </w:rPr>
            </w:pPr>
            <w:r w:rsidRPr="002F3871">
              <w:rPr>
                <w:sz w:val="20"/>
                <w:lang w:val="fr-CA"/>
              </w:rPr>
              <w:t xml:space="preserve">Cour supérieure de justice de l’Ontario </w:t>
            </w:r>
          </w:p>
          <w:p w:rsidR="00A268D3" w:rsidRPr="002F3871" w:rsidRDefault="00A268D3" w:rsidP="00A268D3">
            <w:pPr>
              <w:jc w:val="both"/>
              <w:rPr>
                <w:sz w:val="20"/>
                <w:lang w:val="fr-CA"/>
              </w:rPr>
            </w:pPr>
            <w:r w:rsidRPr="002F3871">
              <w:rPr>
                <w:sz w:val="20"/>
                <w:lang w:val="fr-CA"/>
              </w:rPr>
              <w:t>(Juge Matheson)</w:t>
            </w:r>
          </w:p>
          <w:p w:rsidR="00A268D3" w:rsidRPr="002F3871" w:rsidRDefault="00ED4247" w:rsidP="00A268D3">
            <w:pPr>
              <w:jc w:val="both"/>
              <w:rPr>
                <w:sz w:val="20"/>
                <w:lang w:val="fr-CA"/>
              </w:rPr>
            </w:pPr>
            <w:hyperlink r:id="rId62" w:history="1">
              <w:r w:rsidR="00A268D3" w:rsidRPr="002F3871">
                <w:rPr>
                  <w:rStyle w:val="Hyperlink"/>
                  <w:sz w:val="20"/>
                  <w:lang w:val="fr-CA"/>
                </w:rPr>
                <w:t>2016 ONSC 4853</w:t>
              </w:r>
            </w:hyperlink>
          </w:p>
          <w:p w:rsidR="00A268D3" w:rsidRPr="002F3871" w:rsidRDefault="00A268D3" w:rsidP="00A268D3">
            <w:pPr>
              <w:jc w:val="both"/>
              <w:rPr>
                <w:sz w:val="20"/>
                <w:lang w:val="fr-CA"/>
              </w:rPr>
            </w:pPr>
          </w:p>
        </w:tc>
        <w:tc>
          <w:tcPr>
            <w:tcW w:w="243" w:type="pct"/>
          </w:tcPr>
          <w:p w:rsidR="00A268D3" w:rsidRPr="002F3871" w:rsidRDefault="00A268D3" w:rsidP="00A268D3">
            <w:pPr>
              <w:jc w:val="both"/>
              <w:rPr>
                <w:sz w:val="20"/>
                <w:lang w:val="fr-CA"/>
              </w:rPr>
            </w:pPr>
          </w:p>
        </w:tc>
        <w:tc>
          <w:tcPr>
            <w:tcW w:w="2330" w:type="pct"/>
          </w:tcPr>
          <w:p w:rsidR="00A268D3" w:rsidRPr="002F3871" w:rsidRDefault="00A268D3" w:rsidP="00A268D3">
            <w:pPr>
              <w:jc w:val="both"/>
              <w:rPr>
                <w:sz w:val="20"/>
                <w:lang w:val="fr-CA"/>
              </w:rPr>
            </w:pPr>
            <w:r w:rsidRPr="002F3871">
              <w:rPr>
                <w:sz w:val="20"/>
                <w:lang w:val="fr-CA"/>
              </w:rPr>
              <w:t>Jugement accueillant les motions des intimés en jugement sommaire et rejet de l’action en faute médicale du demandeur.</w:t>
            </w:r>
          </w:p>
        </w:tc>
      </w:tr>
      <w:tr w:rsidR="00A268D3" w:rsidRPr="002F3871" w:rsidTr="00A268D3">
        <w:tc>
          <w:tcPr>
            <w:tcW w:w="2427" w:type="pct"/>
            <w:gridSpan w:val="2"/>
          </w:tcPr>
          <w:p w:rsidR="00A268D3" w:rsidRPr="002F3871" w:rsidRDefault="00A268D3" w:rsidP="00A268D3">
            <w:pPr>
              <w:jc w:val="both"/>
              <w:rPr>
                <w:sz w:val="20"/>
                <w:lang w:val="fr-CA"/>
              </w:rPr>
            </w:pPr>
            <w:r w:rsidRPr="002F3871">
              <w:rPr>
                <w:sz w:val="20"/>
                <w:lang w:val="fr-CA"/>
              </w:rPr>
              <w:t>25 janvier 2017</w:t>
            </w:r>
          </w:p>
          <w:p w:rsidR="00A268D3" w:rsidRPr="002F3871" w:rsidRDefault="00A268D3" w:rsidP="00A268D3">
            <w:pPr>
              <w:jc w:val="both"/>
              <w:rPr>
                <w:sz w:val="20"/>
                <w:lang w:val="fr-CA"/>
              </w:rPr>
            </w:pPr>
            <w:r w:rsidRPr="002F3871">
              <w:rPr>
                <w:sz w:val="20"/>
                <w:lang w:val="fr-CA"/>
              </w:rPr>
              <w:t xml:space="preserve">Cour d’appel de l’Ontario </w:t>
            </w:r>
          </w:p>
          <w:p w:rsidR="00A268D3" w:rsidRPr="002F3871" w:rsidRDefault="00A268D3" w:rsidP="00A268D3">
            <w:pPr>
              <w:jc w:val="both"/>
              <w:rPr>
                <w:sz w:val="20"/>
                <w:lang w:val="fr-CA"/>
              </w:rPr>
            </w:pPr>
            <w:r w:rsidRPr="002F3871">
              <w:rPr>
                <w:sz w:val="20"/>
                <w:lang w:val="fr-CA"/>
              </w:rPr>
              <w:t>(Juges Cronk, van Rensburg et Pardu)</w:t>
            </w:r>
          </w:p>
          <w:p w:rsidR="00A268D3" w:rsidRPr="002F3871" w:rsidRDefault="00ED4247" w:rsidP="00A268D3">
            <w:pPr>
              <w:jc w:val="both"/>
              <w:rPr>
                <w:sz w:val="20"/>
                <w:lang w:val="fr-CA"/>
              </w:rPr>
            </w:pPr>
            <w:hyperlink r:id="rId63" w:history="1">
              <w:r w:rsidR="00A268D3" w:rsidRPr="002F3871">
                <w:rPr>
                  <w:rStyle w:val="Hyperlink"/>
                  <w:sz w:val="20"/>
                  <w:lang w:val="fr-CA"/>
                </w:rPr>
                <w:t>2017 ONCA 62</w:t>
              </w:r>
            </w:hyperlink>
          </w:p>
          <w:p w:rsidR="00A268D3" w:rsidRPr="002F3871" w:rsidRDefault="00A268D3" w:rsidP="00A268D3">
            <w:pPr>
              <w:jc w:val="both"/>
              <w:rPr>
                <w:sz w:val="20"/>
                <w:lang w:val="fr-CA"/>
              </w:rPr>
            </w:pPr>
          </w:p>
        </w:tc>
        <w:tc>
          <w:tcPr>
            <w:tcW w:w="243" w:type="pct"/>
          </w:tcPr>
          <w:p w:rsidR="00A268D3" w:rsidRPr="002F3871" w:rsidRDefault="00A268D3" w:rsidP="00A268D3">
            <w:pPr>
              <w:jc w:val="both"/>
              <w:rPr>
                <w:sz w:val="20"/>
                <w:lang w:val="fr-CA"/>
              </w:rPr>
            </w:pPr>
          </w:p>
        </w:tc>
        <w:tc>
          <w:tcPr>
            <w:tcW w:w="2330" w:type="pct"/>
          </w:tcPr>
          <w:p w:rsidR="00A268D3" w:rsidRPr="002F3871" w:rsidRDefault="00A268D3" w:rsidP="00A268D3">
            <w:pPr>
              <w:jc w:val="both"/>
              <w:rPr>
                <w:sz w:val="20"/>
                <w:lang w:val="fr-CA"/>
              </w:rPr>
            </w:pPr>
            <w:r w:rsidRPr="002F3871">
              <w:rPr>
                <w:sz w:val="20"/>
                <w:lang w:val="fr-CA"/>
              </w:rPr>
              <w:t>Rejet de l’appel.</w:t>
            </w:r>
          </w:p>
          <w:p w:rsidR="00A268D3" w:rsidRPr="002F3871" w:rsidRDefault="00A268D3" w:rsidP="00A268D3">
            <w:pPr>
              <w:jc w:val="both"/>
              <w:rPr>
                <w:sz w:val="20"/>
                <w:lang w:val="fr-CA"/>
              </w:rPr>
            </w:pPr>
          </w:p>
        </w:tc>
      </w:tr>
      <w:tr w:rsidR="00A268D3" w:rsidRPr="00ED4247" w:rsidTr="00A268D3">
        <w:tc>
          <w:tcPr>
            <w:tcW w:w="2427" w:type="pct"/>
            <w:gridSpan w:val="2"/>
          </w:tcPr>
          <w:p w:rsidR="00A268D3" w:rsidRPr="002F3871" w:rsidRDefault="00A268D3" w:rsidP="00A268D3">
            <w:pPr>
              <w:jc w:val="both"/>
              <w:rPr>
                <w:sz w:val="20"/>
                <w:lang w:val="fr-CA"/>
              </w:rPr>
            </w:pPr>
            <w:r w:rsidRPr="002F3871">
              <w:rPr>
                <w:sz w:val="20"/>
                <w:lang w:val="fr-CA"/>
              </w:rPr>
              <w:t>17 mars 2017</w:t>
            </w:r>
          </w:p>
          <w:p w:rsidR="00A268D3" w:rsidRPr="002F3871" w:rsidRDefault="00A268D3" w:rsidP="00A268D3">
            <w:pPr>
              <w:jc w:val="both"/>
              <w:rPr>
                <w:sz w:val="20"/>
                <w:lang w:val="fr-CA"/>
              </w:rPr>
            </w:pPr>
            <w:r w:rsidRPr="002F3871">
              <w:rPr>
                <w:sz w:val="20"/>
                <w:lang w:val="fr-CA"/>
              </w:rPr>
              <w:t>Cour suprême du Canada</w:t>
            </w:r>
          </w:p>
        </w:tc>
        <w:tc>
          <w:tcPr>
            <w:tcW w:w="243" w:type="pct"/>
          </w:tcPr>
          <w:p w:rsidR="00A268D3" w:rsidRPr="002F3871" w:rsidRDefault="00A268D3" w:rsidP="00A268D3">
            <w:pPr>
              <w:jc w:val="both"/>
              <w:rPr>
                <w:sz w:val="20"/>
                <w:lang w:val="fr-CA"/>
              </w:rPr>
            </w:pPr>
          </w:p>
        </w:tc>
        <w:tc>
          <w:tcPr>
            <w:tcW w:w="2330" w:type="pct"/>
          </w:tcPr>
          <w:p w:rsidR="00A268D3" w:rsidRPr="002F3871" w:rsidRDefault="00A268D3" w:rsidP="00A268D3">
            <w:pPr>
              <w:jc w:val="both"/>
              <w:rPr>
                <w:sz w:val="20"/>
                <w:lang w:val="fr-CA"/>
              </w:rPr>
            </w:pPr>
            <w:r w:rsidRPr="002F3871">
              <w:rPr>
                <w:sz w:val="20"/>
                <w:lang w:val="fr-CA"/>
              </w:rPr>
              <w:t>Dépôt de la demande d’autorisation d’appel.</w:t>
            </w:r>
          </w:p>
        </w:tc>
      </w:tr>
    </w:tbl>
    <w:p w:rsidR="00A268D3" w:rsidRPr="002F3871" w:rsidRDefault="00ED4247" w:rsidP="00A268D3">
      <w:pPr>
        <w:jc w:val="both"/>
        <w:rPr>
          <w:sz w:val="20"/>
          <w:lang w:val="fr-CA"/>
        </w:rPr>
      </w:pPr>
      <w:r>
        <w:rPr>
          <w:sz w:val="20"/>
          <w:szCs w:val="20"/>
        </w:rPr>
        <w:pict>
          <v:rect id="_x0000_i1078" style="width:2in;height:1pt" o:hrpct="0" o:hralign="center" o:hrstd="t" o:hrnoshade="t" o:hr="t" fillcolor="black" stroked="f"/>
        </w:pict>
      </w:r>
    </w:p>
    <w:p w:rsidR="00A268D3" w:rsidRPr="002F3871" w:rsidRDefault="00A268D3" w:rsidP="00A268D3">
      <w:pPr>
        <w:ind w:left="360" w:hanging="360"/>
        <w:jc w:val="both"/>
        <w:rPr>
          <w:sz w:val="20"/>
          <w:lang w:val="fr-CA" w:eastAsia="en-CA"/>
        </w:rPr>
      </w:pPr>
    </w:p>
    <w:p w:rsidR="00FD544E" w:rsidRDefault="00FD544E">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268D3" w:rsidRPr="002F3871" w:rsidTr="00A268D3">
        <w:tc>
          <w:tcPr>
            <w:tcW w:w="543" w:type="pct"/>
          </w:tcPr>
          <w:p w:rsidR="00A268D3" w:rsidRPr="002F3871" w:rsidRDefault="00A268D3" w:rsidP="00A268D3">
            <w:pPr>
              <w:jc w:val="both"/>
              <w:rPr>
                <w:sz w:val="20"/>
              </w:rPr>
            </w:pPr>
            <w:r w:rsidRPr="002F3871">
              <w:rPr>
                <w:rStyle w:val="SCCFileNumberChar"/>
                <w:sz w:val="20"/>
                <w:szCs w:val="20"/>
              </w:rPr>
              <w:lastRenderedPageBreak/>
              <w:t>37502</w:t>
            </w:r>
          </w:p>
        </w:tc>
        <w:tc>
          <w:tcPr>
            <w:tcW w:w="4457" w:type="pct"/>
            <w:gridSpan w:val="3"/>
          </w:tcPr>
          <w:p w:rsidR="00A268D3" w:rsidRPr="00FD544E" w:rsidRDefault="00A268D3" w:rsidP="00FD544E">
            <w:pPr>
              <w:pStyle w:val="SCCLsocParty"/>
              <w:jc w:val="both"/>
              <w:rPr>
                <w:sz w:val="20"/>
                <w:lang w:val="en-US"/>
              </w:rPr>
            </w:pPr>
            <w:r w:rsidRPr="002F3871">
              <w:rPr>
                <w:b/>
                <w:sz w:val="20"/>
                <w:szCs w:val="20"/>
                <w:lang w:val="en-US"/>
              </w:rPr>
              <w:t xml:space="preserve">Canadian International Petroleum Corp. and Ghareeb Awad v. Dover Investments Limited and Robert </w:t>
            </w:r>
            <w:proofErr w:type="spellStart"/>
            <w:r w:rsidRPr="002F3871">
              <w:rPr>
                <w:b/>
                <w:sz w:val="20"/>
                <w:szCs w:val="20"/>
                <w:lang w:val="en-US"/>
              </w:rPr>
              <w:t>Salna</w:t>
            </w:r>
            <w:proofErr w:type="spellEnd"/>
            <w:r w:rsidR="00FD544E">
              <w:rPr>
                <w:b/>
                <w:sz w:val="20"/>
                <w:szCs w:val="20"/>
                <w:lang w:val="en-US"/>
              </w:rPr>
              <w:t xml:space="preserve"> </w:t>
            </w:r>
            <w:r w:rsidRPr="00FD544E">
              <w:rPr>
                <w:sz w:val="20"/>
                <w:lang w:val="en-US"/>
              </w:rPr>
              <w:t>(Ont.) (Civil) (By Leave)</w:t>
            </w:r>
          </w:p>
        </w:tc>
      </w:tr>
      <w:tr w:rsidR="00C41450" w:rsidRPr="002F3871" w:rsidTr="00A268D3">
        <w:tc>
          <w:tcPr>
            <w:tcW w:w="543" w:type="pct"/>
          </w:tcPr>
          <w:p w:rsidR="00C41450" w:rsidRPr="002F3871" w:rsidRDefault="00C41450" w:rsidP="00A268D3">
            <w:pPr>
              <w:jc w:val="both"/>
              <w:rPr>
                <w:rStyle w:val="SCCFileNumberChar"/>
                <w:sz w:val="20"/>
                <w:szCs w:val="20"/>
              </w:rPr>
            </w:pPr>
            <w:r>
              <w:rPr>
                <w:rStyle w:val="SCCFileNumberChar"/>
                <w:sz w:val="20"/>
                <w:szCs w:val="20"/>
              </w:rPr>
              <w:t>Coram:</w:t>
            </w:r>
          </w:p>
        </w:tc>
        <w:tc>
          <w:tcPr>
            <w:tcW w:w="4457" w:type="pct"/>
            <w:gridSpan w:val="3"/>
          </w:tcPr>
          <w:p w:rsidR="00C41450" w:rsidRDefault="00FD544E" w:rsidP="00A268D3">
            <w:pPr>
              <w:pStyle w:val="SCCLsocParty"/>
              <w:jc w:val="both"/>
              <w:rPr>
                <w:rFonts w:eastAsiaTheme="minorEastAsia"/>
                <w:sz w:val="20"/>
                <w:szCs w:val="20"/>
                <w:lang w:val="en-US" w:eastAsia="en-CA"/>
              </w:rPr>
            </w:pPr>
            <w:proofErr w:type="spellStart"/>
            <w:r w:rsidRPr="00FD544E">
              <w:rPr>
                <w:rFonts w:eastAsiaTheme="minorEastAsia"/>
                <w:sz w:val="20"/>
                <w:szCs w:val="20"/>
                <w:lang w:val="en-US" w:eastAsia="en-CA"/>
              </w:rPr>
              <w:t>McLachlin</w:t>
            </w:r>
            <w:proofErr w:type="spellEnd"/>
            <w:r w:rsidRPr="00FD544E">
              <w:rPr>
                <w:rFonts w:eastAsiaTheme="minorEastAsia"/>
                <w:sz w:val="20"/>
                <w:szCs w:val="20"/>
                <w:lang w:val="en-US" w:eastAsia="en-CA"/>
              </w:rPr>
              <w:t xml:space="preserve"> C.J. and </w:t>
            </w:r>
            <w:proofErr w:type="spellStart"/>
            <w:r w:rsidRPr="00FD544E">
              <w:rPr>
                <w:rFonts w:eastAsiaTheme="minorEastAsia"/>
                <w:sz w:val="20"/>
                <w:szCs w:val="20"/>
                <w:lang w:val="en-US" w:eastAsia="en-CA"/>
              </w:rPr>
              <w:t>Abella</w:t>
            </w:r>
            <w:proofErr w:type="spellEnd"/>
            <w:r w:rsidRPr="00FD544E">
              <w:rPr>
                <w:rFonts w:eastAsiaTheme="minorEastAsia"/>
                <w:sz w:val="20"/>
                <w:szCs w:val="20"/>
                <w:lang w:val="en-US" w:eastAsia="en-CA"/>
              </w:rPr>
              <w:t xml:space="preserve">, </w:t>
            </w:r>
            <w:proofErr w:type="spellStart"/>
            <w:r w:rsidRPr="00FD544E">
              <w:rPr>
                <w:rFonts w:eastAsiaTheme="minorEastAsia"/>
                <w:sz w:val="20"/>
                <w:szCs w:val="20"/>
                <w:lang w:val="en-US" w:eastAsia="en-CA"/>
              </w:rPr>
              <w:t>Moldaver</w:t>
            </w:r>
            <w:proofErr w:type="spellEnd"/>
            <w:r w:rsidRPr="00FD544E">
              <w:rPr>
                <w:rFonts w:eastAsiaTheme="minorEastAsia"/>
                <w:sz w:val="20"/>
                <w:szCs w:val="20"/>
                <w:lang w:val="en-US" w:eastAsia="en-CA"/>
              </w:rPr>
              <w:t xml:space="preserve">, </w:t>
            </w:r>
            <w:proofErr w:type="spellStart"/>
            <w:r w:rsidRPr="00FD544E">
              <w:rPr>
                <w:rFonts w:eastAsiaTheme="minorEastAsia"/>
                <w:sz w:val="20"/>
                <w:szCs w:val="20"/>
                <w:lang w:val="en-US" w:eastAsia="en-CA"/>
              </w:rPr>
              <w:t>Karakatsanis</w:t>
            </w:r>
            <w:proofErr w:type="spellEnd"/>
            <w:r w:rsidRPr="00FD544E">
              <w:rPr>
                <w:rFonts w:eastAsiaTheme="minorEastAsia"/>
                <w:sz w:val="20"/>
                <w:szCs w:val="20"/>
                <w:lang w:val="en-US" w:eastAsia="en-CA"/>
              </w:rPr>
              <w:t xml:space="preserve">, Wagner, </w:t>
            </w:r>
            <w:proofErr w:type="spellStart"/>
            <w:r w:rsidRPr="00FD544E">
              <w:rPr>
                <w:rFonts w:eastAsiaTheme="minorEastAsia"/>
                <w:sz w:val="20"/>
                <w:szCs w:val="20"/>
                <w:lang w:val="en-US" w:eastAsia="en-CA"/>
              </w:rPr>
              <w:t>Gascon</w:t>
            </w:r>
            <w:proofErr w:type="spellEnd"/>
            <w:r w:rsidRPr="00FD544E">
              <w:rPr>
                <w:rFonts w:eastAsiaTheme="minorEastAsia"/>
                <w:sz w:val="20"/>
                <w:szCs w:val="20"/>
                <w:lang w:val="en-US" w:eastAsia="en-CA"/>
              </w:rPr>
              <w:t xml:space="preserve">, </w:t>
            </w:r>
            <w:proofErr w:type="spellStart"/>
            <w:r w:rsidRPr="00FD544E">
              <w:rPr>
                <w:rFonts w:eastAsiaTheme="minorEastAsia"/>
                <w:sz w:val="20"/>
                <w:szCs w:val="20"/>
                <w:lang w:val="en-US" w:eastAsia="en-CA"/>
              </w:rPr>
              <w:t>Côté</w:t>
            </w:r>
            <w:proofErr w:type="spellEnd"/>
            <w:r w:rsidRPr="00FD544E">
              <w:rPr>
                <w:rFonts w:eastAsiaTheme="minorEastAsia"/>
                <w:sz w:val="20"/>
                <w:szCs w:val="20"/>
                <w:lang w:val="en-US" w:eastAsia="en-CA"/>
              </w:rPr>
              <w:t>, Brown and Rowe JJ.</w:t>
            </w:r>
          </w:p>
          <w:p w:rsidR="00FD544E" w:rsidRPr="00FD544E" w:rsidRDefault="00FD544E" w:rsidP="00FD544E">
            <w:pPr>
              <w:rPr>
                <w:lang w:val="en-US" w:eastAsia="en-CA"/>
              </w:rPr>
            </w:pPr>
          </w:p>
        </w:tc>
      </w:tr>
      <w:tr w:rsidR="00C41450" w:rsidRPr="002F3871" w:rsidTr="00C41450">
        <w:tc>
          <w:tcPr>
            <w:tcW w:w="5000" w:type="pct"/>
            <w:gridSpan w:val="4"/>
          </w:tcPr>
          <w:p w:rsidR="00C41450" w:rsidRPr="00FD544E" w:rsidRDefault="00FD544E" w:rsidP="00A268D3">
            <w:pPr>
              <w:pStyle w:val="SCCLsocParty"/>
              <w:jc w:val="both"/>
              <w:rPr>
                <w:sz w:val="20"/>
                <w:szCs w:val="20"/>
                <w:lang w:val="en-US"/>
              </w:rPr>
            </w:pPr>
            <w:r w:rsidRPr="00FD544E">
              <w:rPr>
                <w:sz w:val="20"/>
                <w:szCs w:val="20"/>
                <w:lang w:val="en-US"/>
              </w:rPr>
              <w:t>The application for leave to appeal from the judgment of the Court of Appeal for Ontario, Number M47000, 2017 ONCA 120, dated February 7, 2017, is dismissed with costs.</w:t>
            </w:r>
          </w:p>
          <w:p w:rsidR="00FD544E" w:rsidRPr="00FD544E" w:rsidRDefault="00FD544E" w:rsidP="00FD544E">
            <w:pPr>
              <w:rPr>
                <w:lang w:val="en-US"/>
              </w:rPr>
            </w:pPr>
          </w:p>
        </w:tc>
      </w:tr>
      <w:tr w:rsidR="00A268D3" w:rsidRPr="002F3871" w:rsidTr="00A268D3">
        <w:tc>
          <w:tcPr>
            <w:tcW w:w="5000" w:type="pct"/>
            <w:gridSpan w:val="4"/>
          </w:tcPr>
          <w:p w:rsidR="00A268D3" w:rsidRPr="002F3871" w:rsidRDefault="00A268D3" w:rsidP="00A268D3">
            <w:pPr>
              <w:jc w:val="both"/>
              <w:rPr>
                <w:sz w:val="20"/>
              </w:rPr>
            </w:pPr>
            <w:r w:rsidRPr="002F3871">
              <w:rPr>
                <w:sz w:val="20"/>
              </w:rPr>
              <w:t>Civil Procedure – Abuse of Process – Extension of Time – Whether application for leave to appeal raises issue of national importance.</w:t>
            </w:r>
          </w:p>
        </w:tc>
      </w:tr>
      <w:tr w:rsidR="00A268D3" w:rsidRPr="002F3871" w:rsidTr="00A268D3">
        <w:tc>
          <w:tcPr>
            <w:tcW w:w="5000" w:type="pct"/>
            <w:gridSpan w:val="4"/>
          </w:tcPr>
          <w:p w:rsidR="00A268D3" w:rsidRPr="002F3871" w:rsidRDefault="00A268D3" w:rsidP="00A268D3">
            <w:pPr>
              <w:jc w:val="both"/>
              <w:rPr>
                <w:sz w:val="20"/>
              </w:rPr>
            </w:pPr>
          </w:p>
          <w:p w:rsidR="00A268D3" w:rsidRPr="002F3871" w:rsidRDefault="00A268D3" w:rsidP="00A268D3">
            <w:pPr>
              <w:jc w:val="both"/>
              <w:rPr>
                <w:sz w:val="20"/>
              </w:rPr>
            </w:pPr>
            <w:r w:rsidRPr="002F3871">
              <w:rPr>
                <w:sz w:val="20"/>
              </w:rPr>
              <w:t>This matter concerns the rights of the parties with respect to a joint venture agreement for oil exploration and subsequent oil production in Egypt. The Applicants brought a number of claims with respect to the joint venture agreement before the British Columbia courts, all of which were dismissed. In related proceedings before the British Columbia courts, the Respondents obtained damages for defamation and interference with contractual relations.</w:t>
            </w:r>
          </w:p>
        </w:tc>
      </w:tr>
      <w:tr w:rsidR="00A268D3" w:rsidRPr="002F3871" w:rsidTr="00A268D3">
        <w:tc>
          <w:tcPr>
            <w:tcW w:w="5000" w:type="pct"/>
            <w:gridSpan w:val="4"/>
          </w:tcPr>
          <w:p w:rsidR="00A268D3" w:rsidRPr="002F3871" w:rsidRDefault="00A268D3" w:rsidP="00A268D3">
            <w:pPr>
              <w:jc w:val="both"/>
              <w:rPr>
                <w:sz w:val="20"/>
              </w:rPr>
            </w:pPr>
          </w:p>
        </w:tc>
      </w:tr>
      <w:tr w:rsidR="00A268D3" w:rsidRPr="002F3871" w:rsidTr="00A268D3">
        <w:tc>
          <w:tcPr>
            <w:tcW w:w="2427" w:type="pct"/>
            <w:gridSpan w:val="2"/>
          </w:tcPr>
          <w:p w:rsidR="00A268D3" w:rsidRPr="002F3871" w:rsidRDefault="00A268D3" w:rsidP="00A268D3">
            <w:pPr>
              <w:jc w:val="both"/>
              <w:rPr>
                <w:sz w:val="20"/>
              </w:rPr>
            </w:pPr>
            <w:r w:rsidRPr="002F3871">
              <w:rPr>
                <w:sz w:val="20"/>
              </w:rPr>
              <w:t>March 31, 2016</w:t>
            </w:r>
          </w:p>
          <w:p w:rsidR="00A268D3" w:rsidRPr="002F3871" w:rsidRDefault="00A268D3" w:rsidP="00A268D3">
            <w:pPr>
              <w:jc w:val="both"/>
              <w:rPr>
                <w:sz w:val="20"/>
              </w:rPr>
            </w:pPr>
            <w:r w:rsidRPr="002F3871">
              <w:rPr>
                <w:sz w:val="20"/>
              </w:rPr>
              <w:t>Ontario Superior Court of Justice</w:t>
            </w:r>
          </w:p>
          <w:p w:rsidR="00A268D3" w:rsidRPr="002F3871" w:rsidRDefault="00A268D3" w:rsidP="00A268D3">
            <w:pPr>
              <w:jc w:val="both"/>
              <w:rPr>
                <w:sz w:val="20"/>
              </w:rPr>
            </w:pPr>
            <w:r w:rsidRPr="002F3871">
              <w:rPr>
                <w:sz w:val="20"/>
              </w:rPr>
              <w:t>(Conway J.)</w:t>
            </w:r>
          </w:p>
          <w:p w:rsidR="00A268D3" w:rsidRPr="002F3871" w:rsidRDefault="00A268D3" w:rsidP="00A268D3">
            <w:pPr>
              <w:jc w:val="both"/>
              <w:rPr>
                <w:sz w:val="20"/>
              </w:rPr>
            </w:pPr>
            <w:r w:rsidRPr="002F3871">
              <w:rPr>
                <w:sz w:val="20"/>
              </w:rPr>
              <w:t>No. CV 15-11114-00CL</w:t>
            </w:r>
          </w:p>
          <w:p w:rsidR="00A268D3" w:rsidRPr="002F3871" w:rsidRDefault="00A268D3" w:rsidP="00A268D3">
            <w:pPr>
              <w:jc w:val="both"/>
              <w:rPr>
                <w:sz w:val="20"/>
              </w:rPr>
            </w:pPr>
          </w:p>
        </w:tc>
        <w:tc>
          <w:tcPr>
            <w:tcW w:w="243" w:type="pct"/>
          </w:tcPr>
          <w:p w:rsidR="00A268D3" w:rsidRPr="002F3871" w:rsidRDefault="00A268D3" w:rsidP="00A268D3">
            <w:pPr>
              <w:jc w:val="both"/>
              <w:rPr>
                <w:sz w:val="20"/>
              </w:rPr>
            </w:pPr>
          </w:p>
        </w:tc>
        <w:tc>
          <w:tcPr>
            <w:tcW w:w="2330" w:type="pct"/>
          </w:tcPr>
          <w:p w:rsidR="00A268D3" w:rsidRPr="002F3871" w:rsidRDefault="00A268D3" w:rsidP="00A268D3">
            <w:pPr>
              <w:jc w:val="both"/>
              <w:rPr>
                <w:sz w:val="20"/>
              </w:rPr>
            </w:pPr>
            <w:r w:rsidRPr="002F3871">
              <w:rPr>
                <w:sz w:val="20"/>
              </w:rPr>
              <w:t>Applicants’ application dismissed.</w:t>
            </w:r>
          </w:p>
          <w:p w:rsidR="00A268D3" w:rsidRPr="002F3871" w:rsidRDefault="00A268D3" w:rsidP="00A268D3">
            <w:pPr>
              <w:jc w:val="both"/>
              <w:rPr>
                <w:sz w:val="20"/>
              </w:rPr>
            </w:pPr>
          </w:p>
        </w:tc>
      </w:tr>
      <w:tr w:rsidR="00A268D3" w:rsidRPr="002F3871" w:rsidTr="00A268D3">
        <w:tc>
          <w:tcPr>
            <w:tcW w:w="2427" w:type="pct"/>
            <w:gridSpan w:val="2"/>
          </w:tcPr>
          <w:p w:rsidR="00A268D3" w:rsidRPr="002F3871" w:rsidRDefault="00A268D3" w:rsidP="00A268D3">
            <w:pPr>
              <w:jc w:val="both"/>
              <w:rPr>
                <w:sz w:val="20"/>
              </w:rPr>
            </w:pPr>
            <w:r w:rsidRPr="002F3871">
              <w:rPr>
                <w:sz w:val="20"/>
              </w:rPr>
              <w:t>July 14, 2016</w:t>
            </w:r>
          </w:p>
          <w:p w:rsidR="00A268D3" w:rsidRPr="002F3871" w:rsidRDefault="00A268D3" w:rsidP="00A268D3">
            <w:pPr>
              <w:jc w:val="both"/>
              <w:rPr>
                <w:sz w:val="20"/>
              </w:rPr>
            </w:pPr>
            <w:r w:rsidRPr="002F3871">
              <w:rPr>
                <w:sz w:val="20"/>
              </w:rPr>
              <w:t>Ontario Superior Court of Justice</w:t>
            </w:r>
          </w:p>
          <w:p w:rsidR="00A268D3" w:rsidRPr="002F3871" w:rsidRDefault="00A268D3" w:rsidP="00A268D3">
            <w:pPr>
              <w:jc w:val="both"/>
              <w:rPr>
                <w:sz w:val="20"/>
              </w:rPr>
            </w:pPr>
            <w:r w:rsidRPr="002F3871">
              <w:rPr>
                <w:sz w:val="20"/>
              </w:rPr>
              <w:t>(Stewart J.)</w:t>
            </w:r>
          </w:p>
          <w:p w:rsidR="00A268D3" w:rsidRPr="002F3871" w:rsidRDefault="00A268D3" w:rsidP="00A268D3">
            <w:pPr>
              <w:jc w:val="both"/>
              <w:rPr>
                <w:sz w:val="20"/>
              </w:rPr>
            </w:pPr>
            <w:r w:rsidRPr="002F3871">
              <w:rPr>
                <w:sz w:val="20"/>
              </w:rPr>
              <w:t>No. DC-16-227</w:t>
            </w:r>
          </w:p>
          <w:p w:rsidR="00A268D3" w:rsidRPr="002F3871" w:rsidRDefault="00ED4247" w:rsidP="00A268D3">
            <w:pPr>
              <w:jc w:val="both"/>
              <w:rPr>
                <w:rStyle w:val="Hyperlink"/>
                <w:sz w:val="20"/>
              </w:rPr>
            </w:pPr>
            <w:hyperlink r:id="rId64" w:history="1">
              <w:r w:rsidR="00A268D3" w:rsidRPr="002F3871">
                <w:rPr>
                  <w:rStyle w:val="Hyperlink"/>
                  <w:sz w:val="20"/>
                </w:rPr>
                <w:t>2016 ONSC 4097</w:t>
              </w:r>
            </w:hyperlink>
          </w:p>
          <w:p w:rsidR="00A268D3" w:rsidRPr="002F3871" w:rsidRDefault="00A268D3" w:rsidP="00A268D3">
            <w:pPr>
              <w:jc w:val="both"/>
              <w:rPr>
                <w:sz w:val="20"/>
              </w:rPr>
            </w:pPr>
          </w:p>
        </w:tc>
        <w:tc>
          <w:tcPr>
            <w:tcW w:w="243" w:type="pct"/>
          </w:tcPr>
          <w:p w:rsidR="00A268D3" w:rsidRPr="002F3871" w:rsidRDefault="00A268D3" w:rsidP="00A268D3">
            <w:pPr>
              <w:jc w:val="both"/>
              <w:rPr>
                <w:sz w:val="20"/>
              </w:rPr>
            </w:pPr>
          </w:p>
        </w:tc>
        <w:tc>
          <w:tcPr>
            <w:tcW w:w="2330" w:type="pct"/>
          </w:tcPr>
          <w:p w:rsidR="00A268D3" w:rsidRPr="002F3871" w:rsidRDefault="00A268D3" w:rsidP="00A268D3">
            <w:pPr>
              <w:jc w:val="both"/>
              <w:rPr>
                <w:sz w:val="20"/>
              </w:rPr>
            </w:pPr>
            <w:r w:rsidRPr="002F3871">
              <w:rPr>
                <w:sz w:val="20"/>
              </w:rPr>
              <w:t>Applicants’ appeal of dismissal order quashed.</w:t>
            </w:r>
          </w:p>
          <w:p w:rsidR="00A268D3" w:rsidRPr="002F3871" w:rsidRDefault="00A268D3" w:rsidP="00A268D3">
            <w:pPr>
              <w:jc w:val="both"/>
              <w:rPr>
                <w:sz w:val="20"/>
              </w:rPr>
            </w:pPr>
          </w:p>
        </w:tc>
      </w:tr>
      <w:tr w:rsidR="00A268D3" w:rsidRPr="002F3871" w:rsidTr="00A268D3">
        <w:tc>
          <w:tcPr>
            <w:tcW w:w="2427" w:type="pct"/>
            <w:gridSpan w:val="2"/>
          </w:tcPr>
          <w:p w:rsidR="00A268D3" w:rsidRPr="002F3871" w:rsidRDefault="00A268D3" w:rsidP="00A268D3">
            <w:pPr>
              <w:jc w:val="both"/>
              <w:rPr>
                <w:sz w:val="20"/>
              </w:rPr>
            </w:pPr>
            <w:r w:rsidRPr="002F3871">
              <w:rPr>
                <w:sz w:val="20"/>
              </w:rPr>
              <w:t>September 14, 2016</w:t>
            </w:r>
          </w:p>
          <w:p w:rsidR="00A268D3" w:rsidRPr="002F3871" w:rsidRDefault="00A268D3" w:rsidP="00A268D3">
            <w:pPr>
              <w:jc w:val="both"/>
              <w:rPr>
                <w:sz w:val="20"/>
              </w:rPr>
            </w:pPr>
            <w:r w:rsidRPr="002F3871">
              <w:rPr>
                <w:sz w:val="20"/>
              </w:rPr>
              <w:t>Court of Appeal for Ontario</w:t>
            </w:r>
          </w:p>
          <w:p w:rsidR="00A268D3" w:rsidRPr="002F3871" w:rsidRDefault="00A268D3" w:rsidP="00A268D3">
            <w:pPr>
              <w:jc w:val="both"/>
              <w:rPr>
                <w:sz w:val="20"/>
                <w:lang w:val="fr-FR"/>
              </w:rPr>
            </w:pPr>
            <w:r w:rsidRPr="002F3871">
              <w:rPr>
                <w:sz w:val="20"/>
                <w:lang w:val="fr-FR"/>
              </w:rPr>
              <w:t>(MacFarland J.)</w:t>
            </w:r>
          </w:p>
          <w:p w:rsidR="00A268D3" w:rsidRPr="002F3871" w:rsidRDefault="00A268D3" w:rsidP="00A268D3">
            <w:pPr>
              <w:jc w:val="both"/>
              <w:rPr>
                <w:sz w:val="20"/>
              </w:rPr>
            </w:pPr>
            <w:r w:rsidRPr="002F3871">
              <w:rPr>
                <w:sz w:val="20"/>
                <w:lang w:val="fr-FR"/>
              </w:rPr>
              <w:t xml:space="preserve">No. </w:t>
            </w:r>
            <w:r w:rsidRPr="002F3871">
              <w:rPr>
                <w:sz w:val="20"/>
              </w:rPr>
              <w:t>M46847</w:t>
            </w:r>
          </w:p>
          <w:p w:rsidR="00A268D3" w:rsidRPr="002F3871" w:rsidRDefault="00A268D3" w:rsidP="00A268D3">
            <w:pPr>
              <w:jc w:val="both"/>
              <w:rPr>
                <w:sz w:val="20"/>
              </w:rPr>
            </w:pPr>
          </w:p>
        </w:tc>
        <w:tc>
          <w:tcPr>
            <w:tcW w:w="243" w:type="pct"/>
          </w:tcPr>
          <w:p w:rsidR="00A268D3" w:rsidRPr="002F3871" w:rsidRDefault="00A268D3" w:rsidP="00A268D3">
            <w:pPr>
              <w:jc w:val="both"/>
              <w:rPr>
                <w:sz w:val="20"/>
              </w:rPr>
            </w:pPr>
          </w:p>
        </w:tc>
        <w:tc>
          <w:tcPr>
            <w:tcW w:w="2330" w:type="pct"/>
          </w:tcPr>
          <w:p w:rsidR="00A268D3" w:rsidRPr="002F3871" w:rsidRDefault="00A268D3" w:rsidP="00A268D3">
            <w:pPr>
              <w:jc w:val="both"/>
              <w:rPr>
                <w:sz w:val="20"/>
              </w:rPr>
            </w:pPr>
            <w:r w:rsidRPr="002F3871">
              <w:rPr>
                <w:sz w:val="20"/>
              </w:rPr>
              <w:t>Applicants’ request for an extension of time to appeal denied.</w:t>
            </w:r>
          </w:p>
          <w:p w:rsidR="00A268D3" w:rsidRPr="002F3871" w:rsidRDefault="00A268D3" w:rsidP="00A268D3">
            <w:pPr>
              <w:jc w:val="both"/>
              <w:rPr>
                <w:sz w:val="20"/>
              </w:rPr>
            </w:pPr>
          </w:p>
        </w:tc>
      </w:tr>
      <w:tr w:rsidR="00A268D3" w:rsidRPr="002F3871" w:rsidTr="00A268D3">
        <w:tc>
          <w:tcPr>
            <w:tcW w:w="2427" w:type="pct"/>
            <w:gridSpan w:val="2"/>
          </w:tcPr>
          <w:p w:rsidR="00A268D3" w:rsidRPr="002F3871" w:rsidRDefault="00A268D3" w:rsidP="00A268D3">
            <w:pPr>
              <w:jc w:val="both"/>
              <w:rPr>
                <w:sz w:val="20"/>
              </w:rPr>
            </w:pPr>
            <w:r w:rsidRPr="002F3871">
              <w:rPr>
                <w:sz w:val="20"/>
              </w:rPr>
              <w:t>February 7, 2017</w:t>
            </w:r>
          </w:p>
          <w:p w:rsidR="00A268D3" w:rsidRPr="002F3871" w:rsidRDefault="00A268D3" w:rsidP="00A268D3">
            <w:pPr>
              <w:jc w:val="both"/>
              <w:rPr>
                <w:sz w:val="20"/>
              </w:rPr>
            </w:pPr>
            <w:r w:rsidRPr="002F3871">
              <w:rPr>
                <w:sz w:val="20"/>
              </w:rPr>
              <w:t>Court of Appeal for Ontario</w:t>
            </w:r>
          </w:p>
          <w:p w:rsidR="00A268D3" w:rsidRPr="002F3871" w:rsidRDefault="00A268D3" w:rsidP="00A268D3">
            <w:pPr>
              <w:jc w:val="both"/>
              <w:rPr>
                <w:sz w:val="20"/>
              </w:rPr>
            </w:pPr>
            <w:r w:rsidRPr="002F3871">
              <w:rPr>
                <w:sz w:val="20"/>
              </w:rPr>
              <w:t>(Simmons, Lauwers and Hourigan JJ.A.)</w:t>
            </w:r>
          </w:p>
          <w:p w:rsidR="00A268D3" w:rsidRPr="002F3871" w:rsidRDefault="00A268D3" w:rsidP="00A268D3">
            <w:pPr>
              <w:jc w:val="both"/>
              <w:rPr>
                <w:sz w:val="20"/>
              </w:rPr>
            </w:pPr>
            <w:r w:rsidRPr="002F3871">
              <w:rPr>
                <w:sz w:val="20"/>
              </w:rPr>
              <w:t>No. M47000</w:t>
            </w:r>
          </w:p>
          <w:p w:rsidR="00A268D3" w:rsidRPr="002F3871" w:rsidRDefault="00ED4247" w:rsidP="00A268D3">
            <w:pPr>
              <w:jc w:val="both"/>
              <w:rPr>
                <w:rStyle w:val="Hyperlink"/>
                <w:sz w:val="20"/>
              </w:rPr>
            </w:pPr>
            <w:hyperlink r:id="rId65" w:history="1">
              <w:r w:rsidR="00A268D3" w:rsidRPr="002F3871">
                <w:rPr>
                  <w:rStyle w:val="Hyperlink"/>
                  <w:sz w:val="20"/>
                </w:rPr>
                <w:t>2017 ONCA 120</w:t>
              </w:r>
            </w:hyperlink>
          </w:p>
          <w:p w:rsidR="00A268D3" w:rsidRPr="002F3871" w:rsidRDefault="00A268D3" w:rsidP="00A268D3">
            <w:pPr>
              <w:jc w:val="both"/>
              <w:rPr>
                <w:sz w:val="20"/>
              </w:rPr>
            </w:pPr>
          </w:p>
        </w:tc>
        <w:tc>
          <w:tcPr>
            <w:tcW w:w="243" w:type="pct"/>
          </w:tcPr>
          <w:p w:rsidR="00A268D3" w:rsidRPr="002F3871" w:rsidRDefault="00A268D3" w:rsidP="00A268D3">
            <w:pPr>
              <w:jc w:val="both"/>
              <w:rPr>
                <w:sz w:val="20"/>
              </w:rPr>
            </w:pPr>
          </w:p>
        </w:tc>
        <w:tc>
          <w:tcPr>
            <w:tcW w:w="2330" w:type="pct"/>
          </w:tcPr>
          <w:p w:rsidR="00A268D3" w:rsidRPr="002F3871" w:rsidRDefault="00A268D3" w:rsidP="00A268D3">
            <w:pPr>
              <w:jc w:val="both"/>
              <w:rPr>
                <w:sz w:val="20"/>
              </w:rPr>
            </w:pPr>
            <w:r w:rsidRPr="002F3871">
              <w:rPr>
                <w:sz w:val="20"/>
              </w:rPr>
              <w:t>Applicants’ review motion dismissed.</w:t>
            </w:r>
          </w:p>
          <w:p w:rsidR="00A268D3" w:rsidRPr="002F3871" w:rsidRDefault="00A268D3" w:rsidP="00A268D3">
            <w:pPr>
              <w:jc w:val="both"/>
              <w:rPr>
                <w:sz w:val="20"/>
              </w:rPr>
            </w:pPr>
          </w:p>
        </w:tc>
      </w:tr>
      <w:tr w:rsidR="00A268D3" w:rsidRPr="002F3871" w:rsidTr="00A268D3">
        <w:tc>
          <w:tcPr>
            <w:tcW w:w="2427" w:type="pct"/>
            <w:gridSpan w:val="2"/>
          </w:tcPr>
          <w:p w:rsidR="00A268D3" w:rsidRPr="002F3871" w:rsidRDefault="00A268D3" w:rsidP="00A268D3">
            <w:pPr>
              <w:jc w:val="both"/>
              <w:rPr>
                <w:sz w:val="20"/>
              </w:rPr>
            </w:pPr>
            <w:r w:rsidRPr="002F3871">
              <w:rPr>
                <w:sz w:val="20"/>
              </w:rPr>
              <w:t>March 13, 2017</w:t>
            </w:r>
          </w:p>
          <w:p w:rsidR="00A268D3" w:rsidRPr="002F3871" w:rsidRDefault="00A268D3" w:rsidP="00A268D3">
            <w:pPr>
              <w:jc w:val="both"/>
              <w:rPr>
                <w:sz w:val="20"/>
              </w:rPr>
            </w:pPr>
            <w:r w:rsidRPr="002F3871">
              <w:rPr>
                <w:sz w:val="20"/>
              </w:rPr>
              <w:t>Supreme Court of Canada</w:t>
            </w:r>
          </w:p>
        </w:tc>
        <w:tc>
          <w:tcPr>
            <w:tcW w:w="243" w:type="pct"/>
          </w:tcPr>
          <w:p w:rsidR="00A268D3" w:rsidRPr="002F3871" w:rsidRDefault="00A268D3" w:rsidP="00A268D3">
            <w:pPr>
              <w:jc w:val="both"/>
              <w:rPr>
                <w:sz w:val="20"/>
              </w:rPr>
            </w:pPr>
          </w:p>
        </w:tc>
        <w:tc>
          <w:tcPr>
            <w:tcW w:w="2330" w:type="pct"/>
          </w:tcPr>
          <w:p w:rsidR="00A268D3" w:rsidRPr="002F3871" w:rsidRDefault="00A268D3" w:rsidP="00A268D3">
            <w:pPr>
              <w:jc w:val="both"/>
              <w:rPr>
                <w:sz w:val="20"/>
              </w:rPr>
            </w:pPr>
            <w:r w:rsidRPr="002F3871">
              <w:rPr>
                <w:sz w:val="20"/>
              </w:rPr>
              <w:t>Application for leave to appeal filed.</w:t>
            </w:r>
          </w:p>
          <w:p w:rsidR="00A268D3" w:rsidRPr="002F3871" w:rsidRDefault="00A268D3" w:rsidP="00A268D3">
            <w:pPr>
              <w:jc w:val="both"/>
              <w:rPr>
                <w:sz w:val="20"/>
              </w:rPr>
            </w:pPr>
          </w:p>
        </w:tc>
      </w:tr>
    </w:tbl>
    <w:p w:rsidR="00A268D3" w:rsidRPr="002F3871" w:rsidRDefault="00ED4247" w:rsidP="00A268D3">
      <w:pPr>
        <w:jc w:val="both"/>
        <w:rPr>
          <w:sz w:val="20"/>
        </w:rPr>
      </w:pPr>
      <w:r>
        <w:rPr>
          <w:sz w:val="20"/>
          <w:szCs w:val="20"/>
        </w:rPr>
        <w:pict>
          <v:rect id="_x0000_i1079" style="width:2in;height:1pt" o:hrpct="0" o:hralign="center" o:hrstd="t" o:hrnoshade="t" o:hr="t" fillcolor="black" stroked="f"/>
        </w:pict>
      </w:r>
    </w:p>
    <w:p w:rsidR="00A268D3" w:rsidRPr="002F3871" w:rsidRDefault="00A268D3" w:rsidP="00A268D3">
      <w:pPr>
        <w:jc w:val="both"/>
        <w:rPr>
          <w:sz w:val="20"/>
        </w:rPr>
      </w:pPr>
    </w:p>
    <w:p w:rsidR="00FD544E" w:rsidRDefault="00FD544E">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268D3" w:rsidRPr="002F3871" w:rsidTr="00A268D3">
        <w:tc>
          <w:tcPr>
            <w:tcW w:w="543" w:type="pct"/>
          </w:tcPr>
          <w:p w:rsidR="00A268D3" w:rsidRPr="002F3871" w:rsidRDefault="00A268D3" w:rsidP="00A268D3">
            <w:pPr>
              <w:jc w:val="both"/>
              <w:rPr>
                <w:sz w:val="20"/>
                <w:lang w:val="fr-CA"/>
              </w:rPr>
            </w:pPr>
            <w:r w:rsidRPr="002F3871">
              <w:rPr>
                <w:rStyle w:val="SCCFileNumberChar"/>
                <w:sz w:val="20"/>
                <w:szCs w:val="20"/>
                <w:lang w:val="fr-CA"/>
              </w:rPr>
              <w:lastRenderedPageBreak/>
              <w:t>37502</w:t>
            </w:r>
          </w:p>
        </w:tc>
        <w:tc>
          <w:tcPr>
            <w:tcW w:w="4457" w:type="pct"/>
            <w:gridSpan w:val="3"/>
          </w:tcPr>
          <w:p w:rsidR="00A268D3" w:rsidRPr="002F3871" w:rsidRDefault="00A268D3" w:rsidP="00FD544E">
            <w:pPr>
              <w:pStyle w:val="SCCLsocParty"/>
              <w:jc w:val="both"/>
              <w:rPr>
                <w:sz w:val="20"/>
              </w:rPr>
            </w:pPr>
            <w:r w:rsidRPr="002F3871">
              <w:rPr>
                <w:b/>
                <w:sz w:val="20"/>
                <w:szCs w:val="20"/>
              </w:rPr>
              <w:t xml:space="preserve">Canadian International Petroleum Corp. et Ghareeb Awad c. Dover Investments Limited et Robert </w:t>
            </w:r>
            <w:proofErr w:type="spellStart"/>
            <w:r w:rsidRPr="002F3871">
              <w:rPr>
                <w:b/>
                <w:sz w:val="20"/>
                <w:szCs w:val="20"/>
              </w:rPr>
              <w:t>Salna</w:t>
            </w:r>
            <w:proofErr w:type="spellEnd"/>
            <w:r w:rsidR="00FD544E">
              <w:rPr>
                <w:b/>
                <w:sz w:val="20"/>
                <w:szCs w:val="20"/>
              </w:rPr>
              <w:t xml:space="preserve"> </w:t>
            </w:r>
            <w:r w:rsidRPr="002F3871">
              <w:rPr>
                <w:sz w:val="20"/>
              </w:rPr>
              <w:t>(Ont.) (Civile) (Sur autorisation)</w:t>
            </w:r>
          </w:p>
        </w:tc>
      </w:tr>
      <w:tr w:rsidR="00C41450" w:rsidRPr="00ED4247" w:rsidTr="00A268D3">
        <w:tc>
          <w:tcPr>
            <w:tcW w:w="543" w:type="pct"/>
          </w:tcPr>
          <w:p w:rsidR="00C41450" w:rsidRPr="002F3871" w:rsidRDefault="00C41450" w:rsidP="00A268D3">
            <w:pPr>
              <w:jc w:val="both"/>
              <w:rPr>
                <w:rStyle w:val="SCCFileNumberChar"/>
                <w:sz w:val="20"/>
                <w:szCs w:val="20"/>
                <w:lang w:val="fr-CA"/>
              </w:rPr>
            </w:pPr>
            <w:r>
              <w:rPr>
                <w:rStyle w:val="SCCFileNumberChar"/>
                <w:sz w:val="20"/>
                <w:szCs w:val="20"/>
                <w:lang w:val="fr-CA"/>
              </w:rPr>
              <w:t>Coram :</w:t>
            </w:r>
          </w:p>
        </w:tc>
        <w:tc>
          <w:tcPr>
            <w:tcW w:w="4457" w:type="pct"/>
            <w:gridSpan w:val="3"/>
          </w:tcPr>
          <w:p w:rsidR="00C41450" w:rsidRDefault="00FD544E" w:rsidP="00A268D3">
            <w:pPr>
              <w:pStyle w:val="SCCLsocParty"/>
              <w:jc w:val="both"/>
              <w:rPr>
                <w:rFonts w:eastAsiaTheme="minorEastAsia"/>
                <w:sz w:val="20"/>
                <w:szCs w:val="20"/>
                <w:lang w:val="fr-FR" w:eastAsia="en-CA"/>
              </w:rPr>
            </w:pPr>
            <w:r w:rsidRPr="00752701">
              <w:rPr>
                <w:rFonts w:eastAsiaTheme="minorEastAsia"/>
                <w:sz w:val="20"/>
                <w:szCs w:val="20"/>
                <w:lang w:val="fr-FR" w:eastAsia="en-CA"/>
              </w:rPr>
              <w:t xml:space="preserve">La juge en chef </w:t>
            </w:r>
            <w:proofErr w:type="spellStart"/>
            <w:r w:rsidRPr="00752701">
              <w:rPr>
                <w:rFonts w:eastAsiaTheme="minorEastAsia"/>
                <w:sz w:val="20"/>
                <w:szCs w:val="20"/>
                <w:lang w:val="fr-FR" w:eastAsia="en-CA"/>
              </w:rPr>
              <w:t>McLachlin</w:t>
            </w:r>
            <w:proofErr w:type="spellEnd"/>
            <w:r w:rsidRPr="00752701">
              <w:rPr>
                <w:rFonts w:eastAsiaTheme="minorEastAsia"/>
                <w:sz w:val="20"/>
                <w:szCs w:val="20"/>
                <w:lang w:val="fr-FR" w:eastAsia="en-CA"/>
              </w:rPr>
              <w:t xml:space="preserve"> et les juges Abella, </w:t>
            </w:r>
            <w:proofErr w:type="spellStart"/>
            <w:r w:rsidRPr="00752701">
              <w:rPr>
                <w:rFonts w:eastAsiaTheme="minorEastAsia"/>
                <w:sz w:val="20"/>
                <w:szCs w:val="20"/>
                <w:lang w:val="fr-FR" w:eastAsia="en-CA"/>
              </w:rPr>
              <w:t>Moldaver</w:t>
            </w:r>
            <w:proofErr w:type="spellEnd"/>
            <w:r w:rsidRPr="00752701">
              <w:rPr>
                <w:rFonts w:eastAsiaTheme="minorEastAsia"/>
                <w:sz w:val="20"/>
                <w:szCs w:val="20"/>
                <w:lang w:val="fr-FR" w:eastAsia="en-CA"/>
              </w:rPr>
              <w:t xml:space="preserve">, </w:t>
            </w:r>
            <w:proofErr w:type="spellStart"/>
            <w:r w:rsidRPr="00752701">
              <w:rPr>
                <w:rFonts w:eastAsiaTheme="minorEastAsia"/>
                <w:sz w:val="20"/>
                <w:szCs w:val="20"/>
                <w:lang w:val="fr-FR" w:eastAsia="en-CA"/>
              </w:rPr>
              <w:t>Karakatsanis</w:t>
            </w:r>
            <w:proofErr w:type="spellEnd"/>
            <w:r w:rsidRPr="00752701">
              <w:rPr>
                <w:rFonts w:eastAsiaTheme="minorEastAsia"/>
                <w:sz w:val="20"/>
                <w:szCs w:val="20"/>
                <w:lang w:val="fr-FR" w:eastAsia="en-CA"/>
              </w:rPr>
              <w:t>, Wagner, Gascon, Côté, Brown et Rowe</w:t>
            </w:r>
          </w:p>
          <w:p w:rsidR="00FD544E" w:rsidRPr="00FD544E" w:rsidRDefault="00FD544E" w:rsidP="00FD544E">
            <w:pPr>
              <w:rPr>
                <w:lang w:val="fr-FR" w:eastAsia="en-CA"/>
              </w:rPr>
            </w:pPr>
          </w:p>
        </w:tc>
      </w:tr>
      <w:tr w:rsidR="00C41450" w:rsidRPr="00ED4247" w:rsidTr="00C41450">
        <w:tc>
          <w:tcPr>
            <w:tcW w:w="5000" w:type="pct"/>
            <w:gridSpan w:val="4"/>
          </w:tcPr>
          <w:p w:rsidR="00C41450" w:rsidRDefault="00FD544E" w:rsidP="00C41450">
            <w:pPr>
              <w:pStyle w:val="SCCLsocParty"/>
              <w:tabs>
                <w:tab w:val="left" w:pos="1540"/>
              </w:tabs>
              <w:jc w:val="both"/>
              <w:rPr>
                <w:sz w:val="20"/>
                <w:szCs w:val="20"/>
              </w:rPr>
            </w:pPr>
            <w:r w:rsidRPr="00752701">
              <w:rPr>
                <w:sz w:val="20"/>
                <w:szCs w:val="20"/>
              </w:rPr>
              <w:t xml:space="preserve">La demande d’autorisation d’appel de l’arrêt de la </w:t>
            </w:r>
            <w:r w:rsidRPr="00752701">
              <w:rPr>
                <w:sz w:val="20"/>
                <w:szCs w:val="20"/>
                <w:lang w:val="fr-FR"/>
              </w:rPr>
              <w:t>Cour d’appel de l’Ontario</w:t>
            </w:r>
            <w:r w:rsidRPr="00752701">
              <w:rPr>
                <w:sz w:val="20"/>
                <w:szCs w:val="20"/>
              </w:rPr>
              <w:t xml:space="preserve">, numéro </w:t>
            </w:r>
            <w:r w:rsidRPr="00752701">
              <w:rPr>
                <w:sz w:val="20"/>
                <w:szCs w:val="20"/>
                <w:lang w:val="fr-FR"/>
              </w:rPr>
              <w:t>M47000, 2017 ONCA 120</w:t>
            </w:r>
            <w:r w:rsidRPr="00752701">
              <w:rPr>
                <w:sz w:val="20"/>
                <w:szCs w:val="20"/>
              </w:rPr>
              <w:t xml:space="preserve">, daté du </w:t>
            </w:r>
            <w:r w:rsidRPr="00752701">
              <w:rPr>
                <w:sz w:val="20"/>
                <w:szCs w:val="20"/>
                <w:lang w:val="fr-FR"/>
              </w:rPr>
              <w:t>7 février 2017</w:t>
            </w:r>
            <w:r w:rsidRPr="00752701">
              <w:rPr>
                <w:sz w:val="20"/>
                <w:szCs w:val="20"/>
              </w:rPr>
              <w:t>, est rejetée avec dépens.</w:t>
            </w:r>
          </w:p>
          <w:p w:rsidR="00FD544E" w:rsidRPr="00FD544E" w:rsidRDefault="00FD544E" w:rsidP="00FD544E">
            <w:pPr>
              <w:rPr>
                <w:lang w:val="fr-CA"/>
              </w:rPr>
            </w:pPr>
          </w:p>
        </w:tc>
      </w:tr>
      <w:tr w:rsidR="00A268D3" w:rsidRPr="00ED4247" w:rsidTr="00A268D3">
        <w:tc>
          <w:tcPr>
            <w:tcW w:w="5000" w:type="pct"/>
            <w:gridSpan w:val="4"/>
          </w:tcPr>
          <w:p w:rsidR="00A268D3" w:rsidRPr="002F3871" w:rsidRDefault="00A268D3" w:rsidP="00A268D3">
            <w:pPr>
              <w:jc w:val="both"/>
              <w:rPr>
                <w:sz w:val="20"/>
                <w:lang w:val="fr-CA"/>
              </w:rPr>
            </w:pPr>
            <w:r w:rsidRPr="002F3871">
              <w:rPr>
                <w:sz w:val="20"/>
                <w:lang w:val="fr-CA"/>
              </w:rPr>
              <w:t>Procédure civile – Abus de procédure – Prorogation de délai – La demande d’autorisation d’appel soulève-t-elle une question d’importance nationale?</w:t>
            </w:r>
          </w:p>
        </w:tc>
      </w:tr>
      <w:tr w:rsidR="00A268D3" w:rsidRPr="00ED4247" w:rsidTr="00A268D3">
        <w:tc>
          <w:tcPr>
            <w:tcW w:w="5000" w:type="pct"/>
            <w:gridSpan w:val="4"/>
          </w:tcPr>
          <w:p w:rsidR="00A268D3" w:rsidRPr="002F3871" w:rsidRDefault="00A268D3" w:rsidP="00A268D3">
            <w:pPr>
              <w:jc w:val="both"/>
              <w:rPr>
                <w:sz w:val="20"/>
                <w:lang w:val="fr-CA"/>
              </w:rPr>
            </w:pPr>
          </w:p>
          <w:p w:rsidR="00A268D3" w:rsidRPr="002F3871" w:rsidRDefault="00A268D3" w:rsidP="00A268D3">
            <w:pPr>
              <w:jc w:val="both"/>
              <w:rPr>
                <w:sz w:val="20"/>
                <w:lang w:val="fr-CA"/>
              </w:rPr>
            </w:pPr>
            <w:r w:rsidRPr="002F3871">
              <w:rPr>
                <w:sz w:val="20"/>
                <w:lang w:val="fr-CA"/>
              </w:rPr>
              <w:t>La présente demande concerne les droits des parties relativement à un contrat de coentreprise d’exploration pétrolière et de production pétrolière subséquente en Égypte. Les demandeurs ont intenté un certain nombre d’actions relativement au contrat de coentreprise devant les tribunaux de la Colombie-Britannique, lesquelles ont toutes été rejetées. Dans une instance connexe devant des tribunaux de la Colombie-Britannique, les intimés ont obtenu des dommages-intérêts pour diffamation et entrave à des relations contractuelles.</w:t>
            </w:r>
          </w:p>
        </w:tc>
      </w:tr>
      <w:tr w:rsidR="00A268D3" w:rsidRPr="00ED4247" w:rsidTr="00A268D3">
        <w:tc>
          <w:tcPr>
            <w:tcW w:w="5000" w:type="pct"/>
            <w:gridSpan w:val="4"/>
          </w:tcPr>
          <w:p w:rsidR="00A268D3" w:rsidRPr="002F3871" w:rsidRDefault="00A268D3" w:rsidP="00A268D3">
            <w:pPr>
              <w:jc w:val="both"/>
              <w:rPr>
                <w:sz w:val="20"/>
                <w:lang w:val="fr-CA"/>
              </w:rPr>
            </w:pPr>
          </w:p>
        </w:tc>
      </w:tr>
      <w:tr w:rsidR="00A268D3" w:rsidRPr="00ED4247" w:rsidTr="00A268D3">
        <w:tc>
          <w:tcPr>
            <w:tcW w:w="2427" w:type="pct"/>
            <w:gridSpan w:val="2"/>
          </w:tcPr>
          <w:p w:rsidR="00A268D3" w:rsidRPr="002F3871" w:rsidRDefault="00A268D3" w:rsidP="00A268D3">
            <w:pPr>
              <w:jc w:val="both"/>
              <w:rPr>
                <w:sz w:val="20"/>
                <w:lang w:val="fr-CA"/>
              </w:rPr>
            </w:pPr>
            <w:r w:rsidRPr="002F3871">
              <w:rPr>
                <w:sz w:val="20"/>
                <w:lang w:val="fr-CA"/>
              </w:rPr>
              <w:t>31 mars 2016</w:t>
            </w:r>
          </w:p>
          <w:p w:rsidR="00A268D3" w:rsidRPr="002F3871" w:rsidRDefault="00A268D3" w:rsidP="00A268D3">
            <w:pPr>
              <w:jc w:val="both"/>
              <w:rPr>
                <w:sz w:val="20"/>
                <w:lang w:val="fr-CA"/>
              </w:rPr>
            </w:pPr>
            <w:r w:rsidRPr="002F3871">
              <w:rPr>
                <w:sz w:val="20"/>
                <w:lang w:val="fr-CA"/>
              </w:rPr>
              <w:t xml:space="preserve">Cour supérieure de justice de l’Ontario </w:t>
            </w:r>
          </w:p>
          <w:p w:rsidR="00A268D3" w:rsidRPr="002F3871" w:rsidRDefault="00A268D3" w:rsidP="00A268D3">
            <w:pPr>
              <w:jc w:val="both"/>
              <w:rPr>
                <w:sz w:val="20"/>
                <w:lang w:val="fr-CA"/>
              </w:rPr>
            </w:pPr>
            <w:r w:rsidRPr="002F3871">
              <w:rPr>
                <w:sz w:val="20"/>
                <w:lang w:val="fr-CA"/>
              </w:rPr>
              <w:t>(Juge Conway)</w:t>
            </w:r>
          </w:p>
          <w:p w:rsidR="00A268D3" w:rsidRPr="002F3871" w:rsidRDefault="00A268D3" w:rsidP="00A268D3">
            <w:pPr>
              <w:jc w:val="both"/>
              <w:rPr>
                <w:sz w:val="20"/>
                <w:lang w:val="fr-CA"/>
              </w:rPr>
            </w:pPr>
            <w:r w:rsidRPr="002F3871">
              <w:rPr>
                <w:sz w:val="20"/>
                <w:lang w:val="fr-CA"/>
              </w:rPr>
              <w:t>N</w:t>
            </w:r>
            <w:r w:rsidRPr="002F3871">
              <w:rPr>
                <w:sz w:val="20"/>
                <w:vertAlign w:val="superscript"/>
                <w:lang w:val="fr-CA"/>
              </w:rPr>
              <w:t>o</w:t>
            </w:r>
            <w:r w:rsidRPr="002F3871">
              <w:rPr>
                <w:sz w:val="20"/>
                <w:lang w:val="fr-CA"/>
              </w:rPr>
              <w:t xml:space="preserve"> CV 15-11114-00CL</w:t>
            </w:r>
          </w:p>
          <w:p w:rsidR="00A268D3" w:rsidRPr="002F3871" w:rsidRDefault="00A268D3" w:rsidP="00A268D3">
            <w:pPr>
              <w:jc w:val="both"/>
              <w:rPr>
                <w:sz w:val="20"/>
                <w:lang w:val="fr-CA"/>
              </w:rPr>
            </w:pPr>
          </w:p>
        </w:tc>
        <w:tc>
          <w:tcPr>
            <w:tcW w:w="243" w:type="pct"/>
          </w:tcPr>
          <w:p w:rsidR="00A268D3" w:rsidRPr="002F3871" w:rsidRDefault="00A268D3" w:rsidP="00A268D3">
            <w:pPr>
              <w:jc w:val="both"/>
              <w:rPr>
                <w:sz w:val="20"/>
                <w:lang w:val="fr-CA"/>
              </w:rPr>
            </w:pPr>
          </w:p>
        </w:tc>
        <w:tc>
          <w:tcPr>
            <w:tcW w:w="2330" w:type="pct"/>
          </w:tcPr>
          <w:p w:rsidR="00A268D3" w:rsidRPr="002F3871" w:rsidRDefault="00A268D3" w:rsidP="00A268D3">
            <w:pPr>
              <w:jc w:val="both"/>
              <w:rPr>
                <w:sz w:val="20"/>
                <w:lang w:val="fr-CA"/>
              </w:rPr>
            </w:pPr>
            <w:r w:rsidRPr="002F3871">
              <w:rPr>
                <w:sz w:val="20"/>
                <w:lang w:val="fr-CA"/>
              </w:rPr>
              <w:t>Rejet de la demande des demandeurs.</w:t>
            </w:r>
          </w:p>
          <w:p w:rsidR="00A268D3" w:rsidRPr="002F3871" w:rsidRDefault="00A268D3" w:rsidP="00A268D3">
            <w:pPr>
              <w:jc w:val="both"/>
              <w:rPr>
                <w:sz w:val="20"/>
                <w:lang w:val="fr-CA"/>
              </w:rPr>
            </w:pPr>
          </w:p>
        </w:tc>
      </w:tr>
      <w:tr w:rsidR="00A268D3" w:rsidRPr="00ED4247" w:rsidTr="00A268D3">
        <w:tc>
          <w:tcPr>
            <w:tcW w:w="2427" w:type="pct"/>
            <w:gridSpan w:val="2"/>
          </w:tcPr>
          <w:p w:rsidR="00A268D3" w:rsidRPr="002F3871" w:rsidRDefault="00A268D3" w:rsidP="00A268D3">
            <w:pPr>
              <w:jc w:val="both"/>
              <w:rPr>
                <w:sz w:val="20"/>
                <w:lang w:val="fr-CA"/>
              </w:rPr>
            </w:pPr>
            <w:r w:rsidRPr="002F3871">
              <w:rPr>
                <w:sz w:val="20"/>
                <w:lang w:val="fr-CA"/>
              </w:rPr>
              <w:t>14 juillet 2016</w:t>
            </w:r>
          </w:p>
          <w:p w:rsidR="00A268D3" w:rsidRPr="002F3871" w:rsidRDefault="00A268D3" w:rsidP="00A268D3">
            <w:pPr>
              <w:jc w:val="both"/>
              <w:rPr>
                <w:sz w:val="20"/>
                <w:lang w:val="fr-CA"/>
              </w:rPr>
            </w:pPr>
            <w:r w:rsidRPr="002F3871">
              <w:rPr>
                <w:sz w:val="20"/>
                <w:lang w:val="fr-CA"/>
              </w:rPr>
              <w:t xml:space="preserve">Cour supérieure de justice de l’Ontario </w:t>
            </w:r>
          </w:p>
          <w:p w:rsidR="00A268D3" w:rsidRPr="002F3871" w:rsidRDefault="00A268D3" w:rsidP="00A268D3">
            <w:pPr>
              <w:jc w:val="both"/>
              <w:rPr>
                <w:sz w:val="20"/>
              </w:rPr>
            </w:pPr>
            <w:r w:rsidRPr="002F3871">
              <w:rPr>
                <w:sz w:val="20"/>
              </w:rPr>
              <w:t>(Juge Stewart)</w:t>
            </w:r>
          </w:p>
          <w:p w:rsidR="00A268D3" w:rsidRPr="002F3871" w:rsidRDefault="00A268D3" w:rsidP="00A268D3">
            <w:pPr>
              <w:jc w:val="both"/>
              <w:rPr>
                <w:sz w:val="20"/>
              </w:rPr>
            </w:pPr>
            <w:r w:rsidRPr="002F3871">
              <w:rPr>
                <w:sz w:val="20"/>
              </w:rPr>
              <w:t>N</w:t>
            </w:r>
            <w:r w:rsidRPr="002F3871">
              <w:rPr>
                <w:sz w:val="20"/>
                <w:vertAlign w:val="superscript"/>
              </w:rPr>
              <w:t>o</w:t>
            </w:r>
            <w:r w:rsidRPr="002F3871">
              <w:rPr>
                <w:sz w:val="20"/>
              </w:rPr>
              <w:t xml:space="preserve"> DC-16-227</w:t>
            </w:r>
          </w:p>
          <w:p w:rsidR="00A268D3" w:rsidRPr="002F3871" w:rsidRDefault="00ED4247" w:rsidP="00A268D3">
            <w:pPr>
              <w:jc w:val="both"/>
              <w:rPr>
                <w:rStyle w:val="Hyperlink"/>
                <w:sz w:val="20"/>
              </w:rPr>
            </w:pPr>
            <w:hyperlink r:id="rId66" w:history="1">
              <w:r w:rsidR="00A268D3" w:rsidRPr="002F3871">
                <w:rPr>
                  <w:rStyle w:val="Hyperlink"/>
                  <w:sz w:val="20"/>
                </w:rPr>
                <w:t>2016 ONSC 4097</w:t>
              </w:r>
            </w:hyperlink>
          </w:p>
          <w:p w:rsidR="00A268D3" w:rsidRPr="002F3871" w:rsidRDefault="00A268D3" w:rsidP="00A268D3">
            <w:pPr>
              <w:jc w:val="both"/>
              <w:rPr>
                <w:sz w:val="20"/>
              </w:rPr>
            </w:pPr>
          </w:p>
        </w:tc>
        <w:tc>
          <w:tcPr>
            <w:tcW w:w="243" w:type="pct"/>
          </w:tcPr>
          <w:p w:rsidR="00A268D3" w:rsidRPr="002F3871" w:rsidRDefault="00A268D3" w:rsidP="00A268D3">
            <w:pPr>
              <w:jc w:val="both"/>
              <w:rPr>
                <w:sz w:val="20"/>
              </w:rPr>
            </w:pPr>
          </w:p>
        </w:tc>
        <w:tc>
          <w:tcPr>
            <w:tcW w:w="2330" w:type="pct"/>
          </w:tcPr>
          <w:p w:rsidR="00A268D3" w:rsidRPr="002F3871" w:rsidRDefault="00A268D3" w:rsidP="00A268D3">
            <w:pPr>
              <w:jc w:val="both"/>
              <w:rPr>
                <w:sz w:val="20"/>
                <w:lang w:val="fr-CA"/>
              </w:rPr>
            </w:pPr>
            <w:r w:rsidRPr="002F3871">
              <w:rPr>
                <w:sz w:val="20"/>
                <w:lang w:val="fr-CA"/>
              </w:rPr>
              <w:t>Annulation de l’appel de l’ordonnance de rejet interjeté par les demandeurs.</w:t>
            </w:r>
          </w:p>
          <w:p w:rsidR="00A268D3" w:rsidRPr="002F3871" w:rsidRDefault="00A268D3" w:rsidP="00A268D3">
            <w:pPr>
              <w:jc w:val="both"/>
              <w:rPr>
                <w:sz w:val="20"/>
                <w:lang w:val="fr-CA"/>
              </w:rPr>
            </w:pPr>
          </w:p>
        </w:tc>
      </w:tr>
      <w:tr w:rsidR="00A268D3" w:rsidRPr="00ED4247" w:rsidTr="00A268D3">
        <w:tc>
          <w:tcPr>
            <w:tcW w:w="2427" w:type="pct"/>
            <w:gridSpan w:val="2"/>
          </w:tcPr>
          <w:p w:rsidR="00A268D3" w:rsidRPr="002F3871" w:rsidRDefault="00A268D3" w:rsidP="00A268D3">
            <w:pPr>
              <w:jc w:val="both"/>
              <w:rPr>
                <w:sz w:val="20"/>
                <w:lang w:val="fr-CA"/>
              </w:rPr>
            </w:pPr>
            <w:r w:rsidRPr="002F3871">
              <w:rPr>
                <w:sz w:val="20"/>
                <w:lang w:val="fr-CA"/>
              </w:rPr>
              <w:t>14 septembre 2016</w:t>
            </w:r>
          </w:p>
          <w:p w:rsidR="00A268D3" w:rsidRPr="002F3871" w:rsidRDefault="00A268D3" w:rsidP="00A268D3">
            <w:pPr>
              <w:jc w:val="both"/>
              <w:rPr>
                <w:sz w:val="20"/>
                <w:lang w:val="fr-CA"/>
              </w:rPr>
            </w:pPr>
            <w:r w:rsidRPr="002F3871">
              <w:rPr>
                <w:sz w:val="20"/>
                <w:lang w:val="fr-CA"/>
              </w:rPr>
              <w:t xml:space="preserve">Cour d’appel de l’Ontario </w:t>
            </w:r>
          </w:p>
          <w:p w:rsidR="00A268D3" w:rsidRPr="002F3871" w:rsidRDefault="00A268D3" w:rsidP="00A268D3">
            <w:pPr>
              <w:jc w:val="both"/>
              <w:rPr>
                <w:sz w:val="20"/>
                <w:lang w:val="fr-CA"/>
              </w:rPr>
            </w:pPr>
            <w:r w:rsidRPr="002F3871">
              <w:rPr>
                <w:sz w:val="20"/>
                <w:lang w:val="fr-CA"/>
              </w:rPr>
              <w:t>(Juge MacFarland)</w:t>
            </w:r>
          </w:p>
          <w:p w:rsidR="00A268D3" w:rsidRPr="002F3871" w:rsidRDefault="00A268D3" w:rsidP="00A268D3">
            <w:pPr>
              <w:jc w:val="both"/>
              <w:rPr>
                <w:sz w:val="20"/>
                <w:lang w:val="fr-CA"/>
              </w:rPr>
            </w:pPr>
            <w:r w:rsidRPr="002F3871">
              <w:rPr>
                <w:sz w:val="20"/>
                <w:lang w:val="fr-CA"/>
              </w:rPr>
              <w:t>N</w:t>
            </w:r>
            <w:r w:rsidRPr="002F3871">
              <w:rPr>
                <w:sz w:val="20"/>
                <w:vertAlign w:val="superscript"/>
                <w:lang w:val="fr-CA"/>
              </w:rPr>
              <w:t>o</w:t>
            </w:r>
            <w:r w:rsidRPr="002F3871">
              <w:rPr>
                <w:sz w:val="20"/>
                <w:lang w:val="fr-CA"/>
              </w:rPr>
              <w:t xml:space="preserve"> M46847</w:t>
            </w:r>
          </w:p>
          <w:p w:rsidR="00A268D3" w:rsidRPr="002F3871" w:rsidRDefault="00A268D3" w:rsidP="00A268D3">
            <w:pPr>
              <w:jc w:val="both"/>
              <w:rPr>
                <w:sz w:val="20"/>
                <w:lang w:val="fr-CA"/>
              </w:rPr>
            </w:pPr>
          </w:p>
        </w:tc>
        <w:tc>
          <w:tcPr>
            <w:tcW w:w="243" w:type="pct"/>
          </w:tcPr>
          <w:p w:rsidR="00A268D3" w:rsidRPr="002F3871" w:rsidRDefault="00A268D3" w:rsidP="00A268D3">
            <w:pPr>
              <w:jc w:val="both"/>
              <w:rPr>
                <w:sz w:val="20"/>
                <w:lang w:val="fr-CA"/>
              </w:rPr>
            </w:pPr>
          </w:p>
        </w:tc>
        <w:tc>
          <w:tcPr>
            <w:tcW w:w="2330" w:type="pct"/>
          </w:tcPr>
          <w:p w:rsidR="00A268D3" w:rsidRPr="002F3871" w:rsidRDefault="00A268D3" w:rsidP="00A268D3">
            <w:pPr>
              <w:jc w:val="both"/>
              <w:rPr>
                <w:sz w:val="20"/>
                <w:lang w:val="fr-CA"/>
              </w:rPr>
            </w:pPr>
            <w:r w:rsidRPr="002F3871">
              <w:rPr>
                <w:sz w:val="20"/>
                <w:lang w:val="fr-CA"/>
              </w:rPr>
              <w:t>Rejet de la demande des demandeurs en prorogation du délai d’appel.</w:t>
            </w:r>
          </w:p>
          <w:p w:rsidR="00A268D3" w:rsidRPr="002F3871" w:rsidRDefault="00A268D3" w:rsidP="00A268D3">
            <w:pPr>
              <w:jc w:val="both"/>
              <w:rPr>
                <w:sz w:val="20"/>
                <w:lang w:val="fr-CA"/>
              </w:rPr>
            </w:pPr>
          </w:p>
        </w:tc>
      </w:tr>
      <w:tr w:rsidR="00A268D3" w:rsidRPr="00ED4247" w:rsidTr="00A268D3">
        <w:tc>
          <w:tcPr>
            <w:tcW w:w="2427" w:type="pct"/>
            <w:gridSpan w:val="2"/>
          </w:tcPr>
          <w:p w:rsidR="00A268D3" w:rsidRPr="002F3871" w:rsidRDefault="00A268D3" w:rsidP="00A268D3">
            <w:pPr>
              <w:jc w:val="both"/>
              <w:rPr>
                <w:sz w:val="20"/>
                <w:lang w:val="fr-CA"/>
              </w:rPr>
            </w:pPr>
            <w:r w:rsidRPr="002F3871">
              <w:rPr>
                <w:sz w:val="20"/>
                <w:lang w:val="fr-CA"/>
              </w:rPr>
              <w:t>7 février 2017</w:t>
            </w:r>
          </w:p>
          <w:p w:rsidR="00A268D3" w:rsidRPr="002F3871" w:rsidRDefault="00A268D3" w:rsidP="00A268D3">
            <w:pPr>
              <w:jc w:val="both"/>
              <w:rPr>
                <w:sz w:val="20"/>
                <w:lang w:val="fr-CA"/>
              </w:rPr>
            </w:pPr>
            <w:r w:rsidRPr="002F3871">
              <w:rPr>
                <w:sz w:val="20"/>
                <w:lang w:val="fr-CA"/>
              </w:rPr>
              <w:t xml:space="preserve">Cour d’appel de l’Ontario </w:t>
            </w:r>
          </w:p>
          <w:p w:rsidR="00A268D3" w:rsidRPr="002F3871" w:rsidRDefault="00A268D3" w:rsidP="00A268D3">
            <w:pPr>
              <w:jc w:val="both"/>
              <w:rPr>
                <w:sz w:val="20"/>
                <w:lang w:val="fr-CA"/>
              </w:rPr>
            </w:pPr>
            <w:r w:rsidRPr="002F3871">
              <w:rPr>
                <w:sz w:val="20"/>
                <w:lang w:val="fr-CA"/>
              </w:rPr>
              <w:t>(Juges Simmons, Lauwers et Hourigan)</w:t>
            </w:r>
          </w:p>
          <w:p w:rsidR="00A268D3" w:rsidRPr="002F3871" w:rsidRDefault="00A268D3" w:rsidP="00A268D3">
            <w:pPr>
              <w:jc w:val="both"/>
              <w:rPr>
                <w:sz w:val="20"/>
                <w:lang w:val="fr-CA"/>
              </w:rPr>
            </w:pPr>
            <w:r w:rsidRPr="002F3871">
              <w:rPr>
                <w:sz w:val="20"/>
                <w:lang w:val="fr-CA"/>
              </w:rPr>
              <w:t>N</w:t>
            </w:r>
            <w:r w:rsidRPr="002F3871">
              <w:rPr>
                <w:sz w:val="20"/>
                <w:vertAlign w:val="superscript"/>
                <w:lang w:val="fr-CA"/>
              </w:rPr>
              <w:t>o</w:t>
            </w:r>
            <w:r w:rsidRPr="002F3871">
              <w:rPr>
                <w:sz w:val="20"/>
                <w:lang w:val="fr-CA"/>
              </w:rPr>
              <w:t xml:space="preserve"> M47000</w:t>
            </w:r>
          </w:p>
          <w:p w:rsidR="00A268D3" w:rsidRPr="002F3871" w:rsidRDefault="00ED4247" w:rsidP="00A268D3">
            <w:pPr>
              <w:jc w:val="both"/>
              <w:rPr>
                <w:rStyle w:val="Hyperlink"/>
                <w:sz w:val="20"/>
                <w:lang w:val="fr-CA"/>
              </w:rPr>
            </w:pPr>
            <w:hyperlink r:id="rId67" w:history="1">
              <w:r w:rsidR="00A268D3" w:rsidRPr="002F3871">
                <w:rPr>
                  <w:rStyle w:val="Hyperlink"/>
                  <w:sz w:val="20"/>
                  <w:lang w:val="fr-CA"/>
                </w:rPr>
                <w:t>2017 ONCA 120</w:t>
              </w:r>
            </w:hyperlink>
          </w:p>
          <w:p w:rsidR="00A268D3" w:rsidRPr="002F3871" w:rsidRDefault="00A268D3" w:rsidP="00A268D3">
            <w:pPr>
              <w:jc w:val="both"/>
              <w:rPr>
                <w:sz w:val="20"/>
                <w:lang w:val="fr-CA"/>
              </w:rPr>
            </w:pPr>
          </w:p>
        </w:tc>
        <w:tc>
          <w:tcPr>
            <w:tcW w:w="243" w:type="pct"/>
          </w:tcPr>
          <w:p w:rsidR="00A268D3" w:rsidRPr="002F3871" w:rsidRDefault="00A268D3" w:rsidP="00A268D3">
            <w:pPr>
              <w:jc w:val="both"/>
              <w:rPr>
                <w:sz w:val="20"/>
                <w:lang w:val="fr-CA"/>
              </w:rPr>
            </w:pPr>
          </w:p>
        </w:tc>
        <w:tc>
          <w:tcPr>
            <w:tcW w:w="2330" w:type="pct"/>
          </w:tcPr>
          <w:p w:rsidR="00A268D3" w:rsidRPr="002F3871" w:rsidRDefault="00A268D3" w:rsidP="00A268D3">
            <w:pPr>
              <w:jc w:val="both"/>
              <w:rPr>
                <w:sz w:val="20"/>
                <w:lang w:val="fr-CA"/>
              </w:rPr>
            </w:pPr>
            <w:r w:rsidRPr="002F3871">
              <w:rPr>
                <w:sz w:val="20"/>
                <w:lang w:val="fr-CA"/>
              </w:rPr>
              <w:t>Rejet de la motion en révision des demandeurs.</w:t>
            </w:r>
          </w:p>
          <w:p w:rsidR="00A268D3" w:rsidRPr="002F3871" w:rsidRDefault="00A268D3" w:rsidP="00A268D3">
            <w:pPr>
              <w:jc w:val="both"/>
              <w:rPr>
                <w:sz w:val="20"/>
                <w:lang w:val="fr-CA"/>
              </w:rPr>
            </w:pPr>
          </w:p>
        </w:tc>
      </w:tr>
      <w:tr w:rsidR="00A268D3" w:rsidRPr="00ED4247" w:rsidTr="00A268D3">
        <w:tc>
          <w:tcPr>
            <w:tcW w:w="2427" w:type="pct"/>
            <w:gridSpan w:val="2"/>
          </w:tcPr>
          <w:p w:rsidR="00A268D3" w:rsidRPr="002F3871" w:rsidRDefault="00A268D3" w:rsidP="00A268D3">
            <w:pPr>
              <w:jc w:val="both"/>
              <w:rPr>
                <w:sz w:val="20"/>
                <w:lang w:val="fr-CA"/>
              </w:rPr>
            </w:pPr>
            <w:r w:rsidRPr="002F3871">
              <w:rPr>
                <w:sz w:val="20"/>
                <w:lang w:val="fr-CA"/>
              </w:rPr>
              <w:t>13 mars 2017</w:t>
            </w:r>
          </w:p>
          <w:p w:rsidR="00A268D3" w:rsidRPr="002F3871" w:rsidRDefault="00A268D3" w:rsidP="00A268D3">
            <w:pPr>
              <w:jc w:val="both"/>
              <w:rPr>
                <w:sz w:val="20"/>
                <w:lang w:val="fr-CA"/>
              </w:rPr>
            </w:pPr>
            <w:r w:rsidRPr="002F3871">
              <w:rPr>
                <w:sz w:val="20"/>
                <w:lang w:val="fr-CA"/>
              </w:rPr>
              <w:t>Cour suprême du Canada</w:t>
            </w:r>
          </w:p>
        </w:tc>
        <w:tc>
          <w:tcPr>
            <w:tcW w:w="243" w:type="pct"/>
          </w:tcPr>
          <w:p w:rsidR="00A268D3" w:rsidRPr="002F3871" w:rsidRDefault="00A268D3" w:rsidP="00A268D3">
            <w:pPr>
              <w:jc w:val="both"/>
              <w:rPr>
                <w:sz w:val="20"/>
                <w:lang w:val="fr-CA"/>
              </w:rPr>
            </w:pPr>
          </w:p>
        </w:tc>
        <w:tc>
          <w:tcPr>
            <w:tcW w:w="2330" w:type="pct"/>
          </w:tcPr>
          <w:p w:rsidR="00A268D3" w:rsidRPr="002F3871" w:rsidRDefault="00A268D3" w:rsidP="00A268D3">
            <w:pPr>
              <w:jc w:val="both"/>
              <w:rPr>
                <w:sz w:val="20"/>
                <w:lang w:val="fr-CA"/>
              </w:rPr>
            </w:pPr>
            <w:r w:rsidRPr="002F3871">
              <w:rPr>
                <w:sz w:val="20"/>
                <w:lang w:val="fr-CA"/>
              </w:rPr>
              <w:t>Dépôt de la demande d’autorisation d’appel.</w:t>
            </w:r>
          </w:p>
        </w:tc>
      </w:tr>
    </w:tbl>
    <w:p w:rsidR="00A268D3" w:rsidRPr="00A268D3" w:rsidRDefault="00A268D3" w:rsidP="00E8544A">
      <w:pPr>
        <w:rPr>
          <w:sz w:val="20"/>
          <w:szCs w:val="20"/>
          <w:lang w:val="fr-CA"/>
        </w:rPr>
      </w:pPr>
    </w:p>
    <w:p w:rsidR="00E8544A" w:rsidRPr="009D287C" w:rsidRDefault="00ED4247" w:rsidP="00E8544A">
      <w:pPr>
        <w:jc w:val="both"/>
        <w:rPr>
          <w:sz w:val="20"/>
          <w:lang w:val="fr-CA"/>
        </w:rPr>
      </w:pPr>
      <w:r>
        <w:rPr>
          <w:sz w:val="20"/>
          <w:szCs w:val="20"/>
        </w:rPr>
        <w:pict>
          <v:rect id="_x0000_i1080" style="width:2in;height:1pt" o:hrpct="0" o:hralign="center" o:hrstd="t" o:hrnoshade="t" o:hr="t" fillcolor="black" stroked="f"/>
        </w:pict>
      </w:r>
    </w:p>
    <w:p w:rsidR="00E8544A" w:rsidRPr="009D287C" w:rsidRDefault="00E8544A" w:rsidP="00E8544A">
      <w:pPr>
        <w:ind w:left="360" w:hanging="360"/>
        <w:jc w:val="both"/>
        <w:rPr>
          <w:sz w:val="20"/>
          <w:lang w:val="fr-CA" w:eastAsia="en-CA"/>
        </w:rPr>
      </w:pPr>
    </w:p>
    <w:p w:rsidR="00E8544A" w:rsidRDefault="00E8544A" w:rsidP="000E2959">
      <w:pPr>
        <w:rPr>
          <w:sz w:val="20"/>
          <w:szCs w:val="20"/>
        </w:rPr>
      </w:pPr>
    </w:p>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68"/>
          <w:headerReference w:type="default" r:id="rId69"/>
          <w:footerReference w:type="even" r:id="rId70"/>
          <w:footerReference w:type="default" r:id="rId71"/>
          <w:headerReference w:type="first" r:id="rId72"/>
          <w:footerReference w:type="first" r:id="rId73"/>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6EEC" w:rsidRPr="00ED4247"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52229C" w:rsidRPr="00ED4247" w:rsidRDefault="004B7370" w:rsidP="0052229C">
      <w:pPr>
        <w:rPr>
          <w:b/>
          <w:sz w:val="20"/>
          <w:szCs w:val="20"/>
          <w:lang w:val="en-US"/>
        </w:rPr>
      </w:pPr>
      <w:r w:rsidRPr="00ED4247">
        <w:rPr>
          <w:b/>
          <w:sz w:val="20"/>
          <w:szCs w:val="20"/>
          <w:lang w:val="en-US"/>
        </w:rPr>
        <w:t>JUNE 15</w:t>
      </w:r>
      <w:r w:rsidR="0052229C" w:rsidRPr="00ED4247">
        <w:rPr>
          <w:b/>
          <w:sz w:val="20"/>
          <w:szCs w:val="20"/>
          <w:lang w:val="en-US"/>
        </w:rPr>
        <w:t>, 201</w:t>
      </w:r>
      <w:r w:rsidR="0056248C" w:rsidRPr="00ED4247">
        <w:rPr>
          <w:b/>
          <w:sz w:val="20"/>
          <w:szCs w:val="20"/>
          <w:lang w:val="en-US"/>
        </w:rPr>
        <w:t>7</w:t>
      </w:r>
      <w:r w:rsidR="0052229C" w:rsidRPr="00ED4247">
        <w:rPr>
          <w:b/>
          <w:sz w:val="20"/>
          <w:szCs w:val="20"/>
          <w:lang w:val="en-US"/>
        </w:rPr>
        <w:t xml:space="preserve"> / LE 1</w:t>
      </w:r>
      <w:r w:rsidRPr="00ED4247">
        <w:rPr>
          <w:b/>
          <w:sz w:val="20"/>
          <w:szCs w:val="20"/>
          <w:lang w:val="en-US"/>
        </w:rPr>
        <w:t>5</w:t>
      </w:r>
      <w:r w:rsidR="0052229C" w:rsidRPr="00ED4247">
        <w:rPr>
          <w:b/>
          <w:sz w:val="20"/>
          <w:szCs w:val="20"/>
          <w:lang w:val="en-US"/>
        </w:rPr>
        <w:t xml:space="preserve"> J</w:t>
      </w:r>
      <w:r w:rsidRPr="00ED4247">
        <w:rPr>
          <w:b/>
          <w:sz w:val="20"/>
          <w:szCs w:val="20"/>
          <w:lang w:val="en-US"/>
        </w:rPr>
        <w:t>UIN</w:t>
      </w:r>
      <w:r w:rsidR="0052229C" w:rsidRPr="00ED4247">
        <w:rPr>
          <w:b/>
          <w:sz w:val="20"/>
          <w:szCs w:val="20"/>
          <w:lang w:val="en-US"/>
        </w:rPr>
        <w:t xml:space="preserve"> 201</w:t>
      </w:r>
      <w:r w:rsidR="0056248C" w:rsidRPr="00ED4247">
        <w:rPr>
          <w:b/>
          <w:sz w:val="20"/>
          <w:szCs w:val="20"/>
          <w:lang w:val="en-US"/>
        </w:rPr>
        <w:t>7</w:t>
      </w:r>
    </w:p>
    <w:p w:rsidR="0052229C" w:rsidRPr="00ED4247" w:rsidRDefault="0052229C" w:rsidP="0052229C">
      <w:pPr>
        <w:rPr>
          <w:sz w:val="20"/>
          <w:szCs w:val="20"/>
          <w:lang w:val="en-US"/>
        </w:rPr>
      </w:pPr>
    </w:p>
    <w:p w:rsidR="004B7370" w:rsidRDefault="004B7370" w:rsidP="004B7370">
      <w:pPr>
        <w:ind w:left="1440" w:hanging="1440"/>
        <w:jc w:val="both"/>
        <w:rPr>
          <w:sz w:val="20"/>
          <w:szCs w:val="20"/>
        </w:rPr>
      </w:pPr>
      <w:r>
        <w:rPr>
          <w:b/>
          <w:bCs/>
          <w:sz w:val="20"/>
          <w:szCs w:val="20"/>
        </w:rPr>
        <w:t>36636</w:t>
      </w:r>
      <w:r>
        <w:rPr>
          <w:color w:val="FF0000"/>
          <w:sz w:val="20"/>
          <w:szCs w:val="20"/>
        </w:rPr>
        <w:tab/>
      </w:r>
      <w:r>
        <w:rPr>
          <w:b/>
          <w:bCs/>
          <w:sz w:val="20"/>
          <w:szCs w:val="20"/>
          <w:u w:val="single"/>
        </w:rPr>
        <w:t xml:space="preserve">Brent </w:t>
      </w:r>
      <w:proofErr w:type="spellStart"/>
      <w:r>
        <w:rPr>
          <w:b/>
          <w:bCs/>
          <w:sz w:val="20"/>
          <w:szCs w:val="20"/>
          <w:u w:val="single"/>
        </w:rPr>
        <w:t>Bish</w:t>
      </w:r>
      <w:proofErr w:type="spellEnd"/>
      <w:r>
        <w:rPr>
          <w:b/>
          <w:bCs/>
          <w:sz w:val="20"/>
          <w:szCs w:val="20"/>
          <w:u w:val="single"/>
        </w:rPr>
        <w:t xml:space="preserve"> on behalf of Ian Stewart v. Elk Valley Coal Corporation, Cardinal River Operations and Alberta Human Rights Commission (Tribunal) – and – Council of Canadians with Disabilities, Empowerment Council, Construction Owners Association of Alberta, Construction Labour Relations — an Alberta Association, Enform Canada, Electrical Contractors Association of Alberta, Mining Association of Canada, Mining Association of British Columbia, Ontario Mining Association, Northwest Territories and Nunavut Chamber of Mines, Saskatchewan Mining Association, United Nurses of Alberta, Ontario General Contractors Association, Ontario Formwork Association and Greater Toronto Sewer and </w:t>
      </w:r>
      <w:proofErr w:type="spellStart"/>
      <w:r>
        <w:rPr>
          <w:b/>
          <w:bCs/>
          <w:sz w:val="20"/>
          <w:szCs w:val="20"/>
          <w:u w:val="single"/>
        </w:rPr>
        <w:t>Watermain</w:t>
      </w:r>
      <w:proofErr w:type="spellEnd"/>
      <w:r>
        <w:rPr>
          <w:b/>
          <w:bCs/>
          <w:sz w:val="20"/>
          <w:szCs w:val="20"/>
          <w:u w:val="single"/>
        </w:rPr>
        <w:t xml:space="preserve"> Contractors Association</w:t>
      </w:r>
      <w:r>
        <w:rPr>
          <w:sz w:val="20"/>
          <w:szCs w:val="20"/>
        </w:rPr>
        <w:t xml:space="preserve"> (Alta.) </w:t>
      </w:r>
    </w:p>
    <w:p w:rsidR="004B7370" w:rsidRDefault="004B7370" w:rsidP="004B7370">
      <w:pPr>
        <w:ind w:left="1440"/>
        <w:jc w:val="both"/>
        <w:rPr>
          <w:sz w:val="20"/>
          <w:szCs w:val="20"/>
        </w:rPr>
      </w:pPr>
      <w:r>
        <w:rPr>
          <w:b/>
          <w:bCs/>
          <w:sz w:val="20"/>
          <w:szCs w:val="20"/>
        </w:rPr>
        <w:t>2017 SCC 30 / 2017 CSC 30</w:t>
      </w:r>
    </w:p>
    <w:p w:rsidR="004B7370" w:rsidRDefault="004B7370" w:rsidP="004B7370">
      <w:pPr>
        <w:jc w:val="both"/>
        <w:rPr>
          <w:sz w:val="20"/>
          <w:szCs w:val="20"/>
        </w:rPr>
      </w:pPr>
    </w:p>
    <w:p w:rsidR="004B7370" w:rsidRDefault="004B7370" w:rsidP="004B7370">
      <w:pPr>
        <w:ind w:left="1440" w:hanging="1440"/>
        <w:rPr>
          <w:sz w:val="20"/>
          <w:szCs w:val="20"/>
        </w:rPr>
      </w:pPr>
      <w:r>
        <w:rPr>
          <w:sz w:val="20"/>
          <w:szCs w:val="20"/>
        </w:rPr>
        <w:t>Coram:</w:t>
      </w:r>
      <w:r>
        <w:rPr>
          <w:sz w:val="20"/>
          <w:szCs w:val="20"/>
        </w:rPr>
        <w:tab/>
      </w:r>
      <w:proofErr w:type="spellStart"/>
      <w:r>
        <w:rPr>
          <w:sz w:val="20"/>
          <w:szCs w:val="20"/>
          <w:u w:val="single"/>
        </w:rPr>
        <w:t>McLachlin</w:t>
      </w:r>
      <w:proofErr w:type="spellEnd"/>
      <w:r>
        <w:rPr>
          <w:sz w:val="20"/>
          <w:szCs w:val="20"/>
          <w:u w:val="single"/>
        </w:rPr>
        <w:t xml:space="preserve"> C.J. and </w:t>
      </w:r>
      <w:proofErr w:type="spellStart"/>
      <w:r>
        <w:rPr>
          <w:sz w:val="20"/>
          <w:szCs w:val="20"/>
          <w:u w:val="single"/>
        </w:rPr>
        <w:t>Abella</w:t>
      </w:r>
      <w:proofErr w:type="spellEnd"/>
      <w:r>
        <w:rPr>
          <w:sz w:val="20"/>
          <w:szCs w:val="20"/>
          <w:u w:val="single"/>
        </w:rPr>
        <w:t xml:space="preserve">, </w:t>
      </w:r>
      <w:proofErr w:type="spellStart"/>
      <w:r>
        <w:rPr>
          <w:sz w:val="20"/>
          <w:szCs w:val="20"/>
          <w:u w:val="single"/>
        </w:rPr>
        <w:t>Moldaver</w:t>
      </w:r>
      <w:proofErr w:type="spellEnd"/>
      <w:r>
        <w:rPr>
          <w:sz w:val="20"/>
          <w:szCs w:val="20"/>
          <w:u w:val="single"/>
        </w:rPr>
        <w:t xml:space="preserve">, </w:t>
      </w:r>
      <w:proofErr w:type="spellStart"/>
      <w:r>
        <w:rPr>
          <w:sz w:val="20"/>
          <w:szCs w:val="20"/>
          <w:u w:val="single"/>
        </w:rPr>
        <w:t>Karakatsanis</w:t>
      </w:r>
      <w:proofErr w:type="spellEnd"/>
      <w:r>
        <w:rPr>
          <w:sz w:val="20"/>
          <w:szCs w:val="20"/>
          <w:u w:val="single"/>
        </w:rPr>
        <w:t xml:space="preserve">, Wagner, </w:t>
      </w:r>
      <w:proofErr w:type="spellStart"/>
      <w:r>
        <w:rPr>
          <w:sz w:val="20"/>
          <w:szCs w:val="20"/>
          <w:u w:val="single"/>
        </w:rPr>
        <w:t>Gascon</w:t>
      </w:r>
      <w:proofErr w:type="spellEnd"/>
      <w:r>
        <w:rPr>
          <w:sz w:val="20"/>
          <w:szCs w:val="20"/>
          <w:u w:val="single"/>
        </w:rPr>
        <w:t xml:space="preserve">, </w:t>
      </w:r>
      <w:proofErr w:type="spellStart"/>
      <w:r>
        <w:rPr>
          <w:sz w:val="20"/>
          <w:szCs w:val="20"/>
          <w:u w:val="single"/>
        </w:rPr>
        <w:t>Côté</w:t>
      </w:r>
      <w:proofErr w:type="spellEnd"/>
      <w:r>
        <w:rPr>
          <w:sz w:val="20"/>
          <w:szCs w:val="20"/>
          <w:u w:val="single"/>
        </w:rPr>
        <w:t>, Brown and Rowe JJ.</w:t>
      </w:r>
    </w:p>
    <w:p w:rsidR="004B7370" w:rsidRDefault="004B7370" w:rsidP="004B7370">
      <w:pPr>
        <w:ind w:left="1440" w:hanging="1440"/>
        <w:rPr>
          <w:sz w:val="20"/>
          <w:szCs w:val="20"/>
        </w:rPr>
      </w:pPr>
    </w:p>
    <w:p w:rsidR="004B7370" w:rsidRDefault="004B7370" w:rsidP="004B7370">
      <w:pPr>
        <w:jc w:val="both"/>
        <w:rPr>
          <w:sz w:val="20"/>
          <w:szCs w:val="20"/>
          <w:lang w:val="fr-CA"/>
        </w:rPr>
      </w:pPr>
      <w:r>
        <w:rPr>
          <w:sz w:val="20"/>
          <w:szCs w:val="20"/>
        </w:rPr>
        <w:t xml:space="preserve">The appeal from the judgment of the Court of Appeal of Alberta (Edmonton), Number 1403-0001-AC, 2015 ABCA 225, dated June 30, 2015, heard on December 9, 2016, is dismissed with costs to Elk Valley Coal Corporation, Cardinal River Operations. </w:t>
      </w:r>
      <w:r>
        <w:rPr>
          <w:sz w:val="20"/>
          <w:szCs w:val="20"/>
          <w:lang w:val="fr-CA"/>
        </w:rPr>
        <w:t xml:space="preserve">Gascon J. </w:t>
      </w:r>
      <w:proofErr w:type="spellStart"/>
      <w:r>
        <w:rPr>
          <w:sz w:val="20"/>
          <w:szCs w:val="20"/>
          <w:lang w:val="fr-CA"/>
        </w:rPr>
        <w:t>dissents</w:t>
      </w:r>
      <w:proofErr w:type="spellEnd"/>
      <w:r>
        <w:rPr>
          <w:sz w:val="20"/>
          <w:szCs w:val="20"/>
          <w:lang w:val="fr-CA"/>
        </w:rPr>
        <w:t>.</w:t>
      </w:r>
    </w:p>
    <w:p w:rsidR="004B7370" w:rsidRDefault="004B7370" w:rsidP="004B7370">
      <w:pPr>
        <w:jc w:val="both"/>
        <w:rPr>
          <w:sz w:val="20"/>
          <w:szCs w:val="20"/>
          <w:lang w:val="fr-CA"/>
        </w:rPr>
      </w:pPr>
    </w:p>
    <w:p w:rsidR="004B7370" w:rsidRDefault="004B7370" w:rsidP="004B7370">
      <w:pPr>
        <w:jc w:val="both"/>
        <w:rPr>
          <w:sz w:val="20"/>
          <w:szCs w:val="20"/>
          <w:lang w:val="fr-CA"/>
        </w:rPr>
      </w:pPr>
      <w:r>
        <w:rPr>
          <w:sz w:val="20"/>
          <w:szCs w:val="20"/>
          <w:lang w:val="fr-CA"/>
        </w:rPr>
        <w:t>L’appel interjeté contre l’arrêt de la Cour d’appel de l’Alberta (Edmonton), numéro 1403-0001-AC, 2015 ABCA 225, daté du 30 juin 2015, entendu le 9 décembre 2016, est rejeté avec dépens en faveur d’</w:t>
      </w:r>
      <w:proofErr w:type="spellStart"/>
      <w:r>
        <w:rPr>
          <w:sz w:val="20"/>
          <w:szCs w:val="20"/>
          <w:lang w:val="fr-CA"/>
        </w:rPr>
        <w:t>Elk</w:t>
      </w:r>
      <w:proofErr w:type="spellEnd"/>
      <w:r>
        <w:rPr>
          <w:sz w:val="20"/>
          <w:szCs w:val="20"/>
          <w:lang w:val="fr-CA"/>
        </w:rPr>
        <w:t xml:space="preserve"> </w:t>
      </w:r>
      <w:proofErr w:type="spellStart"/>
      <w:r>
        <w:rPr>
          <w:sz w:val="20"/>
          <w:szCs w:val="20"/>
          <w:lang w:val="fr-CA"/>
        </w:rPr>
        <w:t>Valley</w:t>
      </w:r>
      <w:proofErr w:type="spellEnd"/>
      <w:r>
        <w:rPr>
          <w:sz w:val="20"/>
          <w:szCs w:val="20"/>
          <w:lang w:val="fr-CA"/>
        </w:rPr>
        <w:t xml:space="preserve"> Coal Corporation, Cardinal River Operations. Le juge Gascon est dissident.</w:t>
      </w:r>
    </w:p>
    <w:p w:rsidR="0052229C" w:rsidRDefault="0052229C" w:rsidP="0052229C">
      <w:pPr>
        <w:rPr>
          <w:sz w:val="20"/>
          <w:szCs w:val="20"/>
        </w:rPr>
      </w:pPr>
    </w:p>
    <w:p w:rsidR="0052229C" w:rsidRPr="00FF635E" w:rsidRDefault="00ED4247" w:rsidP="0052229C">
      <w:pPr>
        <w:spacing w:line="0" w:lineRule="atLeast"/>
        <w:rPr>
          <w:sz w:val="20"/>
          <w:szCs w:val="20"/>
        </w:rPr>
      </w:pPr>
      <w:r w:rsidRPr="00FF635E">
        <w:rPr>
          <w:b/>
          <w:sz w:val="20"/>
          <w:szCs w:val="20"/>
        </w:rPr>
        <w:pict>
          <v:rect id="_x0000_i1083" style="width:144.3pt;height:1pt" o:hrpct="300" o:hralign="center" o:hrstd="t" o:hrnoshade="t" o:hr="t" fillcolor="black [3213]" stroked="f"/>
        </w:pict>
      </w:r>
    </w:p>
    <w:p w:rsidR="0052229C" w:rsidRPr="00FF635E" w:rsidRDefault="0052229C" w:rsidP="0052229C">
      <w:pPr>
        <w:spacing w:line="0" w:lineRule="atLeast"/>
        <w:rPr>
          <w:sz w:val="20"/>
          <w:szCs w:val="20"/>
        </w:rPr>
      </w:pPr>
    </w:p>
    <w:p w:rsidR="0052229C" w:rsidRPr="00FF635E" w:rsidRDefault="00E563D5" w:rsidP="0052229C">
      <w:pPr>
        <w:rPr>
          <w:b/>
          <w:sz w:val="20"/>
          <w:szCs w:val="20"/>
        </w:rPr>
      </w:pPr>
      <w:r w:rsidRPr="00FF635E">
        <w:rPr>
          <w:b/>
          <w:sz w:val="20"/>
          <w:szCs w:val="20"/>
        </w:rPr>
        <w:t>JUNE 16</w:t>
      </w:r>
      <w:r w:rsidR="0052229C" w:rsidRPr="00FF635E">
        <w:rPr>
          <w:b/>
          <w:sz w:val="20"/>
          <w:szCs w:val="20"/>
        </w:rPr>
        <w:t>, 201</w:t>
      </w:r>
      <w:r w:rsidR="00E942C2" w:rsidRPr="00FF635E">
        <w:rPr>
          <w:b/>
          <w:sz w:val="20"/>
          <w:szCs w:val="20"/>
        </w:rPr>
        <w:t>6</w:t>
      </w:r>
      <w:r w:rsidR="0052229C" w:rsidRPr="00FF635E">
        <w:rPr>
          <w:b/>
          <w:sz w:val="20"/>
          <w:szCs w:val="20"/>
        </w:rPr>
        <w:t xml:space="preserve"> / LE </w:t>
      </w:r>
      <w:r w:rsidRPr="00FF635E">
        <w:rPr>
          <w:b/>
          <w:sz w:val="20"/>
          <w:szCs w:val="20"/>
        </w:rPr>
        <w:t>16 JUIN</w:t>
      </w:r>
      <w:r w:rsidR="0052229C" w:rsidRPr="00FF635E">
        <w:rPr>
          <w:b/>
          <w:sz w:val="20"/>
          <w:szCs w:val="20"/>
        </w:rPr>
        <w:t xml:space="preserve"> 201</w:t>
      </w:r>
      <w:r w:rsidR="00E942C2" w:rsidRPr="00FF635E">
        <w:rPr>
          <w:b/>
          <w:sz w:val="20"/>
          <w:szCs w:val="20"/>
        </w:rPr>
        <w:t>6</w:t>
      </w:r>
    </w:p>
    <w:p w:rsidR="00ED4247" w:rsidRPr="004B7370" w:rsidRDefault="00ED4247" w:rsidP="0052229C">
      <w:pPr>
        <w:rPr>
          <w:b/>
          <w:sz w:val="20"/>
          <w:szCs w:val="20"/>
          <w:highlight w:val="yellow"/>
        </w:rPr>
      </w:pPr>
    </w:p>
    <w:p w:rsidR="00ED4247" w:rsidRPr="00ED4247" w:rsidRDefault="00ED4247" w:rsidP="00E563D5">
      <w:pPr>
        <w:spacing w:line="0" w:lineRule="atLeast"/>
        <w:ind w:left="1440" w:hanging="1440"/>
        <w:jc w:val="both"/>
        <w:rPr>
          <w:rFonts w:cs="Times New Roman"/>
          <w:sz w:val="20"/>
          <w:szCs w:val="20"/>
        </w:rPr>
      </w:pPr>
      <w:r>
        <w:rPr>
          <w:rFonts w:cs="Times New Roman"/>
          <w:sz w:val="20"/>
          <w:szCs w:val="20"/>
        </w:rPr>
        <w:t>37310</w:t>
      </w:r>
      <w:r>
        <w:rPr>
          <w:rFonts w:cs="Times New Roman"/>
          <w:sz w:val="20"/>
          <w:szCs w:val="20"/>
        </w:rPr>
        <w:tab/>
      </w:r>
      <w:r w:rsidRPr="00ED4247">
        <w:rPr>
          <w:rFonts w:cs="Times New Roman"/>
          <w:b/>
          <w:sz w:val="20"/>
          <w:szCs w:val="20"/>
        </w:rPr>
        <w:t>James Cody v. Her Majesty the Queen – and – Attorney General of Ontario, Attorney General of Quebec, Attorney General of Manitoba, Attorney General of British Columbia, Attorney General of Alberta, Director of Criminal and Penal Prosecutions and Criminal Lawyers’ Association of Ontario</w:t>
      </w:r>
      <w:r w:rsidRPr="00ED4247">
        <w:rPr>
          <w:rFonts w:cs="Times New Roman"/>
          <w:sz w:val="20"/>
          <w:szCs w:val="20"/>
        </w:rPr>
        <w:t xml:space="preserve"> (N.L.)</w:t>
      </w:r>
      <w:r>
        <w:rPr>
          <w:rFonts w:cs="Times New Roman"/>
          <w:sz w:val="20"/>
          <w:szCs w:val="20"/>
        </w:rPr>
        <w:t xml:space="preserve"> </w:t>
      </w:r>
      <w:r w:rsidRPr="00ED4247">
        <w:rPr>
          <w:rFonts w:cs="Times New Roman"/>
          <w:sz w:val="20"/>
          <w:szCs w:val="20"/>
        </w:rPr>
        <w:t>2017 SCC 31 / 2017 CSC 31</w:t>
      </w:r>
    </w:p>
    <w:p w:rsidR="00ED4247" w:rsidRPr="00ED4247" w:rsidRDefault="00ED4247" w:rsidP="00E563D5">
      <w:pPr>
        <w:spacing w:line="0" w:lineRule="atLeast"/>
        <w:jc w:val="both"/>
        <w:rPr>
          <w:rFonts w:cs="Times New Roman"/>
          <w:sz w:val="20"/>
          <w:szCs w:val="20"/>
        </w:rPr>
      </w:pPr>
    </w:p>
    <w:p w:rsidR="00ED4247" w:rsidRPr="00ED4247" w:rsidRDefault="00ED4247" w:rsidP="00E563D5">
      <w:pPr>
        <w:spacing w:line="0" w:lineRule="atLeast"/>
        <w:jc w:val="both"/>
        <w:rPr>
          <w:rFonts w:cs="Times New Roman"/>
          <w:sz w:val="20"/>
          <w:szCs w:val="20"/>
        </w:rPr>
      </w:pPr>
      <w:r w:rsidRPr="00ED4247">
        <w:rPr>
          <w:rFonts w:cs="Times New Roman"/>
          <w:sz w:val="20"/>
          <w:szCs w:val="20"/>
        </w:rPr>
        <w:t>Coram:</w:t>
      </w:r>
      <w:r w:rsidR="00E563D5">
        <w:rPr>
          <w:rFonts w:cs="Times New Roman"/>
          <w:sz w:val="20"/>
          <w:szCs w:val="20"/>
        </w:rPr>
        <w:tab/>
      </w:r>
      <w:r w:rsidR="00E563D5">
        <w:rPr>
          <w:rFonts w:cs="Times New Roman"/>
          <w:sz w:val="20"/>
          <w:szCs w:val="20"/>
        </w:rPr>
        <w:tab/>
      </w:r>
      <w:proofErr w:type="spellStart"/>
      <w:r w:rsidRPr="00E563D5">
        <w:rPr>
          <w:rFonts w:cs="Times New Roman"/>
          <w:sz w:val="20"/>
          <w:szCs w:val="20"/>
          <w:u w:val="single"/>
        </w:rPr>
        <w:t>Abella</w:t>
      </w:r>
      <w:proofErr w:type="spellEnd"/>
      <w:r w:rsidRPr="00E563D5">
        <w:rPr>
          <w:rFonts w:cs="Times New Roman"/>
          <w:sz w:val="20"/>
          <w:szCs w:val="20"/>
          <w:u w:val="single"/>
        </w:rPr>
        <w:t xml:space="preserve">, </w:t>
      </w:r>
      <w:proofErr w:type="spellStart"/>
      <w:r w:rsidRPr="00E563D5">
        <w:rPr>
          <w:rFonts w:cs="Times New Roman"/>
          <w:sz w:val="20"/>
          <w:szCs w:val="20"/>
          <w:u w:val="single"/>
        </w:rPr>
        <w:t>Moldaver</w:t>
      </w:r>
      <w:proofErr w:type="spellEnd"/>
      <w:r w:rsidRPr="00E563D5">
        <w:rPr>
          <w:rFonts w:cs="Times New Roman"/>
          <w:sz w:val="20"/>
          <w:szCs w:val="20"/>
          <w:u w:val="single"/>
        </w:rPr>
        <w:t xml:space="preserve">, </w:t>
      </w:r>
      <w:proofErr w:type="spellStart"/>
      <w:r w:rsidRPr="00E563D5">
        <w:rPr>
          <w:rFonts w:cs="Times New Roman"/>
          <w:sz w:val="20"/>
          <w:szCs w:val="20"/>
          <w:u w:val="single"/>
        </w:rPr>
        <w:t>Karakatsanis</w:t>
      </w:r>
      <w:proofErr w:type="spellEnd"/>
      <w:r w:rsidRPr="00E563D5">
        <w:rPr>
          <w:rFonts w:cs="Times New Roman"/>
          <w:sz w:val="20"/>
          <w:szCs w:val="20"/>
          <w:u w:val="single"/>
        </w:rPr>
        <w:t xml:space="preserve">, Wagner, </w:t>
      </w:r>
      <w:proofErr w:type="spellStart"/>
      <w:r w:rsidRPr="00E563D5">
        <w:rPr>
          <w:rFonts w:cs="Times New Roman"/>
          <w:sz w:val="20"/>
          <w:szCs w:val="20"/>
          <w:u w:val="single"/>
        </w:rPr>
        <w:t>Gascon</w:t>
      </w:r>
      <w:proofErr w:type="spellEnd"/>
      <w:r w:rsidRPr="00E563D5">
        <w:rPr>
          <w:rFonts w:cs="Times New Roman"/>
          <w:sz w:val="20"/>
          <w:szCs w:val="20"/>
          <w:u w:val="single"/>
        </w:rPr>
        <w:t xml:space="preserve">, </w:t>
      </w:r>
      <w:proofErr w:type="spellStart"/>
      <w:r w:rsidRPr="00E563D5">
        <w:rPr>
          <w:rFonts w:cs="Times New Roman"/>
          <w:sz w:val="20"/>
          <w:szCs w:val="20"/>
          <w:u w:val="single"/>
        </w:rPr>
        <w:t>Côté</w:t>
      </w:r>
      <w:proofErr w:type="spellEnd"/>
      <w:r w:rsidRPr="00E563D5">
        <w:rPr>
          <w:rFonts w:cs="Times New Roman"/>
          <w:sz w:val="20"/>
          <w:szCs w:val="20"/>
          <w:u w:val="single"/>
        </w:rPr>
        <w:t xml:space="preserve"> and Brown JJ.</w:t>
      </w:r>
    </w:p>
    <w:p w:rsidR="00ED4247" w:rsidRPr="00ED4247" w:rsidRDefault="00ED4247" w:rsidP="00E563D5">
      <w:pPr>
        <w:spacing w:line="0" w:lineRule="atLeast"/>
        <w:jc w:val="both"/>
        <w:rPr>
          <w:rFonts w:cs="Times New Roman"/>
          <w:sz w:val="20"/>
          <w:szCs w:val="20"/>
        </w:rPr>
      </w:pPr>
    </w:p>
    <w:p w:rsidR="00ED4247" w:rsidRPr="00ED4247" w:rsidRDefault="00ED4247" w:rsidP="00E563D5">
      <w:pPr>
        <w:spacing w:line="0" w:lineRule="atLeast"/>
        <w:jc w:val="both"/>
        <w:rPr>
          <w:rFonts w:cs="Times New Roman"/>
          <w:sz w:val="20"/>
          <w:szCs w:val="20"/>
        </w:rPr>
      </w:pPr>
      <w:r w:rsidRPr="00ED4247">
        <w:rPr>
          <w:rFonts w:cs="Times New Roman"/>
          <w:sz w:val="20"/>
          <w:szCs w:val="20"/>
        </w:rPr>
        <w:t>The appeal from the judgment of the Supreme Court of Newfoundland and Labrador - Court of Appeal, Number 201501H0003, 2016 NLCA 57, dated October 24, 2016, heard on April 25, 2017, is allowed and the order made by the trial judge for a stay of proceedings is restored.</w:t>
      </w:r>
    </w:p>
    <w:p w:rsidR="00ED4247" w:rsidRPr="00ED4247" w:rsidRDefault="00ED4247" w:rsidP="00E563D5">
      <w:pPr>
        <w:spacing w:line="0" w:lineRule="atLeast"/>
        <w:jc w:val="both"/>
        <w:rPr>
          <w:rFonts w:cs="Times New Roman"/>
          <w:sz w:val="20"/>
          <w:szCs w:val="20"/>
        </w:rPr>
      </w:pPr>
    </w:p>
    <w:p w:rsidR="00D004FC" w:rsidRDefault="00ED4247" w:rsidP="00E563D5">
      <w:pPr>
        <w:spacing w:line="0" w:lineRule="atLeast"/>
        <w:jc w:val="both"/>
        <w:rPr>
          <w:rFonts w:cs="Times New Roman"/>
          <w:sz w:val="20"/>
          <w:szCs w:val="20"/>
          <w:lang w:val="fr-CA"/>
        </w:rPr>
      </w:pPr>
      <w:r w:rsidRPr="00ED4247">
        <w:rPr>
          <w:rFonts w:cs="Times New Roman"/>
          <w:sz w:val="20"/>
          <w:szCs w:val="20"/>
          <w:lang w:val="fr-CA"/>
        </w:rPr>
        <w:t>L’appel interjeté contre l’arrêt de la Cour suprême de Terre-Neuve-et-Labrador - Cour d’appel, numéro 201501H0003, 2016 NLCA 57, daté du 24 octobre 2016, entendu le 25 avril 2017, est accueilli et l’ordonnance d’arrêt des procédures rendue par le juge de première instance est rétablie.</w:t>
      </w:r>
    </w:p>
    <w:p w:rsidR="00E563D5" w:rsidRPr="00ED4247" w:rsidRDefault="00E563D5" w:rsidP="00E563D5">
      <w:pPr>
        <w:spacing w:line="0" w:lineRule="atLeast"/>
        <w:jc w:val="both"/>
        <w:rPr>
          <w:rFonts w:cs="Times New Roman"/>
          <w:sz w:val="20"/>
          <w:szCs w:val="20"/>
          <w:lang w:val="fr-CA"/>
        </w:rPr>
      </w:pPr>
    </w:p>
    <w:p w:rsidR="00D004FC" w:rsidRDefault="00ED4247" w:rsidP="00D004FC">
      <w:pPr>
        <w:jc w:val="both"/>
        <w:rPr>
          <w:rFonts w:cs="Times New Roman"/>
          <w:b/>
          <w:sz w:val="20"/>
          <w:szCs w:val="20"/>
        </w:rPr>
      </w:pPr>
      <w:r>
        <w:rPr>
          <w:rFonts w:cs="Times New Roman"/>
          <w:b/>
          <w:sz w:val="20"/>
          <w:szCs w:val="20"/>
        </w:rPr>
        <w:pict>
          <v:rect id="_x0000_i1084" style="width:144.3pt;height:1pt" o:hrpct="300" o:hralign="center" o:hrstd="t" o:hrnoshade="t" o:hr="t" fillcolor="black [3213]" stroked="f"/>
        </w:pict>
      </w:r>
    </w:p>
    <w:p w:rsidR="00D004FC" w:rsidRPr="00C00175" w:rsidRDefault="00D004FC" w:rsidP="00D004FC">
      <w:pPr>
        <w:jc w:val="both"/>
        <w:rPr>
          <w:rFonts w:cs="Times New Roman"/>
          <w:sz w:val="20"/>
          <w:szCs w:val="20"/>
        </w:rPr>
      </w:pPr>
    </w:p>
    <w:p w:rsidR="00D004FC" w:rsidRPr="006C5F7A"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74"/>
          <w:headerReference w:type="default" r:id="rId75"/>
          <w:footerReference w:type="even" r:id="rId76"/>
          <w:footerReference w:type="default" r:id="rId77"/>
          <w:headerReference w:type="first" r:id="rId78"/>
          <w:footerReference w:type="first" r:id="rId79"/>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52229C" w:rsidRPr="007578C8" w:rsidRDefault="007578C8" w:rsidP="0052229C">
      <w:pPr>
        <w:ind w:left="1440" w:hanging="1440"/>
        <w:jc w:val="both"/>
        <w:rPr>
          <w:sz w:val="20"/>
          <w:szCs w:val="20"/>
          <w:lang w:val="en-US"/>
        </w:rPr>
      </w:pPr>
      <w:r w:rsidRPr="007578C8">
        <w:rPr>
          <w:rFonts w:eastAsia="Calibri"/>
          <w:i/>
          <w:sz w:val="20"/>
          <w:szCs w:val="20"/>
          <w:lang w:val="en-US"/>
        </w:rPr>
        <w:t xml:space="preserve">Brent </w:t>
      </w:r>
      <w:proofErr w:type="spellStart"/>
      <w:r w:rsidRPr="007578C8">
        <w:rPr>
          <w:rFonts w:eastAsia="Calibri"/>
          <w:i/>
          <w:sz w:val="20"/>
          <w:szCs w:val="20"/>
          <w:lang w:val="en-US"/>
        </w:rPr>
        <w:t>Bish</w:t>
      </w:r>
      <w:proofErr w:type="spellEnd"/>
      <w:r w:rsidRPr="007578C8">
        <w:rPr>
          <w:rFonts w:eastAsia="Calibri"/>
          <w:i/>
          <w:sz w:val="20"/>
          <w:szCs w:val="20"/>
          <w:lang w:val="en-US"/>
        </w:rPr>
        <w:t xml:space="preserve"> on behalf of Ian Stewart v. Elk Valley Coal Corporation et al. </w:t>
      </w:r>
      <w:r w:rsidR="0052229C" w:rsidRPr="007578C8">
        <w:rPr>
          <w:sz w:val="20"/>
          <w:szCs w:val="20"/>
          <w:lang w:val="en-US"/>
        </w:rPr>
        <w:t>(</w:t>
      </w:r>
      <w:r w:rsidRPr="007578C8">
        <w:rPr>
          <w:sz w:val="20"/>
          <w:szCs w:val="20"/>
          <w:lang w:val="en-US"/>
        </w:rPr>
        <w:t>N.S.</w:t>
      </w:r>
      <w:r w:rsidR="0052229C" w:rsidRPr="007578C8">
        <w:rPr>
          <w:sz w:val="20"/>
          <w:szCs w:val="20"/>
          <w:lang w:val="en-US"/>
        </w:rPr>
        <w:t>) (</w:t>
      </w:r>
      <w:hyperlink r:id="rId80" w:history="1">
        <w:r w:rsidR="0052229C" w:rsidRPr="007578C8">
          <w:rPr>
            <w:rStyle w:val="Hyperlink"/>
            <w:sz w:val="20"/>
            <w:szCs w:val="20"/>
            <w:lang w:val="en-US"/>
          </w:rPr>
          <w:t>3</w:t>
        </w:r>
        <w:r w:rsidRPr="007578C8">
          <w:rPr>
            <w:rStyle w:val="Hyperlink"/>
            <w:sz w:val="20"/>
            <w:szCs w:val="20"/>
            <w:lang w:val="en-US"/>
          </w:rPr>
          <w:t>6636</w:t>
        </w:r>
      </w:hyperlink>
      <w:r w:rsidR="0052229C" w:rsidRPr="007578C8">
        <w:rPr>
          <w:sz w:val="20"/>
          <w:szCs w:val="20"/>
          <w:lang w:val="en-US"/>
        </w:rPr>
        <w:t>)</w:t>
      </w:r>
    </w:p>
    <w:p w:rsidR="007578C8" w:rsidRPr="007578C8" w:rsidRDefault="0052229C" w:rsidP="007578C8">
      <w:pPr>
        <w:jc w:val="both"/>
        <w:rPr>
          <w:b/>
          <w:sz w:val="20"/>
          <w:szCs w:val="20"/>
          <w:lang w:val="fr-CA"/>
        </w:rPr>
      </w:pPr>
      <w:r w:rsidRPr="007578C8">
        <w:rPr>
          <w:b/>
          <w:sz w:val="20"/>
          <w:szCs w:val="20"/>
          <w:lang w:val="en-US"/>
        </w:rPr>
        <w:t xml:space="preserve">Indexed as:  </w:t>
      </w:r>
      <w:r w:rsidR="007578C8" w:rsidRPr="007578C8">
        <w:rPr>
          <w:rStyle w:val="SCCAppellantForIndexChar"/>
          <w:rFonts w:eastAsiaTheme="minorHAnsi"/>
          <w:sz w:val="20"/>
          <w:lang w:val="en-US"/>
        </w:rPr>
        <w:t>Stewart</w:t>
      </w:r>
      <w:r w:rsidR="007578C8" w:rsidRPr="007578C8">
        <w:rPr>
          <w:b/>
          <w:sz w:val="20"/>
          <w:szCs w:val="20"/>
        </w:rPr>
        <w:t xml:space="preserve"> </w:t>
      </w:r>
      <w:r w:rsidR="007578C8" w:rsidRPr="007578C8">
        <w:rPr>
          <w:b/>
          <w:i/>
          <w:sz w:val="20"/>
          <w:szCs w:val="20"/>
        </w:rPr>
        <w:t>v.</w:t>
      </w:r>
      <w:r w:rsidR="007578C8" w:rsidRPr="007578C8">
        <w:rPr>
          <w:b/>
          <w:sz w:val="20"/>
          <w:szCs w:val="20"/>
        </w:rPr>
        <w:t xml:space="preserve"> </w:t>
      </w:r>
      <w:r w:rsidR="007578C8" w:rsidRPr="007578C8">
        <w:rPr>
          <w:rStyle w:val="SCCRespondentForIndexChar"/>
          <w:rFonts w:eastAsiaTheme="minorHAnsi"/>
          <w:sz w:val="20"/>
        </w:rPr>
        <w:t>Elk Valley Coal Corp</w:t>
      </w:r>
      <w:proofErr w:type="gramStart"/>
      <w:r w:rsidR="007578C8" w:rsidRPr="007578C8">
        <w:rPr>
          <w:rStyle w:val="SCCRespondentForIndexChar"/>
          <w:rFonts w:eastAsiaTheme="minorHAnsi"/>
          <w:sz w:val="20"/>
        </w:rPr>
        <w:t>.</w:t>
      </w:r>
      <w:r w:rsidRPr="007578C8">
        <w:rPr>
          <w:rStyle w:val="SCCRespondentForIndexChar"/>
          <w:rFonts w:eastAsiaTheme="minorHAnsi"/>
          <w:sz w:val="20"/>
          <w:lang w:val="en-US"/>
        </w:rPr>
        <w:t>/</w:t>
      </w:r>
      <w:proofErr w:type="gramEnd"/>
      <w:r w:rsidRPr="007578C8">
        <w:rPr>
          <w:rStyle w:val="SCCRespondentForIndexChar"/>
          <w:rFonts w:eastAsiaTheme="minorHAnsi"/>
          <w:sz w:val="20"/>
          <w:lang w:val="en-US"/>
        </w:rPr>
        <w:t xml:space="preserve"> </w:t>
      </w:r>
      <w:r w:rsidRPr="007578C8">
        <w:rPr>
          <w:b/>
          <w:sz w:val="20"/>
          <w:szCs w:val="20"/>
          <w:lang w:val="fr-CA"/>
        </w:rPr>
        <w:t>Répertorié : </w:t>
      </w:r>
      <w:r w:rsidR="007578C8" w:rsidRPr="007578C8">
        <w:rPr>
          <w:b/>
          <w:sz w:val="20"/>
          <w:szCs w:val="20"/>
          <w:lang w:val="fr-CA"/>
        </w:rPr>
        <w:t xml:space="preserve">Stewart </w:t>
      </w:r>
      <w:r w:rsidR="007578C8" w:rsidRPr="007578C8">
        <w:rPr>
          <w:b/>
          <w:i/>
          <w:sz w:val="20"/>
          <w:szCs w:val="20"/>
          <w:lang w:val="fr-CA"/>
        </w:rPr>
        <w:t>c.</w:t>
      </w:r>
      <w:r w:rsidR="007578C8" w:rsidRPr="007578C8">
        <w:rPr>
          <w:b/>
          <w:sz w:val="20"/>
          <w:szCs w:val="20"/>
          <w:lang w:val="fr-CA"/>
        </w:rPr>
        <w:t xml:space="preserve"> </w:t>
      </w:r>
      <w:proofErr w:type="spellStart"/>
      <w:r w:rsidR="007578C8" w:rsidRPr="007578C8">
        <w:rPr>
          <w:rStyle w:val="SCCRespondentForIndexChar"/>
          <w:rFonts w:eastAsiaTheme="minorHAnsi"/>
          <w:sz w:val="20"/>
          <w:lang w:val="fr-CA"/>
        </w:rPr>
        <w:t>Elk</w:t>
      </w:r>
      <w:proofErr w:type="spellEnd"/>
      <w:r w:rsidR="007578C8" w:rsidRPr="007578C8">
        <w:rPr>
          <w:rStyle w:val="SCCRespondentForIndexChar"/>
          <w:rFonts w:eastAsiaTheme="minorHAnsi"/>
          <w:sz w:val="20"/>
          <w:lang w:val="fr-CA"/>
        </w:rPr>
        <w:t xml:space="preserve"> </w:t>
      </w:r>
      <w:proofErr w:type="spellStart"/>
      <w:r w:rsidR="007578C8" w:rsidRPr="007578C8">
        <w:rPr>
          <w:rStyle w:val="SCCRespondentForIndexChar"/>
          <w:rFonts w:eastAsiaTheme="minorHAnsi"/>
          <w:sz w:val="20"/>
          <w:lang w:val="fr-CA"/>
        </w:rPr>
        <w:t>Valley</w:t>
      </w:r>
      <w:proofErr w:type="spellEnd"/>
      <w:r w:rsidR="007578C8" w:rsidRPr="007578C8">
        <w:rPr>
          <w:rStyle w:val="SCCRespondentForIndexChar"/>
          <w:rFonts w:eastAsiaTheme="minorHAnsi"/>
          <w:sz w:val="20"/>
          <w:lang w:val="fr-CA"/>
        </w:rPr>
        <w:t xml:space="preserve"> Coal Corp.</w:t>
      </w:r>
    </w:p>
    <w:p w:rsidR="0052229C" w:rsidRPr="007578C8" w:rsidRDefault="0052229C" w:rsidP="007578C8">
      <w:pPr>
        <w:jc w:val="both"/>
        <w:rPr>
          <w:sz w:val="20"/>
          <w:lang w:val="fr-CA"/>
        </w:rPr>
      </w:pPr>
      <w:proofErr w:type="spellStart"/>
      <w:r w:rsidRPr="007578C8">
        <w:rPr>
          <w:sz w:val="20"/>
          <w:lang w:val="fr-CA"/>
        </w:rPr>
        <w:t>Neutral</w:t>
      </w:r>
      <w:proofErr w:type="spellEnd"/>
      <w:r w:rsidRPr="007578C8">
        <w:rPr>
          <w:sz w:val="20"/>
          <w:lang w:val="fr-CA"/>
        </w:rPr>
        <w:t xml:space="preserve"> citation</w:t>
      </w:r>
      <w:proofErr w:type="gramStart"/>
      <w:r w:rsidRPr="007578C8">
        <w:rPr>
          <w:sz w:val="20"/>
          <w:lang w:val="fr-CA"/>
        </w:rPr>
        <w:t xml:space="preserve">:  </w:t>
      </w:r>
      <w:r w:rsidR="0030050B" w:rsidRPr="007578C8">
        <w:rPr>
          <w:sz w:val="20"/>
          <w:lang w:val="fr-CA"/>
        </w:rPr>
        <w:t>201</w:t>
      </w:r>
      <w:r w:rsidR="0056248C" w:rsidRPr="007578C8">
        <w:rPr>
          <w:sz w:val="20"/>
          <w:lang w:val="fr-CA"/>
        </w:rPr>
        <w:t>7</w:t>
      </w:r>
      <w:proofErr w:type="gramEnd"/>
      <w:r w:rsidRPr="007578C8">
        <w:rPr>
          <w:sz w:val="20"/>
          <w:lang w:val="fr-CA"/>
        </w:rPr>
        <w:t xml:space="preserve"> SCC </w:t>
      </w:r>
      <w:r w:rsidR="007578C8" w:rsidRPr="00ED4247">
        <w:rPr>
          <w:sz w:val="20"/>
          <w:lang w:val="fr-CA"/>
        </w:rPr>
        <w:t>30</w:t>
      </w:r>
      <w:r w:rsidRPr="007578C8">
        <w:rPr>
          <w:sz w:val="20"/>
          <w:lang w:val="fr-CA"/>
        </w:rPr>
        <w:t xml:space="preserve"> / Référence neutre : </w:t>
      </w:r>
      <w:r w:rsidR="0030050B" w:rsidRPr="007578C8">
        <w:rPr>
          <w:sz w:val="20"/>
          <w:lang w:val="fr-CA"/>
        </w:rPr>
        <w:t>201</w:t>
      </w:r>
      <w:r w:rsidR="0056248C" w:rsidRPr="007578C8">
        <w:rPr>
          <w:sz w:val="20"/>
          <w:lang w:val="fr-CA"/>
        </w:rPr>
        <w:t>7</w:t>
      </w:r>
      <w:r w:rsidRPr="007578C8">
        <w:rPr>
          <w:sz w:val="20"/>
          <w:lang w:val="fr-CA"/>
        </w:rPr>
        <w:t xml:space="preserve"> CSC </w:t>
      </w:r>
      <w:r w:rsidR="007578C8" w:rsidRPr="007578C8">
        <w:rPr>
          <w:sz w:val="20"/>
          <w:lang w:val="fr-CA"/>
        </w:rPr>
        <w:t>3</w:t>
      </w:r>
      <w:r w:rsidR="007578C8" w:rsidRPr="00ED4247">
        <w:rPr>
          <w:sz w:val="20"/>
          <w:lang w:val="fr-CA"/>
        </w:rPr>
        <w:t>0</w:t>
      </w:r>
    </w:p>
    <w:p w:rsidR="0052229C" w:rsidRPr="007578C8" w:rsidRDefault="0052229C" w:rsidP="0052229C">
      <w:pPr>
        <w:rPr>
          <w:rFonts w:cs="Times New Roman"/>
          <w:sz w:val="20"/>
          <w:szCs w:val="20"/>
          <w:lang w:val="fr-CA"/>
        </w:rPr>
      </w:pPr>
      <w:proofErr w:type="spellStart"/>
      <w:r w:rsidRPr="007578C8">
        <w:rPr>
          <w:rFonts w:cs="Times New Roman"/>
          <w:sz w:val="20"/>
          <w:szCs w:val="20"/>
          <w:lang w:val="fr-CA"/>
        </w:rPr>
        <w:t>Hearing</w:t>
      </w:r>
      <w:proofErr w:type="spellEnd"/>
      <w:proofErr w:type="gramStart"/>
      <w:r w:rsidRPr="007578C8">
        <w:rPr>
          <w:rFonts w:cs="Times New Roman"/>
          <w:sz w:val="20"/>
          <w:szCs w:val="20"/>
          <w:lang w:val="fr-CA"/>
        </w:rPr>
        <w:t xml:space="preserve">:  </w:t>
      </w:r>
      <w:proofErr w:type="spellStart"/>
      <w:r w:rsidR="007578C8" w:rsidRPr="007578C8">
        <w:rPr>
          <w:rFonts w:cs="Times New Roman"/>
          <w:sz w:val="20"/>
          <w:szCs w:val="20"/>
          <w:lang w:val="fr-CA"/>
        </w:rPr>
        <w:t>December</w:t>
      </w:r>
      <w:proofErr w:type="spellEnd"/>
      <w:proofErr w:type="gramEnd"/>
      <w:r w:rsidR="007578C8" w:rsidRPr="007578C8">
        <w:rPr>
          <w:rFonts w:cs="Times New Roman"/>
          <w:sz w:val="20"/>
          <w:szCs w:val="20"/>
          <w:lang w:val="fr-CA"/>
        </w:rPr>
        <w:t xml:space="preserve"> 9</w:t>
      </w:r>
      <w:r w:rsidRPr="007578C8">
        <w:rPr>
          <w:rFonts w:cs="Times New Roman"/>
          <w:sz w:val="20"/>
          <w:szCs w:val="20"/>
          <w:lang w:val="fr-CA"/>
        </w:rPr>
        <w:t>, 201</w:t>
      </w:r>
      <w:r w:rsidR="0056248C" w:rsidRPr="007578C8">
        <w:rPr>
          <w:rFonts w:cs="Times New Roman"/>
          <w:sz w:val="20"/>
          <w:szCs w:val="20"/>
          <w:lang w:val="fr-CA"/>
        </w:rPr>
        <w:t>6</w:t>
      </w:r>
      <w:r w:rsidRPr="007578C8">
        <w:rPr>
          <w:rFonts w:cs="Times New Roman"/>
          <w:sz w:val="20"/>
          <w:szCs w:val="20"/>
          <w:lang w:val="fr-CA"/>
        </w:rPr>
        <w:t xml:space="preserve"> / </w:t>
      </w:r>
      <w:proofErr w:type="spellStart"/>
      <w:r w:rsidRPr="007578C8">
        <w:rPr>
          <w:rFonts w:cs="Times New Roman"/>
          <w:sz w:val="20"/>
          <w:szCs w:val="20"/>
          <w:lang w:val="fr-CA"/>
        </w:rPr>
        <w:t>Judgment</w:t>
      </w:r>
      <w:proofErr w:type="spellEnd"/>
      <w:r w:rsidRPr="007578C8">
        <w:rPr>
          <w:rFonts w:cs="Times New Roman"/>
          <w:sz w:val="20"/>
          <w:szCs w:val="20"/>
          <w:lang w:val="fr-CA"/>
        </w:rPr>
        <w:t xml:space="preserve">:  </w:t>
      </w:r>
      <w:proofErr w:type="spellStart"/>
      <w:r w:rsidRPr="007578C8">
        <w:rPr>
          <w:rFonts w:cs="Times New Roman"/>
          <w:sz w:val="20"/>
          <w:szCs w:val="20"/>
          <w:lang w:val="fr-CA"/>
        </w:rPr>
        <w:t>J</w:t>
      </w:r>
      <w:r w:rsidR="007578C8" w:rsidRPr="007578C8">
        <w:rPr>
          <w:rFonts w:cs="Times New Roman"/>
          <w:sz w:val="20"/>
          <w:szCs w:val="20"/>
          <w:lang w:val="fr-CA"/>
        </w:rPr>
        <w:t>une</w:t>
      </w:r>
      <w:proofErr w:type="spellEnd"/>
      <w:r w:rsidR="007578C8" w:rsidRPr="007578C8">
        <w:rPr>
          <w:rFonts w:cs="Times New Roman"/>
          <w:sz w:val="20"/>
          <w:szCs w:val="20"/>
          <w:lang w:val="fr-CA"/>
        </w:rPr>
        <w:t xml:space="preserve"> 15</w:t>
      </w:r>
      <w:r w:rsidRPr="007578C8">
        <w:rPr>
          <w:rFonts w:cs="Times New Roman"/>
          <w:sz w:val="20"/>
          <w:szCs w:val="20"/>
          <w:lang w:val="fr-CA"/>
        </w:rPr>
        <w:t xml:space="preserve">, </w:t>
      </w:r>
      <w:r w:rsidR="0056248C" w:rsidRPr="007578C8">
        <w:rPr>
          <w:rFonts w:cs="Times New Roman"/>
          <w:sz w:val="20"/>
          <w:szCs w:val="20"/>
          <w:lang w:val="fr-CA"/>
        </w:rPr>
        <w:t>2017</w:t>
      </w:r>
    </w:p>
    <w:p w:rsidR="0052229C" w:rsidRPr="003B3977" w:rsidRDefault="0052229C" w:rsidP="0052229C">
      <w:pPr>
        <w:rPr>
          <w:rFonts w:cs="Times New Roman"/>
          <w:sz w:val="20"/>
          <w:szCs w:val="20"/>
          <w:lang w:val="fr-CA"/>
        </w:rPr>
      </w:pPr>
      <w:r w:rsidRPr="007578C8">
        <w:rPr>
          <w:rFonts w:cs="Times New Roman"/>
          <w:sz w:val="20"/>
          <w:szCs w:val="20"/>
          <w:lang w:val="fr-CA"/>
        </w:rPr>
        <w:t xml:space="preserve">Audition : Le </w:t>
      </w:r>
      <w:r w:rsidR="007578C8" w:rsidRPr="007578C8">
        <w:rPr>
          <w:rFonts w:cs="Times New Roman"/>
          <w:sz w:val="20"/>
          <w:szCs w:val="20"/>
          <w:lang w:val="fr-CA"/>
        </w:rPr>
        <w:t>9 décembre</w:t>
      </w:r>
      <w:r w:rsidRPr="007578C8">
        <w:rPr>
          <w:rFonts w:cs="Times New Roman"/>
          <w:sz w:val="20"/>
          <w:szCs w:val="20"/>
          <w:lang w:val="fr-CA"/>
        </w:rPr>
        <w:t xml:space="preserve"> 201</w:t>
      </w:r>
      <w:r w:rsidR="0056248C" w:rsidRPr="007578C8">
        <w:rPr>
          <w:rFonts w:cs="Times New Roman"/>
          <w:sz w:val="20"/>
          <w:szCs w:val="20"/>
          <w:lang w:val="fr-CA"/>
        </w:rPr>
        <w:t>6</w:t>
      </w:r>
      <w:r w:rsidRPr="007578C8">
        <w:rPr>
          <w:rFonts w:cs="Times New Roman"/>
          <w:sz w:val="20"/>
          <w:szCs w:val="20"/>
          <w:lang w:val="fr-CA"/>
        </w:rPr>
        <w:t xml:space="preserve"> / Jugement : Le </w:t>
      </w:r>
      <w:r w:rsidR="007578C8" w:rsidRPr="007578C8">
        <w:rPr>
          <w:rFonts w:cs="Times New Roman"/>
          <w:sz w:val="20"/>
          <w:szCs w:val="20"/>
          <w:lang w:val="fr-CA"/>
        </w:rPr>
        <w:t>15 juin</w:t>
      </w:r>
      <w:r w:rsidRPr="007578C8">
        <w:rPr>
          <w:rFonts w:cs="Times New Roman"/>
          <w:sz w:val="20"/>
          <w:szCs w:val="20"/>
          <w:lang w:val="fr-CA"/>
        </w:rPr>
        <w:t xml:space="preserve"> </w:t>
      </w:r>
      <w:r w:rsidR="0030050B" w:rsidRPr="007578C8">
        <w:rPr>
          <w:rFonts w:cs="Times New Roman"/>
          <w:sz w:val="20"/>
          <w:szCs w:val="20"/>
          <w:lang w:val="fr-CA"/>
        </w:rPr>
        <w:t>201</w:t>
      </w:r>
      <w:r w:rsidR="0056248C" w:rsidRPr="007578C8">
        <w:rPr>
          <w:rFonts w:cs="Times New Roman"/>
          <w:sz w:val="20"/>
          <w:szCs w:val="20"/>
          <w:lang w:val="fr-CA"/>
        </w:rPr>
        <w:t>7</w:t>
      </w:r>
    </w:p>
    <w:p w:rsidR="005C6840" w:rsidRPr="003B3977" w:rsidRDefault="00ED4247" w:rsidP="005C6840">
      <w:pPr>
        <w:rPr>
          <w:rFonts w:cs="Times New Roman"/>
          <w:sz w:val="20"/>
          <w:szCs w:val="20"/>
          <w:lang w:val="fr-CA"/>
        </w:rPr>
      </w:pPr>
      <w:r>
        <w:rPr>
          <w:rFonts w:cs="Times New Roman"/>
          <w:i/>
          <w:sz w:val="20"/>
          <w:szCs w:val="20"/>
        </w:rPr>
        <w:pict>
          <v:rect id="_x0000_i1087" style="width:480.95pt;height:1pt" o:hralign="center" o:hrstd="t" o:hrnoshade="t" o:hr="t" fillcolor="black [3213]" stroked="f"/>
        </w:pict>
      </w:r>
    </w:p>
    <w:p w:rsidR="004B7370" w:rsidRDefault="004B7370" w:rsidP="0052229C">
      <w:pPr>
        <w:pStyle w:val="SCCNormalDoubleSpacing"/>
        <w:spacing w:line="240" w:lineRule="auto"/>
        <w:rPr>
          <w:sz w:val="20"/>
        </w:rPr>
      </w:pPr>
    </w:p>
    <w:p w:rsidR="007578C8" w:rsidRPr="00E62306" w:rsidRDefault="007578C8" w:rsidP="007578C8">
      <w:pPr>
        <w:jc w:val="both"/>
        <w:rPr>
          <w:sz w:val="20"/>
          <w:szCs w:val="20"/>
        </w:rPr>
      </w:pPr>
      <w:r w:rsidRPr="00E62306">
        <w:rPr>
          <w:sz w:val="20"/>
          <w:szCs w:val="20"/>
        </w:rPr>
        <w:t xml:space="preserve">Present: </w:t>
      </w:r>
      <w:proofErr w:type="spellStart"/>
      <w:r w:rsidRPr="00E62306">
        <w:rPr>
          <w:sz w:val="20"/>
          <w:szCs w:val="20"/>
        </w:rPr>
        <w:t>McLachlin</w:t>
      </w:r>
      <w:proofErr w:type="spellEnd"/>
      <w:r w:rsidRPr="00E62306">
        <w:rPr>
          <w:sz w:val="20"/>
          <w:szCs w:val="20"/>
        </w:rPr>
        <w:t xml:space="preserve"> C.J. and </w:t>
      </w:r>
      <w:proofErr w:type="spellStart"/>
      <w:r w:rsidRPr="00E62306">
        <w:rPr>
          <w:sz w:val="20"/>
          <w:szCs w:val="20"/>
        </w:rPr>
        <w:t>Abella</w:t>
      </w:r>
      <w:proofErr w:type="spellEnd"/>
      <w:r w:rsidRPr="00E62306">
        <w:rPr>
          <w:sz w:val="20"/>
          <w:szCs w:val="20"/>
        </w:rPr>
        <w:t xml:space="preserve">, </w:t>
      </w:r>
      <w:proofErr w:type="spellStart"/>
      <w:r w:rsidRPr="00E62306">
        <w:rPr>
          <w:sz w:val="20"/>
          <w:szCs w:val="20"/>
        </w:rPr>
        <w:t>Moldaver</w:t>
      </w:r>
      <w:proofErr w:type="spellEnd"/>
      <w:r w:rsidRPr="00E62306">
        <w:rPr>
          <w:sz w:val="20"/>
          <w:szCs w:val="20"/>
        </w:rPr>
        <w:t xml:space="preserve">, </w:t>
      </w:r>
      <w:proofErr w:type="spellStart"/>
      <w:r w:rsidRPr="00E62306">
        <w:rPr>
          <w:sz w:val="20"/>
          <w:szCs w:val="20"/>
        </w:rPr>
        <w:t>Karakatsanis</w:t>
      </w:r>
      <w:proofErr w:type="spellEnd"/>
      <w:r w:rsidRPr="00E62306">
        <w:rPr>
          <w:sz w:val="20"/>
          <w:szCs w:val="20"/>
        </w:rPr>
        <w:t xml:space="preserve">, Wagner, </w:t>
      </w:r>
      <w:proofErr w:type="spellStart"/>
      <w:r w:rsidRPr="00E62306">
        <w:rPr>
          <w:sz w:val="20"/>
          <w:szCs w:val="20"/>
        </w:rPr>
        <w:t>Gascon</w:t>
      </w:r>
      <w:proofErr w:type="spellEnd"/>
      <w:r w:rsidRPr="00E62306">
        <w:rPr>
          <w:sz w:val="20"/>
          <w:szCs w:val="20"/>
        </w:rPr>
        <w:t xml:space="preserve">, </w:t>
      </w:r>
      <w:proofErr w:type="spellStart"/>
      <w:r w:rsidRPr="00E62306">
        <w:rPr>
          <w:sz w:val="20"/>
          <w:szCs w:val="20"/>
        </w:rPr>
        <w:t>Côté</w:t>
      </w:r>
      <w:proofErr w:type="spellEnd"/>
      <w:r w:rsidRPr="00E62306">
        <w:rPr>
          <w:sz w:val="20"/>
          <w:szCs w:val="20"/>
        </w:rPr>
        <w:t>, Brown and Rowe JJ.</w:t>
      </w:r>
    </w:p>
    <w:p w:rsidR="007578C8" w:rsidRDefault="007578C8" w:rsidP="007578C8">
      <w:pPr>
        <w:pStyle w:val="SCCNormalDoubleSpacing"/>
        <w:spacing w:line="240" w:lineRule="auto"/>
        <w:rPr>
          <w:i/>
          <w:sz w:val="20"/>
        </w:rPr>
      </w:pPr>
    </w:p>
    <w:p w:rsidR="007578C8" w:rsidRDefault="007578C8" w:rsidP="007578C8">
      <w:pPr>
        <w:pStyle w:val="SCCNormalDoubleSpacing"/>
        <w:spacing w:line="240" w:lineRule="auto"/>
        <w:rPr>
          <w:i/>
          <w:sz w:val="20"/>
        </w:rPr>
      </w:pPr>
      <w:r w:rsidRPr="00E62306">
        <w:rPr>
          <w:i/>
          <w:sz w:val="20"/>
        </w:rPr>
        <w:tab/>
        <w:t>Human rights — Discriminatory practices — Discrimination based on mental or physical disability — Drug dependency — Employer’s policy aimed at ensuring safety required employees to disclose dependence or addiction issues before drug</w:t>
      </w:r>
      <w:r w:rsidRPr="00E62306">
        <w:rPr>
          <w:i/>
          <w:sz w:val="20"/>
        </w:rPr>
        <w:noBreakHyphen/>
        <w:t>related incident — Employee involved in accident — Employee tested positive for drug use — Employer terminated employee’s employment pursuant to policy — Whether employee was terminated for addiction or for breaching policy — If termination constituted prima facie discrimination, whether employer met its obligation to accommodate employee to point of undue hardship — Human Rights, Citizenship and Multiculturalism Act, R.S.A. 2000, c. H</w:t>
      </w:r>
      <w:r w:rsidRPr="00E62306">
        <w:rPr>
          <w:i/>
          <w:sz w:val="20"/>
        </w:rPr>
        <w:noBreakHyphen/>
        <w:t>14, s. 7(1).</w:t>
      </w:r>
    </w:p>
    <w:p w:rsidR="007578C8" w:rsidRPr="00E62306" w:rsidRDefault="007578C8" w:rsidP="007578C8">
      <w:pPr>
        <w:pStyle w:val="SCCNormalDoubleSpacing"/>
        <w:spacing w:line="240" w:lineRule="auto"/>
        <w:rPr>
          <w:i/>
          <w:sz w:val="20"/>
        </w:rPr>
      </w:pPr>
    </w:p>
    <w:p w:rsidR="007578C8" w:rsidRDefault="007578C8" w:rsidP="007578C8">
      <w:pPr>
        <w:pStyle w:val="SCCNormalDoubleSpacing"/>
        <w:spacing w:line="240" w:lineRule="auto"/>
        <w:rPr>
          <w:sz w:val="20"/>
        </w:rPr>
      </w:pPr>
      <w:r w:rsidRPr="00E62306">
        <w:rPr>
          <w:sz w:val="20"/>
        </w:rPr>
        <w:tab/>
        <w:t>S worked in a mine operated by the Elk Valley Coal Corporation, driving a loader. The mine operations were dangerous, and maintaining a safe worksite was a matter of great importance to the employer and employees. To ensure safety, the employer implemented a policy requiring that employees disclose any dependence or addiction issues before any drug</w:t>
      </w:r>
      <w:r w:rsidRPr="00E62306">
        <w:rPr>
          <w:sz w:val="20"/>
        </w:rPr>
        <w:noBreakHyphen/>
        <w:t>related incident occurred. If they did, they would be offered treatment. However, if they failed to disclose and were involved in an incident and tested positive for drugs, they would be terminated.</w:t>
      </w:r>
    </w:p>
    <w:p w:rsidR="007578C8" w:rsidRPr="00E62306" w:rsidRDefault="007578C8" w:rsidP="007578C8">
      <w:pPr>
        <w:pStyle w:val="SCCNormalDoubleSpacing"/>
        <w:spacing w:line="240" w:lineRule="auto"/>
        <w:rPr>
          <w:sz w:val="20"/>
        </w:rPr>
      </w:pPr>
    </w:p>
    <w:p w:rsidR="007578C8" w:rsidRDefault="007578C8" w:rsidP="007578C8">
      <w:pPr>
        <w:pStyle w:val="SCCNormalDoubleSpacing"/>
        <w:spacing w:line="240" w:lineRule="auto"/>
        <w:rPr>
          <w:sz w:val="20"/>
        </w:rPr>
      </w:pPr>
      <w:r w:rsidRPr="00E62306">
        <w:rPr>
          <w:sz w:val="20"/>
        </w:rPr>
        <w:tab/>
        <w:t xml:space="preserve">S used cocaine on his days off. He did not tell his employer that he was using drugs. When his loader was involved in an accident, he tested positive for drugs and later said that he thought he was addicted to cocaine. His employer terminated his employment. S, through his union representative, argues that he was terminated for addiction and that this constitutes discrimination under s. 7 of the Alberta </w:t>
      </w:r>
      <w:r w:rsidRPr="00E62306">
        <w:rPr>
          <w:i/>
          <w:sz w:val="20"/>
        </w:rPr>
        <w:t>Human Rights, Citizenship and Multiculturalism Act</w:t>
      </w:r>
      <w:r w:rsidRPr="00E62306">
        <w:rPr>
          <w:sz w:val="20"/>
        </w:rPr>
        <w:t>.</w:t>
      </w:r>
    </w:p>
    <w:p w:rsidR="007578C8" w:rsidRPr="00E62306" w:rsidRDefault="007578C8" w:rsidP="007578C8">
      <w:pPr>
        <w:pStyle w:val="SCCNormalDoubleSpacing"/>
        <w:spacing w:line="240" w:lineRule="auto"/>
        <w:rPr>
          <w:sz w:val="20"/>
        </w:rPr>
      </w:pPr>
    </w:p>
    <w:p w:rsidR="007578C8" w:rsidRDefault="007578C8" w:rsidP="007578C8">
      <w:pPr>
        <w:pStyle w:val="SCCNormalDoubleSpacing"/>
        <w:spacing w:line="240" w:lineRule="auto"/>
        <w:rPr>
          <w:sz w:val="20"/>
        </w:rPr>
      </w:pPr>
      <w:r w:rsidRPr="00E62306">
        <w:rPr>
          <w:sz w:val="20"/>
        </w:rPr>
        <w:tab/>
        <w:t>The Alberta Human Rights Tribunal held that S was terminated for breaching the policy, not because of his addiction. Its decision was affirmed by the Alberta Court of Queen’s Bench and by the Alberta Court of Appeal.</w:t>
      </w:r>
    </w:p>
    <w:p w:rsidR="007578C8" w:rsidRPr="00E62306" w:rsidRDefault="007578C8" w:rsidP="007578C8">
      <w:pPr>
        <w:pStyle w:val="SCCNormalDoubleSpacing"/>
        <w:spacing w:line="240" w:lineRule="auto"/>
        <w:rPr>
          <w:sz w:val="20"/>
        </w:rPr>
      </w:pPr>
    </w:p>
    <w:p w:rsidR="007578C8" w:rsidRDefault="007578C8" w:rsidP="007578C8">
      <w:pPr>
        <w:pStyle w:val="SCCNormalDoubleSpacing"/>
        <w:spacing w:line="240" w:lineRule="auto"/>
        <w:rPr>
          <w:sz w:val="20"/>
        </w:rPr>
      </w:pPr>
      <w:r w:rsidRPr="00E62306">
        <w:rPr>
          <w:sz w:val="20"/>
        </w:rPr>
        <w:tab/>
      </w:r>
      <w:r w:rsidRPr="00E62306">
        <w:rPr>
          <w:i/>
          <w:sz w:val="20"/>
        </w:rPr>
        <w:t>Held</w:t>
      </w:r>
      <w:r w:rsidRPr="00E62306">
        <w:rPr>
          <w:sz w:val="20"/>
        </w:rPr>
        <w:t>: The appeal should be dismissed.</w:t>
      </w:r>
    </w:p>
    <w:p w:rsidR="007578C8" w:rsidRPr="00E62306" w:rsidRDefault="007578C8" w:rsidP="007578C8">
      <w:pPr>
        <w:pStyle w:val="SCCNormalDoubleSpacing"/>
        <w:spacing w:line="240" w:lineRule="auto"/>
        <w:rPr>
          <w:sz w:val="20"/>
        </w:rPr>
      </w:pPr>
    </w:p>
    <w:p w:rsidR="007578C8" w:rsidRDefault="007578C8" w:rsidP="007578C8">
      <w:pPr>
        <w:pStyle w:val="SCCNormalDoubleSpacing"/>
        <w:spacing w:line="240" w:lineRule="auto"/>
        <w:rPr>
          <w:sz w:val="20"/>
        </w:rPr>
      </w:pPr>
      <w:r w:rsidRPr="00E62306">
        <w:rPr>
          <w:sz w:val="20"/>
        </w:rPr>
        <w:tab/>
      </w:r>
      <w:r w:rsidRPr="00E62306">
        <w:rPr>
          <w:i/>
          <w:sz w:val="20"/>
        </w:rPr>
        <w:t>Per</w:t>
      </w:r>
      <w:r w:rsidRPr="00E62306">
        <w:rPr>
          <w:sz w:val="20"/>
        </w:rPr>
        <w:t xml:space="preserve"> </w:t>
      </w:r>
      <w:proofErr w:type="spellStart"/>
      <w:r w:rsidRPr="00E62306">
        <w:rPr>
          <w:b/>
          <w:sz w:val="20"/>
        </w:rPr>
        <w:t>McLachlin</w:t>
      </w:r>
      <w:proofErr w:type="spellEnd"/>
      <w:r w:rsidRPr="00E62306">
        <w:rPr>
          <w:b/>
          <w:sz w:val="20"/>
        </w:rPr>
        <w:t> C.J.</w:t>
      </w:r>
      <w:r w:rsidRPr="00E62306">
        <w:rPr>
          <w:sz w:val="20"/>
        </w:rPr>
        <w:t xml:space="preserve"> and </w:t>
      </w:r>
      <w:proofErr w:type="spellStart"/>
      <w:r w:rsidRPr="00E62306">
        <w:rPr>
          <w:sz w:val="20"/>
        </w:rPr>
        <w:t>Abella</w:t>
      </w:r>
      <w:proofErr w:type="spellEnd"/>
      <w:r w:rsidRPr="00E62306">
        <w:rPr>
          <w:sz w:val="20"/>
        </w:rPr>
        <w:t xml:space="preserve">, </w:t>
      </w:r>
      <w:proofErr w:type="spellStart"/>
      <w:r w:rsidRPr="00E62306">
        <w:rPr>
          <w:sz w:val="20"/>
        </w:rPr>
        <w:t>Karakatsanis</w:t>
      </w:r>
      <w:proofErr w:type="spellEnd"/>
      <w:r w:rsidRPr="00E62306">
        <w:rPr>
          <w:sz w:val="20"/>
        </w:rPr>
        <w:t xml:space="preserve">, </w:t>
      </w:r>
      <w:proofErr w:type="spellStart"/>
      <w:r w:rsidRPr="00E62306">
        <w:rPr>
          <w:sz w:val="20"/>
        </w:rPr>
        <w:t>Côté</w:t>
      </w:r>
      <w:proofErr w:type="spellEnd"/>
      <w:r w:rsidRPr="00E62306">
        <w:rPr>
          <w:sz w:val="20"/>
        </w:rPr>
        <w:t>, Brown and Rowe JJ.: This case involves the application of settled principles on workplace disability discrimination to a particular fact situation. The nature of the particular disability at issue does not change the legal principles to be applied. These issues were within the purview of the Tribunal, and attract deference. The only question is whether the Tribunal’s decision is reasonable. If the decision is within a range of possible, acceptable outcomes which are defensible in respect of the evidence and the law, it is reasonable.</w:t>
      </w:r>
    </w:p>
    <w:p w:rsidR="007578C8" w:rsidRPr="00E62306" w:rsidRDefault="007578C8" w:rsidP="007578C8">
      <w:pPr>
        <w:pStyle w:val="SCCNormalDoubleSpacing"/>
        <w:spacing w:line="240" w:lineRule="auto"/>
        <w:rPr>
          <w:sz w:val="20"/>
        </w:rPr>
      </w:pPr>
    </w:p>
    <w:p w:rsidR="007578C8" w:rsidRDefault="007578C8" w:rsidP="007578C8">
      <w:pPr>
        <w:pStyle w:val="SCCNormalDoubleSpacing"/>
        <w:spacing w:line="240" w:lineRule="auto"/>
        <w:rPr>
          <w:sz w:val="20"/>
        </w:rPr>
      </w:pPr>
      <w:r w:rsidRPr="00E62306">
        <w:rPr>
          <w:sz w:val="20"/>
        </w:rPr>
        <w:tab/>
        <w:t xml:space="preserve">It is clear that there was evidence capable of supporting the Tribunal’s conclusion that the reason for the termination was not addiction, but breach of the policy. On the facts of this case, the Tribunal concluded that S had the capacity to comply with the terms of the policy and that he would have been fired whether he was an addict or a casual user. It was therefore not unreasonable for the Tribunal to conclude that there was no </w:t>
      </w:r>
      <w:r w:rsidRPr="00E62306">
        <w:rPr>
          <w:i/>
          <w:sz w:val="20"/>
        </w:rPr>
        <w:t>prima facie</w:t>
      </w:r>
      <w:r w:rsidRPr="00E62306">
        <w:rPr>
          <w:sz w:val="20"/>
        </w:rPr>
        <w:t xml:space="preserve"> discrimination. Although it is open to a tribunal to find that an addiction was a factor in an adverse distinction where the evidence supports such a finding, this was clearly not the finding of the Tribunal. It unequivocally and repeatedly stated that addiction was not a factor in the decision to terminate. It also rejected the argument that denial prevented </w:t>
      </w:r>
      <w:proofErr w:type="spellStart"/>
      <w:r w:rsidRPr="00E62306">
        <w:rPr>
          <w:sz w:val="20"/>
        </w:rPr>
        <w:t>S</w:t>
      </w:r>
      <w:proofErr w:type="spellEnd"/>
      <w:r w:rsidRPr="00E62306">
        <w:rPr>
          <w:sz w:val="20"/>
        </w:rPr>
        <w:t xml:space="preserve"> from disclosing his addiction prior to the accident. While S may have been in denial about his addiction, he knew he should not take drugs before working and had the ability to decide not to take them, as well as the capacity to disclose his drug use to his employer. Denial about his addiction was thus irrelevant in this case. Finally, a finding of stereotypical or arbitrary decision</w:t>
      </w:r>
      <w:r w:rsidRPr="00E62306">
        <w:rPr>
          <w:sz w:val="20"/>
        </w:rPr>
        <w:noBreakHyphen/>
        <w:t>making is not a stand</w:t>
      </w:r>
      <w:r w:rsidRPr="00E62306">
        <w:rPr>
          <w:sz w:val="20"/>
        </w:rPr>
        <w:noBreakHyphen/>
        <w:t xml:space="preserve">alone requirement for proving </w:t>
      </w:r>
      <w:r w:rsidRPr="00E62306">
        <w:rPr>
          <w:i/>
          <w:sz w:val="20"/>
        </w:rPr>
        <w:t>prima facie</w:t>
      </w:r>
      <w:r w:rsidRPr="00E62306">
        <w:rPr>
          <w:sz w:val="20"/>
        </w:rPr>
        <w:t xml:space="preserve"> discrimination, and there is no need to alter the settled view that the protected ground or characteristic need only be a factor in the decision.</w:t>
      </w:r>
    </w:p>
    <w:p w:rsidR="007578C8" w:rsidRPr="00E62306" w:rsidRDefault="007578C8" w:rsidP="007578C8">
      <w:pPr>
        <w:pStyle w:val="SCCNormalDoubleSpacing"/>
        <w:spacing w:line="240" w:lineRule="auto"/>
        <w:rPr>
          <w:sz w:val="20"/>
        </w:rPr>
      </w:pPr>
    </w:p>
    <w:p w:rsidR="007578C8" w:rsidRDefault="007578C8" w:rsidP="007578C8">
      <w:pPr>
        <w:pStyle w:val="SCCNormalDoubleSpacing"/>
        <w:spacing w:line="240" w:lineRule="auto"/>
        <w:rPr>
          <w:sz w:val="20"/>
        </w:rPr>
      </w:pPr>
      <w:r w:rsidRPr="00E62306">
        <w:rPr>
          <w:sz w:val="20"/>
        </w:rPr>
        <w:lastRenderedPageBreak/>
        <w:t xml:space="preserve"> </w:t>
      </w:r>
      <w:r w:rsidRPr="00E62306">
        <w:rPr>
          <w:sz w:val="20"/>
        </w:rPr>
        <w:tab/>
        <w:t xml:space="preserve">Since the Tribunal’s decision that </w:t>
      </w:r>
      <w:r w:rsidRPr="00E62306">
        <w:rPr>
          <w:i/>
          <w:sz w:val="20"/>
        </w:rPr>
        <w:t>prima facie</w:t>
      </w:r>
      <w:r w:rsidRPr="00E62306">
        <w:rPr>
          <w:sz w:val="20"/>
        </w:rPr>
        <w:t xml:space="preserve"> discrimination was not established was reasonable, it is unnecessary to consider whether S was reasonably accommodated.</w:t>
      </w:r>
    </w:p>
    <w:p w:rsidR="007578C8" w:rsidRPr="00E62306" w:rsidRDefault="007578C8" w:rsidP="007578C8">
      <w:pPr>
        <w:pStyle w:val="SCCNormalDoubleSpacing"/>
        <w:spacing w:line="240" w:lineRule="auto"/>
        <w:rPr>
          <w:sz w:val="20"/>
        </w:rPr>
      </w:pPr>
    </w:p>
    <w:p w:rsidR="007578C8" w:rsidRDefault="007578C8" w:rsidP="007578C8">
      <w:pPr>
        <w:pStyle w:val="SCCNormalDoubleSpacing"/>
        <w:spacing w:line="240" w:lineRule="auto"/>
        <w:rPr>
          <w:sz w:val="20"/>
        </w:rPr>
      </w:pPr>
      <w:r w:rsidRPr="00E62306">
        <w:rPr>
          <w:sz w:val="20"/>
        </w:rPr>
        <w:tab/>
      </w:r>
      <w:r w:rsidRPr="00E62306">
        <w:rPr>
          <w:i/>
          <w:sz w:val="20"/>
        </w:rPr>
        <w:t>Per</w:t>
      </w:r>
      <w:r w:rsidRPr="00E62306">
        <w:rPr>
          <w:sz w:val="20"/>
        </w:rPr>
        <w:t xml:space="preserve"> </w:t>
      </w:r>
      <w:proofErr w:type="spellStart"/>
      <w:r w:rsidRPr="00E62306">
        <w:rPr>
          <w:b/>
          <w:sz w:val="20"/>
        </w:rPr>
        <w:t>Moldaver</w:t>
      </w:r>
      <w:proofErr w:type="spellEnd"/>
      <w:r w:rsidRPr="00E62306">
        <w:rPr>
          <w:b/>
          <w:sz w:val="20"/>
        </w:rPr>
        <w:t xml:space="preserve"> and Wagner JJ.</w:t>
      </w:r>
      <w:r w:rsidRPr="00E62306">
        <w:rPr>
          <w:sz w:val="20"/>
        </w:rPr>
        <w:t xml:space="preserve">: The Tribunal’s conclusion that S’s drug dependency was not a factor in his termination was unreasonable. To prove </w:t>
      </w:r>
      <w:r w:rsidRPr="00E62306">
        <w:rPr>
          <w:i/>
          <w:sz w:val="20"/>
        </w:rPr>
        <w:t>prima facie</w:t>
      </w:r>
      <w:r w:rsidRPr="00E62306">
        <w:rPr>
          <w:sz w:val="20"/>
        </w:rPr>
        <w:t xml:space="preserve"> discrimination, S is not required to show that his termination was caused solely or even primarily by his drug dependency. Rather, he must only show that there is a connection between the protected ground — his drug dependency — and the adverse effect. His exercise of some control over his drug use merely reduced the extent to which his dependency contributed to his termination — it did not eliminate it as a factor in his termination.</w:t>
      </w:r>
    </w:p>
    <w:p w:rsidR="007578C8" w:rsidRPr="00E62306" w:rsidRDefault="007578C8" w:rsidP="007578C8">
      <w:pPr>
        <w:pStyle w:val="SCCNormalDoubleSpacing"/>
        <w:spacing w:line="240" w:lineRule="auto"/>
        <w:rPr>
          <w:sz w:val="20"/>
        </w:rPr>
      </w:pPr>
    </w:p>
    <w:p w:rsidR="007578C8" w:rsidRDefault="007578C8" w:rsidP="007578C8">
      <w:pPr>
        <w:pStyle w:val="SCCNormalDoubleSpacing"/>
        <w:spacing w:line="240" w:lineRule="auto"/>
        <w:rPr>
          <w:sz w:val="20"/>
        </w:rPr>
      </w:pPr>
      <w:r w:rsidRPr="00E62306">
        <w:rPr>
          <w:sz w:val="20"/>
        </w:rPr>
        <w:tab/>
        <w:t>However, the Tribunal reasonably held that the employer had met its obligation to accommodate S to the point of undue hardship. Given the employer’s safety objectives and responsibilities at the coal mine, it was crucial to deter employees from using drugs in a manner that could negatively affect their work performance and potentially lead to devastating consequences. Subjecting S to an individual assessment or imposing an unpaid suspension for a limited period as a disciplinary measure instead of imposing the serious and immediate consequence of termination would have undermined the policy’s deterrent effect. Therefore, the Tribunal reasonably concluded that incorporating these aspects of individual accommodation would result in undue hardship.</w:t>
      </w:r>
    </w:p>
    <w:p w:rsidR="007578C8" w:rsidRPr="00E62306" w:rsidRDefault="007578C8" w:rsidP="007578C8">
      <w:pPr>
        <w:pStyle w:val="SCCNormalDoubleSpacing"/>
        <w:spacing w:line="240" w:lineRule="auto"/>
        <w:rPr>
          <w:sz w:val="20"/>
        </w:rPr>
      </w:pPr>
    </w:p>
    <w:p w:rsidR="007578C8" w:rsidRDefault="007578C8" w:rsidP="007578C8">
      <w:pPr>
        <w:pStyle w:val="SCCNormalDoubleSpacing"/>
        <w:spacing w:line="240" w:lineRule="auto"/>
        <w:rPr>
          <w:sz w:val="20"/>
        </w:rPr>
      </w:pPr>
      <w:r w:rsidRPr="00E62306">
        <w:rPr>
          <w:sz w:val="20"/>
        </w:rPr>
        <w:tab/>
      </w:r>
      <w:r w:rsidRPr="00E62306">
        <w:rPr>
          <w:i/>
          <w:sz w:val="20"/>
        </w:rPr>
        <w:t>Per</w:t>
      </w:r>
      <w:r w:rsidRPr="00E62306">
        <w:rPr>
          <w:sz w:val="20"/>
        </w:rPr>
        <w:t xml:space="preserve"> </w:t>
      </w:r>
      <w:proofErr w:type="spellStart"/>
      <w:r w:rsidRPr="00E62306">
        <w:rPr>
          <w:b/>
          <w:sz w:val="20"/>
        </w:rPr>
        <w:t>Gascon</w:t>
      </w:r>
      <w:proofErr w:type="spellEnd"/>
      <w:r w:rsidRPr="00E62306">
        <w:rPr>
          <w:b/>
          <w:sz w:val="20"/>
        </w:rPr>
        <w:t> J.</w:t>
      </w:r>
      <w:r w:rsidRPr="00E62306">
        <w:rPr>
          <w:sz w:val="20"/>
        </w:rPr>
        <w:t xml:space="preserve"> (dissenting): Although drug dependence is a protected ground of discrimination in human rights law, stigmas surrounding drug dependence — like the belief that individuals suffering from it are the authors of their own misfortune or that their concerns are less credible than those of people suffering from other forms of disability — sometimes impair the ability of courts and society to objectively assess the merits of their discrimination claims. These stigmas contribute to the uneasy fit of drug addiction and drug testing policies in the human rights arena. The improper considerations relied on by the Tribunal effectively excluded S from the scope of human rights protections.</w:t>
      </w:r>
    </w:p>
    <w:p w:rsidR="007578C8" w:rsidRPr="00E62306" w:rsidRDefault="007578C8" w:rsidP="007578C8">
      <w:pPr>
        <w:pStyle w:val="SCCNormalDoubleSpacing"/>
        <w:spacing w:line="240" w:lineRule="auto"/>
        <w:rPr>
          <w:sz w:val="20"/>
        </w:rPr>
      </w:pPr>
    </w:p>
    <w:p w:rsidR="007578C8" w:rsidRDefault="007578C8" w:rsidP="007578C8">
      <w:pPr>
        <w:pStyle w:val="SCCNormalDoubleSpacing"/>
        <w:spacing w:line="240" w:lineRule="auto"/>
        <w:rPr>
          <w:sz w:val="20"/>
        </w:rPr>
      </w:pPr>
      <w:r w:rsidRPr="00E62306">
        <w:rPr>
          <w:sz w:val="20"/>
        </w:rPr>
        <w:tab/>
        <w:t xml:space="preserve">A drug policy that automatically terminates employees who use drugs </w:t>
      </w:r>
      <w:r w:rsidRPr="00E62306">
        <w:rPr>
          <w:i/>
          <w:sz w:val="20"/>
        </w:rPr>
        <w:t>prima facie</w:t>
      </w:r>
      <w:r w:rsidRPr="00E62306">
        <w:rPr>
          <w:sz w:val="20"/>
        </w:rPr>
        <w:t xml:space="preserve"> discriminates against individuals burdened by drug dependence. The legal threshold for </w:t>
      </w:r>
      <w:r w:rsidRPr="00E62306">
        <w:rPr>
          <w:i/>
          <w:sz w:val="20"/>
        </w:rPr>
        <w:t>prima facie</w:t>
      </w:r>
      <w:r w:rsidRPr="00E62306">
        <w:rPr>
          <w:sz w:val="20"/>
        </w:rPr>
        <w:t xml:space="preserve"> discrimination is whether the complainant’s protected ground is a factor in the harm they suffer (also called “contribution”). Here, drug dependence was a factor in S’s drug use, so the policy under which S was terminated for using drugs is </w:t>
      </w:r>
      <w:r w:rsidRPr="00E62306">
        <w:rPr>
          <w:i/>
          <w:sz w:val="20"/>
        </w:rPr>
        <w:t>prima facie</w:t>
      </w:r>
      <w:r w:rsidRPr="00E62306">
        <w:rPr>
          <w:sz w:val="20"/>
        </w:rPr>
        <w:t xml:space="preserve"> discriminatory. The Tribunal’s analysis was unreasonable because it misunderstood the legal principles informing discrimination law, and was unsupported by its factual findings.</w:t>
      </w:r>
    </w:p>
    <w:p w:rsidR="007578C8" w:rsidRPr="00E62306" w:rsidRDefault="007578C8" w:rsidP="007578C8">
      <w:pPr>
        <w:pStyle w:val="SCCNormalDoubleSpacing"/>
        <w:spacing w:line="240" w:lineRule="auto"/>
        <w:rPr>
          <w:sz w:val="20"/>
        </w:rPr>
      </w:pPr>
    </w:p>
    <w:p w:rsidR="007578C8" w:rsidRDefault="007578C8" w:rsidP="007578C8">
      <w:pPr>
        <w:pStyle w:val="SCCNormalDoubleSpacing"/>
        <w:spacing w:line="240" w:lineRule="auto"/>
        <w:rPr>
          <w:sz w:val="20"/>
        </w:rPr>
      </w:pPr>
      <w:r w:rsidRPr="00E62306">
        <w:rPr>
          <w:sz w:val="20"/>
        </w:rPr>
        <w:tab/>
        <w:t xml:space="preserve">The analysis of </w:t>
      </w:r>
      <w:r w:rsidRPr="00E62306">
        <w:rPr>
          <w:i/>
          <w:sz w:val="20"/>
        </w:rPr>
        <w:t>prima facie</w:t>
      </w:r>
      <w:r w:rsidRPr="00E62306">
        <w:rPr>
          <w:sz w:val="20"/>
        </w:rPr>
        <w:t xml:space="preserve"> discrimination, and, in particular, contribution, is concerned with discriminatory effect, not discriminatory intent. Contribution addresses the relationship between an employee’s protected ground and harm, not between the ground and the intent to harm that employee. A ground need only be at least one of the factors linked to the employee’s harm. The Tribunal did not follow this established approach. Instead, it unreasonably held that S’s addiction did not contribute to his termination based on four conceptual errors.</w:t>
      </w:r>
    </w:p>
    <w:p w:rsidR="007578C8" w:rsidRPr="00E62306" w:rsidRDefault="007578C8" w:rsidP="007578C8">
      <w:pPr>
        <w:pStyle w:val="SCCNormalDoubleSpacing"/>
        <w:spacing w:line="240" w:lineRule="auto"/>
        <w:rPr>
          <w:sz w:val="20"/>
        </w:rPr>
      </w:pPr>
    </w:p>
    <w:p w:rsidR="007578C8" w:rsidRDefault="007578C8" w:rsidP="007578C8">
      <w:pPr>
        <w:pStyle w:val="SCCNormalDoubleSpacing"/>
        <w:spacing w:line="240" w:lineRule="auto"/>
        <w:rPr>
          <w:sz w:val="20"/>
        </w:rPr>
      </w:pPr>
      <w:r w:rsidRPr="00E62306">
        <w:rPr>
          <w:sz w:val="20"/>
        </w:rPr>
        <w:tab/>
        <w:t>First, it required S to make prudent choices to avoid discrimination. Requiring that complainants be prudent in avoiding discrimination amounts to a sort of contributory fault defence in discrimination cases, which (1) places a burden on complainants to avoid discrimination, rather than on employers not to discriminate; (2) is irreconcilable with recently recognized statutory grounds that arguably implicate a complainant’s choices that are significant to their identity; (3) generally contradicts the Court’s rejection of drawing superficial distinctions between protected grounds and conduct inextricably linked to those grounds; (4) specifically contradicts the Court’s rejection of the view that choice makes drug users responsible for the harms of their drug use; (5) reinforces stigma by blaming marginalized communities for their choices; and (6) substitutes the proper inquiry (whether drug</w:t>
      </w:r>
      <w:r w:rsidRPr="00E62306">
        <w:rPr>
          <w:sz w:val="20"/>
        </w:rPr>
        <w:noBreakHyphen/>
        <w:t>dependent individuals are adversely impacted by the policy) with an improper inquiry (whether drug</w:t>
      </w:r>
      <w:r w:rsidRPr="00E62306">
        <w:rPr>
          <w:sz w:val="20"/>
        </w:rPr>
        <w:noBreakHyphen/>
        <w:t>dependent individuals are so overwhelmingly impacted by their addictions that any discrimination they experience is caused exclusively by their addictions).</w:t>
      </w:r>
    </w:p>
    <w:p w:rsidR="007578C8" w:rsidRPr="00E62306" w:rsidRDefault="007578C8" w:rsidP="007578C8">
      <w:pPr>
        <w:pStyle w:val="SCCNormalDoubleSpacing"/>
        <w:spacing w:line="240" w:lineRule="auto"/>
        <w:rPr>
          <w:sz w:val="20"/>
        </w:rPr>
      </w:pPr>
    </w:p>
    <w:p w:rsidR="007578C8" w:rsidRDefault="007578C8" w:rsidP="007578C8">
      <w:pPr>
        <w:pStyle w:val="SCCNormalDoubleSpacing"/>
        <w:spacing w:line="240" w:lineRule="auto"/>
        <w:rPr>
          <w:sz w:val="20"/>
        </w:rPr>
      </w:pPr>
      <w:r w:rsidRPr="00E62306">
        <w:rPr>
          <w:sz w:val="20"/>
        </w:rPr>
        <w:tab/>
        <w:t>Second, the Tribunal limited S’s protections to an assurance of formal equality. While both dependent and recreational drug users will receive similar treatment for violating the policy, only drug</w:t>
      </w:r>
      <w:r w:rsidRPr="00E62306">
        <w:rPr>
          <w:sz w:val="20"/>
        </w:rPr>
        <w:noBreakHyphen/>
        <w:t xml:space="preserve">dependent persons will uniquely and disproportionately struggle in complying with the terms of the policy. </w:t>
      </w:r>
    </w:p>
    <w:p w:rsidR="007578C8" w:rsidRPr="00E62306" w:rsidRDefault="007578C8" w:rsidP="007578C8">
      <w:pPr>
        <w:pStyle w:val="SCCNormalDoubleSpacing"/>
        <w:spacing w:line="240" w:lineRule="auto"/>
        <w:rPr>
          <w:sz w:val="20"/>
        </w:rPr>
      </w:pPr>
    </w:p>
    <w:p w:rsidR="007578C8" w:rsidRDefault="007578C8" w:rsidP="007578C8">
      <w:pPr>
        <w:pStyle w:val="SCCNormalDoubleSpacing"/>
        <w:spacing w:line="240" w:lineRule="auto"/>
        <w:rPr>
          <w:sz w:val="20"/>
        </w:rPr>
      </w:pPr>
      <w:r w:rsidRPr="00E62306">
        <w:rPr>
          <w:sz w:val="20"/>
        </w:rPr>
        <w:lastRenderedPageBreak/>
        <w:tab/>
        <w:t xml:space="preserve">Third, the Tribunal required S to prove that he was treated arbitrarily or stereotypically, importing substantive considerations into the settled and low threshold for </w:t>
      </w:r>
      <w:r w:rsidRPr="00E62306">
        <w:rPr>
          <w:i/>
          <w:sz w:val="20"/>
        </w:rPr>
        <w:t xml:space="preserve">prima facie </w:t>
      </w:r>
      <w:r w:rsidRPr="00E62306">
        <w:rPr>
          <w:sz w:val="20"/>
        </w:rPr>
        <w:t>discrimination and shifting a justificatory burden from the employer onto the complainant.</w:t>
      </w:r>
    </w:p>
    <w:p w:rsidR="007578C8" w:rsidRPr="00E62306" w:rsidRDefault="007578C8" w:rsidP="007578C8">
      <w:pPr>
        <w:pStyle w:val="SCCNormalDoubleSpacing"/>
        <w:spacing w:line="240" w:lineRule="auto"/>
        <w:rPr>
          <w:sz w:val="20"/>
        </w:rPr>
      </w:pPr>
    </w:p>
    <w:p w:rsidR="007578C8" w:rsidRDefault="007578C8" w:rsidP="007578C8">
      <w:pPr>
        <w:pStyle w:val="SCCNormalDoubleSpacing"/>
        <w:spacing w:line="240" w:lineRule="auto"/>
        <w:rPr>
          <w:sz w:val="20"/>
        </w:rPr>
      </w:pPr>
      <w:r w:rsidRPr="00E62306">
        <w:rPr>
          <w:sz w:val="20"/>
        </w:rPr>
        <w:tab/>
        <w:t xml:space="preserve">Finally, the Tribunal required S to prove a causal relationship between his ground and harm, a higher bar than the mere “factor” threshold repeatedly adopted by the Court. </w:t>
      </w:r>
      <w:r w:rsidRPr="00E62306">
        <w:rPr>
          <w:i/>
          <w:sz w:val="20"/>
        </w:rPr>
        <w:t xml:space="preserve">Prima facie </w:t>
      </w:r>
      <w:r w:rsidRPr="00E62306">
        <w:rPr>
          <w:sz w:val="20"/>
        </w:rPr>
        <w:t xml:space="preserve">discrimination should not be narrowly construed to preserve the enforceability of drug and alcohol policies. Doing so imports justificatory considerations into the </w:t>
      </w:r>
      <w:r w:rsidRPr="00E62306">
        <w:rPr>
          <w:i/>
          <w:sz w:val="20"/>
        </w:rPr>
        <w:t xml:space="preserve">prima facie </w:t>
      </w:r>
      <w:r w:rsidRPr="00E62306">
        <w:rPr>
          <w:sz w:val="20"/>
        </w:rPr>
        <w:t xml:space="preserve">discrimination analysis and exaggerates the implication of finding such policies </w:t>
      </w:r>
      <w:r w:rsidRPr="00E62306">
        <w:rPr>
          <w:i/>
          <w:sz w:val="20"/>
        </w:rPr>
        <w:t xml:space="preserve">prima facie </w:t>
      </w:r>
      <w:r w:rsidRPr="00E62306">
        <w:rPr>
          <w:sz w:val="20"/>
        </w:rPr>
        <w:t xml:space="preserve">discriminatory when they would simply need to be justified as relating to </w:t>
      </w:r>
      <w:r w:rsidRPr="00E62306">
        <w:rPr>
          <w:i/>
          <w:sz w:val="20"/>
        </w:rPr>
        <w:t>bona fide</w:t>
      </w:r>
      <w:r w:rsidRPr="00E62306">
        <w:rPr>
          <w:sz w:val="20"/>
        </w:rPr>
        <w:t xml:space="preserve"> occupational requirements. It also narrows the Court’s recent jurisprudence, which holds that terminating an employee for a reason related to addiction is precisely what it means for that addiction to be a factor in the employee’s harm.</w:t>
      </w:r>
    </w:p>
    <w:p w:rsidR="007578C8" w:rsidRPr="00E62306" w:rsidRDefault="007578C8" w:rsidP="007578C8">
      <w:pPr>
        <w:pStyle w:val="SCCNormalDoubleSpacing"/>
        <w:spacing w:line="240" w:lineRule="auto"/>
        <w:rPr>
          <w:sz w:val="20"/>
        </w:rPr>
      </w:pPr>
    </w:p>
    <w:p w:rsidR="007578C8" w:rsidRDefault="007578C8" w:rsidP="007578C8">
      <w:pPr>
        <w:pStyle w:val="SCCNormalDoubleSpacing"/>
        <w:spacing w:line="240" w:lineRule="auto"/>
        <w:rPr>
          <w:sz w:val="20"/>
        </w:rPr>
      </w:pPr>
      <w:r w:rsidRPr="00E62306">
        <w:rPr>
          <w:sz w:val="20"/>
        </w:rPr>
        <w:tab/>
        <w:t xml:space="preserve">As such, while the Tribunal cited the proper legal test for </w:t>
      </w:r>
      <w:r w:rsidRPr="00E62306">
        <w:rPr>
          <w:i/>
          <w:sz w:val="20"/>
        </w:rPr>
        <w:t xml:space="preserve">prima facie </w:t>
      </w:r>
      <w:r w:rsidRPr="00E62306">
        <w:rPr>
          <w:sz w:val="20"/>
        </w:rPr>
        <w:t xml:space="preserve">discrimination, the manner in which it applied that test and the lack of an evidentiary foundation for its findings demonstrate that its holding on contribution was unreasonable and thus unworthy of deference. Although it repeatedly stated that S’s addiction was not a factor in his termination, its reasons suggest that it meant that S’s addiction was not a factor in the employer’s decision to terminate him. That was the wrong legal test. Under the proper test, the evidence before the Tribunal could not support its conclusion that S’s drug dependence did not contribute to his termination. His residual control over his choices merely diminishes the extent to which his dependence contributed to his harm, it does not eliminate it as a factor. The Tribunal avoided this argument by considering discriminatory intent, not adverse effect, and by improperly requiring absolute incapacity to ground a claim relating to discrimination based on addiction. Consequently, the termination of S was </w:t>
      </w:r>
      <w:r w:rsidRPr="00E62306">
        <w:rPr>
          <w:i/>
          <w:sz w:val="20"/>
        </w:rPr>
        <w:t xml:space="preserve">prima facie </w:t>
      </w:r>
      <w:r w:rsidRPr="00E62306">
        <w:rPr>
          <w:sz w:val="20"/>
        </w:rPr>
        <w:t>discriminatory.</w:t>
      </w:r>
    </w:p>
    <w:p w:rsidR="007578C8" w:rsidRPr="00E62306" w:rsidRDefault="007578C8" w:rsidP="007578C8">
      <w:pPr>
        <w:pStyle w:val="SCCNormalDoubleSpacing"/>
        <w:spacing w:line="240" w:lineRule="auto"/>
        <w:rPr>
          <w:sz w:val="20"/>
        </w:rPr>
      </w:pPr>
    </w:p>
    <w:p w:rsidR="007578C8" w:rsidRDefault="007578C8" w:rsidP="007578C8">
      <w:pPr>
        <w:pStyle w:val="SCCNormalDoubleSpacing"/>
        <w:spacing w:line="240" w:lineRule="auto"/>
        <w:rPr>
          <w:sz w:val="20"/>
        </w:rPr>
      </w:pPr>
      <w:r w:rsidRPr="00E62306">
        <w:rPr>
          <w:sz w:val="20"/>
        </w:rPr>
        <w:tab/>
        <w:t>With respect to justification, a policy that accommodates employees through mechanisms which are either inaccessible by the employee due to their disability or only applicable to the employee post</w:t>
      </w:r>
      <w:r w:rsidRPr="00E62306">
        <w:rPr>
          <w:sz w:val="20"/>
        </w:rPr>
        <w:noBreakHyphen/>
        <w:t xml:space="preserve">termination cannot justify </w:t>
      </w:r>
      <w:r w:rsidRPr="00E62306">
        <w:rPr>
          <w:i/>
          <w:sz w:val="20"/>
        </w:rPr>
        <w:t>prima facie</w:t>
      </w:r>
      <w:r w:rsidRPr="00E62306">
        <w:rPr>
          <w:sz w:val="20"/>
        </w:rPr>
        <w:t xml:space="preserve"> discrimination. Reasonable accommodation requires that the employer arrange the employee’s workplace or duties to enable the employee to do his or her work, if it can do so without undue hardship. To determine what reasonable or practical alternatives are available, an employer must engage in an individualized analysis of the employee based on the employee’s individual differences and capabilities. Therefore, any predetermined or blanket approach to sanctions imposed on employees for disability</w:t>
      </w:r>
      <w:r w:rsidRPr="00E62306">
        <w:rPr>
          <w:sz w:val="20"/>
        </w:rPr>
        <w:noBreakHyphen/>
        <w:t>related conduct will struggle to fulfill an employer’s individualized duty to accommodate.</w:t>
      </w:r>
    </w:p>
    <w:p w:rsidR="007578C8" w:rsidRPr="00E62306" w:rsidRDefault="007578C8" w:rsidP="007578C8">
      <w:pPr>
        <w:pStyle w:val="SCCNormalDoubleSpacing"/>
        <w:spacing w:line="240" w:lineRule="auto"/>
        <w:rPr>
          <w:sz w:val="20"/>
        </w:rPr>
      </w:pPr>
    </w:p>
    <w:p w:rsidR="007578C8" w:rsidRDefault="007578C8" w:rsidP="007578C8">
      <w:pPr>
        <w:pStyle w:val="SCCNormalDoubleSpacing"/>
        <w:spacing w:line="240" w:lineRule="auto"/>
        <w:rPr>
          <w:sz w:val="20"/>
        </w:rPr>
      </w:pPr>
      <w:r w:rsidRPr="00E62306">
        <w:rPr>
          <w:sz w:val="20"/>
        </w:rPr>
        <w:tab/>
        <w:t>Here, the text of the impugned policy provides for individualized post</w:t>
      </w:r>
      <w:r w:rsidRPr="00E62306">
        <w:rPr>
          <w:sz w:val="20"/>
        </w:rPr>
        <w:noBreakHyphen/>
        <w:t>incident accommodation: disciplinary action against an employee who tests positive for drugs is to be based on all relevant circumstances, including the employee’s employment record, the circumstances surrounding the positive test, the employee’s stated pattern of usage, the likelihood that the employee’s work performance has been or may be adversely affected, and the importance of deterring such behaviour. However, the policy was implemented, contrary to its express terms, with no consideration of S’s circumstances. In the human rights context, it is not appropriate for the employer to forego individual assessment in the interest of deterrence, even in the safety</w:t>
      </w:r>
      <w:r w:rsidRPr="00E62306">
        <w:rPr>
          <w:sz w:val="20"/>
        </w:rPr>
        <w:noBreakHyphen/>
        <w:t>sensitive environment of this workplace, and even though that environment motivates strict drug policies.</w:t>
      </w:r>
    </w:p>
    <w:p w:rsidR="007578C8" w:rsidRPr="00E62306" w:rsidRDefault="007578C8" w:rsidP="007578C8">
      <w:pPr>
        <w:pStyle w:val="SCCNormalDoubleSpacing"/>
        <w:spacing w:line="240" w:lineRule="auto"/>
        <w:rPr>
          <w:sz w:val="20"/>
        </w:rPr>
      </w:pPr>
    </w:p>
    <w:p w:rsidR="007578C8" w:rsidRDefault="007578C8" w:rsidP="007578C8">
      <w:pPr>
        <w:pStyle w:val="SCCNormalDoubleSpacing"/>
        <w:spacing w:line="240" w:lineRule="auto"/>
        <w:rPr>
          <w:sz w:val="20"/>
        </w:rPr>
      </w:pPr>
      <w:r w:rsidRPr="00E62306">
        <w:rPr>
          <w:sz w:val="20"/>
        </w:rPr>
        <w:tab/>
        <w:t xml:space="preserve">None of the employer’s efforts at accommodation provided S with accessible accommodation during his employment, and those efforts failed to consider his individual circumstances in a dignified manner, so the employer cannot be said to have discharged its duty to accommodate him as an employee up to the point of undue hardship and the Tribunal’s findings to the contrary were unreasonable. Before termination, S was purportedly accommodated by the offer of lenient treatment if he voluntarily disclosed his drug dependence. But that accommodation was inaccessible by him because he appeared to have been unaware of his dependence, a symptom of his disability. After termination, he was allegedly accommodated by being given the prospect of reapplying for his position. But accommodation assists employees in their sustained employment, not former employees who may, or may not, successfully reapply for the position they lost as a result of a </w:t>
      </w:r>
      <w:r w:rsidRPr="00E62306">
        <w:rPr>
          <w:i/>
          <w:sz w:val="20"/>
        </w:rPr>
        <w:t>prima facie</w:t>
      </w:r>
      <w:r w:rsidRPr="00E62306">
        <w:rPr>
          <w:sz w:val="20"/>
        </w:rPr>
        <w:t xml:space="preserve"> discriminatory termination. Given that all of the purported accommodations provided by the employer could not qualify as accommodation in law, the Tribunal’s holding that those accommodations constituted appropriate accommodation was open to intervention. </w:t>
      </w:r>
    </w:p>
    <w:p w:rsidR="007578C8" w:rsidRPr="00E62306" w:rsidRDefault="007578C8" w:rsidP="007578C8">
      <w:pPr>
        <w:pStyle w:val="SCCNormalDoubleSpacing"/>
        <w:spacing w:line="240" w:lineRule="auto"/>
        <w:rPr>
          <w:sz w:val="20"/>
        </w:rPr>
      </w:pPr>
    </w:p>
    <w:p w:rsidR="007578C8" w:rsidRDefault="007578C8" w:rsidP="007578C8">
      <w:pPr>
        <w:pStyle w:val="SCCNormalDoubleSpacing"/>
        <w:spacing w:line="240" w:lineRule="auto"/>
        <w:rPr>
          <w:sz w:val="20"/>
        </w:rPr>
      </w:pPr>
      <w:r w:rsidRPr="00E62306">
        <w:rPr>
          <w:sz w:val="20"/>
        </w:rPr>
        <w:tab/>
        <w:t xml:space="preserve">APPEAL from a judgment of the Alberta Court of Appeal (Picard, Watson and </w:t>
      </w:r>
      <w:proofErr w:type="spellStart"/>
      <w:r w:rsidRPr="00E62306">
        <w:rPr>
          <w:sz w:val="20"/>
        </w:rPr>
        <w:t>O’Ferrall</w:t>
      </w:r>
      <w:proofErr w:type="spellEnd"/>
      <w:r w:rsidRPr="00E62306">
        <w:rPr>
          <w:sz w:val="20"/>
        </w:rPr>
        <w:t xml:space="preserve"> JJ.A.), 2015 ABCA 225, 19 Alta. L.R. (6th) 219, 602 A.R. 210, 647 W.A.C. 210, 87 Admin. L.R. (5th) 299, 24 C.C.E.L. (4th) 1, 81 C.H.R.R. </w:t>
      </w:r>
      <w:r w:rsidRPr="00E62306">
        <w:rPr>
          <w:sz w:val="20"/>
        </w:rPr>
        <w:lastRenderedPageBreak/>
        <w:t>D/367, [2015] CLLC ¶230</w:t>
      </w:r>
      <w:r w:rsidRPr="00E62306">
        <w:rPr>
          <w:sz w:val="20"/>
        </w:rPr>
        <w:noBreakHyphen/>
        <w:t xml:space="preserve">046, 386 D.L.R. (4th) 383, [2015] 9 W.W.R. 1, [2015] A.J. No. 728 (QL), 2015 </w:t>
      </w:r>
      <w:proofErr w:type="spellStart"/>
      <w:r w:rsidRPr="00E62306">
        <w:rPr>
          <w:sz w:val="20"/>
        </w:rPr>
        <w:t>CarswellAlta</w:t>
      </w:r>
      <w:proofErr w:type="spellEnd"/>
      <w:r w:rsidRPr="00E62306">
        <w:rPr>
          <w:sz w:val="20"/>
        </w:rPr>
        <w:t xml:space="preserve"> 1190 (WL Can.), setting aside in part a decision of </w:t>
      </w:r>
      <w:proofErr w:type="spellStart"/>
      <w:r w:rsidRPr="00E62306">
        <w:rPr>
          <w:sz w:val="20"/>
        </w:rPr>
        <w:t>Michalyshyn</w:t>
      </w:r>
      <w:proofErr w:type="spellEnd"/>
      <w:r w:rsidRPr="00E62306">
        <w:rPr>
          <w:sz w:val="20"/>
        </w:rPr>
        <w:t> J., 2013 ABQB 756, 581 A.R. 234, [2014] CLLC ¶230</w:t>
      </w:r>
      <w:r w:rsidRPr="00E62306">
        <w:rPr>
          <w:sz w:val="20"/>
        </w:rPr>
        <w:noBreakHyphen/>
        <w:t xml:space="preserve">012, [2013] A.J. No. 1462 (QL), 2013 </w:t>
      </w:r>
      <w:proofErr w:type="spellStart"/>
      <w:r w:rsidRPr="00E62306">
        <w:rPr>
          <w:sz w:val="20"/>
        </w:rPr>
        <w:t>CarswellAlta</w:t>
      </w:r>
      <w:proofErr w:type="spellEnd"/>
      <w:r w:rsidRPr="00E62306">
        <w:rPr>
          <w:sz w:val="20"/>
        </w:rPr>
        <w:t xml:space="preserve"> 2733 (WL Can.), affirming a decision of the Alberta Human Rights Tribunal, 2012 AHRC 7, 74 C.H.R.R. D/425, 2012 </w:t>
      </w:r>
      <w:proofErr w:type="spellStart"/>
      <w:r w:rsidRPr="00E62306">
        <w:rPr>
          <w:sz w:val="20"/>
        </w:rPr>
        <w:t>CarswellAlta</w:t>
      </w:r>
      <w:proofErr w:type="spellEnd"/>
      <w:r w:rsidRPr="00E62306">
        <w:rPr>
          <w:sz w:val="20"/>
        </w:rPr>
        <w:t xml:space="preserve"> 2396 (WL Can.). Appeal dismissed, </w:t>
      </w:r>
      <w:proofErr w:type="spellStart"/>
      <w:r w:rsidRPr="00E62306">
        <w:rPr>
          <w:sz w:val="20"/>
        </w:rPr>
        <w:t>Gascon</w:t>
      </w:r>
      <w:proofErr w:type="spellEnd"/>
      <w:r w:rsidRPr="00E62306">
        <w:rPr>
          <w:sz w:val="20"/>
        </w:rPr>
        <w:t xml:space="preserve"> J. dissenting.</w:t>
      </w:r>
    </w:p>
    <w:p w:rsidR="007578C8" w:rsidRPr="00E62306" w:rsidRDefault="007578C8" w:rsidP="007578C8">
      <w:pPr>
        <w:pStyle w:val="SCCNormalDoubleSpacing"/>
        <w:spacing w:line="240" w:lineRule="auto"/>
        <w:rPr>
          <w:sz w:val="20"/>
        </w:rPr>
      </w:pPr>
    </w:p>
    <w:p w:rsidR="007578C8" w:rsidRDefault="007578C8" w:rsidP="007578C8">
      <w:pPr>
        <w:pStyle w:val="SCCNormalDoubleSpacing"/>
        <w:spacing w:line="240" w:lineRule="auto"/>
        <w:rPr>
          <w:rStyle w:val="SCCCounselPartyRoleChar"/>
          <w:sz w:val="20"/>
        </w:rPr>
      </w:pPr>
      <w:r w:rsidRPr="00E62306">
        <w:rPr>
          <w:rStyle w:val="SCCCounselNameChar"/>
          <w:sz w:val="20"/>
        </w:rPr>
        <w:tab/>
        <w:t>E. Wayne Benedict</w:t>
      </w:r>
      <w:r w:rsidRPr="00E62306">
        <w:rPr>
          <w:rStyle w:val="SCCCounselPartyRoleChar"/>
          <w:sz w:val="20"/>
        </w:rPr>
        <w:t>, for the appellant.</w:t>
      </w:r>
    </w:p>
    <w:p w:rsidR="007578C8" w:rsidRPr="00E62306" w:rsidRDefault="007578C8" w:rsidP="007578C8">
      <w:pPr>
        <w:pStyle w:val="SCCNormalDoubleSpacing"/>
        <w:spacing w:line="240" w:lineRule="auto"/>
        <w:rPr>
          <w:sz w:val="20"/>
        </w:rPr>
      </w:pPr>
    </w:p>
    <w:p w:rsidR="007578C8" w:rsidRDefault="007578C8" w:rsidP="007578C8">
      <w:pPr>
        <w:pStyle w:val="SCCNormalDoubleSpacing"/>
        <w:spacing w:line="240" w:lineRule="auto"/>
        <w:rPr>
          <w:rStyle w:val="SCCCounselPartyRoleChar"/>
          <w:sz w:val="20"/>
        </w:rPr>
      </w:pPr>
      <w:r w:rsidRPr="00E62306">
        <w:rPr>
          <w:rStyle w:val="SCCCounselNameChar"/>
          <w:sz w:val="20"/>
        </w:rPr>
        <w:tab/>
        <w:t>Peter A. Gall, Q.C.</w:t>
      </w:r>
      <w:r w:rsidRPr="007578C8">
        <w:rPr>
          <w:rStyle w:val="SCCCounselSeparatorChar"/>
          <w:rFonts w:eastAsia="Calibri"/>
          <w:sz w:val="20"/>
          <w:lang w:val="en-US"/>
        </w:rPr>
        <w:t xml:space="preserve">, </w:t>
      </w:r>
      <w:r w:rsidRPr="00E62306">
        <w:rPr>
          <w:rStyle w:val="SCCCounselNameChar"/>
          <w:sz w:val="20"/>
        </w:rPr>
        <w:t xml:space="preserve">Andrea L. </w:t>
      </w:r>
      <w:proofErr w:type="spellStart"/>
      <w:r w:rsidRPr="00E62306">
        <w:rPr>
          <w:rStyle w:val="SCCCounselNameChar"/>
          <w:sz w:val="20"/>
        </w:rPr>
        <w:t>Zwack</w:t>
      </w:r>
      <w:proofErr w:type="spellEnd"/>
      <w:r w:rsidRPr="00E62306">
        <w:rPr>
          <w:rStyle w:val="SCCCounselPartyRoleChar"/>
          <w:sz w:val="20"/>
        </w:rPr>
        <w:t xml:space="preserve"> and </w:t>
      </w:r>
      <w:r w:rsidRPr="00E62306">
        <w:rPr>
          <w:rStyle w:val="SCCCounselPartyRoleChar"/>
          <w:i/>
          <w:sz w:val="20"/>
        </w:rPr>
        <w:t>Benjamin J. Oliphant</w:t>
      </w:r>
      <w:r w:rsidRPr="00E62306">
        <w:rPr>
          <w:rStyle w:val="SCCCounselPartyRoleChar"/>
          <w:sz w:val="20"/>
        </w:rPr>
        <w:t>, for the respondent the Elk Valley Coal Corporation, Cardinal River Operations.</w:t>
      </w:r>
    </w:p>
    <w:p w:rsidR="007578C8" w:rsidRPr="00E62306" w:rsidRDefault="007578C8" w:rsidP="007578C8">
      <w:pPr>
        <w:pStyle w:val="SCCNormalDoubleSpacing"/>
        <w:spacing w:line="240" w:lineRule="auto"/>
        <w:rPr>
          <w:sz w:val="20"/>
        </w:rPr>
      </w:pPr>
    </w:p>
    <w:p w:rsidR="007578C8" w:rsidRDefault="007578C8" w:rsidP="007578C8">
      <w:pPr>
        <w:pStyle w:val="SCCNormalDoubleSpacing"/>
        <w:spacing w:line="240" w:lineRule="auto"/>
        <w:rPr>
          <w:rStyle w:val="SCCCounselPartyRoleChar"/>
          <w:sz w:val="20"/>
        </w:rPr>
      </w:pPr>
      <w:r w:rsidRPr="00E62306">
        <w:rPr>
          <w:rStyle w:val="SCCCounselNameChar"/>
          <w:sz w:val="20"/>
        </w:rPr>
        <w:tab/>
        <w:t>Janice R. Ashcroft</w:t>
      </w:r>
      <w:r w:rsidRPr="00E62306">
        <w:rPr>
          <w:rStyle w:val="SCCCounselPartyRoleChar"/>
          <w:sz w:val="20"/>
        </w:rPr>
        <w:t xml:space="preserve">, </w:t>
      </w:r>
      <w:r w:rsidRPr="00E62306">
        <w:rPr>
          <w:rStyle w:val="SCCCounselPartyRoleChar"/>
          <w:i/>
          <w:sz w:val="20"/>
        </w:rPr>
        <w:t>Q.C.</w:t>
      </w:r>
      <w:r w:rsidRPr="00E62306">
        <w:rPr>
          <w:rStyle w:val="SCCCounselPartyRoleChar"/>
          <w:sz w:val="20"/>
        </w:rPr>
        <w:t>, for the respondent the Alberta Human Rights Commission (Tribunal).</w:t>
      </w:r>
    </w:p>
    <w:p w:rsidR="007578C8" w:rsidRPr="00E62306" w:rsidRDefault="007578C8" w:rsidP="007578C8">
      <w:pPr>
        <w:pStyle w:val="SCCNormalDoubleSpacing"/>
        <w:spacing w:line="240" w:lineRule="auto"/>
        <w:rPr>
          <w:sz w:val="20"/>
        </w:rPr>
      </w:pPr>
    </w:p>
    <w:p w:rsidR="007578C8" w:rsidRDefault="007578C8" w:rsidP="007578C8">
      <w:pPr>
        <w:pStyle w:val="SCCNormalDoubleSpacing"/>
        <w:spacing w:line="240" w:lineRule="auto"/>
        <w:rPr>
          <w:rStyle w:val="SCCCounselPartyRoleChar"/>
          <w:sz w:val="20"/>
        </w:rPr>
      </w:pPr>
      <w:r w:rsidRPr="00E62306">
        <w:rPr>
          <w:rStyle w:val="SCCCounselNameChar"/>
          <w:sz w:val="20"/>
        </w:rPr>
        <w:tab/>
        <w:t>Karen R. Spector</w:t>
      </w:r>
      <w:r w:rsidRPr="007578C8">
        <w:rPr>
          <w:rStyle w:val="SCCCounselSeparatorChar"/>
          <w:rFonts w:eastAsia="Calibri"/>
          <w:sz w:val="20"/>
          <w:lang w:val="en-US"/>
        </w:rPr>
        <w:t xml:space="preserve"> and </w:t>
      </w:r>
      <w:r w:rsidRPr="00E62306">
        <w:rPr>
          <w:rStyle w:val="SCCCounselNameChar"/>
          <w:sz w:val="20"/>
        </w:rPr>
        <w:t xml:space="preserve">Mariam </w:t>
      </w:r>
      <w:proofErr w:type="spellStart"/>
      <w:r w:rsidRPr="00E62306">
        <w:rPr>
          <w:rStyle w:val="SCCCounselNameChar"/>
          <w:sz w:val="20"/>
        </w:rPr>
        <w:t>Shanouda</w:t>
      </w:r>
      <w:proofErr w:type="spellEnd"/>
      <w:r w:rsidRPr="00E62306">
        <w:rPr>
          <w:rStyle w:val="SCCCounselPartyRoleChar"/>
          <w:sz w:val="20"/>
        </w:rPr>
        <w:t>, for the interveners the Council of Canadians with Disabilities and the Empowerment Council.</w:t>
      </w:r>
    </w:p>
    <w:p w:rsidR="007578C8" w:rsidRPr="00E62306" w:rsidRDefault="007578C8" w:rsidP="007578C8">
      <w:pPr>
        <w:pStyle w:val="SCCNormalDoubleSpacing"/>
        <w:spacing w:line="240" w:lineRule="auto"/>
        <w:rPr>
          <w:sz w:val="20"/>
        </w:rPr>
      </w:pPr>
    </w:p>
    <w:p w:rsidR="007578C8" w:rsidRDefault="007578C8" w:rsidP="007578C8">
      <w:pPr>
        <w:pStyle w:val="SCCNormalDoubleSpacing"/>
        <w:spacing w:line="240" w:lineRule="auto"/>
        <w:rPr>
          <w:rStyle w:val="SCCCounselPartyRoleChar"/>
          <w:sz w:val="20"/>
        </w:rPr>
      </w:pPr>
      <w:r w:rsidRPr="00E62306">
        <w:rPr>
          <w:rStyle w:val="SCCCounselNameChar"/>
          <w:sz w:val="20"/>
        </w:rPr>
        <w:tab/>
        <w:t>Barbara B. Johnston</w:t>
      </w:r>
      <w:r w:rsidRPr="00E62306">
        <w:rPr>
          <w:rStyle w:val="SCCCounselPartyRoleChar"/>
          <w:sz w:val="20"/>
        </w:rPr>
        <w:t xml:space="preserve">, </w:t>
      </w:r>
      <w:r w:rsidRPr="00E62306">
        <w:rPr>
          <w:rStyle w:val="SCCCounselPartyRoleChar"/>
          <w:i/>
          <w:sz w:val="20"/>
        </w:rPr>
        <w:t>Q.C.</w:t>
      </w:r>
      <w:r w:rsidRPr="00E62306">
        <w:rPr>
          <w:rStyle w:val="SCCCounselPartyRoleChar"/>
          <w:sz w:val="20"/>
        </w:rPr>
        <w:t xml:space="preserve">, and </w:t>
      </w:r>
      <w:r w:rsidRPr="00E62306">
        <w:rPr>
          <w:rStyle w:val="SCCCounselPartyRoleChar"/>
          <w:i/>
          <w:sz w:val="20"/>
        </w:rPr>
        <w:t xml:space="preserve">April </w:t>
      </w:r>
      <w:proofErr w:type="spellStart"/>
      <w:r w:rsidRPr="00E62306">
        <w:rPr>
          <w:rStyle w:val="SCCCounselPartyRoleChar"/>
          <w:i/>
          <w:sz w:val="20"/>
        </w:rPr>
        <w:t>Kosten</w:t>
      </w:r>
      <w:proofErr w:type="spellEnd"/>
      <w:r w:rsidRPr="00E62306">
        <w:rPr>
          <w:rStyle w:val="SCCCounselPartyRoleChar"/>
          <w:sz w:val="20"/>
        </w:rPr>
        <w:t>, for the interveners the Construction Owners Association of Alberta, Construction Labour Relations — an Alberta Association, Enform Canada, the Electrical Contractors Association of Alberta, the Mining Association of Canada, the Mining Association of British Columbia, the Ontario Mining Association, the Northwest Territories and Nunavut Chamber of Mines and the Saskatchewan Mining Association.</w:t>
      </w:r>
    </w:p>
    <w:p w:rsidR="007578C8" w:rsidRPr="00E62306" w:rsidRDefault="007578C8" w:rsidP="007578C8">
      <w:pPr>
        <w:pStyle w:val="SCCNormalDoubleSpacing"/>
        <w:spacing w:line="240" w:lineRule="auto"/>
        <w:rPr>
          <w:sz w:val="20"/>
        </w:rPr>
      </w:pPr>
    </w:p>
    <w:p w:rsidR="007578C8" w:rsidRDefault="007578C8" w:rsidP="007578C8">
      <w:pPr>
        <w:pStyle w:val="SCCNormalDoubleSpacing"/>
        <w:spacing w:line="240" w:lineRule="auto"/>
        <w:rPr>
          <w:rStyle w:val="SCCCounselPartyRoleChar"/>
          <w:sz w:val="20"/>
        </w:rPr>
      </w:pPr>
      <w:r w:rsidRPr="00E62306">
        <w:rPr>
          <w:rStyle w:val="SCCCounselNameChar"/>
          <w:sz w:val="20"/>
        </w:rPr>
        <w:tab/>
      </w:r>
      <w:proofErr w:type="spellStart"/>
      <w:r w:rsidRPr="00E62306">
        <w:rPr>
          <w:rStyle w:val="SCCCounselNameChar"/>
          <w:sz w:val="20"/>
        </w:rPr>
        <w:t>Ritu</w:t>
      </w:r>
      <w:proofErr w:type="spellEnd"/>
      <w:r w:rsidRPr="00E62306">
        <w:rPr>
          <w:rStyle w:val="SCCCounselNameChar"/>
          <w:sz w:val="20"/>
        </w:rPr>
        <w:t xml:space="preserve"> </w:t>
      </w:r>
      <w:proofErr w:type="spellStart"/>
      <w:r w:rsidRPr="00E62306">
        <w:rPr>
          <w:rStyle w:val="SCCCounselNameChar"/>
          <w:sz w:val="20"/>
        </w:rPr>
        <w:t>Khullar</w:t>
      </w:r>
      <w:proofErr w:type="spellEnd"/>
      <w:r w:rsidRPr="00E62306">
        <w:rPr>
          <w:rStyle w:val="SCCCounselNameChar"/>
          <w:sz w:val="20"/>
        </w:rPr>
        <w:t>, Q.C.</w:t>
      </w:r>
      <w:r w:rsidRPr="00E62306">
        <w:rPr>
          <w:rStyle w:val="SCCCounselPartyRoleChar"/>
          <w:sz w:val="20"/>
        </w:rPr>
        <w:t xml:space="preserve">, and </w:t>
      </w:r>
      <w:r w:rsidRPr="00E62306">
        <w:rPr>
          <w:rStyle w:val="SCCCounselPartyRoleChar"/>
          <w:i/>
          <w:sz w:val="20"/>
        </w:rPr>
        <w:t xml:space="preserve">Vanessa </w:t>
      </w:r>
      <w:proofErr w:type="spellStart"/>
      <w:r w:rsidRPr="00E62306">
        <w:rPr>
          <w:rStyle w:val="SCCCounselPartyRoleChar"/>
          <w:i/>
          <w:sz w:val="20"/>
        </w:rPr>
        <w:t>Cosco</w:t>
      </w:r>
      <w:proofErr w:type="spellEnd"/>
      <w:r w:rsidRPr="00E62306">
        <w:rPr>
          <w:rStyle w:val="SCCCounselPartyRoleChar"/>
          <w:sz w:val="20"/>
        </w:rPr>
        <w:t>, for the intervener the United Nurses of Alberta.</w:t>
      </w:r>
    </w:p>
    <w:p w:rsidR="007578C8" w:rsidRPr="00E62306" w:rsidRDefault="007578C8" w:rsidP="007578C8">
      <w:pPr>
        <w:pStyle w:val="SCCNormalDoubleSpacing"/>
        <w:spacing w:line="240" w:lineRule="auto"/>
        <w:rPr>
          <w:sz w:val="20"/>
        </w:rPr>
      </w:pPr>
    </w:p>
    <w:p w:rsidR="007578C8" w:rsidRPr="00E62306" w:rsidRDefault="007578C8" w:rsidP="007578C8">
      <w:pPr>
        <w:pStyle w:val="SCCNormalDoubleSpacing"/>
        <w:spacing w:line="240" w:lineRule="auto"/>
        <w:rPr>
          <w:sz w:val="20"/>
        </w:rPr>
      </w:pPr>
      <w:r w:rsidRPr="00E62306">
        <w:rPr>
          <w:rStyle w:val="SCCCounselNameChar"/>
          <w:sz w:val="20"/>
        </w:rPr>
        <w:tab/>
        <w:t>Norm Keith</w:t>
      </w:r>
      <w:r w:rsidRPr="00E62306">
        <w:rPr>
          <w:rStyle w:val="SCCCounselPartyRoleChar"/>
          <w:sz w:val="20"/>
        </w:rPr>
        <w:t xml:space="preserve"> and </w:t>
      </w:r>
      <w:r w:rsidRPr="00E62306">
        <w:rPr>
          <w:rStyle w:val="SCCCounselPartyRoleChar"/>
          <w:i/>
          <w:sz w:val="20"/>
        </w:rPr>
        <w:t xml:space="preserve">Marc </w:t>
      </w:r>
      <w:proofErr w:type="spellStart"/>
      <w:r w:rsidRPr="00E62306">
        <w:rPr>
          <w:rStyle w:val="SCCCounselPartyRoleChar"/>
          <w:i/>
          <w:sz w:val="20"/>
        </w:rPr>
        <w:t>Rodrigue</w:t>
      </w:r>
      <w:proofErr w:type="spellEnd"/>
      <w:r w:rsidRPr="00E62306">
        <w:rPr>
          <w:rStyle w:val="SCCCounselPartyRoleChar"/>
          <w:sz w:val="20"/>
        </w:rPr>
        <w:t xml:space="preserve">, for the interveners the Ontario General Contractors Association, the Ontario Formwork Association and the Greater Toronto Sewer and </w:t>
      </w:r>
      <w:proofErr w:type="spellStart"/>
      <w:r w:rsidRPr="00E62306">
        <w:rPr>
          <w:rStyle w:val="SCCCounselPartyRoleChar"/>
          <w:sz w:val="20"/>
        </w:rPr>
        <w:t>Watermain</w:t>
      </w:r>
      <w:proofErr w:type="spellEnd"/>
      <w:r w:rsidRPr="00E62306">
        <w:rPr>
          <w:rStyle w:val="SCCCounselPartyRoleChar"/>
          <w:sz w:val="20"/>
        </w:rPr>
        <w:t xml:space="preserve"> Contractors Association.</w:t>
      </w:r>
    </w:p>
    <w:p w:rsidR="007578C8" w:rsidRPr="00ED4247" w:rsidRDefault="007578C8" w:rsidP="007578C8">
      <w:pPr>
        <w:pStyle w:val="SCCNormalDoubleSpacing"/>
        <w:spacing w:line="240" w:lineRule="auto"/>
        <w:rPr>
          <w:sz w:val="20"/>
          <w:lang w:val="fr-CA"/>
        </w:rPr>
      </w:pPr>
      <w:r w:rsidRPr="00ED4247">
        <w:rPr>
          <w:sz w:val="20"/>
          <w:lang w:val="fr-CA"/>
        </w:rPr>
        <w:t>_______________________</w:t>
      </w:r>
    </w:p>
    <w:p w:rsidR="007578C8" w:rsidRPr="00ED4247" w:rsidRDefault="007578C8" w:rsidP="007578C8">
      <w:pPr>
        <w:pStyle w:val="SCCNormalDoubleSpacing"/>
        <w:spacing w:line="240" w:lineRule="auto"/>
        <w:rPr>
          <w:sz w:val="20"/>
          <w:lang w:val="fr-CA"/>
        </w:rPr>
      </w:pPr>
    </w:p>
    <w:p w:rsidR="006018F5" w:rsidRPr="00A3508B" w:rsidRDefault="006018F5" w:rsidP="006018F5">
      <w:pPr>
        <w:jc w:val="both"/>
        <w:rPr>
          <w:sz w:val="20"/>
          <w:szCs w:val="20"/>
          <w:lang w:val="fr-CA"/>
        </w:rPr>
      </w:pPr>
      <w:r w:rsidRPr="00A3508B">
        <w:rPr>
          <w:sz w:val="20"/>
          <w:szCs w:val="20"/>
          <w:lang w:val="fr-CA"/>
        </w:rPr>
        <w:t xml:space="preserve">Présents : La juge en chef </w:t>
      </w:r>
      <w:proofErr w:type="spellStart"/>
      <w:r w:rsidRPr="00A3508B">
        <w:rPr>
          <w:sz w:val="20"/>
          <w:szCs w:val="20"/>
          <w:lang w:val="fr-CA"/>
        </w:rPr>
        <w:t>McLachlin</w:t>
      </w:r>
      <w:proofErr w:type="spellEnd"/>
      <w:r w:rsidRPr="00A3508B">
        <w:rPr>
          <w:sz w:val="20"/>
          <w:szCs w:val="20"/>
          <w:lang w:val="fr-CA"/>
        </w:rPr>
        <w:t xml:space="preserve"> et les juges Abella, </w:t>
      </w:r>
      <w:proofErr w:type="spellStart"/>
      <w:r w:rsidRPr="00A3508B">
        <w:rPr>
          <w:sz w:val="20"/>
          <w:szCs w:val="20"/>
          <w:lang w:val="fr-CA"/>
        </w:rPr>
        <w:t>Moldaver</w:t>
      </w:r>
      <w:proofErr w:type="spellEnd"/>
      <w:r w:rsidRPr="00A3508B">
        <w:rPr>
          <w:sz w:val="20"/>
          <w:szCs w:val="20"/>
          <w:lang w:val="fr-CA"/>
        </w:rPr>
        <w:t xml:space="preserve">, </w:t>
      </w:r>
      <w:proofErr w:type="spellStart"/>
      <w:r w:rsidRPr="00A3508B">
        <w:rPr>
          <w:sz w:val="20"/>
          <w:szCs w:val="20"/>
          <w:lang w:val="fr-CA"/>
        </w:rPr>
        <w:t>Karakatsanis</w:t>
      </w:r>
      <w:proofErr w:type="spellEnd"/>
      <w:r w:rsidRPr="00A3508B">
        <w:rPr>
          <w:sz w:val="20"/>
          <w:szCs w:val="20"/>
          <w:lang w:val="fr-CA"/>
        </w:rPr>
        <w:t>, Wagner, Gascon, Côté, Brown et Rowe.</w:t>
      </w:r>
    </w:p>
    <w:p w:rsidR="006018F5" w:rsidRPr="00A3508B" w:rsidRDefault="006018F5" w:rsidP="006018F5">
      <w:pPr>
        <w:jc w:val="both"/>
        <w:rPr>
          <w:smallCaps/>
          <w:sz w:val="20"/>
          <w:szCs w:val="20"/>
          <w:lang w:val="fr-CA"/>
        </w:rPr>
      </w:pPr>
    </w:p>
    <w:p w:rsidR="006018F5" w:rsidRDefault="006018F5" w:rsidP="006018F5">
      <w:pPr>
        <w:pStyle w:val="SCCNormalDoubleSpacing"/>
        <w:spacing w:line="240" w:lineRule="auto"/>
        <w:rPr>
          <w:i/>
          <w:sz w:val="20"/>
          <w:lang w:val="fr-CA"/>
        </w:rPr>
      </w:pPr>
      <w:r w:rsidRPr="00A3508B">
        <w:rPr>
          <w:sz w:val="20"/>
          <w:lang w:val="fr-CA"/>
        </w:rPr>
        <w:tab/>
      </w:r>
      <w:r w:rsidRPr="00A3508B">
        <w:rPr>
          <w:i/>
          <w:sz w:val="20"/>
          <w:lang w:val="fr-CA"/>
        </w:rPr>
        <w:t xml:space="preserve">Droits de la personne — Pratiques discriminatoires — Discrimination fondée sur une déficience mentale ou physique — Dépendance aux drogues — Politique de l’employeur visant à assurer la sécurité qui oblige les employés à révéler tout problème de dépendance ou d’accoutumance avant qu’un incident lié à la drogue ne survienne — Employé impliqué dans un accident — Obtention par l’employé d’un résultat positif à un test de dépistage de drogues — Employeur congédiant l’employé en vertu de la politique — L’employé </w:t>
      </w:r>
      <w:proofErr w:type="spellStart"/>
      <w:r w:rsidRPr="00A3508B">
        <w:rPr>
          <w:i/>
          <w:sz w:val="20"/>
          <w:lang w:val="fr-CA"/>
        </w:rPr>
        <w:t>a</w:t>
      </w:r>
      <w:r w:rsidRPr="00A3508B">
        <w:rPr>
          <w:i/>
          <w:sz w:val="20"/>
          <w:lang w:val="fr-CA"/>
        </w:rPr>
        <w:noBreakHyphen/>
        <w:t>t</w:t>
      </w:r>
      <w:r w:rsidRPr="00A3508B">
        <w:rPr>
          <w:i/>
          <w:sz w:val="20"/>
          <w:lang w:val="fr-CA"/>
        </w:rPr>
        <w:noBreakHyphen/>
        <w:t>il</w:t>
      </w:r>
      <w:proofErr w:type="spellEnd"/>
      <w:r w:rsidRPr="00A3508B">
        <w:rPr>
          <w:i/>
          <w:sz w:val="20"/>
          <w:lang w:val="fr-CA"/>
        </w:rPr>
        <w:t xml:space="preserve"> été congédié en raison de sa dépendance ou parce qu’il a violé la politique? — Si le congédiement constitue de la discrimination prima </w:t>
      </w:r>
      <w:proofErr w:type="spellStart"/>
      <w:r w:rsidRPr="00A3508B">
        <w:rPr>
          <w:i/>
          <w:sz w:val="20"/>
          <w:lang w:val="fr-CA"/>
        </w:rPr>
        <w:t>facie</w:t>
      </w:r>
      <w:proofErr w:type="spellEnd"/>
      <w:r w:rsidRPr="00A3508B">
        <w:rPr>
          <w:i/>
          <w:sz w:val="20"/>
          <w:lang w:val="fr-CA"/>
        </w:rPr>
        <w:t>, l’employeur s’est</w:t>
      </w:r>
      <w:r w:rsidRPr="00A3508B">
        <w:rPr>
          <w:i/>
          <w:sz w:val="20"/>
          <w:lang w:val="fr-CA"/>
        </w:rPr>
        <w:noBreakHyphen/>
        <w:t xml:space="preserve">il acquitté de son obligation de composer avec l’employé tant qu’il n’en résulte pas pour lui une contrainte excessive? — </w:t>
      </w:r>
      <w:proofErr w:type="spellStart"/>
      <w:r w:rsidRPr="00A3508B">
        <w:rPr>
          <w:i/>
          <w:sz w:val="20"/>
          <w:lang w:val="fr-CA"/>
        </w:rPr>
        <w:t>Human</w:t>
      </w:r>
      <w:proofErr w:type="spellEnd"/>
      <w:r w:rsidRPr="00A3508B">
        <w:rPr>
          <w:i/>
          <w:sz w:val="20"/>
          <w:lang w:val="fr-CA"/>
        </w:rPr>
        <w:t xml:space="preserve"> </w:t>
      </w:r>
      <w:proofErr w:type="spellStart"/>
      <w:r w:rsidRPr="00A3508B">
        <w:rPr>
          <w:i/>
          <w:sz w:val="20"/>
          <w:lang w:val="fr-CA"/>
        </w:rPr>
        <w:t>Rights</w:t>
      </w:r>
      <w:proofErr w:type="spellEnd"/>
      <w:r w:rsidRPr="00A3508B">
        <w:rPr>
          <w:i/>
          <w:sz w:val="20"/>
          <w:lang w:val="fr-CA"/>
        </w:rPr>
        <w:t xml:space="preserve">, </w:t>
      </w:r>
      <w:proofErr w:type="spellStart"/>
      <w:r w:rsidRPr="00A3508B">
        <w:rPr>
          <w:i/>
          <w:sz w:val="20"/>
          <w:lang w:val="fr-CA"/>
        </w:rPr>
        <w:t>Citizenship</w:t>
      </w:r>
      <w:proofErr w:type="spellEnd"/>
      <w:r w:rsidRPr="00A3508B">
        <w:rPr>
          <w:i/>
          <w:sz w:val="20"/>
          <w:lang w:val="fr-CA"/>
        </w:rPr>
        <w:t xml:space="preserve"> and </w:t>
      </w:r>
      <w:proofErr w:type="spellStart"/>
      <w:r w:rsidRPr="00A3508B">
        <w:rPr>
          <w:i/>
          <w:sz w:val="20"/>
          <w:lang w:val="fr-CA"/>
        </w:rPr>
        <w:t>Multiculturalism</w:t>
      </w:r>
      <w:proofErr w:type="spellEnd"/>
      <w:r w:rsidRPr="00A3508B">
        <w:rPr>
          <w:i/>
          <w:sz w:val="20"/>
          <w:lang w:val="fr-CA"/>
        </w:rPr>
        <w:t xml:space="preserve"> </w:t>
      </w:r>
      <w:proofErr w:type="spellStart"/>
      <w:r w:rsidRPr="00A3508B">
        <w:rPr>
          <w:i/>
          <w:sz w:val="20"/>
          <w:lang w:val="fr-CA"/>
        </w:rPr>
        <w:t>Act</w:t>
      </w:r>
      <w:proofErr w:type="spellEnd"/>
      <w:r w:rsidRPr="00A3508B">
        <w:rPr>
          <w:i/>
          <w:sz w:val="20"/>
          <w:lang w:val="fr-CA"/>
        </w:rPr>
        <w:t>, R.S.A. 2000, c. H</w:t>
      </w:r>
      <w:r w:rsidRPr="00A3508B">
        <w:rPr>
          <w:i/>
          <w:sz w:val="20"/>
          <w:lang w:val="fr-CA"/>
        </w:rPr>
        <w:noBreakHyphen/>
        <w:t>14, art. 7(1).</w:t>
      </w:r>
    </w:p>
    <w:p w:rsidR="006018F5" w:rsidRPr="00A3508B" w:rsidRDefault="006018F5" w:rsidP="006018F5">
      <w:pPr>
        <w:pStyle w:val="SCCNormalDoubleSpacing"/>
        <w:spacing w:line="240" w:lineRule="auto"/>
        <w:rPr>
          <w:i/>
          <w:sz w:val="20"/>
          <w:lang w:val="fr-CA"/>
        </w:rPr>
      </w:pPr>
    </w:p>
    <w:p w:rsidR="006018F5" w:rsidRDefault="006018F5" w:rsidP="006018F5">
      <w:pPr>
        <w:pStyle w:val="SCCNormalDoubleSpacing"/>
        <w:spacing w:line="240" w:lineRule="auto"/>
        <w:rPr>
          <w:sz w:val="20"/>
          <w:lang w:val="fr-CA"/>
        </w:rPr>
      </w:pPr>
      <w:r w:rsidRPr="00A3508B">
        <w:rPr>
          <w:sz w:val="20"/>
          <w:lang w:val="fr-CA"/>
        </w:rPr>
        <w:tab/>
        <w:t>S travaillait dans une mine exploitée par l’</w:t>
      </w:r>
      <w:proofErr w:type="spellStart"/>
      <w:r w:rsidRPr="00A3508B">
        <w:rPr>
          <w:sz w:val="20"/>
          <w:lang w:val="fr-CA"/>
        </w:rPr>
        <w:t>Elk</w:t>
      </w:r>
      <w:proofErr w:type="spellEnd"/>
      <w:r w:rsidRPr="00A3508B">
        <w:rPr>
          <w:sz w:val="20"/>
          <w:lang w:val="fr-CA"/>
        </w:rPr>
        <w:t xml:space="preserve"> </w:t>
      </w:r>
      <w:proofErr w:type="spellStart"/>
      <w:r w:rsidRPr="00A3508B">
        <w:rPr>
          <w:sz w:val="20"/>
          <w:lang w:val="fr-CA"/>
        </w:rPr>
        <w:t>Valley</w:t>
      </w:r>
      <w:proofErr w:type="spellEnd"/>
      <w:r w:rsidRPr="00A3508B">
        <w:rPr>
          <w:sz w:val="20"/>
          <w:lang w:val="fr-CA"/>
        </w:rPr>
        <w:t xml:space="preserve"> Coal Corporation où il conduisait un camion de transport. Les activités de la mine étaient dangereuses, et le maintien d’un chantier sécuritaire revêtait une grande importance aux yeux de l’employeur et des employés. Pour assurer la sécurité, l’employeur a mis en place une politique qui obligeait les employés à révéler tout problème de dépendance ou d’accoutumance avant qu’un incident lié à la drogue ne survienne. S’ils le faisaient, on leur offrait un traitement. Si, en revanche, ils ne le faisaient pas, étaient mêlés à un incident et obtenaient un résultat positif à un test de dépistage de drogues, ils étaient congédiés.</w:t>
      </w:r>
    </w:p>
    <w:p w:rsidR="006018F5" w:rsidRPr="00A3508B" w:rsidRDefault="006018F5" w:rsidP="006018F5">
      <w:pPr>
        <w:pStyle w:val="SCCNormalDoubleSpacing"/>
        <w:spacing w:line="240" w:lineRule="auto"/>
        <w:rPr>
          <w:i/>
          <w:sz w:val="20"/>
          <w:lang w:val="fr-CA"/>
        </w:rPr>
      </w:pPr>
    </w:p>
    <w:p w:rsidR="006018F5" w:rsidRDefault="006018F5" w:rsidP="006018F5">
      <w:pPr>
        <w:pStyle w:val="SCCNormalDoubleSpacing"/>
        <w:spacing w:line="240" w:lineRule="auto"/>
        <w:rPr>
          <w:sz w:val="20"/>
          <w:lang w:val="fr-CA"/>
        </w:rPr>
      </w:pPr>
      <w:r w:rsidRPr="00A3508B">
        <w:rPr>
          <w:sz w:val="20"/>
          <w:lang w:val="fr-CA"/>
        </w:rPr>
        <w:tab/>
        <w:t xml:space="preserve">S prenait de la cocaïne pendant ses jours de congé. Il n’a pas dit à son employeur qu’il consommait de la drogue. Quand il a eu un accident avec son camion, il a obtenu un résultat positif à un test de dépistage de drogues, puis a dit croire qu’il souffrait d’une dépendance à la cocaïne. Son employeur l’a congédié. S, par l’entremise de son représentant syndical, soutient qu’il a été congédié en raison de sa dépendance et que cela constitue de la discrimination au sens du par. 7(1) de la </w:t>
      </w:r>
      <w:proofErr w:type="spellStart"/>
      <w:r w:rsidRPr="00A3508B">
        <w:rPr>
          <w:i/>
          <w:sz w:val="20"/>
          <w:lang w:val="fr-CA"/>
        </w:rPr>
        <w:t>Human</w:t>
      </w:r>
      <w:proofErr w:type="spellEnd"/>
      <w:r w:rsidRPr="00A3508B">
        <w:rPr>
          <w:i/>
          <w:sz w:val="20"/>
          <w:lang w:val="fr-CA"/>
        </w:rPr>
        <w:t xml:space="preserve"> </w:t>
      </w:r>
      <w:proofErr w:type="spellStart"/>
      <w:r w:rsidRPr="00A3508B">
        <w:rPr>
          <w:i/>
          <w:sz w:val="20"/>
          <w:lang w:val="fr-CA"/>
        </w:rPr>
        <w:t>Rights</w:t>
      </w:r>
      <w:proofErr w:type="spellEnd"/>
      <w:r w:rsidRPr="00A3508B">
        <w:rPr>
          <w:i/>
          <w:sz w:val="20"/>
          <w:lang w:val="fr-CA"/>
        </w:rPr>
        <w:t xml:space="preserve">, </w:t>
      </w:r>
      <w:proofErr w:type="spellStart"/>
      <w:r w:rsidRPr="00A3508B">
        <w:rPr>
          <w:i/>
          <w:sz w:val="20"/>
          <w:lang w:val="fr-CA"/>
        </w:rPr>
        <w:t>Citizenship</w:t>
      </w:r>
      <w:proofErr w:type="spellEnd"/>
      <w:r w:rsidRPr="00A3508B">
        <w:rPr>
          <w:i/>
          <w:sz w:val="20"/>
          <w:lang w:val="fr-CA"/>
        </w:rPr>
        <w:t xml:space="preserve"> and </w:t>
      </w:r>
      <w:proofErr w:type="spellStart"/>
      <w:r w:rsidRPr="00A3508B">
        <w:rPr>
          <w:i/>
          <w:sz w:val="20"/>
          <w:lang w:val="fr-CA"/>
        </w:rPr>
        <w:t>Multiculturalism</w:t>
      </w:r>
      <w:proofErr w:type="spellEnd"/>
      <w:r w:rsidRPr="00A3508B">
        <w:rPr>
          <w:i/>
          <w:sz w:val="20"/>
          <w:lang w:val="fr-CA"/>
        </w:rPr>
        <w:t xml:space="preserve"> </w:t>
      </w:r>
      <w:proofErr w:type="spellStart"/>
      <w:r w:rsidRPr="00A3508B">
        <w:rPr>
          <w:i/>
          <w:sz w:val="20"/>
          <w:lang w:val="fr-CA"/>
        </w:rPr>
        <w:t>Act</w:t>
      </w:r>
      <w:proofErr w:type="spellEnd"/>
      <w:r w:rsidRPr="00A3508B">
        <w:rPr>
          <w:sz w:val="20"/>
          <w:lang w:val="fr-CA"/>
        </w:rPr>
        <w:t xml:space="preserve"> de l’Alberta.</w:t>
      </w:r>
    </w:p>
    <w:p w:rsidR="006018F5" w:rsidRPr="00A3508B" w:rsidRDefault="006018F5" w:rsidP="006018F5">
      <w:pPr>
        <w:pStyle w:val="SCCNormalDoubleSpacing"/>
        <w:spacing w:line="240" w:lineRule="auto"/>
        <w:rPr>
          <w:sz w:val="20"/>
          <w:lang w:val="fr-CA"/>
        </w:rPr>
      </w:pPr>
    </w:p>
    <w:p w:rsidR="006018F5" w:rsidRDefault="006018F5" w:rsidP="006018F5">
      <w:pPr>
        <w:pStyle w:val="SCCNormalDoubleSpacing"/>
        <w:spacing w:line="240" w:lineRule="auto"/>
        <w:rPr>
          <w:sz w:val="20"/>
          <w:lang w:val="fr-CA"/>
        </w:rPr>
      </w:pPr>
      <w:r w:rsidRPr="00A3508B">
        <w:rPr>
          <w:sz w:val="20"/>
          <w:lang w:val="fr-CA"/>
        </w:rPr>
        <w:lastRenderedPageBreak/>
        <w:tab/>
        <w:t xml:space="preserve">L’Alberta </w:t>
      </w:r>
      <w:proofErr w:type="spellStart"/>
      <w:r w:rsidRPr="00A3508B">
        <w:rPr>
          <w:sz w:val="20"/>
          <w:lang w:val="fr-CA"/>
        </w:rPr>
        <w:t>Human</w:t>
      </w:r>
      <w:proofErr w:type="spellEnd"/>
      <w:r w:rsidRPr="00A3508B">
        <w:rPr>
          <w:sz w:val="20"/>
          <w:lang w:val="fr-CA"/>
        </w:rPr>
        <w:t xml:space="preserve"> </w:t>
      </w:r>
      <w:proofErr w:type="spellStart"/>
      <w:r w:rsidRPr="00A3508B">
        <w:rPr>
          <w:sz w:val="20"/>
          <w:lang w:val="fr-CA"/>
        </w:rPr>
        <w:t>Rights</w:t>
      </w:r>
      <w:proofErr w:type="spellEnd"/>
      <w:r w:rsidRPr="00A3508B">
        <w:rPr>
          <w:sz w:val="20"/>
          <w:lang w:val="fr-CA"/>
        </w:rPr>
        <w:t xml:space="preserve"> Tribunal a conclu que S avait été congédié non pas en raison de sa dépendance, mais pour avoir violé la politique. La décision du Tribunal a été confirmée par la Cour du Banc de la Reine et la Cour d’appel de l’Alberta.</w:t>
      </w:r>
    </w:p>
    <w:p w:rsidR="006018F5" w:rsidRPr="00A3508B" w:rsidRDefault="006018F5" w:rsidP="006018F5">
      <w:pPr>
        <w:pStyle w:val="SCCNormalDoubleSpacing"/>
        <w:spacing w:line="240" w:lineRule="auto"/>
        <w:rPr>
          <w:sz w:val="20"/>
          <w:lang w:val="fr-CA"/>
        </w:rPr>
      </w:pPr>
    </w:p>
    <w:p w:rsidR="006018F5" w:rsidRDefault="006018F5" w:rsidP="006018F5">
      <w:pPr>
        <w:pStyle w:val="SCCNormalDoubleSpacing"/>
        <w:spacing w:line="240" w:lineRule="auto"/>
        <w:rPr>
          <w:sz w:val="20"/>
          <w:lang w:val="fr-CA"/>
        </w:rPr>
      </w:pPr>
      <w:r w:rsidRPr="00A3508B">
        <w:rPr>
          <w:sz w:val="20"/>
          <w:lang w:val="fr-CA"/>
        </w:rPr>
        <w:tab/>
      </w:r>
      <w:r w:rsidRPr="00A3508B">
        <w:rPr>
          <w:i/>
          <w:sz w:val="20"/>
          <w:lang w:val="fr-CA"/>
        </w:rPr>
        <w:t>Arrêt :</w:t>
      </w:r>
      <w:r w:rsidRPr="00A3508B">
        <w:rPr>
          <w:sz w:val="20"/>
          <w:lang w:val="fr-CA"/>
        </w:rPr>
        <w:t xml:space="preserve"> Le pourvoi est rejeté.</w:t>
      </w:r>
    </w:p>
    <w:p w:rsidR="006018F5" w:rsidRPr="00A3508B" w:rsidRDefault="006018F5" w:rsidP="006018F5">
      <w:pPr>
        <w:pStyle w:val="SCCNormalDoubleSpacing"/>
        <w:spacing w:line="240" w:lineRule="auto"/>
        <w:rPr>
          <w:sz w:val="20"/>
          <w:lang w:val="fr-CA"/>
        </w:rPr>
      </w:pPr>
    </w:p>
    <w:p w:rsidR="006018F5" w:rsidRDefault="006018F5" w:rsidP="006018F5">
      <w:pPr>
        <w:pStyle w:val="SCCNormalDoubleSpacing"/>
        <w:spacing w:line="240" w:lineRule="auto"/>
        <w:rPr>
          <w:sz w:val="20"/>
          <w:lang w:val="fr-CA"/>
        </w:rPr>
      </w:pPr>
      <w:r w:rsidRPr="00A3508B">
        <w:rPr>
          <w:sz w:val="20"/>
          <w:lang w:val="fr-CA"/>
        </w:rPr>
        <w:tab/>
      </w:r>
      <w:r w:rsidRPr="00A3508B">
        <w:rPr>
          <w:i/>
          <w:sz w:val="20"/>
          <w:lang w:val="fr-CA"/>
        </w:rPr>
        <w:t xml:space="preserve">La </w:t>
      </w:r>
      <w:r w:rsidRPr="00A3508B">
        <w:rPr>
          <w:b/>
          <w:sz w:val="20"/>
          <w:lang w:val="fr-CA"/>
        </w:rPr>
        <w:t xml:space="preserve">juge en chef </w:t>
      </w:r>
      <w:proofErr w:type="spellStart"/>
      <w:r w:rsidRPr="00A3508B">
        <w:rPr>
          <w:b/>
          <w:sz w:val="20"/>
          <w:lang w:val="fr-CA"/>
        </w:rPr>
        <w:t>McLachlin</w:t>
      </w:r>
      <w:proofErr w:type="spellEnd"/>
      <w:r w:rsidRPr="00A3508B">
        <w:rPr>
          <w:b/>
          <w:sz w:val="20"/>
          <w:lang w:val="fr-CA"/>
        </w:rPr>
        <w:t xml:space="preserve"> </w:t>
      </w:r>
      <w:r w:rsidRPr="00A3508B">
        <w:rPr>
          <w:sz w:val="20"/>
          <w:lang w:val="fr-CA"/>
        </w:rPr>
        <w:t xml:space="preserve">et les juges Abella, </w:t>
      </w:r>
      <w:proofErr w:type="spellStart"/>
      <w:r w:rsidRPr="00A3508B">
        <w:rPr>
          <w:sz w:val="20"/>
          <w:lang w:val="fr-CA"/>
        </w:rPr>
        <w:t>Karakatsanis</w:t>
      </w:r>
      <w:proofErr w:type="spellEnd"/>
      <w:r w:rsidRPr="00A3508B">
        <w:rPr>
          <w:sz w:val="20"/>
          <w:lang w:val="fr-CA"/>
        </w:rPr>
        <w:t>, Côté, Brown et Rowe : La présente affaire concerne l’application de principes établis en matière de discrimination fondée sur une déficience en milieu de travail à une situation factuelle particulière. La nature de la déficience en cause ne modifie pas les principes juridiques à appliquer. Ces questions relevaient du Tribunal et elles commandent la déférence. Il s’agit seulement de savoir si la décision du Tribunal était raisonnable. Si la décision appartient aux issues possibles acceptables pouvant se justifier au regard de la preuve et du droit, elle est raisonnable.</w:t>
      </w:r>
    </w:p>
    <w:p w:rsidR="006018F5" w:rsidRPr="00A3508B" w:rsidRDefault="006018F5" w:rsidP="006018F5">
      <w:pPr>
        <w:pStyle w:val="SCCNormalDoubleSpacing"/>
        <w:spacing w:line="240" w:lineRule="auto"/>
        <w:rPr>
          <w:sz w:val="20"/>
          <w:lang w:val="fr-CA"/>
        </w:rPr>
      </w:pPr>
    </w:p>
    <w:p w:rsidR="006018F5" w:rsidRDefault="006018F5" w:rsidP="006018F5">
      <w:pPr>
        <w:pStyle w:val="SCCNormalDoubleSpacing"/>
        <w:spacing w:line="240" w:lineRule="auto"/>
        <w:rPr>
          <w:sz w:val="20"/>
          <w:lang w:val="fr-CA"/>
        </w:rPr>
      </w:pPr>
      <w:r w:rsidRPr="00A3508B">
        <w:rPr>
          <w:sz w:val="20"/>
          <w:lang w:val="fr-CA"/>
        </w:rPr>
        <w:tab/>
        <w:t xml:space="preserve">II existait manifestement des éléments de preuve susceptibles d’appuyer la conclusion du Tribunal selon laquelle le motif du congédiement n’était pas la dépendance, mais la violation de la politique. Le Tribunal a conclu, au vu des faits de l’espèce, que S avait la capacité de respecter la politique et qu’il aurait été congédié, qu’il ait été un toxicomane ou un consommateur occasionnel. Il n’était donc pas déraisonnable pour le Tribunal de conclure à l’absence de discrimination </w:t>
      </w:r>
      <w:r w:rsidRPr="00A3508B">
        <w:rPr>
          <w:i/>
          <w:sz w:val="20"/>
          <w:lang w:val="fr-CA"/>
        </w:rPr>
        <w:t xml:space="preserve">prima </w:t>
      </w:r>
      <w:proofErr w:type="spellStart"/>
      <w:r w:rsidRPr="00A3508B">
        <w:rPr>
          <w:i/>
          <w:sz w:val="20"/>
          <w:lang w:val="fr-CA"/>
        </w:rPr>
        <w:t>facie</w:t>
      </w:r>
      <w:proofErr w:type="spellEnd"/>
      <w:r w:rsidRPr="00A3508B">
        <w:rPr>
          <w:sz w:val="20"/>
          <w:lang w:val="fr-CA"/>
        </w:rPr>
        <w:t>. Bien qu’il soit loisible à un tribunal de conclure qu’une dépendance a constitué un facteur de la distinction préjudiciable, lorsque la preuve appuie pareille conclusion, il ne s’agit manifestement pas de la conclusion du Tribunal. Il a affirmé sans équivoque et à maintes reprises que la dépendance n’avait pas constitué un facteur de la décision de congédier S. Il a aussi rejeté l’argument selon lequel le déni avait empêché S de révéler sa dépendance avant l’accident. S niait peut</w:t>
      </w:r>
      <w:r w:rsidRPr="00A3508B">
        <w:rPr>
          <w:sz w:val="20"/>
          <w:lang w:val="fr-CA"/>
        </w:rPr>
        <w:noBreakHyphen/>
        <w:t xml:space="preserve">être sa dépendance, mais il savait qu’il ne devait pas prendre de drogue avant de travailler et pouvait décider de ne pas en prendre, en plus d’avoir la faculté de révéler sa consommation de drogue à son employeur. Le déni de sa dépendance n’était donc pas pertinent en l’espèce. Enfin, la conclusion voulant qu’il existe un processus décisionnel stéréotypé ou arbitraire n’est pas une exigence distincte à laquelle il faut satisfaire pour établir la discrimination </w:t>
      </w:r>
      <w:r w:rsidRPr="00A3508B">
        <w:rPr>
          <w:i/>
          <w:sz w:val="20"/>
          <w:lang w:val="fr-CA"/>
        </w:rPr>
        <w:t xml:space="preserve">prima </w:t>
      </w:r>
      <w:proofErr w:type="spellStart"/>
      <w:r w:rsidRPr="00A3508B">
        <w:rPr>
          <w:i/>
          <w:sz w:val="20"/>
          <w:lang w:val="fr-CA"/>
        </w:rPr>
        <w:t>facie</w:t>
      </w:r>
      <w:proofErr w:type="spellEnd"/>
      <w:r w:rsidRPr="00A3508B">
        <w:rPr>
          <w:sz w:val="20"/>
          <w:lang w:val="fr-CA"/>
        </w:rPr>
        <w:t>, et point n’est besoin de réviser la position établie selon laquelle le motif ou la caractéristique protégé n’a qu’à constituer un facteur de la décision.</w:t>
      </w:r>
    </w:p>
    <w:p w:rsidR="006018F5" w:rsidRPr="00A3508B" w:rsidRDefault="006018F5" w:rsidP="006018F5">
      <w:pPr>
        <w:pStyle w:val="SCCNormalDoubleSpacing"/>
        <w:spacing w:line="240" w:lineRule="auto"/>
        <w:rPr>
          <w:sz w:val="20"/>
          <w:lang w:val="fr-CA"/>
        </w:rPr>
      </w:pPr>
    </w:p>
    <w:p w:rsidR="006018F5" w:rsidRDefault="006018F5" w:rsidP="006018F5">
      <w:pPr>
        <w:pStyle w:val="SCCNormalDoubleSpacing"/>
        <w:spacing w:line="240" w:lineRule="auto"/>
        <w:rPr>
          <w:sz w:val="20"/>
          <w:lang w:val="fr-CA"/>
        </w:rPr>
      </w:pPr>
      <w:r w:rsidRPr="00A3508B">
        <w:rPr>
          <w:sz w:val="20"/>
          <w:lang w:val="fr-CA"/>
        </w:rPr>
        <w:tab/>
        <w:t xml:space="preserve">Comme la décision du Tribunal voulant que la discrimination </w:t>
      </w:r>
      <w:r w:rsidRPr="00A3508B">
        <w:rPr>
          <w:i/>
          <w:sz w:val="20"/>
          <w:lang w:val="fr-CA"/>
        </w:rPr>
        <w:t xml:space="preserve">prima </w:t>
      </w:r>
      <w:proofErr w:type="spellStart"/>
      <w:r w:rsidRPr="00A3508B">
        <w:rPr>
          <w:i/>
          <w:sz w:val="20"/>
          <w:lang w:val="fr-CA"/>
        </w:rPr>
        <w:t>facie</w:t>
      </w:r>
      <w:proofErr w:type="spellEnd"/>
      <w:r w:rsidRPr="00A3508B">
        <w:rPr>
          <w:sz w:val="20"/>
          <w:lang w:val="fr-CA"/>
        </w:rPr>
        <w:t xml:space="preserve"> n’ait pas été démontrée était raisonnable, il n’est pas nécessaire de se demander si S a bénéficié d’un accommodement raisonnable. </w:t>
      </w:r>
    </w:p>
    <w:p w:rsidR="006018F5" w:rsidRPr="00A3508B" w:rsidRDefault="006018F5" w:rsidP="006018F5">
      <w:pPr>
        <w:pStyle w:val="SCCNormalDoubleSpacing"/>
        <w:spacing w:line="240" w:lineRule="auto"/>
        <w:rPr>
          <w:sz w:val="20"/>
          <w:lang w:val="fr-CA"/>
        </w:rPr>
      </w:pPr>
    </w:p>
    <w:p w:rsidR="006018F5" w:rsidRDefault="006018F5" w:rsidP="006018F5">
      <w:pPr>
        <w:pStyle w:val="SCCNormalDoubleSpacing"/>
        <w:spacing w:line="240" w:lineRule="auto"/>
        <w:rPr>
          <w:sz w:val="20"/>
          <w:lang w:val="fr-CA"/>
        </w:rPr>
      </w:pPr>
      <w:r w:rsidRPr="00A3508B">
        <w:rPr>
          <w:i/>
          <w:sz w:val="20"/>
          <w:lang w:val="fr-CA"/>
        </w:rPr>
        <w:tab/>
        <w:t>Les</w:t>
      </w:r>
      <w:r w:rsidRPr="00A3508B">
        <w:rPr>
          <w:sz w:val="20"/>
          <w:lang w:val="fr-CA"/>
        </w:rPr>
        <w:t xml:space="preserve"> </w:t>
      </w:r>
      <w:r w:rsidRPr="00A3508B">
        <w:rPr>
          <w:b/>
          <w:sz w:val="20"/>
          <w:lang w:val="fr-CA"/>
        </w:rPr>
        <w:t>juges</w:t>
      </w:r>
      <w:r w:rsidRPr="00A3508B">
        <w:rPr>
          <w:sz w:val="20"/>
          <w:lang w:val="fr-CA"/>
        </w:rPr>
        <w:t xml:space="preserve"> </w:t>
      </w:r>
      <w:proofErr w:type="spellStart"/>
      <w:r w:rsidRPr="00A3508B">
        <w:rPr>
          <w:b/>
          <w:sz w:val="20"/>
          <w:lang w:val="fr-CA"/>
        </w:rPr>
        <w:t>Moldaver</w:t>
      </w:r>
      <w:proofErr w:type="spellEnd"/>
      <w:r w:rsidRPr="00A3508B">
        <w:rPr>
          <w:b/>
          <w:sz w:val="20"/>
          <w:lang w:val="fr-CA"/>
        </w:rPr>
        <w:t xml:space="preserve"> et Wagner :</w:t>
      </w:r>
      <w:r w:rsidRPr="00A3508B">
        <w:rPr>
          <w:sz w:val="20"/>
          <w:lang w:val="fr-CA"/>
        </w:rPr>
        <w:t xml:space="preserve"> La conclusion du Tribunal selon laquelle la dépendance de S aux drogues n’a pas constitué un facteur de son congédiement était déraisonnable. Pour établir qu’il y a discrimination </w:t>
      </w:r>
      <w:r w:rsidRPr="00A3508B">
        <w:rPr>
          <w:i/>
          <w:sz w:val="20"/>
          <w:lang w:val="fr-CA"/>
        </w:rPr>
        <w:t xml:space="preserve">prima </w:t>
      </w:r>
      <w:proofErr w:type="spellStart"/>
      <w:r w:rsidRPr="00A3508B">
        <w:rPr>
          <w:i/>
          <w:sz w:val="20"/>
          <w:lang w:val="fr-CA"/>
        </w:rPr>
        <w:t>facie</w:t>
      </w:r>
      <w:proofErr w:type="spellEnd"/>
      <w:r w:rsidRPr="00A3508B">
        <w:rPr>
          <w:sz w:val="20"/>
          <w:lang w:val="fr-CA"/>
        </w:rPr>
        <w:t xml:space="preserve">, S n’est pas tenu de démontrer que son licenciement est uniquement attribuable ni même principalement attribuable à sa dépendance aux drogues. En fait, il doit uniquement prouver l’existence d’un lien entre le motif protégé — sa dépendance aux drogues — et l’effet préjudiciable. L’exercice, par S, d’un certain contrôle sur sa consommation de drogue n’a fait que diminuer la mesure dans laquelle sa dépendance a contribué à son licenciement; cela ne l’a pas exclue en tant que facteur de son licenciement. </w:t>
      </w:r>
    </w:p>
    <w:p w:rsidR="006018F5" w:rsidRPr="00A3508B" w:rsidRDefault="006018F5" w:rsidP="006018F5">
      <w:pPr>
        <w:pStyle w:val="SCCNormalDoubleSpacing"/>
        <w:spacing w:line="240" w:lineRule="auto"/>
        <w:rPr>
          <w:sz w:val="20"/>
          <w:lang w:val="fr-CA"/>
        </w:rPr>
      </w:pPr>
    </w:p>
    <w:p w:rsidR="006018F5" w:rsidRDefault="006018F5" w:rsidP="006018F5">
      <w:pPr>
        <w:pStyle w:val="SCCNormalDoubleSpacing"/>
        <w:spacing w:line="240" w:lineRule="auto"/>
        <w:rPr>
          <w:sz w:val="20"/>
          <w:lang w:val="fr-CA"/>
        </w:rPr>
      </w:pPr>
      <w:r w:rsidRPr="00A3508B">
        <w:rPr>
          <w:sz w:val="20"/>
          <w:lang w:val="fr-CA"/>
        </w:rPr>
        <w:tab/>
        <w:t>Cependant, le Tribunal a raisonnablement jugé que l’employeur s’était acquitté de son obligation de composer avec S tant qu’il n’en avait pas résulté pour lui une contrainte excessive. Étant donné les objectifs et responsabilités de l’employeur au chapitre de la sécurité à la mine de charbon, il était impératif de dissuader les employés de consommer de la drogue d’une manière qui risque de nuire à leur rendement et peut avoir des conséquences dévastatrices. Soumettre S à une évaluation individuelle ou lui imposer une suspension sans solde pour une durée limitée en guise de mesure disciplinaire au lieu de le licencier, une mesure grave et immédiate, aurait sapé l’effet dissuasif de la politique. Le Tribunal a donc raisonnablement conclu que l’instauration de ces aspects de l’accommodement individuel entraînerait une contrainte excessive.</w:t>
      </w:r>
    </w:p>
    <w:p w:rsidR="006018F5" w:rsidRPr="00A3508B" w:rsidRDefault="006018F5" w:rsidP="006018F5">
      <w:pPr>
        <w:pStyle w:val="SCCNormalDoubleSpacing"/>
        <w:spacing w:line="240" w:lineRule="auto"/>
        <w:rPr>
          <w:sz w:val="20"/>
          <w:lang w:val="fr-CA"/>
        </w:rPr>
      </w:pPr>
    </w:p>
    <w:p w:rsidR="006018F5" w:rsidRDefault="006018F5" w:rsidP="006018F5">
      <w:pPr>
        <w:pStyle w:val="SCCNormalDoubleSpacing"/>
        <w:spacing w:line="240" w:lineRule="auto"/>
        <w:rPr>
          <w:sz w:val="20"/>
          <w:lang w:val="fr-CA"/>
        </w:rPr>
      </w:pPr>
      <w:r w:rsidRPr="00A3508B">
        <w:rPr>
          <w:sz w:val="20"/>
          <w:lang w:val="fr-CA"/>
        </w:rPr>
        <w:tab/>
      </w:r>
      <w:r w:rsidRPr="00A3508B">
        <w:rPr>
          <w:i/>
          <w:sz w:val="20"/>
          <w:lang w:val="fr-CA"/>
        </w:rPr>
        <w:t xml:space="preserve">Le </w:t>
      </w:r>
      <w:r w:rsidRPr="00A3508B">
        <w:rPr>
          <w:b/>
          <w:sz w:val="20"/>
          <w:lang w:val="fr-CA"/>
        </w:rPr>
        <w:t>juge</w:t>
      </w:r>
      <w:r w:rsidRPr="00A3508B">
        <w:rPr>
          <w:sz w:val="20"/>
          <w:lang w:val="fr-CA"/>
        </w:rPr>
        <w:t xml:space="preserve"> </w:t>
      </w:r>
      <w:r w:rsidRPr="00A3508B">
        <w:rPr>
          <w:b/>
          <w:sz w:val="20"/>
          <w:lang w:val="fr-CA"/>
        </w:rPr>
        <w:t xml:space="preserve">Gascon </w:t>
      </w:r>
      <w:r w:rsidRPr="00A3508B">
        <w:rPr>
          <w:sz w:val="20"/>
          <w:lang w:val="fr-CA"/>
        </w:rPr>
        <w:t>(dissident) : Bien que la dépendance aux drogues constitue un motif de discrimination illicite en matière de droits de la personne, les préjugés qui concernent la dépendance aux drogues — comme la croyance que les personnes qui en souffrent sont les artisans de leur propre malheur ou que leurs préoccupations sont moins crédibles que celles des personnes souffrant d’autres formes de déficience — empêchent parfois les tribunaux et la société d’apprécier objectivement le bien</w:t>
      </w:r>
      <w:r w:rsidRPr="00A3508B">
        <w:rPr>
          <w:sz w:val="20"/>
          <w:lang w:val="fr-CA"/>
        </w:rPr>
        <w:noBreakHyphen/>
        <w:t xml:space="preserve">fondé de leurs allégations de discrimination. Ces préjugés contribuent à l’intégration non harmonieuse des politiques en matière de dépendance aux drogues et de dépistage des drogues dans l’arène des droits </w:t>
      </w:r>
      <w:r w:rsidRPr="00A3508B">
        <w:rPr>
          <w:sz w:val="20"/>
          <w:lang w:val="fr-CA"/>
        </w:rPr>
        <w:lastRenderedPageBreak/>
        <w:t>de la personne. Les considérations non pertinentes sur lesquelles s’est appuyé le Tribunal ont eu pour effet d’exclure S de la portée des protections en matière de droits de la personne.</w:t>
      </w:r>
    </w:p>
    <w:p w:rsidR="006018F5" w:rsidRPr="00A3508B" w:rsidRDefault="006018F5" w:rsidP="006018F5">
      <w:pPr>
        <w:pStyle w:val="SCCNormalDoubleSpacing"/>
        <w:spacing w:line="240" w:lineRule="auto"/>
        <w:rPr>
          <w:sz w:val="20"/>
          <w:lang w:val="fr-CA"/>
        </w:rPr>
      </w:pPr>
    </w:p>
    <w:p w:rsidR="006018F5" w:rsidRDefault="006018F5" w:rsidP="006018F5">
      <w:pPr>
        <w:pStyle w:val="SCCNormalDoubleSpacing"/>
        <w:spacing w:line="240" w:lineRule="auto"/>
        <w:rPr>
          <w:sz w:val="20"/>
          <w:lang w:val="fr-CA"/>
        </w:rPr>
      </w:pPr>
      <w:r w:rsidRPr="00A3508B">
        <w:rPr>
          <w:sz w:val="20"/>
          <w:lang w:val="fr-CA"/>
        </w:rPr>
        <w:tab/>
        <w:t xml:space="preserve">Une politique en matière de drogues dont l’application a pour effet de congédier automatiquement les employés qui consomment de la drogue exerce une discrimination </w:t>
      </w:r>
      <w:r w:rsidRPr="00A3508B">
        <w:rPr>
          <w:i/>
          <w:sz w:val="20"/>
          <w:lang w:val="fr-CA"/>
        </w:rPr>
        <w:t xml:space="preserve">prima </w:t>
      </w:r>
      <w:proofErr w:type="spellStart"/>
      <w:r w:rsidRPr="00A3508B">
        <w:rPr>
          <w:i/>
          <w:sz w:val="20"/>
          <w:lang w:val="fr-CA"/>
        </w:rPr>
        <w:t>facie</w:t>
      </w:r>
      <w:proofErr w:type="spellEnd"/>
      <w:r w:rsidRPr="00A3508B">
        <w:rPr>
          <w:sz w:val="20"/>
          <w:lang w:val="fr-CA"/>
        </w:rPr>
        <w:t xml:space="preserve"> envers les personnes que la dépendance aux drogues accable. Le critère juridique applicable en matière de discrimination </w:t>
      </w:r>
      <w:r w:rsidRPr="00A3508B">
        <w:rPr>
          <w:i/>
          <w:sz w:val="20"/>
          <w:lang w:val="fr-CA"/>
        </w:rPr>
        <w:t xml:space="preserve">prima </w:t>
      </w:r>
      <w:proofErr w:type="spellStart"/>
      <w:r w:rsidRPr="00A3508B">
        <w:rPr>
          <w:i/>
          <w:sz w:val="20"/>
          <w:lang w:val="fr-CA"/>
        </w:rPr>
        <w:t>facie</w:t>
      </w:r>
      <w:proofErr w:type="spellEnd"/>
      <w:r w:rsidRPr="00A3508B">
        <w:rPr>
          <w:sz w:val="20"/>
          <w:lang w:val="fr-CA"/>
        </w:rPr>
        <w:t xml:space="preserve"> consiste à se demander si le motif protégé du plaignant a constitué un facteur dans le préjudice qu’il a subi (aussi appelé « contribution »). En l’espèce, la dépendance aux drogues de S a constitué un facteur dans sa consommation de drogues. En conséquence, la politique en application de laquelle S a été congédié pour avoir consommé de la drogue est discriminatoire à première vue. L’analyse du Tribunal était déraisonnable car elle se méprenait sur les principes juridiques sous</w:t>
      </w:r>
      <w:r w:rsidRPr="00A3508B">
        <w:rPr>
          <w:sz w:val="20"/>
          <w:lang w:val="fr-CA"/>
        </w:rPr>
        <w:noBreakHyphen/>
        <w:t>tendant le droit en matière de discrimination et n’était pas étayée par ses conclusions de fait.</w:t>
      </w:r>
    </w:p>
    <w:p w:rsidR="006018F5" w:rsidRPr="00A3508B" w:rsidRDefault="006018F5" w:rsidP="006018F5">
      <w:pPr>
        <w:pStyle w:val="SCCNormalDoubleSpacing"/>
        <w:spacing w:line="240" w:lineRule="auto"/>
        <w:rPr>
          <w:sz w:val="20"/>
          <w:lang w:val="fr-CA"/>
        </w:rPr>
      </w:pPr>
    </w:p>
    <w:p w:rsidR="006018F5" w:rsidRDefault="006018F5" w:rsidP="006018F5">
      <w:pPr>
        <w:pStyle w:val="SCCNormalDoubleSpacing"/>
        <w:spacing w:line="240" w:lineRule="auto"/>
        <w:rPr>
          <w:sz w:val="20"/>
          <w:lang w:val="fr-CA"/>
        </w:rPr>
      </w:pPr>
      <w:r w:rsidRPr="00A3508B">
        <w:rPr>
          <w:sz w:val="20"/>
          <w:lang w:val="fr-CA"/>
        </w:rPr>
        <w:tab/>
        <w:t xml:space="preserve">L’analyse de la discrimination </w:t>
      </w:r>
      <w:r w:rsidRPr="00A3508B">
        <w:rPr>
          <w:i/>
          <w:sz w:val="20"/>
          <w:lang w:val="fr-CA"/>
        </w:rPr>
        <w:t xml:space="preserve">prima </w:t>
      </w:r>
      <w:proofErr w:type="spellStart"/>
      <w:r w:rsidRPr="00A3508B">
        <w:rPr>
          <w:i/>
          <w:sz w:val="20"/>
          <w:lang w:val="fr-CA"/>
        </w:rPr>
        <w:t>facie</w:t>
      </w:r>
      <w:proofErr w:type="spellEnd"/>
      <w:r w:rsidRPr="00A3508B">
        <w:rPr>
          <w:sz w:val="20"/>
          <w:lang w:val="fr-CA"/>
        </w:rPr>
        <w:t xml:space="preserve"> et, plus particulièrement, de la contribution, porte sur l’effet discriminatoire, et non sur l’intention discriminatoire. La contribution désigne le rapport entre le motif protégé de l’employé et le préjudice qu’il subit, et non entre le motif et l’intention de léser cet employé. Un motif n’a qu’à constituer l’un des facteurs à l’origine du préjudice de l’employé. Le Tribunal n’a pas suivi cette approche établie. Il a plutôt déraisonnablement </w:t>
      </w:r>
      <w:r w:rsidRPr="00A3508B">
        <w:rPr>
          <w:rFonts w:eastAsiaTheme="minorEastAsia"/>
          <w:sz w:val="20"/>
          <w:lang w:val="fr-CA"/>
        </w:rPr>
        <w:t>conclu que la dépendance de S n’avait pas contribué à son congédiement en raison de quatre erreurs conceptuelles</w:t>
      </w:r>
      <w:r w:rsidRPr="00A3508B">
        <w:rPr>
          <w:sz w:val="20"/>
          <w:lang w:val="fr-CA"/>
        </w:rPr>
        <w:t>.</w:t>
      </w:r>
    </w:p>
    <w:p w:rsidR="006018F5" w:rsidRPr="00A3508B" w:rsidRDefault="006018F5" w:rsidP="006018F5">
      <w:pPr>
        <w:pStyle w:val="SCCNormalDoubleSpacing"/>
        <w:spacing w:line="240" w:lineRule="auto"/>
        <w:rPr>
          <w:sz w:val="20"/>
          <w:lang w:val="fr-CA"/>
        </w:rPr>
      </w:pPr>
    </w:p>
    <w:p w:rsidR="006018F5" w:rsidRDefault="006018F5" w:rsidP="006018F5">
      <w:pPr>
        <w:pStyle w:val="SCCNormalDoubleSpacing"/>
        <w:spacing w:line="240" w:lineRule="auto"/>
        <w:rPr>
          <w:sz w:val="20"/>
          <w:lang w:val="fr-CA"/>
        </w:rPr>
      </w:pPr>
      <w:r w:rsidRPr="00A3508B">
        <w:rPr>
          <w:sz w:val="20"/>
          <w:lang w:val="fr-CA"/>
        </w:rPr>
        <w:tab/>
        <w:t xml:space="preserve">Premièrement, il </w:t>
      </w:r>
      <w:r w:rsidRPr="00A3508B">
        <w:rPr>
          <w:rFonts w:eastAsiaTheme="minorEastAsia"/>
          <w:sz w:val="20"/>
          <w:lang w:val="fr-CA"/>
        </w:rPr>
        <w:t>exigeait de S qu’il fasse des choix prudents pour éviter la discrimination</w:t>
      </w:r>
      <w:r w:rsidRPr="00A3508B">
        <w:rPr>
          <w:sz w:val="20"/>
          <w:lang w:val="fr-CA"/>
        </w:rPr>
        <w:t xml:space="preserve">. Exiger </w:t>
      </w:r>
      <w:r w:rsidRPr="00A3508B">
        <w:rPr>
          <w:rFonts w:eastAsiaTheme="minorEastAsia"/>
          <w:sz w:val="20"/>
          <w:lang w:val="fr-CA"/>
        </w:rPr>
        <w:t xml:space="preserve">que les plaignants se montrent prudents en évitant la discrimination équivaut à une sorte de moyen de défense fondé sur la faute contributoire en matière de discrimination, ce qui </w:t>
      </w:r>
      <w:r w:rsidRPr="00A3508B">
        <w:rPr>
          <w:sz w:val="20"/>
          <w:lang w:val="fr-CA"/>
        </w:rPr>
        <w:t>(1) </w:t>
      </w:r>
      <w:r w:rsidRPr="00A3508B">
        <w:rPr>
          <w:rFonts w:eastAsiaTheme="minorEastAsia"/>
          <w:sz w:val="20"/>
          <w:lang w:val="fr-CA"/>
        </w:rPr>
        <w:t>fait porter au plaignant le fardeau d’éviter la discrimination, plutôt que de faire porter à l’employeur le fardeau de ne pas exercer de discrimination</w:t>
      </w:r>
      <w:r w:rsidRPr="00A3508B">
        <w:rPr>
          <w:sz w:val="20"/>
          <w:lang w:val="fr-CA"/>
        </w:rPr>
        <w:t>; (2) </w:t>
      </w:r>
      <w:r w:rsidRPr="00A3508B">
        <w:rPr>
          <w:rFonts w:eastAsiaTheme="minorEastAsia"/>
          <w:sz w:val="20"/>
          <w:lang w:val="fr-CA"/>
        </w:rPr>
        <w:t>est incompatible avec certains motifs légaux reconnus récemment dont on peut prétendre qu’ils font entrer en ligne de compte les choix d’un plaignant qui sont importants pour son identité</w:t>
      </w:r>
      <w:r w:rsidRPr="00A3508B">
        <w:rPr>
          <w:sz w:val="20"/>
          <w:lang w:val="fr-CA"/>
        </w:rPr>
        <w:t>; (3) </w:t>
      </w:r>
      <w:r w:rsidRPr="00A3508B">
        <w:rPr>
          <w:rFonts w:eastAsiaTheme="minorEastAsia"/>
          <w:sz w:val="20"/>
          <w:lang w:val="fr-CA"/>
        </w:rPr>
        <w:t>contredit généralement le rejet par la Cour de la séparation superficielle entre les motifs protégés et la conduite inextricablement liée à ces motifs</w:t>
      </w:r>
      <w:r w:rsidRPr="00A3508B">
        <w:rPr>
          <w:sz w:val="20"/>
          <w:lang w:val="fr-CA"/>
        </w:rPr>
        <w:t>; (4) </w:t>
      </w:r>
      <w:r w:rsidRPr="00A3508B">
        <w:rPr>
          <w:rFonts w:eastAsiaTheme="minorEastAsia"/>
          <w:sz w:val="20"/>
          <w:lang w:val="fr-CA"/>
        </w:rPr>
        <w:t>contredit plus particulièrement le rejet par la Cour de l’opinion selon laquelle le choix rend les consommateurs de drogues responsables des préjudices découlant de leur consommation de drogue</w:t>
      </w:r>
      <w:r w:rsidRPr="00A3508B">
        <w:rPr>
          <w:sz w:val="20"/>
          <w:lang w:val="fr-CA"/>
        </w:rPr>
        <w:t xml:space="preserve">; (5) renforce la stigmatisation en blâmant les </w:t>
      </w:r>
      <w:r w:rsidRPr="00A3508B">
        <w:rPr>
          <w:rFonts w:eastAsiaTheme="minorEastAsia"/>
          <w:sz w:val="20"/>
          <w:lang w:val="fr-CA"/>
        </w:rPr>
        <w:t>communautés marginalisées pour leurs choix</w:t>
      </w:r>
      <w:r w:rsidRPr="00A3508B">
        <w:rPr>
          <w:sz w:val="20"/>
          <w:lang w:val="fr-CA"/>
        </w:rPr>
        <w:t>; (6) </w:t>
      </w:r>
      <w:r w:rsidRPr="00A3508B">
        <w:rPr>
          <w:rFonts w:eastAsiaTheme="minorEastAsia"/>
          <w:sz w:val="20"/>
          <w:lang w:val="fr-CA"/>
        </w:rPr>
        <w:t>remplace l’analyse appropriée — qui consiste à se demander si les personnes dépendantes aux drogues sont lésées par la politique — par une analyse inappropriée, soit celle de se demander si les personnes dépendantes aux drogues sont accablées par leur dépendance à tel point que la discrimination qu’elles subissent est exclusivement causée par leur dépendance</w:t>
      </w:r>
      <w:r w:rsidRPr="00A3508B">
        <w:rPr>
          <w:sz w:val="20"/>
          <w:lang w:val="fr-CA"/>
        </w:rPr>
        <w:t>.</w:t>
      </w:r>
    </w:p>
    <w:p w:rsidR="006018F5" w:rsidRPr="00A3508B" w:rsidRDefault="006018F5" w:rsidP="006018F5">
      <w:pPr>
        <w:pStyle w:val="SCCNormalDoubleSpacing"/>
        <w:spacing w:line="240" w:lineRule="auto"/>
        <w:rPr>
          <w:sz w:val="20"/>
          <w:lang w:val="fr-CA"/>
        </w:rPr>
      </w:pPr>
    </w:p>
    <w:p w:rsidR="006018F5" w:rsidRDefault="006018F5" w:rsidP="006018F5">
      <w:pPr>
        <w:pStyle w:val="SCCNormalDoubleSpacing"/>
        <w:spacing w:line="240" w:lineRule="auto"/>
        <w:rPr>
          <w:sz w:val="20"/>
          <w:lang w:val="fr-CA"/>
        </w:rPr>
      </w:pPr>
      <w:r w:rsidRPr="00A3508B">
        <w:rPr>
          <w:sz w:val="20"/>
          <w:lang w:val="fr-CA"/>
        </w:rPr>
        <w:tab/>
        <w:t xml:space="preserve">Deuxièmement, le Tribunal a </w:t>
      </w:r>
      <w:r w:rsidRPr="00A3508B">
        <w:rPr>
          <w:rFonts w:eastAsiaTheme="minorEastAsia"/>
          <w:sz w:val="20"/>
          <w:lang w:val="fr-CA"/>
        </w:rPr>
        <w:t>limité les protections dont jouit S à l’assurance d’une égalité formelle</w:t>
      </w:r>
      <w:r w:rsidRPr="00A3508B">
        <w:rPr>
          <w:sz w:val="20"/>
          <w:lang w:val="fr-CA"/>
        </w:rPr>
        <w:t xml:space="preserve">. Bien </w:t>
      </w:r>
      <w:r w:rsidRPr="00A3508B">
        <w:rPr>
          <w:rFonts w:eastAsiaTheme="minorEastAsia"/>
          <w:sz w:val="20"/>
          <w:lang w:val="fr-CA"/>
        </w:rPr>
        <w:t>que les consommateurs de drogues, dépendants ou occasionnels, reçoivent le même traitement en cas de violation de la politique, ce ne sont que les personnes souffrant d’une dépendance aux drogues qui auront particulièrement et de façon disproportionnée de la difficulté à respecter la politique</w:t>
      </w:r>
      <w:r w:rsidRPr="00A3508B">
        <w:rPr>
          <w:sz w:val="20"/>
          <w:lang w:val="fr-CA"/>
        </w:rPr>
        <w:t xml:space="preserve">. </w:t>
      </w:r>
    </w:p>
    <w:p w:rsidR="006018F5" w:rsidRPr="00A3508B" w:rsidRDefault="006018F5" w:rsidP="006018F5">
      <w:pPr>
        <w:pStyle w:val="SCCNormalDoubleSpacing"/>
        <w:spacing w:line="240" w:lineRule="auto"/>
        <w:rPr>
          <w:sz w:val="20"/>
          <w:lang w:val="fr-CA"/>
        </w:rPr>
      </w:pPr>
    </w:p>
    <w:p w:rsidR="006018F5" w:rsidRDefault="006018F5" w:rsidP="006018F5">
      <w:pPr>
        <w:pStyle w:val="SCCNormalDoubleSpacing"/>
        <w:spacing w:line="240" w:lineRule="auto"/>
        <w:rPr>
          <w:sz w:val="20"/>
          <w:lang w:val="fr-CA"/>
        </w:rPr>
      </w:pPr>
      <w:r w:rsidRPr="00A3508B">
        <w:rPr>
          <w:sz w:val="20"/>
          <w:lang w:val="fr-CA"/>
        </w:rPr>
        <w:tab/>
        <w:t xml:space="preserve">Troisièmement, le Tribunal a exigé de S </w:t>
      </w:r>
      <w:r w:rsidRPr="00A3508B">
        <w:rPr>
          <w:rFonts w:eastAsiaTheme="minorEastAsia"/>
          <w:sz w:val="20"/>
          <w:lang w:val="fr-CA"/>
        </w:rPr>
        <w:t>qu’il prouve qu’il a été traité de façon arbitraire ou stéréotypée</w:t>
      </w:r>
      <w:r w:rsidRPr="00A3508B">
        <w:rPr>
          <w:sz w:val="20"/>
          <w:lang w:val="fr-CA"/>
        </w:rPr>
        <w:t xml:space="preserve">, introduisant ainsi des considérations de fond dans le critère établi et peu exigeant applicable à la discrimination </w:t>
      </w:r>
      <w:r w:rsidRPr="00A3508B">
        <w:rPr>
          <w:i/>
          <w:sz w:val="20"/>
          <w:lang w:val="fr-CA"/>
        </w:rPr>
        <w:t xml:space="preserve">prima </w:t>
      </w:r>
      <w:proofErr w:type="spellStart"/>
      <w:r w:rsidRPr="00A3508B">
        <w:rPr>
          <w:i/>
          <w:sz w:val="20"/>
          <w:lang w:val="fr-CA"/>
        </w:rPr>
        <w:t>facie</w:t>
      </w:r>
      <w:proofErr w:type="spellEnd"/>
      <w:r w:rsidRPr="00A3508B">
        <w:rPr>
          <w:sz w:val="20"/>
          <w:lang w:val="fr-CA"/>
        </w:rPr>
        <w:t xml:space="preserve"> et faisant passer le fardeau de la justification de l’employeur au plaignant.</w:t>
      </w:r>
    </w:p>
    <w:p w:rsidR="006018F5" w:rsidRPr="00A3508B" w:rsidRDefault="006018F5" w:rsidP="006018F5">
      <w:pPr>
        <w:pStyle w:val="SCCNormalDoubleSpacing"/>
        <w:spacing w:line="240" w:lineRule="auto"/>
        <w:rPr>
          <w:sz w:val="20"/>
          <w:lang w:val="fr-CA"/>
        </w:rPr>
      </w:pPr>
    </w:p>
    <w:p w:rsidR="006018F5" w:rsidRDefault="006018F5" w:rsidP="006018F5">
      <w:pPr>
        <w:pStyle w:val="SCCNormalDoubleSpacing"/>
        <w:spacing w:line="240" w:lineRule="auto"/>
        <w:rPr>
          <w:sz w:val="20"/>
          <w:lang w:val="fr-CA"/>
        </w:rPr>
      </w:pPr>
      <w:r w:rsidRPr="00A3508B">
        <w:rPr>
          <w:sz w:val="20"/>
          <w:lang w:val="fr-CA"/>
        </w:rPr>
        <w:tab/>
        <w:t xml:space="preserve">Enfin, le Tribunal a exigé de S </w:t>
      </w:r>
      <w:r w:rsidRPr="00A3508B">
        <w:rPr>
          <w:rFonts w:eastAsiaTheme="minorEastAsia"/>
          <w:sz w:val="20"/>
          <w:lang w:val="fr-CA"/>
        </w:rPr>
        <w:t>qu’il établisse un rapport de causalité entre son motif et son préjudice</w:t>
      </w:r>
      <w:r w:rsidRPr="00A3508B">
        <w:rPr>
          <w:sz w:val="20"/>
          <w:lang w:val="fr-CA"/>
        </w:rPr>
        <w:t xml:space="preserve">, </w:t>
      </w:r>
      <w:r w:rsidRPr="00A3508B">
        <w:rPr>
          <w:rFonts w:eastAsiaTheme="minorEastAsia"/>
          <w:sz w:val="20"/>
          <w:lang w:val="fr-CA"/>
        </w:rPr>
        <w:t>une barre plus haute que le critère du simple « facteur » maintes fois adopté par la Cour</w:t>
      </w:r>
      <w:r w:rsidRPr="00A3508B">
        <w:rPr>
          <w:sz w:val="20"/>
          <w:lang w:val="fr-CA"/>
        </w:rPr>
        <w:t xml:space="preserve">. Il ne faut pas interpréter restrictivement la discrimination </w:t>
      </w:r>
      <w:r w:rsidRPr="00A3508B">
        <w:rPr>
          <w:i/>
          <w:sz w:val="20"/>
          <w:lang w:val="fr-CA"/>
        </w:rPr>
        <w:t xml:space="preserve">prima </w:t>
      </w:r>
      <w:proofErr w:type="spellStart"/>
      <w:r w:rsidRPr="00A3508B">
        <w:rPr>
          <w:i/>
          <w:sz w:val="20"/>
          <w:lang w:val="fr-CA"/>
        </w:rPr>
        <w:t>facie</w:t>
      </w:r>
      <w:proofErr w:type="spellEnd"/>
      <w:r w:rsidRPr="00A3508B">
        <w:rPr>
          <w:i/>
          <w:sz w:val="20"/>
          <w:lang w:val="fr-CA"/>
        </w:rPr>
        <w:t xml:space="preserve"> </w:t>
      </w:r>
      <w:r w:rsidRPr="00A3508B">
        <w:rPr>
          <w:sz w:val="20"/>
          <w:lang w:val="fr-CA"/>
        </w:rPr>
        <w:t xml:space="preserve">pour préserver le caractère exécutoire des politiques en matière de drogues et d’alcool. Cette interprétation a pour effet d’introduire des considérations liées à la justification dans l’analyse de la discrimination </w:t>
      </w:r>
      <w:r w:rsidRPr="00A3508B">
        <w:rPr>
          <w:i/>
          <w:sz w:val="20"/>
          <w:lang w:val="fr-CA"/>
        </w:rPr>
        <w:t xml:space="preserve">prima </w:t>
      </w:r>
      <w:proofErr w:type="spellStart"/>
      <w:r w:rsidRPr="00A3508B">
        <w:rPr>
          <w:i/>
          <w:sz w:val="20"/>
          <w:lang w:val="fr-CA"/>
        </w:rPr>
        <w:t>facie</w:t>
      </w:r>
      <w:proofErr w:type="spellEnd"/>
      <w:r w:rsidRPr="00A3508B">
        <w:rPr>
          <w:sz w:val="20"/>
          <w:lang w:val="fr-CA"/>
        </w:rPr>
        <w:t xml:space="preserve"> et d’exagérer ce que suppose le fait de juger ces politiques discriminatoires à première vue, alors qu’elles devraient tout simplement être justifiées comme se rapportant à des exigences professionnelles justifiées. Elle restreint également la jurisprudence récente de la Cour selon laquelle congédier un employé pour une raison liée à une dépendance constitue précisément ce qu’il faut entendre par le fait, pour la dépendance, d’avoir constitué un facteur du préjudice subi par l’employé.</w:t>
      </w:r>
    </w:p>
    <w:p w:rsidR="006018F5" w:rsidRPr="00A3508B" w:rsidRDefault="006018F5" w:rsidP="006018F5">
      <w:pPr>
        <w:pStyle w:val="SCCNormalDoubleSpacing"/>
        <w:spacing w:line="240" w:lineRule="auto"/>
        <w:rPr>
          <w:sz w:val="20"/>
          <w:lang w:val="fr-CA"/>
        </w:rPr>
      </w:pPr>
    </w:p>
    <w:p w:rsidR="006018F5" w:rsidRDefault="006018F5" w:rsidP="006018F5">
      <w:pPr>
        <w:pStyle w:val="SCCNormalDoubleSpacing"/>
        <w:spacing w:line="240" w:lineRule="auto"/>
        <w:rPr>
          <w:rFonts w:eastAsiaTheme="minorEastAsia"/>
          <w:sz w:val="20"/>
          <w:lang w:val="fr-CA"/>
        </w:rPr>
      </w:pPr>
      <w:r w:rsidRPr="00A3508B">
        <w:rPr>
          <w:sz w:val="20"/>
          <w:lang w:val="fr-CA"/>
        </w:rPr>
        <w:tab/>
        <w:t xml:space="preserve">Ainsi, bien que le Tribunal ait </w:t>
      </w:r>
      <w:r w:rsidRPr="00A3508B">
        <w:rPr>
          <w:rFonts w:eastAsiaTheme="minorEastAsia"/>
          <w:sz w:val="20"/>
          <w:lang w:val="fr-CA"/>
        </w:rPr>
        <w:t xml:space="preserve">cité le bon critère juridique relativement à la discrimination </w:t>
      </w:r>
      <w:r w:rsidRPr="00A3508B">
        <w:rPr>
          <w:rFonts w:eastAsiaTheme="minorEastAsia"/>
          <w:i/>
          <w:sz w:val="20"/>
          <w:lang w:val="fr-CA"/>
        </w:rPr>
        <w:t xml:space="preserve">prima </w:t>
      </w:r>
      <w:proofErr w:type="spellStart"/>
      <w:r w:rsidRPr="00A3508B">
        <w:rPr>
          <w:rFonts w:eastAsiaTheme="minorEastAsia"/>
          <w:i/>
          <w:sz w:val="20"/>
          <w:lang w:val="fr-CA"/>
        </w:rPr>
        <w:t>facie</w:t>
      </w:r>
      <w:proofErr w:type="spellEnd"/>
      <w:r w:rsidRPr="00A3508B">
        <w:rPr>
          <w:rFonts w:eastAsiaTheme="minorEastAsia"/>
          <w:sz w:val="20"/>
          <w:lang w:val="fr-CA"/>
        </w:rPr>
        <w:t>, la manière dont il l’a appliqué et l’absence d’éléments de preuve à l’appui de ses conclusions démontrent que sa conclusion relative à la contribution est déraisonnable et ne mérite pas que l’on fasse preuve de déférence à son endroit</w:t>
      </w:r>
      <w:r w:rsidRPr="00A3508B">
        <w:rPr>
          <w:sz w:val="20"/>
          <w:lang w:val="fr-CA"/>
        </w:rPr>
        <w:t xml:space="preserve">. Même s’il a </w:t>
      </w:r>
      <w:r w:rsidRPr="00A3508B">
        <w:rPr>
          <w:rFonts w:eastAsiaTheme="minorEastAsia"/>
          <w:sz w:val="20"/>
          <w:lang w:val="fr-CA"/>
        </w:rPr>
        <w:t xml:space="preserve">maintes </w:t>
      </w:r>
      <w:r w:rsidRPr="00A3508B">
        <w:rPr>
          <w:rFonts w:eastAsiaTheme="minorEastAsia"/>
          <w:sz w:val="20"/>
          <w:lang w:val="fr-CA"/>
        </w:rPr>
        <w:lastRenderedPageBreak/>
        <w:t>fois affirmé que la dépendance de S n’avait pas constitué un facteur de son congédiement, ses motifs laissent entendre qu’il voulait dire que la dépendance de S n’avait pas constitué un facteur dans la décision de l’employeur de le congédier</w:t>
      </w:r>
      <w:r w:rsidRPr="00A3508B">
        <w:rPr>
          <w:sz w:val="20"/>
          <w:lang w:val="fr-CA"/>
        </w:rPr>
        <w:t xml:space="preserve">. Il s’agit du mauvais critère juridique. </w:t>
      </w:r>
      <w:r w:rsidRPr="00A3508B">
        <w:rPr>
          <w:rFonts w:eastAsiaTheme="minorEastAsia"/>
          <w:sz w:val="20"/>
          <w:lang w:val="fr-CA"/>
        </w:rPr>
        <w:t xml:space="preserve">Selon le bon critère, la preuve dont disposait le Tribunal ne pouvait pas appuyer sa conclusion selon laquelle la dépendance aux drogues de S n’avait pas contribué à son congédiement. </w:t>
      </w:r>
      <w:r w:rsidRPr="00A3508B">
        <w:rPr>
          <w:sz w:val="20"/>
          <w:lang w:val="fr-CA"/>
        </w:rPr>
        <w:t xml:space="preserve">Le contrôle résiduel qu’il exerçait sur ses choix </w:t>
      </w:r>
      <w:r w:rsidRPr="00A3508B">
        <w:rPr>
          <w:rFonts w:eastAsiaTheme="minorEastAsia"/>
          <w:sz w:val="20"/>
          <w:lang w:val="fr-CA"/>
        </w:rPr>
        <w:t xml:space="preserve">ne fait que diminuer la mesure dans laquelle sa dépendance a contribué à son préjudice, et ne l’exclut pas en tant que facteur. Le </w:t>
      </w:r>
      <w:r w:rsidRPr="00A3508B">
        <w:rPr>
          <w:sz w:val="20"/>
          <w:lang w:val="fr-CA"/>
        </w:rPr>
        <w:t xml:space="preserve">Tribunal a éludé cet argument en se penchant sur l’intention discriminatoire plutôt que sur l’effet préjudiciable, </w:t>
      </w:r>
      <w:r w:rsidRPr="00A3508B">
        <w:rPr>
          <w:rFonts w:eastAsiaTheme="minorEastAsia"/>
          <w:sz w:val="20"/>
          <w:lang w:val="fr-CA"/>
        </w:rPr>
        <w:t xml:space="preserve">et en exigeant à tort une invalidité absolue pour justifier une plainte de discrimination fondée sur une dépendance. Par conséquent, le congédiement de S était discriminatoire à première vue. </w:t>
      </w:r>
    </w:p>
    <w:p w:rsidR="006018F5" w:rsidRPr="00A3508B" w:rsidRDefault="006018F5" w:rsidP="006018F5">
      <w:pPr>
        <w:pStyle w:val="SCCNormalDoubleSpacing"/>
        <w:spacing w:line="240" w:lineRule="auto"/>
        <w:rPr>
          <w:sz w:val="20"/>
          <w:lang w:val="fr-CA"/>
        </w:rPr>
      </w:pPr>
    </w:p>
    <w:p w:rsidR="006018F5" w:rsidRDefault="006018F5" w:rsidP="006018F5">
      <w:pPr>
        <w:pStyle w:val="SCCNormalDoubleSpacing"/>
        <w:spacing w:line="240" w:lineRule="auto"/>
        <w:rPr>
          <w:rFonts w:eastAsiaTheme="minorEastAsia"/>
          <w:sz w:val="20"/>
          <w:lang w:val="fr-CA"/>
        </w:rPr>
      </w:pPr>
      <w:r w:rsidRPr="00A3508B">
        <w:rPr>
          <w:sz w:val="20"/>
          <w:lang w:val="fr-CA"/>
        </w:rPr>
        <w:tab/>
        <w:t xml:space="preserve">Quant à la justification, une politique qui accommode l’employé au moyen de mécanismes dont il ne peut se prévaloir en raison de sa déficience ou qui s’appliquent à l’employé uniquement après son congédiement ne saurait justifier l’existence d’une discrimination </w:t>
      </w:r>
      <w:r w:rsidRPr="00A3508B">
        <w:rPr>
          <w:i/>
          <w:sz w:val="20"/>
          <w:lang w:val="fr-CA"/>
        </w:rPr>
        <w:t xml:space="preserve">prima </w:t>
      </w:r>
      <w:proofErr w:type="spellStart"/>
      <w:r w:rsidRPr="00A3508B">
        <w:rPr>
          <w:i/>
          <w:sz w:val="20"/>
          <w:lang w:val="fr-CA"/>
        </w:rPr>
        <w:t>facie</w:t>
      </w:r>
      <w:proofErr w:type="spellEnd"/>
      <w:r w:rsidRPr="00A3508B">
        <w:rPr>
          <w:sz w:val="20"/>
          <w:lang w:val="fr-CA"/>
        </w:rPr>
        <w:t xml:space="preserve">. </w:t>
      </w:r>
      <w:r w:rsidRPr="00A3508B">
        <w:rPr>
          <w:rFonts w:eastAsiaTheme="minorEastAsia"/>
          <w:sz w:val="20"/>
          <w:lang w:val="fr-CA"/>
        </w:rPr>
        <w:t>L’accommodement raisonnable exige que l’employeur aménage, si cela ne lui cause pas une contrainte excessive, le poste de travail ou les tâches de l’employé pour lui permettre de fournir sa prestation de travail. Pour déterminer quelles sont les solutions de rechange raisonnables ou pratiques qui s’offrent à lui, l’employeur doit se livrer à une analyse individualisée de l’employé en question, compte tenu des différences et des capacités individuelles de l’employé. Par conséquent, toute approche préétablie ou générale à l’égard des sanctions infligées aux employés pour une conduite liée à une déficience peinera à remplir l’obligation d’accommodement individualisé de l’employeur.</w:t>
      </w:r>
    </w:p>
    <w:p w:rsidR="006018F5" w:rsidRPr="00A3508B" w:rsidRDefault="006018F5" w:rsidP="006018F5">
      <w:pPr>
        <w:pStyle w:val="SCCNormalDoubleSpacing"/>
        <w:spacing w:line="240" w:lineRule="auto"/>
        <w:rPr>
          <w:rFonts w:eastAsiaTheme="minorEastAsia"/>
          <w:sz w:val="20"/>
          <w:lang w:val="fr-CA"/>
        </w:rPr>
      </w:pPr>
    </w:p>
    <w:p w:rsidR="006018F5" w:rsidRDefault="006018F5" w:rsidP="006018F5">
      <w:pPr>
        <w:pStyle w:val="SCCNormalDoubleSpacing"/>
        <w:spacing w:line="240" w:lineRule="auto"/>
        <w:rPr>
          <w:sz w:val="20"/>
          <w:lang w:val="fr-CA"/>
        </w:rPr>
      </w:pPr>
      <w:r w:rsidRPr="00A3508B">
        <w:rPr>
          <w:sz w:val="20"/>
          <w:lang w:val="fr-CA"/>
        </w:rPr>
        <w:tab/>
        <w:t>En l’espèce, le texte de la politique attaquée prévoit un accommodement adapté postérieur à l’incident : les mesures disciplinaires prises à l’endroit de l’employé qui obtient un résultat positif à un test de dépistage de drogues doivent dépendre de l’ensemble des circonstances pertinentes, notamment le dossier d’emploi de l’employé, les circonstances du résultat positif, les habitudes de consommation déclarées de l’employé, la probabilité que le rendement au travail de l’employé en ait souffert ou puisse en souffrir et l’importance de la dissuasion d’un tel comportement. Toutefois, contrairement à ses termes exprès, la politique a été mise en œuvre sans égard à la situation de S. D</w:t>
      </w:r>
      <w:r w:rsidRPr="00A3508B">
        <w:rPr>
          <w:rFonts w:eastAsiaTheme="minorEastAsia"/>
          <w:sz w:val="20"/>
          <w:lang w:val="fr-CA"/>
        </w:rPr>
        <w:t xml:space="preserve">ans le contexte des droits de la personne, il n’est pas opportun pour l’employeur de passer outre à l’évaluation individuelle au nom de la dissuasion, et ce, même dans ce milieu de travail à risque et en dépit du fait que ce milieu </w:t>
      </w:r>
      <w:r w:rsidRPr="00A3508B">
        <w:rPr>
          <w:sz w:val="20"/>
          <w:lang w:val="fr-CA"/>
        </w:rPr>
        <w:t>incite à l’instauration de politiques strictes sur les drogues.</w:t>
      </w:r>
    </w:p>
    <w:p w:rsidR="006018F5" w:rsidRPr="00A3508B" w:rsidRDefault="006018F5" w:rsidP="006018F5">
      <w:pPr>
        <w:pStyle w:val="SCCNormalDoubleSpacing"/>
        <w:spacing w:line="240" w:lineRule="auto"/>
        <w:rPr>
          <w:sz w:val="20"/>
          <w:lang w:val="fr-CA"/>
        </w:rPr>
      </w:pPr>
    </w:p>
    <w:p w:rsidR="006018F5" w:rsidRDefault="006018F5" w:rsidP="006018F5">
      <w:pPr>
        <w:pStyle w:val="SCCNormalDoubleSpacing"/>
        <w:spacing w:line="240" w:lineRule="auto"/>
        <w:rPr>
          <w:sz w:val="20"/>
          <w:lang w:val="fr-CA"/>
        </w:rPr>
      </w:pPr>
      <w:r w:rsidRPr="00A3508B">
        <w:rPr>
          <w:sz w:val="20"/>
          <w:lang w:val="fr-CA"/>
        </w:rPr>
        <w:tab/>
        <w:t xml:space="preserve">Aucune des mesures d’accommodement de l’employeur n’a fourni à S un accommodement dont il pouvait se prévaloir au cours de son emploi et ces mesures n’ont pas tenu compte de sa situation personnelle d’une manière digne. On ne saurait donc affirmer que l’employeur s’est acquitté de son obligation de composer avec lui en tant qu’employé jusqu’à ce qu’il en résulte pour l’employeur une contrainte excessive et les conclusions contraires du Tribunal étaient déraisonnables. Avant son congédiement, S aurait été accommodé par l’offre d’un traitement clément s’il divulguait volontairement sa dépendance aux drogues, mais il ne pouvait se prévaloir de cet accommodement parce qu’il ne semblait pas conscient de sa dépendance, un symptôme de sa déficience. Après son congédiement, il aurait été accommodé par la possibilité de postuler de nouveau à son poste, mais l’accommodement aide les employés qui ont conservé leur emploi, et non les anciens employés qui peuvent ou non postuler de nouveau avec succès au poste qu’ils ont perdu à la suite d’un congédiement discriminatoire à première vue. Étant donné que l’ensemble des prétendus accommodements consentis par l’employeur ne peuvent être considérés comme tels en droit, la conclusion du Tribunal selon laquelle ils constituaient des accommodements adéquats était susceptible d’intervention. </w:t>
      </w:r>
    </w:p>
    <w:p w:rsidR="006018F5" w:rsidRPr="00A3508B" w:rsidRDefault="006018F5" w:rsidP="006018F5">
      <w:pPr>
        <w:pStyle w:val="SCCNormalDoubleSpacing"/>
        <w:spacing w:line="240" w:lineRule="auto"/>
        <w:rPr>
          <w:sz w:val="20"/>
          <w:lang w:val="fr-CA"/>
        </w:rPr>
      </w:pPr>
    </w:p>
    <w:p w:rsidR="006018F5" w:rsidRDefault="006018F5" w:rsidP="006018F5">
      <w:pPr>
        <w:pStyle w:val="SCCNormalDoubleSpacing"/>
        <w:spacing w:line="240" w:lineRule="auto"/>
        <w:rPr>
          <w:sz w:val="20"/>
          <w:lang w:val="fr-CA"/>
        </w:rPr>
      </w:pPr>
      <w:r w:rsidRPr="00822663">
        <w:rPr>
          <w:sz w:val="20"/>
          <w:lang w:val="fr-CA"/>
        </w:rPr>
        <w:tab/>
      </w:r>
      <w:r w:rsidRPr="00A3508B">
        <w:rPr>
          <w:sz w:val="20"/>
          <w:lang w:val="fr-CA"/>
        </w:rPr>
        <w:t xml:space="preserve">POURVOI contre un arrêt de la Cour d’appel de l’Alberta (les juges Picard, Watson et </w:t>
      </w:r>
      <w:proofErr w:type="spellStart"/>
      <w:r w:rsidRPr="00A3508B">
        <w:rPr>
          <w:sz w:val="20"/>
          <w:lang w:val="fr-CA"/>
        </w:rPr>
        <w:t>O’Ferrall</w:t>
      </w:r>
      <w:proofErr w:type="spellEnd"/>
      <w:r w:rsidRPr="00A3508B">
        <w:rPr>
          <w:sz w:val="20"/>
          <w:lang w:val="fr-CA"/>
        </w:rPr>
        <w:t>), 2015 ABCA 225, 19 Alta. L.R. (6th) 219, 602 A.R. 210, 647 W.A.C. 210, 87 Admin. L.R. (5th) 299, 24 C.C.E.L. (4th) 1, 81 C.H.R.R. D/367, [2015] CLLC ¶230</w:t>
      </w:r>
      <w:r w:rsidRPr="00A3508B">
        <w:rPr>
          <w:sz w:val="20"/>
          <w:lang w:val="fr-CA"/>
        </w:rPr>
        <w:noBreakHyphen/>
        <w:t xml:space="preserve">046, 386 D.L.R. (4th) 383, [2015] 9 W.W.R. 1, [2015] A.J. No. 728 (QL), 2015 </w:t>
      </w:r>
      <w:proofErr w:type="spellStart"/>
      <w:r w:rsidRPr="00A3508B">
        <w:rPr>
          <w:sz w:val="20"/>
          <w:lang w:val="fr-CA"/>
        </w:rPr>
        <w:t>CarswellAlta</w:t>
      </w:r>
      <w:proofErr w:type="spellEnd"/>
      <w:r w:rsidRPr="00A3508B">
        <w:rPr>
          <w:sz w:val="20"/>
          <w:lang w:val="fr-CA"/>
        </w:rPr>
        <w:t xml:space="preserve"> 1190 (WL Can.), qui a infirmé en partie une décision du juge </w:t>
      </w:r>
      <w:proofErr w:type="spellStart"/>
      <w:r w:rsidRPr="00A3508B">
        <w:rPr>
          <w:sz w:val="20"/>
          <w:lang w:val="fr-CA"/>
        </w:rPr>
        <w:t>Michalyshyn</w:t>
      </w:r>
      <w:proofErr w:type="spellEnd"/>
      <w:r w:rsidRPr="00A3508B">
        <w:rPr>
          <w:sz w:val="20"/>
          <w:lang w:val="fr-CA"/>
        </w:rPr>
        <w:t>, 2013 ABQB 756, 581 A.R. 234, [2014] CLLC ¶230</w:t>
      </w:r>
      <w:r w:rsidRPr="00A3508B">
        <w:rPr>
          <w:sz w:val="20"/>
          <w:lang w:val="fr-CA"/>
        </w:rPr>
        <w:noBreakHyphen/>
        <w:t xml:space="preserve">012, [2013] A.J. No. 1462 (QL), 2013 </w:t>
      </w:r>
      <w:proofErr w:type="spellStart"/>
      <w:r w:rsidRPr="00A3508B">
        <w:rPr>
          <w:sz w:val="20"/>
          <w:lang w:val="fr-CA"/>
        </w:rPr>
        <w:t>CarswellAlta</w:t>
      </w:r>
      <w:proofErr w:type="spellEnd"/>
      <w:r w:rsidRPr="00A3508B">
        <w:rPr>
          <w:sz w:val="20"/>
          <w:lang w:val="fr-CA"/>
        </w:rPr>
        <w:t xml:space="preserve"> 2733 (WL Can.), confirmant une décision de l’Alberta </w:t>
      </w:r>
      <w:proofErr w:type="spellStart"/>
      <w:r w:rsidRPr="00A3508B">
        <w:rPr>
          <w:sz w:val="20"/>
          <w:lang w:val="fr-CA"/>
        </w:rPr>
        <w:t>Human</w:t>
      </w:r>
      <w:proofErr w:type="spellEnd"/>
      <w:r w:rsidRPr="00A3508B">
        <w:rPr>
          <w:sz w:val="20"/>
          <w:lang w:val="fr-CA"/>
        </w:rPr>
        <w:t xml:space="preserve"> </w:t>
      </w:r>
      <w:proofErr w:type="spellStart"/>
      <w:r w:rsidRPr="00A3508B">
        <w:rPr>
          <w:sz w:val="20"/>
          <w:lang w:val="fr-CA"/>
        </w:rPr>
        <w:t>Rights</w:t>
      </w:r>
      <w:proofErr w:type="spellEnd"/>
      <w:r w:rsidRPr="00A3508B">
        <w:rPr>
          <w:sz w:val="20"/>
          <w:lang w:val="fr-CA"/>
        </w:rPr>
        <w:t xml:space="preserve"> Tribunal, 2012 AHRC 7, 74 C.H.R.R. D/425, 2012 </w:t>
      </w:r>
      <w:proofErr w:type="spellStart"/>
      <w:r w:rsidRPr="00A3508B">
        <w:rPr>
          <w:sz w:val="20"/>
          <w:lang w:val="fr-CA"/>
        </w:rPr>
        <w:t>CarswellAlta</w:t>
      </w:r>
      <w:proofErr w:type="spellEnd"/>
      <w:r w:rsidRPr="00A3508B">
        <w:rPr>
          <w:sz w:val="20"/>
          <w:lang w:val="fr-CA"/>
        </w:rPr>
        <w:t xml:space="preserve"> 2396 (WL Can.). Pourvoi rejeté, le juge Gascon est dissident.</w:t>
      </w:r>
    </w:p>
    <w:p w:rsidR="006018F5" w:rsidRPr="00A3508B" w:rsidRDefault="006018F5" w:rsidP="006018F5">
      <w:pPr>
        <w:pStyle w:val="SCCNormalDoubleSpacing"/>
        <w:spacing w:line="240" w:lineRule="auto"/>
        <w:rPr>
          <w:sz w:val="20"/>
          <w:lang w:val="fr-CA"/>
        </w:rPr>
      </w:pPr>
    </w:p>
    <w:p w:rsidR="006018F5" w:rsidRDefault="006018F5" w:rsidP="006018F5">
      <w:pPr>
        <w:pStyle w:val="SCCNormalDoubleSpacing"/>
        <w:spacing w:line="240" w:lineRule="auto"/>
        <w:rPr>
          <w:rStyle w:val="SCCCounselPartyRoleChar"/>
          <w:sz w:val="20"/>
          <w:lang w:val="fr-CA"/>
        </w:rPr>
      </w:pPr>
      <w:r w:rsidRPr="00A3508B">
        <w:rPr>
          <w:rStyle w:val="SCCCounselNameChar"/>
          <w:sz w:val="20"/>
          <w:lang w:val="fr-CA"/>
        </w:rPr>
        <w:tab/>
        <w:t>E. Wayne Benedict</w:t>
      </w:r>
      <w:r w:rsidRPr="00A3508B">
        <w:rPr>
          <w:rStyle w:val="SCCCounselPartyRoleChar"/>
          <w:sz w:val="20"/>
          <w:lang w:val="fr-CA"/>
        </w:rPr>
        <w:t>, pour l’appelant.</w:t>
      </w:r>
    </w:p>
    <w:p w:rsidR="006018F5" w:rsidRPr="00A3508B" w:rsidRDefault="006018F5" w:rsidP="006018F5">
      <w:pPr>
        <w:pStyle w:val="SCCNormalDoubleSpacing"/>
        <w:spacing w:line="240" w:lineRule="auto"/>
        <w:rPr>
          <w:sz w:val="20"/>
          <w:lang w:val="fr-CA"/>
        </w:rPr>
      </w:pPr>
    </w:p>
    <w:p w:rsidR="006018F5" w:rsidRDefault="006018F5" w:rsidP="006018F5">
      <w:pPr>
        <w:pStyle w:val="SCCNormalDoubleSpacing"/>
        <w:spacing w:line="240" w:lineRule="auto"/>
        <w:rPr>
          <w:rStyle w:val="SCCCounselPartyRoleChar"/>
          <w:sz w:val="20"/>
          <w:lang w:val="fr-CA"/>
        </w:rPr>
      </w:pPr>
      <w:r w:rsidRPr="00A3508B">
        <w:rPr>
          <w:rStyle w:val="SCCCounselNameChar"/>
          <w:sz w:val="20"/>
          <w:lang w:val="fr-CA"/>
        </w:rPr>
        <w:tab/>
        <w:t xml:space="preserve">Peter A. Gall, </w:t>
      </w:r>
      <w:proofErr w:type="spellStart"/>
      <w:r w:rsidRPr="00A3508B">
        <w:rPr>
          <w:rStyle w:val="SCCCounselNameChar"/>
          <w:sz w:val="20"/>
          <w:lang w:val="fr-CA"/>
        </w:rPr>
        <w:t>c.r</w:t>
      </w:r>
      <w:proofErr w:type="spellEnd"/>
      <w:r w:rsidRPr="00A3508B">
        <w:rPr>
          <w:rStyle w:val="SCCCounselNameChar"/>
          <w:sz w:val="20"/>
          <w:lang w:val="fr-CA"/>
        </w:rPr>
        <w:t>.</w:t>
      </w:r>
      <w:r w:rsidRPr="00A3508B">
        <w:rPr>
          <w:rStyle w:val="SCCCounselSeparatorChar"/>
          <w:rFonts w:eastAsia="Calibri"/>
          <w:sz w:val="20"/>
        </w:rPr>
        <w:t xml:space="preserve">, </w:t>
      </w:r>
      <w:r w:rsidRPr="00A3508B">
        <w:rPr>
          <w:rStyle w:val="SCCCounselNameChar"/>
          <w:sz w:val="20"/>
          <w:lang w:val="fr-CA"/>
        </w:rPr>
        <w:t xml:space="preserve">Andrea L. </w:t>
      </w:r>
      <w:proofErr w:type="spellStart"/>
      <w:r w:rsidRPr="00A3508B">
        <w:rPr>
          <w:rStyle w:val="SCCCounselNameChar"/>
          <w:sz w:val="20"/>
          <w:lang w:val="fr-CA"/>
        </w:rPr>
        <w:t>Zwack</w:t>
      </w:r>
      <w:proofErr w:type="spellEnd"/>
      <w:r w:rsidRPr="00A3508B">
        <w:rPr>
          <w:rStyle w:val="SCCCounselPartyRoleChar"/>
          <w:sz w:val="20"/>
          <w:lang w:val="fr-CA"/>
        </w:rPr>
        <w:t xml:space="preserve"> et </w:t>
      </w:r>
      <w:r w:rsidRPr="00A3508B">
        <w:rPr>
          <w:rStyle w:val="SCCCounselPartyRoleChar"/>
          <w:i/>
          <w:sz w:val="20"/>
          <w:lang w:val="fr-CA"/>
        </w:rPr>
        <w:t>Benjamin J. Oliphant</w:t>
      </w:r>
      <w:r w:rsidRPr="00A3508B">
        <w:rPr>
          <w:rStyle w:val="SCCCounselPartyRoleChar"/>
          <w:sz w:val="20"/>
          <w:lang w:val="fr-CA"/>
        </w:rPr>
        <w:t xml:space="preserve">, pour l’intimée </w:t>
      </w:r>
      <w:proofErr w:type="spellStart"/>
      <w:r w:rsidRPr="00A3508B">
        <w:rPr>
          <w:sz w:val="20"/>
          <w:lang w:val="fr-CA"/>
        </w:rPr>
        <w:t>Elk</w:t>
      </w:r>
      <w:proofErr w:type="spellEnd"/>
      <w:r w:rsidRPr="00A3508B">
        <w:rPr>
          <w:sz w:val="20"/>
          <w:lang w:val="fr-CA"/>
        </w:rPr>
        <w:t xml:space="preserve"> </w:t>
      </w:r>
      <w:proofErr w:type="spellStart"/>
      <w:r w:rsidRPr="00A3508B">
        <w:rPr>
          <w:sz w:val="20"/>
          <w:lang w:val="fr-CA"/>
        </w:rPr>
        <w:t>Valley</w:t>
      </w:r>
      <w:proofErr w:type="spellEnd"/>
      <w:r w:rsidRPr="00A3508B">
        <w:rPr>
          <w:sz w:val="20"/>
          <w:lang w:val="fr-CA"/>
        </w:rPr>
        <w:t xml:space="preserve"> Coal Corporation, Cardinal River Operations</w:t>
      </w:r>
      <w:r w:rsidRPr="00A3508B">
        <w:rPr>
          <w:rStyle w:val="SCCCounselPartyRoleChar"/>
          <w:sz w:val="20"/>
          <w:lang w:val="fr-CA"/>
        </w:rPr>
        <w:t>.</w:t>
      </w:r>
    </w:p>
    <w:p w:rsidR="006018F5" w:rsidRPr="00A3508B" w:rsidRDefault="006018F5" w:rsidP="006018F5">
      <w:pPr>
        <w:pStyle w:val="SCCNormalDoubleSpacing"/>
        <w:spacing w:line="240" w:lineRule="auto"/>
        <w:rPr>
          <w:sz w:val="20"/>
          <w:lang w:val="fr-CA"/>
        </w:rPr>
      </w:pPr>
    </w:p>
    <w:p w:rsidR="006018F5" w:rsidRDefault="006018F5" w:rsidP="006018F5">
      <w:pPr>
        <w:pStyle w:val="SCCNormalDoubleSpacing"/>
        <w:spacing w:line="240" w:lineRule="auto"/>
        <w:rPr>
          <w:rStyle w:val="SCCCounselPartyRoleChar"/>
          <w:sz w:val="20"/>
          <w:lang w:val="fr-CA"/>
        </w:rPr>
      </w:pPr>
      <w:r w:rsidRPr="00A3508B">
        <w:rPr>
          <w:rStyle w:val="SCCCounselNameChar"/>
          <w:sz w:val="20"/>
          <w:lang w:val="fr-CA"/>
        </w:rPr>
        <w:lastRenderedPageBreak/>
        <w:tab/>
        <w:t>Janice R. Ashcroft</w:t>
      </w:r>
      <w:r w:rsidRPr="00A3508B">
        <w:rPr>
          <w:rStyle w:val="SCCCounselPartyRoleChar"/>
          <w:sz w:val="20"/>
          <w:lang w:val="fr-CA"/>
        </w:rPr>
        <w:t xml:space="preserve">, </w:t>
      </w:r>
      <w:proofErr w:type="spellStart"/>
      <w:proofErr w:type="gramStart"/>
      <w:r w:rsidRPr="00A3508B">
        <w:rPr>
          <w:rStyle w:val="SCCCounselPartyRoleChar"/>
          <w:i/>
          <w:sz w:val="20"/>
          <w:lang w:val="fr-CA"/>
        </w:rPr>
        <w:t>c.r</w:t>
      </w:r>
      <w:proofErr w:type="spellEnd"/>
      <w:r w:rsidRPr="00A3508B">
        <w:rPr>
          <w:rStyle w:val="SCCCounselPartyRoleChar"/>
          <w:i/>
          <w:sz w:val="20"/>
          <w:lang w:val="fr-CA"/>
        </w:rPr>
        <w:t>.</w:t>
      </w:r>
      <w:r w:rsidRPr="00A3508B">
        <w:rPr>
          <w:rStyle w:val="SCCCounselPartyRoleChar"/>
          <w:sz w:val="20"/>
          <w:lang w:val="fr-CA"/>
        </w:rPr>
        <w:t>,</w:t>
      </w:r>
      <w:proofErr w:type="gramEnd"/>
      <w:r w:rsidRPr="00A3508B">
        <w:rPr>
          <w:rStyle w:val="SCCCounselPartyRoleChar"/>
          <w:sz w:val="20"/>
          <w:lang w:val="fr-CA"/>
        </w:rPr>
        <w:t xml:space="preserve"> pour l’intimée </w:t>
      </w:r>
      <w:r w:rsidRPr="00A3508B">
        <w:rPr>
          <w:sz w:val="20"/>
          <w:lang w:val="fr-CA"/>
        </w:rPr>
        <w:t xml:space="preserve">Alberta </w:t>
      </w:r>
      <w:proofErr w:type="spellStart"/>
      <w:r w:rsidRPr="00A3508B">
        <w:rPr>
          <w:sz w:val="20"/>
          <w:lang w:val="fr-CA"/>
        </w:rPr>
        <w:t>Human</w:t>
      </w:r>
      <w:proofErr w:type="spellEnd"/>
      <w:r w:rsidRPr="00A3508B">
        <w:rPr>
          <w:sz w:val="20"/>
          <w:lang w:val="fr-CA"/>
        </w:rPr>
        <w:t xml:space="preserve"> </w:t>
      </w:r>
      <w:proofErr w:type="spellStart"/>
      <w:r w:rsidRPr="00A3508B">
        <w:rPr>
          <w:sz w:val="20"/>
          <w:lang w:val="fr-CA"/>
        </w:rPr>
        <w:t>Rights</w:t>
      </w:r>
      <w:proofErr w:type="spellEnd"/>
      <w:r w:rsidRPr="00A3508B">
        <w:rPr>
          <w:sz w:val="20"/>
          <w:lang w:val="fr-CA"/>
        </w:rPr>
        <w:t xml:space="preserve"> Commission (Tribunal)</w:t>
      </w:r>
      <w:r w:rsidRPr="00A3508B">
        <w:rPr>
          <w:rStyle w:val="SCCCounselPartyRoleChar"/>
          <w:sz w:val="20"/>
          <w:lang w:val="fr-CA"/>
        </w:rPr>
        <w:t>.</w:t>
      </w:r>
    </w:p>
    <w:p w:rsidR="006018F5" w:rsidRPr="00A3508B" w:rsidRDefault="006018F5" w:rsidP="006018F5">
      <w:pPr>
        <w:pStyle w:val="SCCNormalDoubleSpacing"/>
        <w:spacing w:line="240" w:lineRule="auto"/>
        <w:rPr>
          <w:sz w:val="20"/>
          <w:lang w:val="fr-CA"/>
        </w:rPr>
      </w:pPr>
    </w:p>
    <w:p w:rsidR="006018F5" w:rsidRDefault="006018F5" w:rsidP="006018F5">
      <w:pPr>
        <w:pStyle w:val="SCCNormalDoubleSpacing"/>
        <w:spacing w:line="240" w:lineRule="auto"/>
        <w:rPr>
          <w:rStyle w:val="SCCCounselPartyRoleChar"/>
          <w:sz w:val="20"/>
          <w:lang w:val="fr-CA"/>
        </w:rPr>
      </w:pPr>
      <w:r w:rsidRPr="00A3508B">
        <w:rPr>
          <w:rStyle w:val="SCCCounselNameChar"/>
          <w:sz w:val="20"/>
          <w:lang w:val="fr-CA"/>
        </w:rPr>
        <w:tab/>
        <w:t xml:space="preserve">Karen R. </w:t>
      </w:r>
      <w:proofErr w:type="spellStart"/>
      <w:r w:rsidRPr="00A3508B">
        <w:rPr>
          <w:rStyle w:val="SCCCounselNameChar"/>
          <w:sz w:val="20"/>
          <w:lang w:val="fr-CA"/>
        </w:rPr>
        <w:t>Spector</w:t>
      </w:r>
      <w:proofErr w:type="spellEnd"/>
      <w:r w:rsidRPr="00A3508B">
        <w:rPr>
          <w:rStyle w:val="SCCCounselSeparatorChar"/>
          <w:rFonts w:eastAsia="Calibri"/>
          <w:sz w:val="20"/>
        </w:rPr>
        <w:t xml:space="preserve"> et </w:t>
      </w:r>
      <w:r w:rsidRPr="00A3508B">
        <w:rPr>
          <w:rStyle w:val="SCCCounselNameChar"/>
          <w:sz w:val="20"/>
          <w:lang w:val="fr-CA"/>
        </w:rPr>
        <w:t xml:space="preserve">Mariam </w:t>
      </w:r>
      <w:proofErr w:type="spellStart"/>
      <w:r w:rsidRPr="00A3508B">
        <w:rPr>
          <w:rStyle w:val="SCCCounselNameChar"/>
          <w:sz w:val="20"/>
          <w:lang w:val="fr-CA"/>
        </w:rPr>
        <w:t>Shanouda</w:t>
      </w:r>
      <w:proofErr w:type="spellEnd"/>
      <w:r w:rsidRPr="00A3508B">
        <w:rPr>
          <w:rStyle w:val="SCCCounselPartyRoleChar"/>
          <w:sz w:val="20"/>
          <w:lang w:val="fr-CA"/>
        </w:rPr>
        <w:t xml:space="preserve">, pour les intervenants le </w:t>
      </w:r>
      <w:r w:rsidRPr="00A3508B">
        <w:rPr>
          <w:sz w:val="20"/>
          <w:lang w:val="fr-CA"/>
        </w:rPr>
        <w:t>Conseil des Canadiens avec déficiences</w:t>
      </w:r>
      <w:r w:rsidRPr="00A3508B">
        <w:rPr>
          <w:rStyle w:val="SCCCounselPartyRoleChar"/>
          <w:sz w:val="20"/>
          <w:lang w:val="fr-CA"/>
        </w:rPr>
        <w:t xml:space="preserve"> et </w:t>
      </w:r>
      <w:proofErr w:type="spellStart"/>
      <w:r w:rsidRPr="00A3508B">
        <w:rPr>
          <w:rStyle w:val="SCCCounselPartyRoleChar"/>
          <w:sz w:val="20"/>
          <w:lang w:val="fr-CA"/>
        </w:rPr>
        <w:t>Empowerment</w:t>
      </w:r>
      <w:proofErr w:type="spellEnd"/>
      <w:r w:rsidRPr="00A3508B">
        <w:rPr>
          <w:rStyle w:val="SCCCounselPartyRoleChar"/>
          <w:sz w:val="20"/>
          <w:lang w:val="fr-CA"/>
        </w:rPr>
        <w:t xml:space="preserve"> Council.</w:t>
      </w:r>
    </w:p>
    <w:p w:rsidR="006018F5" w:rsidRPr="00A3508B" w:rsidRDefault="006018F5" w:rsidP="006018F5">
      <w:pPr>
        <w:pStyle w:val="SCCNormalDoubleSpacing"/>
        <w:spacing w:line="240" w:lineRule="auto"/>
        <w:rPr>
          <w:sz w:val="20"/>
          <w:lang w:val="fr-CA"/>
        </w:rPr>
      </w:pPr>
    </w:p>
    <w:p w:rsidR="006018F5" w:rsidRDefault="006018F5" w:rsidP="006018F5">
      <w:pPr>
        <w:pStyle w:val="SCCNormalDoubleSpacing"/>
        <w:spacing w:line="240" w:lineRule="auto"/>
        <w:rPr>
          <w:rStyle w:val="SCCCounselPartyRoleChar"/>
          <w:sz w:val="20"/>
          <w:lang w:val="fr-CA"/>
        </w:rPr>
      </w:pPr>
      <w:r w:rsidRPr="00A3508B">
        <w:rPr>
          <w:rStyle w:val="SCCCounselNameChar"/>
          <w:sz w:val="20"/>
          <w:lang w:val="fr-CA"/>
        </w:rPr>
        <w:tab/>
        <w:t>Barbara B. Johnston</w:t>
      </w:r>
      <w:r w:rsidRPr="00A3508B">
        <w:rPr>
          <w:rStyle w:val="SCCCounselPartyRoleChar"/>
          <w:sz w:val="20"/>
          <w:lang w:val="fr-CA"/>
        </w:rPr>
        <w:t xml:space="preserve">, </w:t>
      </w:r>
      <w:proofErr w:type="spellStart"/>
      <w:proofErr w:type="gramStart"/>
      <w:r w:rsidRPr="00A3508B">
        <w:rPr>
          <w:rStyle w:val="SCCCounselPartyRoleChar"/>
          <w:i/>
          <w:sz w:val="20"/>
          <w:lang w:val="fr-CA"/>
        </w:rPr>
        <w:t>c.r</w:t>
      </w:r>
      <w:proofErr w:type="spellEnd"/>
      <w:r w:rsidRPr="00A3508B">
        <w:rPr>
          <w:rStyle w:val="SCCCounselPartyRoleChar"/>
          <w:i/>
          <w:sz w:val="20"/>
          <w:lang w:val="fr-CA"/>
        </w:rPr>
        <w:t>.</w:t>
      </w:r>
      <w:r w:rsidRPr="00A3508B">
        <w:rPr>
          <w:rStyle w:val="SCCCounselPartyRoleChar"/>
          <w:sz w:val="20"/>
          <w:lang w:val="fr-CA"/>
        </w:rPr>
        <w:t>,</w:t>
      </w:r>
      <w:proofErr w:type="gramEnd"/>
      <w:r w:rsidRPr="00A3508B">
        <w:rPr>
          <w:rStyle w:val="SCCCounselPartyRoleChar"/>
          <w:sz w:val="20"/>
          <w:lang w:val="fr-CA"/>
        </w:rPr>
        <w:t xml:space="preserve"> et </w:t>
      </w:r>
      <w:r w:rsidRPr="00A3508B">
        <w:rPr>
          <w:rStyle w:val="SCCCounselPartyRoleChar"/>
          <w:i/>
          <w:sz w:val="20"/>
          <w:lang w:val="fr-CA"/>
        </w:rPr>
        <w:t xml:space="preserve">April </w:t>
      </w:r>
      <w:proofErr w:type="spellStart"/>
      <w:r w:rsidRPr="00A3508B">
        <w:rPr>
          <w:rStyle w:val="SCCCounselPartyRoleChar"/>
          <w:i/>
          <w:sz w:val="20"/>
          <w:lang w:val="fr-CA"/>
        </w:rPr>
        <w:t>Kosten</w:t>
      </w:r>
      <w:proofErr w:type="spellEnd"/>
      <w:r w:rsidRPr="00A3508B">
        <w:rPr>
          <w:rStyle w:val="SCCCounselPartyRoleChar"/>
          <w:sz w:val="20"/>
          <w:lang w:val="fr-CA"/>
        </w:rPr>
        <w:t xml:space="preserve">, pour les intervenantes Construction </w:t>
      </w:r>
      <w:proofErr w:type="spellStart"/>
      <w:r w:rsidRPr="00A3508B">
        <w:rPr>
          <w:rStyle w:val="SCCCounselPartyRoleChar"/>
          <w:sz w:val="20"/>
          <w:lang w:val="fr-CA"/>
        </w:rPr>
        <w:t>Owners</w:t>
      </w:r>
      <w:proofErr w:type="spellEnd"/>
      <w:r w:rsidRPr="00A3508B">
        <w:rPr>
          <w:rStyle w:val="SCCCounselPartyRoleChar"/>
          <w:sz w:val="20"/>
          <w:lang w:val="fr-CA"/>
        </w:rPr>
        <w:t xml:space="preserve"> Association of Alberta, Construction Labour Relations — an Alberta Association, </w:t>
      </w:r>
      <w:proofErr w:type="spellStart"/>
      <w:r w:rsidRPr="00A3508B">
        <w:rPr>
          <w:rStyle w:val="SCCCounselPartyRoleChar"/>
          <w:sz w:val="20"/>
          <w:lang w:val="fr-CA"/>
        </w:rPr>
        <w:t>Enform</w:t>
      </w:r>
      <w:proofErr w:type="spellEnd"/>
      <w:r w:rsidRPr="00A3508B">
        <w:rPr>
          <w:rStyle w:val="SCCCounselPartyRoleChar"/>
          <w:sz w:val="20"/>
          <w:lang w:val="fr-CA"/>
        </w:rPr>
        <w:t xml:space="preserve"> Canada, </w:t>
      </w:r>
      <w:proofErr w:type="spellStart"/>
      <w:r w:rsidRPr="00A3508B">
        <w:rPr>
          <w:rStyle w:val="SCCCounselPartyRoleChar"/>
          <w:sz w:val="20"/>
          <w:lang w:val="fr-CA"/>
        </w:rPr>
        <w:t>Electrical</w:t>
      </w:r>
      <w:proofErr w:type="spellEnd"/>
      <w:r w:rsidRPr="00A3508B">
        <w:rPr>
          <w:rStyle w:val="SCCCounselPartyRoleChar"/>
          <w:sz w:val="20"/>
          <w:lang w:val="fr-CA"/>
        </w:rPr>
        <w:t xml:space="preserve"> </w:t>
      </w:r>
      <w:proofErr w:type="spellStart"/>
      <w:r w:rsidRPr="00A3508B">
        <w:rPr>
          <w:rStyle w:val="SCCCounselPartyRoleChar"/>
          <w:sz w:val="20"/>
          <w:lang w:val="fr-CA"/>
        </w:rPr>
        <w:t>Contractors</w:t>
      </w:r>
      <w:proofErr w:type="spellEnd"/>
      <w:r w:rsidRPr="00A3508B">
        <w:rPr>
          <w:rStyle w:val="SCCCounselPartyRoleChar"/>
          <w:sz w:val="20"/>
          <w:lang w:val="fr-CA"/>
        </w:rPr>
        <w:t xml:space="preserve"> Association of Alberta, L’Association minière du Canada, Mining Association of British Columbia, Ontario Mining Association, Northwest </w:t>
      </w:r>
      <w:proofErr w:type="spellStart"/>
      <w:r w:rsidRPr="00A3508B">
        <w:rPr>
          <w:rStyle w:val="SCCCounselPartyRoleChar"/>
          <w:sz w:val="20"/>
          <w:lang w:val="fr-CA"/>
        </w:rPr>
        <w:t>Territories</w:t>
      </w:r>
      <w:proofErr w:type="spellEnd"/>
      <w:r w:rsidRPr="00A3508B">
        <w:rPr>
          <w:rStyle w:val="SCCCounselPartyRoleChar"/>
          <w:sz w:val="20"/>
          <w:lang w:val="fr-CA"/>
        </w:rPr>
        <w:t xml:space="preserve"> and Nunavut </w:t>
      </w:r>
      <w:proofErr w:type="spellStart"/>
      <w:r w:rsidRPr="00A3508B">
        <w:rPr>
          <w:rStyle w:val="SCCCounselPartyRoleChar"/>
          <w:sz w:val="20"/>
          <w:lang w:val="fr-CA"/>
        </w:rPr>
        <w:t>Chamber</w:t>
      </w:r>
      <w:proofErr w:type="spellEnd"/>
      <w:r w:rsidRPr="00A3508B">
        <w:rPr>
          <w:rStyle w:val="SCCCounselPartyRoleChar"/>
          <w:sz w:val="20"/>
          <w:lang w:val="fr-CA"/>
        </w:rPr>
        <w:t xml:space="preserve"> of Mines et Saskatchewan Mining Association.</w:t>
      </w:r>
    </w:p>
    <w:p w:rsidR="006018F5" w:rsidRPr="00A3508B" w:rsidRDefault="006018F5" w:rsidP="006018F5">
      <w:pPr>
        <w:pStyle w:val="SCCNormalDoubleSpacing"/>
        <w:spacing w:line="240" w:lineRule="auto"/>
        <w:rPr>
          <w:sz w:val="20"/>
          <w:lang w:val="fr-CA"/>
        </w:rPr>
      </w:pPr>
    </w:p>
    <w:p w:rsidR="006018F5" w:rsidRDefault="006018F5" w:rsidP="006018F5">
      <w:pPr>
        <w:pStyle w:val="SCCNormalDoubleSpacing"/>
        <w:spacing w:line="240" w:lineRule="auto"/>
        <w:rPr>
          <w:rStyle w:val="SCCCounselPartyRoleChar"/>
          <w:sz w:val="20"/>
        </w:rPr>
      </w:pPr>
      <w:r w:rsidRPr="00A3508B">
        <w:rPr>
          <w:rStyle w:val="SCCCounselNameChar"/>
          <w:sz w:val="20"/>
          <w:lang w:val="fr-CA"/>
        </w:rPr>
        <w:tab/>
      </w:r>
      <w:proofErr w:type="spellStart"/>
      <w:r w:rsidRPr="00A3508B">
        <w:rPr>
          <w:rStyle w:val="SCCCounselNameChar"/>
          <w:sz w:val="20"/>
        </w:rPr>
        <w:t>Ritu</w:t>
      </w:r>
      <w:proofErr w:type="spellEnd"/>
      <w:r w:rsidRPr="00A3508B">
        <w:rPr>
          <w:rStyle w:val="SCCCounselNameChar"/>
          <w:sz w:val="20"/>
        </w:rPr>
        <w:t xml:space="preserve"> </w:t>
      </w:r>
      <w:proofErr w:type="spellStart"/>
      <w:r w:rsidRPr="00A3508B">
        <w:rPr>
          <w:rStyle w:val="SCCCounselNameChar"/>
          <w:sz w:val="20"/>
        </w:rPr>
        <w:t>Khullar</w:t>
      </w:r>
      <w:proofErr w:type="spellEnd"/>
      <w:r w:rsidRPr="00A3508B">
        <w:rPr>
          <w:rStyle w:val="SCCCounselNameChar"/>
          <w:sz w:val="20"/>
        </w:rPr>
        <w:t xml:space="preserve">, </w:t>
      </w:r>
      <w:proofErr w:type="spellStart"/>
      <w:proofErr w:type="gramStart"/>
      <w:r w:rsidRPr="00A3508B">
        <w:rPr>
          <w:rStyle w:val="SCCCounselNameChar"/>
          <w:sz w:val="20"/>
        </w:rPr>
        <w:t>c.r</w:t>
      </w:r>
      <w:proofErr w:type="gramEnd"/>
      <w:r w:rsidRPr="00A3508B">
        <w:rPr>
          <w:rStyle w:val="SCCCounselNameChar"/>
          <w:sz w:val="20"/>
        </w:rPr>
        <w:t>.</w:t>
      </w:r>
      <w:proofErr w:type="spellEnd"/>
      <w:r w:rsidRPr="00A3508B">
        <w:rPr>
          <w:rStyle w:val="SCCCounselPartyRoleChar"/>
          <w:sz w:val="20"/>
        </w:rPr>
        <w:t xml:space="preserve">, et </w:t>
      </w:r>
      <w:r w:rsidRPr="00A3508B">
        <w:rPr>
          <w:rStyle w:val="SCCCounselPartyRoleChar"/>
          <w:i/>
          <w:sz w:val="20"/>
        </w:rPr>
        <w:t xml:space="preserve">Vanessa </w:t>
      </w:r>
      <w:proofErr w:type="spellStart"/>
      <w:r w:rsidRPr="00A3508B">
        <w:rPr>
          <w:rStyle w:val="SCCCounselPartyRoleChar"/>
          <w:i/>
          <w:sz w:val="20"/>
        </w:rPr>
        <w:t>Cosco</w:t>
      </w:r>
      <w:proofErr w:type="spellEnd"/>
      <w:r w:rsidRPr="00A3508B">
        <w:rPr>
          <w:rStyle w:val="SCCCounselPartyRoleChar"/>
          <w:sz w:val="20"/>
        </w:rPr>
        <w:t xml:space="preserve">, pour </w:t>
      </w:r>
      <w:proofErr w:type="spellStart"/>
      <w:r w:rsidRPr="00A3508B">
        <w:rPr>
          <w:rStyle w:val="SCCCounselPartyRoleChar"/>
          <w:sz w:val="20"/>
        </w:rPr>
        <w:t>l’intervenant</w:t>
      </w:r>
      <w:proofErr w:type="spellEnd"/>
      <w:r w:rsidRPr="00A3508B">
        <w:rPr>
          <w:rStyle w:val="SCCCounselPartyRoleChar"/>
          <w:sz w:val="20"/>
        </w:rPr>
        <w:t xml:space="preserve"> United Nurses of Alberta.</w:t>
      </w:r>
    </w:p>
    <w:p w:rsidR="006018F5" w:rsidRPr="00A3508B" w:rsidRDefault="006018F5" w:rsidP="006018F5">
      <w:pPr>
        <w:pStyle w:val="SCCNormalDoubleSpacing"/>
        <w:spacing w:line="240" w:lineRule="auto"/>
        <w:rPr>
          <w:sz w:val="20"/>
        </w:rPr>
      </w:pPr>
    </w:p>
    <w:p w:rsidR="006018F5" w:rsidRDefault="006018F5" w:rsidP="006018F5">
      <w:pPr>
        <w:pStyle w:val="SCCNormalDoubleSpacing"/>
        <w:spacing w:line="240" w:lineRule="auto"/>
        <w:rPr>
          <w:rStyle w:val="SCCCounselPartyRoleChar"/>
          <w:sz w:val="20"/>
        </w:rPr>
      </w:pPr>
      <w:r w:rsidRPr="00A3508B">
        <w:rPr>
          <w:rStyle w:val="SCCCounselNameChar"/>
          <w:sz w:val="20"/>
        </w:rPr>
        <w:tab/>
        <w:t>Norm Keith</w:t>
      </w:r>
      <w:r w:rsidRPr="00A3508B">
        <w:rPr>
          <w:rStyle w:val="SCCCounselPartyRoleChar"/>
          <w:sz w:val="20"/>
        </w:rPr>
        <w:t xml:space="preserve"> et </w:t>
      </w:r>
      <w:r w:rsidRPr="00A3508B">
        <w:rPr>
          <w:rStyle w:val="SCCCounselPartyRoleChar"/>
          <w:i/>
          <w:sz w:val="20"/>
        </w:rPr>
        <w:t xml:space="preserve">Marc </w:t>
      </w:r>
      <w:proofErr w:type="spellStart"/>
      <w:r w:rsidRPr="00A3508B">
        <w:rPr>
          <w:rStyle w:val="SCCCounselPartyRoleChar"/>
          <w:i/>
          <w:sz w:val="20"/>
        </w:rPr>
        <w:t>Rodrigue</w:t>
      </w:r>
      <w:proofErr w:type="spellEnd"/>
      <w:r w:rsidRPr="00A3508B">
        <w:rPr>
          <w:rStyle w:val="SCCCounselPartyRoleChar"/>
          <w:sz w:val="20"/>
        </w:rPr>
        <w:t xml:space="preserve">, pour les </w:t>
      </w:r>
      <w:proofErr w:type="spellStart"/>
      <w:r w:rsidRPr="00A3508B">
        <w:rPr>
          <w:rStyle w:val="SCCCounselPartyRoleChar"/>
          <w:sz w:val="20"/>
        </w:rPr>
        <w:t>intervenantes</w:t>
      </w:r>
      <w:proofErr w:type="spellEnd"/>
      <w:r w:rsidRPr="00A3508B">
        <w:rPr>
          <w:rStyle w:val="SCCCounselPartyRoleChar"/>
          <w:sz w:val="20"/>
        </w:rPr>
        <w:t xml:space="preserve"> Ontario General Contractors Association, Ontario Formwork Association et Greater Toronto Sewer and </w:t>
      </w:r>
      <w:proofErr w:type="spellStart"/>
      <w:r w:rsidRPr="00A3508B">
        <w:rPr>
          <w:rStyle w:val="SCCCounselPartyRoleChar"/>
          <w:sz w:val="20"/>
        </w:rPr>
        <w:t>Watermain</w:t>
      </w:r>
      <w:proofErr w:type="spellEnd"/>
      <w:r w:rsidRPr="00A3508B">
        <w:rPr>
          <w:rStyle w:val="SCCCounselPartyRoleChar"/>
          <w:sz w:val="20"/>
        </w:rPr>
        <w:t xml:space="preserve"> Contractors Association.</w:t>
      </w:r>
    </w:p>
    <w:p w:rsidR="006018F5" w:rsidRDefault="006018F5" w:rsidP="006018F5">
      <w:pPr>
        <w:pStyle w:val="SCCNormalDoubleSpacing"/>
        <w:spacing w:line="240" w:lineRule="auto"/>
        <w:rPr>
          <w:rStyle w:val="SCCCounselPartyRoleChar"/>
          <w:sz w:val="20"/>
        </w:rPr>
      </w:pPr>
    </w:p>
    <w:p w:rsidR="006018F5" w:rsidRDefault="00ED4247" w:rsidP="006018F5">
      <w:pPr>
        <w:pStyle w:val="SCCNormalDoubleSpacing"/>
        <w:spacing w:line="240" w:lineRule="auto"/>
        <w:rPr>
          <w:rStyle w:val="SCCCounselPartyRoleChar"/>
          <w:sz w:val="20"/>
        </w:rPr>
      </w:pPr>
      <w:r>
        <w:rPr>
          <w:b/>
          <w:sz w:val="20"/>
        </w:rPr>
        <w:pict>
          <v:rect id="_x0000_i1088" style="width:144.3pt;height:1pt" o:hrpct="300" o:hralign="center" o:hrstd="t" o:hrnoshade="t" o:hr="t" fillcolor="black [3213]" stroked="f"/>
        </w:pict>
      </w:r>
    </w:p>
    <w:p w:rsidR="007578C8" w:rsidRDefault="007578C8" w:rsidP="007578C8">
      <w:pPr>
        <w:pStyle w:val="SCCNormalDoubleSpacing"/>
        <w:spacing w:line="240" w:lineRule="auto"/>
        <w:rPr>
          <w:sz w:val="20"/>
        </w:rPr>
      </w:pPr>
    </w:p>
    <w:p w:rsidR="007578C8" w:rsidRDefault="007578C8" w:rsidP="007578C8">
      <w:pPr>
        <w:pStyle w:val="SCCNormalDoubleSpacing"/>
        <w:spacing w:line="240" w:lineRule="auto"/>
        <w:rPr>
          <w:sz w:val="20"/>
        </w:rPr>
      </w:pPr>
    </w:p>
    <w:p w:rsidR="007578C8" w:rsidRDefault="007578C8" w:rsidP="0052229C">
      <w:pPr>
        <w:pStyle w:val="SCCNormalDoubleSpacing"/>
        <w:spacing w:line="240" w:lineRule="auto"/>
        <w:rPr>
          <w:sz w:val="20"/>
        </w:rPr>
      </w:pPr>
    </w:p>
    <w:p w:rsidR="007578C8" w:rsidRDefault="007578C8" w:rsidP="0052229C">
      <w:pPr>
        <w:pStyle w:val="SCCNormalDoubleSpacing"/>
        <w:spacing w:line="240" w:lineRule="auto"/>
        <w:rPr>
          <w:sz w:val="20"/>
        </w:rPr>
      </w:pPr>
    </w:p>
    <w:p w:rsidR="007578C8" w:rsidRDefault="007578C8" w:rsidP="0052229C">
      <w:pPr>
        <w:pStyle w:val="SCCNormalDoubleSpacing"/>
        <w:spacing w:line="240" w:lineRule="auto"/>
        <w:rPr>
          <w:sz w:val="20"/>
        </w:rPr>
      </w:pPr>
    </w:p>
    <w:p w:rsidR="004B7370" w:rsidRDefault="004B7370">
      <w:pPr>
        <w:rPr>
          <w:sz w:val="20"/>
          <w:szCs w:val="20"/>
          <w:lang w:val="en-US"/>
        </w:rPr>
      </w:pPr>
      <w:r>
        <w:rPr>
          <w:sz w:val="20"/>
          <w:szCs w:val="20"/>
          <w:lang w:val="en-US"/>
        </w:rPr>
        <w:br w:type="page"/>
      </w:r>
    </w:p>
    <w:p w:rsidR="00822663" w:rsidRPr="00822663" w:rsidRDefault="00822663" w:rsidP="00822663">
      <w:pPr>
        <w:jc w:val="both"/>
        <w:rPr>
          <w:rFonts w:eastAsia="Times New Roman" w:cs="Times New Roman"/>
          <w:sz w:val="20"/>
          <w:szCs w:val="20"/>
          <w:lang w:val="en"/>
        </w:rPr>
      </w:pPr>
      <w:r w:rsidRPr="00822663">
        <w:rPr>
          <w:rFonts w:eastAsia="Times New Roman" w:cs="Times New Roman"/>
          <w:i/>
          <w:iCs/>
          <w:sz w:val="20"/>
          <w:szCs w:val="20"/>
          <w:lang w:val="en"/>
        </w:rPr>
        <w:lastRenderedPageBreak/>
        <w:t xml:space="preserve">James Cody v. Her Majesty the Queen </w:t>
      </w:r>
      <w:r w:rsidRPr="00822663">
        <w:rPr>
          <w:rFonts w:eastAsia="Times New Roman" w:cs="Times New Roman"/>
          <w:sz w:val="20"/>
          <w:szCs w:val="20"/>
          <w:lang w:val="en"/>
        </w:rPr>
        <w:t>(N.L.) (</w:t>
      </w:r>
      <w:hyperlink r:id="rId81" w:history="1">
        <w:r w:rsidRPr="00822663">
          <w:rPr>
            <w:rFonts w:eastAsia="Times New Roman" w:cs="Times New Roman"/>
            <w:color w:val="0000FF"/>
            <w:sz w:val="20"/>
            <w:szCs w:val="20"/>
            <w:u w:val="single"/>
            <w:lang w:val="en"/>
          </w:rPr>
          <w:t>37310</w:t>
        </w:r>
      </w:hyperlink>
      <w:r w:rsidRPr="00822663">
        <w:rPr>
          <w:rFonts w:eastAsia="Times New Roman" w:cs="Times New Roman"/>
          <w:sz w:val="20"/>
          <w:szCs w:val="20"/>
          <w:lang w:val="en"/>
        </w:rPr>
        <w:t>)</w:t>
      </w:r>
    </w:p>
    <w:p w:rsidR="004B7370" w:rsidRPr="00DB7B97" w:rsidRDefault="004B7370" w:rsidP="004B7370">
      <w:pPr>
        <w:jc w:val="both"/>
        <w:rPr>
          <w:b/>
          <w:sz w:val="20"/>
          <w:szCs w:val="20"/>
        </w:rPr>
      </w:pPr>
      <w:r w:rsidRPr="00DB7B97">
        <w:rPr>
          <w:b/>
          <w:sz w:val="20"/>
          <w:szCs w:val="20"/>
        </w:rPr>
        <w:t xml:space="preserve">Indexed as:  </w:t>
      </w:r>
      <w:r w:rsidR="00822663" w:rsidRPr="00DB7B97">
        <w:rPr>
          <w:b/>
          <w:sz w:val="20"/>
          <w:szCs w:val="20"/>
        </w:rPr>
        <w:t xml:space="preserve">R. </w:t>
      </w:r>
      <w:r w:rsidR="00822663" w:rsidRPr="00DB7B97">
        <w:rPr>
          <w:b/>
          <w:i/>
          <w:sz w:val="20"/>
          <w:szCs w:val="20"/>
        </w:rPr>
        <w:t>v.</w:t>
      </w:r>
      <w:r w:rsidR="00822663" w:rsidRPr="00DB7B97">
        <w:rPr>
          <w:b/>
          <w:sz w:val="20"/>
          <w:szCs w:val="20"/>
        </w:rPr>
        <w:t xml:space="preserve"> </w:t>
      </w:r>
      <w:r w:rsidR="00822663" w:rsidRPr="00DB7B97">
        <w:rPr>
          <w:rStyle w:val="SCCRespondentForIndexChar"/>
          <w:rFonts w:eastAsiaTheme="minorHAnsi"/>
          <w:sz w:val="20"/>
        </w:rPr>
        <w:t>Cody</w:t>
      </w:r>
      <w:r w:rsidR="00822663" w:rsidRPr="00DB7B97">
        <w:rPr>
          <w:rStyle w:val="SCCLsocVersusChar"/>
          <w:rFonts w:eastAsiaTheme="minorHAnsi"/>
          <w:sz w:val="20"/>
        </w:rPr>
        <w:t xml:space="preserve"> </w:t>
      </w:r>
      <w:r w:rsidRPr="00DB7B97">
        <w:rPr>
          <w:rStyle w:val="SCCAppellantForIndexChar"/>
          <w:rFonts w:eastAsiaTheme="minorHAnsi"/>
          <w:sz w:val="20"/>
          <w:lang w:val="en-CA"/>
        </w:rPr>
        <w:t xml:space="preserve">/ </w:t>
      </w:r>
      <w:proofErr w:type="spellStart"/>
      <w:proofErr w:type="gramStart"/>
      <w:r w:rsidRPr="00DB7B97">
        <w:rPr>
          <w:b/>
          <w:sz w:val="20"/>
          <w:szCs w:val="20"/>
        </w:rPr>
        <w:t>Répertorié</w:t>
      </w:r>
      <w:proofErr w:type="spellEnd"/>
      <w:r w:rsidRPr="00DB7B97">
        <w:rPr>
          <w:b/>
          <w:sz w:val="20"/>
          <w:szCs w:val="20"/>
        </w:rPr>
        <w:t> :</w:t>
      </w:r>
      <w:proofErr w:type="gramEnd"/>
      <w:r w:rsidRPr="00DB7B97">
        <w:rPr>
          <w:b/>
          <w:sz w:val="20"/>
          <w:szCs w:val="20"/>
        </w:rPr>
        <w:t xml:space="preserve"> R. </w:t>
      </w:r>
      <w:r w:rsidRPr="00DB7B97">
        <w:rPr>
          <w:b/>
          <w:i/>
          <w:sz w:val="20"/>
          <w:szCs w:val="20"/>
        </w:rPr>
        <w:t xml:space="preserve">c. </w:t>
      </w:r>
      <w:r w:rsidR="00DB7B97" w:rsidRPr="00DB7B97">
        <w:rPr>
          <w:rStyle w:val="SCCAppellantForIndexChar"/>
          <w:rFonts w:eastAsiaTheme="minorHAnsi"/>
          <w:sz w:val="20"/>
          <w:lang w:val="en-CA"/>
        </w:rPr>
        <w:t>Cody</w:t>
      </w:r>
    </w:p>
    <w:p w:rsidR="004B7370" w:rsidRPr="00DB7B97" w:rsidRDefault="004B7370" w:rsidP="004B7370">
      <w:pPr>
        <w:pStyle w:val="SCCSystemYear"/>
        <w:jc w:val="both"/>
        <w:rPr>
          <w:sz w:val="20"/>
          <w:lang w:val="en-US"/>
        </w:rPr>
      </w:pPr>
      <w:r w:rsidRPr="00DB7B97">
        <w:rPr>
          <w:sz w:val="20"/>
          <w:lang w:val="en-US"/>
        </w:rPr>
        <w:t>Neutral citation:  2017 SCC </w:t>
      </w:r>
      <w:r w:rsidR="00DB7B97" w:rsidRPr="00DB7B97">
        <w:rPr>
          <w:sz w:val="20"/>
          <w:lang w:val="en-US"/>
        </w:rPr>
        <w:t>31</w:t>
      </w:r>
      <w:r w:rsidRPr="00DB7B97">
        <w:rPr>
          <w:sz w:val="20"/>
          <w:lang w:val="en-US"/>
        </w:rPr>
        <w:t xml:space="preserve"> / Référence </w:t>
      </w:r>
      <w:proofErr w:type="spellStart"/>
      <w:proofErr w:type="gramStart"/>
      <w:r w:rsidRPr="00DB7B97">
        <w:rPr>
          <w:sz w:val="20"/>
          <w:lang w:val="en-US"/>
        </w:rPr>
        <w:t>neutre</w:t>
      </w:r>
      <w:proofErr w:type="spellEnd"/>
      <w:r w:rsidRPr="00DB7B97">
        <w:rPr>
          <w:sz w:val="20"/>
          <w:lang w:val="en-US"/>
        </w:rPr>
        <w:t xml:space="preserve"> :</w:t>
      </w:r>
      <w:proofErr w:type="gramEnd"/>
      <w:r w:rsidRPr="00DB7B97">
        <w:rPr>
          <w:sz w:val="20"/>
          <w:lang w:val="en-US"/>
        </w:rPr>
        <w:t xml:space="preserve"> 2017 CSC </w:t>
      </w:r>
      <w:r w:rsidR="00DB7B97" w:rsidRPr="00DB7B97">
        <w:rPr>
          <w:sz w:val="20"/>
          <w:lang w:val="en-US"/>
        </w:rPr>
        <w:t>31</w:t>
      </w:r>
    </w:p>
    <w:p w:rsidR="004B7370" w:rsidRPr="00DB7B97" w:rsidRDefault="004B7370" w:rsidP="004B7370">
      <w:pPr>
        <w:rPr>
          <w:sz w:val="20"/>
          <w:szCs w:val="20"/>
          <w:lang w:val="en-US"/>
        </w:rPr>
      </w:pPr>
      <w:r w:rsidRPr="00DB7B97">
        <w:rPr>
          <w:sz w:val="20"/>
          <w:szCs w:val="20"/>
          <w:lang w:val="en-US"/>
        </w:rPr>
        <w:t xml:space="preserve">Hearing:  </w:t>
      </w:r>
      <w:r w:rsidR="00DB7B97" w:rsidRPr="00DB7B97">
        <w:rPr>
          <w:sz w:val="20"/>
          <w:szCs w:val="20"/>
          <w:lang w:val="en-US"/>
        </w:rPr>
        <w:t>April 25</w:t>
      </w:r>
      <w:r w:rsidRPr="00DB7B97">
        <w:rPr>
          <w:sz w:val="20"/>
          <w:szCs w:val="20"/>
          <w:lang w:val="en-US"/>
        </w:rPr>
        <w:t>, 201</w:t>
      </w:r>
      <w:r w:rsidR="00DB7B97" w:rsidRPr="00DB7B97">
        <w:rPr>
          <w:sz w:val="20"/>
          <w:szCs w:val="20"/>
          <w:lang w:val="en-US"/>
        </w:rPr>
        <w:t>7</w:t>
      </w:r>
      <w:r w:rsidRPr="00DB7B97">
        <w:rPr>
          <w:sz w:val="20"/>
          <w:szCs w:val="20"/>
          <w:lang w:val="en-US"/>
        </w:rPr>
        <w:t xml:space="preserve"> / Judgment:  </w:t>
      </w:r>
      <w:r w:rsidR="00DB7B97" w:rsidRPr="00DB7B97">
        <w:rPr>
          <w:sz w:val="20"/>
          <w:szCs w:val="20"/>
          <w:lang w:val="en-US"/>
        </w:rPr>
        <w:t>June 16</w:t>
      </w:r>
      <w:r w:rsidRPr="00DB7B97">
        <w:rPr>
          <w:sz w:val="20"/>
          <w:szCs w:val="20"/>
          <w:lang w:val="en-US"/>
        </w:rPr>
        <w:t>, 2017</w:t>
      </w:r>
    </w:p>
    <w:p w:rsidR="004B7370" w:rsidRPr="003B3977" w:rsidRDefault="004B7370" w:rsidP="004B7370">
      <w:pPr>
        <w:rPr>
          <w:sz w:val="20"/>
          <w:szCs w:val="20"/>
          <w:lang w:val="fr-CA"/>
        </w:rPr>
      </w:pPr>
      <w:r w:rsidRPr="00DB7B97">
        <w:rPr>
          <w:sz w:val="20"/>
          <w:szCs w:val="20"/>
          <w:lang w:val="fr-CA"/>
        </w:rPr>
        <w:t xml:space="preserve">Audition : Le </w:t>
      </w:r>
      <w:r w:rsidR="00DB7B97" w:rsidRPr="00DB7B97">
        <w:rPr>
          <w:sz w:val="20"/>
          <w:szCs w:val="20"/>
          <w:lang w:val="fr-CA"/>
        </w:rPr>
        <w:t xml:space="preserve">25 avril </w:t>
      </w:r>
      <w:r w:rsidRPr="00DB7B97">
        <w:rPr>
          <w:sz w:val="20"/>
          <w:szCs w:val="20"/>
          <w:lang w:val="fr-CA"/>
        </w:rPr>
        <w:t>201</w:t>
      </w:r>
      <w:r w:rsidR="00DB7B97" w:rsidRPr="00DB7B97">
        <w:rPr>
          <w:sz w:val="20"/>
          <w:szCs w:val="20"/>
          <w:lang w:val="fr-CA"/>
        </w:rPr>
        <w:t xml:space="preserve">7 </w:t>
      </w:r>
      <w:r w:rsidRPr="00DB7B97">
        <w:rPr>
          <w:sz w:val="20"/>
          <w:szCs w:val="20"/>
          <w:lang w:val="fr-CA"/>
        </w:rPr>
        <w:t>/ Jugement : Le 1</w:t>
      </w:r>
      <w:r w:rsidR="00DB7B97" w:rsidRPr="00DB7B97">
        <w:rPr>
          <w:sz w:val="20"/>
          <w:szCs w:val="20"/>
          <w:lang w:val="fr-CA"/>
        </w:rPr>
        <w:t>6</w:t>
      </w:r>
      <w:r w:rsidRPr="00DB7B97">
        <w:rPr>
          <w:sz w:val="20"/>
          <w:szCs w:val="20"/>
          <w:lang w:val="fr-CA"/>
        </w:rPr>
        <w:t xml:space="preserve"> j</w:t>
      </w:r>
      <w:r w:rsidR="00DB7B97" w:rsidRPr="00DB7B97">
        <w:rPr>
          <w:sz w:val="20"/>
          <w:szCs w:val="20"/>
          <w:lang w:val="fr-CA"/>
        </w:rPr>
        <w:t>uin</w:t>
      </w:r>
      <w:r w:rsidRPr="00DB7B97">
        <w:rPr>
          <w:sz w:val="20"/>
          <w:szCs w:val="20"/>
          <w:lang w:val="fr-CA"/>
        </w:rPr>
        <w:t xml:space="preserve"> 2017</w:t>
      </w:r>
    </w:p>
    <w:p w:rsidR="004B7370" w:rsidRPr="003B3977" w:rsidRDefault="00ED4247" w:rsidP="004B7370">
      <w:pPr>
        <w:rPr>
          <w:sz w:val="20"/>
          <w:szCs w:val="20"/>
          <w:lang w:val="fr-CA"/>
        </w:rPr>
      </w:pPr>
      <w:r>
        <w:rPr>
          <w:i/>
          <w:sz w:val="20"/>
          <w:szCs w:val="20"/>
        </w:rPr>
        <w:pict>
          <v:rect id="_x0000_i1089" style="width:480.95pt;height:1pt" o:hralign="center" o:hrstd="t" o:hrnoshade="t" o:hr="t" fillcolor="black [3213]" stroked="f"/>
        </w:pict>
      </w:r>
    </w:p>
    <w:p w:rsidR="00902E51" w:rsidRDefault="00902E51" w:rsidP="00902E51">
      <w:pPr>
        <w:rPr>
          <w:rFonts w:eastAsia="Times New Roman" w:cs="Times New Roman"/>
          <w:sz w:val="20"/>
          <w:szCs w:val="20"/>
          <w:lang w:val="fr-CA" w:eastAsia="en-CA"/>
        </w:rPr>
      </w:pPr>
    </w:p>
    <w:p w:rsidR="00E563D5" w:rsidRDefault="00E563D5" w:rsidP="00E563D5">
      <w:pPr>
        <w:jc w:val="both"/>
        <w:rPr>
          <w:sz w:val="20"/>
        </w:rPr>
      </w:pPr>
      <w:r w:rsidRPr="00445777">
        <w:rPr>
          <w:sz w:val="20"/>
          <w:szCs w:val="20"/>
        </w:rPr>
        <w:t xml:space="preserve">Present: </w:t>
      </w:r>
      <w:proofErr w:type="spellStart"/>
      <w:r w:rsidRPr="00445777">
        <w:rPr>
          <w:sz w:val="20"/>
          <w:szCs w:val="20"/>
        </w:rPr>
        <w:t>Abella</w:t>
      </w:r>
      <w:proofErr w:type="spellEnd"/>
      <w:r w:rsidRPr="00445777">
        <w:rPr>
          <w:sz w:val="20"/>
          <w:szCs w:val="20"/>
        </w:rPr>
        <w:t xml:space="preserve">, </w:t>
      </w:r>
      <w:proofErr w:type="spellStart"/>
      <w:r w:rsidRPr="00445777">
        <w:rPr>
          <w:sz w:val="20"/>
          <w:szCs w:val="20"/>
        </w:rPr>
        <w:t>Moldaver</w:t>
      </w:r>
      <w:proofErr w:type="spellEnd"/>
      <w:r w:rsidRPr="00445777">
        <w:rPr>
          <w:sz w:val="20"/>
          <w:szCs w:val="20"/>
        </w:rPr>
        <w:t xml:space="preserve">, </w:t>
      </w:r>
      <w:proofErr w:type="spellStart"/>
      <w:r w:rsidRPr="00445777">
        <w:rPr>
          <w:sz w:val="20"/>
          <w:szCs w:val="20"/>
        </w:rPr>
        <w:t>Karakatsanis</w:t>
      </w:r>
      <w:proofErr w:type="spellEnd"/>
      <w:r w:rsidRPr="00445777">
        <w:rPr>
          <w:sz w:val="20"/>
          <w:szCs w:val="20"/>
        </w:rPr>
        <w:t xml:space="preserve">, Wagner, </w:t>
      </w:r>
      <w:proofErr w:type="spellStart"/>
      <w:r w:rsidRPr="00445777">
        <w:rPr>
          <w:sz w:val="20"/>
          <w:szCs w:val="20"/>
        </w:rPr>
        <w:t>Gascon</w:t>
      </w:r>
      <w:proofErr w:type="spellEnd"/>
      <w:r w:rsidRPr="00445777">
        <w:rPr>
          <w:sz w:val="20"/>
          <w:szCs w:val="20"/>
        </w:rPr>
        <w:t xml:space="preserve">, </w:t>
      </w:r>
      <w:proofErr w:type="spellStart"/>
      <w:r w:rsidRPr="00445777">
        <w:rPr>
          <w:sz w:val="20"/>
          <w:szCs w:val="20"/>
        </w:rPr>
        <w:t>Côté</w:t>
      </w:r>
      <w:proofErr w:type="spellEnd"/>
      <w:r w:rsidRPr="00445777">
        <w:rPr>
          <w:sz w:val="20"/>
          <w:szCs w:val="20"/>
        </w:rPr>
        <w:t xml:space="preserve"> and Brown JJ.</w:t>
      </w:r>
    </w:p>
    <w:p w:rsidR="00E563D5" w:rsidRPr="00445777" w:rsidRDefault="00E563D5" w:rsidP="00E563D5">
      <w:pPr>
        <w:jc w:val="both"/>
        <w:rPr>
          <w:sz w:val="20"/>
          <w:szCs w:val="20"/>
        </w:rPr>
      </w:pPr>
    </w:p>
    <w:p w:rsidR="00E563D5" w:rsidRDefault="00E563D5" w:rsidP="00E563D5">
      <w:pPr>
        <w:pStyle w:val="SCCNormalDoubleSpacing"/>
        <w:spacing w:line="240" w:lineRule="auto"/>
        <w:rPr>
          <w:i/>
          <w:sz w:val="20"/>
        </w:rPr>
      </w:pPr>
      <w:r w:rsidRPr="00445777">
        <w:rPr>
          <w:sz w:val="20"/>
        </w:rPr>
        <w:tab/>
      </w:r>
      <w:r w:rsidRPr="00445777">
        <w:rPr>
          <w:i/>
          <w:sz w:val="20"/>
        </w:rPr>
        <w:t xml:space="preserve">Constitutional law </w:t>
      </w:r>
      <w:r w:rsidRPr="00445777">
        <w:rPr>
          <w:i/>
          <w:iCs/>
          <w:sz w:val="20"/>
          <w:lang w:val="en"/>
        </w:rPr>
        <w:t>—</w:t>
      </w:r>
      <w:r w:rsidRPr="00445777">
        <w:rPr>
          <w:i/>
          <w:sz w:val="20"/>
        </w:rPr>
        <w:t xml:space="preserve"> Charter of Rights </w:t>
      </w:r>
      <w:r w:rsidRPr="00445777">
        <w:rPr>
          <w:i/>
          <w:iCs/>
          <w:sz w:val="20"/>
          <w:lang w:val="en"/>
        </w:rPr>
        <w:t>—</w:t>
      </w:r>
      <w:r w:rsidRPr="00445777">
        <w:rPr>
          <w:i/>
          <w:sz w:val="20"/>
        </w:rPr>
        <w:t xml:space="preserve"> Right to be tried within a reasonable time </w:t>
      </w:r>
      <w:r w:rsidRPr="00445777">
        <w:rPr>
          <w:i/>
          <w:iCs/>
          <w:sz w:val="20"/>
          <w:lang w:val="en"/>
        </w:rPr>
        <w:t>—</w:t>
      </w:r>
      <w:r w:rsidRPr="00445777">
        <w:rPr>
          <w:i/>
          <w:sz w:val="20"/>
        </w:rPr>
        <w:t xml:space="preserve"> Pre</w:t>
      </w:r>
      <w:r w:rsidRPr="00445777">
        <w:rPr>
          <w:i/>
          <w:sz w:val="20"/>
        </w:rPr>
        <w:noBreakHyphen/>
        <w:t xml:space="preserve">Jordan delay of more than five years between charges and anticipated end of trial </w:t>
      </w:r>
      <w:r w:rsidRPr="00445777">
        <w:rPr>
          <w:i/>
          <w:iCs/>
          <w:sz w:val="20"/>
          <w:lang w:val="en"/>
        </w:rPr>
        <w:t>—</w:t>
      </w:r>
      <w:r w:rsidRPr="00445777">
        <w:rPr>
          <w:i/>
          <w:sz w:val="20"/>
        </w:rPr>
        <w:t xml:space="preserve"> Whether accused’s right to be tried within reasonable time under s. 11(b) of Canadian Charter of Rights and Freedoms infringed </w:t>
      </w:r>
      <w:r w:rsidRPr="00445777">
        <w:rPr>
          <w:i/>
          <w:iCs/>
          <w:sz w:val="20"/>
          <w:lang w:val="en"/>
        </w:rPr>
        <w:t xml:space="preserve">— </w:t>
      </w:r>
      <w:r w:rsidRPr="00445777">
        <w:rPr>
          <w:i/>
          <w:sz w:val="20"/>
        </w:rPr>
        <w:t>Framework for determining s. 11(b) infringement set out in Jordan applied.</w:t>
      </w:r>
    </w:p>
    <w:p w:rsidR="00E563D5" w:rsidRPr="00445777" w:rsidRDefault="00E563D5" w:rsidP="00E563D5">
      <w:pPr>
        <w:pStyle w:val="SCCNormalDoubleSpacing"/>
        <w:spacing w:line="240" w:lineRule="auto"/>
        <w:rPr>
          <w:i/>
          <w:sz w:val="20"/>
        </w:rPr>
      </w:pPr>
    </w:p>
    <w:p w:rsidR="00E563D5" w:rsidRDefault="00E563D5" w:rsidP="00E563D5">
      <w:pPr>
        <w:pStyle w:val="SCCNormalDoubleSpacing"/>
        <w:spacing w:line="240" w:lineRule="auto"/>
        <w:rPr>
          <w:sz w:val="20"/>
        </w:rPr>
      </w:pPr>
      <w:r w:rsidRPr="00445777">
        <w:rPr>
          <w:sz w:val="20"/>
        </w:rPr>
        <w:tab/>
        <w:t>C was charged with drugs and weapons offences on January 12, 2010. His trial was scheduled to conclude on January 30, 2015. Before the commencement of his trial, C brought an application under s. 11(</w:t>
      </w:r>
      <w:r w:rsidRPr="00445777">
        <w:rPr>
          <w:i/>
          <w:sz w:val="20"/>
        </w:rPr>
        <w:t>b</w:t>
      </w:r>
      <w:r w:rsidRPr="00445777">
        <w:rPr>
          <w:sz w:val="20"/>
        </w:rPr>
        <w:t xml:space="preserve">) of the </w:t>
      </w:r>
      <w:r w:rsidRPr="00445777">
        <w:rPr>
          <w:i/>
          <w:sz w:val="20"/>
        </w:rPr>
        <w:t>Charter</w:t>
      </w:r>
      <w:r w:rsidRPr="00445777">
        <w:rPr>
          <w:sz w:val="20"/>
        </w:rPr>
        <w:t>, seeking a stay of proceedings due to the delay. Because the application pre</w:t>
      </w:r>
      <w:r w:rsidRPr="00445777">
        <w:rPr>
          <w:sz w:val="20"/>
        </w:rPr>
        <w:noBreakHyphen/>
        <w:t xml:space="preserve">dated the release of </w:t>
      </w:r>
      <w:r w:rsidRPr="00445777">
        <w:rPr>
          <w:i/>
          <w:sz w:val="20"/>
        </w:rPr>
        <w:t>R. v. Jordan</w:t>
      </w:r>
      <w:r w:rsidRPr="00445777">
        <w:rPr>
          <w:sz w:val="20"/>
        </w:rPr>
        <w:t xml:space="preserve">, 2016 SCC 27, [2016] 1 S.C.R. 631, the trial judge applied the former framework set out in </w:t>
      </w:r>
      <w:r w:rsidRPr="00445777">
        <w:rPr>
          <w:i/>
          <w:sz w:val="20"/>
        </w:rPr>
        <w:t>R. v. Morin</w:t>
      </w:r>
      <w:r w:rsidRPr="00445777">
        <w:rPr>
          <w:sz w:val="20"/>
        </w:rPr>
        <w:t xml:space="preserve">, [1992] 1 S.C.R. 771. He granted the application and stayed the proceedings. A majority of the Court of Appeal applied the </w:t>
      </w:r>
      <w:r w:rsidRPr="00445777">
        <w:rPr>
          <w:i/>
          <w:sz w:val="20"/>
        </w:rPr>
        <w:t>Jordan</w:t>
      </w:r>
      <w:r w:rsidRPr="00445777">
        <w:rPr>
          <w:sz w:val="20"/>
        </w:rPr>
        <w:t xml:space="preserve"> framework and allowed the appeal, set aside the stay of proceedings and remitted the matter for trial.</w:t>
      </w:r>
    </w:p>
    <w:p w:rsidR="00E563D5" w:rsidRPr="00445777" w:rsidRDefault="00E563D5" w:rsidP="00E563D5">
      <w:pPr>
        <w:pStyle w:val="SCCNormalDoubleSpacing"/>
        <w:spacing w:line="240" w:lineRule="auto"/>
        <w:rPr>
          <w:sz w:val="20"/>
        </w:rPr>
      </w:pPr>
    </w:p>
    <w:p w:rsidR="00E563D5" w:rsidRDefault="00E563D5" w:rsidP="00E563D5">
      <w:pPr>
        <w:pStyle w:val="SCCNormalDoubleSpacing"/>
        <w:spacing w:line="240" w:lineRule="auto"/>
        <w:rPr>
          <w:sz w:val="20"/>
        </w:rPr>
      </w:pPr>
      <w:r w:rsidRPr="00445777">
        <w:rPr>
          <w:sz w:val="20"/>
        </w:rPr>
        <w:tab/>
      </w:r>
      <w:r w:rsidRPr="00445777">
        <w:rPr>
          <w:rStyle w:val="QuoteChar"/>
          <w:sz w:val="20"/>
        </w:rPr>
        <w:t>Held:</w:t>
      </w:r>
      <w:r w:rsidRPr="00445777">
        <w:rPr>
          <w:sz w:val="20"/>
        </w:rPr>
        <w:t xml:space="preserve">  The appeal should be allowed and the stay of proceedings restored.</w:t>
      </w:r>
    </w:p>
    <w:p w:rsidR="00E563D5" w:rsidRPr="00445777" w:rsidRDefault="00E563D5" w:rsidP="00E563D5">
      <w:pPr>
        <w:pStyle w:val="SCCNormalDoubleSpacing"/>
        <w:spacing w:line="240" w:lineRule="auto"/>
        <w:rPr>
          <w:sz w:val="20"/>
        </w:rPr>
      </w:pPr>
    </w:p>
    <w:p w:rsidR="00E563D5" w:rsidRDefault="00E563D5" w:rsidP="00E563D5">
      <w:pPr>
        <w:pStyle w:val="SCCNormalDoubleSpacing"/>
        <w:spacing w:line="240" w:lineRule="auto"/>
        <w:rPr>
          <w:sz w:val="20"/>
        </w:rPr>
      </w:pPr>
      <w:r w:rsidRPr="00445777">
        <w:rPr>
          <w:sz w:val="20"/>
        </w:rPr>
        <w:tab/>
        <w:t>The delay in this case was unreasonable and therefore, C’s right under s. 11(</w:t>
      </w:r>
      <w:r w:rsidRPr="00445777">
        <w:rPr>
          <w:i/>
          <w:sz w:val="20"/>
        </w:rPr>
        <w:t>b</w:t>
      </w:r>
      <w:r w:rsidRPr="00445777">
        <w:rPr>
          <w:sz w:val="20"/>
        </w:rPr>
        <w:t xml:space="preserve">) of the </w:t>
      </w:r>
      <w:r w:rsidRPr="00445777">
        <w:rPr>
          <w:i/>
          <w:sz w:val="20"/>
        </w:rPr>
        <w:t>Charter</w:t>
      </w:r>
      <w:r w:rsidRPr="00445777">
        <w:rPr>
          <w:sz w:val="20"/>
        </w:rPr>
        <w:t xml:space="preserve"> was infringed. The Court of Appeal erred in its application of </w:t>
      </w:r>
      <w:r w:rsidRPr="00445777">
        <w:rPr>
          <w:i/>
          <w:sz w:val="20"/>
        </w:rPr>
        <w:t>Jordan</w:t>
      </w:r>
      <w:r w:rsidRPr="00445777">
        <w:rPr>
          <w:sz w:val="20"/>
        </w:rPr>
        <w:t>. From the time C was charged until his five</w:t>
      </w:r>
      <w:r w:rsidRPr="00445777">
        <w:rPr>
          <w:sz w:val="20"/>
        </w:rPr>
        <w:noBreakHyphen/>
        <w:t xml:space="preserve">day trial was scheduled to begin, fully five years passed. The Crown, the defence and the system each contributed to that delay. Under the </w:t>
      </w:r>
      <w:r w:rsidRPr="00445777">
        <w:rPr>
          <w:i/>
          <w:sz w:val="20"/>
        </w:rPr>
        <w:t xml:space="preserve">Jordan </w:t>
      </w:r>
      <w:r w:rsidRPr="00445777">
        <w:rPr>
          <w:sz w:val="20"/>
        </w:rPr>
        <w:t>framework, every actor in the justice system has a responsibility to ensure that criminal proceedings are carried out in a manner that is consistent with an accused person’s right to a trial within a reasonable time. This framework now governs the s. 11(</w:t>
      </w:r>
      <w:r w:rsidRPr="00445777">
        <w:rPr>
          <w:i/>
          <w:sz w:val="20"/>
        </w:rPr>
        <w:t>b</w:t>
      </w:r>
      <w:r w:rsidRPr="00445777">
        <w:rPr>
          <w:sz w:val="20"/>
        </w:rPr>
        <w:t xml:space="preserve">) analysis and, like any of this Court’s precedents, it must be followed and it cannot be lightly discarded or overruled. Properly applied, this framework provides sufficient flexibility and accounts for the transitional period of time that is required for the criminal justice system to adapt. </w:t>
      </w:r>
    </w:p>
    <w:p w:rsidR="00E563D5" w:rsidRPr="00445777" w:rsidRDefault="00E563D5" w:rsidP="00E563D5">
      <w:pPr>
        <w:pStyle w:val="SCCNormalDoubleSpacing"/>
        <w:spacing w:line="240" w:lineRule="auto"/>
        <w:rPr>
          <w:sz w:val="20"/>
        </w:rPr>
      </w:pPr>
    </w:p>
    <w:p w:rsidR="00E563D5" w:rsidRDefault="00E563D5" w:rsidP="00E563D5">
      <w:pPr>
        <w:pStyle w:val="SCCNormalDoubleSpacing"/>
        <w:spacing w:line="240" w:lineRule="auto"/>
        <w:rPr>
          <w:sz w:val="20"/>
        </w:rPr>
      </w:pPr>
      <w:r w:rsidRPr="00445777">
        <w:rPr>
          <w:sz w:val="20"/>
        </w:rPr>
        <w:tab/>
        <w:t xml:space="preserve">After the total delay from the charge to the actual or anticipated end of trial is calculated under the </w:t>
      </w:r>
      <w:r w:rsidRPr="00445777">
        <w:rPr>
          <w:i/>
          <w:sz w:val="20"/>
        </w:rPr>
        <w:t>Jordan</w:t>
      </w:r>
      <w:r w:rsidRPr="00445777">
        <w:rPr>
          <w:sz w:val="20"/>
        </w:rPr>
        <w:t xml:space="preserve"> framework, delay attributable to the defence must be subtracted. Defence delay is divided into two components: delay waived by the defence and delay caused by defence conduct. The only deductible defence delay under the latter component is that which is solely or directly caused by the accused person and flows from defence action that is illegitimate insomuch as it is not taken to respond to the charges. Illegitimacy in this context does not necessarily amount to professional or ethical misconduct, but instead takes its meaning from the culture change demanded in </w:t>
      </w:r>
      <w:r w:rsidRPr="00445777">
        <w:rPr>
          <w:i/>
          <w:sz w:val="20"/>
        </w:rPr>
        <w:t>Jordan</w:t>
      </w:r>
      <w:r w:rsidRPr="00445777">
        <w:rPr>
          <w:sz w:val="20"/>
        </w:rPr>
        <w:t xml:space="preserve">. The determination of whether defence conduct is legitimate is highly discretionary, and appellate courts must show a correspondingly high level of deference thereto. Defence conduct encompasses both substance and procedure — the decision to take a step, as well as the manner in which it is conducted, may attract scrutiny. To determine whether defence action is legitimately taken to respond to the charges, the circumstances surrounding the action or conduct may therefore be considered. The overall number, strength, importance, proximity to the </w:t>
      </w:r>
      <w:r w:rsidRPr="00445777">
        <w:rPr>
          <w:i/>
          <w:sz w:val="20"/>
        </w:rPr>
        <w:t>Jordan</w:t>
      </w:r>
      <w:r w:rsidRPr="00445777">
        <w:rPr>
          <w:sz w:val="20"/>
        </w:rPr>
        <w:t xml:space="preserve"> ceilings, compliance with any notice or filing requirements and timeliness of defence applications may be relevant considerations. Irrespective of its merit, a defence action may be deemed not legitimate if it is designed to delay or if it exhibits marked inefficiency or marked indifference toward delay. </w:t>
      </w:r>
    </w:p>
    <w:p w:rsidR="00E563D5" w:rsidRPr="00445777" w:rsidRDefault="00E563D5" w:rsidP="00E563D5">
      <w:pPr>
        <w:pStyle w:val="SCCNormalDoubleSpacing"/>
        <w:spacing w:line="240" w:lineRule="auto"/>
        <w:rPr>
          <w:sz w:val="20"/>
        </w:rPr>
      </w:pPr>
    </w:p>
    <w:p w:rsidR="00E563D5" w:rsidRDefault="00E563D5" w:rsidP="00E563D5">
      <w:pPr>
        <w:pStyle w:val="SCCNormalDoubleSpacing"/>
        <w:spacing w:line="240" w:lineRule="auto"/>
        <w:rPr>
          <w:sz w:val="20"/>
        </w:rPr>
      </w:pPr>
      <w:r w:rsidRPr="00445777">
        <w:rPr>
          <w:sz w:val="20"/>
        </w:rPr>
        <w:tab/>
        <w:t>Beyond a retrospective accounting of delay, a proactive approach is required from all participants in the justice system to prevent and minimize delay. Trial judges should suggest ways to improve efficiency, use their case management powers and not hesitate to summarily dismiss applications and requests the moment it becomes apparent they are frivolous.</w:t>
      </w:r>
    </w:p>
    <w:p w:rsidR="00E563D5" w:rsidRPr="00445777" w:rsidRDefault="00E563D5" w:rsidP="00E563D5">
      <w:pPr>
        <w:pStyle w:val="SCCNormalDoubleSpacing"/>
        <w:spacing w:line="240" w:lineRule="auto"/>
        <w:rPr>
          <w:sz w:val="20"/>
        </w:rPr>
      </w:pPr>
    </w:p>
    <w:p w:rsidR="00E563D5" w:rsidRDefault="00E563D5" w:rsidP="00E563D5">
      <w:pPr>
        <w:pStyle w:val="SCCNormalDoubleSpacing"/>
        <w:spacing w:line="240" w:lineRule="auto"/>
        <w:rPr>
          <w:sz w:val="20"/>
        </w:rPr>
      </w:pPr>
      <w:r w:rsidRPr="00445777">
        <w:rPr>
          <w:sz w:val="20"/>
        </w:rPr>
        <w:tab/>
        <w:t xml:space="preserve">After defence delay has been deducted, the net delay must be compared to the applicable presumptive ceiling set out in </w:t>
      </w:r>
      <w:r w:rsidRPr="00445777">
        <w:rPr>
          <w:i/>
          <w:sz w:val="20"/>
        </w:rPr>
        <w:t>Jordan</w:t>
      </w:r>
      <w:r w:rsidRPr="00445777">
        <w:rPr>
          <w:sz w:val="20"/>
        </w:rPr>
        <w:t xml:space="preserve">. If the net delay exceeds the ceiling, then the delay is presumptively unreasonable. To rebut this presumption, the Crown must establish the presence of exceptional circumstances, which fall into two categories: discrete </w:t>
      </w:r>
      <w:r w:rsidRPr="00445777">
        <w:rPr>
          <w:sz w:val="20"/>
        </w:rPr>
        <w:lastRenderedPageBreak/>
        <w:t xml:space="preserve">events and particularly complex cases. Discrete events, like defence delay, result in quantitative deductions of particular periods of time. However, case complexity requires a qualitative assessment and cannot be used to deduct specific periods of delay. Complexity is an exceptional circumstance only where the case as a whole is particularly complex. The delay caused by a single isolated step that has features of complexity should not be deducted under this category. </w:t>
      </w:r>
    </w:p>
    <w:p w:rsidR="00E563D5" w:rsidRPr="00445777" w:rsidRDefault="00E563D5" w:rsidP="00E563D5">
      <w:pPr>
        <w:pStyle w:val="SCCNormalDoubleSpacing"/>
        <w:spacing w:line="240" w:lineRule="auto"/>
        <w:rPr>
          <w:sz w:val="20"/>
        </w:rPr>
      </w:pPr>
    </w:p>
    <w:p w:rsidR="00E563D5" w:rsidRDefault="00E563D5" w:rsidP="00E563D5">
      <w:pPr>
        <w:pStyle w:val="SCCNormalDoubleSpacing"/>
        <w:spacing w:line="240" w:lineRule="auto"/>
        <w:rPr>
          <w:sz w:val="20"/>
        </w:rPr>
      </w:pPr>
      <w:r w:rsidRPr="00445777">
        <w:rPr>
          <w:sz w:val="20"/>
        </w:rPr>
        <w:tab/>
        <w:t xml:space="preserve">Transitional considerations may be taken into account as a third form of exceptional circumstances where the case was already in the system when </w:t>
      </w:r>
      <w:r w:rsidRPr="00445777">
        <w:rPr>
          <w:i/>
          <w:sz w:val="20"/>
        </w:rPr>
        <w:t>Jordan</w:t>
      </w:r>
      <w:r w:rsidRPr="00445777">
        <w:rPr>
          <w:sz w:val="20"/>
        </w:rPr>
        <w:t xml:space="preserve"> was decided. Like case complexity, the transitional exceptional circumstance assessment involves a qualitative exercise. The exceptionality of the “transitional exceptional circumstance” does not lie in the rarity of its application, but rather in its temporary justification of delay that exceeds the ceiling based on the parties’ reasonable reliance on the law as it previously existed. The parties’ general level of diligence, the seriousness of the offence and the absence of prejudice are all factors that should be taken into consideration, as appropriate in the circumstances. </w:t>
      </w:r>
    </w:p>
    <w:p w:rsidR="00E563D5" w:rsidRPr="00445777" w:rsidRDefault="00E563D5" w:rsidP="00E563D5">
      <w:pPr>
        <w:pStyle w:val="SCCNormalDoubleSpacing"/>
        <w:spacing w:line="240" w:lineRule="auto"/>
        <w:rPr>
          <w:sz w:val="20"/>
        </w:rPr>
      </w:pPr>
    </w:p>
    <w:p w:rsidR="00E563D5" w:rsidRDefault="00E563D5" w:rsidP="00E563D5">
      <w:pPr>
        <w:pStyle w:val="SCCNormalDoubleSpacing"/>
        <w:spacing w:line="240" w:lineRule="auto"/>
        <w:rPr>
          <w:sz w:val="20"/>
        </w:rPr>
      </w:pPr>
      <w:r w:rsidRPr="00445777">
        <w:rPr>
          <w:sz w:val="20"/>
        </w:rPr>
        <w:tab/>
        <w:t>In this case, the total delay was approximately 60.5 months, from which the delay waived by C should be deducted (13 months). Then, two periods of time should be deducted as defence delay: the delay resulting from C’s first change of counsel (1 month) and the delay resulting from C’s recusal application (2.5 months). After accounting for these deductions, the delay is 44 months, which exceeds the 30</w:t>
      </w:r>
      <w:r w:rsidRPr="00445777">
        <w:rPr>
          <w:sz w:val="20"/>
        </w:rPr>
        <w:noBreakHyphen/>
        <w:t xml:space="preserve">month ceiling set out in </w:t>
      </w:r>
      <w:r w:rsidRPr="00445777">
        <w:rPr>
          <w:i/>
          <w:sz w:val="20"/>
        </w:rPr>
        <w:t>Jordan</w:t>
      </w:r>
      <w:r w:rsidRPr="00445777">
        <w:rPr>
          <w:sz w:val="20"/>
        </w:rPr>
        <w:t xml:space="preserve"> and therefore, is presumptively unreasonable.</w:t>
      </w:r>
    </w:p>
    <w:p w:rsidR="00E563D5" w:rsidRPr="00445777" w:rsidRDefault="00E563D5" w:rsidP="00E563D5">
      <w:pPr>
        <w:pStyle w:val="SCCNormalDoubleSpacing"/>
        <w:spacing w:line="240" w:lineRule="auto"/>
        <w:rPr>
          <w:sz w:val="20"/>
        </w:rPr>
      </w:pPr>
    </w:p>
    <w:p w:rsidR="00E563D5" w:rsidRDefault="00E563D5" w:rsidP="00E563D5">
      <w:pPr>
        <w:pStyle w:val="SCCNormalDoubleSpacing"/>
        <w:spacing w:line="240" w:lineRule="auto"/>
        <w:rPr>
          <w:sz w:val="20"/>
        </w:rPr>
      </w:pPr>
      <w:r w:rsidRPr="00445777">
        <w:rPr>
          <w:sz w:val="20"/>
        </w:rPr>
        <w:tab/>
        <w:t xml:space="preserve">With respect to exceptional circumstances, the following delays should be deducted as discrete events: the appointment of C’s former counsel to the bench (4.5 months) and part of the delay flowing from the </w:t>
      </w:r>
      <w:r w:rsidRPr="00445777">
        <w:rPr>
          <w:i/>
          <w:sz w:val="20"/>
        </w:rPr>
        <w:t xml:space="preserve">McNeil </w:t>
      </w:r>
      <w:r w:rsidRPr="00445777">
        <w:rPr>
          <w:sz w:val="20"/>
        </w:rPr>
        <w:t>disclosure issue that arose (3 months). The net delay is therefore 36.5 months. Despite the voluminous disclosure, this does not qualify as a particularly complex case.</w:t>
      </w:r>
    </w:p>
    <w:p w:rsidR="00E563D5" w:rsidRPr="00445777" w:rsidRDefault="00E563D5" w:rsidP="00E563D5">
      <w:pPr>
        <w:pStyle w:val="SCCNormalDoubleSpacing"/>
        <w:spacing w:line="240" w:lineRule="auto"/>
        <w:rPr>
          <w:sz w:val="20"/>
        </w:rPr>
      </w:pPr>
    </w:p>
    <w:p w:rsidR="00E563D5" w:rsidRDefault="00E563D5" w:rsidP="00E563D5">
      <w:pPr>
        <w:pStyle w:val="SCCNormalDoubleSpacing"/>
        <w:spacing w:line="240" w:lineRule="auto"/>
        <w:rPr>
          <w:sz w:val="20"/>
        </w:rPr>
      </w:pPr>
      <w:r w:rsidRPr="00445777">
        <w:rPr>
          <w:sz w:val="20"/>
        </w:rPr>
        <w:tab/>
        <w:t xml:space="preserve">In light of the trial judge’s findings of real and substantial actual prejudice and that C’s conduct was not inconsistent with the desire for a timely trial, the Crown cannot show that the net delay was justified based on its reliance on the previous state of the law. To the contrary, the trial judge’s findings under the </w:t>
      </w:r>
      <w:r w:rsidRPr="00445777">
        <w:rPr>
          <w:i/>
          <w:sz w:val="20"/>
        </w:rPr>
        <w:t>Morin</w:t>
      </w:r>
      <w:r w:rsidRPr="00445777">
        <w:rPr>
          <w:sz w:val="20"/>
        </w:rPr>
        <w:t xml:space="preserve"> framework strengthen the case for a stay of proceedings. Where a balancing of factors under that framework would have weighed in favour of a stay, the Crown will rarely, if ever, be successful in justifying the delay as a transitional exceptional circumstance under the </w:t>
      </w:r>
      <w:r w:rsidRPr="00445777">
        <w:rPr>
          <w:i/>
          <w:sz w:val="20"/>
        </w:rPr>
        <w:t xml:space="preserve">Jordan </w:t>
      </w:r>
      <w:r w:rsidRPr="00445777">
        <w:rPr>
          <w:sz w:val="20"/>
        </w:rPr>
        <w:t>framework.</w:t>
      </w:r>
    </w:p>
    <w:p w:rsidR="00E563D5" w:rsidRPr="00445777" w:rsidRDefault="00E563D5" w:rsidP="00E563D5">
      <w:pPr>
        <w:pStyle w:val="SCCNormalDoubleSpacing"/>
        <w:spacing w:line="240" w:lineRule="auto"/>
        <w:rPr>
          <w:sz w:val="20"/>
        </w:rPr>
      </w:pPr>
    </w:p>
    <w:p w:rsidR="00E563D5" w:rsidRDefault="00E563D5" w:rsidP="00E563D5">
      <w:pPr>
        <w:pStyle w:val="SCCNormalDoubleSpacing"/>
        <w:spacing w:line="240" w:lineRule="auto"/>
        <w:rPr>
          <w:sz w:val="20"/>
          <w:lang w:val="en-US"/>
        </w:rPr>
      </w:pPr>
      <w:r w:rsidRPr="00445777">
        <w:rPr>
          <w:sz w:val="20"/>
        </w:rPr>
        <w:tab/>
        <w:t xml:space="preserve">APPEAL from a judgment of the Newfoundland and Labrador Court of Appeal (Welsh, White and </w:t>
      </w:r>
      <w:proofErr w:type="spellStart"/>
      <w:r w:rsidRPr="00445777">
        <w:rPr>
          <w:sz w:val="20"/>
        </w:rPr>
        <w:t>Hoegg</w:t>
      </w:r>
      <w:proofErr w:type="spellEnd"/>
      <w:r w:rsidRPr="00445777">
        <w:rPr>
          <w:sz w:val="20"/>
        </w:rPr>
        <w:t xml:space="preserve"> JJ.A.)</w:t>
      </w:r>
      <w:r w:rsidRPr="00445777">
        <w:rPr>
          <w:sz w:val="20"/>
          <w:lang w:val="en-US"/>
        </w:rPr>
        <w:t xml:space="preserve">, 2016 NLCA 57, 365 C.R.R. (2d) 111, [2016] N.J. No. 357 (QL), 2016 </w:t>
      </w:r>
      <w:proofErr w:type="spellStart"/>
      <w:r w:rsidRPr="00445777">
        <w:rPr>
          <w:sz w:val="20"/>
          <w:lang w:val="en-US"/>
        </w:rPr>
        <w:t>CarswellNfld</w:t>
      </w:r>
      <w:proofErr w:type="spellEnd"/>
      <w:r w:rsidRPr="00445777">
        <w:rPr>
          <w:sz w:val="20"/>
          <w:lang w:val="en-US"/>
        </w:rPr>
        <w:t xml:space="preserve"> 405 (WL Can.), setting aside the stay of proceedings entered by </w:t>
      </w:r>
      <w:proofErr w:type="spellStart"/>
      <w:r w:rsidRPr="00445777">
        <w:rPr>
          <w:sz w:val="20"/>
          <w:lang w:val="en-US"/>
        </w:rPr>
        <w:t>Burrage</w:t>
      </w:r>
      <w:proofErr w:type="spellEnd"/>
      <w:r w:rsidRPr="00445777">
        <w:rPr>
          <w:sz w:val="20"/>
          <w:lang w:val="en-US"/>
        </w:rPr>
        <w:t xml:space="preserve"> J., 2014 NLTD(G) 161, 359 Nfld. &amp; P.E.I.R. 123, 1117 A.P.R. 123, [2014] N.J. No. 395 (QL), 2014 </w:t>
      </w:r>
      <w:proofErr w:type="spellStart"/>
      <w:r w:rsidRPr="00445777">
        <w:rPr>
          <w:sz w:val="20"/>
          <w:lang w:val="en-US"/>
        </w:rPr>
        <w:t>CarswellNfld</w:t>
      </w:r>
      <w:proofErr w:type="spellEnd"/>
      <w:r w:rsidRPr="00445777">
        <w:rPr>
          <w:sz w:val="20"/>
          <w:lang w:val="en-US"/>
        </w:rPr>
        <w:t xml:space="preserve"> 399 (WL Can.), and remitting the matter for trial. Appeal allowed.</w:t>
      </w:r>
    </w:p>
    <w:p w:rsidR="00E563D5" w:rsidRPr="00445777" w:rsidRDefault="00E563D5" w:rsidP="00E563D5">
      <w:pPr>
        <w:pStyle w:val="SCCNormalDoubleSpacing"/>
        <w:spacing w:line="240" w:lineRule="auto"/>
        <w:rPr>
          <w:sz w:val="20"/>
          <w:lang w:val="en-US"/>
        </w:rPr>
      </w:pPr>
    </w:p>
    <w:p w:rsidR="00E563D5" w:rsidRDefault="00E563D5" w:rsidP="00E563D5">
      <w:pPr>
        <w:pStyle w:val="SCCNormalDoubleSpacing"/>
        <w:spacing w:line="240" w:lineRule="auto"/>
        <w:rPr>
          <w:rStyle w:val="SCCCounselPartyRoleChar"/>
          <w:sz w:val="20"/>
        </w:rPr>
      </w:pPr>
      <w:r w:rsidRPr="00445777">
        <w:rPr>
          <w:rStyle w:val="SCCCounselNameChar"/>
          <w:sz w:val="20"/>
        </w:rPr>
        <w:tab/>
        <w:t>Michael Crystal</w:t>
      </w:r>
      <w:r w:rsidRPr="00E563D5">
        <w:rPr>
          <w:rStyle w:val="SCCCounselSeparatorChar"/>
          <w:rFonts w:eastAsia="Calibri"/>
          <w:sz w:val="20"/>
          <w:lang w:val="en-US"/>
        </w:rPr>
        <w:t xml:space="preserve"> and </w:t>
      </w:r>
      <w:r w:rsidRPr="00445777">
        <w:rPr>
          <w:rStyle w:val="SCCCounselNameChar"/>
          <w:sz w:val="20"/>
        </w:rPr>
        <w:t>Frank Addario</w:t>
      </w:r>
      <w:r w:rsidRPr="00445777">
        <w:rPr>
          <w:rStyle w:val="SCCCounselPartyRoleChar"/>
          <w:sz w:val="20"/>
        </w:rPr>
        <w:t>, for the appellant.</w:t>
      </w:r>
    </w:p>
    <w:p w:rsidR="00E563D5" w:rsidRPr="00445777" w:rsidRDefault="00E563D5" w:rsidP="00E563D5">
      <w:pPr>
        <w:pStyle w:val="SCCNormalDoubleSpacing"/>
        <w:spacing w:line="240" w:lineRule="auto"/>
        <w:rPr>
          <w:sz w:val="20"/>
        </w:rPr>
      </w:pPr>
    </w:p>
    <w:p w:rsidR="00E563D5" w:rsidRDefault="00E563D5" w:rsidP="00E563D5">
      <w:pPr>
        <w:pStyle w:val="SCCNormalDoubleSpacing"/>
        <w:spacing w:line="240" w:lineRule="auto"/>
        <w:rPr>
          <w:rStyle w:val="SCCCounselPartyRoleChar"/>
          <w:sz w:val="20"/>
        </w:rPr>
      </w:pPr>
      <w:r w:rsidRPr="00445777">
        <w:rPr>
          <w:rStyle w:val="SCCCounselNameChar"/>
          <w:sz w:val="20"/>
        </w:rPr>
        <w:tab/>
        <w:t>Croft Michaelson, Q.C.,</w:t>
      </w:r>
      <w:r w:rsidRPr="00E563D5">
        <w:rPr>
          <w:rStyle w:val="SCCCounselSeparatorChar"/>
          <w:rFonts w:eastAsia="Calibri"/>
          <w:i/>
          <w:sz w:val="20"/>
          <w:lang w:val="en-US"/>
        </w:rPr>
        <w:t xml:space="preserve"> </w:t>
      </w:r>
      <w:r w:rsidRPr="00E563D5">
        <w:rPr>
          <w:rStyle w:val="SCCCounselSeparatorChar"/>
          <w:rFonts w:eastAsia="Calibri"/>
          <w:sz w:val="20"/>
          <w:lang w:val="en-US"/>
        </w:rPr>
        <w:t xml:space="preserve">and </w:t>
      </w:r>
      <w:proofErr w:type="spellStart"/>
      <w:r w:rsidRPr="00445777">
        <w:rPr>
          <w:rStyle w:val="SCCCounselNameChar"/>
          <w:sz w:val="20"/>
        </w:rPr>
        <w:t>Vanita</w:t>
      </w:r>
      <w:proofErr w:type="spellEnd"/>
      <w:r w:rsidRPr="00445777">
        <w:rPr>
          <w:rStyle w:val="SCCCounselNameChar"/>
          <w:sz w:val="20"/>
        </w:rPr>
        <w:t xml:space="preserve"> </w:t>
      </w:r>
      <w:proofErr w:type="spellStart"/>
      <w:r w:rsidRPr="00445777">
        <w:rPr>
          <w:rStyle w:val="SCCCounselNameChar"/>
          <w:sz w:val="20"/>
        </w:rPr>
        <w:t>Goela</w:t>
      </w:r>
      <w:proofErr w:type="spellEnd"/>
      <w:r w:rsidRPr="00445777">
        <w:rPr>
          <w:rStyle w:val="SCCCounselPartyRoleChar"/>
          <w:sz w:val="20"/>
        </w:rPr>
        <w:t>, for the respondent.</w:t>
      </w:r>
    </w:p>
    <w:p w:rsidR="00E563D5" w:rsidRPr="00445777" w:rsidRDefault="00E563D5" w:rsidP="00E563D5">
      <w:pPr>
        <w:pStyle w:val="SCCNormalDoubleSpacing"/>
        <w:spacing w:line="240" w:lineRule="auto"/>
        <w:rPr>
          <w:sz w:val="20"/>
        </w:rPr>
      </w:pPr>
    </w:p>
    <w:p w:rsidR="00E563D5" w:rsidRDefault="00E563D5" w:rsidP="00E563D5">
      <w:pPr>
        <w:pStyle w:val="SCCNormalDoubleSpacing"/>
        <w:spacing w:line="240" w:lineRule="auto"/>
        <w:rPr>
          <w:rStyle w:val="SCCCounselPartyRoleChar"/>
          <w:sz w:val="20"/>
        </w:rPr>
      </w:pPr>
      <w:r w:rsidRPr="00445777">
        <w:rPr>
          <w:rStyle w:val="SCCCounselNameChar"/>
          <w:sz w:val="20"/>
        </w:rPr>
        <w:tab/>
        <w:t>Tracy Kozlowski</w:t>
      </w:r>
      <w:r w:rsidRPr="00445777">
        <w:rPr>
          <w:rStyle w:val="SCCCounselPartyRoleChar"/>
          <w:sz w:val="20"/>
        </w:rPr>
        <w:t>, for the intervener the Attorney General of Ontario.</w:t>
      </w:r>
    </w:p>
    <w:p w:rsidR="00E563D5" w:rsidRPr="00445777" w:rsidRDefault="00E563D5" w:rsidP="00E563D5">
      <w:pPr>
        <w:pStyle w:val="SCCNormalDoubleSpacing"/>
        <w:spacing w:line="240" w:lineRule="auto"/>
        <w:rPr>
          <w:sz w:val="20"/>
        </w:rPr>
      </w:pPr>
    </w:p>
    <w:p w:rsidR="00E563D5" w:rsidRDefault="00E563D5" w:rsidP="00E563D5">
      <w:pPr>
        <w:pStyle w:val="SCCNormalDoubleSpacing"/>
        <w:spacing w:line="240" w:lineRule="auto"/>
        <w:rPr>
          <w:rStyle w:val="SCCCounselPartyRoleChar"/>
          <w:sz w:val="20"/>
        </w:rPr>
      </w:pPr>
      <w:r w:rsidRPr="00445777">
        <w:rPr>
          <w:rStyle w:val="SCCCounselNameChar"/>
          <w:sz w:val="20"/>
        </w:rPr>
        <w:tab/>
      </w:r>
      <w:proofErr w:type="spellStart"/>
      <w:r w:rsidRPr="00445777">
        <w:rPr>
          <w:rStyle w:val="SCCCounselNameChar"/>
          <w:sz w:val="20"/>
        </w:rPr>
        <w:t>Stéphane</w:t>
      </w:r>
      <w:proofErr w:type="spellEnd"/>
      <w:r w:rsidRPr="00445777">
        <w:rPr>
          <w:rStyle w:val="SCCCounselNameChar"/>
          <w:sz w:val="20"/>
        </w:rPr>
        <w:t xml:space="preserve"> </w:t>
      </w:r>
      <w:proofErr w:type="spellStart"/>
      <w:r w:rsidRPr="00445777">
        <w:rPr>
          <w:rStyle w:val="SCCCounselNameChar"/>
          <w:sz w:val="20"/>
        </w:rPr>
        <w:t>Rochette</w:t>
      </w:r>
      <w:proofErr w:type="spellEnd"/>
      <w:r w:rsidRPr="00445777">
        <w:rPr>
          <w:rStyle w:val="SCCCounselNameChar"/>
          <w:sz w:val="20"/>
        </w:rPr>
        <w:t xml:space="preserve"> and</w:t>
      </w:r>
      <w:r>
        <w:rPr>
          <w:rStyle w:val="SCCCounselNameChar"/>
          <w:sz w:val="20"/>
        </w:rPr>
        <w:t xml:space="preserve"> </w:t>
      </w:r>
      <w:proofErr w:type="spellStart"/>
      <w:r>
        <w:rPr>
          <w:rStyle w:val="SCCCounselNameChar"/>
          <w:sz w:val="20"/>
        </w:rPr>
        <w:t>A</w:t>
      </w:r>
      <w:r w:rsidRPr="00445777">
        <w:rPr>
          <w:rStyle w:val="SCCCounselNameChar"/>
          <w:sz w:val="20"/>
        </w:rPr>
        <w:t>b</w:t>
      </w:r>
      <w:r>
        <w:rPr>
          <w:rStyle w:val="SCCCounselNameChar"/>
          <w:sz w:val="20"/>
        </w:rPr>
        <w:t>d</w:t>
      </w:r>
      <w:r w:rsidRPr="00445777">
        <w:rPr>
          <w:rStyle w:val="SCCCounselNameChar"/>
          <w:sz w:val="20"/>
        </w:rPr>
        <w:t>ou</w:t>
      </w:r>
      <w:proofErr w:type="spellEnd"/>
      <w:r w:rsidRPr="00445777">
        <w:rPr>
          <w:rStyle w:val="SCCCounselNameChar"/>
          <w:sz w:val="20"/>
        </w:rPr>
        <w:t xml:space="preserve"> </w:t>
      </w:r>
      <w:proofErr w:type="spellStart"/>
      <w:r w:rsidRPr="00445777">
        <w:rPr>
          <w:rStyle w:val="SCCCounselNameChar"/>
          <w:sz w:val="20"/>
        </w:rPr>
        <w:t>Thiaw</w:t>
      </w:r>
      <w:proofErr w:type="spellEnd"/>
      <w:r w:rsidRPr="00445777">
        <w:rPr>
          <w:rStyle w:val="SCCCounselPartyRoleChar"/>
          <w:sz w:val="20"/>
        </w:rPr>
        <w:t>, for the intervener the Attorney General of Quebec.</w:t>
      </w:r>
    </w:p>
    <w:p w:rsidR="00E563D5" w:rsidRPr="00445777" w:rsidRDefault="00E563D5" w:rsidP="00E563D5">
      <w:pPr>
        <w:pStyle w:val="SCCNormalDoubleSpacing"/>
        <w:spacing w:line="240" w:lineRule="auto"/>
        <w:rPr>
          <w:sz w:val="20"/>
        </w:rPr>
      </w:pPr>
    </w:p>
    <w:p w:rsidR="00E563D5" w:rsidRDefault="00E563D5" w:rsidP="00E563D5">
      <w:pPr>
        <w:pStyle w:val="SCCNormalDoubleSpacing"/>
        <w:spacing w:line="240" w:lineRule="auto"/>
        <w:rPr>
          <w:rStyle w:val="SCCCounselPartyRoleChar"/>
          <w:sz w:val="20"/>
        </w:rPr>
      </w:pPr>
      <w:r w:rsidRPr="00445777">
        <w:rPr>
          <w:rStyle w:val="SCCCounselNameChar"/>
          <w:sz w:val="20"/>
        </w:rPr>
        <w:tab/>
        <w:t>Ami Kotler</w:t>
      </w:r>
      <w:r w:rsidRPr="00445777">
        <w:rPr>
          <w:rStyle w:val="SCCCounselPartyRoleChar"/>
          <w:sz w:val="20"/>
        </w:rPr>
        <w:t>, for the intervener the Attorney General of Manitoba.</w:t>
      </w:r>
    </w:p>
    <w:p w:rsidR="00E563D5" w:rsidRPr="00445777" w:rsidRDefault="00E563D5" w:rsidP="00E563D5">
      <w:pPr>
        <w:pStyle w:val="SCCNormalDoubleSpacing"/>
        <w:spacing w:line="240" w:lineRule="auto"/>
        <w:rPr>
          <w:sz w:val="20"/>
        </w:rPr>
      </w:pPr>
    </w:p>
    <w:p w:rsidR="00E563D5" w:rsidRDefault="00E563D5" w:rsidP="00E563D5">
      <w:pPr>
        <w:pStyle w:val="SCCNormalDoubleSpacing"/>
        <w:spacing w:line="240" w:lineRule="auto"/>
        <w:rPr>
          <w:rStyle w:val="SCCCounselPartyRoleChar"/>
          <w:sz w:val="20"/>
        </w:rPr>
      </w:pPr>
      <w:r w:rsidRPr="00445777">
        <w:rPr>
          <w:rStyle w:val="SCCCounselNameChar"/>
          <w:sz w:val="20"/>
        </w:rPr>
        <w:tab/>
        <w:t>Trevor Shaw</w:t>
      </w:r>
      <w:r w:rsidRPr="00445777">
        <w:rPr>
          <w:rStyle w:val="SCCCounselPartyRoleChar"/>
          <w:sz w:val="20"/>
        </w:rPr>
        <w:t>, for the intervener the Attorney General of British Columbia.</w:t>
      </w:r>
    </w:p>
    <w:p w:rsidR="00E563D5" w:rsidRPr="00445777" w:rsidRDefault="00E563D5" w:rsidP="00E563D5">
      <w:pPr>
        <w:pStyle w:val="SCCNormalDoubleSpacing"/>
        <w:spacing w:line="240" w:lineRule="auto"/>
        <w:rPr>
          <w:sz w:val="20"/>
        </w:rPr>
      </w:pPr>
    </w:p>
    <w:p w:rsidR="00E563D5" w:rsidRDefault="00E563D5" w:rsidP="00E563D5">
      <w:pPr>
        <w:pStyle w:val="SCCNormalDoubleSpacing"/>
        <w:spacing w:line="240" w:lineRule="auto"/>
        <w:rPr>
          <w:rStyle w:val="SCCCounselPartyRoleChar"/>
          <w:sz w:val="20"/>
        </w:rPr>
      </w:pPr>
      <w:r w:rsidRPr="00445777">
        <w:rPr>
          <w:rStyle w:val="SCCCounselNameChar"/>
          <w:sz w:val="20"/>
        </w:rPr>
        <w:tab/>
        <w:t xml:space="preserve">David A. </w:t>
      </w:r>
      <w:proofErr w:type="spellStart"/>
      <w:r w:rsidRPr="00445777">
        <w:rPr>
          <w:rStyle w:val="SCCCounselNameChar"/>
          <w:sz w:val="20"/>
        </w:rPr>
        <w:t>Labrenz</w:t>
      </w:r>
      <w:proofErr w:type="spellEnd"/>
      <w:r w:rsidRPr="00445777">
        <w:rPr>
          <w:rStyle w:val="SCCCounselNameChar"/>
          <w:sz w:val="20"/>
        </w:rPr>
        <w:t>, Q.C.</w:t>
      </w:r>
      <w:r w:rsidRPr="00445777">
        <w:rPr>
          <w:rStyle w:val="SCCCounselPartyRoleChar"/>
          <w:sz w:val="20"/>
        </w:rPr>
        <w:t>, for the intervener the Attorney General of Alberta.</w:t>
      </w:r>
    </w:p>
    <w:p w:rsidR="00E563D5" w:rsidRPr="00445777" w:rsidRDefault="00E563D5" w:rsidP="00E563D5">
      <w:pPr>
        <w:pStyle w:val="SCCNormalDoubleSpacing"/>
        <w:spacing w:line="240" w:lineRule="auto"/>
        <w:rPr>
          <w:sz w:val="20"/>
        </w:rPr>
      </w:pPr>
    </w:p>
    <w:p w:rsidR="00E563D5" w:rsidRDefault="00E563D5" w:rsidP="00E563D5">
      <w:pPr>
        <w:pStyle w:val="SCCNormalDoubleSpacing"/>
        <w:spacing w:line="240" w:lineRule="auto"/>
        <w:rPr>
          <w:rStyle w:val="SCCCounselPartyRoleChar"/>
          <w:sz w:val="20"/>
        </w:rPr>
      </w:pPr>
      <w:r w:rsidRPr="00445777">
        <w:rPr>
          <w:rStyle w:val="SCCCounselNameChar"/>
          <w:sz w:val="20"/>
        </w:rPr>
        <w:tab/>
        <w:t xml:space="preserve">Nicolas </w:t>
      </w:r>
      <w:proofErr w:type="spellStart"/>
      <w:r w:rsidRPr="00445777">
        <w:rPr>
          <w:rStyle w:val="SCCCounselNameChar"/>
          <w:sz w:val="20"/>
        </w:rPr>
        <w:t>Abran</w:t>
      </w:r>
      <w:proofErr w:type="spellEnd"/>
      <w:r w:rsidRPr="00E563D5">
        <w:rPr>
          <w:rStyle w:val="SCCCounselSeparatorChar"/>
          <w:rFonts w:eastAsia="Calibri"/>
          <w:sz w:val="20"/>
          <w:lang w:val="en-US"/>
        </w:rPr>
        <w:t xml:space="preserve"> and </w:t>
      </w:r>
      <w:r w:rsidRPr="00445777">
        <w:rPr>
          <w:rStyle w:val="SCCCounselNameChar"/>
          <w:sz w:val="20"/>
        </w:rPr>
        <w:t>Daniel Royer</w:t>
      </w:r>
      <w:r w:rsidRPr="00445777">
        <w:rPr>
          <w:rStyle w:val="SCCCounselPartyRoleChar"/>
          <w:sz w:val="20"/>
        </w:rPr>
        <w:t>, for the intervener the Director of Criminal and Penal Prosecutions.</w:t>
      </w:r>
    </w:p>
    <w:p w:rsidR="00E563D5" w:rsidRPr="00445777" w:rsidRDefault="00E563D5" w:rsidP="00E563D5">
      <w:pPr>
        <w:pStyle w:val="SCCNormalDoubleSpacing"/>
        <w:spacing w:line="240" w:lineRule="auto"/>
        <w:rPr>
          <w:sz w:val="20"/>
        </w:rPr>
      </w:pPr>
    </w:p>
    <w:p w:rsidR="00E563D5" w:rsidRPr="00445777" w:rsidRDefault="00E563D5" w:rsidP="00E563D5">
      <w:pPr>
        <w:pStyle w:val="SCCNormalDoubleSpacing"/>
        <w:spacing w:line="240" w:lineRule="auto"/>
        <w:rPr>
          <w:sz w:val="20"/>
        </w:rPr>
      </w:pPr>
      <w:r w:rsidRPr="00445777">
        <w:rPr>
          <w:rStyle w:val="SCCCounselNameChar"/>
          <w:sz w:val="20"/>
        </w:rPr>
        <w:tab/>
        <w:t>Megan Savard</w:t>
      </w:r>
      <w:r w:rsidRPr="00445777">
        <w:rPr>
          <w:rStyle w:val="SCCCounselPartyRoleChar"/>
          <w:sz w:val="20"/>
        </w:rPr>
        <w:t>, for the intervener the Criminal Lawyers’ Association of Ontario</w:t>
      </w:r>
    </w:p>
    <w:p w:rsidR="004B7370" w:rsidRDefault="00E563D5" w:rsidP="00902E51">
      <w:pPr>
        <w:rPr>
          <w:rFonts w:eastAsia="Times New Roman" w:cs="Times New Roman"/>
          <w:sz w:val="20"/>
          <w:szCs w:val="20"/>
          <w:lang w:eastAsia="en-CA"/>
        </w:rPr>
      </w:pPr>
      <w:r>
        <w:rPr>
          <w:rFonts w:eastAsia="Times New Roman" w:cs="Times New Roman"/>
          <w:sz w:val="20"/>
          <w:szCs w:val="20"/>
          <w:lang w:eastAsia="en-CA"/>
        </w:rPr>
        <w:t>______________________</w:t>
      </w:r>
    </w:p>
    <w:p w:rsidR="00E563D5" w:rsidRDefault="00E563D5" w:rsidP="00902E51">
      <w:pPr>
        <w:rPr>
          <w:rFonts w:eastAsia="Times New Roman" w:cs="Times New Roman"/>
          <w:sz w:val="20"/>
          <w:szCs w:val="20"/>
          <w:lang w:eastAsia="en-CA"/>
        </w:rPr>
      </w:pPr>
    </w:p>
    <w:p w:rsidR="00EF296F" w:rsidRPr="00C21511" w:rsidRDefault="00EF296F" w:rsidP="00EF296F">
      <w:pPr>
        <w:jc w:val="both"/>
        <w:rPr>
          <w:sz w:val="20"/>
          <w:szCs w:val="20"/>
          <w:lang w:val="fr-CA"/>
        </w:rPr>
      </w:pPr>
      <w:r w:rsidRPr="00C21511">
        <w:rPr>
          <w:sz w:val="20"/>
          <w:szCs w:val="20"/>
          <w:lang w:val="fr-CA"/>
        </w:rPr>
        <w:lastRenderedPageBreak/>
        <w:t xml:space="preserve">Présents : Les juges Abella, </w:t>
      </w:r>
      <w:proofErr w:type="spellStart"/>
      <w:r w:rsidRPr="00C21511">
        <w:rPr>
          <w:sz w:val="20"/>
          <w:szCs w:val="20"/>
          <w:lang w:val="fr-CA"/>
        </w:rPr>
        <w:t>Moldaver</w:t>
      </w:r>
      <w:proofErr w:type="spellEnd"/>
      <w:r w:rsidRPr="00C21511">
        <w:rPr>
          <w:sz w:val="20"/>
          <w:szCs w:val="20"/>
          <w:lang w:val="fr-CA"/>
        </w:rPr>
        <w:t xml:space="preserve">, </w:t>
      </w:r>
      <w:proofErr w:type="spellStart"/>
      <w:r w:rsidRPr="00C21511">
        <w:rPr>
          <w:sz w:val="20"/>
          <w:szCs w:val="20"/>
          <w:lang w:val="fr-CA"/>
        </w:rPr>
        <w:t>Karakatsanis</w:t>
      </w:r>
      <w:proofErr w:type="spellEnd"/>
      <w:r w:rsidRPr="00C21511">
        <w:rPr>
          <w:sz w:val="20"/>
          <w:szCs w:val="20"/>
          <w:lang w:val="fr-CA"/>
        </w:rPr>
        <w:t>, Wagner, Gascon, Côté et Brown.</w:t>
      </w:r>
    </w:p>
    <w:p w:rsidR="00EF296F" w:rsidRDefault="00EF296F" w:rsidP="00EF296F">
      <w:pPr>
        <w:pStyle w:val="SCCNormalDoubleSpacing"/>
        <w:spacing w:line="240" w:lineRule="auto"/>
        <w:rPr>
          <w:sz w:val="20"/>
          <w:lang w:val="fr-CA"/>
        </w:rPr>
      </w:pPr>
    </w:p>
    <w:p w:rsidR="00EF296F" w:rsidRDefault="00EF296F" w:rsidP="00EF296F">
      <w:pPr>
        <w:pStyle w:val="SCCNormalDoubleSpacing"/>
        <w:spacing w:line="240" w:lineRule="auto"/>
        <w:rPr>
          <w:i/>
          <w:sz w:val="20"/>
          <w:lang w:val="fr-CA"/>
        </w:rPr>
      </w:pPr>
      <w:r w:rsidRPr="00C21511">
        <w:rPr>
          <w:sz w:val="20"/>
          <w:lang w:val="fr-CA"/>
        </w:rPr>
        <w:tab/>
      </w:r>
      <w:r w:rsidRPr="00C21511">
        <w:rPr>
          <w:i/>
          <w:sz w:val="20"/>
          <w:lang w:val="fr-CA"/>
        </w:rPr>
        <w:t xml:space="preserve">Droit constitutionnel </w:t>
      </w:r>
      <w:r w:rsidRPr="00C21511">
        <w:rPr>
          <w:i/>
          <w:iCs/>
          <w:sz w:val="20"/>
          <w:lang w:val="fr-CA"/>
        </w:rPr>
        <w:t>—</w:t>
      </w:r>
      <w:r w:rsidRPr="00C21511">
        <w:rPr>
          <w:i/>
          <w:sz w:val="20"/>
          <w:lang w:val="fr-CA"/>
        </w:rPr>
        <w:t xml:space="preserve"> Charte des droits </w:t>
      </w:r>
      <w:r w:rsidRPr="00C21511">
        <w:rPr>
          <w:i/>
          <w:iCs/>
          <w:sz w:val="20"/>
          <w:lang w:val="fr-CA"/>
        </w:rPr>
        <w:t>—</w:t>
      </w:r>
      <w:r w:rsidRPr="00C21511">
        <w:rPr>
          <w:i/>
          <w:sz w:val="20"/>
          <w:lang w:val="fr-CA"/>
        </w:rPr>
        <w:t xml:space="preserve"> Procès dans un délai raisonnable </w:t>
      </w:r>
      <w:r w:rsidRPr="00C21511">
        <w:rPr>
          <w:i/>
          <w:iCs/>
          <w:sz w:val="20"/>
          <w:lang w:val="fr-CA"/>
        </w:rPr>
        <w:t>—</w:t>
      </w:r>
      <w:r w:rsidRPr="00C21511">
        <w:rPr>
          <w:i/>
          <w:sz w:val="20"/>
          <w:lang w:val="fr-CA"/>
        </w:rPr>
        <w:t xml:space="preserve"> Écoulement avant le prononcé de l’arrêt Jordan</w:t>
      </w:r>
      <w:r w:rsidRPr="00C21511">
        <w:rPr>
          <w:sz w:val="20"/>
          <w:lang w:val="fr-CA"/>
        </w:rPr>
        <w:t xml:space="preserve"> </w:t>
      </w:r>
      <w:r w:rsidRPr="00C21511">
        <w:rPr>
          <w:i/>
          <w:sz w:val="20"/>
          <w:lang w:val="fr-CA"/>
        </w:rPr>
        <w:t xml:space="preserve">d’un délai de plus de cinq ans entre le dépôt des accusations et la conclusion anticipée du procès </w:t>
      </w:r>
      <w:r w:rsidRPr="00C21511">
        <w:rPr>
          <w:i/>
          <w:iCs/>
          <w:sz w:val="20"/>
          <w:lang w:val="fr-CA"/>
        </w:rPr>
        <w:t>—</w:t>
      </w:r>
      <w:r w:rsidRPr="00C21511">
        <w:rPr>
          <w:i/>
          <w:sz w:val="20"/>
          <w:lang w:val="fr-CA"/>
        </w:rPr>
        <w:t xml:space="preserve"> Y</w:t>
      </w:r>
      <w:r w:rsidRPr="00C21511">
        <w:rPr>
          <w:i/>
          <w:sz w:val="20"/>
          <w:lang w:val="fr-CA"/>
        </w:rPr>
        <w:noBreakHyphen/>
        <w:t>a</w:t>
      </w:r>
      <w:r w:rsidRPr="00C21511">
        <w:rPr>
          <w:i/>
          <w:sz w:val="20"/>
          <w:lang w:val="fr-CA"/>
        </w:rPr>
        <w:noBreakHyphen/>
        <w:t>t</w:t>
      </w:r>
      <w:r w:rsidRPr="00C21511">
        <w:rPr>
          <w:i/>
          <w:sz w:val="20"/>
          <w:lang w:val="fr-CA"/>
        </w:rPr>
        <w:noBreakHyphen/>
        <w:t xml:space="preserve">il eu atteinte au droit de l’accusé d’être jugé dans un délai raisonnable que lui garantit l’al. 11b) de la Charte canadienne des droits et libertés? </w:t>
      </w:r>
      <w:r w:rsidRPr="00C21511">
        <w:rPr>
          <w:i/>
          <w:iCs/>
          <w:sz w:val="20"/>
          <w:lang w:val="fr-CA"/>
        </w:rPr>
        <w:t>— Application du cadre énoncé dans Jordan pour établir s’il y a eu violation de l’al. </w:t>
      </w:r>
      <w:r w:rsidRPr="00C21511">
        <w:rPr>
          <w:i/>
          <w:sz w:val="20"/>
          <w:lang w:val="fr-CA"/>
        </w:rPr>
        <w:t>11b).</w:t>
      </w:r>
    </w:p>
    <w:p w:rsidR="00EF296F" w:rsidRPr="00C21511" w:rsidRDefault="00EF296F" w:rsidP="00EF296F">
      <w:pPr>
        <w:pStyle w:val="SCCNormalDoubleSpacing"/>
        <w:spacing w:line="240" w:lineRule="auto"/>
        <w:rPr>
          <w:i/>
          <w:sz w:val="20"/>
          <w:lang w:val="fr-CA"/>
        </w:rPr>
      </w:pPr>
    </w:p>
    <w:p w:rsidR="00EF296F" w:rsidRDefault="00EF296F" w:rsidP="00EF296F">
      <w:pPr>
        <w:pStyle w:val="SCCNormalDoubleSpacing"/>
        <w:spacing w:line="240" w:lineRule="auto"/>
        <w:rPr>
          <w:sz w:val="20"/>
          <w:lang w:val="fr-CA"/>
        </w:rPr>
      </w:pPr>
      <w:r w:rsidRPr="00C21511">
        <w:rPr>
          <w:sz w:val="20"/>
          <w:lang w:val="fr-CA"/>
        </w:rPr>
        <w:tab/>
        <w:t>C a été accusé d’infractions liées aux drogues et aux armes le 12 janvier 2010. Son procès devait se terminer le 30 janvier 2015. Avant le début de son procès, C a présenté une demande fondée sur l’al. 11</w:t>
      </w:r>
      <w:r w:rsidRPr="00C21511">
        <w:rPr>
          <w:i/>
          <w:sz w:val="20"/>
          <w:lang w:val="fr-CA"/>
        </w:rPr>
        <w:t>b</w:t>
      </w:r>
      <w:r w:rsidRPr="00C21511">
        <w:rPr>
          <w:sz w:val="20"/>
          <w:lang w:val="fr-CA"/>
        </w:rPr>
        <w:t xml:space="preserve">) de la </w:t>
      </w:r>
      <w:r w:rsidRPr="00C21511">
        <w:rPr>
          <w:i/>
          <w:sz w:val="20"/>
          <w:lang w:val="fr-CA"/>
        </w:rPr>
        <w:t>Charte</w:t>
      </w:r>
      <w:r w:rsidRPr="00C21511">
        <w:rPr>
          <w:sz w:val="20"/>
          <w:lang w:val="fr-CA"/>
        </w:rPr>
        <w:t xml:space="preserve"> en vue d’obtenir l’arrêt des procédures en raison du délai écoulé. Parce que la demande de C a été présentée antérieurement à l’arrêt </w:t>
      </w:r>
      <w:r w:rsidRPr="00C21511">
        <w:rPr>
          <w:i/>
          <w:sz w:val="20"/>
          <w:lang w:val="fr-CA"/>
        </w:rPr>
        <w:t>R. c. Jordan</w:t>
      </w:r>
      <w:r w:rsidRPr="00C21511">
        <w:rPr>
          <w:sz w:val="20"/>
          <w:lang w:val="fr-CA"/>
        </w:rPr>
        <w:t xml:space="preserve">, 2016 CSC 27, [2016] 1 R.C.S. 631, le juge de première instance a appliqué l’ancien cadre d’analyse énoncé dans </w:t>
      </w:r>
      <w:r w:rsidRPr="00C21511">
        <w:rPr>
          <w:i/>
          <w:sz w:val="20"/>
          <w:lang w:val="fr-CA"/>
        </w:rPr>
        <w:t>R. c. Morin</w:t>
      </w:r>
      <w:r w:rsidRPr="00C21511">
        <w:rPr>
          <w:sz w:val="20"/>
          <w:lang w:val="fr-CA"/>
        </w:rPr>
        <w:t xml:space="preserve">, [1992] 1 R.C.S. 771. Il a accueilli la demande et ordonné l’arrêt des procédures. La majorité de la Cour d’appel a appliqué le cadre d’analyse établi dans </w:t>
      </w:r>
      <w:r w:rsidRPr="00C21511">
        <w:rPr>
          <w:i/>
          <w:sz w:val="20"/>
          <w:lang w:val="fr-CA"/>
        </w:rPr>
        <w:t>Jordan</w:t>
      </w:r>
      <w:r w:rsidRPr="00C21511">
        <w:rPr>
          <w:sz w:val="20"/>
          <w:lang w:val="fr-CA"/>
        </w:rPr>
        <w:t xml:space="preserve"> et a accueilli l’appel, annulé l’arrêt des procédures et renvoyé l’affaire pour qu’elle soit jugée.</w:t>
      </w:r>
    </w:p>
    <w:p w:rsidR="00EF296F" w:rsidRPr="00C21511" w:rsidRDefault="00EF296F" w:rsidP="00EF296F">
      <w:pPr>
        <w:pStyle w:val="SCCNormalDoubleSpacing"/>
        <w:spacing w:line="240" w:lineRule="auto"/>
        <w:rPr>
          <w:sz w:val="20"/>
          <w:lang w:val="fr-CA"/>
        </w:rPr>
      </w:pPr>
    </w:p>
    <w:p w:rsidR="00EF296F" w:rsidRDefault="00EF296F" w:rsidP="00EF296F">
      <w:pPr>
        <w:pStyle w:val="SCCNormalDoubleSpacing"/>
        <w:spacing w:line="240" w:lineRule="auto"/>
        <w:rPr>
          <w:sz w:val="20"/>
          <w:lang w:val="fr-CA"/>
        </w:rPr>
      </w:pPr>
      <w:r w:rsidRPr="00C21511">
        <w:rPr>
          <w:sz w:val="20"/>
          <w:lang w:val="fr-CA"/>
        </w:rPr>
        <w:tab/>
      </w:r>
      <w:r w:rsidRPr="00C21511">
        <w:rPr>
          <w:rStyle w:val="QuoteChar"/>
          <w:sz w:val="20"/>
          <w:lang w:val="fr-CA"/>
        </w:rPr>
        <w:t>Arrêt :</w:t>
      </w:r>
      <w:r w:rsidRPr="00C21511">
        <w:rPr>
          <w:sz w:val="20"/>
          <w:lang w:val="fr-CA"/>
        </w:rPr>
        <w:t xml:space="preserve"> Le pourvoi est accueilli et l’arrêt des procédures est rétabli.</w:t>
      </w:r>
    </w:p>
    <w:p w:rsidR="00EF296F" w:rsidRPr="00C21511" w:rsidRDefault="00EF296F" w:rsidP="00EF296F">
      <w:pPr>
        <w:pStyle w:val="SCCNormalDoubleSpacing"/>
        <w:spacing w:line="240" w:lineRule="auto"/>
        <w:rPr>
          <w:sz w:val="20"/>
          <w:lang w:val="fr-CA"/>
        </w:rPr>
      </w:pPr>
    </w:p>
    <w:p w:rsidR="00EF296F" w:rsidRDefault="00EF296F" w:rsidP="00EF296F">
      <w:pPr>
        <w:pStyle w:val="SCCNormalDoubleSpacing"/>
        <w:spacing w:line="240" w:lineRule="auto"/>
        <w:rPr>
          <w:sz w:val="20"/>
          <w:lang w:val="fr-CA"/>
        </w:rPr>
      </w:pPr>
      <w:r w:rsidRPr="00C21511">
        <w:rPr>
          <w:sz w:val="20"/>
          <w:lang w:val="fr-CA"/>
        </w:rPr>
        <w:tab/>
        <w:t>En l’espèce, le délai était déraisonnable et le droit garanti à C par l’al. 11</w:t>
      </w:r>
      <w:r w:rsidRPr="00C21511">
        <w:rPr>
          <w:i/>
          <w:sz w:val="20"/>
          <w:lang w:val="fr-CA"/>
        </w:rPr>
        <w:t>b</w:t>
      </w:r>
      <w:r w:rsidRPr="00C21511">
        <w:rPr>
          <w:sz w:val="20"/>
          <w:lang w:val="fr-CA"/>
        </w:rPr>
        <w:t xml:space="preserve">) de la </w:t>
      </w:r>
      <w:r w:rsidRPr="00C21511">
        <w:rPr>
          <w:i/>
          <w:sz w:val="20"/>
          <w:lang w:val="fr-CA"/>
        </w:rPr>
        <w:t>Charte</w:t>
      </w:r>
      <w:r w:rsidRPr="00C21511">
        <w:rPr>
          <w:sz w:val="20"/>
          <w:lang w:val="fr-CA"/>
        </w:rPr>
        <w:t xml:space="preserve"> a en conséquence été violé. La Cour d’appel a mal appliqué l’arrêt </w:t>
      </w:r>
      <w:r w:rsidRPr="00C21511">
        <w:rPr>
          <w:i/>
          <w:sz w:val="20"/>
          <w:lang w:val="fr-CA"/>
        </w:rPr>
        <w:t>Jordan</w:t>
      </w:r>
      <w:r w:rsidRPr="00C21511">
        <w:rPr>
          <w:sz w:val="20"/>
          <w:lang w:val="fr-CA"/>
        </w:rPr>
        <w:t xml:space="preserve">. Entre le moment où C a été accusé et la date à laquelle son procès de cinq jours devait commencer, cinq années complètes se sont écoulées. Tant le ministère public que la défense et le système ont contribué à ce délai. Selon le cadre d’analyse établi dans l’arrêt </w:t>
      </w:r>
      <w:r w:rsidRPr="00C21511">
        <w:rPr>
          <w:i/>
          <w:sz w:val="20"/>
          <w:lang w:val="fr-CA"/>
        </w:rPr>
        <w:t>Jordan</w:t>
      </w:r>
      <w:r w:rsidRPr="00C21511">
        <w:rPr>
          <w:sz w:val="20"/>
          <w:lang w:val="fr-CA"/>
        </w:rPr>
        <w:t>, chaque acteur au sein du système judiciaire a la responsabilité de s’assurer que les procédures criminelles se déroulent de manière compatible avec le droit de l’inculpé d’être jugé dans un délai raisonnable.</w:t>
      </w:r>
      <w:r w:rsidRPr="00C21511">
        <w:rPr>
          <w:sz w:val="20"/>
          <w:lang w:val="fr-FR"/>
        </w:rPr>
        <w:t xml:space="preserve"> C’est ce</w:t>
      </w:r>
      <w:r w:rsidRPr="00C21511">
        <w:rPr>
          <w:sz w:val="20"/>
          <w:lang w:val="fr-CA"/>
        </w:rPr>
        <w:t xml:space="preserve"> cadre qui régit dorénavant l’analyse requise pour l’application de l’al. 11</w:t>
      </w:r>
      <w:r w:rsidRPr="00C21511">
        <w:rPr>
          <w:i/>
          <w:sz w:val="20"/>
          <w:lang w:val="fr-CA"/>
        </w:rPr>
        <w:t>b</w:t>
      </w:r>
      <w:r w:rsidRPr="00C21511">
        <w:rPr>
          <w:sz w:val="20"/>
          <w:lang w:val="fr-CA"/>
        </w:rPr>
        <w:t xml:space="preserve">) et, </w:t>
      </w:r>
      <w:r w:rsidRPr="00C21511">
        <w:rPr>
          <w:sz w:val="20"/>
          <w:lang w:val="fr-FR"/>
        </w:rPr>
        <w:t>à l’instar des prescriptions de tout autre précédent de la Cour, il doit être suivi et il ne saurait être infirmé ou écarté à la légère</w:t>
      </w:r>
      <w:r w:rsidRPr="00C21511">
        <w:rPr>
          <w:sz w:val="20"/>
          <w:lang w:val="fr-CA"/>
        </w:rPr>
        <w:t xml:space="preserve">. Correctement appliqué, ce cadre accorde déjà suffisamment de souplesse, en plus de prévoir la période de transition requise pour que le système de justice criminelle puisse s’adapter. </w:t>
      </w:r>
    </w:p>
    <w:p w:rsidR="00EF296F" w:rsidRPr="00C21511" w:rsidRDefault="00EF296F" w:rsidP="00EF296F">
      <w:pPr>
        <w:pStyle w:val="SCCNormalDoubleSpacing"/>
        <w:spacing w:line="240" w:lineRule="auto"/>
        <w:rPr>
          <w:sz w:val="20"/>
          <w:lang w:val="fr-CA"/>
        </w:rPr>
      </w:pPr>
    </w:p>
    <w:p w:rsidR="00EF296F" w:rsidRDefault="00EF296F" w:rsidP="00EF296F">
      <w:pPr>
        <w:pStyle w:val="SCCNormalDoubleSpacing"/>
        <w:spacing w:line="240" w:lineRule="auto"/>
        <w:rPr>
          <w:sz w:val="20"/>
          <w:lang w:val="fr-CA"/>
        </w:rPr>
      </w:pPr>
      <w:r w:rsidRPr="00C21511">
        <w:rPr>
          <w:sz w:val="20"/>
          <w:lang w:val="fr-CA"/>
        </w:rPr>
        <w:tab/>
        <w:t xml:space="preserve">Une fois calculé le délai total entre le dépôt des accusations et la conclusion réelle ou anticipée du procès selon le cadre établi dans </w:t>
      </w:r>
      <w:r w:rsidRPr="00C21511">
        <w:rPr>
          <w:i/>
          <w:sz w:val="20"/>
          <w:lang w:val="fr-CA"/>
        </w:rPr>
        <w:t>Jordan</w:t>
      </w:r>
      <w:r w:rsidRPr="00C21511">
        <w:rPr>
          <w:sz w:val="20"/>
          <w:lang w:val="fr-CA"/>
        </w:rPr>
        <w:t xml:space="preserve">, il faut en soustraire le délai imputable à la défense. Le délai imputable à la défense comporte deux volets : le délai que la défense renonce à invoquer et le délai qui résulte de la conduite de cette dernière. Le seul délai imputable à la défense qui peut être déduit en vertu du deuxième volet est un délai qui est causé uniquement ou directement par l’accusé et découle d’une action prise illégitimement par la défense dans la mesure où elle ne vise pas à répondre aux accusations. Dans ce contexte, l’illégitimité d’une conduite n’équivaut pas nécessairement à une faute professionnelle ou éthique, mais tire plutôt son sens du changement de culture exigé dans </w:t>
      </w:r>
      <w:r w:rsidRPr="00C21511">
        <w:rPr>
          <w:i/>
          <w:sz w:val="20"/>
          <w:lang w:val="fr-CA"/>
        </w:rPr>
        <w:t>Jordan</w:t>
      </w:r>
      <w:r w:rsidRPr="00C21511">
        <w:rPr>
          <w:sz w:val="20"/>
          <w:lang w:val="fr-CA"/>
        </w:rPr>
        <w:t>. La détermination de la légitimité de la conduite de la défense est une décision qui présente un caractère discrétionnaire élevé et à l’égard de laquelle les tribunaux d’appel doivent faire montre d’un degré de déférence similairement élevé. La notion de conduite de la défense vise autant le fond que la procédure —</w:t>
      </w:r>
      <w:r w:rsidRPr="00C21511" w:rsidDel="00FE2B91">
        <w:rPr>
          <w:sz w:val="20"/>
          <w:lang w:val="fr-CA"/>
        </w:rPr>
        <w:t xml:space="preserve"> </w:t>
      </w:r>
      <w:r w:rsidRPr="00C21511">
        <w:rPr>
          <w:sz w:val="20"/>
          <w:lang w:val="fr-CA"/>
        </w:rPr>
        <w:t>la décision de prendre une mesure</w:t>
      </w:r>
      <w:r w:rsidRPr="00C21511" w:rsidDel="00FE2B91">
        <w:rPr>
          <w:sz w:val="20"/>
          <w:lang w:val="fr-CA"/>
        </w:rPr>
        <w:t xml:space="preserve">, </w:t>
      </w:r>
      <w:r w:rsidRPr="00C21511">
        <w:rPr>
          <w:sz w:val="20"/>
          <w:lang w:val="fr-CA"/>
        </w:rPr>
        <w:t>ainsi que la manière dont celle</w:t>
      </w:r>
      <w:r w:rsidRPr="00C21511">
        <w:rPr>
          <w:sz w:val="20"/>
          <w:lang w:val="fr-CA"/>
        </w:rPr>
        <w:noBreakHyphen/>
        <w:t>ci est exécutée</w:t>
      </w:r>
      <w:r w:rsidRPr="00C21511" w:rsidDel="00FE2B91">
        <w:rPr>
          <w:sz w:val="20"/>
          <w:lang w:val="fr-CA"/>
        </w:rPr>
        <w:t xml:space="preserve">, </w:t>
      </w:r>
      <w:r w:rsidRPr="00C21511">
        <w:rPr>
          <w:sz w:val="20"/>
          <w:lang w:val="fr-CA"/>
        </w:rPr>
        <w:t xml:space="preserve">sont toutes deux susceptibles d’examen. Pour déterminer si une action de la défense a été prise légitimement en vue de répondre aux accusations, les circonstances entourant l’action ou la conduite peuvent donc être prises en considération. Le nombre total des demandes présentées par la défense, leur solidité, leur importance, la proximité des plafonds établis dans </w:t>
      </w:r>
      <w:r w:rsidRPr="00C21511">
        <w:rPr>
          <w:i/>
          <w:sz w:val="20"/>
          <w:lang w:val="fr-CA"/>
        </w:rPr>
        <w:t>Jordan</w:t>
      </w:r>
      <w:r w:rsidRPr="00C21511">
        <w:rPr>
          <w:sz w:val="20"/>
          <w:lang w:val="fr-CA"/>
        </w:rPr>
        <w:t>, le respect de toutes les exigences en matière de préavis ou de dépôt et la présentation de ces demandes dans les délais impartis constituent autant de considérations pertinentes qui peuvent être prises en compte.</w:t>
      </w:r>
      <w:r w:rsidRPr="00C21511" w:rsidDel="00FE2B91">
        <w:rPr>
          <w:sz w:val="20"/>
          <w:lang w:val="fr-CA"/>
        </w:rPr>
        <w:t xml:space="preserve"> I</w:t>
      </w:r>
      <w:r w:rsidRPr="00C21511">
        <w:rPr>
          <w:sz w:val="20"/>
          <w:lang w:val="fr-CA"/>
        </w:rPr>
        <w:t>ndépendamment de son bien</w:t>
      </w:r>
      <w:r w:rsidRPr="00C21511">
        <w:rPr>
          <w:sz w:val="20"/>
          <w:lang w:val="fr-CA"/>
        </w:rPr>
        <w:noBreakHyphen/>
        <w:t>fondé</w:t>
      </w:r>
      <w:r w:rsidRPr="00C21511" w:rsidDel="00FE2B91">
        <w:rPr>
          <w:sz w:val="20"/>
          <w:lang w:val="fr-CA"/>
        </w:rPr>
        <w:t>,</w:t>
      </w:r>
      <w:r w:rsidRPr="00C21511">
        <w:rPr>
          <w:sz w:val="20"/>
          <w:lang w:val="fr-CA"/>
        </w:rPr>
        <w:t xml:space="preserve"> une action de la défense peut être considérée illégitime si elle vise à retarder l’instance ou encore si elle témoigne d’une inefficacité ou indifférence marquées à l’égard des délais. </w:t>
      </w:r>
    </w:p>
    <w:p w:rsidR="00EF296F" w:rsidRPr="00C21511" w:rsidRDefault="00EF296F" w:rsidP="00EF296F">
      <w:pPr>
        <w:pStyle w:val="SCCNormalDoubleSpacing"/>
        <w:spacing w:line="240" w:lineRule="auto"/>
        <w:rPr>
          <w:sz w:val="20"/>
          <w:lang w:val="fr-CA"/>
        </w:rPr>
      </w:pPr>
    </w:p>
    <w:p w:rsidR="00EF296F" w:rsidRDefault="00EF296F" w:rsidP="00EF296F">
      <w:pPr>
        <w:pStyle w:val="SCCNormalDoubleSpacing"/>
        <w:spacing w:line="240" w:lineRule="auto"/>
        <w:rPr>
          <w:sz w:val="20"/>
          <w:lang w:val="fr-CA"/>
        </w:rPr>
      </w:pPr>
      <w:r w:rsidRPr="00C21511">
        <w:rPr>
          <w:sz w:val="20"/>
          <w:lang w:val="fr-CA"/>
        </w:rPr>
        <w:tab/>
        <w:t>Au</w:t>
      </w:r>
      <w:r w:rsidRPr="00C21511">
        <w:rPr>
          <w:sz w:val="20"/>
          <w:lang w:val="fr-CA"/>
        </w:rPr>
        <w:noBreakHyphen/>
        <w:t>delà de la comptabilisation rétrospective du délai, il faut que toutes les personnes associées au système de justice criminelle adoptent une approche proactive afin d’empêcher de tels délais et de les réduire au minimum. Les juges de première instance devraient proposer des moyens d’instruire plus efficacement les demandes et requêtes légitimes et utiliser leurs pouvoirs de gestion des instances, et ils ne devraient pas hésiter à rejeter sommairement des demandes dès qu’il apparaît évident qu’elles sont frivoles.</w:t>
      </w:r>
    </w:p>
    <w:p w:rsidR="00EF296F" w:rsidRPr="00C21511" w:rsidRDefault="00EF296F" w:rsidP="00EF296F">
      <w:pPr>
        <w:pStyle w:val="SCCNormalDoubleSpacing"/>
        <w:spacing w:line="240" w:lineRule="auto"/>
        <w:rPr>
          <w:sz w:val="20"/>
          <w:lang w:val="fr-CA"/>
        </w:rPr>
      </w:pPr>
    </w:p>
    <w:p w:rsidR="00EF296F" w:rsidRDefault="00EF296F" w:rsidP="00EF296F">
      <w:pPr>
        <w:pStyle w:val="SCCNormalDoubleSpacing"/>
        <w:spacing w:line="240" w:lineRule="auto"/>
        <w:rPr>
          <w:sz w:val="20"/>
          <w:lang w:val="fr-CA"/>
        </w:rPr>
      </w:pPr>
      <w:r w:rsidRPr="00C21511">
        <w:rPr>
          <w:sz w:val="20"/>
          <w:lang w:val="fr-CA"/>
        </w:rPr>
        <w:tab/>
        <w:t xml:space="preserve">Une fois que le délai imputable à la défense a été soustrait, le délai net doit ensuite être comparé au plafond présumé applicable établi dans </w:t>
      </w:r>
      <w:r w:rsidRPr="00C21511">
        <w:rPr>
          <w:i/>
          <w:sz w:val="20"/>
          <w:lang w:val="fr-CA"/>
        </w:rPr>
        <w:t>Jordan</w:t>
      </w:r>
      <w:r w:rsidRPr="00C21511">
        <w:rPr>
          <w:sz w:val="20"/>
          <w:lang w:val="fr-CA"/>
        </w:rPr>
        <w:t xml:space="preserve">. Si le délai net dépasse le plafond, il est présumé déraisonnable. Pour réfuter cette présomption, le ministère public doit établir la présence de circonstances exceptionnelles, lesquelles se divisent en deux </w:t>
      </w:r>
      <w:r w:rsidRPr="00C21511">
        <w:rPr>
          <w:sz w:val="20"/>
          <w:lang w:val="fr-CA"/>
        </w:rPr>
        <w:lastRenderedPageBreak/>
        <w:t xml:space="preserve">catégories : les événements distincts et les affaires particulièrement complexes. </w:t>
      </w:r>
      <w:r w:rsidRPr="00C21511">
        <w:rPr>
          <w:rStyle w:val="ParaNoNdepar-AltNChar"/>
          <w:sz w:val="20"/>
        </w:rPr>
        <w:t xml:space="preserve">À l’instar du délai imputable à la défense, les événements distincts donnent lieu à la déduction quantitative de certaines périodes. Cependant, </w:t>
      </w:r>
      <w:r w:rsidRPr="00C21511">
        <w:rPr>
          <w:sz w:val="20"/>
          <w:lang w:val="fr-CA"/>
        </w:rPr>
        <w:t xml:space="preserve">la complexité d’une affaire requiert une appréciation qualitative et elle ne peut être utilisée pour déduire des portions précises du délai. La complexité ne constitue une circonstance exceptionnelle que dans les cas où l’affaire dans son ensemble est particulièrement complexe. Le délai qui a été causé par une seule étape isolée présentant des aspects complexes ne doit pas être déduit suivant cette catégorie. </w:t>
      </w:r>
    </w:p>
    <w:p w:rsidR="00EF296F" w:rsidRPr="00C21511" w:rsidRDefault="00EF296F" w:rsidP="00EF296F">
      <w:pPr>
        <w:pStyle w:val="SCCNormalDoubleSpacing"/>
        <w:spacing w:line="240" w:lineRule="auto"/>
        <w:rPr>
          <w:sz w:val="20"/>
          <w:lang w:val="fr-CA"/>
        </w:rPr>
      </w:pPr>
    </w:p>
    <w:p w:rsidR="00EF296F" w:rsidRDefault="00EF296F" w:rsidP="00EF296F">
      <w:pPr>
        <w:pStyle w:val="SCCNormalDoubleSpacing"/>
        <w:spacing w:line="240" w:lineRule="auto"/>
        <w:rPr>
          <w:sz w:val="20"/>
          <w:lang w:val="fr-CA"/>
        </w:rPr>
      </w:pPr>
      <w:r w:rsidRPr="00C21511">
        <w:rPr>
          <w:sz w:val="20"/>
          <w:lang w:val="fr-CA"/>
        </w:rPr>
        <w:tab/>
        <w:t xml:space="preserve">Il est possible de tenir compte de considérations d’ordre transitoire comme troisième forme de circonstances exceptionnelles dans les cas où l’instance était déjà en cours lorsque l’affaire </w:t>
      </w:r>
      <w:r w:rsidRPr="00C21511">
        <w:rPr>
          <w:i/>
          <w:sz w:val="20"/>
          <w:lang w:val="fr-CA"/>
        </w:rPr>
        <w:t xml:space="preserve">Jordan </w:t>
      </w:r>
      <w:r w:rsidRPr="00C21511">
        <w:rPr>
          <w:sz w:val="20"/>
          <w:lang w:val="fr-CA"/>
        </w:rPr>
        <w:t xml:space="preserve">a été tranchée. Tout comme le critère de la complexité de l’affaire, l’application de la mesure transitoire exceptionnelle implique une appréciation qualitative. La nature exceptionnelle de la « mesure transitoire exceptionnelle » ne repose pas sur le fait qu’elle s’applique rarement, mais plutôt sur le fait qu’elle s’applique temporairement pour justifier des délais qui excèdent le plafond parce que les parties se sont raisonnablement conformées au droit tel qu’il existait auparavant. Le degré général de diligence manifesté par les parties, la gravité de l’infraction et l’absence de préjudice sont tous des facteurs qui doivent être pris en considération selon ce qui convient dans les circonstances. </w:t>
      </w:r>
    </w:p>
    <w:p w:rsidR="00EF296F" w:rsidRPr="00C21511" w:rsidRDefault="00EF296F" w:rsidP="00EF296F">
      <w:pPr>
        <w:pStyle w:val="SCCNormalDoubleSpacing"/>
        <w:spacing w:line="240" w:lineRule="auto"/>
        <w:rPr>
          <w:sz w:val="20"/>
          <w:lang w:val="fr-CA"/>
        </w:rPr>
      </w:pPr>
    </w:p>
    <w:p w:rsidR="00EF296F" w:rsidRDefault="00EF296F" w:rsidP="00EF296F">
      <w:pPr>
        <w:pStyle w:val="SCCNormalDoubleSpacing"/>
        <w:spacing w:line="240" w:lineRule="auto"/>
        <w:rPr>
          <w:sz w:val="20"/>
          <w:lang w:val="fr-CA"/>
        </w:rPr>
      </w:pPr>
      <w:r w:rsidRPr="00C21511">
        <w:rPr>
          <w:sz w:val="20"/>
          <w:lang w:val="fr-CA"/>
        </w:rPr>
        <w:tab/>
        <w:t xml:space="preserve">En l’espèce, le délai total s’élevait à environ 60,5 mois, total dont il faut déduire la période à laquelle C a renoncé (13 mois). Il faut ensuite déduire deux autres périodes au titre des délais imputables à la défense : le délai résultant du premier changement d’avocat de C (1 mois) et le délai résultant de la demande de récusation de C (2,5 mois). Une fois ces périodes déduites, le délai s’établit à 44 mois, ce qui dépasse le délai de 30 mois établi dans </w:t>
      </w:r>
      <w:r w:rsidRPr="00C21511">
        <w:rPr>
          <w:i/>
          <w:sz w:val="20"/>
          <w:lang w:val="fr-CA"/>
        </w:rPr>
        <w:t>Jordan</w:t>
      </w:r>
      <w:r w:rsidRPr="00C21511">
        <w:rPr>
          <w:sz w:val="20"/>
          <w:lang w:val="fr-CA"/>
        </w:rPr>
        <w:t>, et constitue donc un délai présumé déraisonnable.</w:t>
      </w:r>
    </w:p>
    <w:p w:rsidR="00EF296F" w:rsidRPr="00C21511" w:rsidRDefault="00EF296F" w:rsidP="00EF296F">
      <w:pPr>
        <w:pStyle w:val="SCCNormalDoubleSpacing"/>
        <w:spacing w:line="240" w:lineRule="auto"/>
        <w:rPr>
          <w:sz w:val="20"/>
          <w:lang w:val="fr-CA"/>
        </w:rPr>
      </w:pPr>
    </w:p>
    <w:p w:rsidR="00EF296F" w:rsidRDefault="00EF296F" w:rsidP="00EF296F">
      <w:pPr>
        <w:pStyle w:val="ParaNoNdepar-AltN"/>
        <w:numPr>
          <w:ilvl w:val="0"/>
          <w:numId w:val="0"/>
        </w:numPr>
        <w:tabs>
          <w:tab w:val="left" w:pos="1166"/>
        </w:tabs>
        <w:spacing w:before="0" w:after="0" w:line="240" w:lineRule="auto"/>
        <w:rPr>
          <w:rFonts w:cs="Times New Roman"/>
          <w:sz w:val="20"/>
          <w:szCs w:val="20"/>
        </w:rPr>
      </w:pPr>
      <w:r w:rsidRPr="00C21511">
        <w:rPr>
          <w:rFonts w:cs="Times New Roman"/>
          <w:sz w:val="20"/>
          <w:szCs w:val="20"/>
        </w:rPr>
        <w:tab/>
        <w:t xml:space="preserve">En ce qui a trait aux circonstances exceptionnelles, les délais suivants doivent être déduits en tant qu’événements distincts : </w:t>
      </w:r>
      <w:r w:rsidRPr="00C21511">
        <w:rPr>
          <w:rStyle w:val="ParaNoNdepar-AltNChar"/>
          <w:rFonts w:cs="Times New Roman"/>
          <w:sz w:val="20"/>
          <w:szCs w:val="20"/>
        </w:rPr>
        <w:t xml:space="preserve">la nomination de l’ancien avocat de C à la magistrature (4,5 mois) et une partie du délai découlant </w:t>
      </w:r>
      <w:r w:rsidRPr="00C21511">
        <w:rPr>
          <w:rStyle w:val="Italic"/>
          <w:sz w:val="20"/>
          <w:szCs w:val="20"/>
        </w:rPr>
        <w:t>de la situation liée à la communication de la preuve suivant l’arrêt McNeil qui a surgi (3 mois). L</w:t>
      </w:r>
      <w:r w:rsidRPr="00C21511">
        <w:rPr>
          <w:rFonts w:cs="Times New Roman"/>
          <w:sz w:val="20"/>
          <w:szCs w:val="20"/>
        </w:rPr>
        <w:t xml:space="preserve">e délai net est donc de 36,5 mois. Malgré la preuve volumineuse qui a été communiquée, la présente affaire ne saurait être qualifiée de particulièrement complexe. </w:t>
      </w:r>
    </w:p>
    <w:p w:rsidR="00EF296F" w:rsidRPr="00C21511" w:rsidRDefault="00EF296F" w:rsidP="00EF296F">
      <w:pPr>
        <w:pStyle w:val="ParaNoNdepar-AltN"/>
        <w:numPr>
          <w:ilvl w:val="0"/>
          <w:numId w:val="0"/>
        </w:numPr>
        <w:tabs>
          <w:tab w:val="left" w:pos="1166"/>
        </w:tabs>
        <w:spacing w:before="0" w:after="0" w:line="240" w:lineRule="auto"/>
        <w:rPr>
          <w:rFonts w:cs="Times New Roman"/>
          <w:sz w:val="20"/>
          <w:szCs w:val="20"/>
        </w:rPr>
      </w:pPr>
    </w:p>
    <w:p w:rsidR="00EF296F" w:rsidRDefault="00EF296F" w:rsidP="00EF296F">
      <w:pPr>
        <w:pStyle w:val="SCCNormalDoubleSpacing"/>
        <w:spacing w:line="240" w:lineRule="auto"/>
        <w:rPr>
          <w:sz w:val="20"/>
          <w:lang w:val="fr-CA"/>
        </w:rPr>
      </w:pPr>
      <w:r w:rsidRPr="00C21511">
        <w:rPr>
          <w:sz w:val="20"/>
          <w:lang w:val="fr-CA"/>
        </w:rPr>
        <w:tab/>
        <w:t xml:space="preserve">Vu les conclusions du juge de première instance portant qu’il y a eu effectivement un préjudice réel et substantiel et que la conduite de C n’était pas incompatible avec le désir que le procès se tienne dans les meilleurs délais, le ministère public n’est pas en mesure de démontrer que le délai net était justifié parce qu’il serait conforme à l’état antérieur du droit. Au contraire, les conclusions tirées par le juge de première instance en vertu du cadre établi dans </w:t>
      </w:r>
      <w:r w:rsidRPr="00C21511">
        <w:rPr>
          <w:i/>
          <w:sz w:val="20"/>
          <w:lang w:val="fr-CA"/>
        </w:rPr>
        <w:t>Morin</w:t>
      </w:r>
      <w:r w:rsidRPr="00C21511">
        <w:rPr>
          <w:sz w:val="20"/>
          <w:lang w:val="fr-CA"/>
        </w:rPr>
        <w:t xml:space="preserve"> militent plutôt en faveur de l’arrêt des procédures. Dans les cas où la mise en balance des facteurs requise par ce cadre favorise le prononcé d’un arrêt des procédures, le ministère public ne réussira que rarement, voire jamais, à justifier le délai en invoquant la mesure transitoire exceptionnelle prévue par le cadre énoncé dans </w:t>
      </w:r>
      <w:r w:rsidRPr="00C21511">
        <w:rPr>
          <w:i/>
          <w:sz w:val="20"/>
          <w:lang w:val="fr-CA"/>
        </w:rPr>
        <w:t>Jordan</w:t>
      </w:r>
      <w:r w:rsidRPr="00C21511">
        <w:rPr>
          <w:sz w:val="20"/>
          <w:lang w:val="fr-CA"/>
        </w:rPr>
        <w:t>.</w:t>
      </w:r>
    </w:p>
    <w:p w:rsidR="00EF296F" w:rsidRPr="00C21511" w:rsidRDefault="00EF296F" w:rsidP="00EF296F">
      <w:pPr>
        <w:pStyle w:val="SCCNormalDoubleSpacing"/>
        <w:spacing w:line="240" w:lineRule="auto"/>
        <w:rPr>
          <w:sz w:val="20"/>
          <w:lang w:val="fr-CA"/>
        </w:rPr>
      </w:pPr>
    </w:p>
    <w:p w:rsidR="00EF296F" w:rsidRDefault="00EF296F" w:rsidP="00EF296F">
      <w:pPr>
        <w:pStyle w:val="SCCNormalDoubleSpacing"/>
        <w:spacing w:line="240" w:lineRule="auto"/>
        <w:rPr>
          <w:sz w:val="20"/>
          <w:lang w:val="fr-CA"/>
        </w:rPr>
      </w:pPr>
      <w:r w:rsidRPr="00C21511">
        <w:rPr>
          <w:sz w:val="20"/>
          <w:lang w:val="fr-CA"/>
        </w:rPr>
        <w:tab/>
        <w:t>POURVOI contre un arrêt de la Cour d’appel de Terre</w:t>
      </w:r>
      <w:r w:rsidRPr="00C21511">
        <w:rPr>
          <w:sz w:val="20"/>
          <w:lang w:val="fr-CA"/>
        </w:rPr>
        <w:noBreakHyphen/>
        <w:t>Neuve</w:t>
      </w:r>
      <w:r w:rsidRPr="00C21511">
        <w:rPr>
          <w:sz w:val="20"/>
          <w:lang w:val="fr-CA"/>
        </w:rPr>
        <w:noBreakHyphen/>
        <w:t>et</w:t>
      </w:r>
      <w:r w:rsidRPr="00C21511">
        <w:rPr>
          <w:sz w:val="20"/>
          <w:lang w:val="fr-CA"/>
        </w:rPr>
        <w:noBreakHyphen/>
        <w:t xml:space="preserve">Labrador (les juges </w:t>
      </w:r>
      <w:proofErr w:type="spellStart"/>
      <w:r w:rsidRPr="00C21511">
        <w:rPr>
          <w:sz w:val="20"/>
          <w:lang w:val="fr-CA"/>
        </w:rPr>
        <w:t>Welsh</w:t>
      </w:r>
      <w:proofErr w:type="spellEnd"/>
      <w:r w:rsidRPr="00C21511">
        <w:rPr>
          <w:sz w:val="20"/>
          <w:lang w:val="fr-CA"/>
        </w:rPr>
        <w:t xml:space="preserve">, White et </w:t>
      </w:r>
      <w:proofErr w:type="spellStart"/>
      <w:r w:rsidRPr="00C21511">
        <w:rPr>
          <w:sz w:val="20"/>
          <w:lang w:val="fr-CA"/>
        </w:rPr>
        <w:t>Hoegg</w:t>
      </w:r>
      <w:proofErr w:type="spellEnd"/>
      <w:r w:rsidRPr="00C21511">
        <w:rPr>
          <w:sz w:val="20"/>
          <w:lang w:val="fr-CA"/>
        </w:rPr>
        <w:t xml:space="preserve">), 2016 NLCA 57, 365 C.R.R. (2d) 111, [2016] N.J. No. 357 (QL), 2016 </w:t>
      </w:r>
      <w:proofErr w:type="spellStart"/>
      <w:r w:rsidRPr="00C21511">
        <w:rPr>
          <w:sz w:val="20"/>
          <w:lang w:val="fr-CA"/>
        </w:rPr>
        <w:t>CarswellNfld</w:t>
      </w:r>
      <w:proofErr w:type="spellEnd"/>
      <w:r w:rsidRPr="00C21511">
        <w:rPr>
          <w:sz w:val="20"/>
          <w:lang w:val="fr-CA"/>
        </w:rPr>
        <w:t xml:space="preserve"> 405 (WL Can.), qui a annulé l’arrêt des procédures ordonné par le juge </w:t>
      </w:r>
      <w:proofErr w:type="spellStart"/>
      <w:r w:rsidRPr="00C21511">
        <w:rPr>
          <w:sz w:val="20"/>
          <w:lang w:val="fr-CA"/>
        </w:rPr>
        <w:t>Burrage</w:t>
      </w:r>
      <w:proofErr w:type="spellEnd"/>
      <w:r w:rsidRPr="00C21511">
        <w:rPr>
          <w:sz w:val="20"/>
          <w:lang w:val="fr-CA"/>
        </w:rPr>
        <w:t xml:space="preserve">, 2014 NLTD(G) 161, 359 </w:t>
      </w:r>
      <w:proofErr w:type="spellStart"/>
      <w:r w:rsidRPr="00C21511">
        <w:rPr>
          <w:sz w:val="20"/>
          <w:lang w:val="fr-CA"/>
        </w:rPr>
        <w:t>Nfld</w:t>
      </w:r>
      <w:proofErr w:type="spellEnd"/>
      <w:r w:rsidRPr="00C21511">
        <w:rPr>
          <w:sz w:val="20"/>
          <w:lang w:val="fr-CA"/>
        </w:rPr>
        <w:t xml:space="preserve">. &amp; P.E.I.R. 123, 1117 A.P.R. 123, [2014] N.J. No. 395 (QL), 2014 </w:t>
      </w:r>
      <w:proofErr w:type="spellStart"/>
      <w:r w:rsidRPr="00C21511">
        <w:rPr>
          <w:sz w:val="20"/>
          <w:lang w:val="fr-CA"/>
        </w:rPr>
        <w:t>CarswellNfld</w:t>
      </w:r>
      <w:proofErr w:type="spellEnd"/>
      <w:r w:rsidRPr="00C21511">
        <w:rPr>
          <w:sz w:val="20"/>
          <w:lang w:val="fr-CA"/>
        </w:rPr>
        <w:t xml:space="preserve"> 399 (WL Can.), et renvoyé l’affaire pour qu’elle soit jugée. Pourvoi accueilli.</w:t>
      </w:r>
    </w:p>
    <w:p w:rsidR="00AD1042" w:rsidRPr="00C21511" w:rsidRDefault="00AD1042" w:rsidP="00EF296F">
      <w:pPr>
        <w:pStyle w:val="SCCNormalDoubleSpacing"/>
        <w:spacing w:line="240" w:lineRule="auto"/>
        <w:rPr>
          <w:sz w:val="20"/>
          <w:lang w:val="fr-CA"/>
        </w:rPr>
      </w:pPr>
    </w:p>
    <w:p w:rsidR="00EF296F" w:rsidRDefault="00EF296F" w:rsidP="00EF296F">
      <w:pPr>
        <w:pStyle w:val="SCCNormalDoubleSpacing"/>
        <w:spacing w:line="240" w:lineRule="auto"/>
        <w:rPr>
          <w:rStyle w:val="SCCCounselPartyRoleChar"/>
          <w:sz w:val="20"/>
          <w:lang w:val="fr-CA"/>
        </w:rPr>
      </w:pPr>
      <w:r w:rsidRPr="00C21511">
        <w:rPr>
          <w:rStyle w:val="SCCCounselNameChar"/>
          <w:sz w:val="20"/>
          <w:lang w:val="fr-CA"/>
        </w:rPr>
        <w:tab/>
        <w:t>Michael Crystal</w:t>
      </w:r>
      <w:r w:rsidRPr="00C21511">
        <w:rPr>
          <w:rStyle w:val="SCCCounselSeparatorChar"/>
          <w:rFonts w:eastAsia="Calibri"/>
          <w:sz w:val="20"/>
        </w:rPr>
        <w:t xml:space="preserve"> et </w:t>
      </w:r>
      <w:r w:rsidRPr="00C21511">
        <w:rPr>
          <w:rStyle w:val="SCCCounselNameChar"/>
          <w:sz w:val="20"/>
          <w:lang w:val="fr-CA"/>
        </w:rPr>
        <w:t xml:space="preserve">Frank </w:t>
      </w:r>
      <w:proofErr w:type="spellStart"/>
      <w:r w:rsidRPr="00C21511">
        <w:rPr>
          <w:rStyle w:val="SCCCounselNameChar"/>
          <w:sz w:val="20"/>
          <w:lang w:val="fr-CA"/>
        </w:rPr>
        <w:t>Addario</w:t>
      </w:r>
      <w:proofErr w:type="spellEnd"/>
      <w:r w:rsidRPr="00C21511">
        <w:rPr>
          <w:rStyle w:val="SCCCounselPartyRoleChar"/>
          <w:sz w:val="20"/>
          <w:lang w:val="fr-CA"/>
        </w:rPr>
        <w:t>, pour l’appelant.</w:t>
      </w:r>
    </w:p>
    <w:p w:rsidR="00EF296F" w:rsidRPr="00C21511" w:rsidRDefault="00EF296F" w:rsidP="00EF296F">
      <w:pPr>
        <w:pStyle w:val="SCCNormalDoubleSpacing"/>
        <w:spacing w:line="240" w:lineRule="auto"/>
        <w:rPr>
          <w:sz w:val="20"/>
          <w:lang w:val="fr-CA"/>
        </w:rPr>
      </w:pPr>
    </w:p>
    <w:p w:rsidR="00EF296F" w:rsidRDefault="00EF296F" w:rsidP="00EF296F">
      <w:pPr>
        <w:pStyle w:val="SCCNormalDoubleSpacing"/>
        <w:spacing w:line="240" w:lineRule="auto"/>
        <w:rPr>
          <w:rStyle w:val="SCCCounselPartyRoleChar"/>
          <w:sz w:val="20"/>
          <w:lang w:val="fr-CA"/>
        </w:rPr>
      </w:pPr>
      <w:r w:rsidRPr="00C21511">
        <w:rPr>
          <w:rStyle w:val="SCCCounselNameChar"/>
          <w:sz w:val="20"/>
          <w:lang w:val="fr-CA"/>
        </w:rPr>
        <w:tab/>
      </w:r>
      <w:proofErr w:type="spellStart"/>
      <w:r w:rsidRPr="00C21511">
        <w:rPr>
          <w:rStyle w:val="SCCCounselNameChar"/>
          <w:sz w:val="20"/>
          <w:lang w:val="fr-CA"/>
        </w:rPr>
        <w:t>Croft</w:t>
      </w:r>
      <w:proofErr w:type="spellEnd"/>
      <w:r w:rsidRPr="00C21511">
        <w:rPr>
          <w:rStyle w:val="SCCCounselNameChar"/>
          <w:sz w:val="20"/>
          <w:lang w:val="fr-CA"/>
        </w:rPr>
        <w:t xml:space="preserve"> </w:t>
      </w:r>
      <w:proofErr w:type="spellStart"/>
      <w:r w:rsidRPr="00C21511">
        <w:rPr>
          <w:rStyle w:val="SCCCounselNameChar"/>
          <w:sz w:val="20"/>
          <w:lang w:val="fr-CA"/>
        </w:rPr>
        <w:t>Michaelson</w:t>
      </w:r>
      <w:proofErr w:type="spellEnd"/>
      <w:r w:rsidRPr="00C21511">
        <w:rPr>
          <w:rStyle w:val="SCCCounselNameChar"/>
          <w:sz w:val="20"/>
          <w:lang w:val="fr-CA"/>
        </w:rPr>
        <w:t xml:space="preserve">, </w:t>
      </w:r>
      <w:proofErr w:type="spellStart"/>
      <w:r w:rsidRPr="00C21511">
        <w:rPr>
          <w:rStyle w:val="SCCCounselNameChar"/>
          <w:sz w:val="20"/>
          <w:lang w:val="fr-CA"/>
        </w:rPr>
        <w:t>c.r</w:t>
      </w:r>
      <w:proofErr w:type="spellEnd"/>
      <w:r w:rsidRPr="00C21511">
        <w:rPr>
          <w:rStyle w:val="SCCCounselNameChar"/>
          <w:sz w:val="20"/>
          <w:lang w:val="fr-CA"/>
        </w:rPr>
        <w:t>.,</w:t>
      </w:r>
      <w:r w:rsidRPr="00C21511">
        <w:rPr>
          <w:rStyle w:val="SCCCounselSeparatorChar"/>
          <w:rFonts w:eastAsia="Calibri"/>
          <w:i/>
          <w:sz w:val="20"/>
        </w:rPr>
        <w:t xml:space="preserve"> </w:t>
      </w:r>
      <w:r w:rsidRPr="00C21511">
        <w:rPr>
          <w:rStyle w:val="SCCCounselSeparatorChar"/>
          <w:rFonts w:eastAsia="Calibri"/>
          <w:sz w:val="20"/>
        </w:rPr>
        <w:t xml:space="preserve">et </w:t>
      </w:r>
      <w:proofErr w:type="spellStart"/>
      <w:r w:rsidRPr="00C21511">
        <w:rPr>
          <w:rStyle w:val="SCCCounselNameChar"/>
          <w:sz w:val="20"/>
          <w:lang w:val="fr-CA"/>
        </w:rPr>
        <w:t>Vanita</w:t>
      </w:r>
      <w:proofErr w:type="spellEnd"/>
      <w:r w:rsidRPr="00C21511">
        <w:rPr>
          <w:rStyle w:val="SCCCounselNameChar"/>
          <w:sz w:val="20"/>
          <w:lang w:val="fr-CA"/>
        </w:rPr>
        <w:t xml:space="preserve"> </w:t>
      </w:r>
      <w:proofErr w:type="spellStart"/>
      <w:r w:rsidRPr="00C21511">
        <w:rPr>
          <w:rStyle w:val="SCCCounselNameChar"/>
          <w:sz w:val="20"/>
          <w:lang w:val="fr-CA"/>
        </w:rPr>
        <w:t>Goela</w:t>
      </w:r>
      <w:proofErr w:type="spellEnd"/>
      <w:r w:rsidRPr="00C21511">
        <w:rPr>
          <w:rStyle w:val="SCCCounselPartyRoleChar"/>
          <w:sz w:val="20"/>
          <w:lang w:val="fr-CA"/>
        </w:rPr>
        <w:t>, pour l’intimée.</w:t>
      </w:r>
    </w:p>
    <w:p w:rsidR="00EF296F" w:rsidRPr="00C21511" w:rsidRDefault="00EF296F" w:rsidP="00EF296F">
      <w:pPr>
        <w:pStyle w:val="SCCNormalDoubleSpacing"/>
        <w:spacing w:line="240" w:lineRule="auto"/>
        <w:rPr>
          <w:sz w:val="20"/>
          <w:lang w:val="fr-CA"/>
        </w:rPr>
      </w:pPr>
    </w:p>
    <w:p w:rsidR="00EF296F" w:rsidRDefault="00EF296F" w:rsidP="00EF296F">
      <w:pPr>
        <w:pStyle w:val="SCCNormalDoubleSpacing"/>
        <w:spacing w:line="240" w:lineRule="auto"/>
        <w:rPr>
          <w:rStyle w:val="SCCCounselPartyRoleChar"/>
          <w:sz w:val="20"/>
          <w:lang w:val="fr-CA"/>
        </w:rPr>
      </w:pPr>
      <w:r w:rsidRPr="00C21511">
        <w:rPr>
          <w:rStyle w:val="SCCCounselNameChar"/>
          <w:sz w:val="20"/>
          <w:lang w:val="fr-CA"/>
        </w:rPr>
        <w:tab/>
        <w:t>Tracy Kozlowski</w:t>
      </w:r>
      <w:r w:rsidRPr="00C21511">
        <w:rPr>
          <w:rStyle w:val="SCCCounselPartyRoleChar"/>
          <w:sz w:val="20"/>
          <w:lang w:val="fr-CA"/>
        </w:rPr>
        <w:t>, pour l’intervenant le procureur général de l’Ontario.</w:t>
      </w:r>
    </w:p>
    <w:p w:rsidR="00EF296F" w:rsidRPr="00C21511" w:rsidRDefault="00EF296F" w:rsidP="00EF296F">
      <w:pPr>
        <w:pStyle w:val="SCCNormalDoubleSpacing"/>
        <w:spacing w:line="240" w:lineRule="auto"/>
        <w:rPr>
          <w:sz w:val="20"/>
          <w:lang w:val="fr-CA"/>
        </w:rPr>
      </w:pPr>
    </w:p>
    <w:p w:rsidR="00EF296F" w:rsidRDefault="00EF296F" w:rsidP="00EF296F">
      <w:pPr>
        <w:pStyle w:val="SCCNormalDoubleSpacing"/>
        <w:spacing w:line="240" w:lineRule="auto"/>
        <w:rPr>
          <w:rStyle w:val="SCCCounselPartyRoleChar"/>
          <w:sz w:val="20"/>
          <w:lang w:val="fr-CA"/>
        </w:rPr>
      </w:pPr>
      <w:r w:rsidRPr="00C21511">
        <w:rPr>
          <w:rStyle w:val="SCCCounselNameChar"/>
          <w:sz w:val="20"/>
          <w:lang w:val="fr-CA"/>
        </w:rPr>
        <w:tab/>
        <w:t xml:space="preserve">Stéphane Rochette et </w:t>
      </w:r>
      <w:r w:rsidR="00AD1042">
        <w:rPr>
          <w:rStyle w:val="SCCCounselNameChar"/>
          <w:sz w:val="20"/>
          <w:lang w:val="fr-CA"/>
        </w:rPr>
        <w:t>A</w:t>
      </w:r>
      <w:r w:rsidRPr="00C21511">
        <w:rPr>
          <w:rStyle w:val="SCCCounselNameChar"/>
          <w:sz w:val="20"/>
          <w:lang w:val="fr-CA"/>
        </w:rPr>
        <w:t>b</w:t>
      </w:r>
      <w:r w:rsidR="00AD1042">
        <w:rPr>
          <w:rStyle w:val="SCCCounselNameChar"/>
          <w:sz w:val="20"/>
          <w:lang w:val="fr-CA"/>
        </w:rPr>
        <w:t>d</w:t>
      </w:r>
      <w:r w:rsidRPr="00C21511">
        <w:rPr>
          <w:rStyle w:val="SCCCounselNameChar"/>
          <w:sz w:val="20"/>
          <w:lang w:val="fr-CA"/>
        </w:rPr>
        <w:t xml:space="preserve">ou </w:t>
      </w:r>
      <w:proofErr w:type="spellStart"/>
      <w:r w:rsidRPr="00C21511">
        <w:rPr>
          <w:rStyle w:val="SCCCounselNameChar"/>
          <w:sz w:val="20"/>
          <w:lang w:val="fr-CA"/>
        </w:rPr>
        <w:t>Thiaw</w:t>
      </w:r>
      <w:proofErr w:type="spellEnd"/>
      <w:r w:rsidRPr="00C21511">
        <w:rPr>
          <w:rStyle w:val="SCCCounselPartyRoleChar"/>
          <w:sz w:val="20"/>
          <w:lang w:val="fr-CA"/>
        </w:rPr>
        <w:t>, pour l’intervenante la procureure générale du Québec.</w:t>
      </w:r>
    </w:p>
    <w:p w:rsidR="00EF296F" w:rsidRPr="00C21511" w:rsidRDefault="00EF296F" w:rsidP="00EF296F">
      <w:pPr>
        <w:pStyle w:val="SCCNormalDoubleSpacing"/>
        <w:spacing w:line="240" w:lineRule="auto"/>
        <w:rPr>
          <w:rStyle w:val="SCCCounselPartyRoleChar"/>
          <w:sz w:val="20"/>
          <w:lang w:val="fr-CA"/>
        </w:rPr>
      </w:pPr>
    </w:p>
    <w:p w:rsidR="00EF296F" w:rsidRDefault="00EF296F" w:rsidP="00EF296F">
      <w:pPr>
        <w:pStyle w:val="SCCNormalDoubleSpacing"/>
        <w:spacing w:line="240" w:lineRule="auto"/>
        <w:rPr>
          <w:rStyle w:val="SCCCounselPartyRoleChar"/>
          <w:sz w:val="20"/>
          <w:lang w:val="fr-CA"/>
        </w:rPr>
      </w:pPr>
      <w:r w:rsidRPr="00C21511">
        <w:rPr>
          <w:rStyle w:val="SCCCounselNameChar"/>
          <w:sz w:val="20"/>
          <w:lang w:val="fr-CA"/>
        </w:rPr>
        <w:tab/>
        <w:t xml:space="preserve">Ami </w:t>
      </w:r>
      <w:proofErr w:type="spellStart"/>
      <w:r w:rsidRPr="00C21511">
        <w:rPr>
          <w:rStyle w:val="SCCCounselNameChar"/>
          <w:sz w:val="20"/>
          <w:lang w:val="fr-CA"/>
        </w:rPr>
        <w:t>Kotler</w:t>
      </w:r>
      <w:proofErr w:type="spellEnd"/>
      <w:r w:rsidRPr="00C21511">
        <w:rPr>
          <w:rStyle w:val="SCCCounselPartyRoleChar"/>
          <w:sz w:val="20"/>
          <w:lang w:val="fr-CA"/>
        </w:rPr>
        <w:t>, pour l’intervenant le procureur général du Manitoba.</w:t>
      </w:r>
    </w:p>
    <w:p w:rsidR="00EF296F" w:rsidRPr="00C21511" w:rsidRDefault="00EF296F" w:rsidP="00EF296F">
      <w:pPr>
        <w:pStyle w:val="SCCNormalDoubleSpacing"/>
        <w:spacing w:line="240" w:lineRule="auto"/>
        <w:rPr>
          <w:sz w:val="20"/>
          <w:lang w:val="fr-CA"/>
        </w:rPr>
      </w:pPr>
    </w:p>
    <w:p w:rsidR="00EF296F" w:rsidRDefault="00EF296F" w:rsidP="00EF296F">
      <w:pPr>
        <w:pStyle w:val="SCCNormalDoubleSpacing"/>
        <w:spacing w:line="240" w:lineRule="auto"/>
        <w:rPr>
          <w:rStyle w:val="SCCCounselPartyRoleChar"/>
          <w:sz w:val="20"/>
          <w:lang w:val="fr-CA"/>
        </w:rPr>
      </w:pPr>
      <w:r w:rsidRPr="00C21511">
        <w:rPr>
          <w:rStyle w:val="SCCCounselNameChar"/>
          <w:sz w:val="20"/>
          <w:lang w:val="fr-CA"/>
        </w:rPr>
        <w:tab/>
        <w:t>Trevor Shaw</w:t>
      </w:r>
      <w:r w:rsidRPr="00C21511">
        <w:rPr>
          <w:rStyle w:val="SCCCounselPartyRoleChar"/>
          <w:sz w:val="20"/>
          <w:lang w:val="fr-CA"/>
        </w:rPr>
        <w:t>, pour l’intervenant le procureur général de la Colombie</w:t>
      </w:r>
      <w:r w:rsidRPr="00C21511">
        <w:rPr>
          <w:rStyle w:val="SCCCounselPartyRoleChar"/>
          <w:sz w:val="20"/>
          <w:lang w:val="fr-CA"/>
        </w:rPr>
        <w:noBreakHyphen/>
        <w:t>Britannique.</w:t>
      </w:r>
    </w:p>
    <w:p w:rsidR="00EF296F" w:rsidRPr="00C21511" w:rsidRDefault="00EF296F" w:rsidP="00EF296F">
      <w:pPr>
        <w:pStyle w:val="SCCNormalDoubleSpacing"/>
        <w:spacing w:line="240" w:lineRule="auto"/>
        <w:rPr>
          <w:sz w:val="20"/>
          <w:lang w:val="fr-CA"/>
        </w:rPr>
      </w:pPr>
    </w:p>
    <w:p w:rsidR="00EF296F" w:rsidRDefault="00EF296F" w:rsidP="00EF296F">
      <w:pPr>
        <w:pStyle w:val="SCCNormalDoubleSpacing"/>
        <w:spacing w:line="240" w:lineRule="auto"/>
        <w:rPr>
          <w:rStyle w:val="SCCCounselPartyRoleChar"/>
          <w:sz w:val="20"/>
          <w:lang w:val="fr-CA"/>
        </w:rPr>
      </w:pPr>
      <w:r w:rsidRPr="00C21511">
        <w:rPr>
          <w:rStyle w:val="SCCCounselNameChar"/>
          <w:sz w:val="20"/>
          <w:lang w:val="fr-CA"/>
        </w:rPr>
        <w:tab/>
        <w:t xml:space="preserve">David A. </w:t>
      </w:r>
      <w:proofErr w:type="spellStart"/>
      <w:r w:rsidRPr="00C21511">
        <w:rPr>
          <w:rStyle w:val="SCCCounselNameChar"/>
          <w:sz w:val="20"/>
          <w:lang w:val="fr-CA"/>
        </w:rPr>
        <w:t>Labrenz</w:t>
      </w:r>
      <w:proofErr w:type="spellEnd"/>
      <w:r w:rsidRPr="00C21511">
        <w:rPr>
          <w:rStyle w:val="SCCCounselNameChar"/>
          <w:sz w:val="20"/>
          <w:lang w:val="fr-CA"/>
        </w:rPr>
        <w:t xml:space="preserve">, </w:t>
      </w:r>
      <w:proofErr w:type="spellStart"/>
      <w:r w:rsidRPr="00C21511">
        <w:rPr>
          <w:rStyle w:val="SCCCounselNameChar"/>
          <w:sz w:val="20"/>
          <w:lang w:val="fr-CA"/>
        </w:rPr>
        <w:t>c.r</w:t>
      </w:r>
      <w:proofErr w:type="spellEnd"/>
      <w:r w:rsidRPr="00C21511">
        <w:rPr>
          <w:rStyle w:val="SCCCounselNameChar"/>
          <w:sz w:val="20"/>
          <w:lang w:val="fr-CA"/>
        </w:rPr>
        <w:t>.</w:t>
      </w:r>
      <w:r w:rsidRPr="00C21511">
        <w:rPr>
          <w:rStyle w:val="SCCCounselPartyRoleChar"/>
          <w:sz w:val="20"/>
          <w:lang w:val="fr-CA"/>
        </w:rPr>
        <w:t>, pour l’intervenant le procureur général de l’Alberta.</w:t>
      </w:r>
    </w:p>
    <w:p w:rsidR="00EF296F" w:rsidRPr="00C21511" w:rsidRDefault="00EF296F" w:rsidP="00EF296F">
      <w:pPr>
        <w:pStyle w:val="SCCNormalDoubleSpacing"/>
        <w:spacing w:line="240" w:lineRule="auto"/>
        <w:rPr>
          <w:sz w:val="20"/>
          <w:lang w:val="fr-CA"/>
        </w:rPr>
      </w:pPr>
    </w:p>
    <w:p w:rsidR="00EF296F" w:rsidRDefault="00EF296F" w:rsidP="00EF296F">
      <w:pPr>
        <w:pStyle w:val="SCCNormalDoubleSpacing"/>
        <w:spacing w:line="240" w:lineRule="auto"/>
        <w:rPr>
          <w:rStyle w:val="SCCCounselPartyRoleChar"/>
          <w:sz w:val="20"/>
          <w:lang w:val="fr-CA"/>
        </w:rPr>
      </w:pPr>
      <w:r w:rsidRPr="00C21511">
        <w:rPr>
          <w:rStyle w:val="SCCCounselNameChar"/>
          <w:sz w:val="20"/>
          <w:lang w:val="fr-CA"/>
        </w:rPr>
        <w:lastRenderedPageBreak/>
        <w:tab/>
        <w:t xml:space="preserve">Nicolas </w:t>
      </w:r>
      <w:proofErr w:type="spellStart"/>
      <w:r w:rsidRPr="00C21511">
        <w:rPr>
          <w:rStyle w:val="SCCCounselNameChar"/>
          <w:sz w:val="20"/>
          <w:lang w:val="fr-CA"/>
        </w:rPr>
        <w:t>Abran</w:t>
      </w:r>
      <w:proofErr w:type="spellEnd"/>
      <w:r w:rsidRPr="00C21511">
        <w:rPr>
          <w:rStyle w:val="SCCCounselSeparatorChar"/>
          <w:rFonts w:eastAsia="Calibri"/>
          <w:sz w:val="20"/>
        </w:rPr>
        <w:t xml:space="preserve"> et </w:t>
      </w:r>
      <w:r w:rsidRPr="00C21511">
        <w:rPr>
          <w:rStyle w:val="SCCCounselNameChar"/>
          <w:sz w:val="20"/>
          <w:lang w:val="fr-CA"/>
        </w:rPr>
        <w:t>Daniel Royer</w:t>
      </w:r>
      <w:r w:rsidRPr="00C21511">
        <w:rPr>
          <w:rStyle w:val="SCCCounselPartyRoleChar"/>
          <w:sz w:val="20"/>
          <w:lang w:val="fr-CA"/>
        </w:rPr>
        <w:t>, pour l’intervenant le directeur des poursuites criminelles et pénales.</w:t>
      </w:r>
    </w:p>
    <w:p w:rsidR="00EF296F" w:rsidRPr="00C21511" w:rsidRDefault="00EF296F" w:rsidP="00EF296F">
      <w:pPr>
        <w:pStyle w:val="SCCNormalDoubleSpacing"/>
        <w:spacing w:line="240" w:lineRule="auto"/>
        <w:rPr>
          <w:sz w:val="20"/>
          <w:lang w:val="fr-CA"/>
        </w:rPr>
      </w:pPr>
    </w:p>
    <w:p w:rsidR="00EF296F" w:rsidRPr="00C21511" w:rsidRDefault="00EF296F" w:rsidP="00EF296F">
      <w:pPr>
        <w:pStyle w:val="SCCNormalDoubleSpacing"/>
        <w:spacing w:line="240" w:lineRule="auto"/>
        <w:rPr>
          <w:sz w:val="20"/>
          <w:lang w:val="fr-CA"/>
        </w:rPr>
      </w:pPr>
      <w:r w:rsidRPr="00C21511">
        <w:rPr>
          <w:rStyle w:val="SCCCounselNameChar"/>
          <w:sz w:val="20"/>
          <w:lang w:val="fr-CA"/>
        </w:rPr>
        <w:tab/>
        <w:t>Megan Savard</w:t>
      </w:r>
      <w:r w:rsidRPr="00C21511">
        <w:rPr>
          <w:rStyle w:val="SCCCounselPartyRoleChar"/>
          <w:sz w:val="20"/>
          <w:lang w:val="fr-CA"/>
        </w:rPr>
        <w:t xml:space="preserve">, pour l’intervenante </w:t>
      </w:r>
      <w:proofErr w:type="spellStart"/>
      <w:r w:rsidRPr="00C21511">
        <w:rPr>
          <w:rStyle w:val="SCCCounselPartyRoleChar"/>
          <w:sz w:val="20"/>
          <w:lang w:val="fr-CA"/>
        </w:rPr>
        <w:t>Criminal</w:t>
      </w:r>
      <w:proofErr w:type="spellEnd"/>
      <w:r w:rsidRPr="00C21511">
        <w:rPr>
          <w:rStyle w:val="SCCCounselPartyRoleChar"/>
          <w:sz w:val="20"/>
          <w:lang w:val="fr-CA"/>
        </w:rPr>
        <w:t xml:space="preserve"> </w:t>
      </w:r>
      <w:proofErr w:type="spellStart"/>
      <w:r w:rsidRPr="00C21511">
        <w:rPr>
          <w:rStyle w:val="SCCCounselPartyRoleChar"/>
          <w:sz w:val="20"/>
          <w:lang w:val="fr-CA"/>
        </w:rPr>
        <w:t>Lawyers</w:t>
      </w:r>
      <w:proofErr w:type="spellEnd"/>
      <w:r w:rsidRPr="00C21511">
        <w:rPr>
          <w:rStyle w:val="SCCCounselPartyRoleChar"/>
          <w:sz w:val="20"/>
          <w:lang w:val="fr-CA"/>
        </w:rPr>
        <w:t xml:space="preserve">’ Association of </w:t>
      </w:r>
      <w:r w:rsidRPr="00C21511">
        <w:rPr>
          <w:sz w:val="20"/>
          <w:lang w:val="fr-CA"/>
        </w:rPr>
        <w:t>Ontario</w:t>
      </w:r>
      <w:r w:rsidRPr="00C21511">
        <w:rPr>
          <w:rStyle w:val="SCCCounselPartyRoleChar"/>
          <w:sz w:val="20"/>
          <w:lang w:val="fr-CA"/>
        </w:rPr>
        <w:t>.</w:t>
      </w:r>
    </w:p>
    <w:p w:rsidR="00E563D5" w:rsidRPr="00E563D5" w:rsidRDefault="00E563D5" w:rsidP="00902E51">
      <w:pPr>
        <w:rPr>
          <w:rFonts w:eastAsia="Times New Roman" w:cs="Times New Roman"/>
          <w:sz w:val="20"/>
          <w:szCs w:val="20"/>
          <w:lang w:eastAsia="en-CA"/>
        </w:rPr>
      </w:pPr>
    </w:p>
    <w:p w:rsidR="00902E51" w:rsidRDefault="00ED4247" w:rsidP="00902E51">
      <w:pPr>
        <w:rPr>
          <w:rFonts w:cs="Times New Roman"/>
          <w:sz w:val="20"/>
          <w:szCs w:val="20"/>
          <w:lang w:val="fr-CA"/>
        </w:rPr>
      </w:pPr>
      <w:r>
        <w:rPr>
          <w:rFonts w:cs="Times New Roman"/>
          <w:sz w:val="20"/>
          <w:szCs w:val="20"/>
          <w:lang w:val="fr-CA"/>
        </w:rPr>
        <w:pict>
          <v:rect id="_x0000_i1090" style="width:144.3pt;height:1pt" o:hrpct="300" o:hralign="center" o:hrstd="t" o:hrnoshade="t" o:hr="t" fillcolor="black [3213]" stroked="f"/>
        </w:pict>
      </w:r>
    </w:p>
    <w:p w:rsidR="005C6840" w:rsidRDefault="005C6840" w:rsidP="005C6840">
      <w:pPr>
        <w:jc w:val="both"/>
        <w:rPr>
          <w:sz w:val="20"/>
          <w:szCs w:val="20"/>
        </w:rPr>
      </w:pPr>
    </w:p>
    <w:p w:rsidR="0056248C" w:rsidRDefault="0056248C" w:rsidP="005C6840">
      <w:pPr>
        <w:jc w:val="both"/>
        <w:rPr>
          <w:sz w:val="20"/>
          <w:szCs w:val="20"/>
        </w:rPr>
      </w:pPr>
    </w:p>
    <w:p w:rsidR="0056248C" w:rsidRPr="00C50A5C" w:rsidRDefault="0056248C" w:rsidP="005C6840">
      <w:pPr>
        <w:jc w:val="both"/>
        <w:rPr>
          <w:sz w:val="20"/>
          <w:szCs w:val="20"/>
        </w:rPr>
      </w:pPr>
    </w:p>
    <w:p w:rsidR="00102926" w:rsidRPr="00C50A5C" w:rsidRDefault="00102926" w:rsidP="00782AE4">
      <w:pPr>
        <w:jc w:val="both"/>
        <w:rPr>
          <w:sz w:val="20"/>
          <w:szCs w:val="20"/>
        </w:rPr>
        <w:sectPr w:rsidR="00102926" w:rsidRPr="00C50A5C" w:rsidSect="00782AE4">
          <w:headerReference w:type="even" r:id="rId82"/>
          <w:headerReference w:type="default" r:id="rId83"/>
          <w:footerReference w:type="even" r:id="rId84"/>
          <w:footerReference w:type="default" r:id="rId85"/>
          <w:headerReference w:type="first" r:id="rId86"/>
          <w:footerReference w:type="first" r:id="rId87"/>
          <w:pgSz w:w="12240" w:h="15840"/>
          <w:pgMar w:top="720" w:right="965" w:bottom="1080" w:left="1656" w:header="576" w:footer="960" w:gutter="0"/>
          <w:cols w:space="720"/>
          <w:titlePg/>
          <w:docGrid w:linePitch="272"/>
        </w:sectPr>
      </w:pPr>
    </w:p>
    <w:bookmarkStart w:id="3" w:name="QuickMark"/>
    <w:bookmarkEnd w:id="3"/>
    <w:p w:rsidR="008902B1" w:rsidRPr="002E0C7E" w:rsidRDefault="008902B1" w:rsidP="008902B1">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Pr="002E0C7E">
        <w:rPr>
          <w:rFonts w:asciiTheme="minorHAnsi" w:hAnsiTheme="minorHAnsi" w:cstheme="minorHAnsi"/>
          <w:b/>
          <w:szCs w:val="24"/>
        </w:rPr>
        <w:t>SUPREME COURT OF CANADA SCHEDULE / CALENDRIER DE LA COUR SUPREME</w:t>
      </w:r>
    </w:p>
    <w:p w:rsidR="0013595D" w:rsidRPr="002E0C7E" w:rsidRDefault="0013595D" w:rsidP="0013595D">
      <w:pPr>
        <w:widowControl w:val="0"/>
        <w:spacing w:line="180" w:lineRule="auto"/>
        <w:rPr>
          <w:rFonts w:asciiTheme="minorHAnsi" w:hAnsiTheme="minorHAnsi" w:cstheme="minorHAnsi"/>
          <w:szCs w:val="24"/>
        </w:rPr>
      </w:pPr>
    </w:p>
    <w:p w:rsidR="0013595D" w:rsidRPr="00C01FCB" w:rsidRDefault="0013595D" w:rsidP="00C01FCB">
      <w:pPr>
        <w:widowControl w:val="0"/>
        <w:tabs>
          <w:tab w:val="center" w:pos="5400"/>
          <w:tab w:val="right" w:pos="10440"/>
        </w:tabs>
        <w:jc w:val="center"/>
        <w:rPr>
          <w:rFonts w:ascii="Arial" w:hAnsi="Arial"/>
          <w:sz w:val="36"/>
          <w:szCs w:val="36"/>
        </w:rPr>
      </w:pPr>
      <w:r w:rsidRPr="00C01FCB">
        <w:rPr>
          <w:rFonts w:ascii="Arial" w:hAnsi="Arial"/>
          <w:i/>
          <w:sz w:val="36"/>
          <w:szCs w:val="36"/>
        </w:rPr>
        <w:t xml:space="preserve">- </w:t>
      </w:r>
      <w:r w:rsidRPr="00C01FCB">
        <w:rPr>
          <w:rFonts w:ascii="Arial" w:hAnsi="Arial"/>
          <w:b/>
          <w:i/>
          <w:sz w:val="36"/>
          <w:szCs w:val="36"/>
        </w:rPr>
        <w:t>2016</w:t>
      </w:r>
      <w:r w:rsidRPr="00C01FCB">
        <w:rPr>
          <w:rFonts w:ascii="Arial" w:hAnsi="Arial"/>
          <w:i/>
          <w:sz w:val="36"/>
          <w:szCs w:val="36"/>
        </w:rPr>
        <w:t xml:space="preserve"> </w:t>
      </w:r>
      <w:r w:rsidR="00C01FCB" w:rsidRPr="00C01FCB">
        <w:rPr>
          <w:rFonts w:ascii="Arial" w:hAnsi="Arial"/>
          <w:i/>
          <w:sz w:val="36"/>
          <w:szCs w:val="36"/>
        </w:rPr>
        <w:t>-</w:t>
      </w:r>
    </w:p>
    <w:tbl>
      <w:tblPr>
        <w:tblStyle w:val="TableGrid"/>
        <w:tblW w:w="5011" w:type="pct"/>
        <w:shd w:val="clear" w:color="auto" w:fill="FFFFFF" w:themeFill="background1"/>
        <w:tblLayout w:type="fixed"/>
        <w:tblCellMar>
          <w:top w:w="72" w:type="dxa"/>
          <w:left w:w="43" w:type="dxa"/>
          <w:bottom w:w="72" w:type="dxa"/>
          <w:right w:w="29" w:type="dxa"/>
        </w:tblCellMar>
        <w:tblLook w:val="04A0" w:firstRow="1" w:lastRow="0" w:firstColumn="1" w:lastColumn="0" w:noHBand="0" w:noVBand="1"/>
      </w:tblPr>
      <w:tblGrid>
        <w:gridCol w:w="451"/>
        <w:gridCol w:w="452"/>
        <w:gridCol w:w="556"/>
        <w:gridCol w:w="435"/>
        <w:gridCol w:w="523"/>
        <w:gridCol w:w="438"/>
        <w:gridCol w:w="523"/>
        <w:gridCol w:w="263"/>
        <w:gridCol w:w="473"/>
        <w:gridCol w:w="452"/>
        <w:gridCol w:w="452"/>
        <w:gridCol w:w="452"/>
        <w:gridCol w:w="452"/>
        <w:gridCol w:w="494"/>
        <w:gridCol w:w="540"/>
        <w:gridCol w:w="329"/>
        <w:gridCol w:w="454"/>
        <w:gridCol w:w="454"/>
        <w:gridCol w:w="454"/>
        <w:gridCol w:w="454"/>
        <w:gridCol w:w="454"/>
        <w:gridCol w:w="454"/>
        <w:gridCol w:w="408"/>
      </w:tblGrid>
      <w:tr w:rsidR="0013595D" w:rsidRPr="00394330" w:rsidTr="00E942C2">
        <w:trPr>
          <w:trHeight w:val="189"/>
        </w:trPr>
        <w:tc>
          <w:tcPr>
            <w:tcW w:w="1621"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E81874" w:rsidRDefault="0013595D" w:rsidP="00E942C2">
            <w:pPr>
              <w:tabs>
                <w:tab w:val="center" w:pos="5220"/>
                <w:tab w:val="right" w:pos="10440"/>
              </w:tabs>
              <w:jc w:val="center"/>
              <w:rPr>
                <w:rFonts w:ascii="Arial" w:hAnsi="Arial" w:cs="Arial"/>
                <w:b/>
                <w:sz w:val="13"/>
                <w:szCs w:val="13"/>
                <w:lang w:val="fr-FR"/>
              </w:rPr>
            </w:pPr>
            <w:r w:rsidRPr="00E81874">
              <w:rPr>
                <w:rFonts w:ascii="Arial" w:hAnsi="Arial" w:cs="Arial"/>
                <w:b/>
                <w:sz w:val="13"/>
                <w:szCs w:val="13"/>
                <w:lang w:val="fr-FR"/>
              </w:rPr>
              <w:t>OCTOBER – OCTOBRE</w:t>
            </w:r>
          </w:p>
        </w:tc>
        <w:tc>
          <w:tcPr>
            <w:tcW w:w="126" w:type="pct"/>
            <w:tcBorders>
              <w:top w:val="nil"/>
              <w:left w:val="double" w:sz="6" w:space="0" w:color="auto"/>
              <w:bottom w:val="nil"/>
              <w:right w:val="double" w:sz="6" w:space="0" w:color="auto"/>
            </w:tcBorders>
            <w:shd w:val="clear" w:color="auto" w:fill="FFFFFF" w:themeFill="background1"/>
            <w:tcMar>
              <w:top w:w="43" w:type="dxa"/>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p>
        </w:tc>
        <w:tc>
          <w:tcPr>
            <w:tcW w:w="1591"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NOVEMBER – NOVEMBRE</w:t>
            </w:r>
          </w:p>
        </w:tc>
        <w:tc>
          <w:tcPr>
            <w:tcW w:w="158" w:type="pct"/>
            <w:tcBorders>
              <w:top w:val="nil"/>
              <w:left w:val="double" w:sz="6" w:space="0" w:color="auto"/>
              <w:bottom w:val="nil"/>
              <w:right w:val="double" w:sz="6" w:space="0" w:color="auto"/>
            </w:tcBorders>
            <w:shd w:val="clear" w:color="auto" w:fill="FFFFFF" w:themeFill="background1"/>
            <w:tcMar>
              <w:top w:w="43" w:type="dxa"/>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p>
        </w:tc>
        <w:tc>
          <w:tcPr>
            <w:tcW w:w="1503"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DECEMBER - DÉCEMBRE</w:t>
            </w:r>
          </w:p>
        </w:tc>
      </w:tr>
      <w:tr w:rsidR="0013595D" w:rsidRPr="00256B02" w:rsidTr="00E942C2">
        <w:trPr>
          <w:trHeight w:val="288"/>
        </w:trPr>
        <w:tc>
          <w:tcPr>
            <w:tcW w:w="216" w:type="pct"/>
            <w:tcBorders>
              <w:top w:val="double" w:sz="6" w:space="0" w:color="auto"/>
              <w:left w:val="double" w:sz="6" w:space="0" w:color="auto"/>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4"/>
                <w:szCs w:val="14"/>
                <w:lang w:val="fr-FR"/>
              </w:rPr>
            </w:pPr>
            <w:r w:rsidRPr="004114D8">
              <w:rPr>
                <w:rFonts w:ascii="Arial" w:hAnsi="Arial" w:cs="Arial"/>
                <w:b/>
                <w:sz w:val="14"/>
                <w:szCs w:val="14"/>
                <w:lang w:val="fr-FR"/>
              </w:rPr>
              <w:t>S</w:t>
            </w:r>
          </w:p>
          <w:p w:rsidR="0013595D" w:rsidRPr="004114D8" w:rsidRDefault="0013595D" w:rsidP="00E942C2">
            <w:pPr>
              <w:tabs>
                <w:tab w:val="center" w:pos="5220"/>
                <w:tab w:val="right" w:pos="10440"/>
              </w:tabs>
              <w:jc w:val="center"/>
              <w:rPr>
                <w:rFonts w:ascii="Arial" w:hAnsi="Arial" w:cs="Arial"/>
                <w:b/>
                <w:sz w:val="14"/>
                <w:szCs w:val="14"/>
                <w:lang w:val="fr-FR"/>
              </w:rPr>
            </w:pPr>
            <w:r w:rsidRPr="004114D8">
              <w:rPr>
                <w:rFonts w:ascii="Arial" w:hAnsi="Arial" w:cs="Arial"/>
                <w:b/>
                <w:sz w:val="14"/>
                <w:szCs w:val="14"/>
                <w:lang w:val="fr-FR"/>
              </w:rPr>
              <w:t>D</w:t>
            </w:r>
          </w:p>
        </w:tc>
        <w:tc>
          <w:tcPr>
            <w:tcW w:w="217" w:type="pct"/>
            <w:tcBorders>
              <w:top w:val="double" w:sz="6" w:space="0" w:color="auto"/>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M</w:t>
            </w:r>
          </w:p>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L</w:t>
            </w:r>
          </w:p>
        </w:tc>
        <w:tc>
          <w:tcPr>
            <w:tcW w:w="267" w:type="pct"/>
            <w:tcBorders>
              <w:top w:val="double" w:sz="6" w:space="0" w:color="auto"/>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T</w:t>
            </w:r>
          </w:p>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M</w:t>
            </w:r>
          </w:p>
        </w:tc>
        <w:tc>
          <w:tcPr>
            <w:tcW w:w="209" w:type="pct"/>
            <w:tcBorders>
              <w:top w:val="double" w:sz="6" w:space="0" w:color="auto"/>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W</w:t>
            </w:r>
          </w:p>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M</w:t>
            </w:r>
          </w:p>
        </w:tc>
        <w:tc>
          <w:tcPr>
            <w:tcW w:w="251" w:type="pct"/>
            <w:tcBorders>
              <w:top w:val="double" w:sz="6" w:space="0" w:color="auto"/>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T</w:t>
            </w:r>
          </w:p>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J</w:t>
            </w:r>
          </w:p>
        </w:tc>
        <w:tc>
          <w:tcPr>
            <w:tcW w:w="210" w:type="pct"/>
            <w:tcBorders>
              <w:top w:val="double" w:sz="6" w:space="0" w:color="auto"/>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F</w:t>
            </w:r>
          </w:p>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V</w:t>
            </w:r>
          </w:p>
        </w:tc>
        <w:tc>
          <w:tcPr>
            <w:tcW w:w="251" w:type="pct"/>
            <w:tcBorders>
              <w:top w:val="double" w:sz="6" w:space="0" w:color="auto"/>
              <w:right w:val="double" w:sz="6" w:space="0" w:color="auto"/>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S</w:t>
            </w:r>
          </w:p>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S</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sz w:val="13"/>
                <w:szCs w:val="13"/>
                <w:lang w:val="fr-FR"/>
              </w:rPr>
            </w:pPr>
          </w:p>
        </w:tc>
        <w:tc>
          <w:tcPr>
            <w:tcW w:w="227" w:type="pct"/>
            <w:tcBorders>
              <w:top w:val="double" w:sz="6" w:space="0" w:color="auto"/>
              <w:left w:val="double" w:sz="6" w:space="0" w:color="auto"/>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S</w:t>
            </w:r>
          </w:p>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D</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M</w:t>
            </w:r>
          </w:p>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L</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T</w:t>
            </w:r>
          </w:p>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M</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W</w:t>
            </w:r>
          </w:p>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M</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T</w:t>
            </w:r>
          </w:p>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J</w:t>
            </w:r>
          </w:p>
        </w:tc>
        <w:tc>
          <w:tcPr>
            <w:tcW w:w="23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F</w:t>
            </w:r>
          </w:p>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V</w:t>
            </w:r>
          </w:p>
        </w:tc>
        <w:tc>
          <w:tcPr>
            <w:tcW w:w="259" w:type="pct"/>
            <w:tcBorders>
              <w:top w:val="double" w:sz="6" w:space="0" w:color="auto"/>
              <w:right w:val="double" w:sz="6" w:space="0" w:color="auto"/>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S</w:t>
            </w:r>
          </w:p>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S</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p>
        </w:tc>
        <w:tc>
          <w:tcPr>
            <w:tcW w:w="218" w:type="pct"/>
            <w:tcBorders>
              <w:top w:val="double" w:sz="6" w:space="0" w:color="auto"/>
              <w:left w:val="double" w:sz="6" w:space="0" w:color="auto"/>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S</w:t>
            </w:r>
          </w:p>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D</w:t>
            </w:r>
          </w:p>
        </w:tc>
        <w:tc>
          <w:tcPr>
            <w:tcW w:w="218" w:type="pct"/>
            <w:tcBorders>
              <w:top w:val="double" w:sz="6" w:space="0" w:color="auto"/>
              <w:bottom w:val="single" w:sz="4" w:space="0" w:color="auto"/>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M</w:t>
            </w:r>
          </w:p>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L</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T</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196" w:type="pct"/>
            <w:tcBorders>
              <w:top w:val="double" w:sz="6" w:space="0" w:color="auto"/>
              <w:right w:val="double" w:sz="6" w:space="0" w:color="auto"/>
            </w:tcBorders>
            <w:shd w:val="clear" w:color="auto" w:fill="FFFFFF" w:themeFill="background1"/>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r>
      <w:tr w:rsidR="0013595D" w:rsidRPr="00C33804" w:rsidTr="00E942C2">
        <w:trPr>
          <w:trHeight w:val="288"/>
        </w:trPr>
        <w:tc>
          <w:tcPr>
            <w:tcW w:w="216" w:type="pct"/>
            <w:tcBorders>
              <w:lef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17"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67"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09"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51"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10"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51" w:type="pct"/>
            <w:tcBorders>
              <w:righ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right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31</w:t>
            </w:r>
          </w:p>
        </w:tc>
        <w:tc>
          <w:tcPr>
            <w:tcW w:w="217"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w:t>
            </w:r>
          </w:p>
        </w:tc>
        <w:tc>
          <w:tcPr>
            <w:tcW w:w="217" w:type="pct"/>
            <w:tcBorders>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w:t>
            </w:r>
          </w:p>
        </w:tc>
        <w:tc>
          <w:tcPr>
            <w:tcW w:w="217" w:type="pct"/>
            <w:tcBorders>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w:t>
            </w:r>
          </w:p>
        </w:tc>
        <w:tc>
          <w:tcPr>
            <w:tcW w:w="237" w:type="pct"/>
            <w:tcBorders>
              <w:bottom w:val="double" w:sz="6" w:space="0" w:color="auto"/>
            </w:tcBorders>
            <w:shd w:val="pct20"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4</w:t>
            </w:r>
          </w:p>
        </w:tc>
        <w:tc>
          <w:tcPr>
            <w:tcW w:w="259" w:type="pct"/>
            <w:tcBorders>
              <w:righ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5</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right w:val="single" w:sz="4"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18" w:type="pct"/>
            <w:tcBorders>
              <w:top w:val="single" w:sz="4" w:space="0" w:color="auto"/>
              <w:left w:val="single" w:sz="4" w:space="0" w:color="auto"/>
              <w:bottom w:val="single" w:sz="4" w:space="0" w:color="000000" w:themeColor="text1"/>
              <w:right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18" w:type="pct"/>
            <w:tcBorders>
              <w:left w:val="single" w:sz="4" w:space="0" w:color="000000" w:themeColor="text1"/>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18"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18" w:type="pct"/>
            <w:tcBorders>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w:t>
            </w:r>
          </w:p>
        </w:tc>
        <w:tc>
          <w:tcPr>
            <w:tcW w:w="218" w:type="pct"/>
            <w:tcBorders>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w:t>
            </w:r>
          </w:p>
        </w:tc>
        <w:tc>
          <w:tcPr>
            <w:tcW w:w="196" w:type="pct"/>
            <w:tcBorders>
              <w:righ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w:t>
            </w:r>
          </w:p>
        </w:tc>
      </w:tr>
      <w:tr w:rsidR="0013595D" w:rsidRPr="00C33804" w:rsidTr="00E942C2">
        <w:trPr>
          <w:trHeight w:val="288"/>
        </w:trPr>
        <w:tc>
          <w:tcPr>
            <w:tcW w:w="216" w:type="pct"/>
            <w:tcBorders>
              <w:left w:val="double" w:sz="6" w:space="0" w:color="auto"/>
              <w:right w:val="single" w:sz="4" w:space="0" w:color="000000" w:themeColor="text1"/>
            </w:tcBorders>
            <w:shd w:val="clear"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w:t>
            </w:r>
          </w:p>
        </w:tc>
        <w:tc>
          <w:tcPr>
            <w:tcW w:w="217"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auto"/>
            <w:tcMar>
              <w:top w:w="0" w:type="dxa"/>
              <w:bottom w:w="0" w:type="dxa"/>
            </w:tcMar>
            <w:vAlign w:val="bottom"/>
          </w:tcPr>
          <w:p w:rsidR="0013595D" w:rsidRDefault="0013595D" w:rsidP="00E942C2">
            <w:pPr>
              <w:jc w:val="center"/>
              <w:rPr>
                <w:rFonts w:ascii="Arial" w:hAnsi="Arial" w:cs="Arial"/>
                <w:b/>
                <w:sz w:val="12"/>
                <w:szCs w:val="12"/>
              </w:rPr>
            </w:pPr>
          </w:p>
          <w:p w:rsidR="0013595D" w:rsidRPr="00C33804" w:rsidRDefault="0013595D" w:rsidP="00E942C2">
            <w:pPr>
              <w:jc w:val="center"/>
              <w:rPr>
                <w:rFonts w:ascii="Arial" w:hAnsi="Arial" w:cs="Arial"/>
                <w:sz w:val="13"/>
                <w:szCs w:val="13"/>
              </w:rPr>
            </w:pPr>
            <w:r>
              <w:rPr>
                <w:rFonts w:ascii="Arial" w:hAnsi="Arial" w:cs="Arial"/>
                <w:sz w:val="13"/>
                <w:szCs w:val="13"/>
              </w:rPr>
              <w:t>3</w:t>
            </w:r>
          </w:p>
        </w:tc>
        <w:tc>
          <w:tcPr>
            <w:tcW w:w="267" w:type="pct"/>
            <w:tcBorders>
              <w:left w:val="single" w:sz="4" w:space="0" w:color="000000" w:themeColor="text1"/>
              <w:bottom w:val="single" w:sz="4" w:space="0" w:color="000000" w:themeColor="text1"/>
            </w:tcBorders>
            <w:shd w:val="pct20"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4</w:t>
            </w:r>
          </w:p>
        </w:tc>
        <w:tc>
          <w:tcPr>
            <w:tcW w:w="209" w:type="pct"/>
            <w:tcBorders>
              <w:bottom w:val="single" w:sz="4" w:space="0" w:color="000000" w:themeColor="text1"/>
            </w:tcBorders>
            <w:shd w:val="pct20"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5</w:t>
            </w:r>
          </w:p>
        </w:tc>
        <w:tc>
          <w:tcPr>
            <w:tcW w:w="251" w:type="pct"/>
            <w:tcBorders>
              <w:bottom w:val="single" w:sz="4" w:space="0" w:color="000000" w:themeColor="text1"/>
            </w:tcBorders>
            <w:shd w:val="pct20"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6</w:t>
            </w:r>
          </w:p>
        </w:tc>
        <w:tc>
          <w:tcPr>
            <w:tcW w:w="210" w:type="pct"/>
            <w:tcBorders>
              <w:bottom w:val="single" w:sz="4" w:space="0" w:color="000000" w:themeColor="text1"/>
            </w:tcBorders>
            <w:shd w:val="pct20"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7</w:t>
            </w:r>
          </w:p>
        </w:tc>
        <w:tc>
          <w:tcPr>
            <w:tcW w:w="251" w:type="pct"/>
            <w:tcBorders>
              <w:right w:val="double" w:sz="6" w:space="0" w:color="auto"/>
            </w:tcBorders>
            <w:shd w:val="clear"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8</w:t>
            </w:r>
          </w:p>
        </w:tc>
        <w:tc>
          <w:tcPr>
            <w:tcW w:w="126" w:type="pct"/>
            <w:tcBorders>
              <w:top w:val="nil"/>
              <w:left w:val="double" w:sz="6" w:space="0" w:color="auto"/>
              <w:bottom w:val="nil"/>
              <w:right w:val="double" w:sz="6" w:space="0" w:color="auto"/>
            </w:tcBorders>
            <w:shd w:val="clear" w:color="auto" w:fill="FFFFFF" w:themeFill="background1"/>
            <w:tcMar>
              <w:top w:w="0" w:type="dxa"/>
              <w:bottom w:w="0"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right w:val="single" w:sz="4" w:space="0" w:color="000000" w:themeColor="text1"/>
            </w:tcBorders>
            <w:shd w:val="clear"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6</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7</w:t>
            </w:r>
          </w:p>
        </w:tc>
        <w:tc>
          <w:tcPr>
            <w:tcW w:w="217" w:type="pct"/>
            <w:tcBorders>
              <w:left w:val="single" w:sz="4" w:space="0" w:color="000000" w:themeColor="text1"/>
              <w:bottom w:val="single" w:sz="4" w:space="0" w:color="000000" w:themeColor="text1"/>
              <w:right w:val="single" w:sz="4" w:space="0" w:color="000000" w:themeColor="text1"/>
            </w:tcBorders>
            <w:shd w:val="pct20"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8</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9</w:t>
            </w:r>
          </w:p>
        </w:tc>
        <w:tc>
          <w:tcPr>
            <w:tcW w:w="217" w:type="pct"/>
            <w:tcBorders>
              <w:left w:val="single" w:sz="4" w:space="0" w:color="000000" w:themeColor="text1"/>
              <w:bottom w:val="single" w:sz="4" w:space="0" w:color="000000" w:themeColor="text1"/>
              <w:right w:val="double" w:sz="6" w:space="0" w:color="auto"/>
            </w:tcBorders>
            <w:shd w:val="pct20" w:color="auto" w:fill="auto"/>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10</w:t>
            </w:r>
          </w:p>
        </w:tc>
        <w:tc>
          <w:tcPr>
            <w:tcW w:w="237" w:type="pct"/>
            <w:tcBorders>
              <w:top w:val="double" w:sz="6" w:space="0" w:color="auto"/>
              <w:left w:val="double" w:sz="6" w:space="0" w:color="auto"/>
              <w:bottom w:val="double" w:sz="6" w:space="0" w:color="auto"/>
              <w:right w:val="double" w:sz="6" w:space="0" w:color="auto"/>
            </w:tcBorders>
            <w:shd w:val="clear" w:color="auto" w:fill="FFFFFF" w:themeFill="background1"/>
            <w:tcMar>
              <w:top w:w="0" w:type="dxa"/>
              <w:bottom w:w="0" w:type="dxa"/>
            </w:tcMar>
            <w:vAlign w:val="bottom"/>
          </w:tcPr>
          <w:p w:rsidR="0013595D" w:rsidRPr="0090759E" w:rsidRDefault="0013595D" w:rsidP="00E942C2">
            <w:pPr>
              <w:jc w:val="center"/>
              <w:rPr>
                <w:rFonts w:ascii="Arial" w:hAnsi="Arial" w:cs="Arial"/>
                <w:b/>
                <w:sz w:val="13"/>
                <w:szCs w:val="13"/>
              </w:rPr>
            </w:pPr>
            <w:r w:rsidRPr="0090759E">
              <w:rPr>
                <w:rFonts w:ascii="Arial" w:hAnsi="Arial" w:cs="Arial"/>
                <w:b/>
                <w:sz w:val="13"/>
                <w:szCs w:val="13"/>
              </w:rPr>
              <w:t xml:space="preserve">H </w:t>
            </w:r>
          </w:p>
          <w:p w:rsidR="0013595D" w:rsidRPr="00C33804" w:rsidRDefault="0013595D" w:rsidP="00E942C2">
            <w:pPr>
              <w:jc w:val="center"/>
              <w:rPr>
                <w:rFonts w:ascii="Arial" w:hAnsi="Arial" w:cs="Arial"/>
                <w:sz w:val="13"/>
                <w:szCs w:val="13"/>
              </w:rPr>
            </w:pPr>
            <w:r>
              <w:rPr>
                <w:rFonts w:ascii="Arial" w:hAnsi="Arial" w:cs="Arial"/>
                <w:sz w:val="13"/>
                <w:szCs w:val="13"/>
              </w:rPr>
              <w:t>11</w:t>
            </w:r>
          </w:p>
        </w:tc>
        <w:tc>
          <w:tcPr>
            <w:tcW w:w="259" w:type="pct"/>
            <w:tcBorders>
              <w:left w:val="double" w:sz="6" w:space="0" w:color="auto"/>
              <w:right w:val="double" w:sz="6" w:space="0" w:color="auto"/>
            </w:tcBorders>
            <w:shd w:val="clear"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12</w:t>
            </w:r>
          </w:p>
        </w:tc>
        <w:tc>
          <w:tcPr>
            <w:tcW w:w="158" w:type="pct"/>
            <w:tcBorders>
              <w:top w:val="nil"/>
              <w:left w:val="double" w:sz="6" w:space="0" w:color="auto"/>
              <w:bottom w:val="nil"/>
              <w:right w:val="double" w:sz="6" w:space="0" w:color="auto"/>
            </w:tcBorders>
            <w:shd w:val="clear" w:color="auto" w:fill="FFFFFF" w:themeFill="background1"/>
            <w:tcMar>
              <w:top w:w="0" w:type="dxa"/>
              <w:bottom w:w="0"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tcBorders>
            <w:shd w:val="clear"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4</w:t>
            </w:r>
          </w:p>
        </w:tc>
        <w:tc>
          <w:tcPr>
            <w:tcW w:w="218" w:type="pct"/>
            <w:tcBorders>
              <w:top w:val="single" w:sz="4" w:space="0" w:color="000000" w:themeColor="text1"/>
            </w:tcBorders>
            <w:shd w:val="pct20"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5</w:t>
            </w:r>
          </w:p>
        </w:tc>
        <w:tc>
          <w:tcPr>
            <w:tcW w:w="218" w:type="pct"/>
            <w:shd w:val="pct20"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6</w:t>
            </w:r>
          </w:p>
        </w:tc>
        <w:tc>
          <w:tcPr>
            <w:tcW w:w="218" w:type="pct"/>
            <w:shd w:val="pct20"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7</w:t>
            </w:r>
          </w:p>
        </w:tc>
        <w:tc>
          <w:tcPr>
            <w:tcW w:w="218" w:type="pct"/>
            <w:shd w:val="pct20"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8</w:t>
            </w:r>
          </w:p>
        </w:tc>
        <w:tc>
          <w:tcPr>
            <w:tcW w:w="218" w:type="pct"/>
            <w:shd w:val="pct20"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9</w:t>
            </w:r>
          </w:p>
        </w:tc>
        <w:tc>
          <w:tcPr>
            <w:tcW w:w="196" w:type="pct"/>
            <w:tcBorders>
              <w:right w:val="double" w:sz="6" w:space="0" w:color="auto"/>
            </w:tcBorders>
            <w:shd w:val="clear"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10</w:t>
            </w:r>
          </w:p>
        </w:tc>
      </w:tr>
      <w:tr w:rsidR="0013595D" w:rsidRPr="00C33804" w:rsidTr="00E942C2">
        <w:trPr>
          <w:trHeight w:val="288"/>
        </w:trPr>
        <w:tc>
          <w:tcPr>
            <w:tcW w:w="216" w:type="pct"/>
            <w:tcBorders>
              <w:left w:val="double" w:sz="6" w:space="0" w:color="auto"/>
              <w:righ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9</w:t>
            </w:r>
          </w:p>
        </w:tc>
        <w:tc>
          <w:tcPr>
            <w:tcW w:w="217"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Default="0013595D" w:rsidP="00E942C2">
            <w:pPr>
              <w:jc w:val="center"/>
              <w:rPr>
                <w:rFonts w:ascii="Arial" w:hAnsi="Arial" w:cs="Arial"/>
                <w:sz w:val="13"/>
                <w:szCs w:val="13"/>
              </w:rPr>
            </w:pPr>
            <w:r w:rsidRPr="0090759E">
              <w:rPr>
                <w:rFonts w:ascii="Arial" w:hAnsi="Arial" w:cs="Arial"/>
                <w:b/>
                <w:sz w:val="13"/>
                <w:szCs w:val="13"/>
              </w:rPr>
              <w:t xml:space="preserve">H </w:t>
            </w:r>
          </w:p>
          <w:p w:rsidR="0013595D" w:rsidRPr="00C33804" w:rsidRDefault="0013595D" w:rsidP="00E942C2">
            <w:pPr>
              <w:jc w:val="center"/>
              <w:rPr>
                <w:rFonts w:ascii="Arial" w:hAnsi="Arial" w:cs="Arial"/>
                <w:sz w:val="13"/>
                <w:szCs w:val="13"/>
              </w:rPr>
            </w:pPr>
            <w:r>
              <w:rPr>
                <w:rFonts w:ascii="Arial" w:hAnsi="Arial" w:cs="Arial"/>
                <w:sz w:val="13"/>
                <w:szCs w:val="13"/>
              </w:rPr>
              <w:t>10</w:t>
            </w:r>
          </w:p>
        </w:tc>
        <w:tc>
          <w:tcPr>
            <w:tcW w:w="267" w:type="pct"/>
            <w:tcBorders>
              <w:left w:val="double" w:sz="6" w:space="0" w:color="auto"/>
            </w:tcBorders>
            <w:shd w:val="pct20"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11</w:t>
            </w:r>
          </w:p>
        </w:tc>
        <w:tc>
          <w:tcPr>
            <w:tcW w:w="209" w:type="pct"/>
            <w:shd w:val="pct20"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12</w:t>
            </w:r>
          </w:p>
        </w:tc>
        <w:tc>
          <w:tcPr>
            <w:tcW w:w="251" w:type="pct"/>
            <w:shd w:val="pct20"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13</w:t>
            </w:r>
          </w:p>
        </w:tc>
        <w:tc>
          <w:tcPr>
            <w:tcW w:w="210" w:type="pct"/>
            <w:shd w:val="pct20"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14</w:t>
            </w:r>
          </w:p>
        </w:tc>
        <w:tc>
          <w:tcPr>
            <w:tcW w:w="251" w:type="pct"/>
            <w:tcBorders>
              <w:righ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15</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right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13</w:t>
            </w:r>
          </w:p>
        </w:tc>
        <w:tc>
          <w:tcPr>
            <w:tcW w:w="217"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14</w:t>
            </w:r>
          </w:p>
        </w:tc>
        <w:tc>
          <w:tcPr>
            <w:tcW w:w="217" w:type="pct"/>
            <w:tcBorders>
              <w:top w:val="single" w:sz="4" w:space="0" w:color="000000" w:themeColor="text1"/>
              <w:left w:val="single" w:sz="4" w:space="0" w:color="auto"/>
              <w:bottom w:val="single" w:sz="4" w:space="0" w:color="auto"/>
              <w:right w:val="single" w:sz="4"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15</w:t>
            </w:r>
          </w:p>
        </w:tc>
        <w:tc>
          <w:tcPr>
            <w:tcW w:w="217" w:type="pct"/>
            <w:tcBorders>
              <w:top w:val="single" w:sz="4" w:space="0" w:color="000000" w:themeColor="text1"/>
              <w:left w:val="single" w:sz="4"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16</w:t>
            </w:r>
          </w:p>
        </w:tc>
        <w:tc>
          <w:tcPr>
            <w:tcW w:w="217" w:type="pct"/>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17</w:t>
            </w:r>
          </w:p>
        </w:tc>
        <w:tc>
          <w:tcPr>
            <w:tcW w:w="237" w:type="pct"/>
            <w:tcBorders>
              <w:top w:val="double" w:sz="6" w:space="0" w:color="auto"/>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18</w:t>
            </w:r>
          </w:p>
        </w:tc>
        <w:tc>
          <w:tcPr>
            <w:tcW w:w="259" w:type="pct"/>
            <w:tcBorders>
              <w:righ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19</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11</w:t>
            </w:r>
          </w:p>
        </w:tc>
        <w:tc>
          <w:tcPr>
            <w:tcW w:w="218" w:type="pct"/>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12</w:t>
            </w:r>
          </w:p>
        </w:tc>
        <w:tc>
          <w:tcPr>
            <w:tcW w:w="218" w:type="pct"/>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13</w:t>
            </w:r>
          </w:p>
        </w:tc>
        <w:tc>
          <w:tcPr>
            <w:tcW w:w="218"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14</w:t>
            </w:r>
          </w:p>
        </w:tc>
        <w:tc>
          <w:tcPr>
            <w:tcW w:w="218" w:type="pct"/>
            <w:tcBorders>
              <w:bottom w:val="single" w:sz="4"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15</w:t>
            </w:r>
          </w:p>
        </w:tc>
        <w:tc>
          <w:tcPr>
            <w:tcW w:w="218"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16</w:t>
            </w:r>
          </w:p>
        </w:tc>
        <w:tc>
          <w:tcPr>
            <w:tcW w:w="196" w:type="pct"/>
            <w:tcBorders>
              <w:righ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17</w:t>
            </w:r>
          </w:p>
        </w:tc>
      </w:tr>
      <w:tr w:rsidR="0013595D" w:rsidRPr="00C33804" w:rsidTr="00E942C2">
        <w:trPr>
          <w:trHeight w:val="288"/>
        </w:trPr>
        <w:tc>
          <w:tcPr>
            <w:tcW w:w="216" w:type="pct"/>
            <w:tcBorders>
              <w:lef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16</w:t>
            </w:r>
          </w:p>
        </w:tc>
        <w:tc>
          <w:tcPr>
            <w:tcW w:w="217" w:type="pct"/>
            <w:tcBorders>
              <w:top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17</w:t>
            </w:r>
          </w:p>
        </w:tc>
        <w:tc>
          <w:tcPr>
            <w:tcW w:w="267" w:type="pct"/>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18</w:t>
            </w:r>
          </w:p>
        </w:tc>
        <w:tc>
          <w:tcPr>
            <w:tcW w:w="209" w:type="pct"/>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19</w:t>
            </w:r>
          </w:p>
        </w:tc>
        <w:tc>
          <w:tcPr>
            <w:tcW w:w="251" w:type="pct"/>
            <w:tcBorders>
              <w:bottom w:val="single" w:sz="4"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20</w:t>
            </w:r>
          </w:p>
        </w:tc>
        <w:tc>
          <w:tcPr>
            <w:tcW w:w="210" w:type="pct"/>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21</w:t>
            </w:r>
          </w:p>
        </w:tc>
        <w:tc>
          <w:tcPr>
            <w:tcW w:w="251" w:type="pct"/>
            <w:tcBorders>
              <w:righ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22</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20</w:t>
            </w:r>
          </w:p>
        </w:tc>
        <w:tc>
          <w:tcPr>
            <w:tcW w:w="217" w:type="pct"/>
            <w:tcBorders>
              <w:top w:val="single" w:sz="4" w:space="0" w:color="000000" w:themeColor="text1"/>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21</w:t>
            </w:r>
          </w:p>
        </w:tc>
        <w:tc>
          <w:tcPr>
            <w:tcW w:w="217" w:type="pct"/>
            <w:tcBorders>
              <w:top w:val="single" w:sz="4" w:space="0" w:color="auto"/>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22</w:t>
            </w:r>
          </w:p>
        </w:tc>
        <w:tc>
          <w:tcPr>
            <w:tcW w:w="217"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23</w:t>
            </w:r>
          </w:p>
        </w:tc>
        <w:tc>
          <w:tcPr>
            <w:tcW w:w="217"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24</w:t>
            </w:r>
          </w:p>
        </w:tc>
        <w:tc>
          <w:tcPr>
            <w:tcW w:w="237"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25</w:t>
            </w:r>
          </w:p>
        </w:tc>
        <w:tc>
          <w:tcPr>
            <w:tcW w:w="259" w:type="pct"/>
            <w:tcBorders>
              <w:bottom w:val="single" w:sz="4" w:space="0" w:color="000000" w:themeColor="text1"/>
              <w:righ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26</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18</w:t>
            </w:r>
          </w:p>
        </w:tc>
        <w:tc>
          <w:tcPr>
            <w:tcW w:w="218" w:type="pct"/>
            <w:tcBorders>
              <w:bottom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19</w:t>
            </w:r>
          </w:p>
        </w:tc>
        <w:tc>
          <w:tcPr>
            <w:tcW w:w="218" w:type="pct"/>
            <w:tcBorders>
              <w:bottom w:val="double" w:sz="6" w:space="0" w:color="auto"/>
              <w:right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20</w:t>
            </w:r>
          </w:p>
        </w:tc>
        <w:tc>
          <w:tcPr>
            <w:tcW w:w="218"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21</w:t>
            </w:r>
          </w:p>
        </w:tc>
        <w:tc>
          <w:tcPr>
            <w:tcW w:w="218" w:type="pct"/>
            <w:tcBorders>
              <w:top w:val="single" w:sz="4" w:space="0" w:color="auto"/>
              <w:left w:val="single" w:sz="4" w:space="0" w:color="auto"/>
              <w:bottom w:val="single" w:sz="4" w:space="0" w:color="auto"/>
              <w:right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22</w:t>
            </w:r>
          </w:p>
        </w:tc>
        <w:tc>
          <w:tcPr>
            <w:tcW w:w="21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23</w:t>
            </w:r>
          </w:p>
        </w:tc>
        <w:tc>
          <w:tcPr>
            <w:tcW w:w="196" w:type="pct"/>
            <w:tcBorders>
              <w:left w:val="single" w:sz="4" w:space="0" w:color="000000" w:themeColor="text1"/>
              <w:righ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24</w:t>
            </w:r>
          </w:p>
        </w:tc>
      </w:tr>
      <w:tr w:rsidR="0013595D" w:rsidRPr="00C33804" w:rsidTr="00E942C2">
        <w:trPr>
          <w:trHeight w:val="288"/>
        </w:trPr>
        <w:tc>
          <w:tcPr>
            <w:tcW w:w="216" w:type="pct"/>
            <w:tcBorders>
              <w:left w:val="double" w:sz="6" w:space="0" w:color="auto"/>
              <w:bottom w:val="double" w:sz="6" w:space="0" w:color="auto"/>
            </w:tcBorders>
            <w:shd w:val="clear" w:color="auto" w:fill="FFFFFF" w:themeFill="background1"/>
            <w:tcMar>
              <w:bottom w:w="43" w:type="dxa"/>
            </w:tcMar>
            <w:vAlign w:val="bottom"/>
          </w:tcPr>
          <w:p w:rsidR="0013595D" w:rsidRDefault="0013595D" w:rsidP="00E942C2">
            <w:pPr>
              <w:rPr>
                <w:rFonts w:ascii="Arial" w:hAnsi="Arial" w:cs="Arial"/>
                <w:sz w:val="13"/>
                <w:szCs w:val="13"/>
              </w:rPr>
            </w:pPr>
            <w:r>
              <w:rPr>
                <w:rFonts w:ascii="Arial" w:hAnsi="Arial" w:cs="Arial"/>
                <w:sz w:val="13"/>
                <w:szCs w:val="13"/>
              </w:rPr>
              <w:t>23</w:t>
            </w:r>
          </w:p>
          <w:p w:rsidR="0013595D" w:rsidRPr="00C33804" w:rsidRDefault="0013595D" w:rsidP="00E942C2">
            <w:pPr>
              <w:jc w:val="center"/>
              <w:rPr>
                <w:rFonts w:ascii="Arial" w:hAnsi="Arial" w:cs="Arial"/>
                <w:sz w:val="13"/>
                <w:szCs w:val="13"/>
              </w:rPr>
            </w:pPr>
            <w:r>
              <w:rPr>
                <w:rFonts w:ascii="Arial" w:hAnsi="Arial" w:cs="Arial"/>
                <w:sz w:val="13"/>
                <w:szCs w:val="13"/>
              </w:rPr>
              <w:t xml:space="preserve">     30</w:t>
            </w:r>
          </w:p>
        </w:tc>
        <w:tc>
          <w:tcPr>
            <w:tcW w:w="217" w:type="pct"/>
            <w:tcBorders>
              <w:bottom w:val="double" w:sz="6" w:space="0" w:color="auto"/>
            </w:tcBorders>
            <w:shd w:val="clear" w:color="auto" w:fill="FFFFFF" w:themeFill="background1"/>
            <w:tcMar>
              <w:bottom w:w="43" w:type="dxa"/>
            </w:tcMar>
            <w:vAlign w:val="bottom"/>
          </w:tcPr>
          <w:p w:rsidR="0013595D" w:rsidRDefault="0013595D" w:rsidP="00E942C2">
            <w:pPr>
              <w:rPr>
                <w:rFonts w:ascii="Arial" w:hAnsi="Arial" w:cs="Arial"/>
                <w:sz w:val="13"/>
                <w:szCs w:val="13"/>
              </w:rPr>
            </w:pPr>
            <w:r>
              <w:rPr>
                <w:rFonts w:ascii="Arial" w:hAnsi="Arial" w:cs="Arial"/>
                <w:sz w:val="13"/>
                <w:szCs w:val="13"/>
              </w:rPr>
              <w:t>24</w:t>
            </w:r>
          </w:p>
          <w:p w:rsidR="0013595D" w:rsidRPr="00C33804" w:rsidRDefault="0013595D" w:rsidP="00E942C2">
            <w:pPr>
              <w:rPr>
                <w:rFonts w:ascii="Arial" w:hAnsi="Arial" w:cs="Arial"/>
                <w:sz w:val="13"/>
                <w:szCs w:val="13"/>
              </w:rPr>
            </w:pPr>
            <w:r>
              <w:rPr>
                <w:rFonts w:ascii="Arial" w:hAnsi="Arial" w:cs="Arial"/>
                <w:sz w:val="13"/>
                <w:szCs w:val="13"/>
              </w:rPr>
              <w:t xml:space="preserve">      31</w:t>
            </w:r>
          </w:p>
        </w:tc>
        <w:tc>
          <w:tcPr>
            <w:tcW w:w="267" w:type="pct"/>
            <w:tcBorders>
              <w:bottom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25</w:t>
            </w:r>
          </w:p>
        </w:tc>
        <w:tc>
          <w:tcPr>
            <w:tcW w:w="209" w:type="pct"/>
            <w:tcBorders>
              <w:bottom w:val="double" w:sz="6" w:space="0" w:color="auto"/>
              <w:right w:val="single" w:sz="4"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26</w:t>
            </w:r>
          </w:p>
        </w:tc>
        <w:tc>
          <w:tcPr>
            <w:tcW w:w="251" w:type="pct"/>
            <w:tcBorders>
              <w:top w:val="single" w:sz="4" w:space="0" w:color="auto"/>
              <w:left w:val="single" w:sz="4" w:space="0" w:color="auto"/>
              <w:bottom w:val="double" w:sz="6" w:space="0" w:color="auto"/>
              <w:right w:val="single" w:sz="4"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27</w:t>
            </w:r>
          </w:p>
        </w:tc>
        <w:tc>
          <w:tcPr>
            <w:tcW w:w="210" w:type="pct"/>
            <w:tcBorders>
              <w:left w:val="single" w:sz="4" w:space="0" w:color="auto"/>
              <w:bottom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28</w:t>
            </w:r>
          </w:p>
        </w:tc>
        <w:tc>
          <w:tcPr>
            <w:tcW w:w="251" w:type="pct"/>
            <w:tcBorders>
              <w:bottom w:val="double" w:sz="6" w:space="0" w:color="auto"/>
              <w:righ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29</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bottom w:val="double" w:sz="6" w:space="0" w:color="auto"/>
              <w:right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27</w:t>
            </w:r>
          </w:p>
        </w:tc>
        <w:tc>
          <w:tcPr>
            <w:tcW w:w="217"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28</w:t>
            </w:r>
          </w:p>
        </w:tc>
        <w:tc>
          <w:tcPr>
            <w:tcW w:w="217" w:type="pct"/>
            <w:tcBorders>
              <w:left w:val="single" w:sz="4" w:space="0" w:color="000000" w:themeColor="text1"/>
              <w:bottom w:val="double" w:sz="6" w:space="0" w:color="auto"/>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29</w:t>
            </w:r>
          </w:p>
        </w:tc>
        <w:tc>
          <w:tcPr>
            <w:tcW w:w="217" w:type="pct"/>
            <w:tcBorders>
              <w:bottom w:val="double" w:sz="6" w:space="0" w:color="auto"/>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30</w:t>
            </w:r>
          </w:p>
        </w:tc>
        <w:tc>
          <w:tcPr>
            <w:tcW w:w="217" w:type="pct"/>
            <w:tcBorders>
              <w:bottom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37" w:type="pct"/>
            <w:tcBorders>
              <w:bottom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59" w:type="pct"/>
            <w:tcBorders>
              <w:bottom w:val="double" w:sz="6" w:space="0" w:color="auto"/>
              <w:righ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18" w:type="pct"/>
            <w:tcBorders>
              <w:top w:val="single" w:sz="4" w:space="0" w:color="000000" w:themeColor="text1"/>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Default="0013595D" w:rsidP="00E942C2">
            <w:pPr>
              <w:jc w:val="center"/>
              <w:rPr>
                <w:rFonts w:ascii="Arial" w:hAnsi="Arial" w:cs="Arial"/>
                <w:b/>
                <w:sz w:val="13"/>
                <w:szCs w:val="13"/>
              </w:rPr>
            </w:pPr>
          </w:p>
          <w:p w:rsidR="0013595D" w:rsidRPr="00C33804" w:rsidRDefault="0013595D" w:rsidP="00E942C2">
            <w:pPr>
              <w:jc w:val="center"/>
              <w:rPr>
                <w:rFonts w:ascii="Arial" w:hAnsi="Arial" w:cs="Arial"/>
                <w:sz w:val="13"/>
                <w:szCs w:val="13"/>
              </w:rPr>
            </w:pPr>
            <w:r>
              <w:rPr>
                <w:rFonts w:ascii="Arial" w:hAnsi="Arial" w:cs="Arial"/>
                <w:sz w:val="13"/>
                <w:szCs w:val="13"/>
              </w:rPr>
              <w:t>25</w:t>
            </w:r>
          </w:p>
        </w:tc>
        <w:tc>
          <w:tcPr>
            <w:tcW w:w="218"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9C79BD" w:rsidRDefault="0013595D" w:rsidP="00E942C2">
            <w:pPr>
              <w:jc w:val="center"/>
              <w:rPr>
                <w:rFonts w:ascii="Arial" w:hAnsi="Arial" w:cs="Arial"/>
                <w:b/>
                <w:sz w:val="13"/>
                <w:szCs w:val="13"/>
              </w:rPr>
            </w:pPr>
            <w:r>
              <w:rPr>
                <w:rFonts w:ascii="Arial" w:hAnsi="Arial" w:cs="Arial"/>
                <w:b/>
                <w:sz w:val="13"/>
                <w:szCs w:val="13"/>
              </w:rPr>
              <w:t>H</w:t>
            </w:r>
          </w:p>
          <w:p w:rsidR="0013595D" w:rsidRPr="00C33804" w:rsidRDefault="0013595D" w:rsidP="00E942C2">
            <w:pPr>
              <w:jc w:val="center"/>
              <w:rPr>
                <w:rFonts w:ascii="Arial" w:hAnsi="Arial" w:cs="Arial"/>
                <w:sz w:val="13"/>
                <w:szCs w:val="13"/>
              </w:rPr>
            </w:pPr>
            <w:r>
              <w:rPr>
                <w:rFonts w:ascii="Arial" w:hAnsi="Arial" w:cs="Arial"/>
                <w:sz w:val="13"/>
                <w:szCs w:val="13"/>
              </w:rPr>
              <w:t>26</w:t>
            </w:r>
          </w:p>
        </w:tc>
        <w:tc>
          <w:tcPr>
            <w:tcW w:w="218"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Default="0013595D" w:rsidP="00E942C2">
            <w:pPr>
              <w:jc w:val="center"/>
              <w:rPr>
                <w:rFonts w:ascii="Arial" w:hAnsi="Arial" w:cs="Arial"/>
                <w:b/>
                <w:sz w:val="13"/>
                <w:szCs w:val="13"/>
              </w:rPr>
            </w:pPr>
            <w:r>
              <w:rPr>
                <w:rFonts w:ascii="Arial" w:hAnsi="Arial" w:cs="Arial"/>
                <w:b/>
                <w:sz w:val="13"/>
                <w:szCs w:val="13"/>
              </w:rPr>
              <w:t>H</w:t>
            </w:r>
          </w:p>
          <w:p w:rsidR="0013595D" w:rsidRPr="00C33804" w:rsidRDefault="0013595D" w:rsidP="00E942C2">
            <w:pPr>
              <w:jc w:val="center"/>
              <w:rPr>
                <w:rFonts w:ascii="Arial" w:hAnsi="Arial" w:cs="Arial"/>
                <w:sz w:val="13"/>
                <w:szCs w:val="13"/>
              </w:rPr>
            </w:pPr>
            <w:r>
              <w:rPr>
                <w:rFonts w:ascii="Arial" w:hAnsi="Arial" w:cs="Arial"/>
                <w:sz w:val="13"/>
                <w:szCs w:val="13"/>
              </w:rPr>
              <w:t>27</w:t>
            </w:r>
          </w:p>
        </w:tc>
        <w:tc>
          <w:tcPr>
            <w:tcW w:w="218" w:type="pct"/>
            <w:tcBorders>
              <w:top w:val="single" w:sz="4" w:space="0" w:color="000000" w:themeColor="text1"/>
              <w:left w:val="double" w:sz="6" w:space="0" w:color="auto"/>
              <w:bottom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28</w:t>
            </w:r>
          </w:p>
        </w:tc>
        <w:tc>
          <w:tcPr>
            <w:tcW w:w="218" w:type="pct"/>
            <w:tcBorders>
              <w:top w:val="single" w:sz="4" w:space="0" w:color="auto"/>
              <w:bottom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29</w:t>
            </w:r>
          </w:p>
        </w:tc>
        <w:tc>
          <w:tcPr>
            <w:tcW w:w="218" w:type="pct"/>
            <w:tcBorders>
              <w:top w:val="single" w:sz="4" w:space="0" w:color="000000" w:themeColor="text1"/>
              <w:bottom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30</w:t>
            </w:r>
          </w:p>
        </w:tc>
        <w:tc>
          <w:tcPr>
            <w:tcW w:w="196" w:type="pct"/>
            <w:tcBorders>
              <w:bottom w:val="double" w:sz="6" w:space="0" w:color="auto"/>
              <w:righ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31</w:t>
            </w:r>
          </w:p>
        </w:tc>
      </w:tr>
    </w:tbl>
    <w:p w:rsidR="0013595D" w:rsidRPr="00D36093" w:rsidRDefault="0013595D" w:rsidP="0013595D">
      <w:pPr>
        <w:tabs>
          <w:tab w:val="center" w:pos="5220"/>
          <w:tab w:val="right" w:pos="10440"/>
        </w:tabs>
        <w:jc w:val="center"/>
        <w:rPr>
          <w:rFonts w:ascii="Arial" w:hAnsi="Arial" w:cs="Arial"/>
          <w:sz w:val="36"/>
          <w:szCs w:val="36"/>
        </w:rPr>
      </w:pPr>
      <w:r w:rsidRPr="00D36093">
        <w:rPr>
          <w:rFonts w:ascii="Arial" w:hAnsi="Arial" w:cs="Arial"/>
          <w:b/>
          <w:i/>
          <w:sz w:val="36"/>
          <w:szCs w:val="36"/>
        </w:rPr>
        <w:t xml:space="preserve"> - 2017 -</w:t>
      </w:r>
    </w:p>
    <w:tbl>
      <w:tblPr>
        <w:tblStyle w:val="TableGrid"/>
        <w:tblW w:w="5028" w:type="pct"/>
        <w:tblLayout w:type="fixed"/>
        <w:tblCellMar>
          <w:top w:w="72" w:type="dxa"/>
          <w:left w:w="43" w:type="dxa"/>
          <w:bottom w:w="72" w:type="dxa"/>
          <w:right w:w="29" w:type="dxa"/>
        </w:tblCellMar>
        <w:tblLook w:val="04A0" w:firstRow="1" w:lastRow="0" w:firstColumn="1" w:lastColumn="0" w:noHBand="0" w:noVBand="1"/>
      </w:tblPr>
      <w:tblGrid>
        <w:gridCol w:w="453"/>
        <w:gridCol w:w="453"/>
        <w:gridCol w:w="453"/>
        <w:gridCol w:w="487"/>
        <w:gridCol w:w="462"/>
        <w:gridCol w:w="539"/>
        <w:gridCol w:w="516"/>
        <w:gridCol w:w="288"/>
        <w:gridCol w:w="500"/>
        <w:gridCol w:w="435"/>
        <w:gridCol w:w="521"/>
        <w:gridCol w:w="523"/>
        <w:gridCol w:w="452"/>
        <w:gridCol w:w="454"/>
        <w:gridCol w:w="472"/>
        <w:gridCol w:w="320"/>
        <w:gridCol w:w="464"/>
        <w:gridCol w:w="466"/>
        <w:gridCol w:w="435"/>
        <w:gridCol w:w="435"/>
        <w:gridCol w:w="435"/>
        <w:gridCol w:w="435"/>
        <w:gridCol w:w="454"/>
      </w:tblGrid>
      <w:tr w:rsidR="0013595D" w:rsidRPr="00256B02" w:rsidTr="00E942C2">
        <w:trPr>
          <w:trHeight w:val="178"/>
        </w:trPr>
        <w:tc>
          <w:tcPr>
            <w:tcW w:w="160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JANUARY – JANVIER</w:t>
            </w:r>
          </w:p>
        </w:tc>
        <w:tc>
          <w:tcPr>
            <w:tcW w:w="138" w:type="pct"/>
            <w:tcBorders>
              <w:top w:val="nil"/>
              <w:left w:val="double" w:sz="6" w:space="0" w:color="auto"/>
              <w:bottom w:val="nil"/>
              <w:right w:val="double" w:sz="6" w:space="0" w:color="auto"/>
            </w:tcBorders>
            <w:tcMar>
              <w:top w:w="43" w:type="dxa"/>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p>
        </w:tc>
        <w:tc>
          <w:tcPr>
            <w:tcW w:w="160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FEBRUARY – FÉVRIER</w:t>
            </w:r>
          </w:p>
        </w:tc>
        <w:tc>
          <w:tcPr>
            <w:tcW w:w="153" w:type="pct"/>
            <w:tcBorders>
              <w:top w:val="nil"/>
              <w:left w:val="double" w:sz="6" w:space="0" w:color="auto"/>
              <w:bottom w:val="nil"/>
              <w:right w:val="double" w:sz="6" w:space="0" w:color="auto"/>
            </w:tcBorders>
            <w:tcMar>
              <w:top w:w="43" w:type="dxa"/>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p>
        </w:tc>
        <w:tc>
          <w:tcPr>
            <w:tcW w:w="149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MARCH - MARS</w:t>
            </w:r>
          </w:p>
        </w:tc>
      </w:tr>
      <w:tr w:rsidR="0013595D" w:rsidRPr="00256B02" w:rsidTr="00E942C2">
        <w:trPr>
          <w:trHeight w:val="270"/>
        </w:trPr>
        <w:tc>
          <w:tcPr>
            <w:tcW w:w="217" w:type="pct"/>
            <w:tcBorders>
              <w:top w:val="double" w:sz="6" w:space="0" w:color="auto"/>
              <w:left w:val="double" w:sz="6" w:space="0" w:color="auto"/>
              <w:bottom w:val="single" w:sz="4" w:space="0" w:color="000000" w:themeColor="text1"/>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17" w:type="pct"/>
            <w:tcBorders>
              <w:top w:val="double" w:sz="6" w:space="0" w:color="auto"/>
              <w:bottom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17"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33" w:type="pct"/>
            <w:tcBorders>
              <w:top w:val="double" w:sz="6" w:space="0" w:color="auto"/>
              <w:bottom w:val="single" w:sz="4" w:space="0" w:color="000000" w:themeColor="text1"/>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1" w:type="pct"/>
            <w:tcBorders>
              <w:top w:val="double" w:sz="6" w:space="0" w:color="auto"/>
              <w:bottom w:val="single" w:sz="4"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58" w:type="pct"/>
            <w:tcBorders>
              <w:top w:val="double" w:sz="6" w:space="0" w:color="auto"/>
              <w:bottom w:val="single" w:sz="4" w:space="0" w:color="000000" w:themeColor="text1"/>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47" w:type="pct"/>
            <w:tcBorders>
              <w:top w:val="double" w:sz="6" w:space="0" w:color="auto"/>
              <w:right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c>
          <w:tcPr>
            <w:tcW w:w="138" w:type="pct"/>
            <w:tcBorders>
              <w:top w:val="nil"/>
              <w:left w:val="double" w:sz="6" w:space="0" w:color="auto"/>
              <w:bottom w:val="nil"/>
              <w:right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p>
        </w:tc>
        <w:tc>
          <w:tcPr>
            <w:tcW w:w="239" w:type="pct"/>
            <w:tcBorders>
              <w:top w:val="double" w:sz="6" w:space="0" w:color="auto"/>
              <w:left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08"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49"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50"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16"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17"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25" w:type="pct"/>
            <w:tcBorders>
              <w:top w:val="double" w:sz="6" w:space="0" w:color="auto"/>
              <w:right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c>
          <w:tcPr>
            <w:tcW w:w="153" w:type="pct"/>
            <w:tcBorders>
              <w:top w:val="nil"/>
              <w:left w:val="double" w:sz="6" w:space="0" w:color="auto"/>
              <w:bottom w:val="nil"/>
              <w:right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23"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08"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08"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08"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08"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18" w:type="pct"/>
            <w:tcBorders>
              <w:top w:val="double" w:sz="6" w:space="0" w:color="auto"/>
              <w:right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r>
      <w:tr w:rsidR="0013595D" w:rsidRPr="00C33804" w:rsidTr="00E942C2">
        <w:trPr>
          <w:trHeight w:val="288"/>
        </w:trPr>
        <w:tc>
          <w:tcPr>
            <w:tcW w:w="217" w:type="pct"/>
            <w:tcBorders>
              <w:top w:val="single" w:sz="4" w:space="0" w:color="000000" w:themeColor="text1"/>
              <w:left w:val="double" w:sz="6" w:space="0" w:color="auto"/>
              <w:bottom w:val="single" w:sz="4" w:space="0" w:color="000000" w:themeColor="text1"/>
              <w:right w:val="double" w:sz="6" w:space="0" w:color="auto"/>
            </w:tcBorders>
            <w:tcMar>
              <w:bottom w:w="43" w:type="dxa"/>
            </w:tcMar>
            <w:vAlign w:val="bottom"/>
          </w:tcPr>
          <w:p w:rsidR="0013595D" w:rsidRDefault="0013595D" w:rsidP="00E942C2">
            <w:pPr>
              <w:jc w:val="center"/>
              <w:rPr>
                <w:rFonts w:ascii="Arial" w:hAnsi="Arial" w:cs="Arial"/>
                <w:b/>
                <w:sz w:val="13"/>
                <w:szCs w:val="13"/>
              </w:rPr>
            </w:pPr>
          </w:p>
          <w:p w:rsidR="0013595D" w:rsidRPr="00C33804" w:rsidRDefault="0013595D" w:rsidP="00E942C2">
            <w:pPr>
              <w:jc w:val="center"/>
              <w:rPr>
                <w:rFonts w:ascii="Arial" w:hAnsi="Arial" w:cs="Arial"/>
                <w:sz w:val="13"/>
                <w:szCs w:val="13"/>
              </w:rPr>
            </w:pPr>
            <w:r>
              <w:rPr>
                <w:rFonts w:ascii="Arial" w:hAnsi="Arial" w:cs="Arial"/>
                <w:sz w:val="13"/>
                <w:szCs w:val="13"/>
              </w:rPr>
              <w:t>1</w:t>
            </w:r>
          </w:p>
        </w:tc>
        <w:tc>
          <w:tcPr>
            <w:tcW w:w="217" w:type="pct"/>
            <w:tcBorders>
              <w:top w:val="double" w:sz="6" w:space="0" w:color="auto"/>
              <w:left w:val="double" w:sz="6" w:space="0" w:color="auto"/>
              <w:bottom w:val="double" w:sz="6" w:space="0" w:color="auto"/>
              <w:right w:val="double" w:sz="6" w:space="0" w:color="auto"/>
            </w:tcBorders>
            <w:tcMar>
              <w:bottom w:w="43" w:type="dxa"/>
            </w:tcMar>
            <w:vAlign w:val="bottom"/>
          </w:tcPr>
          <w:p w:rsidR="0013595D" w:rsidRDefault="0013595D" w:rsidP="00E942C2">
            <w:pPr>
              <w:jc w:val="center"/>
              <w:rPr>
                <w:rFonts w:ascii="Arial" w:hAnsi="Arial" w:cs="Arial"/>
                <w:b/>
                <w:sz w:val="13"/>
                <w:szCs w:val="13"/>
              </w:rPr>
            </w:pPr>
            <w:r>
              <w:rPr>
                <w:rFonts w:ascii="Arial" w:hAnsi="Arial" w:cs="Arial"/>
                <w:b/>
                <w:sz w:val="13"/>
                <w:szCs w:val="13"/>
              </w:rPr>
              <w:t>H</w:t>
            </w:r>
          </w:p>
          <w:p w:rsidR="0013595D" w:rsidRPr="00C33804" w:rsidRDefault="0013595D" w:rsidP="00E942C2">
            <w:pPr>
              <w:jc w:val="center"/>
              <w:rPr>
                <w:rFonts w:ascii="Arial" w:hAnsi="Arial" w:cs="Arial"/>
                <w:sz w:val="13"/>
                <w:szCs w:val="13"/>
              </w:rPr>
            </w:pPr>
            <w:r>
              <w:rPr>
                <w:rFonts w:ascii="Arial" w:hAnsi="Arial" w:cs="Arial"/>
                <w:sz w:val="13"/>
                <w:szCs w:val="13"/>
              </w:rPr>
              <w:t>2</w:t>
            </w:r>
          </w:p>
        </w:tc>
        <w:tc>
          <w:tcPr>
            <w:tcW w:w="217" w:type="pct"/>
            <w:tcBorders>
              <w:left w:val="double" w:sz="6" w:space="0" w:color="auto"/>
              <w:bottom w:val="single" w:sz="4" w:space="0" w:color="000000" w:themeColor="text1"/>
              <w:right w:val="single" w:sz="4" w:space="0" w:color="000000" w:themeColor="text1"/>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w:t>
            </w:r>
          </w:p>
        </w:tc>
        <w:tc>
          <w:tcPr>
            <w:tcW w:w="233" w:type="pct"/>
            <w:tcBorders>
              <w:top w:val="single" w:sz="4" w:space="0" w:color="000000" w:themeColor="text1"/>
              <w:left w:val="single" w:sz="4" w:space="0" w:color="000000" w:themeColor="text1"/>
              <w:bottom w:val="single" w:sz="4" w:space="0" w:color="000000" w:themeColor="text1"/>
              <w:right w:val="single" w:sz="4"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4</w:t>
            </w:r>
          </w:p>
        </w:tc>
        <w:tc>
          <w:tcPr>
            <w:tcW w:w="221" w:type="pct"/>
            <w:tcBorders>
              <w:top w:val="single" w:sz="4" w:space="0" w:color="auto"/>
              <w:left w:val="single" w:sz="4" w:space="0" w:color="auto"/>
              <w:bottom w:val="single" w:sz="4" w:space="0" w:color="000000" w:themeColor="text1"/>
              <w:right w:val="single" w:sz="4" w:space="0" w:color="000000" w:themeColor="text1"/>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5</w:t>
            </w:r>
          </w:p>
        </w:tc>
        <w:tc>
          <w:tcPr>
            <w:tcW w:w="25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6</w:t>
            </w:r>
          </w:p>
        </w:tc>
        <w:tc>
          <w:tcPr>
            <w:tcW w:w="247" w:type="pct"/>
            <w:tcBorders>
              <w:left w:val="single" w:sz="4" w:space="0" w:color="000000" w:themeColor="text1"/>
              <w:righ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7</w:t>
            </w:r>
          </w:p>
        </w:tc>
        <w:tc>
          <w:tcPr>
            <w:tcW w:w="138" w:type="pct"/>
            <w:tcBorders>
              <w:top w:val="nil"/>
              <w:left w:val="double" w:sz="6" w:space="0" w:color="auto"/>
              <w:bottom w:val="nil"/>
              <w:right w:val="double" w:sz="6" w:space="0" w:color="auto"/>
            </w:tcBorders>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p>
        </w:tc>
        <w:tc>
          <w:tcPr>
            <w:tcW w:w="208" w:type="pct"/>
            <w:tcBorders>
              <w:bottom w:val="single" w:sz="4" w:space="0" w:color="auto"/>
            </w:tcBorders>
            <w:tcMar>
              <w:bottom w:w="43" w:type="dxa"/>
            </w:tcMar>
            <w:vAlign w:val="bottom"/>
          </w:tcPr>
          <w:p w:rsidR="0013595D" w:rsidRPr="00C33804" w:rsidRDefault="0013595D" w:rsidP="00E942C2">
            <w:pPr>
              <w:jc w:val="center"/>
              <w:rPr>
                <w:rFonts w:ascii="Arial" w:hAnsi="Arial" w:cs="Arial"/>
                <w:sz w:val="13"/>
                <w:szCs w:val="13"/>
              </w:rPr>
            </w:pPr>
          </w:p>
        </w:tc>
        <w:tc>
          <w:tcPr>
            <w:tcW w:w="249" w:type="pct"/>
            <w:tcBorders>
              <w:bottom w:val="single" w:sz="4" w:space="0" w:color="000000" w:themeColor="text1"/>
            </w:tcBorders>
            <w:tcMar>
              <w:bottom w:w="43" w:type="dxa"/>
            </w:tcMar>
            <w:vAlign w:val="bottom"/>
          </w:tcPr>
          <w:p w:rsidR="0013595D" w:rsidRPr="00C33804" w:rsidRDefault="0013595D" w:rsidP="00E942C2">
            <w:pPr>
              <w:jc w:val="center"/>
              <w:rPr>
                <w:rFonts w:ascii="Arial" w:hAnsi="Arial" w:cs="Arial"/>
                <w:sz w:val="13"/>
                <w:szCs w:val="13"/>
              </w:rPr>
            </w:pPr>
          </w:p>
        </w:tc>
        <w:tc>
          <w:tcPr>
            <w:tcW w:w="250" w:type="pct"/>
            <w:tcBorders>
              <w:bottom w:val="single" w:sz="4" w:space="0" w:color="000000" w:themeColor="text1"/>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w:t>
            </w:r>
          </w:p>
        </w:tc>
        <w:tc>
          <w:tcPr>
            <w:tcW w:w="216" w:type="pct"/>
            <w:tcBorders>
              <w:bottom w:val="single" w:sz="4" w:space="0" w:color="000000" w:themeColor="text1"/>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w:t>
            </w:r>
          </w:p>
        </w:tc>
        <w:tc>
          <w:tcPr>
            <w:tcW w:w="217" w:type="pct"/>
            <w:tcBorders>
              <w:bottom w:val="single" w:sz="4" w:space="0" w:color="000000" w:themeColor="text1"/>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w:t>
            </w:r>
          </w:p>
        </w:tc>
        <w:tc>
          <w:tcPr>
            <w:tcW w:w="225" w:type="pct"/>
            <w:tcBorders>
              <w:righ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4</w:t>
            </w:r>
          </w:p>
        </w:tc>
        <w:tc>
          <w:tcPr>
            <w:tcW w:w="153" w:type="pct"/>
            <w:tcBorders>
              <w:top w:val="nil"/>
              <w:left w:val="double" w:sz="6" w:space="0" w:color="auto"/>
              <w:bottom w:val="nil"/>
              <w:right w:val="double" w:sz="6" w:space="0" w:color="auto"/>
            </w:tcBorders>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p>
        </w:tc>
        <w:tc>
          <w:tcPr>
            <w:tcW w:w="223" w:type="pct"/>
            <w:tcMar>
              <w:bottom w:w="43" w:type="dxa"/>
            </w:tcMar>
            <w:vAlign w:val="bottom"/>
          </w:tcPr>
          <w:p w:rsidR="0013595D" w:rsidRPr="00C33804" w:rsidRDefault="0013595D" w:rsidP="00E942C2">
            <w:pPr>
              <w:jc w:val="center"/>
              <w:rPr>
                <w:rFonts w:ascii="Arial" w:hAnsi="Arial" w:cs="Arial"/>
                <w:sz w:val="13"/>
                <w:szCs w:val="13"/>
              </w:rPr>
            </w:pPr>
          </w:p>
        </w:tc>
        <w:tc>
          <w:tcPr>
            <w:tcW w:w="208" w:type="pct"/>
            <w:tcMar>
              <w:bottom w:w="43" w:type="dxa"/>
            </w:tcMar>
            <w:vAlign w:val="bottom"/>
          </w:tcPr>
          <w:p w:rsidR="0013595D" w:rsidRPr="00C33804" w:rsidRDefault="0013595D" w:rsidP="00E942C2">
            <w:pPr>
              <w:jc w:val="center"/>
              <w:rPr>
                <w:rFonts w:ascii="Arial" w:hAnsi="Arial" w:cs="Arial"/>
                <w:sz w:val="13"/>
                <w:szCs w:val="13"/>
              </w:rPr>
            </w:pPr>
          </w:p>
        </w:tc>
        <w:tc>
          <w:tcPr>
            <w:tcW w:w="208" w:type="pct"/>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w:t>
            </w:r>
          </w:p>
        </w:tc>
        <w:tc>
          <w:tcPr>
            <w:tcW w:w="208" w:type="pct"/>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w:t>
            </w:r>
          </w:p>
        </w:tc>
        <w:tc>
          <w:tcPr>
            <w:tcW w:w="208" w:type="pct"/>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w:t>
            </w:r>
          </w:p>
        </w:tc>
        <w:tc>
          <w:tcPr>
            <w:tcW w:w="218" w:type="pct"/>
            <w:tcBorders>
              <w:righ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4</w:t>
            </w:r>
          </w:p>
        </w:tc>
      </w:tr>
      <w:tr w:rsidR="0013595D" w:rsidRPr="00C33804" w:rsidTr="00E942C2">
        <w:trPr>
          <w:trHeight w:val="288"/>
        </w:trPr>
        <w:tc>
          <w:tcPr>
            <w:tcW w:w="217" w:type="pct"/>
            <w:tcBorders>
              <w:top w:val="single" w:sz="4" w:space="0" w:color="000000" w:themeColor="text1"/>
              <w:lef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8</w:t>
            </w:r>
          </w:p>
        </w:tc>
        <w:tc>
          <w:tcPr>
            <w:tcW w:w="217" w:type="pct"/>
            <w:tcBorders>
              <w:top w:val="double" w:sz="6" w:space="0" w:color="auto"/>
              <w:bottom w:val="single" w:sz="4" w:space="0" w:color="000000" w:themeColor="text1"/>
            </w:tcBorders>
            <w:shd w:val="pct20"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9</w:t>
            </w:r>
          </w:p>
        </w:tc>
        <w:tc>
          <w:tcPr>
            <w:tcW w:w="217"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10</w:t>
            </w:r>
          </w:p>
        </w:tc>
        <w:tc>
          <w:tcPr>
            <w:tcW w:w="233"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11</w:t>
            </w:r>
          </w:p>
        </w:tc>
        <w:tc>
          <w:tcPr>
            <w:tcW w:w="221"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12</w:t>
            </w:r>
          </w:p>
        </w:tc>
        <w:tc>
          <w:tcPr>
            <w:tcW w:w="258"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13</w:t>
            </w:r>
          </w:p>
        </w:tc>
        <w:tc>
          <w:tcPr>
            <w:tcW w:w="247" w:type="pct"/>
            <w:tcBorders>
              <w:righ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14</w:t>
            </w:r>
          </w:p>
        </w:tc>
        <w:tc>
          <w:tcPr>
            <w:tcW w:w="138" w:type="pct"/>
            <w:tcBorders>
              <w:top w:val="nil"/>
              <w:left w:val="double" w:sz="6" w:space="0" w:color="auto"/>
              <w:bottom w:val="nil"/>
              <w:right w:val="double" w:sz="6" w:space="0" w:color="auto"/>
            </w:tcBorders>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single" w:sz="4"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5</w:t>
            </w:r>
          </w:p>
        </w:tc>
        <w:tc>
          <w:tcPr>
            <w:tcW w:w="208" w:type="pct"/>
            <w:tcBorders>
              <w:top w:val="single" w:sz="4" w:space="0" w:color="auto"/>
              <w:left w:val="single" w:sz="4" w:space="0" w:color="auto"/>
              <w:bottom w:val="single" w:sz="4" w:space="0" w:color="000000" w:themeColor="text1"/>
              <w:right w:val="single" w:sz="4"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6</w:t>
            </w:r>
          </w:p>
        </w:tc>
        <w:tc>
          <w:tcPr>
            <w:tcW w:w="249" w:type="pct"/>
            <w:tcBorders>
              <w:left w:val="single" w:sz="4" w:space="0" w:color="auto"/>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7</w:t>
            </w:r>
          </w:p>
        </w:tc>
        <w:tc>
          <w:tcPr>
            <w:tcW w:w="250"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8</w:t>
            </w:r>
          </w:p>
        </w:tc>
        <w:tc>
          <w:tcPr>
            <w:tcW w:w="216"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9</w:t>
            </w:r>
          </w:p>
        </w:tc>
        <w:tc>
          <w:tcPr>
            <w:tcW w:w="217"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10</w:t>
            </w:r>
          </w:p>
        </w:tc>
        <w:tc>
          <w:tcPr>
            <w:tcW w:w="225" w:type="pct"/>
            <w:tcBorders>
              <w:righ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11</w:t>
            </w:r>
          </w:p>
        </w:tc>
        <w:tc>
          <w:tcPr>
            <w:tcW w:w="153" w:type="pct"/>
            <w:tcBorders>
              <w:top w:val="nil"/>
              <w:left w:val="double" w:sz="6" w:space="0" w:color="auto"/>
              <w:bottom w:val="nil"/>
              <w:right w:val="double" w:sz="6" w:space="0" w:color="auto"/>
            </w:tcBorders>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5</w:t>
            </w:r>
          </w:p>
        </w:tc>
        <w:tc>
          <w:tcPr>
            <w:tcW w:w="223" w:type="pct"/>
            <w:tcBorders>
              <w:bottom w:val="single" w:sz="4"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6</w:t>
            </w:r>
          </w:p>
        </w:tc>
        <w:tc>
          <w:tcPr>
            <w:tcW w:w="208" w:type="pct"/>
            <w:tcBorders>
              <w:bottom w:val="single" w:sz="4" w:space="0" w:color="000000" w:themeColor="text1"/>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7</w:t>
            </w:r>
          </w:p>
        </w:tc>
        <w:tc>
          <w:tcPr>
            <w:tcW w:w="208" w:type="pct"/>
            <w:tcBorders>
              <w:bottom w:val="single" w:sz="4" w:space="0" w:color="000000" w:themeColor="text1"/>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8</w:t>
            </w:r>
          </w:p>
        </w:tc>
        <w:tc>
          <w:tcPr>
            <w:tcW w:w="208" w:type="pct"/>
            <w:tcBorders>
              <w:bottom w:val="single" w:sz="4" w:space="0" w:color="000000" w:themeColor="text1"/>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9</w:t>
            </w:r>
          </w:p>
        </w:tc>
        <w:tc>
          <w:tcPr>
            <w:tcW w:w="208" w:type="pct"/>
            <w:tcBorders>
              <w:bottom w:val="single" w:sz="4" w:space="0" w:color="000000" w:themeColor="text1"/>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10</w:t>
            </w:r>
          </w:p>
        </w:tc>
        <w:tc>
          <w:tcPr>
            <w:tcW w:w="218" w:type="pct"/>
            <w:tcBorders>
              <w:righ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11</w:t>
            </w:r>
          </w:p>
        </w:tc>
      </w:tr>
      <w:tr w:rsidR="0013595D" w:rsidRPr="00C33804" w:rsidTr="00E942C2">
        <w:trPr>
          <w:trHeight w:val="288"/>
        </w:trPr>
        <w:tc>
          <w:tcPr>
            <w:tcW w:w="217" w:type="pct"/>
            <w:tcBorders>
              <w:left w:val="double" w:sz="6" w:space="0" w:color="auto"/>
              <w:right w:val="single" w:sz="4" w:space="0" w:color="000000" w:themeColor="text1"/>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15</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16</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17</w:t>
            </w:r>
          </w:p>
        </w:tc>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18</w:t>
            </w:r>
          </w:p>
        </w:tc>
        <w:tc>
          <w:tcPr>
            <w:tcW w:w="22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19</w:t>
            </w:r>
          </w:p>
        </w:tc>
        <w:tc>
          <w:tcPr>
            <w:tcW w:w="258" w:type="pct"/>
            <w:tcBorders>
              <w:top w:val="single" w:sz="4" w:space="0" w:color="000000" w:themeColor="text1"/>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20</w:t>
            </w:r>
          </w:p>
        </w:tc>
        <w:tc>
          <w:tcPr>
            <w:tcW w:w="247" w:type="pct"/>
            <w:tcBorders>
              <w:righ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21</w:t>
            </w:r>
          </w:p>
        </w:tc>
        <w:tc>
          <w:tcPr>
            <w:tcW w:w="13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12</w:t>
            </w:r>
          </w:p>
        </w:tc>
        <w:tc>
          <w:tcPr>
            <w:tcW w:w="20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13</w:t>
            </w:r>
          </w:p>
        </w:tc>
        <w:tc>
          <w:tcPr>
            <w:tcW w:w="249" w:type="pct"/>
            <w:tcBorders>
              <w:top w:val="single" w:sz="4" w:space="0" w:color="000000" w:themeColor="text1"/>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14</w:t>
            </w:r>
          </w:p>
        </w:tc>
        <w:tc>
          <w:tcPr>
            <w:tcW w:w="250"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15</w:t>
            </w:r>
          </w:p>
        </w:tc>
        <w:tc>
          <w:tcPr>
            <w:tcW w:w="216"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16</w:t>
            </w:r>
          </w:p>
        </w:tc>
        <w:tc>
          <w:tcPr>
            <w:tcW w:w="217"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17</w:t>
            </w:r>
          </w:p>
        </w:tc>
        <w:tc>
          <w:tcPr>
            <w:tcW w:w="225" w:type="pct"/>
            <w:tcBorders>
              <w:righ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18</w:t>
            </w:r>
          </w:p>
        </w:tc>
        <w:tc>
          <w:tcPr>
            <w:tcW w:w="153" w:type="pct"/>
            <w:tcBorders>
              <w:top w:val="nil"/>
              <w:left w:val="double" w:sz="6" w:space="0" w:color="auto"/>
              <w:bottom w:val="nil"/>
              <w:right w:val="double" w:sz="6" w:space="0" w:color="auto"/>
            </w:tcBorders>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12</w:t>
            </w:r>
          </w:p>
        </w:tc>
        <w:tc>
          <w:tcPr>
            <w:tcW w:w="223" w:type="pct"/>
            <w:tcBorders>
              <w:top w:val="single" w:sz="4" w:space="0" w:color="auto"/>
              <w:left w:val="single" w:sz="4" w:space="0" w:color="auto"/>
              <w:bottom w:val="single" w:sz="4" w:space="0" w:color="000000" w:themeColor="text1"/>
              <w:right w:val="single" w:sz="4"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13</w:t>
            </w:r>
          </w:p>
        </w:tc>
        <w:tc>
          <w:tcPr>
            <w:tcW w:w="208" w:type="pct"/>
            <w:tcBorders>
              <w:left w:val="single" w:sz="4" w:space="0" w:color="auto"/>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14</w:t>
            </w:r>
          </w:p>
        </w:tc>
        <w:tc>
          <w:tcPr>
            <w:tcW w:w="208"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15</w:t>
            </w:r>
          </w:p>
        </w:tc>
        <w:tc>
          <w:tcPr>
            <w:tcW w:w="208"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16</w:t>
            </w:r>
          </w:p>
        </w:tc>
        <w:tc>
          <w:tcPr>
            <w:tcW w:w="208"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17</w:t>
            </w:r>
          </w:p>
        </w:tc>
        <w:tc>
          <w:tcPr>
            <w:tcW w:w="218" w:type="pct"/>
            <w:tcBorders>
              <w:righ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18</w:t>
            </w:r>
          </w:p>
        </w:tc>
      </w:tr>
      <w:tr w:rsidR="0013595D" w:rsidRPr="00C33804" w:rsidTr="00E942C2">
        <w:trPr>
          <w:trHeight w:val="288"/>
        </w:trPr>
        <w:tc>
          <w:tcPr>
            <w:tcW w:w="217" w:type="pct"/>
            <w:tcBorders>
              <w:lef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22</w:t>
            </w:r>
          </w:p>
        </w:tc>
        <w:tc>
          <w:tcPr>
            <w:tcW w:w="217" w:type="pct"/>
            <w:tcBorders>
              <w:top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23</w:t>
            </w:r>
          </w:p>
        </w:tc>
        <w:tc>
          <w:tcPr>
            <w:tcW w:w="217" w:type="pct"/>
            <w:tcBorders>
              <w:top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24</w:t>
            </w:r>
          </w:p>
        </w:tc>
        <w:tc>
          <w:tcPr>
            <w:tcW w:w="233" w:type="pct"/>
            <w:tcBorders>
              <w:top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25</w:t>
            </w:r>
          </w:p>
        </w:tc>
        <w:tc>
          <w:tcPr>
            <w:tcW w:w="221" w:type="pct"/>
            <w:tcBorders>
              <w:top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26</w:t>
            </w:r>
          </w:p>
        </w:tc>
        <w:tc>
          <w:tcPr>
            <w:tcW w:w="258" w:type="pct"/>
            <w:tcBorders>
              <w:top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27</w:t>
            </w:r>
          </w:p>
        </w:tc>
        <w:tc>
          <w:tcPr>
            <w:tcW w:w="247" w:type="pct"/>
            <w:tcBorders>
              <w:righ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28</w:t>
            </w:r>
          </w:p>
        </w:tc>
        <w:tc>
          <w:tcPr>
            <w:tcW w:w="13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19</w:t>
            </w:r>
          </w:p>
        </w:tc>
        <w:tc>
          <w:tcPr>
            <w:tcW w:w="208" w:type="pct"/>
            <w:tcBorders>
              <w:top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20</w:t>
            </w:r>
          </w:p>
        </w:tc>
        <w:tc>
          <w:tcPr>
            <w:tcW w:w="249" w:type="pct"/>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21</w:t>
            </w:r>
          </w:p>
        </w:tc>
        <w:tc>
          <w:tcPr>
            <w:tcW w:w="250" w:type="pct"/>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22</w:t>
            </w:r>
          </w:p>
        </w:tc>
        <w:tc>
          <w:tcPr>
            <w:tcW w:w="216" w:type="pct"/>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23</w:t>
            </w:r>
          </w:p>
        </w:tc>
        <w:tc>
          <w:tcPr>
            <w:tcW w:w="217" w:type="pct"/>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24</w:t>
            </w:r>
          </w:p>
        </w:tc>
        <w:tc>
          <w:tcPr>
            <w:tcW w:w="225" w:type="pct"/>
            <w:tcBorders>
              <w:righ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25</w:t>
            </w:r>
          </w:p>
        </w:tc>
        <w:tc>
          <w:tcPr>
            <w:tcW w:w="153" w:type="pct"/>
            <w:tcBorders>
              <w:top w:val="nil"/>
              <w:left w:val="double" w:sz="6" w:space="0" w:color="auto"/>
              <w:bottom w:val="nil"/>
              <w:right w:val="double" w:sz="6" w:space="0" w:color="auto"/>
            </w:tcBorders>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19</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20</w:t>
            </w:r>
          </w:p>
        </w:tc>
        <w:tc>
          <w:tcPr>
            <w:tcW w:w="208"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21</w:t>
            </w:r>
          </w:p>
        </w:tc>
        <w:tc>
          <w:tcPr>
            <w:tcW w:w="208" w:type="pct"/>
            <w:tcBorders>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22</w:t>
            </w:r>
          </w:p>
        </w:tc>
        <w:tc>
          <w:tcPr>
            <w:tcW w:w="208" w:type="pct"/>
            <w:tcBorders>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23</w:t>
            </w:r>
          </w:p>
        </w:tc>
        <w:tc>
          <w:tcPr>
            <w:tcW w:w="20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24</w:t>
            </w:r>
          </w:p>
        </w:tc>
        <w:tc>
          <w:tcPr>
            <w:tcW w:w="218" w:type="pct"/>
            <w:tcBorders>
              <w:left w:val="single" w:sz="4" w:space="0" w:color="000000" w:themeColor="text1"/>
              <w:righ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25</w:t>
            </w:r>
          </w:p>
        </w:tc>
      </w:tr>
      <w:tr w:rsidR="0013595D" w:rsidRPr="00C33804" w:rsidTr="00E942C2">
        <w:trPr>
          <w:trHeight w:val="288"/>
        </w:trPr>
        <w:tc>
          <w:tcPr>
            <w:tcW w:w="217" w:type="pct"/>
            <w:tcBorders>
              <w:left w:val="double" w:sz="6" w:space="0" w:color="auto"/>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29</w:t>
            </w:r>
          </w:p>
        </w:tc>
        <w:tc>
          <w:tcPr>
            <w:tcW w:w="217"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30</w:t>
            </w:r>
          </w:p>
        </w:tc>
        <w:tc>
          <w:tcPr>
            <w:tcW w:w="217"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31</w:t>
            </w:r>
          </w:p>
        </w:tc>
        <w:tc>
          <w:tcPr>
            <w:tcW w:w="233"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p>
        </w:tc>
        <w:tc>
          <w:tcPr>
            <w:tcW w:w="221"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p>
        </w:tc>
        <w:tc>
          <w:tcPr>
            <w:tcW w:w="258"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p>
        </w:tc>
        <w:tc>
          <w:tcPr>
            <w:tcW w:w="247" w:type="pct"/>
            <w:tcBorders>
              <w:bottom w:val="double" w:sz="6" w:space="0" w:color="auto"/>
              <w:righ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p>
        </w:tc>
        <w:tc>
          <w:tcPr>
            <w:tcW w:w="138" w:type="pct"/>
            <w:tcBorders>
              <w:top w:val="nil"/>
              <w:left w:val="double" w:sz="6" w:space="0" w:color="auto"/>
              <w:bottom w:val="nil"/>
              <w:right w:val="double" w:sz="6" w:space="0" w:color="auto"/>
            </w:tcBorders>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26</w:t>
            </w:r>
          </w:p>
        </w:tc>
        <w:tc>
          <w:tcPr>
            <w:tcW w:w="208"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27</w:t>
            </w:r>
          </w:p>
        </w:tc>
        <w:tc>
          <w:tcPr>
            <w:tcW w:w="249"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28</w:t>
            </w:r>
          </w:p>
        </w:tc>
        <w:tc>
          <w:tcPr>
            <w:tcW w:w="250" w:type="pct"/>
            <w:tcBorders>
              <w:bottom w:val="double" w:sz="6" w:space="0" w:color="auto"/>
            </w:tcBorders>
            <w:tcMar>
              <w:bottom w:w="43" w:type="dxa"/>
            </w:tcMar>
            <w:vAlign w:val="bottom"/>
          </w:tcPr>
          <w:p w:rsidR="0013595D" w:rsidRPr="00C33804" w:rsidRDefault="0013595D" w:rsidP="00E942C2">
            <w:pPr>
              <w:rPr>
                <w:rFonts w:ascii="Arial" w:hAnsi="Arial" w:cs="Arial"/>
                <w:sz w:val="13"/>
                <w:szCs w:val="13"/>
              </w:rPr>
            </w:pPr>
          </w:p>
        </w:tc>
        <w:tc>
          <w:tcPr>
            <w:tcW w:w="216"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p>
        </w:tc>
        <w:tc>
          <w:tcPr>
            <w:tcW w:w="217"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p>
        </w:tc>
        <w:tc>
          <w:tcPr>
            <w:tcW w:w="225" w:type="pct"/>
            <w:tcBorders>
              <w:bottom w:val="double" w:sz="6" w:space="0" w:color="auto"/>
              <w:righ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p>
        </w:tc>
        <w:tc>
          <w:tcPr>
            <w:tcW w:w="153" w:type="pct"/>
            <w:tcBorders>
              <w:top w:val="nil"/>
              <w:left w:val="double" w:sz="6" w:space="0" w:color="auto"/>
              <w:bottom w:val="nil"/>
              <w:right w:val="double" w:sz="6" w:space="0" w:color="auto"/>
            </w:tcBorders>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right w:val="single" w:sz="4" w:space="0" w:color="000000" w:themeColor="text1"/>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26</w:t>
            </w:r>
          </w:p>
        </w:tc>
        <w:tc>
          <w:tcPr>
            <w:tcW w:w="223"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27</w:t>
            </w:r>
          </w:p>
        </w:tc>
        <w:tc>
          <w:tcPr>
            <w:tcW w:w="208" w:type="pct"/>
            <w:tcBorders>
              <w:top w:val="single" w:sz="4" w:space="0" w:color="000000" w:themeColor="text1"/>
              <w:left w:val="single" w:sz="4" w:space="0" w:color="000000" w:themeColor="text1"/>
              <w:bottom w:val="double" w:sz="6" w:space="0" w:color="auto"/>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28</w:t>
            </w:r>
          </w:p>
        </w:tc>
        <w:tc>
          <w:tcPr>
            <w:tcW w:w="20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29</w:t>
            </w:r>
          </w:p>
        </w:tc>
        <w:tc>
          <w:tcPr>
            <w:tcW w:w="20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30</w:t>
            </w:r>
          </w:p>
        </w:tc>
        <w:tc>
          <w:tcPr>
            <w:tcW w:w="20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31</w:t>
            </w:r>
          </w:p>
        </w:tc>
        <w:tc>
          <w:tcPr>
            <w:tcW w:w="218" w:type="pct"/>
            <w:tcBorders>
              <w:bottom w:val="double" w:sz="6" w:space="0" w:color="auto"/>
              <w:righ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p>
        </w:tc>
      </w:tr>
      <w:tr w:rsidR="0013595D" w:rsidRPr="00256B02" w:rsidTr="00E942C2">
        <w:trPr>
          <w:trHeight w:val="150"/>
        </w:trPr>
        <w:tc>
          <w:tcPr>
            <w:tcW w:w="160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APRIL – AVRIL</w:t>
            </w:r>
          </w:p>
        </w:tc>
        <w:tc>
          <w:tcPr>
            <w:tcW w:w="138" w:type="pct"/>
            <w:tcBorders>
              <w:top w:val="nil"/>
              <w:left w:val="double" w:sz="6" w:space="0" w:color="auto"/>
              <w:bottom w:val="nil"/>
              <w:right w:val="double" w:sz="6" w:space="0" w:color="auto"/>
            </w:tcBorders>
            <w:tcMar>
              <w:top w:w="43" w:type="dxa"/>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p>
        </w:tc>
        <w:tc>
          <w:tcPr>
            <w:tcW w:w="160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MAY – MAI</w:t>
            </w:r>
          </w:p>
        </w:tc>
        <w:tc>
          <w:tcPr>
            <w:tcW w:w="153" w:type="pct"/>
            <w:tcBorders>
              <w:top w:val="nil"/>
              <w:left w:val="double" w:sz="6" w:space="0" w:color="auto"/>
              <w:bottom w:val="nil"/>
              <w:right w:val="double" w:sz="6" w:space="0" w:color="auto"/>
            </w:tcBorders>
            <w:tcMar>
              <w:top w:w="43" w:type="dxa"/>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p>
        </w:tc>
        <w:tc>
          <w:tcPr>
            <w:tcW w:w="149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JUNE – JUIN</w:t>
            </w:r>
          </w:p>
        </w:tc>
      </w:tr>
      <w:tr w:rsidR="0013595D" w:rsidRPr="00256B02" w:rsidTr="00E942C2">
        <w:trPr>
          <w:trHeight w:val="270"/>
        </w:trPr>
        <w:tc>
          <w:tcPr>
            <w:tcW w:w="217" w:type="pct"/>
            <w:tcBorders>
              <w:top w:val="double" w:sz="6" w:space="0" w:color="auto"/>
              <w:left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17"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17"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33"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1"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58" w:type="pct"/>
            <w:tcBorders>
              <w:top w:val="double" w:sz="6" w:space="0" w:color="auto"/>
              <w:bottom w:val="single" w:sz="4"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47" w:type="pct"/>
            <w:tcBorders>
              <w:top w:val="double" w:sz="6" w:space="0" w:color="auto"/>
              <w:right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c>
          <w:tcPr>
            <w:tcW w:w="138" w:type="pct"/>
            <w:tcBorders>
              <w:top w:val="nil"/>
              <w:left w:val="double" w:sz="6" w:space="0" w:color="auto"/>
              <w:bottom w:val="nil"/>
              <w:right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p>
        </w:tc>
        <w:tc>
          <w:tcPr>
            <w:tcW w:w="239" w:type="pct"/>
            <w:tcBorders>
              <w:top w:val="double" w:sz="6" w:space="0" w:color="auto"/>
              <w:left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08"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49"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50"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16"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17"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25" w:type="pct"/>
            <w:tcBorders>
              <w:top w:val="double" w:sz="6" w:space="0" w:color="auto"/>
              <w:right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c>
          <w:tcPr>
            <w:tcW w:w="153" w:type="pct"/>
            <w:tcBorders>
              <w:top w:val="nil"/>
              <w:left w:val="double" w:sz="6" w:space="0" w:color="auto"/>
              <w:bottom w:val="nil"/>
              <w:right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23" w:type="pct"/>
            <w:tcBorders>
              <w:top w:val="double" w:sz="6" w:space="0" w:color="auto"/>
            </w:tcBorders>
            <w:shd w:val="clear" w:color="auto" w:fill="FFFFFF" w:themeFill="background1"/>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08" w:type="pct"/>
            <w:tcBorders>
              <w:top w:val="double" w:sz="6" w:space="0" w:color="auto"/>
            </w:tcBorders>
            <w:shd w:val="clear" w:color="auto" w:fill="FFFFFF" w:themeFill="background1"/>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08" w:type="pct"/>
            <w:tcBorders>
              <w:top w:val="double" w:sz="6" w:space="0" w:color="auto"/>
            </w:tcBorders>
            <w:shd w:val="clear" w:color="auto" w:fill="FFFFFF" w:themeFill="background1"/>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08" w:type="pct"/>
            <w:tcBorders>
              <w:top w:val="double" w:sz="6" w:space="0" w:color="auto"/>
            </w:tcBorders>
            <w:shd w:val="clear" w:color="auto" w:fill="FFFFFF" w:themeFill="background1"/>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08" w:type="pct"/>
            <w:tcBorders>
              <w:top w:val="double" w:sz="6" w:space="0" w:color="auto"/>
            </w:tcBorders>
            <w:shd w:val="clear" w:color="auto" w:fill="FFFFFF" w:themeFill="background1"/>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18" w:type="pct"/>
            <w:tcBorders>
              <w:top w:val="double" w:sz="6" w:space="0" w:color="auto"/>
              <w:right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r>
      <w:tr w:rsidR="0013595D" w:rsidRPr="00C33804" w:rsidTr="00E942C2">
        <w:trPr>
          <w:trHeight w:val="288"/>
        </w:trPr>
        <w:tc>
          <w:tcPr>
            <w:tcW w:w="217" w:type="pct"/>
            <w:tcBorders>
              <w:lef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p>
        </w:tc>
        <w:tc>
          <w:tcPr>
            <w:tcW w:w="217" w:type="pct"/>
            <w:tcBorders>
              <w:bottom w:val="single" w:sz="4"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p>
        </w:tc>
        <w:tc>
          <w:tcPr>
            <w:tcW w:w="217"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p>
        </w:tc>
        <w:tc>
          <w:tcPr>
            <w:tcW w:w="233"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p>
        </w:tc>
        <w:tc>
          <w:tcPr>
            <w:tcW w:w="221" w:type="pct"/>
            <w:tcBorders>
              <w:bottom w:val="single" w:sz="4" w:space="0" w:color="000000" w:themeColor="text1"/>
              <w:right w:val="single" w:sz="4"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p>
        </w:tc>
        <w:tc>
          <w:tcPr>
            <w:tcW w:w="258" w:type="pct"/>
            <w:tcBorders>
              <w:top w:val="single" w:sz="4" w:space="0" w:color="auto"/>
              <w:left w:val="single" w:sz="4" w:space="0" w:color="auto"/>
              <w:bottom w:val="single" w:sz="4" w:space="0" w:color="auto"/>
              <w:right w:val="single" w:sz="4"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47" w:type="pct"/>
            <w:tcBorders>
              <w:left w:val="single" w:sz="4" w:space="0" w:color="auto"/>
              <w:righ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w:t>
            </w:r>
          </w:p>
        </w:tc>
        <w:tc>
          <w:tcPr>
            <w:tcW w:w="249"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w:t>
            </w:r>
          </w:p>
        </w:tc>
        <w:tc>
          <w:tcPr>
            <w:tcW w:w="250"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w:t>
            </w:r>
          </w:p>
        </w:tc>
        <w:tc>
          <w:tcPr>
            <w:tcW w:w="216"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4</w:t>
            </w:r>
          </w:p>
        </w:tc>
        <w:tc>
          <w:tcPr>
            <w:tcW w:w="217"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5</w:t>
            </w:r>
          </w:p>
        </w:tc>
        <w:tc>
          <w:tcPr>
            <w:tcW w:w="225" w:type="pct"/>
            <w:tcBorders>
              <w:righ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6</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p>
        </w:tc>
        <w:tc>
          <w:tcPr>
            <w:tcW w:w="223" w:type="pct"/>
            <w:tcBorders>
              <w:bottom w:val="single" w:sz="4"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w:t>
            </w:r>
          </w:p>
        </w:tc>
        <w:tc>
          <w:tcPr>
            <w:tcW w:w="208"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w:t>
            </w:r>
          </w:p>
        </w:tc>
        <w:tc>
          <w:tcPr>
            <w:tcW w:w="218" w:type="pct"/>
            <w:tcBorders>
              <w:righ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w:t>
            </w:r>
          </w:p>
        </w:tc>
      </w:tr>
      <w:tr w:rsidR="0013595D" w:rsidRPr="00C33804" w:rsidTr="00E942C2">
        <w:trPr>
          <w:trHeight w:val="288"/>
        </w:trPr>
        <w:tc>
          <w:tcPr>
            <w:tcW w:w="217" w:type="pct"/>
            <w:tcBorders>
              <w:left w:val="double" w:sz="6" w:space="0" w:color="auto"/>
              <w:right w:val="single" w:sz="4"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w:t>
            </w:r>
          </w:p>
        </w:tc>
        <w:tc>
          <w:tcPr>
            <w:tcW w:w="217" w:type="pct"/>
            <w:tcBorders>
              <w:top w:val="single" w:sz="4" w:space="0" w:color="auto"/>
              <w:left w:val="single" w:sz="4" w:space="0" w:color="auto"/>
              <w:bottom w:val="single" w:sz="4" w:space="0" w:color="auto"/>
              <w:right w:val="single" w:sz="4"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w:t>
            </w:r>
          </w:p>
        </w:tc>
        <w:tc>
          <w:tcPr>
            <w:tcW w:w="217" w:type="pct"/>
            <w:tcBorders>
              <w:left w:val="single" w:sz="4" w:space="0" w:color="auto"/>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4</w:t>
            </w:r>
          </w:p>
        </w:tc>
        <w:tc>
          <w:tcPr>
            <w:tcW w:w="233"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5</w:t>
            </w:r>
          </w:p>
        </w:tc>
        <w:tc>
          <w:tcPr>
            <w:tcW w:w="221"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6</w:t>
            </w:r>
          </w:p>
        </w:tc>
        <w:tc>
          <w:tcPr>
            <w:tcW w:w="258" w:type="pct"/>
            <w:tcBorders>
              <w:top w:val="single" w:sz="4" w:space="0" w:color="auto"/>
              <w:bottom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7</w:t>
            </w:r>
          </w:p>
        </w:tc>
        <w:tc>
          <w:tcPr>
            <w:tcW w:w="247" w:type="pct"/>
            <w:tcBorders>
              <w:righ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8</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7</w:t>
            </w:r>
          </w:p>
        </w:tc>
        <w:tc>
          <w:tcPr>
            <w:tcW w:w="208"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8</w:t>
            </w:r>
          </w:p>
        </w:tc>
        <w:tc>
          <w:tcPr>
            <w:tcW w:w="249"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9</w:t>
            </w:r>
          </w:p>
        </w:tc>
        <w:tc>
          <w:tcPr>
            <w:tcW w:w="250"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10</w:t>
            </w:r>
          </w:p>
        </w:tc>
        <w:tc>
          <w:tcPr>
            <w:tcW w:w="216"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11</w:t>
            </w:r>
          </w:p>
        </w:tc>
        <w:tc>
          <w:tcPr>
            <w:tcW w:w="217"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12</w:t>
            </w:r>
          </w:p>
        </w:tc>
        <w:tc>
          <w:tcPr>
            <w:tcW w:w="225" w:type="pct"/>
            <w:tcBorders>
              <w:righ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13</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4</w:t>
            </w:r>
          </w:p>
        </w:tc>
        <w:tc>
          <w:tcPr>
            <w:tcW w:w="223"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5</w:t>
            </w:r>
          </w:p>
        </w:tc>
        <w:tc>
          <w:tcPr>
            <w:tcW w:w="208" w:type="pct"/>
            <w:tcBorders>
              <w:left w:val="single" w:sz="4" w:space="0" w:color="auto"/>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6</w:t>
            </w:r>
          </w:p>
        </w:tc>
        <w:tc>
          <w:tcPr>
            <w:tcW w:w="208"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7</w:t>
            </w:r>
          </w:p>
        </w:tc>
        <w:tc>
          <w:tcPr>
            <w:tcW w:w="208"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8</w:t>
            </w:r>
          </w:p>
        </w:tc>
        <w:tc>
          <w:tcPr>
            <w:tcW w:w="208"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9</w:t>
            </w:r>
          </w:p>
        </w:tc>
        <w:tc>
          <w:tcPr>
            <w:tcW w:w="218" w:type="pct"/>
            <w:tcBorders>
              <w:righ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10</w:t>
            </w:r>
          </w:p>
        </w:tc>
      </w:tr>
      <w:tr w:rsidR="0013595D" w:rsidRPr="00C33804" w:rsidTr="00E942C2">
        <w:trPr>
          <w:trHeight w:val="288"/>
        </w:trPr>
        <w:tc>
          <w:tcPr>
            <w:tcW w:w="217" w:type="pct"/>
            <w:tcBorders>
              <w:left w:val="double" w:sz="6" w:space="0" w:color="auto"/>
              <w:bottom w:val="single" w:sz="4" w:space="0" w:color="000000" w:themeColor="text1"/>
              <w:right w:val="single" w:sz="4"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9</w:t>
            </w:r>
          </w:p>
        </w:tc>
        <w:tc>
          <w:tcPr>
            <w:tcW w:w="217" w:type="pct"/>
            <w:tcBorders>
              <w:top w:val="single" w:sz="4" w:space="0" w:color="auto"/>
              <w:left w:val="single" w:sz="4" w:space="0" w:color="auto"/>
              <w:bottom w:val="double" w:sz="6" w:space="0" w:color="auto"/>
              <w:right w:val="single" w:sz="4"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10</w:t>
            </w:r>
          </w:p>
        </w:tc>
        <w:tc>
          <w:tcPr>
            <w:tcW w:w="217" w:type="pct"/>
            <w:tcBorders>
              <w:top w:val="single" w:sz="4" w:space="0" w:color="000000" w:themeColor="text1"/>
              <w:left w:val="single" w:sz="4" w:space="0" w:color="auto"/>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11</w:t>
            </w:r>
          </w:p>
        </w:tc>
        <w:tc>
          <w:tcPr>
            <w:tcW w:w="233" w:type="pct"/>
            <w:tcBorders>
              <w:top w:val="single" w:sz="4" w:space="0" w:color="000000" w:themeColor="text1"/>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12</w:t>
            </w:r>
          </w:p>
        </w:tc>
        <w:tc>
          <w:tcPr>
            <w:tcW w:w="221" w:type="pct"/>
            <w:tcBorders>
              <w:top w:val="single" w:sz="4" w:space="0" w:color="000000" w:themeColor="text1"/>
              <w:bottom w:val="single" w:sz="4" w:space="0" w:color="000000" w:themeColor="text1"/>
              <w:righ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13</w:t>
            </w:r>
          </w:p>
        </w:tc>
        <w:tc>
          <w:tcPr>
            <w:tcW w:w="258"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13595D" w:rsidRDefault="0013595D" w:rsidP="00E942C2">
            <w:pPr>
              <w:jc w:val="center"/>
              <w:rPr>
                <w:rFonts w:ascii="Arial" w:hAnsi="Arial" w:cs="Arial"/>
                <w:b/>
                <w:sz w:val="13"/>
                <w:szCs w:val="13"/>
              </w:rPr>
            </w:pPr>
            <w:r>
              <w:rPr>
                <w:rFonts w:ascii="Arial" w:hAnsi="Arial" w:cs="Arial"/>
                <w:b/>
                <w:sz w:val="13"/>
                <w:szCs w:val="13"/>
              </w:rPr>
              <w:t>H</w:t>
            </w:r>
          </w:p>
          <w:p w:rsidR="0013595D" w:rsidRPr="00C33804" w:rsidRDefault="0013595D" w:rsidP="00E942C2">
            <w:pPr>
              <w:jc w:val="center"/>
              <w:rPr>
                <w:rFonts w:ascii="Arial" w:hAnsi="Arial" w:cs="Arial"/>
                <w:sz w:val="13"/>
                <w:szCs w:val="13"/>
              </w:rPr>
            </w:pPr>
            <w:r>
              <w:rPr>
                <w:rFonts w:ascii="Arial" w:hAnsi="Arial" w:cs="Arial"/>
                <w:sz w:val="13"/>
                <w:szCs w:val="13"/>
              </w:rPr>
              <w:t>14</w:t>
            </w:r>
          </w:p>
        </w:tc>
        <w:tc>
          <w:tcPr>
            <w:tcW w:w="247" w:type="pct"/>
            <w:tcBorders>
              <w:left w:val="double" w:sz="6" w:space="0" w:color="auto"/>
              <w:righ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15</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14</w:t>
            </w:r>
          </w:p>
        </w:tc>
        <w:tc>
          <w:tcPr>
            <w:tcW w:w="208"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15</w:t>
            </w:r>
          </w:p>
        </w:tc>
        <w:tc>
          <w:tcPr>
            <w:tcW w:w="249"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16</w:t>
            </w:r>
          </w:p>
        </w:tc>
        <w:tc>
          <w:tcPr>
            <w:tcW w:w="250" w:type="pct"/>
            <w:tcBorders>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17</w:t>
            </w:r>
          </w:p>
        </w:tc>
        <w:tc>
          <w:tcPr>
            <w:tcW w:w="216" w:type="pct"/>
            <w:tcBorders>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18</w:t>
            </w:r>
          </w:p>
        </w:tc>
        <w:tc>
          <w:tcPr>
            <w:tcW w:w="217" w:type="pct"/>
            <w:tcBorders>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19</w:t>
            </w:r>
          </w:p>
        </w:tc>
        <w:tc>
          <w:tcPr>
            <w:tcW w:w="225" w:type="pct"/>
            <w:tcBorders>
              <w:righ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20</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11</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12</w:t>
            </w:r>
          </w:p>
        </w:tc>
        <w:tc>
          <w:tcPr>
            <w:tcW w:w="208"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13</w:t>
            </w:r>
          </w:p>
        </w:tc>
        <w:tc>
          <w:tcPr>
            <w:tcW w:w="208" w:type="pct"/>
            <w:tcBorders>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14</w:t>
            </w:r>
          </w:p>
        </w:tc>
        <w:tc>
          <w:tcPr>
            <w:tcW w:w="208" w:type="pct"/>
            <w:tcBorders>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15</w:t>
            </w:r>
          </w:p>
        </w:tc>
        <w:tc>
          <w:tcPr>
            <w:tcW w:w="208" w:type="pct"/>
            <w:tcBorders>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16</w:t>
            </w:r>
          </w:p>
        </w:tc>
        <w:tc>
          <w:tcPr>
            <w:tcW w:w="218" w:type="pct"/>
            <w:tcBorders>
              <w:righ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17</w:t>
            </w:r>
          </w:p>
        </w:tc>
      </w:tr>
      <w:tr w:rsidR="0013595D" w:rsidRPr="00C33804" w:rsidTr="00E942C2">
        <w:trPr>
          <w:trHeight w:val="288"/>
        </w:trPr>
        <w:tc>
          <w:tcPr>
            <w:tcW w:w="217"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bottom w:w="43" w:type="dxa"/>
            </w:tcMar>
            <w:vAlign w:val="bottom"/>
          </w:tcPr>
          <w:p w:rsidR="0013595D" w:rsidRDefault="0013595D" w:rsidP="00E942C2">
            <w:pPr>
              <w:jc w:val="center"/>
              <w:rPr>
                <w:rFonts w:ascii="Arial" w:hAnsi="Arial" w:cs="Arial"/>
                <w:b/>
                <w:sz w:val="13"/>
                <w:szCs w:val="13"/>
              </w:rPr>
            </w:pPr>
          </w:p>
          <w:p w:rsidR="0013595D" w:rsidRPr="00C33804" w:rsidRDefault="0013595D" w:rsidP="00E942C2">
            <w:pPr>
              <w:jc w:val="center"/>
              <w:rPr>
                <w:rFonts w:ascii="Arial" w:hAnsi="Arial" w:cs="Arial"/>
                <w:sz w:val="13"/>
                <w:szCs w:val="13"/>
              </w:rPr>
            </w:pPr>
            <w:r>
              <w:rPr>
                <w:rFonts w:ascii="Arial" w:hAnsi="Arial" w:cs="Arial"/>
                <w:sz w:val="13"/>
                <w:szCs w:val="13"/>
              </w:rPr>
              <w:t>16</w:t>
            </w:r>
          </w:p>
        </w:tc>
        <w:tc>
          <w:tcPr>
            <w:tcW w:w="217"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Default="0013595D" w:rsidP="00E942C2">
            <w:pPr>
              <w:jc w:val="center"/>
              <w:rPr>
                <w:rFonts w:ascii="Arial" w:hAnsi="Arial" w:cs="Arial"/>
                <w:b/>
                <w:sz w:val="13"/>
                <w:szCs w:val="13"/>
              </w:rPr>
            </w:pPr>
            <w:r>
              <w:rPr>
                <w:rFonts w:ascii="Arial" w:hAnsi="Arial" w:cs="Arial"/>
                <w:b/>
                <w:sz w:val="13"/>
                <w:szCs w:val="13"/>
              </w:rPr>
              <w:t>H</w:t>
            </w:r>
          </w:p>
          <w:p w:rsidR="0013595D" w:rsidRPr="00C33804" w:rsidRDefault="0013595D" w:rsidP="00E942C2">
            <w:pPr>
              <w:jc w:val="center"/>
              <w:rPr>
                <w:rFonts w:ascii="Arial" w:hAnsi="Arial" w:cs="Arial"/>
                <w:sz w:val="13"/>
                <w:szCs w:val="13"/>
              </w:rPr>
            </w:pPr>
            <w:r>
              <w:rPr>
                <w:rFonts w:ascii="Arial" w:hAnsi="Arial" w:cs="Arial"/>
                <w:sz w:val="13"/>
                <w:szCs w:val="13"/>
              </w:rPr>
              <w:t>17</w:t>
            </w:r>
          </w:p>
        </w:tc>
        <w:tc>
          <w:tcPr>
            <w:tcW w:w="217" w:type="pct"/>
            <w:tcBorders>
              <w:top w:val="single" w:sz="4" w:space="0" w:color="000000" w:themeColor="text1"/>
              <w:left w:val="double" w:sz="6" w:space="0" w:color="auto"/>
              <w:bottom w:val="single" w:sz="4" w:space="0" w:color="000000" w:themeColor="text1"/>
            </w:tcBorders>
            <w:shd w:val="pct20"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18</w:t>
            </w:r>
          </w:p>
        </w:tc>
        <w:tc>
          <w:tcPr>
            <w:tcW w:w="233"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19</w:t>
            </w:r>
          </w:p>
        </w:tc>
        <w:tc>
          <w:tcPr>
            <w:tcW w:w="221"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20</w:t>
            </w:r>
          </w:p>
        </w:tc>
        <w:tc>
          <w:tcPr>
            <w:tcW w:w="258" w:type="pct"/>
            <w:tcBorders>
              <w:top w:val="double" w:sz="6" w:space="0" w:color="auto"/>
              <w:bottom w:val="single" w:sz="4" w:space="0" w:color="000000" w:themeColor="text1"/>
            </w:tcBorders>
            <w:shd w:val="pct20"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21</w:t>
            </w:r>
          </w:p>
        </w:tc>
        <w:tc>
          <w:tcPr>
            <w:tcW w:w="247" w:type="pct"/>
            <w:tcBorders>
              <w:righ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22</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21</w:t>
            </w:r>
          </w:p>
        </w:tc>
        <w:tc>
          <w:tcPr>
            <w:tcW w:w="208"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Default="0013595D" w:rsidP="00E942C2">
            <w:pPr>
              <w:jc w:val="center"/>
              <w:rPr>
                <w:rFonts w:ascii="Arial" w:hAnsi="Arial" w:cs="Arial"/>
                <w:b/>
                <w:sz w:val="13"/>
                <w:szCs w:val="13"/>
              </w:rPr>
            </w:pPr>
            <w:r>
              <w:rPr>
                <w:rFonts w:ascii="Arial" w:hAnsi="Arial" w:cs="Arial"/>
                <w:b/>
                <w:sz w:val="13"/>
                <w:szCs w:val="13"/>
              </w:rPr>
              <w:t>H</w:t>
            </w:r>
          </w:p>
          <w:p w:rsidR="0013595D" w:rsidRPr="00C33804" w:rsidRDefault="0013595D" w:rsidP="00E942C2">
            <w:pPr>
              <w:jc w:val="center"/>
              <w:rPr>
                <w:rFonts w:ascii="Arial" w:hAnsi="Arial" w:cs="Arial"/>
                <w:sz w:val="13"/>
                <w:szCs w:val="13"/>
              </w:rPr>
            </w:pPr>
            <w:r>
              <w:rPr>
                <w:rFonts w:ascii="Arial" w:hAnsi="Arial" w:cs="Arial"/>
                <w:sz w:val="13"/>
                <w:szCs w:val="13"/>
              </w:rPr>
              <w:t>22</w:t>
            </w:r>
          </w:p>
        </w:tc>
        <w:tc>
          <w:tcPr>
            <w:tcW w:w="249" w:type="pct"/>
            <w:tcBorders>
              <w:left w:val="double" w:sz="6" w:space="0" w:color="auto"/>
            </w:tcBorders>
            <w:shd w:val="pct20"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23</w:t>
            </w:r>
          </w:p>
        </w:tc>
        <w:tc>
          <w:tcPr>
            <w:tcW w:w="250" w:type="pct"/>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24</w:t>
            </w:r>
          </w:p>
        </w:tc>
        <w:tc>
          <w:tcPr>
            <w:tcW w:w="216" w:type="pct"/>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25</w:t>
            </w:r>
          </w:p>
        </w:tc>
        <w:tc>
          <w:tcPr>
            <w:tcW w:w="217" w:type="pct"/>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26</w:t>
            </w:r>
          </w:p>
        </w:tc>
        <w:tc>
          <w:tcPr>
            <w:tcW w:w="225" w:type="pct"/>
            <w:tcBorders>
              <w:righ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27</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18</w:t>
            </w:r>
          </w:p>
        </w:tc>
        <w:tc>
          <w:tcPr>
            <w:tcW w:w="223" w:type="pct"/>
            <w:tcBorders>
              <w:top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19</w:t>
            </w:r>
          </w:p>
        </w:tc>
        <w:tc>
          <w:tcPr>
            <w:tcW w:w="208" w:type="pct"/>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20</w:t>
            </w:r>
          </w:p>
        </w:tc>
        <w:tc>
          <w:tcPr>
            <w:tcW w:w="208" w:type="pct"/>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21</w:t>
            </w:r>
          </w:p>
        </w:tc>
        <w:tc>
          <w:tcPr>
            <w:tcW w:w="208" w:type="pct"/>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22</w:t>
            </w:r>
          </w:p>
        </w:tc>
        <w:tc>
          <w:tcPr>
            <w:tcW w:w="208" w:type="pct"/>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23</w:t>
            </w:r>
          </w:p>
        </w:tc>
        <w:tc>
          <w:tcPr>
            <w:tcW w:w="218" w:type="pct"/>
            <w:tcBorders>
              <w:righ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24</w:t>
            </w:r>
          </w:p>
        </w:tc>
      </w:tr>
      <w:tr w:rsidR="0013595D" w:rsidRPr="00C33804" w:rsidTr="00E942C2">
        <w:trPr>
          <w:trHeight w:val="288"/>
        </w:trPr>
        <w:tc>
          <w:tcPr>
            <w:tcW w:w="217" w:type="pct"/>
            <w:tcBorders>
              <w:top w:val="single" w:sz="4" w:space="0" w:color="000000" w:themeColor="text1"/>
              <w:left w:val="double" w:sz="6" w:space="0" w:color="auto"/>
              <w:bottom w:val="double" w:sz="6" w:space="0" w:color="auto"/>
            </w:tcBorders>
            <w:tcMar>
              <w:bottom w:w="43" w:type="dxa"/>
            </w:tcMar>
            <w:vAlign w:val="bottom"/>
          </w:tcPr>
          <w:p w:rsidR="0013595D" w:rsidRDefault="0013595D" w:rsidP="00E942C2">
            <w:pPr>
              <w:rPr>
                <w:rFonts w:ascii="Arial" w:hAnsi="Arial" w:cs="Arial"/>
                <w:sz w:val="13"/>
                <w:szCs w:val="13"/>
              </w:rPr>
            </w:pPr>
            <w:r>
              <w:rPr>
                <w:rFonts w:ascii="Arial" w:hAnsi="Arial" w:cs="Arial"/>
                <w:sz w:val="13"/>
                <w:szCs w:val="13"/>
              </w:rPr>
              <w:t>23</w:t>
            </w:r>
          </w:p>
          <w:p w:rsidR="0013595D" w:rsidRPr="00C33804" w:rsidRDefault="0013595D" w:rsidP="00E942C2">
            <w:pPr>
              <w:jc w:val="center"/>
              <w:rPr>
                <w:rFonts w:ascii="Arial" w:hAnsi="Arial" w:cs="Arial"/>
                <w:sz w:val="13"/>
                <w:szCs w:val="13"/>
              </w:rPr>
            </w:pPr>
            <w:r>
              <w:rPr>
                <w:rFonts w:ascii="Arial" w:hAnsi="Arial" w:cs="Arial"/>
                <w:sz w:val="13"/>
                <w:szCs w:val="13"/>
              </w:rPr>
              <w:t xml:space="preserve">      30</w:t>
            </w:r>
          </w:p>
        </w:tc>
        <w:tc>
          <w:tcPr>
            <w:tcW w:w="217" w:type="pct"/>
            <w:tcBorders>
              <w:top w:val="double" w:sz="6" w:space="0" w:color="auto"/>
              <w:bottom w:val="double" w:sz="6" w:space="0" w:color="auto"/>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24</w:t>
            </w:r>
          </w:p>
        </w:tc>
        <w:tc>
          <w:tcPr>
            <w:tcW w:w="217"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25</w:t>
            </w:r>
          </w:p>
        </w:tc>
        <w:tc>
          <w:tcPr>
            <w:tcW w:w="233"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26</w:t>
            </w:r>
          </w:p>
        </w:tc>
        <w:tc>
          <w:tcPr>
            <w:tcW w:w="221"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27</w:t>
            </w:r>
          </w:p>
        </w:tc>
        <w:tc>
          <w:tcPr>
            <w:tcW w:w="25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28</w:t>
            </w:r>
          </w:p>
        </w:tc>
        <w:tc>
          <w:tcPr>
            <w:tcW w:w="247" w:type="pct"/>
            <w:tcBorders>
              <w:bottom w:val="double" w:sz="6" w:space="0" w:color="auto"/>
              <w:righ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29</w:t>
            </w:r>
          </w:p>
        </w:tc>
        <w:tc>
          <w:tcPr>
            <w:tcW w:w="138" w:type="pct"/>
            <w:tcBorders>
              <w:top w:val="nil"/>
              <w:left w:val="double" w:sz="6" w:space="0" w:color="auto"/>
              <w:bottom w:val="nil"/>
              <w:right w:val="double" w:sz="6" w:space="0" w:color="auto"/>
            </w:tcBorders>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28</w:t>
            </w:r>
          </w:p>
        </w:tc>
        <w:tc>
          <w:tcPr>
            <w:tcW w:w="208" w:type="pct"/>
            <w:tcBorders>
              <w:top w:val="double" w:sz="6" w:space="0" w:color="auto"/>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29</w:t>
            </w:r>
          </w:p>
        </w:tc>
        <w:tc>
          <w:tcPr>
            <w:tcW w:w="249"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30</w:t>
            </w:r>
          </w:p>
        </w:tc>
        <w:tc>
          <w:tcPr>
            <w:tcW w:w="250"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31</w:t>
            </w:r>
          </w:p>
        </w:tc>
        <w:tc>
          <w:tcPr>
            <w:tcW w:w="216"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p>
        </w:tc>
        <w:tc>
          <w:tcPr>
            <w:tcW w:w="217"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p>
        </w:tc>
        <w:tc>
          <w:tcPr>
            <w:tcW w:w="225" w:type="pct"/>
            <w:tcBorders>
              <w:bottom w:val="double" w:sz="6" w:space="0" w:color="auto"/>
              <w:righ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p>
        </w:tc>
        <w:tc>
          <w:tcPr>
            <w:tcW w:w="153" w:type="pct"/>
            <w:tcBorders>
              <w:top w:val="nil"/>
              <w:left w:val="double" w:sz="6" w:space="0" w:color="auto"/>
              <w:bottom w:val="nil"/>
              <w:right w:val="double" w:sz="6" w:space="0" w:color="auto"/>
            </w:tcBorders>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25</w:t>
            </w:r>
          </w:p>
        </w:tc>
        <w:tc>
          <w:tcPr>
            <w:tcW w:w="223"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26</w:t>
            </w:r>
          </w:p>
        </w:tc>
        <w:tc>
          <w:tcPr>
            <w:tcW w:w="208"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27</w:t>
            </w:r>
          </w:p>
        </w:tc>
        <w:tc>
          <w:tcPr>
            <w:tcW w:w="208"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28</w:t>
            </w:r>
          </w:p>
        </w:tc>
        <w:tc>
          <w:tcPr>
            <w:tcW w:w="208"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29</w:t>
            </w:r>
          </w:p>
        </w:tc>
        <w:tc>
          <w:tcPr>
            <w:tcW w:w="208"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30</w:t>
            </w:r>
          </w:p>
        </w:tc>
        <w:tc>
          <w:tcPr>
            <w:tcW w:w="218" w:type="pct"/>
            <w:tcBorders>
              <w:bottom w:val="double" w:sz="6" w:space="0" w:color="auto"/>
              <w:righ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p>
        </w:tc>
      </w:tr>
    </w:tbl>
    <w:p w:rsidR="0013595D" w:rsidRPr="002E0C7E" w:rsidRDefault="0013595D" w:rsidP="0013595D">
      <w:pPr>
        <w:widowControl w:val="0"/>
        <w:tabs>
          <w:tab w:val="center" w:pos="5400"/>
          <w:tab w:val="right" w:pos="10440"/>
        </w:tabs>
        <w:rPr>
          <w:rFonts w:ascii="Arial" w:hAnsi="Arial"/>
          <w:sz w:val="18"/>
        </w:rPr>
      </w:pPr>
    </w:p>
    <w:p w:rsidR="0013595D" w:rsidRPr="002E0C7E" w:rsidRDefault="0013595D" w:rsidP="0013595D">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70"/>
        <w:gridCol w:w="480"/>
        <w:gridCol w:w="8370"/>
      </w:tblGrid>
      <w:tr w:rsidR="0013595D" w:rsidRPr="002E0C7E" w:rsidTr="00E942C2">
        <w:trPr>
          <w:cantSplit/>
        </w:trPr>
        <w:tc>
          <w:tcPr>
            <w:tcW w:w="1770" w:type="dxa"/>
            <w:tcBorders>
              <w:top w:val="nil"/>
              <w:left w:val="nil"/>
              <w:bottom w:val="nil"/>
              <w:right w:val="nil"/>
            </w:tcBorders>
            <w:tcMar>
              <w:top w:w="43" w:type="dxa"/>
              <w:left w:w="120" w:type="dxa"/>
              <w:bottom w:w="29" w:type="dxa"/>
              <w:right w:w="120" w:type="dxa"/>
            </w:tcMar>
          </w:tcPr>
          <w:p w:rsidR="0013595D" w:rsidRPr="002E0C7E" w:rsidRDefault="0013595D" w:rsidP="00E942C2">
            <w:pPr>
              <w:widowControl w:val="0"/>
              <w:rPr>
                <w:rFonts w:ascii="Arial" w:hAnsi="Arial"/>
                <w:sz w:val="16"/>
              </w:rPr>
            </w:pPr>
            <w:r>
              <w:rPr>
                <w:rFonts w:ascii="Arial" w:hAnsi="Arial"/>
                <w:sz w:val="16"/>
              </w:rPr>
              <w:t>Sittings of the C</w:t>
            </w:r>
            <w:r w:rsidRPr="002E0C7E">
              <w:rPr>
                <w:rFonts w:ascii="Arial" w:hAnsi="Arial"/>
                <w:sz w:val="16"/>
              </w:rPr>
              <w:t>ourt:</w:t>
            </w:r>
          </w:p>
          <w:p w:rsidR="0013595D" w:rsidRPr="002E0C7E" w:rsidRDefault="0013595D" w:rsidP="00E942C2">
            <w:pPr>
              <w:widowControl w:val="0"/>
              <w:rPr>
                <w:rFonts w:ascii="Arial" w:hAnsi="Arial"/>
                <w:sz w:val="16"/>
              </w:rPr>
            </w:pPr>
            <w:r>
              <w:rPr>
                <w:rFonts w:ascii="Arial" w:hAnsi="Arial"/>
                <w:sz w:val="16"/>
              </w:rPr>
              <w:t>Séances de la C</w:t>
            </w:r>
            <w:r w:rsidRPr="002E0C7E">
              <w:rPr>
                <w:rFonts w:ascii="Arial" w:hAnsi="Arial"/>
                <w:sz w:val="16"/>
              </w:rPr>
              <w:t>our :</w:t>
            </w:r>
          </w:p>
        </w:tc>
        <w:tc>
          <w:tcPr>
            <w:tcW w:w="480" w:type="dxa"/>
            <w:tcBorders>
              <w:top w:val="nil"/>
              <w:left w:val="nil"/>
              <w:bottom w:val="double" w:sz="8" w:space="0" w:color="000000"/>
              <w:right w:val="nil"/>
            </w:tcBorders>
            <w:shd w:val="pct30" w:color="000000" w:fill="auto"/>
            <w:tcMar>
              <w:top w:w="43" w:type="dxa"/>
              <w:left w:w="178" w:type="dxa"/>
              <w:bottom w:w="29" w:type="dxa"/>
              <w:right w:w="178" w:type="dxa"/>
            </w:tcMar>
          </w:tcPr>
          <w:p w:rsidR="0013595D" w:rsidRPr="002E0C7E" w:rsidRDefault="0013595D" w:rsidP="00E942C2">
            <w:pPr>
              <w:widowControl w:val="0"/>
              <w:rPr>
                <w:rFonts w:ascii="Arial" w:hAnsi="Arial"/>
                <w:sz w:val="16"/>
              </w:rPr>
            </w:pPr>
          </w:p>
          <w:p w:rsidR="0013595D" w:rsidRPr="002E0C7E" w:rsidRDefault="0013595D" w:rsidP="00E942C2">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13595D" w:rsidRPr="00B058C3"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18  sitting weeks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semaines séances de la cour</w:t>
            </w:r>
          </w:p>
          <w:p w:rsidR="0013595D" w:rsidRPr="00B058C3"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8</w:t>
            </w:r>
            <w:r>
              <w:rPr>
                <w:rFonts w:ascii="Arial" w:hAnsi="Arial"/>
                <w:b/>
                <w:sz w:val="16"/>
                <w:lang w:val="fr-CA"/>
              </w:rPr>
              <w:t>6</w:t>
            </w:r>
            <w:r w:rsidRPr="00B058C3">
              <w:rPr>
                <w:rFonts w:ascii="Arial" w:hAnsi="Arial"/>
                <w:b/>
                <w:sz w:val="16"/>
                <w:lang w:val="fr-CA"/>
              </w:rPr>
              <w:t xml:space="preserve">  sitting days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journées séances de la cour</w:t>
            </w:r>
          </w:p>
          <w:p w:rsidR="0013595D" w:rsidRPr="002E0C7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Pr>
                <w:rFonts w:ascii="Arial" w:hAnsi="Arial"/>
                <w:b/>
                <w:sz w:val="16"/>
                <w:lang w:val="fr-CA"/>
              </w:rPr>
              <w:t>4</w:t>
            </w:r>
            <w:r w:rsidRPr="002E0C7E">
              <w:rPr>
                <w:rFonts w:ascii="Arial" w:hAnsi="Arial"/>
                <w:b/>
                <w:sz w:val="16"/>
              </w:rPr>
              <w:t xml:space="preserve">    holidays during sitting days</w:t>
            </w:r>
            <w:r>
              <w:rPr>
                <w:rFonts w:ascii="Arial" w:hAnsi="Arial"/>
                <w:b/>
                <w:sz w:val="16"/>
              </w:rPr>
              <w:t xml:space="preserve"> </w:t>
            </w:r>
            <w:r w:rsidRPr="002E0C7E">
              <w:rPr>
                <w:rFonts w:ascii="Arial" w:hAnsi="Arial"/>
                <w:b/>
                <w:sz w:val="16"/>
              </w:rPr>
              <w:t>/ jours fériés durant les sessions</w:t>
            </w:r>
          </w:p>
          <w:p w:rsidR="0013595D" w:rsidRPr="002E0C7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13595D" w:rsidRPr="002E0C7E" w:rsidTr="00E942C2">
        <w:trPr>
          <w:cantSplit/>
        </w:trPr>
        <w:tc>
          <w:tcPr>
            <w:tcW w:w="1770" w:type="dxa"/>
            <w:tcBorders>
              <w:top w:val="nil"/>
              <w:left w:val="nil"/>
              <w:bottom w:val="nil"/>
              <w:right w:val="double" w:sz="8" w:space="0" w:color="000000"/>
            </w:tcBorders>
            <w:tcMar>
              <w:top w:w="43" w:type="dxa"/>
              <w:left w:w="120" w:type="dxa"/>
              <w:bottom w:w="29" w:type="dxa"/>
              <w:right w:w="120" w:type="dxa"/>
            </w:tcMar>
          </w:tcPr>
          <w:p w:rsidR="0013595D" w:rsidRPr="002E0C7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13595D" w:rsidRPr="002E0C7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48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13595D" w:rsidRPr="002E0C7E" w:rsidRDefault="0013595D" w:rsidP="00E942C2">
            <w:pPr>
              <w:widowControl w:val="0"/>
              <w:tabs>
                <w:tab w:val="center" w:pos="150"/>
              </w:tabs>
              <w:rPr>
                <w:rFonts w:ascii="Arial" w:hAnsi="Arial"/>
                <w:sz w:val="16"/>
              </w:rPr>
            </w:pPr>
            <w:r w:rsidRPr="002E0C7E">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13595D" w:rsidRPr="002E0C7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13595D" w:rsidRPr="002E0C7E" w:rsidRDefault="0013595D" w:rsidP="0013595D">
      <w:pPr>
        <w:widowControl w:val="0"/>
        <w:rPr>
          <w:rFonts w:ascii="Arial" w:hAnsi="Arial"/>
          <w:sz w:val="16"/>
        </w:rPr>
      </w:pPr>
    </w:p>
    <w:p w:rsidR="002410B8" w:rsidRPr="0022323B" w:rsidRDefault="002410B8" w:rsidP="0081610A">
      <w:pPr>
        <w:widowControl w:val="0"/>
        <w:spacing w:line="180" w:lineRule="auto"/>
        <w:jc w:val="center"/>
        <w:rPr>
          <w:lang w:val="fr-CA"/>
        </w:rPr>
      </w:pPr>
    </w:p>
    <w:sectPr w:rsidR="002410B8" w:rsidRPr="0022323B" w:rsidSect="00924065">
      <w:headerReference w:type="default" r:id="rId88"/>
      <w:footerReference w:type="default" r:id="rId89"/>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247" w:rsidRDefault="00ED4247" w:rsidP="00A87207">
      <w:r>
        <w:separator/>
      </w:r>
    </w:p>
  </w:endnote>
  <w:endnote w:type="continuationSeparator" w:id="0">
    <w:p w:rsidR="00ED4247" w:rsidRDefault="00ED4247"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247" w:rsidRDefault="00ED4247" w:rsidP="00A87207">
    <w:pPr>
      <w:pStyle w:val="Footer"/>
    </w:pPr>
    <w:r>
      <w:pict>
        <v:rect id="_x0000_i1046" style="width:480.95pt;height:1pt" o:hralign="center" o:hrstd="t" o:hrnoshade="t" o:hr="t" fillcolor="black [3213]" stroked="f"/>
      </w:pict>
    </w:r>
  </w:p>
  <w:p w:rsidR="00ED4247" w:rsidRPr="00B7374B" w:rsidRDefault="00ED4247"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E44FCA">
      <w:rPr>
        <w:noProof/>
        <w:szCs w:val="24"/>
      </w:rPr>
      <w:t>961</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247" w:rsidRDefault="00ED42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ED4247" w:rsidRDefault="00ED42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D4247" w:rsidRDefault="00ED4247">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247" w:rsidRDefault="00ED4247" w:rsidP="00732DB7">
    <w:r>
      <w:pict>
        <v:rect id="_x0000_i1085" style="width:480.95pt;height:1pt" o:hralign="center" o:hrstd="t" o:hrnoshade="t" o:hr="t" fillcolor="black" stroked="f"/>
      </w:pict>
    </w:r>
  </w:p>
  <w:p w:rsidR="00ED4247" w:rsidRDefault="00ED4247">
    <w:pPr>
      <w:tabs>
        <w:tab w:val="center" w:pos="4740"/>
      </w:tabs>
      <w:spacing w:line="0" w:lineRule="atLeast"/>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247" w:rsidRDefault="00ED4247">
    <w:pPr>
      <w:pStyle w:val="Footer"/>
    </w:pPr>
    <w:r>
      <w:pict>
        <v:rect id="_x0000_i1086" style="width:480.95pt;height:1pt" o:hralign="center" o:hrstd="t" o:hrnoshade="t" o:hr="t" fillcolor="black [3213]" stroked="f"/>
      </w:pict>
    </w:r>
  </w:p>
  <w:p w:rsidR="00ED4247" w:rsidRPr="003C2C0F" w:rsidRDefault="00ED4247" w:rsidP="00697C62">
    <w:pPr>
      <w:tabs>
        <w:tab w:val="center" w:pos="4680"/>
      </w:tabs>
    </w:pPr>
    <w:r>
      <w:tab/>
      <w:t xml:space="preserve">- </w:t>
    </w:r>
    <w:r>
      <w:fldChar w:fldCharType="begin"/>
    </w:r>
    <w:r>
      <w:instrText xml:space="preserve"> PAGE   \* MERGEFORMAT </w:instrText>
    </w:r>
    <w:r>
      <w:fldChar w:fldCharType="separate"/>
    </w:r>
    <w:r w:rsidR="00E44FCA">
      <w:rPr>
        <w:noProof/>
      </w:rPr>
      <w:t>991</w:t>
    </w:r>
    <w:r>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247" w:rsidRDefault="00ED42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ED4247" w:rsidRDefault="00ED42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D4247" w:rsidRDefault="00ED4247">
    <w:pPr>
      <w:tabs>
        <w:tab w:val="center" w:pos="4740"/>
      </w:tabs>
    </w:pPr>
    <w:r>
      <w:tab/>
      <w:t xml:space="preserve">- </w:t>
    </w:r>
    <w:r>
      <w:pgNum/>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247" w:rsidRDefault="00ED42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ED4247" w:rsidRDefault="00ED42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91" style="width:480.95pt;height:1pt" o:hralign="center" o:hrstd="t" o:hrnoshade="t" o:hr="t" fillcolor="black [3213]" stroked="f"/>
      </w:pict>
    </w:r>
  </w:p>
  <w:p w:rsidR="00ED4247" w:rsidRDefault="00ED4247"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E44FCA">
      <w:rPr>
        <w:noProof/>
        <w:szCs w:val="24"/>
      </w:rPr>
      <w:t>994</w:t>
    </w:r>
    <w:r w:rsidRPr="001775C1">
      <w:rPr>
        <w:szCs w:val="24"/>
      </w:rPr>
      <w:fldChar w:fldCharType="end"/>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247" w:rsidRDefault="00ED4247" w:rsidP="00782AE4">
    <w:pPr>
      <w:tabs>
        <w:tab w:val="center" w:pos="4680"/>
      </w:tabs>
    </w:pPr>
    <w:r>
      <w:pict>
        <v:rect id="_x0000_i1092" style="width:480.95pt;height:1pt" o:hralign="center" o:hrstd="t" o:hrnoshade="t" o:hr="t" fillcolor="black [3213]" stroked="f"/>
      </w:pict>
    </w:r>
  </w:p>
  <w:p w:rsidR="00ED4247" w:rsidRDefault="00ED4247"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E44FCA">
      <w:rPr>
        <w:noProof/>
        <w:szCs w:val="24"/>
      </w:rPr>
      <w:t>992</w:t>
    </w:r>
    <w:r w:rsidRPr="001775C1">
      <w:rPr>
        <w:szCs w:val="24"/>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247" w:rsidRPr="00924065" w:rsidRDefault="00ED4247"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247" w:rsidRDefault="00ED4247" w:rsidP="00755F22">
    <w:pPr>
      <w:tabs>
        <w:tab w:val="left" w:pos="-1440"/>
        <w:tab w:val="left" w:pos="-720"/>
      </w:tabs>
    </w:pPr>
    <w:r>
      <w:pict>
        <v:rect id="_x0000_i1047" style="width:480.95pt;height:1pt" o:hralign="center" o:hrstd="t" o:hrnoshade="t" o:hr="t" fillcolor="black [3213]" stroked="f"/>
      </w:pict>
    </w:r>
  </w:p>
  <w:p w:rsidR="00ED4247" w:rsidRPr="00954D22" w:rsidRDefault="00ED4247"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E44FCA">
      <w:rPr>
        <w:noProof/>
        <w:szCs w:val="24"/>
      </w:rPr>
      <w:t>959</w:t>
    </w:r>
    <w:r>
      <w:rPr>
        <w:szCs w:val="24"/>
      </w:rPr>
      <w:fldChar w:fldCharType="end"/>
    </w:r>
    <w:r w:rsidRPr="00954D22">
      <w:rPr>
        <w:szCs w:val="24"/>
      </w:rPr>
      <w:t xml:space="preserve"> -</w:t>
    </w:r>
  </w:p>
  <w:p w:rsidR="00ED4247" w:rsidRDefault="00ED42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247" w:rsidRDefault="00ED4247" w:rsidP="00A87207">
    <w:pPr>
      <w:pStyle w:val="Footer"/>
    </w:pPr>
    <w:r>
      <w:pict>
        <v:rect id="_x0000_i1049" style="width:480.95pt;height:1pt" o:hralign="center" o:hrstd="t" o:hrnoshade="t" o:hr="t" fillcolor="black [3213]" stroked="f"/>
      </w:pict>
    </w:r>
  </w:p>
  <w:p w:rsidR="00ED4247" w:rsidRPr="00B7374B" w:rsidRDefault="00ED4247"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503</w:t>
    </w:r>
    <w:r w:rsidRPr="00954D22">
      <w:rPr>
        <w:szCs w:val="24"/>
      </w:rPr>
      <w:fldChar w:fldCharType="end"/>
    </w:r>
    <w:r>
      <w:rPr>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247" w:rsidRDefault="00ED4247"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50" style="width:480.95pt;height:1pt" o:hralign="center" o:hrstd="t" o:hrnoshade="t" o:hr="t" fillcolor="black [3213]" stroked="f"/>
      </w:pict>
    </w:r>
  </w:p>
  <w:p w:rsidR="00ED4247" w:rsidRPr="00954D22" w:rsidRDefault="00ED4247"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E44FCA">
      <w:rPr>
        <w:noProof/>
        <w:szCs w:val="24"/>
      </w:rPr>
      <w:t>962</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247" w:rsidRDefault="00ED4247" w:rsidP="00A87207">
    <w:pPr>
      <w:pStyle w:val="Footer"/>
    </w:pPr>
    <w:r>
      <w:pict>
        <v:rect id="_x0000_i1053" style="width:480.95pt;height:1pt" o:hralign="center" o:hrstd="t" o:hrnoshade="t" o:hr="t" fillcolor="black [3213]" stroked="f"/>
      </w:pict>
    </w:r>
  </w:p>
  <w:p w:rsidR="00ED4247" w:rsidRPr="00B7374B" w:rsidRDefault="00ED4247"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E44FCA">
      <w:rPr>
        <w:noProof/>
        <w:szCs w:val="24"/>
      </w:rPr>
      <w:t>964</w:t>
    </w:r>
    <w:r w:rsidRPr="00954D22">
      <w:rPr>
        <w:szCs w:val="24"/>
      </w:rPr>
      <w:fldChar w:fldCharType="end"/>
    </w:r>
    <w:r>
      <w:rPr>
        <w:szCs w:val="24"/>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247" w:rsidRDefault="00ED4247"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54" style="width:480.95pt;height:1pt" o:hralign="center" o:hrstd="t" o:hrnoshade="t" o:hr="t" fillcolor="black [3213]" stroked="f"/>
      </w:pict>
    </w:r>
  </w:p>
  <w:p w:rsidR="00ED4247" w:rsidRPr="00954D22" w:rsidRDefault="00ED4247"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E44FCA">
      <w:rPr>
        <w:noProof/>
        <w:szCs w:val="24"/>
      </w:rPr>
      <w:t>963</w:t>
    </w:r>
    <w:r w:rsidRPr="00954D22">
      <w:rPr>
        <w:szCs w:val="24"/>
      </w:rPr>
      <w:fldChar w:fldCharType="end"/>
    </w:r>
    <w:r w:rsidRPr="00954D22">
      <w:rPr>
        <w:szCs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247" w:rsidRDefault="00ED42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ED4247" w:rsidRDefault="00ED42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D4247" w:rsidRDefault="00ED4247">
    <w:pPr>
      <w:tabs>
        <w:tab w:val="center" w:pos="4740"/>
      </w:tabs>
    </w:pPr>
    <w:r>
      <w:tab/>
      <w:t xml:space="preserve">- </w:t>
    </w:r>
    <w:r>
      <w:pgNum/>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247" w:rsidRDefault="00ED42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81" style="width:480.95pt;height:1pt" o:hralign="center" o:hrstd="t" o:hrnoshade="t" o:hr="t" fillcolor="black [3213]" stroked="f"/>
      </w:pict>
    </w:r>
  </w:p>
  <w:p w:rsidR="00ED4247" w:rsidRPr="0009648D" w:rsidRDefault="00ED4247" w:rsidP="00ED7E83">
    <w:pPr>
      <w:tabs>
        <w:tab w:val="center" w:pos="4680"/>
      </w:tabs>
    </w:pPr>
    <w:r>
      <w:tab/>
    </w:r>
    <w:r w:rsidRPr="0009648D">
      <w:t xml:space="preserve">- </w:t>
    </w:r>
    <w:r>
      <w:fldChar w:fldCharType="begin"/>
    </w:r>
    <w:r>
      <w:instrText xml:space="preserve"> PAGE   \* MERGEFORMAT </w:instrText>
    </w:r>
    <w:r>
      <w:fldChar w:fldCharType="separate"/>
    </w:r>
    <w:r w:rsidR="00E44FCA">
      <w:rPr>
        <w:noProof/>
      </w:rPr>
      <w:t>977</w:t>
    </w:r>
    <w:r>
      <w:rPr>
        <w:noProof/>
      </w:rPr>
      <w:fldChar w:fldCharType="end"/>
    </w:r>
    <w:r w:rsidRPr="0009648D">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247" w:rsidRDefault="00ED4247">
    <w:pPr>
      <w:pStyle w:val="Footer"/>
      <w:rPr>
        <w:lang w:val="fr-CA"/>
      </w:rPr>
    </w:pPr>
    <w:r>
      <w:rPr>
        <w:lang w:val="fr-CA"/>
      </w:rPr>
      <w:pict>
        <v:rect id="_x0000_i1082" style="width:480.95pt;height:1pt" o:hralign="center" o:hrstd="t" o:hrnoshade="t" o:hr="t" fillcolor="black [3213]" stroked="f"/>
      </w:pict>
    </w:r>
  </w:p>
  <w:p w:rsidR="00ED4247" w:rsidRDefault="00ED4247" w:rsidP="00245129">
    <w:pPr>
      <w:tabs>
        <w:tab w:val="center" w:pos="4680"/>
      </w:tabs>
    </w:pPr>
    <w:r>
      <w:tab/>
    </w:r>
    <w:r w:rsidRPr="0009648D">
      <w:t xml:space="preserve">- </w:t>
    </w:r>
    <w:r>
      <w:fldChar w:fldCharType="begin"/>
    </w:r>
    <w:r>
      <w:instrText xml:space="preserve"> PAGE   \* MERGEFORMAT </w:instrText>
    </w:r>
    <w:r>
      <w:fldChar w:fldCharType="separate"/>
    </w:r>
    <w:r w:rsidR="00E44FCA">
      <w:rPr>
        <w:noProof/>
      </w:rPr>
      <w:t>965</w:t>
    </w:r>
    <w:r>
      <w:rPr>
        <w:noProof/>
      </w:rPr>
      <w:fldChar w:fldCharType="end"/>
    </w:r>
    <w:r w:rsidRPr="0009648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247" w:rsidRDefault="00ED4247" w:rsidP="00A87207">
      <w:r>
        <w:separator/>
      </w:r>
    </w:p>
  </w:footnote>
  <w:footnote w:type="continuationSeparator" w:id="0">
    <w:p w:rsidR="00ED4247" w:rsidRDefault="00ED4247"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ED4247" w:rsidRPr="0044776A" w:rsidTr="00245129">
      <w:tc>
        <w:tcPr>
          <w:tcW w:w="4290" w:type="dxa"/>
          <w:tcMar>
            <w:left w:w="0" w:type="dxa"/>
            <w:right w:w="0" w:type="dxa"/>
          </w:tcMar>
        </w:tcPr>
        <w:p w:rsidR="00ED4247" w:rsidRPr="0044776A" w:rsidRDefault="00ED4247"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ED4247" w:rsidRPr="0044776A" w:rsidRDefault="00ED4247" w:rsidP="002E2327">
          <w:pPr>
            <w:keepNext/>
            <w:keepLines/>
            <w:tabs>
              <w:tab w:val="left" w:pos="-1440"/>
              <w:tab w:val="left" w:pos="-720"/>
            </w:tabs>
            <w:jc w:val="center"/>
            <w:rPr>
              <w:sz w:val="20"/>
              <w:szCs w:val="20"/>
            </w:rPr>
          </w:pPr>
        </w:p>
        <w:p w:rsidR="00ED4247" w:rsidRPr="0044776A" w:rsidRDefault="00ED4247" w:rsidP="002E2327">
          <w:pPr>
            <w:keepNext/>
            <w:keepLines/>
            <w:tabs>
              <w:tab w:val="left" w:pos="-1440"/>
              <w:tab w:val="left" w:pos="-720"/>
            </w:tabs>
            <w:jc w:val="center"/>
            <w:rPr>
              <w:sz w:val="20"/>
              <w:szCs w:val="20"/>
            </w:rPr>
          </w:pPr>
        </w:p>
        <w:p w:rsidR="00ED4247" w:rsidRPr="0044776A" w:rsidRDefault="00ED4247" w:rsidP="002E2327">
          <w:pPr>
            <w:keepNext/>
            <w:keepLines/>
            <w:tabs>
              <w:tab w:val="left" w:pos="-1440"/>
              <w:tab w:val="left" w:pos="-720"/>
            </w:tabs>
            <w:jc w:val="center"/>
            <w:rPr>
              <w:sz w:val="20"/>
              <w:szCs w:val="20"/>
            </w:rPr>
          </w:pPr>
        </w:p>
      </w:tc>
      <w:tc>
        <w:tcPr>
          <w:tcW w:w="4320" w:type="dxa"/>
          <w:tcMar>
            <w:left w:w="0" w:type="dxa"/>
            <w:right w:w="0" w:type="dxa"/>
          </w:tcMar>
        </w:tcPr>
        <w:p w:rsidR="00ED4247" w:rsidRPr="0044776A" w:rsidRDefault="00ED4247" w:rsidP="002E2327">
          <w:pPr>
            <w:keepLines/>
            <w:rPr>
              <w:sz w:val="20"/>
              <w:szCs w:val="20"/>
              <w:lang w:val="fr-CA"/>
            </w:rPr>
          </w:pPr>
          <w:r w:rsidRPr="0044776A">
            <w:rPr>
              <w:sz w:val="20"/>
              <w:szCs w:val="20"/>
              <w:lang w:val="fr-CA"/>
            </w:rPr>
            <w:t>DEMANDES D'AUTORISATION D'APPEL DÉPOSÉES</w:t>
          </w:r>
        </w:p>
      </w:tc>
    </w:tr>
  </w:tbl>
  <w:p w:rsidR="00ED4247" w:rsidRDefault="00ED424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ED4247" w:rsidRPr="00ED4247">
      <w:tc>
        <w:tcPr>
          <w:tcW w:w="4200" w:type="dxa"/>
          <w:tcMar>
            <w:left w:w="0" w:type="dxa"/>
            <w:right w:w="0" w:type="dxa"/>
          </w:tcMar>
        </w:tcPr>
        <w:p w:rsidR="00ED4247" w:rsidRDefault="00ED424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ED4247" w:rsidRDefault="00ED424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ED4247" w:rsidRDefault="00ED424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ED4247" w:rsidRPr="003C2C0F" w:rsidRDefault="00ED424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ED4247" w:rsidRPr="003C2C0F" w:rsidRDefault="00ED42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ED4247" w:rsidRPr="003C2C0F" w:rsidRDefault="00ED42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ED4247" w:rsidRPr="00ED4247" w:rsidTr="00245129">
      <w:tc>
        <w:tcPr>
          <w:tcW w:w="4200" w:type="dxa"/>
          <w:tcMar>
            <w:left w:w="0" w:type="dxa"/>
            <w:right w:w="0" w:type="dxa"/>
          </w:tcMar>
        </w:tcPr>
        <w:p w:rsidR="00ED4247" w:rsidRPr="00FF6EEC" w:rsidRDefault="00ED4247" w:rsidP="00FF6EEC">
          <w:pPr>
            <w:rPr>
              <w:sz w:val="20"/>
              <w:szCs w:val="20"/>
            </w:rPr>
          </w:pPr>
          <w:r w:rsidRPr="00FF6EEC">
            <w:rPr>
              <w:sz w:val="20"/>
              <w:szCs w:val="20"/>
            </w:rPr>
            <w:t>PRONOUNCEMENTS OF APPEALS RESERVED</w:t>
          </w:r>
        </w:p>
      </w:tc>
      <w:tc>
        <w:tcPr>
          <w:tcW w:w="1200" w:type="dxa"/>
          <w:tcMar>
            <w:left w:w="0" w:type="dxa"/>
            <w:right w:w="0" w:type="dxa"/>
          </w:tcMar>
        </w:tcPr>
        <w:p w:rsidR="00ED4247" w:rsidRPr="00FF6EEC" w:rsidRDefault="00ED4247" w:rsidP="00FF6EEC">
          <w:pPr>
            <w:jc w:val="center"/>
            <w:rPr>
              <w:sz w:val="20"/>
              <w:szCs w:val="20"/>
            </w:rPr>
          </w:pPr>
        </w:p>
        <w:p w:rsidR="00ED4247" w:rsidRPr="00FF6EEC" w:rsidRDefault="00ED4247" w:rsidP="00FF6EEC">
          <w:pPr>
            <w:jc w:val="center"/>
            <w:rPr>
              <w:sz w:val="20"/>
              <w:szCs w:val="20"/>
            </w:rPr>
          </w:pPr>
        </w:p>
        <w:p w:rsidR="00ED4247" w:rsidRPr="00FF6EEC" w:rsidRDefault="00ED4247" w:rsidP="00FF6EEC">
          <w:pPr>
            <w:jc w:val="center"/>
            <w:rPr>
              <w:sz w:val="20"/>
              <w:szCs w:val="20"/>
            </w:rPr>
          </w:pPr>
        </w:p>
      </w:tc>
      <w:tc>
        <w:tcPr>
          <w:tcW w:w="4080" w:type="dxa"/>
          <w:tcMar>
            <w:left w:w="0" w:type="dxa"/>
            <w:right w:w="0" w:type="dxa"/>
          </w:tcMar>
        </w:tcPr>
        <w:p w:rsidR="00ED4247" w:rsidRPr="00FF6EEC" w:rsidRDefault="00ED4247" w:rsidP="00FF6EEC">
          <w:pPr>
            <w:rPr>
              <w:sz w:val="20"/>
              <w:szCs w:val="20"/>
              <w:lang w:val="fr-CA"/>
            </w:rPr>
          </w:pPr>
          <w:r w:rsidRPr="00FF6EEC">
            <w:rPr>
              <w:sz w:val="20"/>
              <w:szCs w:val="20"/>
              <w:lang w:val="fr-CA"/>
            </w:rPr>
            <w:t>JUGEMENTS RENDUS SUR LES APPELS EN DÉLIBÉRÉ</w:t>
          </w:r>
        </w:p>
      </w:tc>
    </w:tr>
  </w:tbl>
  <w:p w:rsidR="00ED4247" w:rsidRPr="003C2C0F" w:rsidRDefault="00ED4247"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247" w:rsidRDefault="00ED4247">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ED4247">
      <w:tc>
        <w:tcPr>
          <w:tcW w:w="4230" w:type="dxa"/>
          <w:tcMar>
            <w:left w:w="0" w:type="dxa"/>
            <w:right w:w="0" w:type="dxa"/>
          </w:tcMar>
        </w:tcPr>
        <w:p w:rsidR="00ED4247" w:rsidRDefault="00ED424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ED4247" w:rsidRDefault="00ED424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ED4247" w:rsidRDefault="00ED424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ED4247" w:rsidRDefault="00ED424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ED4247" w:rsidRDefault="00ED424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ED4247" w:rsidRDefault="00ED424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ED4247" w:rsidRDefault="00ED42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ED4247" w:rsidRDefault="00ED42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ED4247" w:rsidRPr="00782AE4" w:rsidTr="00245129">
      <w:tc>
        <w:tcPr>
          <w:tcW w:w="4230" w:type="dxa"/>
          <w:tcMar>
            <w:left w:w="0" w:type="dxa"/>
            <w:right w:w="0" w:type="dxa"/>
          </w:tcMar>
        </w:tcPr>
        <w:p w:rsidR="00ED4247" w:rsidRPr="00782AE4" w:rsidRDefault="00ED4247" w:rsidP="00102926">
          <w:pPr>
            <w:keepNext/>
            <w:keepLines/>
            <w:tabs>
              <w:tab w:val="left" w:pos="-1440"/>
              <w:tab w:val="left" w:pos="-720"/>
            </w:tabs>
            <w:rPr>
              <w:sz w:val="20"/>
              <w:szCs w:val="20"/>
            </w:rPr>
          </w:pPr>
          <w:r w:rsidRPr="00782AE4">
            <w:rPr>
              <w:sz w:val="20"/>
              <w:szCs w:val="20"/>
            </w:rPr>
            <w:t xml:space="preserve">HEADNOTES OF RECENT </w:t>
          </w:r>
        </w:p>
        <w:p w:rsidR="00ED4247" w:rsidRPr="00782AE4" w:rsidRDefault="00ED424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ED4247" w:rsidRDefault="00ED4247" w:rsidP="00102926">
          <w:pPr>
            <w:keepNext/>
            <w:keepLines/>
            <w:tabs>
              <w:tab w:val="left" w:pos="-1440"/>
              <w:tab w:val="left" w:pos="-720"/>
            </w:tabs>
            <w:jc w:val="center"/>
            <w:rPr>
              <w:sz w:val="20"/>
              <w:szCs w:val="20"/>
            </w:rPr>
          </w:pPr>
        </w:p>
        <w:p w:rsidR="00ED4247" w:rsidRDefault="00ED4247" w:rsidP="00102926">
          <w:pPr>
            <w:keepNext/>
            <w:keepLines/>
            <w:tabs>
              <w:tab w:val="left" w:pos="-1440"/>
              <w:tab w:val="left" w:pos="-720"/>
            </w:tabs>
            <w:jc w:val="center"/>
            <w:rPr>
              <w:sz w:val="20"/>
              <w:szCs w:val="20"/>
            </w:rPr>
          </w:pPr>
        </w:p>
        <w:p w:rsidR="00ED4247" w:rsidRPr="00782AE4" w:rsidRDefault="00ED4247" w:rsidP="00102926">
          <w:pPr>
            <w:keepNext/>
            <w:keepLines/>
            <w:tabs>
              <w:tab w:val="left" w:pos="-1440"/>
              <w:tab w:val="left" w:pos="-720"/>
            </w:tabs>
            <w:jc w:val="center"/>
            <w:rPr>
              <w:sz w:val="20"/>
              <w:szCs w:val="20"/>
            </w:rPr>
          </w:pPr>
        </w:p>
      </w:tc>
      <w:tc>
        <w:tcPr>
          <w:tcW w:w="4080" w:type="dxa"/>
          <w:tcMar>
            <w:left w:w="0" w:type="dxa"/>
            <w:right w:w="0" w:type="dxa"/>
          </w:tcMar>
        </w:tcPr>
        <w:p w:rsidR="00ED4247" w:rsidRPr="00102926" w:rsidRDefault="00ED424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ED4247" w:rsidRPr="00782AE4" w:rsidRDefault="00ED4247" w:rsidP="00102926">
          <w:pPr>
            <w:keepLines/>
            <w:tabs>
              <w:tab w:val="left" w:pos="-1440"/>
              <w:tab w:val="left" w:pos="-720"/>
            </w:tabs>
            <w:rPr>
              <w:sz w:val="20"/>
              <w:szCs w:val="20"/>
            </w:rPr>
          </w:pPr>
          <w:r w:rsidRPr="00102926">
            <w:rPr>
              <w:sz w:val="20"/>
              <w:szCs w:val="20"/>
              <w:lang w:val="fr-CA"/>
            </w:rPr>
            <w:t>RÉCENTS</w:t>
          </w:r>
        </w:p>
      </w:tc>
    </w:tr>
  </w:tbl>
  <w:p w:rsidR="00ED4247" w:rsidRDefault="00ED4247"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247" w:rsidRDefault="00ED4247">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247" w:rsidRDefault="00ED42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247" w:rsidRDefault="00ED42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ED4247" w:rsidRPr="00ED4247" w:rsidTr="00245129">
      <w:tc>
        <w:tcPr>
          <w:tcW w:w="4200" w:type="dxa"/>
          <w:tcMar>
            <w:left w:w="0" w:type="dxa"/>
            <w:right w:w="0" w:type="dxa"/>
          </w:tcMar>
        </w:tcPr>
        <w:p w:rsidR="00ED4247" w:rsidRPr="0044776A" w:rsidRDefault="00ED4247" w:rsidP="0044776A">
          <w:pPr>
            <w:keepNext/>
            <w:keepLines/>
            <w:widowControl w:val="0"/>
            <w:rPr>
              <w:sz w:val="20"/>
              <w:szCs w:val="20"/>
            </w:rPr>
          </w:pPr>
          <w:r>
            <w:rPr>
              <w:sz w:val="20"/>
              <w:szCs w:val="20"/>
            </w:rPr>
            <w:t>APPLICATIONS FOR LEAVE</w:t>
          </w:r>
        </w:p>
        <w:p w:rsidR="00ED4247" w:rsidRPr="0044776A" w:rsidRDefault="00ED4247"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ED4247" w:rsidRPr="0044776A" w:rsidRDefault="00ED4247" w:rsidP="0044776A">
          <w:pPr>
            <w:keepNext/>
            <w:keepLines/>
            <w:widowControl w:val="0"/>
            <w:jc w:val="center"/>
            <w:rPr>
              <w:sz w:val="20"/>
              <w:szCs w:val="20"/>
            </w:rPr>
          </w:pPr>
        </w:p>
        <w:p w:rsidR="00ED4247" w:rsidRPr="0044776A" w:rsidRDefault="00ED4247" w:rsidP="0044776A">
          <w:pPr>
            <w:keepNext/>
            <w:keepLines/>
            <w:widowControl w:val="0"/>
            <w:jc w:val="center"/>
            <w:rPr>
              <w:sz w:val="20"/>
              <w:szCs w:val="20"/>
            </w:rPr>
          </w:pPr>
        </w:p>
        <w:p w:rsidR="00ED4247" w:rsidRPr="0044776A" w:rsidRDefault="00ED4247" w:rsidP="0044776A">
          <w:pPr>
            <w:keepNext/>
            <w:keepLines/>
            <w:widowControl w:val="0"/>
            <w:jc w:val="center"/>
            <w:rPr>
              <w:sz w:val="20"/>
              <w:szCs w:val="20"/>
            </w:rPr>
          </w:pPr>
        </w:p>
      </w:tc>
      <w:tc>
        <w:tcPr>
          <w:tcW w:w="4080" w:type="dxa"/>
          <w:tcMar>
            <w:left w:w="0" w:type="dxa"/>
            <w:right w:w="0" w:type="dxa"/>
          </w:tcMar>
        </w:tcPr>
        <w:p w:rsidR="00ED4247" w:rsidRPr="0044776A" w:rsidRDefault="00ED4247" w:rsidP="0044776A">
          <w:pPr>
            <w:keepLines/>
            <w:widowControl w:val="0"/>
            <w:rPr>
              <w:sz w:val="20"/>
              <w:szCs w:val="20"/>
              <w:lang w:val="fr-CA"/>
            </w:rPr>
          </w:pPr>
          <w:r w:rsidRPr="0044776A">
            <w:rPr>
              <w:sz w:val="20"/>
              <w:szCs w:val="20"/>
              <w:lang w:val="fr-CA"/>
            </w:rPr>
            <w:t>DEMANDES SOUMISES À LA COUR DEPUIS LA DERNIÈRE PARUTION</w:t>
          </w:r>
        </w:p>
        <w:p w:rsidR="00ED4247" w:rsidRPr="0044776A" w:rsidRDefault="00ED4247" w:rsidP="0044776A">
          <w:pPr>
            <w:widowControl w:val="0"/>
            <w:rPr>
              <w:sz w:val="20"/>
              <w:szCs w:val="20"/>
              <w:lang w:val="fr-CA"/>
            </w:rPr>
          </w:pPr>
        </w:p>
      </w:tc>
    </w:tr>
  </w:tbl>
  <w:p w:rsidR="00ED4247" w:rsidRPr="002E2327" w:rsidRDefault="00ED4247">
    <w:pPr>
      <w:pStyle w:val="Header"/>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247" w:rsidRDefault="00ED424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ED4247" w:rsidRPr="00ED4247" w:rsidTr="00245129">
      <w:tc>
        <w:tcPr>
          <w:tcW w:w="4200" w:type="dxa"/>
          <w:tcMar>
            <w:left w:w="0" w:type="dxa"/>
            <w:right w:w="0" w:type="dxa"/>
          </w:tcMar>
        </w:tcPr>
        <w:p w:rsidR="00ED4247" w:rsidRPr="0044776A" w:rsidRDefault="00ED4247" w:rsidP="0044776A">
          <w:pPr>
            <w:keepNext/>
            <w:keepLines/>
            <w:widowControl w:val="0"/>
            <w:rPr>
              <w:sz w:val="20"/>
              <w:szCs w:val="20"/>
            </w:rPr>
          </w:pPr>
          <w:r>
            <w:rPr>
              <w:sz w:val="20"/>
              <w:szCs w:val="20"/>
            </w:rPr>
            <w:t>APPLICATIONS FOR LEAVE</w:t>
          </w:r>
        </w:p>
        <w:p w:rsidR="00ED4247" w:rsidRPr="0044776A" w:rsidRDefault="00ED4247"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ED4247" w:rsidRPr="0044776A" w:rsidRDefault="00ED4247" w:rsidP="0044776A">
          <w:pPr>
            <w:keepNext/>
            <w:keepLines/>
            <w:widowControl w:val="0"/>
            <w:jc w:val="center"/>
            <w:rPr>
              <w:sz w:val="20"/>
              <w:szCs w:val="20"/>
            </w:rPr>
          </w:pPr>
        </w:p>
        <w:p w:rsidR="00ED4247" w:rsidRPr="0044776A" w:rsidRDefault="00ED4247" w:rsidP="0044776A">
          <w:pPr>
            <w:keepNext/>
            <w:keepLines/>
            <w:widowControl w:val="0"/>
            <w:jc w:val="center"/>
            <w:rPr>
              <w:sz w:val="20"/>
              <w:szCs w:val="20"/>
            </w:rPr>
          </w:pPr>
        </w:p>
        <w:p w:rsidR="00ED4247" w:rsidRPr="0044776A" w:rsidRDefault="00ED4247" w:rsidP="0044776A">
          <w:pPr>
            <w:keepNext/>
            <w:keepLines/>
            <w:widowControl w:val="0"/>
            <w:jc w:val="center"/>
            <w:rPr>
              <w:sz w:val="20"/>
              <w:szCs w:val="20"/>
            </w:rPr>
          </w:pPr>
        </w:p>
      </w:tc>
      <w:tc>
        <w:tcPr>
          <w:tcW w:w="4080" w:type="dxa"/>
          <w:tcMar>
            <w:left w:w="0" w:type="dxa"/>
            <w:right w:w="0" w:type="dxa"/>
          </w:tcMar>
        </w:tcPr>
        <w:p w:rsidR="00ED4247" w:rsidRPr="0044776A" w:rsidRDefault="00ED4247" w:rsidP="0044776A">
          <w:pPr>
            <w:keepLines/>
            <w:widowControl w:val="0"/>
            <w:rPr>
              <w:sz w:val="20"/>
              <w:szCs w:val="20"/>
              <w:lang w:val="fr-CA"/>
            </w:rPr>
          </w:pPr>
          <w:r w:rsidRPr="0044776A">
            <w:rPr>
              <w:sz w:val="20"/>
              <w:szCs w:val="20"/>
              <w:lang w:val="fr-CA"/>
            </w:rPr>
            <w:t>DEMANDES SOUMISES À LA COUR DEPUIS LA DERNIÈRE PARUTION</w:t>
          </w:r>
        </w:p>
        <w:p w:rsidR="00ED4247" w:rsidRPr="0044776A" w:rsidRDefault="00ED4247" w:rsidP="0044776A">
          <w:pPr>
            <w:widowControl w:val="0"/>
            <w:rPr>
              <w:sz w:val="20"/>
              <w:szCs w:val="20"/>
              <w:lang w:val="fr-CA"/>
            </w:rPr>
          </w:pPr>
        </w:p>
      </w:tc>
    </w:tr>
  </w:tbl>
  <w:p w:rsidR="00ED4247" w:rsidRPr="002E2327" w:rsidRDefault="00ED4247">
    <w:pPr>
      <w:pStyle w:val="Header"/>
      <w:rPr>
        <w:lang w:val="fr-C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247" w:rsidRDefault="00ED424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ED4247" w:rsidRPr="00ED4247">
      <w:tc>
        <w:tcPr>
          <w:tcW w:w="4200" w:type="dxa"/>
          <w:tcMar>
            <w:left w:w="0" w:type="dxa"/>
            <w:right w:w="0" w:type="dxa"/>
          </w:tcMar>
        </w:tcPr>
        <w:p w:rsidR="00ED4247" w:rsidRDefault="00ED424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ED4247" w:rsidRDefault="00ED424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ED4247" w:rsidRDefault="00ED424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ED4247" w:rsidRPr="00FF6BA5" w:rsidRDefault="00ED424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ED4247" w:rsidRPr="00FF6BA5" w:rsidRDefault="00ED42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ED4247" w:rsidRPr="00FF6BA5" w:rsidRDefault="00ED42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ED4247" w:rsidRPr="00FF6BA5" w:rsidRDefault="00ED42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ED4247" w:rsidRPr="00ED4247" w:rsidTr="00245129">
      <w:tc>
        <w:tcPr>
          <w:tcW w:w="4200" w:type="dxa"/>
          <w:tcMar>
            <w:left w:w="0" w:type="dxa"/>
            <w:right w:w="0" w:type="dxa"/>
          </w:tcMar>
        </w:tcPr>
        <w:p w:rsidR="00ED4247" w:rsidRPr="00755F22" w:rsidRDefault="00ED424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ED4247" w:rsidRPr="00755F22" w:rsidRDefault="00ED424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ED4247" w:rsidRPr="00755F22" w:rsidRDefault="00ED4247"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ED4247" w:rsidRPr="00755F22" w:rsidRDefault="00ED4247"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ED4247" w:rsidRPr="00755F22" w:rsidRDefault="00ED4247"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ED4247" w:rsidRPr="00755F22" w:rsidRDefault="00ED424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ED4247" w:rsidRPr="00FF6BA5" w:rsidRDefault="00ED4247" w:rsidP="00755F22">
    <w:pPr>
      <w:tabs>
        <w:tab w:val="left" w:pos="-1440"/>
        <w:tab w:val="left" w:pos="-720"/>
      </w:tabs>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247" w:rsidRDefault="00ED42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70E2"/>
    <w:multiLevelType w:val="hybridMultilevel"/>
    <w:tmpl w:val="E0BAC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03931"/>
    <w:multiLevelType w:val="hybridMultilevel"/>
    <w:tmpl w:val="00F0406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0A2854C9"/>
    <w:multiLevelType w:val="hybridMultilevel"/>
    <w:tmpl w:val="BC383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F97C66"/>
    <w:multiLevelType w:val="hybridMultilevel"/>
    <w:tmpl w:val="79703E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6736994"/>
    <w:multiLevelType w:val="hybridMultilevel"/>
    <w:tmpl w:val="552E23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F0334F"/>
    <w:multiLevelType w:val="hybridMultilevel"/>
    <w:tmpl w:val="2E083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2B6428"/>
    <w:multiLevelType w:val="hybridMultilevel"/>
    <w:tmpl w:val="2F5E6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4D5A58"/>
    <w:multiLevelType w:val="hybridMultilevel"/>
    <w:tmpl w:val="EF844478"/>
    <w:lvl w:ilvl="0" w:tplc="296A3426">
      <w:start w:val="5"/>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E9D1D02"/>
    <w:multiLevelType w:val="hybridMultilevel"/>
    <w:tmpl w:val="C10447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15:restartNumberingAfterBreak="0">
    <w:nsid w:val="202278EC"/>
    <w:multiLevelType w:val="hybridMultilevel"/>
    <w:tmpl w:val="AC9C8176"/>
    <w:lvl w:ilvl="0" w:tplc="F7341CEE">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05F2483"/>
    <w:multiLevelType w:val="hybridMultilevel"/>
    <w:tmpl w:val="C142B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53200A"/>
    <w:multiLevelType w:val="hybridMultilevel"/>
    <w:tmpl w:val="B03A2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8D4164"/>
    <w:multiLevelType w:val="hybridMultilevel"/>
    <w:tmpl w:val="9872F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FC371A"/>
    <w:multiLevelType w:val="hybridMultilevel"/>
    <w:tmpl w:val="303E36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4EC2069"/>
    <w:multiLevelType w:val="hybridMultilevel"/>
    <w:tmpl w:val="13BEC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1432BD"/>
    <w:multiLevelType w:val="hybridMultilevel"/>
    <w:tmpl w:val="93F479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221DA8"/>
    <w:multiLevelType w:val="hybridMultilevel"/>
    <w:tmpl w:val="93E2D1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D721B55"/>
    <w:multiLevelType w:val="hybridMultilevel"/>
    <w:tmpl w:val="8766F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B72556"/>
    <w:multiLevelType w:val="hybridMultilevel"/>
    <w:tmpl w:val="7DEEB5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37C6886"/>
    <w:multiLevelType w:val="hybridMultilevel"/>
    <w:tmpl w:val="3ED4B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A363C9"/>
    <w:multiLevelType w:val="hybridMultilevel"/>
    <w:tmpl w:val="3236A848"/>
    <w:lvl w:ilvl="0" w:tplc="500C35D4">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1215033"/>
    <w:multiLevelType w:val="hybridMultilevel"/>
    <w:tmpl w:val="DDF48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FD1B70"/>
    <w:multiLevelType w:val="hybridMultilevel"/>
    <w:tmpl w:val="FCDE949E"/>
    <w:lvl w:ilvl="0" w:tplc="4DC6FE30">
      <w:start w:val="4"/>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5851381"/>
    <w:multiLevelType w:val="hybridMultilevel"/>
    <w:tmpl w:val="A0C64E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7466BFE"/>
    <w:multiLevelType w:val="hybridMultilevel"/>
    <w:tmpl w:val="A1386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2311A5"/>
    <w:multiLevelType w:val="hybridMultilevel"/>
    <w:tmpl w:val="19F8820E"/>
    <w:lvl w:ilvl="0" w:tplc="E66EA206">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BB91052"/>
    <w:multiLevelType w:val="hybridMultilevel"/>
    <w:tmpl w:val="7FC2CBF0"/>
    <w:lvl w:ilvl="0" w:tplc="EB84D46E">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C002DA8"/>
    <w:multiLevelType w:val="hybridMultilevel"/>
    <w:tmpl w:val="C97895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13F7D91"/>
    <w:multiLevelType w:val="hybridMultilevel"/>
    <w:tmpl w:val="2E8293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5246BBF"/>
    <w:multiLevelType w:val="hybridMultilevel"/>
    <w:tmpl w:val="8A8EE4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5A8241D"/>
    <w:multiLevelType w:val="hybridMultilevel"/>
    <w:tmpl w:val="42EE0CF4"/>
    <w:lvl w:ilvl="0" w:tplc="50727C8C">
      <w:start w:val="2"/>
      <w:numFmt w:val="decimal"/>
      <w:lvlText w:val="%1."/>
      <w:lvlJc w:val="left"/>
      <w:pPr>
        <w:ind w:left="720" w:hanging="360"/>
      </w:pPr>
      <w:rPr>
        <w:i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3" w15:restartNumberingAfterBreak="0">
    <w:nsid w:val="6B416E9C"/>
    <w:multiLevelType w:val="hybridMultilevel"/>
    <w:tmpl w:val="6826D6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DE549A4"/>
    <w:multiLevelType w:val="hybridMultilevel"/>
    <w:tmpl w:val="0D6C2E6A"/>
    <w:lvl w:ilvl="0" w:tplc="189A4340">
      <w:start w:val="2"/>
      <w:numFmt w:val="decimal"/>
      <w:lvlText w:val="%1."/>
      <w:lvlJc w:val="left"/>
      <w:pPr>
        <w:ind w:left="720" w:hanging="360"/>
      </w:pPr>
      <w:rPr>
        <w:i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5" w15:restartNumberingAfterBreak="0">
    <w:nsid w:val="70147822"/>
    <w:multiLevelType w:val="hybridMultilevel"/>
    <w:tmpl w:val="5844B900"/>
    <w:lvl w:ilvl="0" w:tplc="B8CA8CF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E430F0"/>
    <w:multiLevelType w:val="hybridMultilevel"/>
    <w:tmpl w:val="454E2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CA4F50"/>
    <w:multiLevelType w:val="hybridMultilevel"/>
    <w:tmpl w:val="D9786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A752C6"/>
    <w:multiLevelType w:val="hybridMultilevel"/>
    <w:tmpl w:val="57409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7237F8"/>
    <w:multiLevelType w:val="hybridMultilevel"/>
    <w:tmpl w:val="C97895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7A01038"/>
    <w:multiLevelType w:val="hybridMultilevel"/>
    <w:tmpl w:val="14C8A6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7DD30DA"/>
    <w:multiLevelType w:val="hybridMultilevel"/>
    <w:tmpl w:val="7DEEB5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8ED6E93"/>
    <w:multiLevelType w:val="hybridMultilevel"/>
    <w:tmpl w:val="74704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2434B3"/>
    <w:multiLevelType w:val="hybridMultilevel"/>
    <w:tmpl w:val="E27A0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D268F8"/>
    <w:multiLevelType w:val="hybridMultilevel"/>
    <w:tmpl w:val="8E887A14"/>
    <w:lvl w:ilvl="0" w:tplc="F3C6B756">
      <w:start w:val="3"/>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9"/>
  </w:num>
  <w:num w:numId="2">
    <w:abstractNumId w:val="24"/>
  </w:num>
  <w:num w:numId="3">
    <w:abstractNumId w:val="24"/>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0"/>
  </w:num>
  <w:num w:numId="9">
    <w:abstractNumId w:val="18"/>
  </w:num>
  <w:num w:numId="10">
    <w:abstractNumId w:val="41"/>
  </w:num>
  <w:num w:numId="11">
    <w:abstractNumId w:val="26"/>
  </w:num>
  <w:num w:numId="12">
    <w:abstractNumId w:val="15"/>
  </w:num>
  <w:num w:numId="13">
    <w:abstractNumId w:val="3"/>
  </w:num>
  <w:num w:numId="14">
    <w:abstractNumId w:val="25"/>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num>
  <w:num w:numId="17">
    <w:abstractNumId w:val="33"/>
  </w:num>
  <w:num w:numId="18">
    <w:abstractNumId w:val="42"/>
  </w:num>
  <w:num w:numId="19">
    <w:abstractNumId w:val="37"/>
  </w:num>
  <w:num w:numId="20">
    <w:abstractNumId w:val="6"/>
  </w:num>
  <w:num w:numId="21">
    <w:abstractNumId w:val="39"/>
  </w:num>
  <w:num w:numId="22">
    <w:abstractNumId w:val="29"/>
  </w:num>
  <w:num w:numId="23">
    <w:abstractNumId w:val="14"/>
  </w:num>
  <w:num w:numId="24">
    <w:abstractNumId w:val="9"/>
  </w:num>
  <w:num w:numId="25">
    <w:abstractNumId w:val="30"/>
  </w:num>
  <w:num w:numId="26">
    <w:abstractNumId w:val="7"/>
  </w:num>
  <w:num w:numId="27">
    <w:abstractNumId w:val="0"/>
  </w:num>
  <w:num w:numId="28">
    <w:abstractNumId w:val="31"/>
  </w:num>
  <w:num w:numId="29">
    <w:abstractNumId w:val="5"/>
  </w:num>
  <w:num w:numId="30">
    <w:abstractNumId w:val="16"/>
  </w:num>
  <w:num w:numId="31">
    <w:abstractNumId w:val="17"/>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36"/>
  </w:num>
  <w:num w:numId="35">
    <w:abstractNumId w:val="12"/>
  </w:num>
  <w:num w:numId="36">
    <w:abstractNumId w:val="40"/>
  </w:num>
  <w:num w:numId="37">
    <w:abstractNumId w:val="2"/>
  </w:num>
  <w:num w:numId="38">
    <w:abstractNumId w:val="28"/>
  </w:num>
  <w:num w:numId="39">
    <w:abstractNumId w:val="13"/>
  </w:num>
  <w:num w:numId="40">
    <w:abstractNumId w:val="11"/>
  </w:num>
  <w:num w:numId="41">
    <w:abstractNumId w:val="35"/>
  </w:num>
  <w:num w:numId="42">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num>
  <w:num w:numId="45">
    <w:abstractNumId w:val="21"/>
  </w:num>
  <w:num w:numId="46">
    <w:abstractNumId w:val="27"/>
  </w:num>
  <w:num w:numId="47">
    <w:abstractNumId w:val="44"/>
  </w:num>
  <w:num w:numId="48">
    <w:abstractNumId w:val="4"/>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102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2B4"/>
    <w:rsid w:val="00002704"/>
    <w:rsid w:val="00020DC3"/>
    <w:rsid w:val="00024ED1"/>
    <w:rsid w:val="0003223B"/>
    <w:rsid w:val="000327B2"/>
    <w:rsid w:val="0004528B"/>
    <w:rsid w:val="00064FBA"/>
    <w:rsid w:val="00091FA6"/>
    <w:rsid w:val="00096BD9"/>
    <w:rsid w:val="000A62B4"/>
    <w:rsid w:val="000B3C9A"/>
    <w:rsid w:val="000B40A2"/>
    <w:rsid w:val="000B4624"/>
    <w:rsid w:val="000C0ACD"/>
    <w:rsid w:val="000C0D2A"/>
    <w:rsid w:val="000C5CE8"/>
    <w:rsid w:val="000E27A5"/>
    <w:rsid w:val="000E2959"/>
    <w:rsid w:val="000F0B60"/>
    <w:rsid w:val="00102926"/>
    <w:rsid w:val="0010587F"/>
    <w:rsid w:val="00111C6B"/>
    <w:rsid w:val="0012102B"/>
    <w:rsid w:val="0013369E"/>
    <w:rsid w:val="0013595D"/>
    <w:rsid w:val="00164E6D"/>
    <w:rsid w:val="00183454"/>
    <w:rsid w:val="001B157C"/>
    <w:rsid w:val="001B4006"/>
    <w:rsid w:val="001B5C23"/>
    <w:rsid w:val="001B7137"/>
    <w:rsid w:val="001D0D5F"/>
    <w:rsid w:val="001D6B8C"/>
    <w:rsid w:val="001F1F83"/>
    <w:rsid w:val="001F40DF"/>
    <w:rsid w:val="001F43F8"/>
    <w:rsid w:val="001F6B2D"/>
    <w:rsid w:val="002021A9"/>
    <w:rsid w:val="002139A7"/>
    <w:rsid w:val="00215F7C"/>
    <w:rsid w:val="0022323B"/>
    <w:rsid w:val="002410B8"/>
    <w:rsid w:val="00242AEE"/>
    <w:rsid w:val="00245129"/>
    <w:rsid w:val="00245879"/>
    <w:rsid w:val="00253236"/>
    <w:rsid w:val="00267FD5"/>
    <w:rsid w:val="00274D34"/>
    <w:rsid w:val="00283ED8"/>
    <w:rsid w:val="002868D0"/>
    <w:rsid w:val="002A008C"/>
    <w:rsid w:val="002A27D1"/>
    <w:rsid w:val="002A4AFA"/>
    <w:rsid w:val="002B10AF"/>
    <w:rsid w:val="002B2FDC"/>
    <w:rsid w:val="002B516C"/>
    <w:rsid w:val="002D72EB"/>
    <w:rsid w:val="002E2327"/>
    <w:rsid w:val="002E3583"/>
    <w:rsid w:val="002E5576"/>
    <w:rsid w:val="0030050B"/>
    <w:rsid w:val="00316564"/>
    <w:rsid w:val="00331763"/>
    <w:rsid w:val="00331B52"/>
    <w:rsid w:val="003359D3"/>
    <w:rsid w:val="00355967"/>
    <w:rsid w:val="00357E14"/>
    <w:rsid w:val="00382C47"/>
    <w:rsid w:val="00384384"/>
    <w:rsid w:val="003866AE"/>
    <w:rsid w:val="003B3977"/>
    <w:rsid w:val="003E1D4C"/>
    <w:rsid w:val="004137A0"/>
    <w:rsid w:val="00422D9A"/>
    <w:rsid w:val="00432989"/>
    <w:rsid w:val="00440E24"/>
    <w:rsid w:val="0044776A"/>
    <w:rsid w:val="00460AFC"/>
    <w:rsid w:val="0047471F"/>
    <w:rsid w:val="004766F2"/>
    <w:rsid w:val="004B195E"/>
    <w:rsid w:val="004B66B4"/>
    <w:rsid w:val="004B7370"/>
    <w:rsid w:val="004B7F60"/>
    <w:rsid w:val="004C1AAC"/>
    <w:rsid w:val="004C30CA"/>
    <w:rsid w:val="004E1E0A"/>
    <w:rsid w:val="004F090E"/>
    <w:rsid w:val="00501F3C"/>
    <w:rsid w:val="005020C0"/>
    <w:rsid w:val="0052229C"/>
    <w:rsid w:val="00527CC7"/>
    <w:rsid w:val="0056248C"/>
    <w:rsid w:val="00566E98"/>
    <w:rsid w:val="00571CA4"/>
    <w:rsid w:val="00582136"/>
    <w:rsid w:val="005C6840"/>
    <w:rsid w:val="005F1ED8"/>
    <w:rsid w:val="005F263E"/>
    <w:rsid w:val="00600252"/>
    <w:rsid w:val="006018F5"/>
    <w:rsid w:val="00612A40"/>
    <w:rsid w:val="0062714A"/>
    <w:rsid w:val="0063345E"/>
    <w:rsid w:val="00675479"/>
    <w:rsid w:val="00680709"/>
    <w:rsid w:val="00681F61"/>
    <w:rsid w:val="00696BF9"/>
    <w:rsid w:val="00697C62"/>
    <w:rsid w:val="006A329B"/>
    <w:rsid w:val="006A7EB8"/>
    <w:rsid w:val="006B6926"/>
    <w:rsid w:val="006C3F47"/>
    <w:rsid w:val="006C5F7A"/>
    <w:rsid w:val="006E06AF"/>
    <w:rsid w:val="006F1436"/>
    <w:rsid w:val="006F350F"/>
    <w:rsid w:val="00732DB7"/>
    <w:rsid w:val="0074238B"/>
    <w:rsid w:val="00745EF7"/>
    <w:rsid w:val="00755F22"/>
    <w:rsid w:val="007578C8"/>
    <w:rsid w:val="00762008"/>
    <w:rsid w:val="00766E4A"/>
    <w:rsid w:val="007820CE"/>
    <w:rsid w:val="00782AE4"/>
    <w:rsid w:val="0079724F"/>
    <w:rsid w:val="007A3EAE"/>
    <w:rsid w:val="007C04FC"/>
    <w:rsid w:val="007C31A8"/>
    <w:rsid w:val="007C3DB0"/>
    <w:rsid w:val="007C47C2"/>
    <w:rsid w:val="007D3E0F"/>
    <w:rsid w:val="007E4282"/>
    <w:rsid w:val="007F387B"/>
    <w:rsid w:val="00802863"/>
    <w:rsid w:val="008112A9"/>
    <w:rsid w:val="0081473A"/>
    <w:rsid w:val="00815B3C"/>
    <w:rsid w:val="0081610A"/>
    <w:rsid w:val="00822663"/>
    <w:rsid w:val="0082783A"/>
    <w:rsid w:val="00831CA9"/>
    <w:rsid w:val="00850E1F"/>
    <w:rsid w:val="0085476B"/>
    <w:rsid w:val="0086340B"/>
    <w:rsid w:val="008902B1"/>
    <w:rsid w:val="00890FEB"/>
    <w:rsid w:val="00895E7E"/>
    <w:rsid w:val="008A5C1A"/>
    <w:rsid w:val="008B5A77"/>
    <w:rsid w:val="008D292F"/>
    <w:rsid w:val="008E03DC"/>
    <w:rsid w:val="00902E51"/>
    <w:rsid w:val="00924065"/>
    <w:rsid w:val="00930D68"/>
    <w:rsid w:val="00932756"/>
    <w:rsid w:val="00932DB4"/>
    <w:rsid w:val="00941A4B"/>
    <w:rsid w:val="00946242"/>
    <w:rsid w:val="00946D29"/>
    <w:rsid w:val="0095096B"/>
    <w:rsid w:val="00970CD3"/>
    <w:rsid w:val="009723FA"/>
    <w:rsid w:val="00984546"/>
    <w:rsid w:val="00996510"/>
    <w:rsid w:val="009C161C"/>
    <w:rsid w:val="009D1F15"/>
    <w:rsid w:val="009D555E"/>
    <w:rsid w:val="009F3024"/>
    <w:rsid w:val="009F39BA"/>
    <w:rsid w:val="00A0355E"/>
    <w:rsid w:val="00A268D3"/>
    <w:rsid w:val="00A375D1"/>
    <w:rsid w:val="00A51D10"/>
    <w:rsid w:val="00A52A83"/>
    <w:rsid w:val="00A6552C"/>
    <w:rsid w:val="00A87207"/>
    <w:rsid w:val="00A935AA"/>
    <w:rsid w:val="00A956D3"/>
    <w:rsid w:val="00AB2201"/>
    <w:rsid w:val="00AC0CC0"/>
    <w:rsid w:val="00AD1042"/>
    <w:rsid w:val="00AD1D34"/>
    <w:rsid w:val="00AD3259"/>
    <w:rsid w:val="00AF1715"/>
    <w:rsid w:val="00AF3904"/>
    <w:rsid w:val="00B010C0"/>
    <w:rsid w:val="00B12BC9"/>
    <w:rsid w:val="00B3261F"/>
    <w:rsid w:val="00B4740D"/>
    <w:rsid w:val="00B47A79"/>
    <w:rsid w:val="00B521BD"/>
    <w:rsid w:val="00B61629"/>
    <w:rsid w:val="00B7374B"/>
    <w:rsid w:val="00B90DC0"/>
    <w:rsid w:val="00BA116A"/>
    <w:rsid w:val="00BA1B9B"/>
    <w:rsid w:val="00BA5582"/>
    <w:rsid w:val="00BA6468"/>
    <w:rsid w:val="00BB1D44"/>
    <w:rsid w:val="00BD06DA"/>
    <w:rsid w:val="00BD4217"/>
    <w:rsid w:val="00BF25F3"/>
    <w:rsid w:val="00C01FCB"/>
    <w:rsid w:val="00C1697B"/>
    <w:rsid w:val="00C21644"/>
    <w:rsid w:val="00C21CB5"/>
    <w:rsid w:val="00C41450"/>
    <w:rsid w:val="00C46376"/>
    <w:rsid w:val="00C50A5C"/>
    <w:rsid w:val="00C50FDF"/>
    <w:rsid w:val="00C63381"/>
    <w:rsid w:val="00C661B7"/>
    <w:rsid w:val="00C73D06"/>
    <w:rsid w:val="00C73E1B"/>
    <w:rsid w:val="00C7556C"/>
    <w:rsid w:val="00C759B4"/>
    <w:rsid w:val="00C77713"/>
    <w:rsid w:val="00C85BB7"/>
    <w:rsid w:val="00CA2DEA"/>
    <w:rsid w:val="00CA3F9F"/>
    <w:rsid w:val="00CB3520"/>
    <w:rsid w:val="00CB43D5"/>
    <w:rsid w:val="00CC4D84"/>
    <w:rsid w:val="00CD6904"/>
    <w:rsid w:val="00CE198A"/>
    <w:rsid w:val="00CF08C8"/>
    <w:rsid w:val="00D004FC"/>
    <w:rsid w:val="00D64901"/>
    <w:rsid w:val="00D76BDF"/>
    <w:rsid w:val="00D818B6"/>
    <w:rsid w:val="00D862C1"/>
    <w:rsid w:val="00D93B50"/>
    <w:rsid w:val="00D94028"/>
    <w:rsid w:val="00D94670"/>
    <w:rsid w:val="00DA46F6"/>
    <w:rsid w:val="00DA756F"/>
    <w:rsid w:val="00DB7B97"/>
    <w:rsid w:val="00DD0B49"/>
    <w:rsid w:val="00DE0502"/>
    <w:rsid w:val="00DE349D"/>
    <w:rsid w:val="00E06DFA"/>
    <w:rsid w:val="00E20A0A"/>
    <w:rsid w:val="00E240C2"/>
    <w:rsid w:val="00E356C7"/>
    <w:rsid w:val="00E414CA"/>
    <w:rsid w:val="00E41A5A"/>
    <w:rsid w:val="00E44FCA"/>
    <w:rsid w:val="00E45FE4"/>
    <w:rsid w:val="00E563D5"/>
    <w:rsid w:val="00E64FA7"/>
    <w:rsid w:val="00E75CFD"/>
    <w:rsid w:val="00E770CB"/>
    <w:rsid w:val="00E8544A"/>
    <w:rsid w:val="00E903A1"/>
    <w:rsid w:val="00E940EB"/>
    <w:rsid w:val="00E942C2"/>
    <w:rsid w:val="00E9703F"/>
    <w:rsid w:val="00EB2B90"/>
    <w:rsid w:val="00ED2149"/>
    <w:rsid w:val="00ED4247"/>
    <w:rsid w:val="00ED6F3C"/>
    <w:rsid w:val="00ED7E83"/>
    <w:rsid w:val="00EE091F"/>
    <w:rsid w:val="00EF296F"/>
    <w:rsid w:val="00EF4B63"/>
    <w:rsid w:val="00F0068D"/>
    <w:rsid w:val="00F0576D"/>
    <w:rsid w:val="00F14E6D"/>
    <w:rsid w:val="00F15EA8"/>
    <w:rsid w:val="00F16C8D"/>
    <w:rsid w:val="00F26C61"/>
    <w:rsid w:val="00F33CCE"/>
    <w:rsid w:val="00F40249"/>
    <w:rsid w:val="00F526C8"/>
    <w:rsid w:val="00F761A3"/>
    <w:rsid w:val="00F9272D"/>
    <w:rsid w:val="00F9518C"/>
    <w:rsid w:val="00FA316E"/>
    <w:rsid w:val="00FA3373"/>
    <w:rsid w:val="00FA59EF"/>
    <w:rsid w:val="00FB19A2"/>
    <w:rsid w:val="00FB4A2E"/>
    <w:rsid w:val="00FB6EC0"/>
    <w:rsid w:val="00FD544E"/>
    <w:rsid w:val="00FF635E"/>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link w:val="ParaNoNdepar-AltNChar"/>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AppellantInfoAppellantInfo">
    <w:name w:val="SCC.AppellantInfo.AppellantInfo"/>
    <w:basedOn w:val="Normal"/>
    <w:next w:val="Normal"/>
    <w:link w:val="SCCAppellantInfoAppellantInfoChar"/>
    <w:rsid w:val="008B5A77"/>
    <w:rPr>
      <w:szCs w:val="24"/>
    </w:rPr>
  </w:style>
  <w:style w:type="character" w:customStyle="1" w:styleId="SCCAppellantInfoAppellantInfoChar">
    <w:name w:val="SCC.AppellantInfo.AppellantInfo Char"/>
    <w:basedOn w:val="DefaultParagraphFont"/>
    <w:link w:val="SCCAppellantInfoAppellantInfo"/>
    <w:rsid w:val="008B5A77"/>
    <w:rPr>
      <w:szCs w:val="24"/>
      <w:lang w:val="en-CA"/>
    </w:rPr>
  </w:style>
  <w:style w:type="paragraph" w:styleId="BalloonText">
    <w:name w:val="Balloon Text"/>
    <w:basedOn w:val="Normal"/>
    <w:link w:val="BalloonTextChar"/>
    <w:uiPriority w:val="99"/>
    <w:semiHidden/>
    <w:unhideWhenUsed/>
    <w:rsid w:val="003165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564"/>
    <w:rPr>
      <w:rFonts w:ascii="Segoe UI" w:hAnsi="Segoe UI" w:cs="Segoe UI"/>
      <w:sz w:val="18"/>
      <w:szCs w:val="18"/>
      <w:lang w:val="en-CA"/>
    </w:rPr>
  </w:style>
  <w:style w:type="paragraph" w:customStyle="1" w:styleId="SCCBanSummary">
    <w:name w:val="SCC.BanSummary"/>
    <w:basedOn w:val="Normal"/>
    <w:next w:val="Normal"/>
    <w:link w:val="SCCBanSummaryChar"/>
    <w:rsid w:val="00A268D3"/>
    <w:pPr>
      <w:jc w:val="both"/>
    </w:pPr>
    <w:rPr>
      <w:rFonts w:eastAsia="Calibri" w:cs="Times New Roman"/>
      <w:smallCaps/>
    </w:rPr>
  </w:style>
  <w:style w:type="character" w:customStyle="1" w:styleId="SCCBanSummaryChar">
    <w:name w:val="SCC.BanSummary Char"/>
    <w:basedOn w:val="DefaultParagraphFont"/>
    <w:link w:val="SCCBanSummary"/>
    <w:rsid w:val="00A268D3"/>
    <w:rPr>
      <w:rFonts w:eastAsia="Calibri" w:cs="Times New Roman"/>
      <w:smallCaps/>
      <w:lang w:val="en-CA"/>
    </w:rPr>
  </w:style>
  <w:style w:type="paragraph" w:styleId="NoSpacing">
    <w:name w:val="No Spacing"/>
    <w:uiPriority w:val="1"/>
    <w:qFormat/>
    <w:rsid w:val="00A268D3"/>
    <w:pPr>
      <w:widowControl w:val="0"/>
      <w:autoSpaceDE w:val="0"/>
      <w:autoSpaceDN w:val="0"/>
      <w:adjustRightInd w:val="0"/>
    </w:pPr>
    <w:rPr>
      <w:rFonts w:eastAsia="Times New Roman" w:cs="Times New Roman"/>
      <w:szCs w:val="24"/>
      <w:lang w:eastAsia="en-CA"/>
    </w:rPr>
  </w:style>
  <w:style w:type="character" w:customStyle="1" w:styleId="DocumentMapChar">
    <w:name w:val="Document Map Char"/>
    <w:basedOn w:val="DefaultParagraphFont"/>
    <w:link w:val="DocumentMap"/>
    <w:uiPriority w:val="99"/>
    <w:semiHidden/>
    <w:rsid w:val="00A268D3"/>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A268D3"/>
    <w:rPr>
      <w:rFonts w:ascii="Tahoma" w:eastAsia="Times New Roman" w:hAnsi="Tahoma" w:cs="Tahoma"/>
      <w:sz w:val="16"/>
      <w:szCs w:val="16"/>
      <w:lang w:val="en-US"/>
    </w:rPr>
  </w:style>
  <w:style w:type="paragraph" w:customStyle="1" w:styleId="Style268435469">
    <w:name w:val="Style268435469"/>
    <w:rsid w:val="00A268D3"/>
    <w:pPr>
      <w:autoSpaceDE w:val="0"/>
      <w:autoSpaceDN w:val="0"/>
      <w:adjustRightInd w:val="0"/>
    </w:pPr>
    <w:rPr>
      <w:rFonts w:ascii="Arial" w:eastAsia="Calibri" w:hAnsi="Arial" w:cs="Arial"/>
      <w:szCs w:val="24"/>
      <w:lang w:val="en-CA"/>
    </w:rPr>
  </w:style>
  <w:style w:type="character" w:customStyle="1" w:styleId="PlainTextChar">
    <w:name w:val="Plain Text Char"/>
    <w:basedOn w:val="DefaultParagraphFont"/>
    <w:link w:val="PlainText"/>
    <w:uiPriority w:val="99"/>
    <w:semiHidden/>
    <w:rsid w:val="00A268D3"/>
    <w:rPr>
      <w:rFonts w:ascii="Consolas" w:eastAsia="Times New Roman" w:hAnsi="Consolas" w:cs="Times New Roman"/>
      <w:sz w:val="21"/>
      <w:szCs w:val="21"/>
    </w:rPr>
  </w:style>
  <w:style w:type="paragraph" w:styleId="PlainText">
    <w:name w:val="Plain Text"/>
    <w:basedOn w:val="Normal"/>
    <w:link w:val="PlainTextChar"/>
    <w:uiPriority w:val="99"/>
    <w:semiHidden/>
    <w:unhideWhenUsed/>
    <w:rsid w:val="00A268D3"/>
    <w:rPr>
      <w:rFonts w:ascii="Consolas" w:eastAsia="Times New Roman" w:hAnsi="Consolas" w:cs="Times New Roman"/>
      <w:sz w:val="21"/>
      <w:szCs w:val="21"/>
      <w:lang w:val="en-US"/>
    </w:rPr>
  </w:style>
  <w:style w:type="paragraph" w:styleId="CommentText">
    <w:name w:val="annotation text"/>
    <w:basedOn w:val="Normal"/>
    <w:link w:val="CommentTextChar"/>
    <w:uiPriority w:val="99"/>
    <w:semiHidden/>
    <w:unhideWhenUsed/>
    <w:rsid w:val="00A268D3"/>
    <w:rPr>
      <w:rFonts w:eastAsia="Times New Roman" w:cs="Times New Roman"/>
      <w:sz w:val="20"/>
      <w:szCs w:val="20"/>
      <w:lang w:val="en-US"/>
    </w:rPr>
  </w:style>
  <w:style w:type="character" w:customStyle="1" w:styleId="CommentTextChar">
    <w:name w:val="Comment Text Char"/>
    <w:basedOn w:val="DefaultParagraphFont"/>
    <w:link w:val="CommentText"/>
    <w:uiPriority w:val="99"/>
    <w:semiHidden/>
    <w:rsid w:val="00A268D3"/>
    <w:rPr>
      <w:rFonts w:eastAsia="Times New Roman" w:cs="Times New Roman"/>
      <w:sz w:val="20"/>
      <w:szCs w:val="20"/>
    </w:rPr>
  </w:style>
  <w:style w:type="character" w:customStyle="1" w:styleId="CommentSubjectChar">
    <w:name w:val="Comment Subject Char"/>
    <w:basedOn w:val="CommentTextChar"/>
    <w:link w:val="CommentSubject"/>
    <w:uiPriority w:val="99"/>
    <w:semiHidden/>
    <w:rsid w:val="00A268D3"/>
    <w:rPr>
      <w:rFonts w:eastAsia="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A268D3"/>
    <w:rPr>
      <w:b/>
      <w:bCs/>
    </w:rPr>
  </w:style>
  <w:style w:type="character" w:customStyle="1" w:styleId="nowrap">
    <w:name w:val="nowrap"/>
    <w:basedOn w:val="DefaultParagraphFont"/>
    <w:rsid w:val="00A268D3"/>
  </w:style>
  <w:style w:type="paragraph" w:customStyle="1" w:styleId="SCCLsocVersus">
    <w:name w:val="SCC.Lsoc.Versus"/>
    <w:basedOn w:val="Normal"/>
    <w:next w:val="Normal"/>
    <w:link w:val="SCCLsocVersusChar"/>
    <w:rsid w:val="00822663"/>
    <w:pPr>
      <w:spacing w:after="720"/>
    </w:pPr>
    <w:rPr>
      <w:rFonts w:eastAsia="Times New Roman" w:cs="Times New Roman"/>
      <w:i/>
      <w:szCs w:val="20"/>
      <w:lang w:eastAsia="en-CA"/>
    </w:rPr>
  </w:style>
  <w:style w:type="character" w:customStyle="1" w:styleId="SCCLsocVersusChar">
    <w:name w:val="SCC.Lsoc.Versus Char"/>
    <w:basedOn w:val="DefaultParagraphFont"/>
    <w:link w:val="SCCLsocVersus"/>
    <w:rsid w:val="00822663"/>
    <w:rPr>
      <w:rFonts w:eastAsia="Times New Roman" w:cs="Times New Roman"/>
      <w:i/>
      <w:szCs w:val="20"/>
      <w:lang w:val="en-CA" w:eastAsia="en-CA"/>
    </w:rPr>
  </w:style>
  <w:style w:type="character" w:customStyle="1" w:styleId="ParaNoNdepar-AltNChar">
    <w:name w:val="Para. No. / Nº de par. - Alt N Char"/>
    <w:basedOn w:val="DefaultParagraphFont"/>
    <w:link w:val="ParaNoNdepar-AltN"/>
    <w:locked/>
    <w:rsid w:val="00EF296F"/>
    <w:rPr>
      <w:rFonts w:eastAsiaTheme="minorEastAsia"/>
      <w:lang w:val="fr-CA"/>
    </w:rPr>
  </w:style>
  <w:style w:type="character" w:customStyle="1" w:styleId="Italic">
    <w:name w:val="Italic"/>
    <w:basedOn w:val="DefaultParagraphFont"/>
    <w:uiPriority w:val="1"/>
    <w:rsid w:val="00EF296F"/>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66597">
      <w:bodyDiv w:val="1"/>
      <w:marLeft w:val="0"/>
      <w:marRight w:val="0"/>
      <w:marTop w:val="0"/>
      <w:marBottom w:val="0"/>
      <w:divBdr>
        <w:top w:val="none" w:sz="0" w:space="0" w:color="auto"/>
        <w:left w:val="none" w:sz="0" w:space="0" w:color="auto"/>
        <w:bottom w:val="none" w:sz="0" w:space="0" w:color="auto"/>
        <w:right w:val="none" w:sz="0" w:space="0" w:color="auto"/>
      </w:divBdr>
    </w:div>
    <w:div w:id="328944611">
      <w:bodyDiv w:val="1"/>
      <w:marLeft w:val="0"/>
      <w:marRight w:val="0"/>
      <w:marTop w:val="0"/>
      <w:marBottom w:val="0"/>
      <w:divBdr>
        <w:top w:val="none" w:sz="0" w:space="0" w:color="auto"/>
        <w:left w:val="none" w:sz="0" w:space="0" w:color="auto"/>
        <w:bottom w:val="none" w:sz="0" w:space="0" w:color="auto"/>
        <w:right w:val="none" w:sz="0" w:space="0" w:color="auto"/>
      </w:divBdr>
    </w:div>
    <w:div w:id="1107770527">
      <w:bodyDiv w:val="1"/>
      <w:marLeft w:val="0"/>
      <w:marRight w:val="0"/>
      <w:marTop w:val="0"/>
      <w:marBottom w:val="0"/>
      <w:divBdr>
        <w:top w:val="none" w:sz="0" w:space="0" w:color="auto"/>
        <w:left w:val="none" w:sz="0" w:space="0" w:color="auto"/>
        <w:bottom w:val="none" w:sz="0" w:space="0" w:color="auto"/>
        <w:right w:val="none" w:sz="0" w:space="0" w:color="auto"/>
      </w:divBdr>
      <w:divsChild>
        <w:div w:id="690495518">
          <w:marLeft w:val="0"/>
          <w:marRight w:val="0"/>
          <w:marTop w:val="0"/>
          <w:marBottom w:val="600"/>
          <w:divBdr>
            <w:top w:val="none" w:sz="0" w:space="0" w:color="auto"/>
            <w:left w:val="none" w:sz="0" w:space="0" w:color="auto"/>
            <w:bottom w:val="none" w:sz="0" w:space="0" w:color="auto"/>
            <w:right w:val="none" w:sz="0" w:space="0" w:color="auto"/>
          </w:divBdr>
          <w:divsChild>
            <w:div w:id="1134251641">
              <w:marLeft w:val="72"/>
              <w:marRight w:val="72"/>
              <w:marTop w:val="0"/>
              <w:marBottom w:val="0"/>
              <w:divBdr>
                <w:top w:val="none" w:sz="0" w:space="0" w:color="auto"/>
                <w:left w:val="none" w:sz="0" w:space="0" w:color="auto"/>
                <w:bottom w:val="none" w:sz="0" w:space="0" w:color="auto"/>
                <w:right w:val="none" w:sz="0" w:space="0" w:color="auto"/>
              </w:divBdr>
              <w:divsChild>
                <w:div w:id="205661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55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canlii.org/en/bc/bcca/doc/2017/2017bcca57/2017bcca57.html" TargetMode="External"/><Relationship Id="rId26" Type="http://schemas.openxmlformats.org/officeDocument/2006/relationships/hyperlink" Target="http://www.canlii.org/en/bc/bcsc/doc/2016/2016bcsc489/2016bcsc489.html" TargetMode="External"/><Relationship Id="rId39" Type="http://schemas.openxmlformats.org/officeDocument/2006/relationships/hyperlink" Target="https://www.canlii.org/en/bc/bcca/doc/2016/2016bcca500/2016bcca500.html?resultIndex=1" TargetMode="External"/><Relationship Id="rId21" Type="http://schemas.openxmlformats.org/officeDocument/2006/relationships/footer" Target="footer5.xml"/><Relationship Id="rId34" Type="http://schemas.openxmlformats.org/officeDocument/2006/relationships/hyperlink" Target="https://www.lexisnexis.com/ca/legal/search/runRemoteLink.do?A=0.5617792958263035&amp;bct=A&amp;service=citation&amp;risb=21_T25869092080&amp;langcountry=CA&amp;linkInfo=F%23CA%23BCSC%23sel1%252014%25year%252014%25decisiondate%252014%25onum%252242%25" TargetMode="External"/><Relationship Id="rId42" Type="http://schemas.openxmlformats.org/officeDocument/2006/relationships/hyperlink" Target="http://www.canlii.org/en/bc/bcsc/doc/2015/2015bcsc1564/2015bcsc1564.html" TargetMode="External"/><Relationship Id="rId47" Type="http://schemas.openxmlformats.org/officeDocument/2006/relationships/hyperlink" Target="http://www.canlii.org/en/on/onca/doc/2017/2017onca87/2017onca87.html?autocompleteStr=2017%20ONCA%2087&amp;autocompletePos=1" TargetMode="External"/><Relationship Id="rId50" Type="http://schemas.openxmlformats.org/officeDocument/2006/relationships/hyperlink" Target="http://canlii.ca/t/gsfhf" TargetMode="External"/><Relationship Id="rId55" Type="http://schemas.openxmlformats.org/officeDocument/2006/relationships/hyperlink" Target="http://canlii.ca/t/gwlwf" TargetMode="External"/><Relationship Id="rId63" Type="http://schemas.openxmlformats.org/officeDocument/2006/relationships/hyperlink" Target="https://www.canlii.org/en/on/onca/doc/2017/2017onca62/2017onca62.html?resultIndex=1" TargetMode="External"/><Relationship Id="rId68" Type="http://schemas.openxmlformats.org/officeDocument/2006/relationships/header" Target="header7.xml"/><Relationship Id="rId76" Type="http://schemas.openxmlformats.org/officeDocument/2006/relationships/footer" Target="footer10.xml"/><Relationship Id="rId84" Type="http://schemas.openxmlformats.org/officeDocument/2006/relationships/footer" Target="footer13.xml"/><Relationship Id="rId89" Type="http://schemas.openxmlformats.org/officeDocument/2006/relationships/footer" Target="footer16.xml"/><Relationship Id="rId7" Type="http://schemas.openxmlformats.org/officeDocument/2006/relationships/image" Target="media/image1.wmf"/><Relationship Id="rId71"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hyperlink" Target="https://www.canlii.org/en/bc/bcca/doc/2017/2017bcca21/2017bcca21.html?resultIndex=1" TargetMode="External"/><Relationship Id="rId11" Type="http://schemas.openxmlformats.org/officeDocument/2006/relationships/footer" Target="footer1.xml"/><Relationship Id="rId24" Type="http://schemas.openxmlformats.org/officeDocument/2006/relationships/hyperlink" Target="http://www.canlii.org/en/bc/bcsc/doc/2016/2016bcsc489/2016bcsc489.html" TargetMode="External"/><Relationship Id="rId32" Type="http://schemas.openxmlformats.org/officeDocument/2006/relationships/hyperlink" Target="https://www.lexisnexis.com/ca/legal/search/runRemoteLink.do?A=0.5617792958263035&amp;bct=A&amp;service=citation&amp;risb=21_T25869092080&amp;langcountry=CA&amp;linkInfo=F%23CA%23BCSC%23sel1%252014%25year%252014%25decisiondate%252014%25onum%252242%25" TargetMode="External"/><Relationship Id="rId37" Type="http://schemas.openxmlformats.org/officeDocument/2006/relationships/hyperlink" Target="https://www.canlii.org/en/bc/bcca/doc/2016/2016bcca500/2016bcca500.html?resultIndex=1" TargetMode="External"/><Relationship Id="rId40" Type="http://schemas.openxmlformats.org/officeDocument/2006/relationships/hyperlink" Target="https://www.canlii.org/en/bc/bcca/doc/2017/2017bcca57/2017bcca57.html" TargetMode="External"/><Relationship Id="rId45" Type="http://schemas.openxmlformats.org/officeDocument/2006/relationships/hyperlink" Target="http://www.canlii.org/en/bc/bcca/doc/2016/2016bcca371/2016bcca371.html?autocompleteStr=2016%20bcca%20371&amp;autocompletePos=1" TargetMode="External"/><Relationship Id="rId53" Type="http://schemas.openxmlformats.org/officeDocument/2006/relationships/hyperlink" Target="http://canlii.ca/t/gwlwf" TargetMode="External"/><Relationship Id="rId58" Type="http://schemas.openxmlformats.org/officeDocument/2006/relationships/hyperlink" Target="http://canlii.ca/t/gwvnr" TargetMode="External"/><Relationship Id="rId66" Type="http://schemas.openxmlformats.org/officeDocument/2006/relationships/hyperlink" Target="https://www.canlii.org/en/on/onsc/doc/2016/2016onsc4097/2016onsc4097.html" TargetMode="External"/><Relationship Id="rId74" Type="http://schemas.openxmlformats.org/officeDocument/2006/relationships/header" Target="header10.xml"/><Relationship Id="rId79" Type="http://schemas.openxmlformats.org/officeDocument/2006/relationships/footer" Target="footer12.xml"/><Relationship Id="rId87" Type="http://schemas.openxmlformats.org/officeDocument/2006/relationships/footer" Target="footer15.xml"/><Relationship Id="rId5" Type="http://schemas.openxmlformats.org/officeDocument/2006/relationships/footnotes" Target="footnotes.xml"/><Relationship Id="rId61" Type="http://schemas.openxmlformats.org/officeDocument/2006/relationships/hyperlink" Target="https://www.canlii.org/en/on/onca/doc/2017/2017onca62/2017onca62.html?resultIndex=1" TargetMode="External"/><Relationship Id="rId82" Type="http://schemas.openxmlformats.org/officeDocument/2006/relationships/header" Target="header13.xml"/><Relationship Id="rId90" Type="http://schemas.openxmlformats.org/officeDocument/2006/relationships/fontTable" Target="fontTable.xml"/><Relationship Id="rId19" Type="http://schemas.openxmlformats.org/officeDocument/2006/relationships/hyperlink" Target="https://www.canlii.org/en/bc/bcca/doc/2017/2017bcca57/2017bcca57.html" TargetMode="Externa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yperlink" Target="http://www.canlii.org/en/bc/bcca/doc/2016/2016bcca432/2016bcca432.html?autocompleteStr=2016%20BCCA%20432&amp;autocompletePos=1" TargetMode="External"/><Relationship Id="rId30" Type="http://schemas.openxmlformats.org/officeDocument/2006/relationships/hyperlink" Target="https://www.lexisnexis.com/ca/legal/search/runRemoteLink.do?A=0.5617792958263035&amp;bct=A&amp;service=citation&amp;risb=21_T25869092080&amp;langcountry=CA&amp;linkInfo=F%23CA%23BCSC%23sel1%252014%25year%252014%25decisiondate%252014%25onum%252242%25" TargetMode="External"/><Relationship Id="rId35" Type="http://schemas.openxmlformats.org/officeDocument/2006/relationships/hyperlink" Target="https://www.canlii.org/en/bc/bcca/doc/2017/2017bcca21/2017bcca21.html?resultIndex=1" TargetMode="External"/><Relationship Id="rId43" Type="http://schemas.openxmlformats.org/officeDocument/2006/relationships/hyperlink" Target="http://www.canlii.org/en/bc/bcca/doc/2016/2016bcca371/2016bcca371.html?autocompleteStr=2016%20bcca%20371&amp;autocompletePos=1" TargetMode="External"/><Relationship Id="rId48" Type="http://schemas.openxmlformats.org/officeDocument/2006/relationships/hyperlink" Target="http://www.canlii.org/en/on/oncj/doc/2012/2012oncj852/2012oncj852.html?autocompleteStr=2012%20ONCJ%20852&amp;autocompletePos=1" TargetMode="External"/><Relationship Id="rId56" Type="http://schemas.openxmlformats.org/officeDocument/2006/relationships/hyperlink" Target="http://canlii.ca/t/gsfhf" TargetMode="External"/><Relationship Id="rId64" Type="http://schemas.openxmlformats.org/officeDocument/2006/relationships/hyperlink" Target="https://www.canlii.org/en/on/onsc/doc/2016/2016onsc4097/2016onsc4097.html" TargetMode="External"/><Relationship Id="rId69" Type="http://schemas.openxmlformats.org/officeDocument/2006/relationships/header" Target="header8.xml"/><Relationship Id="rId77" Type="http://schemas.openxmlformats.org/officeDocument/2006/relationships/footer" Target="footer11.xml"/><Relationship Id="rId8" Type="http://schemas.openxmlformats.org/officeDocument/2006/relationships/hyperlink" Target="http://www.scc-csc.ca" TargetMode="External"/><Relationship Id="rId51" Type="http://schemas.openxmlformats.org/officeDocument/2006/relationships/hyperlink" Target="http://canlii.ca/t/gwlwf" TargetMode="External"/><Relationship Id="rId72" Type="http://schemas.openxmlformats.org/officeDocument/2006/relationships/header" Target="header9.xml"/><Relationship Id="rId80" Type="http://schemas.openxmlformats.org/officeDocument/2006/relationships/hyperlink" Target="http://www.scc-csc.ca/case-dossier/info/sum-som-eng.aspx?cas=36636" TargetMode="External"/><Relationship Id="rId85" Type="http://schemas.openxmlformats.org/officeDocument/2006/relationships/footer" Target="footer14.xm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http://www.canlii.org/en/bc/bcca/doc/2016/2016bcca432/2016bcca432.html?autocompleteStr=2016%20BCCA%20432&amp;autocompletePos=1" TargetMode="External"/><Relationship Id="rId33" Type="http://schemas.openxmlformats.org/officeDocument/2006/relationships/hyperlink" Target="https://www.canlii.org/en/bc/bcca/doc/2017/2017bcca21/2017bcca21.html?resultIndex=1" TargetMode="External"/><Relationship Id="rId38" Type="http://schemas.openxmlformats.org/officeDocument/2006/relationships/hyperlink" Target="https://www.canlii.org/en/bc/bcsc/doc/2015/2015bcsc1180/2015bcsc1180.html" TargetMode="External"/><Relationship Id="rId46" Type="http://schemas.openxmlformats.org/officeDocument/2006/relationships/hyperlink" Target="http://www.canlii.org/en/on/oncj/doc/2012/2012oncj852/2012oncj852.html?autocompleteStr=2012%20ONCJ%20852&amp;autocompletePos=1" TargetMode="External"/><Relationship Id="rId59" Type="http://schemas.openxmlformats.org/officeDocument/2006/relationships/hyperlink" Target="http://canlii.ca/t/gwvnr" TargetMode="External"/><Relationship Id="rId67" Type="http://schemas.openxmlformats.org/officeDocument/2006/relationships/hyperlink" Target="https://www.canlii.org/en/on/onca/doc/2017/2017onca120/2017onca120.html" TargetMode="External"/><Relationship Id="rId20" Type="http://schemas.openxmlformats.org/officeDocument/2006/relationships/header" Target="header5.xml"/><Relationship Id="rId41" Type="http://schemas.openxmlformats.org/officeDocument/2006/relationships/hyperlink" Target="https://www.canlii.org/en/bc/bcca/doc/2017/2017bcca57/2017bcca57.html" TargetMode="External"/><Relationship Id="rId54" Type="http://schemas.openxmlformats.org/officeDocument/2006/relationships/hyperlink" Target="http://canlii.ca/t/gsfhf" TargetMode="External"/><Relationship Id="rId62" Type="http://schemas.openxmlformats.org/officeDocument/2006/relationships/hyperlink" Target="https://www.canlii.org/en/on/onsc/doc/2016/2016onsc4853/2016onsc4853.html?autocompleteStr=2016%20ONSC%204853&amp;autocompletePos=1" TargetMode="External"/><Relationship Id="rId70" Type="http://schemas.openxmlformats.org/officeDocument/2006/relationships/footer" Target="footer7.xml"/><Relationship Id="rId75" Type="http://schemas.openxmlformats.org/officeDocument/2006/relationships/header" Target="header11.xml"/><Relationship Id="rId83" Type="http://schemas.openxmlformats.org/officeDocument/2006/relationships/header" Target="header14.xml"/><Relationship Id="rId88" Type="http://schemas.openxmlformats.org/officeDocument/2006/relationships/header" Target="header16.xm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yperlink" Target="https://www.lexisnexis.com/ca/legal/search/runRemoteLink.do?A=0.5617792958263035&amp;bct=A&amp;service=citation&amp;risb=21_T25869092080&amp;langcountry=CA&amp;linkInfo=F%23CA%23BCSC%23sel1%252014%25year%252014%25decisiondate%252014%25onum%252242%25" TargetMode="External"/><Relationship Id="rId36" Type="http://schemas.openxmlformats.org/officeDocument/2006/relationships/hyperlink" Target="https://www.canlii.org/en/bc/bcsc/doc/2015/2015bcsc1180/2015bcsc1180.html" TargetMode="External"/><Relationship Id="rId49" Type="http://schemas.openxmlformats.org/officeDocument/2006/relationships/hyperlink" Target="http://www.canlii.org/en/on/onca/doc/2017/2017onca87/2017onca87.html?autocompleteStr=2017%20ONCA%2087&amp;autocompletePos=1" TargetMode="External"/><Relationship Id="rId57" Type="http://schemas.openxmlformats.org/officeDocument/2006/relationships/hyperlink" Target="http://canlii.ca/t/gwlwf" TargetMode="External"/><Relationship Id="rId10" Type="http://schemas.openxmlformats.org/officeDocument/2006/relationships/header" Target="header1.xml"/><Relationship Id="rId31" Type="http://schemas.openxmlformats.org/officeDocument/2006/relationships/hyperlink" Target="https://www.canlii.org/en/bc/bcca/doc/2017/2017bcca21/2017bcca21.html?resultIndex=1" TargetMode="External"/><Relationship Id="rId44" Type="http://schemas.openxmlformats.org/officeDocument/2006/relationships/hyperlink" Target="http://www.canlii.org/en/bc/bcsc/doc/2015/2015bcsc1564/2015bcsc1564.html" TargetMode="External"/><Relationship Id="rId52" Type="http://schemas.openxmlformats.org/officeDocument/2006/relationships/hyperlink" Target="http://canlii.ca/t/gsfhf" TargetMode="External"/><Relationship Id="rId60" Type="http://schemas.openxmlformats.org/officeDocument/2006/relationships/hyperlink" Target="https://www.canlii.org/en/on/onsc/doc/2016/2016onsc4853/2016onsc4853.html?autocompleteStr=2016%20ONSC%204853&amp;autocompletePos=1" TargetMode="External"/><Relationship Id="rId65" Type="http://schemas.openxmlformats.org/officeDocument/2006/relationships/hyperlink" Target="https://www.canlii.org/en/on/onca/doc/2017/2017onca120/2017onca120.html" TargetMode="External"/><Relationship Id="rId73" Type="http://schemas.openxmlformats.org/officeDocument/2006/relationships/footer" Target="footer9.xml"/><Relationship Id="rId78" Type="http://schemas.openxmlformats.org/officeDocument/2006/relationships/header" Target="header12.xml"/><Relationship Id="rId81" Type="http://schemas.openxmlformats.org/officeDocument/2006/relationships/hyperlink" Target="http://www.scc-csc.ca/case-dossier/info/sum-som-eng.aspx?cas=37310" TargetMode="External"/><Relationship Id="rId86"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yperlink" Target="http://www.scc-csc.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oulxg\AppData\Roaming\Microsoft\Templates\Bulletin\Bulletin%20of%20Proceedings%20-%20Revis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Bulletin of Proceedings - Revised</Template>
  <TotalTime>0</TotalTime>
  <Pages>49</Pages>
  <Words>23431</Words>
  <Characters>133558</Characters>
  <Application>Microsoft Office Word</Application>
  <DocSecurity>0</DocSecurity>
  <Lines>1112</Lines>
  <Paragraphs>313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156676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2017-06-15T13:32:00Z</dcterms:created>
  <dcterms:modified xsi:type="dcterms:W3CDTF">2017-06-16T15:35:00Z</dcterms:modified>
</cp:coreProperties>
</file>