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743E0D"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43E0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43E0D"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743E0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C02F9"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C02F9"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9C02F9"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r w:rsidR="009C02F9">
              <w:fldChar w:fldCharType="begin"/>
            </w:r>
            <w:r w:rsidR="009C02F9" w:rsidRPr="009C02F9">
              <w:rPr>
                <w:lang w:val="fr-CA"/>
              </w:rPr>
              <w:instrText xml:space="preserve"> HYPERLINK "http://www.scc-csc.ca" </w:instrText>
            </w:r>
            <w:r w:rsidR="009C02F9">
              <w:fldChar w:fldCharType="separate"/>
            </w:r>
            <w:r w:rsidR="0081473A" w:rsidRPr="00DB53DA">
              <w:rPr>
                <w:rStyle w:val="Hyperlink"/>
                <w:rFonts w:ascii="Arial" w:hAnsi="Arial" w:cs="Arial"/>
                <w:i/>
                <w:sz w:val="20"/>
                <w:szCs w:val="20"/>
                <w:lang w:val="fr-CA"/>
              </w:rPr>
              <w:t>www.scc-csc.ca</w:t>
            </w:r>
            <w:r w:rsidR="009C02F9">
              <w:rPr>
                <w:rStyle w:val="Hyperlink"/>
                <w:rFonts w:ascii="Arial" w:hAnsi="Arial" w:cs="Arial"/>
                <w:i/>
                <w:sz w:val="20"/>
                <w:szCs w:val="20"/>
                <w:lang w:val="fr-CA"/>
              </w:rPr>
              <w:fldChar w:fldCharType="end"/>
            </w:r>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proofErr w:type="spellStart"/>
      <w:r>
        <w:rPr>
          <w:lang w:val="fr-CA"/>
        </w:rPr>
        <w:t>January</w:t>
      </w:r>
      <w:proofErr w:type="spellEnd"/>
      <w:r w:rsidR="00440E24" w:rsidRPr="00675479">
        <w:rPr>
          <w:lang w:val="fr-CA"/>
        </w:rPr>
        <w:t xml:space="preserve"> </w:t>
      </w:r>
      <w:r w:rsidR="00D95B08">
        <w:rPr>
          <w:lang w:val="fr-CA"/>
        </w:rPr>
        <w:t>26</w:t>
      </w:r>
      <w:r w:rsidR="00440E24" w:rsidRPr="00675479">
        <w:rPr>
          <w:lang w:val="fr-CA"/>
        </w:rPr>
        <w:t>, 201</w:t>
      </w:r>
      <w:r w:rsidR="00CE4869">
        <w:rPr>
          <w:lang w:val="fr-CA"/>
        </w:rPr>
        <w:t>8</w:t>
      </w:r>
      <w:r w:rsidR="00F0068D" w:rsidRPr="00675479">
        <w:rPr>
          <w:lang w:val="fr-CA"/>
        </w:rPr>
        <w:tab/>
      </w:r>
      <w:r w:rsidR="00F943AE">
        <w:rPr>
          <w:lang w:val="fr-CA"/>
        </w:rPr>
        <w:t>75</w:t>
      </w:r>
      <w:r w:rsidR="00F0068D" w:rsidRPr="00675479">
        <w:rPr>
          <w:lang w:val="fr-CA"/>
        </w:rPr>
        <w:t xml:space="preserve"> - </w:t>
      </w:r>
      <w:r w:rsidR="009C02F9">
        <w:rPr>
          <w:lang w:val="fr-CA"/>
        </w:rPr>
        <w:t>99</w:t>
      </w:r>
      <w:bookmarkStart w:id="0" w:name="_GoBack"/>
      <w:bookmarkEnd w:id="0"/>
      <w:r w:rsidR="00440E24" w:rsidRPr="00675479">
        <w:rPr>
          <w:lang w:val="fr-CA"/>
        </w:rPr>
        <w:tab/>
      </w:r>
      <w:r w:rsidR="00440E24" w:rsidRPr="002E2327">
        <w:rPr>
          <w:lang w:val="fr-CA"/>
        </w:rPr>
        <w:t>Le</w:t>
      </w:r>
      <w:r>
        <w:rPr>
          <w:lang w:val="fr-CA"/>
        </w:rPr>
        <w:t xml:space="preserve"> </w:t>
      </w:r>
      <w:r w:rsidR="00D95B08">
        <w:rPr>
          <w:lang w:val="fr-CA"/>
        </w:rPr>
        <w:t>26</w:t>
      </w:r>
      <w:r>
        <w:rPr>
          <w:lang w:val="fr-CA"/>
        </w:rPr>
        <w:t xml:space="preserve"> j</w:t>
      </w:r>
      <w:r w:rsidR="00440E24" w:rsidRPr="002E2327">
        <w:rPr>
          <w:lang w:val="fr-CA"/>
        </w:rPr>
        <w:t>a</w:t>
      </w:r>
      <w:r>
        <w:rPr>
          <w:lang w:val="fr-CA"/>
        </w:rPr>
        <w:t>n</w:t>
      </w:r>
      <w:r w:rsidR="00440E24" w:rsidRPr="002E2327">
        <w:rPr>
          <w:lang w:val="fr-CA"/>
        </w:rPr>
        <w:t>vi</w:t>
      </w:r>
      <w:r>
        <w:rPr>
          <w:lang w:val="fr-CA"/>
        </w:rPr>
        <w:t>er</w:t>
      </w:r>
      <w:r w:rsidR="00440E24" w:rsidRPr="002E2327">
        <w:rPr>
          <w:lang w:val="fr-CA"/>
        </w:rPr>
        <w:t xml:space="preserve"> 201</w:t>
      </w:r>
      <w:r w:rsidR="00CE4869">
        <w:rPr>
          <w:lang w:val="fr-CA"/>
        </w:rPr>
        <w:t>8</w:t>
      </w:r>
    </w:p>
    <w:p w:rsidR="00440E24" w:rsidRPr="00675479" w:rsidRDefault="00440E24" w:rsidP="00440E24">
      <w:pPr>
        <w:pBdr>
          <w:bottom w:val="single" w:sz="6" w:space="1" w:color="auto"/>
        </w:pBdr>
        <w:tabs>
          <w:tab w:val="right" w:pos="9360"/>
        </w:tabs>
        <w:rPr>
          <w:lang w:val="fr-CA"/>
        </w:rPr>
      </w:pPr>
    </w:p>
    <w:p w:rsidR="00440E24" w:rsidRPr="009C02F9" w:rsidRDefault="00440E24" w:rsidP="00440E24">
      <w:pPr>
        <w:pBdr>
          <w:bottom w:val="single" w:sz="6" w:space="1" w:color="auto"/>
        </w:pBdr>
        <w:tabs>
          <w:tab w:val="right" w:pos="9360"/>
        </w:tabs>
        <w:rPr>
          <w:sz w:val="18"/>
          <w:szCs w:val="18"/>
          <w:lang w:val="en-US"/>
        </w:rPr>
      </w:pPr>
      <w:r w:rsidRPr="009C02F9">
        <w:rPr>
          <w:sz w:val="18"/>
          <w:szCs w:val="18"/>
          <w:lang w:val="en-US"/>
        </w:rPr>
        <w:t>© Supreme Court of Canada (</w:t>
      </w:r>
      <w:r w:rsidR="0030050B" w:rsidRPr="009C02F9">
        <w:rPr>
          <w:sz w:val="18"/>
          <w:szCs w:val="18"/>
          <w:lang w:val="en-US"/>
        </w:rPr>
        <w:t>201</w:t>
      </w:r>
      <w:r w:rsidR="00CE4869" w:rsidRPr="009C02F9">
        <w:rPr>
          <w:sz w:val="18"/>
          <w:szCs w:val="18"/>
          <w:lang w:val="en-US"/>
        </w:rPr>
        <w:t>8</w:t>
      </w:r>
      <w:r w:rsidRPr="009C02F9">
        <w:rPr>
          <w:sz w:val="18"/>
          <w:szCs w:val="18"/>
          <w:lang w:val="en-US"/>
        </w:rPr>
        <w:t>)</w:t>
      </w:r>
      <w:r w:rsidRPr="009C02F9">
        <w:rPr>
          <w:sz w:val="18"/>
          <w:szCs w:val="18"/>
          <w:lang w:val="en-US"/>
        </w:rPr>
        <w:tab/>
        <w:t xml:space="preserve">© </w:t>
      </w:r>
      <w:proofErr w:type="spellStart"/>
      <w:r w:rsidRPr="009C02F9">
        <w:rPr>
          <w:sz w:val="18"/>
          <w:szCs w:val="18"/>
          <w:lang w:val="en-US"/>
        </w:rPr>
        <w:t>Cour</w:t>
      </w:r>
      <w:proofErr w:type="spellEnd"/>
      <w:r w:rsidRPr="009C02F9">
        <w:rPr>
          <w:sz w:val="18"/>
          <w:szCs w:val="18"/>
          <w:lang w:val="en-US"/>
        </w:rPr>
        <w:t xml:space="preserve"> </w:t>
      </w:r>
      <w:proofErr w:type="spellStart"/>
      <w:r w:rsidRPr="009C02F9">
        <w:rPr>
          <w:sz w:val="18"/>
          <w:szCs w:val="18"/>
          <w:lang w:val="en-US"/>
        </w:rPr>
        <w:t>suprême</w:t>
      </w:r>
      <w:proofErr w:type="spellEnd"/>
      <w:r w:rsidRPr="009C02F9">
        <w:rPr>
          <w:sz w:val="18"/>
          <w:szCs w:val="18"/>
          <w:lang w:val="en-US"/>
        </w:rPr>
        <w:t xml:space="preserve"> du Canada (</w:t>
      </w:r>
      <w:r w:rsidR="0030050B" w:rsidRPr="009C02F9">
        <w:rPr>
          <w:sz w:val="18"/>
          <w:szCs w:val="18"/>
          <w:lang w:val="en-US"/>
        </w:rPr>
        <w:t>201</w:t>
      </w:r>
      <w:r w:rsidR="00CE4869" w:rsidRPr="009C02F9">
        <w:rPr>
          <w:sz w:val="18"/>
          <w:szCs w:val="18"/>
          <w:lang w:val="en-US"/>
        </w:rPr>
        <w:t>8</w:t>
      </w:r>
      <w:r w:rsidRPr="009C02F9">
        <w:rPr>
          <w:sz w:val="18"/>
          <w:szCs w:val="18"/>
          <w:lang w:val="en-US"/>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95096B" w:rsidRPr="002E2327" w:rsidRDefault="0095096B" w:rsidP="0095096B">
            <w:pPr>
              <w:tabs>
                <w:tab w:val="right" w:pos="9360"/>
              </w:tabs>
              <w:rPr>
                <w:rFonts w:cs="Times New Roman"/>
                <w:sz w:val="20"/>
                <w:szCs w:val="20"/>
              </w:rPr>
            </w:pPr>
          </w:p>
          <w:p w:rsidR="00A87207" w:rsidRPr="002E2327" w:rsidRDefault="00A87207" w:rsidP="00C46572">
            <w:pPr>
              <w:tabs>
                <w:tab w:val="right" w:pos="9360"/>
              </w:tabs>
              <w:rPr>
                <w:rFonts w:cs="Times New Roman"/>
                <w:sz w:val="20"/>
                <w:szCs w:val="20"/>
              </w:rPr>
            </w:pPr>
          </w:p>
        </w:tc>
        <w:tc>
          <w:tcPr>
            <w:tcW w:w="1980" w:type="dxa"/>
          </w:tcPr>
          <w:p w:rsidR="0095096B" w:rsidRPr="002E2327" w:rsidRDefault="000E27A5" w:rsidP="0095096B">
            <w:pPr>
              <w:jc w:val="center"/>
              <w:rPr>
                <w:rFonts w:cs="Times New Roman"/>
                <w:sz w:val="20"/>
                <w:szCs w:val="20"/>
              </w:rPr>
            </w:pPr>
            <w:r w:rsidRPr="002E2327">
              <w:rPr>
                <w:rFonts w:cs="Times New Roman"/>
                <w:sz w:val="20"/>
                <w:szCs w:val="20"/>
              </w:rPr>
              <w:fldChar w:fldCharType="begin"/>
            </w:r>
            <w:r w:rsidR="0095096B" w:rsidRPr="002E2327">
              <w:rPr>
                <w:rFonts w:cs="Times New Roman"/>
                <w:sz w:val="20"/>
                <w:szCs w:val="20"/>
              </w:rPr>
              <w:instrText xml:space="preserve"> SEQ CHAPTER \h \r 1</w:instrText>
            </w:r>
            <w:r w:rsidRPr="002E2327">
              <w:rPr>
                <w:rFonts w:cs="Times New Roman"/>
                <w:sz w:val="20"/>
                <w:szCs w:val="20"/>
              </w:rPr>
              <w:fldChar w:fldCharType="end"/>
            </w:r>
            <w:r w:rsidR="00A83A35">
              <w:rPr>
                <w:rFonts w:cs="Times New Roman"/>
                <w:sz w:val="20"/>
                <w:szCs w:val="20"/>
              </w:rPr>
              <w:t>75</w:t>
            </w:r>
          </w:p>
          <w:p w:rsidR="0095096B" w:rsidRDefault="0095096B" w:rsidP="0095096B">
            <w:pPr>
              <w:jc w:val="center"/>
              <w:rPr>
                <w:rFonts w:cs="Times New Roman"/>
                <w:sz w:val="20"/>
                <w:szCs w:val="20"/>
              </w:rPr>
            </w:pPr>
          </w:p>
          <w:p w:rsidR="00A83A35" w:rsidRPr="002E2327" w:rsidRDefault="00A83A35" w:rsidP="0095096B">
            <w:pPr>
              <w:jc w:val="center"/>
              <w:rPr>
                <w:rFonts w:cs="Times New Roman"/>
                <w:sz w:val="20"/>
                <w:szCs w:val="20"/>
              </w:rPr>
            </w:pPr>
          </w:p>
          <w:p w:rsidR="0095096B" w:rsidRPr="002E2327" w:rsidRDefault="00A83A35" w:rsidP="0095096B">
            <w:pPr>
              <w:jc w:val="center"/>
              <w:rPr>
                <w:rFonts w:cs="Times New Roman"/>
                <w:sz w:val="20"/>
                <w:szCs w:val="20"/>
              </w:rPr>
            </w:pPr>
            <w:r>
              <w:rPr>
                <w:rFonts w:cs="Times New Roman"/>
                <w:sz w:val="20"/>
                <w:szCs w:val="20"/>
              </w:rPr>
              <w:t>76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83A35" w:rsidP="0095096B">
            <w:pPr>
              <w:jc w:val="center"/>
              <w:rPr>
                <w:rFonts w:cs="Times New Roman"/>
                <w:sz w:val="20"/>
                <w:szCs w:val="20"/>
              </w:rPr>
            </w:pPr>
            <w:r>
              <w:rPr>
                <w:rFonts w:cs="Times New Roman"/>
                <w:sz w:val="20"/>
                <w:szCs w:val="20"/>
              </w:rPr>
              <w:t>77</w:t>
            </w:r>
            <w:r w:rsidR="0095096B" w:rsidRPr="002E2327">
              <w:rPr>
                <w:rFonts w:cs="Times New Roman"/>
                <w:sz w:val="20"/>
                <w:szCs w:val="20"/>
              </w:rPr>
              <w:t>-</w:t>
            </w:r>
            <w:r>
              <w:rPr>
                <w:rFonts w:cs="Times New Roman"/>
                <w:sz w:val="20"/>
                <w:szCs w:val="20"/>
              </w:rPr>
              <w:t>79</w:t>
            </w:r>
          </w:p>
          <w:p w:rsidR="0095096B" w:rsidRPr="002E2327" w:rsidRDefault="0095096B" w:rsidP="0095096B">
            <w:pPr>
              <w:jc w:val="center"/>
              <w:rPr>
                <w:rFonts w:cs="Times New Roman"/>
                <w:sz w:val="20"/>
                <w:szCs w:val="20"/>
              </w:rPr>
            </w:pPr>
          </w:p>
          <w:p w:rsidR="0095096B" w:rsidRPr="002E2327" w:rsidRDefault="00A83A35" w:rsidP="0095096B">
            <w:pPr>
              <w:jc w:val="center"/>
              <w:rPr>
                <w:rFonts w:cs="Times New Roman"/>
                <w:sz w:val="20"/>
                <w:szCs w:val="20"/>
              </w:rPr>
            </w:pPr>
            <w:r>
              <w:rPr>
                <w:rFonts w:cs="Times New Roman"/>
                <w:sz w:val="20"/>
                <w:szCs w:val="20"/>
              </w:rPr>
              <w:t>80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83A35" w:rsidP="0095096B">
            <w:pPr>
              <w:jc w:val="center"/>
              <w:rPr>
                <w:rFonts w:cs="Times New Roman"/>
                <w:sz w:val="20"/>
                <w:szCs w:val="20"/>
              </w:rPr>
            </w:pPr>
            <w:r>
              <w:rPr>
                <w:rFonts w:cs="Times New Roman"/>
                <w:sz w:val="20"/>
                <w:szCs w:val="20"/>
              </w:rPr>
              <w:t>81</w:t>
            </w:r>
          </w:p>
          <w:p w:rsidR="0095096B" w:rsidRPr="002E2327" w:rsidRDefault="0095096B" w:rsidP="0095096B">
            <w:pPr>
              <w:jc w:val="center"/>
              <w:rPr>
                <w:rFonts w:cs="Times New Roman"/>
                <w:sz w:val="20"/>
                <w:szCs w:val="20"/>
              </w:rPr>
            </w:pPr>
          </w:p>
          <w:p w:rsidR="0095096B" w:rsidRPr="002E2327" w:rsidRDefault="00A83A35" w:rsidP="0095096B">
            <w:pPr>
              <w:jc w:val="center"/>
              <w:rPr>
                <w:rFonts w:cs="Times New Roman"/>
                <w:sz w:val="20"/>
                <w:szCs w:val="20"/>
              </w:rPr>
            </w:pPr>
            <w:r>
              <w:rPr>
                <w:rFonts w:cs="Times New Roman"/>
                <w:sz w:val="20"/>
                <w:szCs w:val="20"/>
              </w:rPr>
              <w:t>82-99</w:t>
            </w:r>
          </w:p>
          <w:p w:rsidR="0095096B" w:rsidRPr="002E2327" w:rsidRDefault="0095096B" w:rsidP="0095096B">
            <w:pPr>
              <w:jc w:val="center"/>
              <w:rPr>
                <w:rFonts w:cs="Times New Roman"/>
                <w:sz w:val="20"/>
                <w:szCs w:val="20"/>
              </w:rPr>
            </w:pPr>
          </w:p>
          <w:p w:rsidR="00A87207" w:rsidRPr="002E2327" w:rsidRDefault="00A87207" w:rsidP="00690B8B">
            <w:pPr>
              <w:tabs>
                <w:tab w:val="right" w:pos="9360"/>
              </w:tabs>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C46572">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9C02F9"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F943AE" w:rsidRDefault="00A87207" w:rsidP="00BA6468">
            <w:pPr>
              <w:rPr>
                <w:rFonts w:eastAsia="Times New Roman" w:cs="Times New Roman"/>
                <w:b/>
                <w:sz w:val="20"/>
                <w:szCs w:val="20"/>
                <w:lang w:eastAsia="en-CA"/>
              </w:rPr>
            </w:pPr>
            <w:r w:rsidRPr="00F943AE">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F943AE" w:rsidRDefault="00A87207" w:rsidP="002E2327">
            <w:pPr>
              <w:jc w:val="center"/>
              <w:rPr>
                <w:rFonts w:eastAsia="Times New Roman" w:cs="Times New Roman"/>
                <w:b/>
                <w:sz w:val="20"/>
                <w:szCs w:val="20"/>
                <w:lang w:eastAsia="en-CA"/>
              </w:rPr>
            </w:pPr>
          </w:p>
          <w:p w:rsidR="00A87207" w:rsidRPr="00F943AE" w:rsidRDefault="00A87207" w:rsidP="002E2327">
            <w:pPr>
              <w:jc w:val="center"/>
              <w:rPr>
                <w:rFonts w:eastAsia="Times New Roman" w:cs="Times New Roman"/>
                <w:b/>
                <w:sz w:val="20"/>
                <w:szCs w:val="20"/>
                <w:lang w:eastAsia="en-CA"/>
              </w:rPr>
            </w:pPr>
          </w:p>
          <w:p w:rsidR="00A87207" w:rsidRPr="00F943AE"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F943AE" w:rsidRDefault="00A87207" w:rsidP="00A87207">
            <w:pPr>
              <w:rPr>
                <w:rFonts w:eastAsia="Times New Roman" w:cs="Times New Roman"/>
                <w:b/>
                <w:sz w:val="20"/>
                <w:szCs w:val="20"/>
                <w:lang w:val="fr-CA" w:eastAsia="en-CA"/>
              </w:rPr>
            </w:pPr>
            <w:r w:rsidRPr="00F943AE">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A935AA" w:rsidRDefault="00C344C4" w:rsidP="005F1ED8">
            <w:pPr>
              <w:rPr>
                <w:b/>
                <w:sz w:val="20"/>
                <w:szCs w:val="20"/>
              </w:rPr>
            </w:pPr>
            <w:r>
              <w:rPr>
                <w:b/>
                <w:sz w:val="20"/>
                <w:szCs w:val="20"/>
              </w:rPr>
              <w:t>Her Majesty the Queen</w:t>
            </w:r>
          </w:p>
          <w:p w:rsidR="00C21644" w:rsidRPr="00A935AA" w:rsidRDefault="00C21644" w:rsidP="005F1ED8">
            <w:pPr>
              <w:tabs>
                <w:tab w:val="left" w:pos="-1440"/>
                <w:tab w:val="left" w:pos="-720"/>
              </w:tabs>
              <w:rPr>
                <w:sz w:val="20"/>
                <w:szCs w:val="20"/>
              </w:rPr>
            </w:pPr>
            <w:r w:rsidRPr="00A935AA">
              <w:rPr>
                <w:sz w:val="20"/>
                <w:szCs w:val="20"/>
              </w:rPr>
              <w:tab/>
            </w:r>
            <w:r w:rsidR="00C344C4">
              <w:rPr>
                <w:sz w:val="20"/>
                <w:szCs w:val="20"/>
              </w:rPr>
              <w:t>Mabel Lai</w:t>
            </w:r>
            <w:r>
              <w:rPr>
                <w:sz w:val="20"/>
                <w:szCs w:val="20"/>
              </w:rPr>
              <w:t xml:space="preserve"> </w:t>
            </w:r>
          </w:p>
          <w:p w:rsidR="00C21644" w:rsidRPr="00C344C4" w:rsidRDefault="00C21644" w:rsidP="005F1ED8">
            <w:pPr>
              <w:tabs>
                <w:tab w:val="left" w:pos="-1440"/>
                <w:tab w:val="left" w:pos="-720"/>
              </w:tabs>
              <w:rPr>
                <w:sz w:val="20"/>
                <w:szCs w:val="20"/>
                <w:lang w:val="en-US"/>
              </w:rPr>
            </w:pPr>
            <w:r w:rsidRPr="00A935AA">
              <w:rPr>
                <w:sz w:val="20"/>
                <w:szCs w:val="20"/>
              </w:rPr>
              <w:tab/>
            </w:r>
            <w:r w:rsidR="00C344C4">
              <w:rPr>
                <w:sz w:val="20"/>
                <w:szCs w:val="20"/>
              </w:rPr>
              <w:t>Crown Law Office - Criminal</w:t>
            </w:r>
          </w:p>
          <w:p w:rsidR="00C21644" w:rsidRPr="00C344C4" w:rsidRDefault="00C21644" w:rsidP="005F1ED8">
            <w:pPr>
              <w:tabs>
                <w:tab w:val="left" w:pos="-1440"/>
                <w:tab w:val="left" w:pos="-720"/>
              </w:tabs>
              <w:rPr>
                <w:sz w:val="20"/>
                <w:szCs w:val="20"/>
                <w:lang w:val="en-US"/>
              </w:rPr>
            </w:pPr>
          </w:p>
          <w:p w:rsidR="00C21644" w:rsidRPr="00C344C4" w:rsidRDefault="00C344C4" w:rsidP="005F1ED8">
            <w:pPr>
              <w:tabs>
                <w:tab w:val="left" w:pos="-1440"/>
                <w:tab w:val="left" w:pos="-720"/>
              </w:tabs>
              <w:rPr>
                <w:sz w:val="20"/>
                <w:szCs w:val="20"/>
                <w:lang w:val="en-US"/>
              </w:rPr>
            </w:pPr>
            <w:r>
              <w:rPr>
                <w:sz w:val="20"/>
                <w:szCs w:val="20"/>
                <w:lang w:val="en-US"/>
              </w:rPr>
              <w:tab/>
              <w:t>v. (37902</w:t>
            </w:r>
            <w:r w:rsidR="00C21644" w:rsidRPr="00C344C4">
              <w:rPr>
                <w:sz w:val="20"/>
                <w:szCs w:val="20"/>
                <w:lang w:val="en-US"/>
              </w:rPr>
              <w:t>)</w:t>
            </w:r>
          </w:p>
          <w:p w:rsidR="00C21644" w:rsidRPr="00C344C4" w:rsidRDefault="00C21644" w:rsidP="005F1ED8">
            <w:pPr>
              <w:tabs>
                <w:tab w:val="left" w:pos="-1440"/>
                <w:tab w:val="left" w:pos="-720"/>
              </w:tabs>
              <w:rPr>
                <w:sz w:val="20"/>
                <w:szCs w:val="20"/>
                <w:lang w:val="en-US"/>
              </w:rPr>
            </w:pPr>
          </w:p>
          <w:p w:rsidR="00C21644" w:rsidRPr="00C344C4" w:rsidRDefault="00C344C4" w:rsidP="005F1ED8">
            <w:pPr>
              <w:tabs>
                <w:tab w:val="left" w:pos="-1440"/>
                <w:tab w:val="left" w:pos="-720"/>
              </w:tabs>
              <w:rPr>
                <w:b/>
                <w:sz w:val="20"/>
                <w:szCs w:val="20"/>
                <w:lang w:val="en-US"/>
              </w:rPr>
            </w:pPr>
            <w:r w:rsidRPr="00C344C4">
              <w:rPr>
                <w:b/>
                <w:sz w:val="20"/>
                <w:szCs w:val="20"/>
                <w:lang w:val="en-US"/>
              </w:rPr>
              <w:t>Eric Talbot</w:t>
            </w:r>
            <w:r w:rsidR="00C21644" w:rsidRPr="00C344C4">
              <w:rPr>
                <w:sz w:val="20"/>
                <w:szCs w:val="20"/>
                <w:lang w:val="en-US"/>
              </w:rPr>
              <w:t xml:space="preserve"> </w:t>
            </w:r>
            <w:r w:rsidR="00C21644" w:rsidRPr="00C344C4">
              <w:rPr>
                <w:b/>
                <w:sz w:val="20"/>
                <w:szCs w:val="20"/>
                <w:lang w:val="en-US"/>
              </w:rPr>
              <w:t>(Ont.)</w:t>
            </w:r>
          </w:p>
          <w:p w:rsidR="00C21644" w:rsidRPr="00A935AA" w:rsidRDefault="00C21644" w:rsidP="005F1ED8">
            <w:pPr>
              <w:tabs>
                <w:tab w:val="left" w:pos="-1440"/>
                <w:tab w:val="left" w:pos="-720"/>
              </w:tabs>
              <w:rPr>
                <w:sz w:val="20"/>
                <w:szCs w:val="20"/>
              </w:rPr>
            </w:pPr>
            <w:r w:rsidRPr="00C344C4">
              <w:rPr>
                <w:sz w:val="20"/>
                <w:szCs w:val="20"/>
                <w:lang w:val="en-US"/>
              </w:rPr>
              <w:tab/>
            </w:r>
            <w:r w:rsidR="00C344C4">
              <w:rPr>
                <w:sz w:val="20"/>
                <w:szCs w:val="20"/>
              </w:rPr>
              <w:t>Mary Cremer</w:t>
            </w:r>
          </w:p>
          <w:p w:rsidR="00C21644" w:rsidRPr="00C344C4" w:rsidRDefault="00C344C4" w:rsidP="00C344C4">
            <w:pPr>
              <w:tabs>
                <w:tab w:val="left" w:pos="-1440"/>
                <w:tab w:val="left" w:pos="-720"/>
              </w:tabs>
              <w:ind w:left="720"/>
              <w:rPr>
                <w:sz w:val="20"/>
                <w:szCs w:val="20"/>
                <w:lang w:val="en-US"/>
              </w:rPr>
            </w:pPr>
            <w:r w:rsidRPr="00C344C4">
              <w:rPr>
                <w:sz w:val="20"/>
                <w:szCs w:val="20"/>
                <w:lang w:val="en-US"/>
              </w:rPr>
              <w:t xml:space="preserve">Cremer Barristers Professional </w:t>
            </w:r>
            <w:r w:rsidRPr="00C344C4">
              <w:rPr>
                <w:sz w:val="20"/>
                <w:szCs w:val="20"/>
                <w:lang w:val="en-US"/>
              </w:rPr>
              <w:br/>
              <w:t>Corporation</w:t>
            </w:r>
          </w:p>
          <w:p w:rsidR="00C21644" w:rsidRPr="00C344C4" w:rsidRDefault="00C21644" w:rsidP="005F1ED8">
            <w:pPr>
              <w:tabs>
                <w:tab w:val="left" w:pos="-1440"/>
                <w:tab w:val="left" w:pos="-720"/>
              </w:tabs>
              <w:rPr>
                <w:sz w:val="20"/>
                <w:szCs w:val="20"/>
                <w:lang w:val="en-US"/>
              </w:rPr>
            </w:pPr>
          </w:p>
          <w:p w:rsidR="00C21644" w:rsidRPr="00C344C4" w:rsidRDefault="00C21644" w:rsidP="005F1ED8">
            <w:pPr>
              <w:rPr>
                <w:sz w:val="20"/>
                <w:szCs w:val="20"/>
                <w:lang w:val="en-US"/>
              </w:rPr>
            </w:pPr>
            <w:r w:rsidRPr="00C344C4">
              <w:rPr>
                <w:sz w:val="20"/>
                <w:szCs w:val="20"/>
                <w:lang w:val="en-US"/>
              </w:rPr>
              <w:t xml:space="preserve">FILING DATE: </w:t>
            </w:r>
            <w:r w:rsidR="00C344C4" w:rsidRPr="00C344C4">
              <w:rPr>
                <w:sz w:val="20"/>
                <w:szCs w:val="20"/>
                <w:lang w:val="en-US"/>
              </w:rPr>
              <w:t>09</w:t>
            </w:r>
            <w:r w:rsidRPr="00C344C4">
              <w:rPr>
                <w:sz w:val="20"/>
                <w:szCs w:val="20"/>
                <w:lang w:val="en-US"/>
              </w:rPr>
              <w:t>.</w:t>
            </w:r>
            <w:r w:rsidR="00E8544A" w:rsidRPr="00C344C4">
              <w:rPr>
                <w:sz w:val="20"/>
                <w:szCs w:val="20"/>
                <w:lang w:val="en-US"/>
              </w:rPr>
              <w:t>01</w:t>
            </w:r>
            <w:r w:rsidRPr="00C344C4">
              <w:rPr>
                <w:sz w:val="20"/>
                <w:szCs w:val="20"/>
                <w:lang w:val="en-US"/>
              </w:rPr>
              <w:t>.</w:t>
            </w:r>
            <w:r w:rsidR="00CE4869" w:rsidRPr="00C344C4">
              <w:rPr>
                <w:sz w:val="20"/>
                <w:szCs w:val="20"/>
                <w:lang w:val="en-US"/>
              </w:rPr>
              <w:t>2018</w:t>
            </w:r>
          </w:p>
          <w:p w:rsidR="00C21644" w:rsidRPr="00A4728F" w:rsidRDefault="009C02F9" w:rsidP="005F1ED8">
            <w:pPr>
              <w:rPr>
                <w:sz w:val="20"/>
                <w:szCs w:val="20"/>
                <w:lang w:val="en-US"/>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4728F" w:rsidRDefault="00C21644" w:rsidP="00242AEE">
            <w:pPr>
              <w:jc w:val="center"/>
              <w:rPr>
                <w:sz w:val="20"/>
                <w:szCs w:val="20"/>
                <w:lang w:val="en-US"/>
              </w:rPr>
            </w:pPr>
          </w:p>
          <w:p w:rsidR="00C21644" w:rsidRPr="00A4728F" w:rsidRDefault="00C21644" w:rsidP="00242AEE">
            <w:pPr>
              <w:jc w:val="center"/>
              <w:rPr>
                <w:sz w:val="20"/>
                <w:szCs w:val="20"/>
                <w:lang w:val="en-US"/>
              </w:rPr>
            </w:pPr>
          </w:p>
          <w:p w:rsidR="00C21644" w:rsidRPr="00A4728F" w:rsidRDefault="00C21644" w:rsidP="00242AEE">
            <w:pPr>
              <w:jc w:val="center"/>
              <w:rPr>
                <w:sz w:val="20"/>
                <w:szCs w:val="20"/>
                <w:lang w:val="en-US"/>
              </w:rPr>
            </w:pPr>
          </w:p>
          <w:p w:rsidR="00C21644" w:rsidRPr="00A4728F" w:rsidRDefault="00C21644" w:rsidP="00242AEE">
            <w:pPr>
              <w:jc w:val="center"/>
              <w:rPr>
                <w:sz w:val="20"/>
                <w:szCs w:val="20"/>
                <w:lang w:val="en-US"/>
              </w:rPr>
            </w:pPr>
          </w:p>
          <w:p w:rsidR="00C21644" w:rsidRPr="00A4728F" w:rsidRDefault="00C21644" w:rsidP="00242AEE">
            <w:pPr>
              <w:jc w:val="center"/>
              <w:rPr>
                <w:sz w:val="20"/>
                <w:szCs w:val="20"/>
                <w:lang w:val="en-US"/>
              </w:rPr>
            </w:pPr>
          </w:p>
          <w:p w:rsidR="00C21644" w:rsidRPr="00A4728F" w:rsidRDefault="00C21644" w:rsidP="00242AEE">
            <w:pPr>
              <w:jc w:val="center"/>
              <w:rPr>
                <w:sz w:val="20"/>
                <w:szCs w:val="20"/>
                <w:lang w:val="en-US"/>
              </w:rPr>
            </w:pPr>
          </w:p>
          <w:p w:rsidR="00C21644" w:rsidRPr="00A4728F" w:rsidRDefault="00C21644" w:rsidP="00242AEE">
            <w:pPr>
              <w:jc w:val="center"/>
              <w:rPr>
                <w:sz w:val="20"/>
                <w:szCs w:val="20"/>
                <w:lang w:val="en-US"/>
              </w:rPr>
            </w:pPr>
          </w:p>
          <w:p w:rsidR="00C21644" w:rsidRPr="00A4728F" w:rsidRDefault="00C21644" w:rsidP="00242AEE">
            <w:pPr>
              <w:jc w:val="center"/>
              <w:rPr>
                <w:sz w:val="20"/>
                <w:szCs w:val="20"/>
                <w:lang w:val="en-US"/>
              </w:rPr>
            </w:pPr>
          </w:p>
          <w:p w:rsidR="00C21644" w:rsidRPr="00A4728F" w:rsidRDefault="00C21644" w:rsidP="00242AEE">
            <w:pPr>
              <w:jc w:val="center"/>
              <w:rPr>
                <w:sz w:val="20"/>
                <w:szCs w:val="20"/>
                <w:lang w:val="en-US"/>
              </w:rPr>
            </w:pPr>
          </w:p>
          <w:p w:rsidR="00C21644" w:rsidRPr="00A4728F" w:rsidRDefault="00C21644" w:rsidP="00242AEE">
            <w:pPr>
              <w:jc w:val="center"/>
              <w:rPr>
                <w:sz w:val="20"/>
                <w:szCs w:val="20"/>
                <w:lang w:val="en-US"/>
              </w:rPr>
            </w:pPr>
          </w:p>
          <w:p w:rsidR="00C21644" w:rsidRPr="00A4728F" w:rsidRDefault="00C21644" w:rsidP="00242AEE">
            <w:pPr>
              <w:jc w:val="center"/>
              <w:rPr>
                <w:sz w:val="20"/>
                <w:szCs w:val="20"/>
                <w:lang w:val="en-US"/>
              </w:rPr>
            </w:pPr>
          </w:p>
          <w:p w:rsidR="00C21644" w:rsidRPr="00A4728F" w:rsidRDefault="00C21644" w:rsidP="00242AEE">
            <w:pPr>
              <w:jc w:val="center"/>
              <w:rPr>
                <w:sz w:val="20"/>
                <w:szCs w:val="20"/>
                <w:lang w:val="en-US"/>
              </w:rPr>
            </w:pPr>
          </w:p>
          <w:p w:rsidR="00C21644" w:rsidRPr="00A4728F" w:rsidRDefault="00C21644" w:rsidP="00242AEE">
            <w:pPr>
              <w:jc w:val="center"/>
              <w:rPr>
                <w:sz w:val="20"/>
                <w:szCs w:val="20"/>
                <w:lang w:val="en-US"/>
              </w:rPr>
            </w:pPr>
          </w:p>
        </w:tc>
        <w:tc>
          <w:tcPr>
            <w:tcW w:w="4320" w:type="dxa"/>
            <w:shd w:val="clear" w:color="auto" w:fill="auto"/>
          </w:tcPr>
          <w:p w:rsidR="00C21644" w:rsidRPr="00B746B5" w:rsidRDefault="00C344C4" w:rsidP="005F1ED8">
            <w:pPr>
              <w:keepNext/>
              <w:keepLines/>
              <w:tabs>
                <w:tab w:val="left" w:pos="-1440"/>
                <w:tab w:val="left" w:pos="-720"/>
              </w:tabs>
              <w:rPr>
                <w:b/>
                <w:sz w:val="20"/>
                <w:szCs w:val="20"/>
                <w:lang w:val="en-US"/>
              </w:rPr>
            </w:pPr>
            <w:r w:rsidRPr="00B746B5">
              <w:rPr>
                <w:b/>
                <w:sz w:val="20"/>
                <w:szCs w:val="20"/>
                <w:lang w:val="en-US"/>
              </w:rPr>
              <w:t>Coast Capital Savings Credit Union</w:t>
            </w:r>
          </w:p>
          <w:p w:rsidR="00C21644" w:rsidRPr="00C344C4" w:rsidRDefault="00C344C4" w:rsidP="005F1ED8">
            <w:pPr>
              <w:keepNext/>
              <w:keepLines/>
              <w:tabs>
                <w:tab w:val="left" w:pos="-1440"/>
                <w:tab w:val="left" w:pos="-720"/>
              </w:tabs>
              <w:rPr>
                <w:sz w:val="20"/>
                <w:szCs w:val="20"/>
                <w:lang w:val="en-US"/>
              </w:rPr>
            </w:pPr>
            <w:r w:rsidRPr="00B746B5">
              <w:rPr>
                <w:sz w:val="20"/>
                <w:szCs w:val="20"/>
                <w:lang w:val="en-US"/>
              </w:rPr>
              <w:tab/>
            </w:r>
            <w:r w:rsidRPr="00C344C4">
              <w:rPr>
                <w:sz w:val="20"/>
                <w:szCs w:val="20"/>
                <w:lang w:val="en-US"/>
              </w:rPr>
              <w:t>Craig A.B. Ferris</w:t>
            </w:r>
          </w:p>
          <w:p w:rsidR="00C21644" w:rsidRPr="00C344C4" w:rsidRDefault="00C344C4" w:rsidP="00C344C4">
            <w:pPr>
              <w:keepNext/>
              <w:keepLines/>
              <w:tabs>
                <w:tab w:val="left" w:pos="-1440"/>
                <w:tab w:val="left" w:pos="-720"/>
              </w:tabs>
              <w:ind w:left="720"/>
              <w:rPr>
                <w:sz w:val="20"/>
                <w:szCs w:val="20"/>
                <w:lang w:val="en-US"/>
              </w:rPr>
            </w:pPr>
            <w:r w:rsidRPr="00C344C4">
              <w:rPr>
                <w:sz w:val="20"/>
                <w:szCs w:val="20"/>
                <w:lang w:val="en-US"/>
              </w:rPr>
              <w:t xml:space="preserve">Lawson </w:t>
            </w:r>
            <w:proofErr w:type="spellStart"/>
            <w:r w:rsidRPr="00C344C4">
              <w:rPr>
                <w:sz w:val="20"/>
                <w:szCs w:val="20"/>
                <w:lang w:val="en-US"/>
              </w:rPr>
              <w:t>Lundell</w:t>
            </w:r>
            <w:proofErr w:type="spellEnd"/>
            <w:r w:rsidRPr="00C344C4">
              <w:rPr>
                <w:sz w:val="20"/>
                <w:szCs w:val="20"/>
                <w:lang w:val="en-US"/>
              </w:rPr>
              <w:t xml:space="preserve"> LLP</w:t>
            </w:r>
          </w:p>
          <w:p w:rsidR="00C21644" w:rsidRPr="00C344C4" w:rsidRDefault="00C21644" w:rsidP="005F1ED8">
            <w:pPr>
              <w:keepNext/>
              <w:keepLines/>
              <w:tabs>
                <w:tab w:val="left" w:pos="-1440"/>
                <w:tab w:val="left" w:pos="-720"/>
              </w:tabs>
              <w:rPr>
                <w:sz w:val="20"/>
                <w:szCs w:val="20"/>
                <w:lang w:val="en-US"/>
              </w:rPr>
            </w:pPr>
          </w:p>
          <w:p w:rsidR="00C21644" w:rsidRPr="00B746B5" w:rsidRDefault="00C21644" w:rsidP="005F1ED8">
            <w:pPr>
              <w:keepNext/>
              <w:keepLines/>
              <w:tabs>
                <w:tab w:val="left" w:pos="-1440"/>
                <w:tab w:val="left" w:pos="-720"/>
              </w:tabs>
              <w:rPr>
                <w:sz w:val="20"/>
                <w:szCs w:val="20"/>
                <w:lang w:val="en-US"/>
              </w:rPr>
            </w:pPr>
            <w:r w:rsidRPr="00C344C4">
              <w:rPr>
                <w:sz w:val="20"/>
                <w:szCs w:val="20"/>
                <w:lang w:val="en-US"/>
              </w:rPr>
              <w:tab/>
            </w:r>
            <w:r w:rsidR="00C344C4" w:rsidRPr="00B746B5">
              <w:rPr>
                <w:sz w:val="20"/>
                <w:szCs w:val="20"/>
                <w:lang w:val="en-US"/>
              </w:rPr>
              <w:t>v. (37888</w:t>
            </w:r>
            <w:r w:rsidRPr="00B746B5">
              <w:rPr>
                <w:sz w:val="20"/>
                <w:szCs w:val="20"/>
                <w:lang w:val="en-US"/>
              </w:rPr>
              <w:t>)</w:t>
            </w:r>
          </w:p>
          <w:p w:rsidR="00C21644" w:rsidRPr="00B746B5" w:rsidRDefault="00C21644" w:rsidP="005F1ED8">
            <w:pPr>
              <w:keepNext/>
              <w:keepLines/>
              <w:tabs>
                <w:tab w:val="left" w:pos="-1440"/>
                <w:tab w:val="left" w:pos="-720"/>
              </w:tabs>
              <w:rPr>
                <w:sz w:val="20"/>
                <w:szCs w:val="20"/>
                <w:lang w:val="en-US"/>
              </w:rPr>
            </w:pPr>
          </w:p>
          <w:p w:rsidR="00C21644" w:rsidRPr="00B746B5" w:rsidRDefault="00C344C4" w:rsidP="005F1ED8">
            <w:pPr>
              <w:keepNext/>
              <w:keepLines/>
              <w:tabs>
                <w:tab w:val="left" w:pos="-1440"/>
                <w:tab w:val="left" w:pos="-720"/>
              </w:tabs>
              <w:rPr>
                <w:b/>
                <w:sz w:val="20"/>
                <w:szCs w:val="20"/>
                <w:lang w:val="en-US"/>
              </w:rPr>
            </w:pPr>
            <w:r w:rsidRPr="002A38DA">
              <w:rPr>
                <w:b/>
                <w:sz w:val="20"/>
                <w:szCs w:val="20"/>
                <w:lang w:val="en-US"/>
              </w:rPr>
              <w:t>Lib</w:t>
            </w:r>
            <w:r w:rsidR="002A38DA" w:rsidRPr="002A38DA">
              <w:rPr>
                <w:b/>
                <w:sz w:val="20"/>
                <w:szCs w:val="20"/>
                <w:lang w:val="en-US"/>
              </w:rPr>
              <w:t>erty International Underwriters</w:t>
            </w:r>
            <w:r w:rsidRPr="002A38DA">
              <w:rPr>
                <w:b/>
                <w:sz w:val="20"/>
                <w:szCs w:val="20"/>
                <w:lang w:val="en-US"/>
              </w:rPr>
              <w:t xml:space="preserve"> et al.</w:t>
            </w:r>
            <w:r w:rsidR="00C21644" w:rsidRPr="002A38DA">
              <w:rPr>
                <w:b/>
                <w:sz w:val="20"/>
                <w:szCs w:val="20"/>
                <w:lang w:val="en-US"/>
              </w:rPr>
              <w:t xml:space="preserve"> </w:t>
            </w:r>
            <w:r w:rsidR="00C21644" w:rsidRPr="00B746B5">
              <w:rPr>
                <w:b/>
                <w:sz w:val="20"/>
                <w:szCs w:val="20"/>
                <w:lang w:val="en-US"/>
              </w:rPr>
              <w:t>(</w:t>
            </w:r>
            <w:r w:rsidRPr="00B746B5">
              <w:rPr>
                <w:b/>
                <w:sz w:val="20"/>
                <w:szCs w:val="20"/>
                <w:lang w:val="en-US"/>
              </w:rPr>
              <w:t>B.C.</w:t>
            </w:r>
            <w:r w:rsidR="00C21644" w:rsidRPr="00B746B5">
              <w:rPr>
                <w:b/>
                <w:sz w:val="20"/>
                <w:szCs w:val="20"/>
                <w:lang w:val="en-US"/>
              </w:rPr>
              <w:t>)</w:t>
            </w:r>
          </w:p>
          <w:p w:rsidR="00C21644" w:rsidRPr="00B746B5" w:rsidRDefault="00C21644" w:rsidP="005F1ED8">
            <w:pPr>
              <w:keepNext/>
              <w:keepLines/>
              <w:tabs>
                <w:tab w:val="left" w:pos="-1440"/>
                <w:tab w:val="left" w:pos="-720"/>
              </w:tabs>
              <w:rPr>
                <w:sz w:val="20"/>
                <w:szCs w:val="20"/>
                <w:lang w:val="en-US"/>
              </w:rPr>
            </w:pPr>
            <w:r w:rsidRPr="00B746B5">
              <w:rPr>
                <w:sz w:val="20"/>
                <w:szCs w:val="20"/>
                <w:lang w:val="en-US"/>
              </w:rPr>
              <w:tab/>
            </w:r>
            <w:r w:rsidR="00C344C4" w:rsidRPr="00B746B5">
              <w:rPr>
                <w:sz w:val="20"/>
                <w:szCs w:val="20"/>
                <w:lang w:val="en-US"/>
              </w:rPr>
              <w:t>Ryan D.W. Dalziel</w:t>
            </w:r>
          </w:p>
          <w:p w:rsidR="00C21644" w:rsidRPr="00C344C4" w:rsidRDefault="00C21644" w:rsidP="005F1ED8">
            <w:pPr>
              <w:keepNext/>
              <w:keepLines/>
              <w:tabs>
                <w:tab w:val="left" w:pos="-1440"/>
                <w:tab w:val="left" w:pos="-720"/>
              </w:tabs>
              <w:rPr>
                <w:sz w:val="20"/>
                <w:szCs w:val="20"/>
                <w:lang w:val="en-US"/>
              </w:rPr>
            </w:pPr>
            <w:r w:rsidRPr="00B746B5">
              <w:rPr>
                <w:sz w:val="20"/>
                <w:szCs w:val="20"/>
                <w:lang w:val="en-US"/>
              </w:rPr>
              <w:tab/>
            </w:r>
            <w:r w:rsidR="00C344C4" w:rsidRPr="00C344C4">
              <w:rPr>
                <w:sz w:val="20"/>
                <w:szCs w:val="20"/>
                <w:lang w:val="en-US"/>
              </w:rPr>
              <w:t>Norton Rose Fulbright Canada LLP</w:t>
            </w:r>
          </w:p>
          <w:p w:rsidR="00C21644" w:rsidRPr="00C344C4" w:rsidRDefault="00C21644" w:rsidP="005F1ED8">
            <w:pPr>
              <w:keepNext/>
              <w:keepLines/>
              <w:tabs>
                <w:tab w:val="left" w:pos="-1440"/>
                <w:tab w:val="left" w:pos="-720"/>
              </w:tabs>
              <w:rPr>
                <w:sz w:val="20"/>
                <w:szCs w:val="20"/>
                <w:lang w:val="en-US"/>
              </w:rPr>
            </w:pPr>
          </w:p>
          <w:p w:rsidR="00C21644" w:rsidRPr="00C344C4" w:rsidRDefault="00C344C4" w:rsidP="00C344C4">
            <w:pPr>
              <w:rPr>
                <w:sz w:val="20"/>
                <w:szCs w:val="20"/>
                <w:lang w:val="en-US"/>
              </w:rPr>
            </w:pPr>
            <w:r w:rsidRPr="00C344C4">
              <w:rPr>
                <w:sz w:val="20"/>
                <w:szCs w:val="20"/>
                <w:lang w:val="en-US"/>
              </w:rPr>
              <w:t>FILING DATE :</w:t>
            </w:r>
            <w:r w:rsidR="00C21644" w:rsidRPr="00C344C4">
              <w:rPr>
                <w:sz w:val="20"/>
                <w:szCs w:val="20"/>
                <w:lang w:val="en-US"/>
              </w:rPr>
              <w:t xml:space="preserve"> </w:t>
            </w:r>
            <w:r w:rsidRPr="00C344C4">
              <w:rPr>
                <w:sz w:val="20"/>
                <w:szCs w:val="20"/>
                <w:lang w:val="en-US"/>
              </w:rPr>
              <w:t>19.12.2017</w:t>
            </w:r>
            <w:r w:rsidR="009C02F9">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8679F7" w:rsidRPr="00A935AA" w:rsidRDefault="008679F7" w:rsidP="008679F7">
            <w:pPr>
              <w:rPr>
                <w:b/>
                <w:sz w:val="20"/>
                <w:szCs w:val="20"/>
              </w:rPr>
            </w:pPr>
            <w:proofErr w:type="spellStart"/>
            <w:r>
              <w:rPr>
                <w:b/>
                <w:sz w:val="20"/>
                <w:szCs w:val="20"/>
              </w:rPr>
              <w:t>Ghareeb</w:t>
            </w:r>
            <w:proofErr w:type="spellEnd"/>
            <w:r>
              <w:rPr>
                <w:b/>
                <w:sz w:val="20"/>
                <w:szCs w:val="20"/>
              </w:rPr>
              <w:t xml:space="preserve"> </w:t>
            </w:r>
            <w:proofErr w:type="spellStart"/>
            <w:r>
              <w:rPr>
                <w:b/>
                <w:sz w:val="20"/>
                <w:szCs w:val="20"/>
              </w:rPr>
              <w:t>Awad</w:t>
            </w:r>
            <w:proofErr w:type="spellEnd"/>
            <w:r>
              <w:rPr>
                <w:b/>
                <w:sz w:val="20"/>
                <w:szCs w:val="20"/>
              </w:rPr>
              <w:t xml:space="preserve"> et al.</w:t>
            </w:r>
          </w:p>
          <w:p w:rsidR="008679F7" w:rsidRDefault="008679F7" w:rsidP="008679F7">
            <w:pPr>
              <w:tabs>
                <w:tab w:val="left" w:pos="-1440"/>
                <w:tab w:val="left" w:pos="-720"/>
              </w:tabs>
              <w:rPr>
                <w:sz w:val="20"/>
                <w:szCs w:val="20"/>
              </w:rPr>
            </w:pPr>
            <w:r w:rsidRPr="00A935AA">
              <w:rPr>
                <w:sz w:val="20"/>
                <w:szCs w:val="20"/>
              </w:rPr>
              <w:tab/>
            </w:r>
            <w:proofErr w:type="spellStart"/>
            <w:r>
              <w:rPr>
                <w:sz w:val="20"/>
                <w:szCs w:val="20"/>
              </w:rPr>
              <w:t>Ghareeb</w:t>
            </w:r>
            <w:proofErr w:type="spellEnd"/>
            <w:r>
              <w:rPr>
                <w:sz w:val="20"/>
                <w:szCs w:val="20"/>
              </w:rPr>
              <w:t xml:space="preserve"> </w:t>
            </w:r>
            <w:proofErr w:type="spellStart"/>
            <w:r>
              <w:rPr>
                <w:sz w:val="20"/>
                <w:szCs w:val="20"/>
              </w:rPr>
              <w:t>Awad</w:t>
            </w:r>
            <w:proofErr w:type="spellEnd"/>
          </w:p>
          <w:p w:rsidR="008679F7" w:rsidRPr="00C344C4" w:rsidRDefault="008679F7" w:rsidP="008679F7">
            <w:pPr>
              <w:tabs>
                <w:tab w:val="left" w:pos="-1440"/>
                <w:tab w:val="left" w:pos="-720"/>
              </w:tabs>
              <w:rPr>
                <w:sz w:val="20"/>
                <w:szCs w:val="20"/>
                <w:lang w:val="en-US"/>
              </w:rPr>
            </w:pPr>
          </w:p>
          <w:p w:rsidR="008679F7" w:rsidRPr="00C344C4" w:rsidRDefault="008679F7" w:rsidP="008679F7">
            <w:pPr>
              <w:tabs>
                <w:tab w:val="left" w:pos="-1440"/>
                <w:tab w:val="left" w:pos="-720"/>
              </w:tabs>
              <w:rPr>
                <w:sz w:val="20"/>
                <w:szCs w:val="20"/>
                <w:lang w:val="en-US"/>
              </w:rPr>
            </w:pPr>
            <w:r>
              <w:rPr>
                <w:sz w:val="20"/>
                <w:szCs w:val="20"/>
                <w:lang w:val="en-US"/>
              </w:rPr>
              <w:tab/>
              <w:t>v. (37903)</w:t>
            </w:r>
          </w:p>
          <w:p w:rsidR="008679F7" w:rsidRPr="00C344C4" w:rsidRDefault="008679F7" w:rsidP="008679F7">
            <w:pPr>
              <w:tabs>
                <w:tab w:val="left" w:pos="-1440"/>
                <w:tab w:val="left" w:pos="-720"/>
              </w:tabs>
              <w:rPr>
                <w:sz w:val="20"/>
                <w:szCs w:val="20"/>
                <w:lang w:val="en-US"/>
              </w:rPr>
            </w:pPr>
          </w:p>
          <w:p w:rsidR="008679F7" w:rsidRPr="00C344C4" w:rsidRDefault="008679F7" w:rsidP="008679F7">
            <w:pPr>
              <w:tabs>
                <w:tab w:val="left" w:pos="-1440"/>
                <w:tab w:val="left" w:pos="-720"/>
              </w:tabs>
              <w:rPr>
                <w:b/>
                <w:sz w:val="20"/>
                <w:szCs w:val="20"/>
                <w:lang w:val="en-US"/>
              </w:rPr>
            </w:pPr>
            <w:r>
              <w:rPr>
                <w:b/>
                <w:sz w:val="20"/>
                <w:szCs w:val="20"/>
                <w:lang w:val="en-US"/>
              </w:rPr>
              <w:t>Dover Investments Limited et al.</w:t>
            </w:r>
            <w:r w:rsidRPr="00C344C4">
              <w:rPr>
                <w:sz w:val="20"/>
                <w:szCs w:val="20"/>
                <w:lang w:val="en-US"/>
              </w:rPr>
              <w:t xml:space="preserve"> </w:t>
            </w:r>
            <w:r w:rsidRPr="00C344C4">
              <w:rPr>
                <w:b/>
                <w:sz w:val="20"/>
                <w:szCs w:val="20"/>
                <w:lang w:val="en-US"/>
              </w:rPr>
              <w:t>(Ont.)</w:t>
            </w:r>
          </w:p>
          <w:p w:rsidR="008679F7" w:rsidRPr="00A935AA" w:rsidRDefault="008679F7" w:rsidP="008679F7">
            <w:pPr>
              <w:tabs>
                <w:tab w:val="left" w:pos="-1440"/>
                <w:tab w:val="left" w:pos="-720"/>
              </w:tabs>
              <w:rPr>
                <w:sz w:val="20"/>
                <w:szCs w:val="20"/>
              </w:rPr>
            </w:pPr>
            <w:r w:rsidRPr="00C344C4">
              <w:rPr>
                <w:sz w:val="20"/>
                <w:szCs w:val="20"/>
                <w:lang w:val="en-US"/>
              </w:rPr>
              <w:tab/>
            </w:r>
            <w:r>
              <w:rPr>
                <w:sz w:val="20"/>
                <w:szCs w:val="20"/>
              </w:rPr>
              <w:t xml:space="preserve">Howard J. </w:t>
            </w:r>
            <w:proofErr w:type="spellStart"/>
            <w:r>
              <w:rPr>
                <w:sz w:val="20"/>
                <w:szCs w:val="20"/>
              </w:rPr>
              <w:t>Wolch</w:t>
            </w:r>
            <w:proofErr w:type="spellEnd"/>
          </w:p>
          <w:p w:rsidR="008679F7" w:rsidRPr="00C344C4" w:rsidRDefault="008679F7" w:rsidP="008679F7">
            <w:pPr>
              <w:tabs>
                <w:tab w:val="left" w:pos="-1440"/>
                <w:tab w:val="left" w:pos="-720"/>
              </w:tabs>
              <w:ind w:left="720"/>
              <w:rPr>
                <w:sz w:val="20"/>
                <w:szCs w:val="20"/>
                <w:lang w:val="en-US"/>
              </w:rPr>
            </w:pPr>
            <w:r>
              <w:rPr>
                <w:sz w:val="20"/>
                <w:szCs w:val="20"/>
                <w:lang w:val="en-US"/>
              </w:rPr>
              <w:t>Gardiner, Roberts LLP</w:t>
            </w:r>
          </w:p>
          <w:p w:rsidR="008679F7" w:rsidRPr="00C344C4" w:rsidRDefault="008679F7" w:rsidP="008679F7">
            <w:pPr>
              <w:tabs>
                <w:tab w:val="left" w:pos="-1440"/>
                <w:tab w:val="left" w:pos="-720"/>
              </w:tabs>
              <w:rPr>
                <w:sz w:val="20"/>
                <w:szCs w:val="20"/>
                <w:lang w:val="en-US"/>
              </w:rPr>
            </w:pPr>
          </w:p>
          <w:p w:rsidR="008679F7" w:rsidRPr="00C344C4" w:rsidRDefault="008679F7" w:rsidP="008679F7">
            <w:pPr>
              <w:rPr>
                <w:sz w:val="20"/>
                <w:szCs w:val="20"/>
                <w:lang w:val="en-US"/>
              </w:rPr>
            </w:pPr>
            <w:r w:rsidRPr="00C344C4">
              <w:rPr>
                <w:sz w:val="20"/>
                <w:szCs w:val="20"/>
                <w:lang w:val="en-US"/>
              </w:rPr>
              <w:t xml:space="preserve">FILING DATE: </w:t>
            </w:r>
            <w:r>
              <w:rPr>
                <w:sz w:val="20"/>
                <w:szCs w:val="20"/>
                <w:lang w:val="en-US"/>
              </w:rPr>
              <w:t>14</w:t>
            </w:r>
            <w:r w:rsidRPr="00C344C4">
              <w:rPr>
                <w:sz w:val="20"/>
                <w:szCs w:val="20"/>
                <w:lang w:val="en-US"/>
              </w:rPr>
              <w:t>.</w:t>
            </w:r>
            <w:r>
              <w:rPr>
                <w:sz w:val="20"/>
                <w:szCs w:val="20"/>
                <w:lang w:val="en-US"/>
              </w:rPr>
              <w:t>1</w:t>
            </w:r>
            <w:r w:rsidRPr="00C344C4">
              <w:rPr>
                <w:sz w:val="20"/>
                <w:szCs w:val="20"/>
                <w:lang w:val="en-US"/>
              </w:rPr>
              <w:t>1.201</w:t>
            </w:r>
            <w:r>
              <w:rPr>
                <w:sz w:val="20"/>
                <w:szCs w:val="20"/>
                <w:lang w:val="en-US"/>
              </w:rPr>
              <w:t>7</w:t>
            </w:r>
          </w:p>
          <w:p w:rsidR="00C21644" w:rsidRPr="008679F7" w:rsidRDefault="009C02F9" w:rsidP="003B3977">
            <w:pPr>
              <w:rPr>
                <w:sz w:val="20"/>
                <w:szCs w:val="20"/>
                <w:lang w:val="en-US"/>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127DD1" w:rsidRPr="00A4728F" w:rsidRDefault="00127DD1" w:rsidP="00127DD1">
            <w:pPr>
              <w:rPr>
                <w:b/>
                <w:sz w:val="20"/>
                <w:szCs w:val="20"/>
                <w:lang w:val="fr-CA"/>
              </w:rPr>
            </w:pPr>
            <w:proofErr w:type="spellStart"/>
            <w:r w:rsidRPr="00A4728F">
              <w:rPr>
                <w:b/>
                <w:sz w:val="20"/>
                <w:szCs w:val="20"/>
                <w:lang w:val="fr-CA"/>
              </w:rPr>
              <w:t>Zygmunt</w:t>
            </w:r>
            <w:proofErr w:type="spellEnd"/>
            <w:r w:rsidRPr="00A4728F">
              <w:rPr>
                <w:b/>
                <w:sz w:val="20"/>
                <w:szCs w:val="20"/>
                <w:lang w:val="fr-CA"/>
              </w:rPr>
              <w:t xml:space="preserve"> </w:t>
            </w:r>
            <w:proofErr w:type="spellStart"/>
            <w:r w:rsidRPr="00A4728F">
              <w:rPr>
                <w:b/>
                <w:sz w:val="20"/>
                <w:szCs w:val="20"/>
                <w:lang w:val="fr-CA"/>
              </w:rPr>
              <w:t>Zuchelkowski</w:t>
            </w:r>
            <w:proofErr w:type="spellEnd"/>
            <w:r w:rsidRPr="00A4728F">
              <w:rPr>
                <w:b/>
                <w:sz w:val="20"/>
                <w:szCs w:val="20"/>
                <w:lang w:val="fr-CA"/>
              </w:rPr>
              <w:t xml:space="preserve"> et al.</w:t>
            </w:r>
          </w:p>
          <w:p w:rsidR="00127DD1" w:rsidRPr="00A4728F" w:rsidRDefault="00127DD1" w:rsidP="00127DD1">
            <w:pPr>
              <w:tabs>
                <w:tab w:val="left" w:pos="-1440"/>
                <w:tab w:val="left" w:pos="-720"/>
              </w:tabs>
              <w:rPr>
                <w:sz w:val="20"/>
                <w:szCs w:val="20"/>
                <w:lang w:val="fr-CA"/>
              </w:rPr>
            </w:pPr>
            <w:r w:rsidRPr="00A4728F">
              <w:rPr>
                <w:sz w:val="20"/>
                <w:szCs w:val="20"/>
                <w:lang w:val="fr-CA"/>
              </w:rPr>
              <w:tab/>
              <w:t xml:space="preserve">Marek Z. </w:t>
            </w:r>
            <w:proofErr w:type="spellStart"/>
            <w:r w:rsidRPr="00A4728F">
              <w:rPr>
                <w:sz w:val="20"/>
                <w:szCs w:val="20"/>
                <w:lang w:val="fr-CA"/>
              </w:rPr>
              <w:t>Tufman</w:t>
            </w:r>
            <w:proofErr w:type="spellEnd"/>
          </w:p>
          <w:p w:rsidR="00127DD1" w:rsidRPr="00A4728F" w:rsidRDefault="00127DD1" w:rsidP="00127DD1">
            <w:pPr>
              <w:tabs>
                <w:tab w:val="left" w:pos="-1440"/>
                <w:tab w:val="left" w:pos="-720"/>
              </w:tabs>
              <w:rPr>
                <w:sz w:val="20"/>
                <w:szCs w:val="20"/>
                <w:lang w:val="fr-CA"/>
              </w:rPr>
            </w:pPr>
            <w:r w:rsidRPr="00A4728F">
              <w:rPr>
                <w:sz w:val="20"/>
                <w:szCs w:val="20"/>
                <w:lang w:val="fr-CA"/>
              </w:rPr>
              <w:tab/>
            </w:r>
            <w:proofErr w:type="spellStart"/>
            <w:r w:rsidRPr="00A4728F">
              <w:rPr>
                <w:sz w:val="20"/>
                <w:szCs w:val="20"/>
                <w:lang w:val="fr-CA"/>
              </w:rPr>
              <w:t>Tufman</w:t>
            </w:r>
            <w:proofErr w:type="spellEnd"/>
            <w:r w:rsidRPr="00A4728F">
              <w:rPr>
                <w:sz w:val="20"/>
                <w:szCs w:val="20"/>
                <w:lang w:val="fr-CA"/>
              </w:rPr>
              <w:t xml:space="preserve"> &amp; Associates </w:t>
            </w:r>
          </w:p>
          <w:p w:rsidR="00127DD1" w:rsidRPr="00A4728F" w:rsidRDefault="00127DD1" w:rsidP="00127DD1">
            <w:pPr>
              <w:tabs>
                <w:tab w:val="left" w:pos="-1440"/>
                <w:tab w:val="left" w:pos="-720"/>
              </w:tabs>
              <w:rPr>
                <w:sz w:val="20"/>
                <w:szCs w:val="20"/>
                <w:lang w:val="fr-CA"/>
              </w:rPr>
            </w:pPr>
          </w:p>
          <w:p w:rsidR="00127DD1" w:rsidRPr="00A4728F" w:rsidRDefault="00127DD1" w:rsidP="00127DD1">
            <w:pPr>
              <w:tabs>
                <w:tab w:val="left" w:pos="-1440"/>
                <w:tab w:val="left" w:pos="-720"/>
              </w:tabs>
              <w:rPr>
                <w:sz w:val="20"/>
                <w:szCs w:val="20"/>
                <w:lang w:val="fr-CA"/>
              </w:rPr>
            </w:pPr>
            <w:r w:rsidRPr="00A4728F">
              <w:rPr>
                <w:sz w:val="20"/>
                <w:szCs w:val="20"/>
                <w:lang w:val="fr-CA"/>
              </w:rPr>
              <w:tab/>
              <w:t>v. (37865)</w:t>
            </w:r>
          </w:p>
          <w:p w:rsidR="00127DD1" w:rsidRPr="00A4728F" w:rsidRDefault="00127DD1" w:rsidP="00127DD1">
            <w:pPr>
              <w:tabs>
                <w:tab w:val="left" w:pos="-1440"/>
                <w:tab w:val="left" w:pos="-720"/>
              </w:tabs>
              <w:rPr>
                <w:sz w:val="20"/>
                <w:szCs w:val="20"/>
                <w:lang w:val="fr-CA"/>
              </w:rPr>
            </w:pPr>
          </w:p>
          <w:p w:rsidR="00127DD1" w:rsidRPr="00A4728F" w:rsidRDefault="00127DD1" w:rsidP="00127DD1">
            <w:pPr>
              <w:tabs>
                <w:tab w:val="left" w:pos="-1440"/>
                <w:tab w:val="left" w:pos="-720"/>
              </w:tabs>
              <w:rPr>
                <w:b/>
                <w:sz w:val="20"/>
                <w:szCs w:val="20"/>
                <w:lang w:val="fr-CA"/>
              </w:rPr>
            </w:pPr>
            <w:r w:rsidRPr="00A4728F">
              <w:rPr>
                <w:b/>
                <w:sz w:val="20"/>
                <w:szCs w:val="20"/>
                <w:lang w:val="fr-CA"/>
              </w:rPr>
              <w:t xml:space="preserve">Scott </w:t>
            </w:r>
            <w:proofErr w:type="spellStart"/>
            <w:r w:rsidRPr="00A4728F">
              <w:rPr>
                <w:b/>
                <w:sz w:val="20"/>
                <w:szCs w:val="20"/>
                <w:lang w:val="fr-CA"/>
              </w:rPr>
              <w:t>Beffort</w:t>
            </w:r>
            <w:proofErr w:type="spellEnd"/>
            <w:r w:rsidRPr="00A4728F">
              <w:rPr>
                <w:b/>
                <w:sz w:val="20"/>
                <w:szCs w:val="20"/>
                <w:lang w:val="fr-CA"/>
              </w:rPr>
              <w:t xml:space="preserve"> et al.</w:t>
            </w:r>
            <w:r w:rsidRPr="00A4728F">
              <w:rPr>
                <w:sz w:val="20"/>
                <w:szCs w:val="20"/>
                <w:lang w:val="fr-CA"/>
              </w:rPr>
              <w:t xml:space="preserve"> </w:t>
            </w:r>
            <w:r w:rsidRPr="00A4728F">
              <w:rPr>
                <w:b/>
                <w:sz w:val="20"/>
                <w:szCs w:val="20"/>
                <w:lang w:val="fr-CA"/>
              </w:rPr>
              <w:t>(Ont.)</w:t>
            </w:r>
          </w:p>
          <w:p w:rsidR="00127DD1" w:rsidRPr="00A935AA" w:rsidRDefault="00127DD1" w:rsidP="00127DD1">
            <w:pPr>
              <w:tabs>
                <w:tab w:val="left" w:pos="-1440"/>
                <w:tab w:val="left" w:pos="-720"/>
              </w:tabs>
              <w:rPr>
                <w:sz w:val="20"/>
                <w:szCs w:val="20"/>
              </w:rPr>
            </w:pPr>
            <w:r w:rsidRPr="00A4728F">
              <w:rPr>
                <w:sz w:val="20"/>
                <w:szCs w:val="20"/>
                <w:lang w:val="fr-CA"/>
              </w:rPr>
              <w:tab/>
            </w:r>
            <w:r>
              <w:rPr>
                <w:sz w:val="20"/>
                <w:szCs w:val="20"/>
              </w:rPr>
              <w:t>James S.G. MacDonald</w:t>
            </w:r>
          </w:p>
          <w:p w:rsidR="00127DD1" w:rsidRPr="00C344C4" w:rsidRDefault="00127DD1" w:rsidP="00127DD1">
            <w:pPr>
              <w:tabs>
                <w:tab w:val="left" w:pos="-1440"/>
                <w:tab w:val="left" w:pos="-720"/>
              </w:tabs>
              <w:ind w:left="720"/>
              <w:rPr>
                <w:sz w:val="20"/>
                <w:szCs w:val="20"/>
                <w:lang w:val="en-US"/>
              </w:rPr>
            </w:pPr>
            <w:r>
              <w:rPr>
                <w:sz w:val="20"/>
                <w:szCs w:val="20"/>
                <w:lang w:val="en-US"/>
              </w:rPr>
              <w:t>Davis Webb LLP</w:t>
            </w:r>
          </w:p>
          <w:p w:rsidR="00127DD1" w:rsidRPr="00C344C4" w:rsidRDefault="00127DD1" w:rsidP="00127DD1">
            <w:pPr>
              <w:tabs>
                <w:tab w:val="left" w:pos="-1440"/>
                <w:tab w:val="left" w:pos="-720"/>
              </w:tabs>
              <w:rPr>
                <w:sz w:val="20"/>
                <w:szCs w:val="20"/>
                <w:lang w:val="en-US"/>
              </w:rPr>
            </w:pPr>
          </w:p>
          <w:p w:rsidR="00127DD1" w:rsidRPr="00C344C4" w:rsidRDefault="00127DD1" w:rsidP="00127DD1">
            <w:pPr>
              <w:rPr>
                <w:sz w:val="20"/>
                <w:szCs w:val="20"/>
                <w:lang w:val="en-US"/>
              </w:rPr>
            </w:pPr>
            <w:r w:rsidRPr="00C344C4">
              <w:rPr>
                <w:sz w:val="20"/>
                <w:szCs w:val="20"/>
                <w:lang w:val="en-US"/>
              </w:rPr>
              <w:t>FILING DATE: 0</w:t>
            </w:r>
            <w:r>
              <w:rPr>
                <w:sz w:val="20"/>
                <w:szCs w:val="20"/>
                <w:lang w:val="en-US"/>
              </w:rPr>
              <w:t>4</w:t>
            </w:r>
            <w:r w:rsidRPr="00C344C4">
              <w:rPr>
                <w:sz w:val="20"/>
                <w:szCs w:val="20"/>
                <w:lang w:val="en-US"/>
              </w:rPr>
              <w:t>.</w:t>
            </w:r>
            <w:r>
              <w:rPr>
                <w:sz w:val="20"/>
                <w:szCs w:val="20"/>
                <w:lang w:val="en-US"/>
              </w:rPr>
              <w:t>12</w:t>
            </w:r>
            <w:r w:rsidRPr="00C344C4">
              <w:rPr>
                <w:sz w:val="20"/>
                <w:szCs w:val="20"/>
                <w:lang w:val="en-US"/>
              </w:rPr>
              <w:t>.201</w:t>
            </w:r>
            <w:r>
              <w:rPr>
                <w:sz w:val="20"/>
                <w:szCs w:val="20"/>
                <w:lang w:val="en-US"/>
              </w:rPr>
              <w:t>7</w:t>
            </w:r>
          </w:p>
          <w:p w:rsidR="00C21644" w:rsidRPr="00127DD1" w:rsidRDefault="009C02F9" w:rsidP="00E8544A">
            <w:pPr>
              <w:rPr>
                <w:sz w:val="20"/>
                <w:szCs w:val="20"/>
                <w:lang w:val="en-US"/>
              </w:rPr>
            </w:pPr>
            <w:r>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C21644" w:rsidRPr="00A935AA" w:rsidRDefault="00C21644"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Pr="00A935AA" w:rsidRDefault="00C21644" w:rsidP="005F1ED8">
            <w:pPr>
              <w:rPr>
                <w:sz w:val="20"/>
                <w:szCs w:val="20"/>
              </w:rPr>
            </w:pPr>
          </w:p>
        </w:tc>
      </w:tr>
    </w:tbl>
    <w:p w:rsidR="00242AEE" w:rsidRDefault="00242AEE" w:rsidP="0095096B">
      <w:pPr>
        <w:tabs>
          <w:tab w:val="right" w:pos="9360"/>
        </w:tabs>
        <w:rPr>
          <w:sz w:val="20"/>
          <w:szCs w:val="20"/>
        </w:rPr>
      </w:pPr>
    </w:p>
    <w:p w:rsidR="00C01FCB" w:rsidRDefault="00C01FCB" w:rsidP="0095096B">
      <w:pPr>
        <w:tabs>
          <w:tab w:val="right" w:pos="9360"/>
        </w:tabs>
        <w:rPr>
          <w:sz w:val="20"/>
          <w:szCs w:val="20"/>
        </w:rPr>
      </w:pPr>
    </w:p>
    <w:p w:rsidR="00C01FCB" w:rsidRDefault="00C01FCB"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233CE8">
          <w:headerReference w:type="default" r:id="rId10"/>
          <w:footerReference w:type="default" r:id="rId11"/>
          <w:headerReference w:type="first" r:id="rId12"/>
          <w:footerReference w:type="first" r:id="rId13"/>
          <w:pgSz w:w="12240" w:h="15840"/>
          <w:pgMar w:top="720" w:right="965" w:bottom="1080" w:left="1656" w:header="706" w:footer="706" w:gutter="0"/>
          <w:pgNumType w:start="75"/>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9C02F9"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A4728F">
              <w:rPr>
                <w:b/>
                <w:szCs w:val="24"/>
                <w:lang w:val="fr-CA"/>
              </w:rPr>
              <w:t>DEMANDES SOUMISES À LA COUR DEPUIS L</w:t>
            </w:r>
            <w:r w:rsidRPr="001D0D5F">
              <w:rPr>
                <w:b/>
                <w:szCs w:val="24"/>
                <w:lang w:val="fr-CA"/>
              </w:rPr>
              <w:t>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3520" w:rsidP="00CB3520">
      <w:pPr>
        <w:widowControl w:val="0"/>
        <w:rPr>
          <w:b/>
          <w:sz w:val="20"/>
          <w:szCs w:val="20"/>
        </w:rPr>
      </w:pPr>
      <w:r>
        <w:rPr>
          <w:b/>
          <w:sz w:val="20"/>
          <w:szCs w:val="20"/>
        </w:rPr>
        <w:t xml:space="preserve">JANUARY </w:t>
      </w:r>
      <w:r w:rsidR="00912452">
        <w:rPr>
          <w:b/>
          <w:sz w:val="20"/>
          <w:szCs w:val="20"/>
        </w:rPr>
        <w:t>22</w:t>
      </w:r>
      <w:r w:rsidRPr="00C50A5C">
        <w:rPr>
          <w:b/>
          <w:sz w:val="20"/>
          <w:szCs w:val="20"/>
        </w:rPr>
        <w:t xml:space="preserve">, </w:t>
      </w:r>
      <w:r w:rsidR="00CE4869">
        <w:rPr>
          <w:b/>
          <w:sz w:val="20"/>
          <w:szCs w:val="20"/>
        </w:rPr>
        <w:t>2018</w:t>
      </w:r>
      <w:r w:rsidRPr="00C50A5C">
        <w:rPr>
          <w:b/>
          <w:sz w:val="20"/>
          <w:szCs w:val="20"/>
        </w:rPr>
        <w:t xml:space="preserve"> / LE </w:t>
      </w:r>
      <w:r w:rsidR="00912452">
        <w:rPr>
          <w:b/>
          <w:sz w:val="20"/>
          <w:szCs w:val="20"/>
        </w:rPr>
        <w:t>22</w:t>
      </w:r>
      <w:r>
        <w:rPr>
          <w:b/>
          <w:sz w:val="20"/>
          <w:szCs w:val="20"/>
        </w:rPr>
        <w:t xml:space="preserve"> JANVIER</w:t>
      </w:r>
      <w:r w:rsidRPr="00C50A5C">
        <w:rPr>
          <w:b/>
          <w:sz w:val="20"/>
          <w:szCs w:val="20"/>
        </w:rPr>
        <w:t xml:space="preserve"> </w:t>
      </w:r>
      <w:r w:rsidR="00CE4869">
        <w:rPr>
          <w:b/>
          <w:sz w:val="20"/>
          <w:szCs w:val="20"/>
        </w:rPr>
        <w:t>2018</w:t>
      </w:r>
    </w:p>
    <w:p w:rsidR="00CB3520" w:rsidRPr="00C50A5C" w:rsidRDefault="00CB3520" w:rsidP="00CB3520">
      <w:pPr>
        <w:widowControl w:val="0"/>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B746B5" w:rsidRPr="009C02F9" w:rsidTr="00A83A35">
        <w:trPr>
          <w:cantSplit/>
        </w:trPr>
        <w:tc>
          <w:tcPr>
            <w:tcW w:w="508" w:type="dxa"/>
          </w:tcPr>
          <w:p w:rsidR="00B746B5" w:rsidRPr="000A2FBF" w:rsidRDefault="00B746B5" w:rsidP="00A83A35">
            <w:pPr>
              <w:rPr>
                <w:sz w:val="20"/>
                <w:szCs w:val="20"/>
                <w:lang w:val="fr-CA"/>
              </w:rPr>
            </w:pPr>
          </w:p>
        </w:tc>
        <w:tc>
          <w:tcPr>
            <w:tcW w:w="810" w:type="dxa"/>
          </w:tcPr>
          <w:p w:rsidR="00B746B5" w:rsidRPr="000A2FBF" w:rsidRDefault="00B746B5" w:rsidP="00A83A35">
            <w:pPr>
              <w:rPr>
                <w:sz w:val="20"/>
                <w:szCs w:val="20"/>
                <w:lang w:val="fr-CA"/>
              </w:rPr>
            </w:pPr>
          </w:p>
        </w:tc>
        <w:tc>
          <w:tcPr>
            <w:tcW w:w="8258" w:type="dxa"/>
            <w:gridSpan w:val="3"/>
          </w:tcPr>
          <w:p w:rsidR="00B746B5" w:rsidRPr="000A2FBF" w:rsidRDefault="00B746B5" w:rsidP="00A83A35">
            <w:pPr>
              <w:jc w:val="center"/>
              <w:rPr>
                <w:b/>
                <w:bCs/>
                <w:sz w:val="20"/>
                <w:szCs w:val="20"/>
              </w:rPr>
            </w:pPr>
            <w:r w:rsidRPr="000A2FBF">
              <w:rPr>
                <w:b/>
                <w:bCs/>
                <w:sz w:val="20"/>
                <w:szCs w:val="20"/>
              </w:rPr>
              <w:t>CORAM:  Chief Justice Wagner and Rowe and Martin JJ.</w:t>
            </w:r>
          </w:p>
          <w:p w:rsidR="00B746B5" w:rsidRPr="000A2FBF" w:rsidRDefault="00B746B5" w:rsidP="00A83A35">
            <w:pPr>
              <w:jc w:val="center"/>
              <w:rPr>
                <w:sz w:val="20"/>
                <w:szCs w:val="20"/>
                <w:lang w:val="fr-CA"/>
              </w:rPr>
            </w:pPr>
            <w:r w:rsidRPr="000A2FBF">
              <w:rPr>
                <w:b/>
                <w:bCs/>
                <w:sz w:val="20"/>
                <w:szCs w:val="20"/>
                <w:lang w:val="fr-CA"/>
              </w:rPr>
              <w:t>Le juge en chef Wagner et les juges Rowe et Martin</w:t>
            </w:r>
          </w:p>
          <w:p w:rsidR="00B746B5" w:rsidRPr="000A2FBF" w:rsidRDefault="00B746B5" w:rsidP="00A83A35">
            <w:pPr>
              <w:rPr>
                <w:sz w:val="20"/>
                <w:szCs w:val="20"/>
                <w:lang w:val="fr-CA"/>
              </w:rPr>
            </w:pPr>
          </w:p>
        </w:tc>
      </w:tr>
      <w:tr w:rsidR="00B746B5" w:rsidRPr="000A2FBF" w:rsidTr="00A83A35">
        <w:trPr>
          <w:cantSplit/>
        </w:trPr>
        <w:tc>
          <w:tcPr>
            <w:tcW w:w="508" w:type="dxa"/>
          </w:tcPr>
          <w:p w:rsidR="00B746B5" w:rsidRPr="000A2FBF" w:rsidRDefault="00B746B5" w:rsidP="00B746B5">
            <w:pPr>
              <w:rPr>
                <w:sz w:val="20"/>
                <w:szCs w:val="20"/>
              </w:rPr>
            </w:pPr>
            <w:r w:rsidRPr="000A2FBF">
              <w:rPr>
                <w:sz w:val="20"/>
                <w:szCs w:val="20"/>
              </w:rPr>
              <w:t>1.</w:t>
            </w:r>
          </w:p>
        </w:tc>
        <w:tc>
          <w:tcPr>
            <w:tcW w:w="810" w:type="dxa"/>
          </w:tcPr>
          <w:p w:rsidR="00B746B5" w:rsidRPr="000A2FBF" w:rsidRDefault="00B746B5" w:rsidP="00B746B5">
            <w:pPr>
              <w:rPr>
                <w:sz w:val="20"/>
                <w:szCs w:val="20"/>
              </w:rPr>
            </w:pPr>
            <w:r>
              <w:rPr>
                <w:sz w:val="20"/>
                <w:szCs w:val="20"/>
              </w:rPr>
              <w:t>37760</w:t>
            </w:r>
          </w:p>
        </w:tc>
        <w:tc>
          <w:tcPr>
            <w:tcW w:w="4050" w:type="dxa"/>
          </w:tcPr>
          <w:p w:rsidR="00B746B5" w:rsidRPr="00B746B5" w:rsidRDefault="00B746B5" w:rsidP="00B746B5">
            <w:pPr>
              <w:pStyle w:val="SCCAppellantInfoAppellantInfo"/>
              <w:rPr>
                <w:sz w:val="20"/>
                <w:lang w:val="fr-CA"/>
              </w:rPr>
            </w:pPr>
            <w:r w:rsidRPr="00B746B5">
              <w:rPr>
                <w:sz w:val="20"/>
                <w:lang w:val="fr-CA"/>
              </w:rPr>
              <w:t>Sa Majesté la Reine</w:t>
            </w:r>
          </w:p>
          <w:p w:rsidR="00B746B5" w:rsidRPr="000A2FBF" w:rsidRDefault="00B746B5" w:rsidP="00B746B5">
            <w:pPr>
              <w:pStyle w:val="SCCAppellantInfoAppellantInfo"/>
              <w:rPr>
                <w:sz w:val="20"/>
                <w:szCs w:val="20"/>
                <w:lang w:val="fr-CA"/>
              </w:rPr>
            </w:pPr>
            <w:r w:rsidRPr="00B746B5">
              <w:rPr>
                <w:sz w:val="20"/>
                <w:lang w:val="fr-CA"/>
              </w:rPr>
              <w:t>(</w:t>
            </w:r>
            <w:proofErr w:type="spellStart"/>
            <w:r w:rsidRPr="00B746B5">
              <w:rPr>
                <w:sz w:val="20"/>
                <w:lang w:val="fr-CA"/>
              </w:rPr>
              <w:t>Qc</w:t>
            </w:r>
            <w:proofErr w:type="spellEnd"/>
            <w:r w:rsidRPr="00B746B5">
              <w:rPr>
                <w:sz w:val="20"/>
                <w:lang w:val="fr-CA"/>
              </w:rPr>
              <w:t>) (Criminelle) (Autorisation)</w:t>
            </w:r>
          </w:p>
        </w:tc>
        <w:tc>
          <w:tcPr>
            <w:tcW w:w="360" w:type="dxa"/>
          </w:tcPr>
          <w:p w:rsidR="00B746B5" w:rsidRPr="000A2FBF" w:rsidRDefault="00B746B5" w:rsidP="00B746B5">
            <w:pPr>
              <w:rPr>
                <w:sz w:val="20"/>
                <w:szCs w:val="20"/>
              </w:rPr>
            </w:pPr>
            <w:r w:rsidRPr="000A2FBF">
              <w:rPr>
                <w:sz w:val="20"/>
                <w:szCs w:val="20"/>
              </w:rPr>
              <w:t>c.</w:t>
            </w:r>
          </w:p>
        </w:tc>
        <w:tc>
          <w:tcPr>
            <w:tcW w:w="3848" w:type="dxa"/>
          </w:tcPr>
          <w:p w:rsidR="00B746B5" w:rsidRPr="00B746B5" w:rsidRDefault="00B746B5" w:rsidP="00B746B5">
            <w:pPr>
              <w:pStyle w:val="SCCAppellantInfoAppellantInfo"/>
              <w:rPr>
                <w:sz w:val="20"/>
              </w:rPr>
            </w:pPr>
            <w:r w:rsidRPr="00B746B5">
              <w:rPr>
                <w:sz w:val="20"/>
              </w:rPr>
              <w:t>Marc Cyr-</w:t>
            </w:r>
            <w:proofErr w:type="spellStart"/>
            <w:r w:rsidRPr="00B746B5">
              <w:rPr>
                <w:sz w:val="20"/>
              </w:rPr>
              <w:t>Langlois</w:t>
            </w:r>
            <w:proofErr w:type="spellEnd"/>
          </w:p>
        </w:tc>
      </w:tr>
      <w:tr w:rsidR="00B746B5" w:rsidRPr="000A2FBF" w:rsidTr="00A83A35">
        <w:trPr>
          <w:cantSplit/>
        </w:trPr>
        <w:tc>
          <w:tcPr>
            <w:tcW w:w="508" w:type="dxa"/>
          </w:tcPr>
          <w:p w:rsidR="00B746B5" w:rsidRPr="000A2FBF" w:rsidRDefault="00B746B5" w:rsidP="00B746B5">
            <w:pPr>
              <w:rPr>
                <w:sz w:val="20"/>
                <w:szCs w:val="20"/>
              </w:rPr>
            </w:pPr>
            <w:r>
              <w:rPr>
                <w:sz w:val="20"/>
                <w:szCs w:val="20"/>
              </w:rPr>
              <w:t>2.</w:t>
            </w:r>
          </w:p>
        </w:tc>
        <w:tc>
          <w:tcPr>
            <w:tcW w:w="810" w:type="dxa"/>
          </w:tcPr>
          <w:p w:rsidR="00B746B5" w:rsidRPr="00B746B5" w:rsidRDefault="00B746B5" w:rsidP="00B746B5">
            <w:pPr>
              <w:rPr>
                <w:sz w:val="20"/>
                <w:szCs w:val="20"/>
              </w:rPr>
            </w:pPr>
            <w:r w:rsidRPr="00B746B5">
              <w:rPr>
                <w:sz w:val="20"/>
                <w:szCs w:val="20"/>
              </w:rPr>
              <w:t>37469</w:t>
            </w:r>
          </w:p>
        </w:tc>
        <w:tc>
          <w:tcPr>
            <w:tcW w:w="4050" w:type="dxa"/>
          </w:tcPr>
          <w:p w:rsidR="00B746B5" w:rsidRPr="00B746B5" w:rsidRDefault="00B746B5" w:rsidP="00B746B5">
            <w:pPr>
              <w:pStyle w:val="SCCAppellantInfoAppellantInfo"/>
              <w:rPr>
                <w:sz w:val="20"/>
                <w:szCs w:val="20"/>
              </w:rPr>
            </w:pPr>
            <w:r w:rsidRPr="00B746B5">
              <w:rPr>
                <w:sz w:val="20"/>
                <w:szCs w:val="20"/>
              </w:rPr>
              <w:t>Kevin David Patterson</w:t>
            </w:r>
          </w:p>
          <w:p w:rsidR="00B746B5" w:rsidRPr="00B746B5" w:rsidRDefault="00B746B5" w:rsidP="00B746B5">
            <w:pPr>
              <w:pStyle w:val="SCCAppellantInfoAppellantInfo"/>
              <w:rPr>
                <w:sz w:val="20"/>
                <w:szCs w:val="20"/>
                <w:lang w:val="en-US"/>
              </w:rPr>
            </w:pPr>
            <w:r w:rsidRPr="00B746B5">
              <w:rPr>
                <w:sz w:val="20"/>
                <w:szCs w:val="20"/>
              </w:rPr>
              <w:t>(B.C.) (Criminal) (By Leave)</w:t>
            </w:r>
          </w:p>
        </w:tc>
        <w:tc>
          <w:tcPr>
            <w:tcW w:w="360" w:type="dxa"/>
          </w:tcPr>
          <w:p w:rsidR="00B746B5" w:rsidRPr="00B746B5" w:rsidRDefault="00B746B5" w:rsidP="00B746B5">
            <w:pPr>
              <w:rPr>
                <w:sz w:val="20"/>
                <w:szCs w:val="20"/>
              </w:rPr>
            </w:pPr>
            <w:r w:rsidRPr="00B746B5">
              <w:rPr>
                <w:sz w:val="20"/>
                <w:szCs w:val="20"/>
              </w:rPr>
              <w:t>v.</w:t>
            </w:r>
          </w:p>
        </w:tc>
        <w:tc>
          <w:tcPr>
            <w:tcW w:w="3848" w:type="dxa"/>
          </w:tcPr>
          <w:p w:rsidR="00B746B5" w:rsidRPr="00B746B5" w:rsidRDefault="00B746B5" w:rsidP="00B746B5">
            <w:pPr>
              <w:pStyle w:val="SCCAppellantInfoAppellantInfo"/>
              <w:rPr>
                <w:sz w:val="20"/>
                <w:szCs w:val="20"/>
              </w:rPr>
            </w:pPr>
            <w:r w:rsidRPr="00B746B5">
              <w:rPr>
                <w:sz w:val="20"/>
                <w:szCs w:val="20"/>
              </w:rPr>
              <w:t>Canada (The Minister of Justice), et al.</w:t>
            </w:r>
          </w:p>
        </w:tc>
      </w:tr>
      <w:tr w:rsidR="00B746B5" w:rsidRPr="000A2FBF" w:rsidTr="00A83A35">
        <w:trPr>
          <w:cantSplit/>
        </w:trPr>
        <w:tc>
          <w:tcPr>
            <w:tcW w:w="508" w:type="dxa"/>
          </w:tcPr>
          <w:p w:rsidR="00B746B5" w:rsidRDefault="00B746B5" w:rsidP="00B746B5">
            <w:pPr>
              <w:rPr>
                <w:sz w:val="20"/>
                <w:szCs w:val="20"/>
              </w:rPr>
            </w:pPr>
            <w:r>
              <w:rPr>
                <w:sz w:val="20"/>
                <w:szCs w:val="20"/>
              </w:rPr>
              <w:t>3.</w:t>
            </w:r>
          </w:p>
        </w:tc>
        <w:tc>
          <w:tcPr>
            <w:tcW w:w="810" w:type="dxa"/>
          </w:tcPr>
          <w:p w:rsidR="00B746B5" w:rsidRPr="00B746B5" w:rsidRDefault="00B746B5" w:rsidP="00B746B5">
            <w:pPr>
              <w:rPr>
                <w:sz w:val="20"/>
                <w:szCs w:val="20"/>
              </w:rPr>
            </w:pPr>
            <w:r>
              <w:rPr>
                <w:sz w:val="20"/>
                <w:szCs w:val="20"/>
              </w:rPr>
              <w:t>37696</w:t>
            </w:r>
          </w:p>
        </w:tc>
        <w:tc>
          <w:tcPr>
            <w:tcW w:w="4050" w:type="dxa"/>
          </w:tcPr>
          <w:p w:rsidR="006F54B2" w:rsidRPr="006F54B2" w:rsidRDefault="006F54B2" w:rsidP="006F54B2">
            <w:pPr>
              <w:pStyle w:val="SCCAppellantInfoAppellantInfo"/>
              <w:rPr>
                <w:sz w:val="20"/>
              </w:rPr>
            </w:pPr>
            <w:proofErr w:type="spellStart"/>
            <w:r w:rsidRPr="006F54B2">
              <w:rPr>
                <w:sz w:val="20"/>
              </w:rPr>
              <w:t>Arland</w:t>
            </w:r>
            <w:proofErr w:type="spellEnd"/>
            <w:r w:rsidRPr="006F54B2">
              <w:rPr>
                <w:sz w:val="20"/>
              </w:rPr>
              <w:t xml:space="preserve"> Richard Bruce</w:t>
            </w:r>
          </w:p>
          <w:p w:rsidR="00B746B5" w:rsidRPr="00B746B5" w:rsidRDefault="006F54B2" w:rsidP="006F54B2">
            <w:pPr>
              <w:pStyle w:val="SCCAppellantInfoAppellantInfo"/>
              <w:rPr>
                <w:sz w:val="20"/>
                <w:szCs w:val="20"/>
              </w:rPr>
            </w:pPr>
            <w:r w:rsidRPr="006F54B2">
              <w:rPr>
                <w:sz w:val="20"/>
              </w:rPr>
              <w:t>(B.C.) (Civil) (By Leave)</w:t>
            </w:r>
          </w:p>
        </w:tc>
        <w:tc>
          <w:tcPr>
            <w:tcW w:w="360" w:type="dxa"/>
          </w:tcPr>
          <w:p w:rsidR="00B746B5" w:rsidRPr="00B746B5" w:rsidRDefault="00B746B5" w:rsidP="00B746B5">
            <w:pPr>
              <w:rPr>
                <w:sz w:val="20"/>
                <w:szCs w:val="20"/>
              </w:rPr>
            </w:pPr>
            <w:r w:rsidRPr="00B746B5">
              <w:rPr>
                <w:sz w:val="20"/>
                <w:szCs w:val="20"/>
              </w:rPr>
              <w:t>v.</w:t>
            </w:r>
          </w:p>
        </w:tc>
        <w:tc>
          <w:tcPr>
            <w:tcW w:w="3848" w:type="dxa"/>
          </w:tcPr>
          <w:p w:rsidR="00B746B5" w:rsidRPr="00B746B5" w:rsidRDefault="00B746B5" w:rsidP="00B746B5">
            <w:pPr>
              <w:pStyle w:val="SCCAppellantInfoAppellantInfo"/>
              <w:rPr>
                <w:sz w:val="20"/>
                <w:szCs w:val="20"/>
              </w:rPr>
            </w:pPr>
            <w:r w:rsidRPr="00B746B5">
              <w:rPr>
                <w:sz w:val="20"/>
                <w:szCs w:val="20"/>
              </w:rPr>
              <w:t xml:space="preserve">Mark Steven </w:t>
            </w:r>
            <w:proofErr w:type="spellStart"/>
            <w:r w:rsidRPr="00B746B5">
              <w:rPr>
                <w:sz w:val="20"/>
                <w:szCs w:val="20"/>
              </w:rPr>
              <w:t>Cohon</w:t>
            </w:r>
            <w:proofErr w:type="spellEnd"/>
            <w:r w:rsidRPr="00B746B5">
              <w:rPr>
                <w:sz w:val="20"/>
                <w:szCs w:val="20"/>
              </w:rPr>
              <w:t>, et al.</w:t>
            </w:r>
          </w:p>
        </w:tc>
      </w:tr>
      <w:tr w:rsidR="00B746B5" w:rsidRPr="009C02F9" w:rsidTr="00A83A35">
        <w:trPr>
          <w:cantSplit/>
        </w:trPr>
        <w:tc>
          <w:tcPr>
            <w:tcW w:w="508" w:type="dxa"/>
          </w:tcPr>
          <w:p w:rsidR="00B746B5" w:rsidRPr="00B746B5" w:rsidRDefault="00B746B5" w:rsidP="00A83A35">
            <w:pPr>
              <w:rPr>
                <w:sz w:val="20"/>
                <w:szCs w:val="20"/>
                <w:lang w:val="en-US"/>
              </w:rPr>
            </w:pPr>
          </w:p>
        </w:tc>
        <w:tc>
          <w:tcPr>
            <w:tcW w:w="810" w:type="dxa"/>
          </w:tcPr>
          <w:p w:rsidR="00B746B5" w:rsidRPr="00B746B5" w:rsidRDefault="00B746B5" w:rsidP="00A83A35">
            <w:pPr>
              <w:rPr>
                <w:sz w:val="20"/>
                <w:szCs w:val="20"/>
                <w:lang w:val="en-US"/>
              </w:rPr>
            </w:pPr>
          </w:p>
        </w:tc>
        <w:tc>
          <w:tcPr>
            <w:tcW w:w="8258" w:type="dxa"/>
            <w:gridSpan w:val="3"/>
          </w:tcPr>
          <w:p w:rsidR="00B746B5" w:rsidRPr="000A2FBF" w:rsidRDefault="00B746B5" w:rsidP="00A83A35">
            <w:pPr>
              <w:jc w:val="center"/>
              <w:rPr>
                <w:b/>
                <w:bCs/>
                <w:sz w:val="20"/>
                <w:szCs w:val="20"/>
                <w:lang w:val="en-US"/>
              </w:rPr>
            </w:pPr>
            <w:r w:rsidRPr="000A2FBF">
              <w:rPr>
                <w:b/>
                <w:bCs/>
                <w:sz w:val="20"/>
                <w:szCs w:val="20"/>
              </w:rPr>
              <w:t xml:space="preserve">CORAM: </w:t>
            </w:r>
            <w:proofErr w:type="spellStart"/>
            <w:r w:rsidRPr="000A2FBF">
              <w:rPr>
                <w:b/>
                <w:bCs/>
                <w:sz w:val="20"/>
                <w:szCs w:val="20"/>
              </w:rPr>
              <w:t>Abella</w:t>
            </w:r>
            <w:proofErr w:type="spellEnd"/>
            <w:r w:rsidRPr="000A2FBF">
              <w:rPr>
                <w:b/>
                <w:bCs/>
                <w:sz w:val="20"/>
                <w:szCs w:val="20"/>
              </w:rPr>
              <w:t xml:space="preserve">, </w:t>
            </w:r>
            <w:proofErr w:type="spellStart"/>
            <w:r w:rsidRPr="000A2FBF">
              <w:rPr>
                <w:b/>
                <w:bCs/>
                <w:sz w:val="20"/>
                <w:szCs w:val="20"/>
              </w:rPr>
              <w:t>Gascon</w:t>
            </w:r>
            <w:proofErr w:type="spellEnd"/>
            <w:r w:rsidRPr="000A2FBF">
              <w:rPr>
                <w:b/>
                <w:bCs/>
                <w:sz w:val="20"/>
                <w:szCs w:val="20"/>
              </w:rPr>
              <w:t xml:space="preserve"> and Brown JJ.</w:t>
            </w:r>
          </w:p>
          <w:p w:rsidR="00B746B5" w:rsidRPr="000A2FBF" w:rsidRDefault="00B746B5" w:rsidP="00A83A35">
            <w:pPr>
              <w:jc w:val="center"/>
              <w:rPr>
                <w:b/>
                <w:bCs/>
                <w:sz w:val="20"/>
                <w:szCs w:val="20"/>
                <w:lang w:val="fr-CA"/>
              </w:rPr>
            </w:pPr>
            <w:r w:rsidRPr="000A2FBF">
              <w:rPr>
                <w:b/>
                <w:bCs/>
                <w:sz w:val="20"/>
                <w:szCs w:val="20"/>
                <w:lang w:val="fr-CA"/>
              </w:rPr>
              <w:t>Les juges Abella, Gascon et Brown</w:t>
            </w:r>
          </w:p>
          <w:p w:rsidR="00B746B5" w:rsidRPr="000A2FBF" w:rsidRDefault="00B746B5" w:rsidP="00A83A35">
            <w:pPr>
              <w:jc w:val="center"/>
              <w:rPr>
                <w:sz w:val="20"/>
                <w:szCs w:val="20"/>
                <w:lang w:val="fr-CA"/>
              </w:rPr>
            </w:pPr>
          </w:p>
        </w:tc>
      </w:tr>
      <w:tr w:rsidR="00B746B5" w:rsidRPr="000A2FBF" w:rsidTr="00A83A35">
        <w:trPr>
          <w:cantSplit/>
        </w:trPr>
        <w:tc>
          <w:tcPr>
            <w:tcW w:w="508" w:type="dxa"/>
          </w:tcPr>
          <w:p w:rsidR="00B746B5" w:rsidRPr="000A2FBF" w:rsidRDefault="00B746B5" w:rsidP="00A83A35">
            <w:pPr>
              <w:rPr>
                <w:sz w:val="20"/>
                <w:szCs w:val="20"/>
              </w:rPr>
            </w:pPr>
            <w:r>
              <w:rPr>
                <w:sz w:val="20"/>
                <w:szCs w:val="20"/>
              </w:rPr>
              <w:t>4.</w:t>
            </w:r>
            <w:r w:rsidRPr="000A2FBF">
              <w:rPr>
                <w:sz w:val="20"/>
                <w:szCs w:val="20"/>
              </w:rPr>
              <w:t>.</w:t>
            </w:r>
          </w:p>
        </w:tc>
        <w:tc>
          <w:tcPr>
            <w:tcW w:w="810" w:type="dxa"/>
          </w:tcPr>
          <w:p w:rsidR="00B746B5" w:rsidRPr="000A2FBF" w:rsidRDefault="00B746B5" w:rsidP="00A83A35">
            <w:pPr>
              <w:rPr>
                <w:sz w:val="20"/>
                <w:szCs w:val="20"/>
              </w:rPr>
            </w:pPr>
            <w:r>
              <w:rPr>
                <w:sz w:val="20"/>
                <w:szCs w:val="20"/>
              </w:rPr>
              <w:t>37789</w:t>
            </w:r>
          </w:p>
        </w:tc>
        <w:tc>
          <w:tcPr>
            <w:tcW w:w="4050" w:type="dxa"/>
          </w:tcPr>
          <w:p w:rsidR="00B746B5" w:rsidRPr="00B746B5" w:rsidRDefault="00B746B5" w:rsidP="00B746B5">
            <w:pPr>
              <w:pStyle w:val="SCCAppellantInfoAppellantInfo"/>
              <w:rPr>
                <w:sz w:val="20"/>
                <w:szCs w:val="20"/>
              </w:rPr>
            </w:pPr>
            <w:r w:rsidRPr="00B746B5">
              <w:rPr>
                <w:sz w:val="20"/>
                <w:szCs w:val="20"/>
              </w:rPr>
              <w:t>Nicky Fortunato</w:t>
            </w:r>
          </w:p>
          <w:p w:rsidR="00B746B5" w:rsidRPr="00B746B5" w:rsidRDefault="00B746B5" w:rsidP="00B746B5">
            <w:pPr>
              <w:pStyle w:val="SCCAppellantInfoAppellantInfo"/>
              <w:rPr>
                <w:sz w:val="20"/>
                <w:szCs w:val="20"/>
              </w:rPr>
            </w:pPr>
            <w:r w:rsidRPr="00B746B5">
              <w:rPr>
                <w:sz w:val="20"/>
                <w:szCs w:val="20"/>
              </w:rPr>
              <w:t>(Ont.) (Criminal) (By Leave)</w:t>
            </w:r>
          </w:p>
        </w:tc>
        <w:tc>
          <w:tcPr>
            <w:tcW w:w="360" w:type="dxa"/>
          </w:tcPr>
          <w:p w:rsidR="00B746B5" w:rsidRPr="00B746B5" w:rsidRDefault="00B746B5" w:rsidP="00A83A35">
            <w:pPr>
              <w:rPr>
                <w:sz w:val="20"/>
                <w:szCs w:val="20"/>
              </w:rPr>
            </w:pPr>
            <w:r w:rsidRPr="00B746B5">
              <w:rPr>
                <w:sz w:val="20"/>
                <w:szCs w:val="20"/>
              </w:rPr>
              <w:t>v.</w:t>
            </w:r>
          </w:p>
        </w:tc>
        <w:tc>
          <w:tcPr>
            <w:tcW w:w="3848" w:type="dxa"/>
          </w:tcPr>
          <w:p w:rsidR="00B746B5" w:rsidRPr="00B746B5" w:rsidRDefault="00B746B5" w:rsidP="00B746B5">
            <w:pPr>
              <w:rPr>
                <w:sz w:val="20"/>
                <w:szCs w:val="20"/>
              </w:rPr>
            </w:pPr>
            <w:r w:rsidRPr="00B746B5">
              <w:rPr>
                <w:sz w:val="20"/>
                <w:szCs w:val="20"/>
              </w:rPr>
              <w:t xml:space="preserve">Her Majesty the Queen </w:t>
            </w:r>
          </w:p>
        </w:tc>
      </w:tr>
      <w:tr w:rsidR="00B746B5" w:rsidRPr="000A2FBF" w:rsidTr="00A83A35">
        <w:trPr>
          <w:cantSplit/>
        </w:trPr>
        <w:tc>
          <w:tcPr>
            <w:tcW w:w="508" w:type="dxa"/>
          </w:tcPr>
          <w:p w:rsidR="00B746B5" w:rsidRPr="000A2FBF" w:rsidRDefault="00AD7998" w:rsidP="00A83A35">
            <w:pPr>
              <w:rPr>
                <w:sz w:val="20"/>
                <w:szCs w:val="20"/>
              </w:rPr>
            </w:pPr>
            <w:r>
              <w:rPr>
                <w:sz w:val="20"/>
                <w:szCs w:val="20"/>
              </w:rPr>
              <w:t>5</w:t>
            </w:r>
            <w:r w:rsidR="00B746B5" w:rsidRPr="000A2FBF">
              <w:rPr>
                <w:sz w:val="20"/>
                <w:szCs w:val="20"/>
              </w:rPr>
              <w:t>.</w:t>
            </w:r>
          </w:p>
        </w:tc>
        <w:tc>
          <w:tcPr>
            <w:tcW w:w="810" w:type="dxa"/>
          </w:tcPr>
          <w:p w:rsidR="00B746B5" w:rsidRPr="000A2FBF" w:rsidRDefault="00AD7998" w:rsidP="00A83A35">
            <w:pPr>
              <w:rPr>
                <w:sz w:val="20"/>
                <w:szCs w:val="20"/>
              </w:rPr>
            </w:pPr>
            <w:r>
              <w:rPr>
                <w:sz w:val="20"/>
                <w:szCs w:val="20"/>
              </w:rPr>
              <w:t>37517</w:t>
            </w:r>
          </w:p>
        </w:tc>
        <w:tc>
          <w:tcPr>
            <w:tcW w:w="4050" w:type="dxa"/>
          </w:tcPr>
          <w:p w:rsidR="00AD7998" w:rsidRPr="00AD7998" w:rsidRDefault="00AD7998" w:rsidP="00AD7998">
            <w:pPr>
              <w:pStyle w:val="SCCAppellantInfoAppellantInfo"/>
              <w:rPr>
                <w:sz w:val="20"/>
                <w:szCs w:val="20"/>
              </w:rPr>
            </w:pPr>
            <w:r w:rsidRPr="00AD7998">
              <w:rPr>
                <w:sz w:val="20"/>
                <w:szCs w:val="20"/>
              </w:rPr>
              <w:t>Gustavo Gonzalez</w:t>
            </w:r>
          </w:p>
          <w:p w:rsidR="00B746B5" w:rsidRPr="00AD7998" w:rsidRDefault="00AD7998" w:rsidP="00AD7998">
            <w:pPr>
              <w:pStyle w:val="SCCAppellantInfoAppellantInfo"/>
              <w:rPr>
                <w:sz w:val="20"/>
                <w:szCs w:val="20"/>
                <w:lang w:val="en-US"/>
              </w:rPr>
            </w:pPr>
            <w:r w:rsidRPr="00AD7998">
              <w:rPr>
                <w:sz w:val="20"/>
                <w:szCs w:val="20"/>
              </w:rPr>
              <w:t>(Ont.) (Criminal) (By Leave)</w:t>
            </w:r>
          </w:p>
        </w:tc>
        <w:tc>
          <w:tcPr>
            <w:tcW w:w="360" w:type="dxa"/>
          </w:tcPr>
          <w:p w:rsidR="00B746B5" w:rsidRPr="00AD7998" w:rsidRDefault="00B746B5" w:rsidP="00A83A35">
            <w:pPr>
              <w:rPr>
                <w:sz w:val="20"/>
                <w:szCs w:val="20"/>
              </w:rPr>
            </w:pPr>
            <w:r w:rsidRPr="00AD7998">
              <w:rPr>
                <w:sz w:val="20"/>
                <w:szCs w:val="20"/>
              </w:rPr>
              <w:t>v.</w:t>
            </w:r>
          </w:p>
        </w:tc>
        <w:tc>
          <w:tcPr>
            <w:tcW w:w="3848" w:type="dxa"/>
          </w:tcPr>
          <w:p w:rsidR="00B746B5" w:rsidRPr="00AD7998" w:rsidRDefault="00AD7998" w:rsidP="00A83A35">
            <w:pPr>
              <w:tabs>
                <w:tab w:val="left" w:pos="1040"/>
              </w:tabs>
              <w:rPr>
                <w:sz w:val="20"/>
                <w:szCs w:val="20"/>
              </w:rPr>
            </w:pPr>
            <w:r w:rsidRPr="00AD7998">
              <w:rPr>
                <w:sz w:val="20"/>
                <w:szCs w:val="20"/>
              </w:rPr>
              <w:t>Person in Charge of Waypoint Centre for Mental Health Care</w:t>
            </w:r>
          </w:p>
        </w:tc>
      </w:tr>
      <w:tr w:rsidR="00AD7998" w:rsidRPr="000A2FBF" w:rsidTr="00A83A35">
        <w:trPr>
          <w:cantSplit/>
        </w:trPr>
        <w:tc>
          <w:tcPr>
            <w:tcW w:w="508" w:type="dxa"/>
          </w:tcPr>
          <w:p w:rsidR="00AD7998" w:rsidRPr="000A2FBF" w:rsidRDefault="00AD7998" w:rsidP="00A83A35">
            <w:pPr>
              <w:rPr>
                <w:sz w:val="20"/>
                <w:szCs w:val="20"/>
              </w:rPr>
            </w:pPr>
            <w:r>
              <w:rPr>
                <w:sz w:val="20"/>
                <w:szCs w:val="20"/>
              </w:rPr>
              <w:t>6.</w:t>
            </w:r>
          </w:p>
        </w:tc>
        <w:tc>
          <w:tcPr>
            <w:tcW w:w="810" w:type="dxa"/>
          </w:tcPr>
          <w:p w:rsidR="00AD7998" w:rsidRDefault="00AD7998" w:rsidP="00A83A35">
            <w:pPr>
              <w:rPr>
                <w:sz w:val="20"/>
                <w:szCs w:val="20"/>
              </w:rPr>
            </w:pPr>
            <w:r>
              <w:rPr>
                <w:sz w:val="20"/>
                <w:szCs w:val="20"/>
              </w:rPr>
              <w:t>37645</w:t>
            </w:r>
          </w:p>
        </w:tc>
        <w:tc>
          <w:tcPr>
            <w:tcW w:w="4050" w:type="dxa"/>
          </w:tcPr>
          <w:p w:rsidR="00AD7998" w:rsidRPr="00AD7998" w:rsidRDefault="00AD7998" w:rsidP="00AD7998">
            <w:pPr>
              <w:pStyle w:val="SCCAppellantInfoAppellantInfo"/>
              <w:rPr>
                <w:sz w:val="20"/>
                <w:szCs w:val="20"/>
              </w:rPr>
            </w:pPr>
            <w:r w:rsidRPr="00AD7998">
              <w:rPr>
                <w:sz w:val="20"/>
                <w:szCs w:val="20"/>
              </w:rPr>
              <w:t>Canadian National Railway Company</w:t>
            </w:r>
          </w:p>
          <w:p w:rsidR="00AD7998" w:rsidRPr="00AD7998" w:rsidRDefault="00AD7998" w:rsidP="00AD7998">
            <w:pPr>
              <w:pStyle w:val="SCCAppellantInfoAppellantInfo"/>
              <w:rPr>
                <w:sz w:val="20"/>
                <w:szCs w:val="20"/>
              </w:rPr>
            </w:pPr>
            <w:r w:rsidRPr="00AD7998">
              <w:rPr>
                <w:sz w:val="20"/>
                <w:szCs w:val="20"/>
              </w:rPr>
              <w:t>(FC) (Civil) (By Leave)</w:t>
            </w:r>
          </w:p>
        </w:tc>
        <w:tc>
          <w:tcPr>
            <w:tcW w:w="360" w:type="dxa"/>
          </w:tcPr>
          <w:p w:rsidR="00AD7998" w:rsidRPr="00AD7998" w:rsidRDefault="00AD7998" w:rsidP="00A83A35">
            <w:pPr>
              <w:rPr>
                <w:sz w:val="20"/>
                <w:szCs w:val="20"/>
              </w:rPr>
            </w:pPr>
            <w:r w:rsidRPr="00AD7998">
              <w:rPr>
                <w:sz w:val="20"/>
                <w:szCs w:val="20"/>
              </w:rPr>
              <w:t>v.</w:t>
            </w:r>
          </w:p>
        </w:tc>
        <w:tc>
          <w:tcPr>
            <w:tcW w:w="3848" w:type="dxa"/>
          </w:tcPr>
          <w:p w:rsidR="00AD7998" w:rsidRPr="00AD7998" w:rsidRDefault="00AD7998" w:rsidP="00A83A35">
            <w:pPr>
              <w:tabs>
                <w:tab w:val="left" w:pos="1040"/>
              </w:tabs>
              <w:rPr>
                <w:sz w:val="20"/>
                <w:szCs w:val="20"/>
              </w:rPr>
            </w:pPr>
            <w:r w:rsidRPr="00AD7998">
              <w:rPr>
                <w:sz w:val="20"/>
                <w:szCs w:val="20"/>
              </w:rPr>
              <w:t>Emerson Milling Inc., et al.</w:t>
            </w:r>
          </w:p>
        </w:tc>
      </w:tr>
      <w:tr w:rsidR="00B746B5" w:rsidRPr="009C02F9" w:rsidTr="00A83A35">
        <w:trPr>
          <w:cantSplit/>
        </w:trPr>
        <w:tc>
          <w:tcPr>
            <w:tcW w:w="508" w:type="dxa"/>
          </w:tcPr>
          <w:p w:rsidR="00B746B5" w:rsidRPr="000A2FBF" w:rsidRDefault="00B746B5" w:rsidP="00A83A35">
            <w:pPr>
              <w:rPr>
                <w:sz w:val="20"/>
                <w:szCs w:val="20"/>
              </w:rPr>
            </w:pPr>
          </w:p>
        </w:tc>
        <w:tc>
          <w:tcPr>
            <w:tcW w:w="810" w:type="dxa"/>
          </w:tcPr>
          <w:p w:rsidR="00B746B5" w:rsidRPr="000A2FBF" w:rsidRDefault="00B746B5" w:rsidP="00A83A35">
            <w:pPr>
              <w:rPr>
                <w:sz w:val="20"/>
                <w:szCs w:val="20"/>
              </w:rPr>
            </w:pPr>
          </w:p>
        </w:tc>
        <w:tc>
          <w:tcPr>
            <w:tcW w:w="8258" w:type="dxa"/>
            <w:gridSpan w:val="3"/>
          </w:tcPr>
          <w:p w:rsidR="00B746B5" w:rsidRPr="000A2FBF" w:rsidRDefault="00B746B5" w:rsidP="00A83A35">
            <w:pPr>
              <w:jc w:val="center"/>
              <w:rPr>
                <w:b/>
                <w:bCs/>
                <w:sz w:val="20"/>
                <w:szCs w:val="20"/>
                <w:lang w:val="en-US"/>
              </w:rPr>
            </w:pPr>
            <w:r w:rsidRPr="000A2FBF">
              <w:rPr>
                <w:b/>
                <w:bCs/>
                <w:sz w:val="20"/>
                <w:szCs w:val="20"/>
              </w:rPr>
              <w:t xml:space="preserve">CORAM: </w:t>
            </w:r>
            <w:proofErr w:type="spellStart"/>
            <w:r w:rsidRPr="000A2FBF">
              <w:rPr>
                <w:b/>
                <w:bCs/>
                <w:sz w:val="20"/>
                <w:szCs w:val="20"/>
              </w:rPr>
              <w:t>Moldaver</w:t>
            </w:r>
            <w:proofErr w:type="spellEnd"/>
            <w:r w:rsidRPr="000A2FBF">
              <w:rPr>
                <w:b/>
                <w:bCs/>
                <w:sz w:val="20"/>
                <w:szCs w:val="20"/>
              </w:rPr>
              <w:t xml:space="preserve">, </w:t>
            </w:r>
            <w:proofErr w:type="spellStart"/>
            <w:r w:rsidRPr="000A2FBF">
              <w:rPr>
                <w:b/>
                <w:bCs/>
                <w:sz w:val="20"/>
                <w:szCs w:val="20"/>
              </w:rPr>
              <w:t>Karakatsanis</w:t>
            </w:r>
            <w:proofErr w:type="spellEnd"/>
            <w:r w:rsidRPr="000A2FBF">
              <w:rPr>
                <w:b/>
                <w:bCs/>
                <w:sz w:val="20"/>
                <w:szCs w:val="20"/>
              </w:rPr>
              <w:t xml:space="preserve"> and </w:t>
            </w:r>
            <w:proofErr w:type="spellStart"/>
            <w:r w:rsidRPr="000A2FBF">
              <w:rPr>
                <w:b/>
                <w:bCs/>
                <w:sz w:val="20"/>
                <w:szCs w:val="20"/>
              </w:rPr>
              <w:t>Côté</w:t>
            </w:r>
            <w:proofErr w:type="spellEnd"/>
            <w:r w:rsidRPr="000A2FBF">
              <w:rPr>
                <w:b/>
                <w:bCs/>
                <w:sz w:val="20"/>
                <w:szCs w:val="20"/>
              </w:rPr>
              <w:t xml:space="preserve"> JJ.</w:t>
            </w:r>
          </w:p>
          <w:p w:rsidR="00B746B5" w:rsidRPr="000A2FBF" w:rsidRDefault="00B746B5" w:rsidP="00A83A35">
            <w:pPr>
              <w:jc w:val="center"/>
              <w:rPr>
                <w:b/>
                <w:bCs/>
                <w:sz w:val="20"/>
                <w:szCs w:val="20"/>
                <w:lang w:val="fr-CA"/>
              </w:rPr>
            </w:pPr>
            <w:r w:rsidRPr="000A2FBF">
              <w:rPr>
                <w:b/>
                <w:bCs/>
                <w:sz w:val="20"/>
                <w:szCs w:val="20"/>
                <w:lang w:val="fr-CA"/>
              </w:rPr>
              <w:t xml:space="preserve">Les juges </w:t>
            </w:r>
            <w:proofErr w:type="spellStart"/>
            <w:r w:rsidRPr="000A2FBF">
              <w:rPr>
                <w:b/>
                <w:bCs/>
                <w:sz w:val="20"/>
                <w:szCs w:val="20"/>
                <w:lang w:val="fr-CA"/>
              </w:rPr>
              <w:t>Moldaver</w:t>
            </w:r>
            <w:proofErr w:type="spellEnd"/>
            <w:r w:rsidRPr="000A2FBF">
              <w:rPr>
                <w:b/>
                <w:bCs/>
                <w:sz w:val="20"/>
                <w:szCs w:val="20"/>
                <w:lang w:val="fr-CA"/>
              </w:rPr>
              <w:t xml:space="preserve">, </w:t>
            </w:r>
            <w:proofErr w:type="spellStart"/>
            <w:r w:rsidRPr="000A2FBF">
              <w:rPr>
                <w:b/>
                <w:bCs/>
                <w:sz w:val="20"/>
                <w:szCs w:val="20"/>
                <w:lang w:val="fr-CA"/>
              </w:rPr>
              <w:t>Karakatsanis</w:t>
            </w:r>
            <w:proofErr w:type="spellEnd"/>
            <w:r w:rsidRPr="000A2FBF">
              <w:rPr>
                <w:b/>
                <w:bCs/>
                <w:sz w:val="20"/>
                <w:szCs w:val="20"/>
                <w:lang w:val="fr-CA"/>
              </w:rPr>
              <w:t xml:space="preserve"> et Côté</w:t>
            </w:r>
          </w:p>
          <w:p w:rsidR="00B746B5" w:rsidRPr="000A2FBF" w:rsidRDefault="00B746B5" w:rsidP="00A83A35">
            <w:pPr>
              <w:rPr>
                <w:sz w:val="20"/>
                <w:szCs w:val="20"/>
                <w:lang w:val="fr-CA"/>
              </w:rPr>
            </w:pPr>
          </w:p>
        </w:tc>
      </w:tr>
      <w:tr w:rsidR="00B746B5" w:rsidRPr="000A2FBF" w:rsidTr="00A83A35">
        <w:trPr>
          <w:cantSplit/>
        </w:trPr>
        <w:tc>
          <w:tcPr>
            <w:tcW w:w="508" w:type="dxa"/>
          </w:tcPr>
          <w:p w:rsidR="00B746B5" w:rsidRPr="000A2FBF" w:rsidRDefault="00AD7998" w:rsidP="00A83A35">
            <w:pPr>
              <w:rPr>
                <w:sz w:val="20"/>
                <w:szCs w:val="20"/>
              </w:rPr>
            </w:pPr>
            <w:r>
              <w:rPr>
                <w:sz w:val="20"/>
                <w:szCs w:val="20"/>
              </w:rPr>
              <w:t>7</w:t>
            </w:r>
            <w:r w:rsidR="00B746B5" w:rsidRPr="000A2FBF">
              <w:rPr>
                <w:sz w:val="20"/>
                <w:szCs w:val="20"/>
              </w:rPr>
              <w:t>.</w:t>
            </w:r>
          </w:p>
        </w:tc>
        <w:tc>
          <w:tcPr>
            <w:tcW w:w="810" w:type="dxa"/>
          </w:tcPr>
          <w:p w:rsidR="00B746B5" w:rsidRPr="000A2FBF" w:rsidRDefault="00B746B5" w:rsidP="00AD7998">
            <w:pPr>
              <w:rPr>
                <w:sz w:val="20"/>
                <w:szCs w:val="20"/>
              </w:rPr>
            </w:pPr>
            <w:r w:rsidRPr="000A2FBF">
              <w:rPr>
                <w:sz w:val="20"/>
                <w:szCs w:val="20"/>
              </w:rPr>
              <w:t>37</w:t>
            </w:r>
            <w:r w:rsidR="00AD7998">
              <w:rPr>
                <w:sz w:val="20"/>
                <w:szCs w:val="20"/>
              </w:rPr>
              <w:t>788</w:t>
            </w:r>
          </w:p>
        </w:tc>
        <w:tc>
          <w:tcPr>
            <w:tcW w:w="4050" w:type="dxa"/>
          </w:tcPr>
          <w:p w:rsidR="00AD7998" w:rsidRPr="00AD7998" w:rsidRDefault="00AD7998" w:rsidP="00AD7998">
            <w:pPr>
              <w:pStyle w:val="SCCAppellantInfoAppellantInfo"/>
              <w:rPr>
                <w:sz w:val="20"/>
              </w:rPr>
            </w:pPr>
            <w:r w:rsidRPr="00AD7998">
              <w:rPr>
                <w:sz w:val="20"/>
              </w:rPr>
              <w:t xml:space="preserve">Deborah </w:t>
            </w:r>
            <w:proofErr w:type="spellStart"/>
            <w:r w:rsidRPr="00AD7998">
              <w:rPr>
                <w:sz w:val="20"/>
              </w:rPr>
              <w:t>Dieckmann</w:t>
            </w:r>
            <w:proofErr w:type="spellEnd"/>
          </w:p>
          <w:p w:rsidR="00B746B5" w:rsidRPr="00AD7998" w:rsidRDefault="00AD7998" w:rsidP="00AD7998">
            <w:pPr>
              <w:pStyle w:val="SCCAppellantInfoAppellantInfo"/>
              <w:rPr>
                <w:sz w:val="20"/>
                <w:szCs w:val="20"/>
              </w:rPr>
            </w:pPr>
            <w:r w:rsidRPr="00AD7998">
              <w:rPr>
                <w:sz w:val="20"/>
              </w:rPr>
              <w:t>(Ont.) (Criminal) (By Leave)</w:t>
            </w:r>
          </w:p>
        </w:tc>
        <w:tc>
          <w:tcPr>
            <w:tcW w:w="360" w:type="dxa"/>
          </w:tcPr>
          <w:p w:rsidR="00B746B5" w:rsidRPr="000A2FBF" w:rsidRDefault="00B746B5" w:rsidP="00A83A35">
            <w:pPr>
              <w:rPr>
                <w:sz w:val="20"/>
                <w:szCs w:val="20"/>
              </w:rPr>
            </w:pPr>
            <w:r w:rsidRPr="000A2FBF">
              <w:rPr>
                <w:sz w:val="20"/>
                <w:szCs w:val="20"/>
              </w:rPr>
              <w:t>v.</w:t>
            </w:r>
          </w:p>
        </w:tc>
        <w:tc>
          <w:tcPr>
            <w:tcW w:w="3848" w:type="dxa"/>
          </w:tcPr>
          <w:p w:rsidR="00B746B5" w:rsidRPr="000A2FBF" w:rsidRDefault="00B746B5" w:rsidP="00A83A35">
            <w:pPr>
              <w:pStyle w:val="SCCAppellantInfoAppellantInfo"/>
              <w:rPr>
                <w:sz w:val="20"/>
                <w:szCs w:val="20"/>
              </w:rPr>
            </w:pPr>
            <w:r w:rsidRPr="000A2FBF">
              <w:rPr>
                <w:sz w:val="20"/>
                <w:szCs w:val="20"/>
              </w:rPr>
              <w:t>Her Majesty the Queen</w:t>
            </w:r>
          </w:p>
        </w:tc>
      </w:tr>
      <w:tr w:rsidR="00B746B5" w:rsidRPr="000A2FBF" w:rsidTr="00A83A35">
        <w:trPr>
          <w:cantSplit/>
        </w:trPr>
        <w:tc>
          <w:tcPr>
            <w:tcW w:w="508" w:type="dxa"/>
          </w:tcPr>
          <w:p w:rsidR="00B746B5" w:rsidRPr="000A2FBF" w:rsidRDefault="00AD7998" w:rsidP="00A83A35">
            <w:pPr>
              <w:rPr>
                <w:sz w:val="20"/>
                <w:szCs w:val="20"/>
              </w:rPr>
            </w:pPr>
            <w:r>
              <w:rPr>
                <w:sz w:val="20"/>
                <w:szCs w:val="20"/>
              </w:rPr>
              <w:t>8</w:t>
            </w:r>
            <w:r w:rsidR="00B746B5" w:rsidRPr="000A2FBF">
              <w:rPr>
                <w:sz w:val="20"/>
                <w:szCs w:val="20"/>
              </w:rPr>
              <w:t>.</w:t>
            </w:r>
          </w:p>
        </w:tc>
        <w:tc>
          <w:tcPr>
            <w:tcW w:w="810" w:type="dxa"/>
          </w:tcPr>
          <w:p w:rsidR="00B746B5" w:rsidRPr="000A2FBF" w:rsidRDefault="00AD7998" w:rsidP="00A83A35">
            <w:pPr>
              <w:rPr>
                <w:sz w:val="20"/>
                <w:szCs w:val="20"/>
              </w:rPr>
            </w:pPr>
            <w:r>
              <w:rPr>
                <w:sz w:val="20"/>
                <w:szCs w:val="20"/>
              </w:rPr>
              <w:t>37784</w:t>
            </w:r>
          </w:p>
        </w:tc>
        <w:tc>
          <w:tcPr>
            <w:tcW w:w="4050" w:type="dxa"/>
          </w:tcPr>
          <w:p w:rsidR="00AD7998" w:rsidRPr="00AD7998" w:rsidRDefault="00AD7998" w:rsidP="00AD7998">
            <w:pPr>
              <w:pStyle w:val="SCCAppellantInfoAppellantInfo"/>
              <w:rPr>
                <w:sz w:val="20"/>
                <w:szCs w:val="20"/>
              </w:rPr>
            </w:pPr>
            <w:proofErr w:type="spellStart"/>
            <w:r w:rsidRPr="00AD7998">
              <w:rPr>
                <w:sz w:val="20"/>
                <w:szCs w:val="20"/>
              </w:rPr>
              <w:t>Nazir</w:t>
            </w:r>
            <w:proofErr w:type="spellEnd"/>
            <w:r w:rsidRPr="00AD7998">
              <w:rPr>
                <w:sz w:val="20"/>
                <w:szCs w:val="20"/>
              </w:rPr>
              <w:t xml:space="preserve"> </w:t>
            </w:r>
            <w:proofErr w:type="spellStart"/>
            <w:r w:rsidRPr="00AD7998">
              <w:rPr>
                <w:sz w:val="20"/>
                <w:szCs w:val="20"/>
              </w:rPr>
              <w:t>Karigar</w:t>
            </w:r>
            <w:proofErr w:type="spellEnd"/>
          </w:p>
          <w:p w:rsidR="00B746B5" w:rsidRPr="000A2FBF" w:rsidRDefault="00AD7998" w:rsidP="00AD7998">
            <w:pPr>
              <w:pStyle w:val="SCCAppellantInfoAppellantInfo"/>
              <w:rPr>
                <w:sz w:val="20"/>
                <w:szCs w:val="20"/>
              </w:rPr>
            </w:pPr>
            <w:r w:rsidRPr="00AD7998">
              <w:rPr>
                <w:sz w:val="20"/>
                <w:szCs w:val="20"/>
              </w:rPr>
              <w:t>(Ont.) (Criminal) (By Leave)</w:t>
            </w:r>
          </w:p>
        </w:tc>
        <w:tc>
          <w:tcPr>
            <w:tcW w:w="360" w:type="dxa"/>
          </w:tcPr>
          <w:p w:rsidR="00B746B5" w:rsidRPr="000A2FBF" w:rsidRDefault="00B746B5" w:rsidP="00A83A35">
            <w:pPr>
              <w:rPr>
                <w:sz w:val="20"/>
                <w:szCs w:val="20"/>
              </w:rPr>
            </w:pPr>
            <w:r w:rsidRPr="000A2FBF">
              <w:rPr>
                <w:sz w:val="20"/>
                <w:szCs w:val="20"/>
              </w:rPr>
              <w:t>v.</w:t>
            </w:r>
          </w:p>
        </w:tc>
        <w:tc>
          <w:tcPr>
            <w:tcW w:w="3848" w:type="dxa"/>
          </w:tcPr>
          <w:p w:rsidR="00B746B5" w:rsidRPr="000A2FBF" w:rsidRDefault="00AD7998" w:rsidP="00A83A35">
            <w:pPr>
              <w:pStyle w:val="SCCAppellantInfoAppellantInfo"/>
              <w:rPr>
                <w:sz w:val="20"/>
                <w:szCs w:val="20"/>
              </w:rPr>
            </w:pPr>
            <w:r w:rsidRPr="00B746B5">
              <w:rPr>
                <w:sz w:val="20"/>
                <w:szCs w:val="20"/>
              </w:rPr>
              <w:t>Her Majesty the Queen</w:t>
            </w:r>
          </w:p>
        </w:tc>
      </w:tr>
      <w:tr w:rsidR="0072412A" w:rsidRPr="000A2FBF" w:rsidTr="00A83A35">
        <w:trPr>
          <w:cantSplit/>
        </w:trPr>
        <w:tc>
          <w:tcPr>
            <w:tcW w:w="508" w:type="dxa"/>
          </w:tcPr>
          <w:p w:rsidR="0072412A" w:rsidRDefault="0072412A" w:rsidP="00A83A35">
            <w:pPr>
              <w:rPr>
                <w:sz w:val="20"/>
                <w:szCs w:val="20"/>
              </w:rPr>
            </w:pPr>
            <w:r>
              <w:rPr>
                <w:sz w:val="20"/>
                <w:szCs w:val="20"/>
              </w:rPr>
              <w:t>9.</w:t>
            </w:r>
          </w:p>
        </w:tc>
        <w:tc>
          <w:tcPr>
            <w:tcW w:w="810" w:type="dxa"/>
          </w:tcPr>
          <w:p w:rsidR="0072412A" w:rsidRDefault="0072412A" w:rsidP="00A83A35">
            <w:pPr>
              <w:rPr>
                <w:sz w:val="20"/>
                <w:szCs w:val="20"/>
              </w:rPr>
            </w:pPr>
            <w:r>
              <w:rPr>
                <w:sz w:val="20"/>
                <w:szCs w:val="20"/>
              </w:rPr>
              <w:t>37855</w:t>
            </w:r>
          </w:p>
        </w:tc>
        <w:tc>
          <w:tcPr>
            <w:tcW w:w="4050" w:type="dxa"/>
          </w:tcPr>
          <w:p w:rsidR="0072412A" w:rsidRPr="0072412A" w:rsidRDefault="0072412A" w:rsidP="0072412A">
            <w:pPr>
              <w:pStyle w:val="SCCAppellantInfoAppellantInfo"/>
              <w:rPr>
                <w:sz w:val="20"/>
                <w:lang w:val="fr-CA"/>
              </w:rPr>
            </w:pPr>
            <w:r w:rsidRPr="0072412A">
              <w:rPr>
                <w:sz w:val="20"/>
                <w:lang w:val="fr-CA"/>
              </w:rPr>
              <w:t>L'Oratoire Saint-Joseph du Mont-Royal, et al.</w:t>
            </w:r>
          </w:p>
          <w:p w:rsidR="0072412A" w:rsidRPr="00AD7998" w:rsidRDefault="0072412A" w:rsidP="0072412A">
            <w:pPr>
              <w:pStyle w:val="SCCAppellantInfoAppellantInfo"/>
              <w:rPr>
                <w:sz w:val="20"/>
                <w:szCs w:val="20"/>
              </w:rPr>
            </w:pPr>
            <w:r w:rsidRPr="0072412A">
              <w:rPr>
                <w:sz w:val="20"/>
              </w:rPr>
              <w:t>(Que.) (Civil) (By Leave)</w:t>
            </w:r>
          </w:p>
        </w:tc>
        <w:tc>
          <w:tcPr>
            <w:tcW w:w="360" w:type="dxa"/>
          </w:tcPr>
          <w:p w:rsidR="0072412A" w:rsidRPr="0072412A" w:rsidRDefault="0072412A" w:rsidP="00A83A35">
            <w:pPr>
              <w:rPr>
                <w:sz w:val="20"/>
                <w:szCs w:val="20"/>
              </w:rPr>
            </w:pPr>
            <w:r w:rsidRPr="0072412A">
              <w:rPr>
                <w:sz w:val="20"/>
                <w:szCs w:val="20"/>
              </w:rPr>
              <w:t>v.</w:t>
            </w:r>
          </w:p>
        </w:tc>
        <w:tc>
          <w:tcPr>
            <w:tcW w:w="3848" w:type="dxa"/>
          </w:tcPr>
          <w:p w:rsidR="0072412A" w:rsidRPr="0072412A" w:rsidRDefault="0072412A" w:rsidP="00A83A35">
            <w:pPr>
              <w:pStyle w:val="SCCAppellantInfoAppellantInfo"/>
              <w:rPr>
                <w:sz w:val="20"/>
                <w:szCs w:val="20"/>
              </w:rPr>
            </w:pPr>
            <w:r w:rsidRPr="0072412A">
              <w:rPr>
                <w:sz w:val="20"/>
                <w:szCs w:val="20"/>
              </w:rPr>
              <w:t>J. J.</w:t>
            </w:r>
          </w:p>
        </w:tc>
      </w:tr>
    </w:tbl>
    <w:p w:rsidR="00C661B7" w:rsidRPr="00C661B7" w:rsidRDefault="00C661B7" w:rsidP="002E2327">
      <w:pPr>
        <w:widowControl w:val="0"/>
        <w:rPr>
          <w:sz w:val="20"/>
          <w:szCs w:val="20"/>
          <w:lang w:val="fr-CA"/>
        </w:rPr>
      </w:pPr>
    </w:p>
    <w:p w:rsidR="00762008" w:rsidRPr="00C661B7" w:rsidRDefault="00762008" w:rsidP="002E2327">
      <w:pPr>
        <w:widowControl w:val="0"/>
        <w:rPr>
          <w:sz w:val="20"/>
          <w:szCs w:val="20"/>
          <w:lang w:val="fr-CA"/>
        </w:rPr>
      </w:pPr>
    </w:p>
    <w:p w:rsidR="002E2327" w:rsidRDefault="009C02F9" w:rsidP="002E2327">
      <w:pPr>
        <w:widowControl w:val="0"/>
        <w:rPr>
          <w:sz w:val="20"/>
          <w:szCs w:val="20"/>
        </w:rPr>
      </w:pPr>
      <w:r>
        <w:rPr>
          <w:sz w:val="20"/>
          <w:szCs w:val="20"/>
        </w:rPr>
        <w:pict>
          <v:rect id="_x0000_i1031"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bookmarkStart w:id="1" w:name="QuickMark_1"/>
            <w:bookmarkEnd w:id="1"/>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183454" w:rsidRDefault="00183454" w:rsidP="00183454">
      <w:pPr>
        <w:tabs>
          <w:tab w:val="left" w:pos="-1440"/>
          <w:tab w:val="left" w:pos="-720"/>
        </w:tabs>
        <w:jc w:val="both"/>
        <w:rPr>
          <w:rFonts w:eastAsia="Times New Roman" w:cs="Times New Roman"/>
          <w:sz w:val="20"/>
          <w:szCs w:val="20"/>
          <w:lang w:val="fr-CA" w:eastAsia="en-CA"/>
        </w:rPr>
      </w:pPr>
      <w:r w:rsidRPr="00012FDB">
        <w:rPr>
          <w:rFonts w:eastAsia="Times New Roman" w:cs="Times New Roman"/>
          <w:sz w:val="20"/>
          <w:szCs w:val="20"/>
          <w:lang w:val="fr-CA" w:eastAsia="en-CA"/>
        </w:rPr>
        <w:t>1</w:t>
      </w:r>
      <w:r w:rsidR="00513C30">
        <w:rPr>
          <w:rFonts w:eastAsia="Times New Roman" w:cs="Times New Roman"/>
          <w:sz w:val="20"/>
          <w:szCs w:val="20"/>
          <w:lang w:val="fr-CA" w:eastAsia="en-CA"/>
        </w:rPr>
        <w:t>8</w:t>
      </w:r>
      <w:r w:rsidRPr="00012FDB">
        <w:rPr>
          <w:rFonts w:eastAsia="Times New Roman" w:cs="Times New Roman"/>
          <w:sz w:val="20"/>
          <w:szCs w:val="20"/>
          <w:lang w:val="fr-CA" w:eastAsia="en-CA"/>
        </w:rPr>
        <w:t>.</w:t>
      </w:r>
      <w:r>
        <w:rPr>
          <w:rFonts w:eastAsia="Times New Roman" w:cs="Times New Roman"/>
          <w:sz w:val="20"/>
          <w:szCs w:val="20"/>
          <w:lang w:val="fr-CA" w:eastAsia="en-CA"/>
        </w:rPr>
        <w:t>0</w:t>
      </w:r>
      <w:r w:rsidR="00E8544A">
        <w:rPr>
          <w:rFonts w:eastAsia="Times New Roman" w:cs="Times New Roman"/>
          <w:sz w:val="20"/>
          <w:szCs w:val="20"/>
          <w:lang w:val="fr-CA" w:eastAsia="en-CA"/>
        </w:rPr>
        <w:t>1</w:t>
      </w:r>
      <w:r w:rsidRPr="00012FDB">
        <w:rPr>
          <w:rFonts w:eastAsia="Times New Roman" w:cs="Times New Roman"/>
          <w:sz w:val="20"/>
          <w:szCs w:val="20"/>
          <w:lang w:val="fr-CA" w:eastAsia="en-CA"/>
        </w:rPr>
        <w:t>.</w:t>
      </w:r>
      <w:r w:rsidR="00CE4869">
        <w:rPr>
          <w:rFonts w:eastAsia="Times New Roman" w:cs="Times New Roman"/>
          <w:sz w:val="20"/>
          <w:szCs w:val="20"/>
          <w:lang w:val="fr-CA" w:eastAsia="en-CA"/>
        </w:rPr>
        <w:t>2018</w:t>
      </w:r>
    </w:p>
    <w:p w:rsidR="00513C30" w:rsidRDefault="00513C30" w:rsidP="00183454">
      <w:pPr>
        <w:tabs>
          <w:tab w:val="left" w:pos="-1440"/>
          <w:tab w:val="left" w:pos="-720"/>
        </w:tabs>
        <w:jc w:val="both"/>
        <w:rPr>
          <w:rFonts w:eastAsia="Times New Roman" w:cs="Times New Roman"/>
          <w:sz w:val="20"/>
          <w:szCs w:val="20"/>
          <w:lang w:val="fr-CA" w:eastAsia="en-CA"/>
        </w:rPr>
      </w:pPr>
    </w:p>
    <w:p w:rsidR="00513C30" w:rsidRPr="000A2FBF" w:rsidRDefault="00513C30" w:rsidP="00513C30">
      <w:pPr>
        <w:tabs>
          <w:tab w:val="left" w:pos="-1440"/>
          <w:tab w:val="left" w:pos="-720"/>
        </w:tabs>
        <w:jc w:val="both"/>
        <w:rPr>
          <w:rFonts w:eastAsia="Times New Roman" w:cs="Times New Roman"/>
          <w:sz w:val="20"/>
          <w:szCs w:val="20"/>
          <w:lang w:val="fr-CA" w:eastAsia="en-CA"/>
        </w:rPr>
      </w:pPr>
      <w:proofErr w:type="spellStart"/>
      <w:r w:rsidRPr="000A2FBF">
        <w:rPr>
          <w:rFonts w:eastAsia="Times New Roman" w:cs="Times New Roman"/>
          <w:sz w:val="20"/>
          <w:szCs w:val="20"/>
          <w:lang w:val="fr-CA" w:eastAsia="en-CA"/>
        </w:rPr>
        <w:t>Before</w:t>
      </w:r>
      <w:proofErr w:type="spellEnd"/>
      <w:r w:rsidRPr="000A2FBF">
        <w:rPr>
          <w:rFonts w:eastAsia="Times New Roman" w:cs="Times New Roman"/>
          <w:sz w:val="20"/>
          <w:szCs w:val="20"/>
          <w:lang w:val="fr-CA" w:eastAsia="en-CA"/>
        </w:rPr>
        <w:t xml:space="preserve"> / Devant :   </w:t>
      </w:r>
      <w:r w:rsidR="009E539D">
        <w:rPr>
          <w:rFonts w:eastAsia="Times New Roman" w:cs="Times New Roman"/>
          <w:sz w:val="20"/>
          <w:szCs w:val="20"/>
          <w:lang w:val="fr-CA" w:eastAsia="en-CA"/>
        </w:rPr>
        <w:t xml:space="preserve">BROWN </w:t>
      </w:r>
      <w:r w:rsidRPr="000A2FBF">
        <w:rPr>
          <w:rFonts w:eastAsia="Times New Roman" w:cs="Times New Roman"/>
          <w:sz w:val="20"/>
          <w:szCs w:val="20"/>
          <w:lang w:val="fr-CA" w:eastAsia="en-CA"/>
        </w:rPr>
        <w:t>J. / L</w:t>
      </w:r>
      <w:r>
        <w:rPr>
          <w:rFonts w:eastAsia="Times New Roman" w:cs="Times New Roman"/>
          <w:sz w:val="20"/>
          <w:szCs w:val="20"/>
          <w:lang w:val="fr-CA" w:eastAsia="en-CA"/>
        </w:rPr>
        <w:t>E JUGE BROWN</w:t>
      </w:r>
    </w:p>
    <w:p w:rsidR="00513C30" w:rsidRPr="000A2FBF" w:rsidRDefault="00513C30" w:rsidP="00513C30">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060"/>
        <w:gridCol w:w="1170"/>
        <w:gridCol w:w="4219"/>
      </w:tblGrid>
      <w:tr w:rsidR="005055ED" w:rsidRPr="000A2FBF" w:rsidTr="005055ED">
        <w:tc>
          <w:tcPr>
            <w:tcW w:w="4230" w:type="dxa"/>
            <w:gridSpan w:val="2"/>
          </w:tcPr>
          <w:p w:rsidR="005055ED" w:rsidRPr="000A2FBF" w:rsidRDefault="005055ED" w:rsidP="00D44620">
            <w:pPr>
              <w:tabs>
                <w:tab w:val="left" w:pos="-1440"/>
                <w:tab w:val="left" w:pos="-720"/>
              </w:tabs>
              <w:jc w:val="both"/>
              <w:rPr>
                <w:b/>
              </w:rPr>
            </w:pPr>
            <w:r w:rsidRPr="00D44620">
              <w:rPr>
                <w:b/>
                <w:bCs/>
                <w:lang w:val="en-GB"/>
              </w:rPr>
              <w:t>Motion</w:t>
            </w:r>
            <w:r>
              <w:rPr>
                <w:b/>
                <w:bCs/>
                <w:lang w:val="en-GB"/>
              </w:rPr>
              <w:t>s</w:t>
            </w:r>
            <w:r w:rsidRPr="00D44620">
              <w:rPr>
                <w:b/>
                <w:bCs/>
                <w:lang w:val="en-GB"/>
              </w:rPr>
              <w:t xml:space="preserve"> for leave to intervene</w:t>
            </w:r>
          </w:p>
        </w:tc>
        <w:tc>
          <w:tcPr>
            <w:tcW w:w="1170" w:type="dxa"/>
          </w:tcPr>
          <w:p w:rsidR="005055ED" w:rsidRPr="000A2FBF" w:rsidRDefault="005055ED" w:rsidP="00D44620">
            <w:pPr>
              <w:tabs>
                <w:tab w:val="left" w:pos="-1440"/>
                <w:tab w:val="left" w:pos="-720"/>
              </w:tabs>
              <w:jc w:val="both"/>
            </w:pPr>
          </w:p>
          <w:p w:rsidR="005055ED" w:rsidRPr="000A2FBF" w:rsidRDefault="005055ED" w:rsidP="00D44620">
            <w:pPr>
              <w:tabs>
                <w:tab w:val="left" w:pos="-1440"/>
                <w:tab w:val="left" w:pos="-720"/>
              </w:tabs>
              <w:jc w:val="both"/>
            </w:pPr>
          </w:p>
        </w:tc>
        <w:tc>
          <w:tcPr>
            <w:tcW w:w="4219" w:type="dxa"/>
          </w:tcPr>
          <w:p w:rsidR="005055ED" w:rsidRPr="00D55EE0" w:rsidRDefault="005055ED" w:rsidP="00D44620">
            <w:pPr>
              <w:jc w:val="both"/>
              <w:rPr>
                <w:b/>
                <w:bCs/>
              </w:rPr>
            </w:pPr>
            <w:r w:rsidRPr="00D12F79">
              <w:rPr>
                <w:b/>
                <w:bCs/>
                <w:lang w:val="fr-CA"/>
              </w:rPr>
              <w:t>Requête</w:t>
            </w:r>
            <w:r>
              <w:rPr>
                <w:b/>
                <w:bCs/>
                <w:lang w:val="fr-CA"/>
              </w:rPr>
              <w:t>s</w:t>
            </w:r>
            <w:r w:rsidRPr="00D12F79">
              <w:rPr>
                <w:b/>
                <w:bCs/>
                <w:lang w:val="fr-CA"/>
              </w:rPr>
              <w:t xml:space="preserve"> en autorisation d’intervenir</w:t>
            </w:r>
          </w:p>
        </w:tc>
      </w:tr>
      <w:tr w:rsidR="005055ED" w:rsidRPr="000A2FBF" w:rsidTr="005055ED">
        <w:trPr>
          <w:trHeight w:val="333"/>
        </w:trPr>
        <w:tc>
          <w:tcPr>
            <w:tcW w:w="1170" w:type="dxa"/>
          </w:tcPr>
          <w:p w:rsidR="005055ED" w:rsidRPr="005055ED" w:rsidRDefault="005055ED" w:rsidP="00D44620">
            <w:pPr>
              <w:tabs>
                <w:tab w:val="left" w:pos="-1440"/>
                <w:tab w:val="left" w:pos="-720"/>
              </w:tabs>
              <w:jc w:val="both"/>
              <w:rPr>
                <w:bCs/>
                <w:lang w:val="en-GB"/>
              </w:rPr>
            </w:pPr>
            <w:r>
              <w:rPr>
                <w:bCs/>
                <w:lang w:val="en-GB"/>
              </w:rPr>
              <w:t>BY / PAR</w:t>
            </w:r>
          </w:p>
        </w:tc>
        <w:tc>
          <w:tcPr>
            <w:tcW w:w="3060" w:type="dxa"/>
          </w:tcPr>
          <w:p w:rsidR="005055ED" w:rsidRPr="005055ED" w:rsidRDefault="005055ED" w:rsidP="005055ED">
            <w:pPr>
              <w:tabs>
                <w:tab w:val="left" w:pos="-1440"/>
                <w:tab w:val="left" w:pos="-720"/>
              </w:tabs>
              <w:rPr>
                <w:bCs/>
                <w:lang w:val="en-GB"/>
              </w:rPr>
            </w:pPr>
            <w:r>
              <w:rPr>
                <w:bCs/>
                <w:lang w:val="en-GB"/>
              </w:rPr>
              <w:t>Ecojustice Canada Society</w:t>
            </w:r>
          </w:p>
        </w:tc>
        <w:tc>
          <w:tcPr>
            <w:tcW w:w="1170" w:type="dxa"/>
          </w:tcPr>
          <w:p w:rsidR="005055ED" w:rsidRPr="000A2FBF" w:rsidRDefault="005055ED" w:rsidP="00D44620">
            <w:pPr>
              <w:tabs>
                <w:tab w:val="left" w:pos="-1440"/>
                <w:tab w:val="left" w:pos="-720"/>
              </w:tabs>
              <w:jc w:val="both"/>
            </w:pPr>
          </w:p>
        </w:tc>
        <w:tc>
          <w:tcPr>
            <w:tcW w:w="4219" w:type="dxa"/>
          </w:tcPr>
          <w:p w:rsidR="005055ED" w:rsidRPr="00D12F79" w:rsidRDefault="005055ED" w:rsidP="00D44620">
            <w:pPr>
              <w:jc w:val="both"/>
              <w:rPr>
                <w:b/>
                <w:bCs/>
                <w:lang w:val="fr-CA"/>
              </w:rPr>
            </w:pPr>
          </w:p>
        </w:tc>
      </w:tr>
      <w:tr w:rsidR="005055ED" w:rsidRPr="000A2FBF" w:rsidTr="005055ED">
        <w:trPr>
          <w:trHeight w:val="540"/>
        </w:trPr>
        <w:tc>
          <w:tcPr>
            <w:tcW w:w="1170" w:type="dxa"/>
          </w:tcPr>
          <w:p w:rsidR="005055ED" w:rsidRDefault="005055ED" w:rsidP="00D44620">
            <w:pPr>
              <w:tabs>
                <w:tab w:val="left" w:pos="-1440"/>
                <w:tab w:val="left" w:pos="-720"/>
              </w:tabs>
              <w:jc w:val="both"/>
              <w:rPr>
                <w:bCs/>
                <w:lang w:val="en-GB"/>
              </w:rPr>
            </w:pPr>
          </w:p>
        </w:tc>
        <w:tc>
          <w:tcPr>
            <w:tcW w:w="3060" w:type="dxa"/>
          </w:tcPr>
          <w:p w:rsidR="005055ED" w:rsidRDefault="005055ED" w:rsidP="005055ED">
            <w:pPr>
              <w:tabs>
                <w:tab w:val="left" w:pos="-1440"/>
                <w:tab w:val="left" w:pos="-720"/>
              </w:tabs>
              <w:rPr>
                <w:bCs/>
                <w:lang w:val="en-GB"/>
              </w:rPr>
            </w:pPr>
            <w:r>
              <w:rPr>
                <w:bCs/>
                <w:lang w:val="en-GB"/>
              </w:rPr>
              <w:t>Canadian Association of Petroleum Producers</w:t>
            </w:r>
          </w:p>
        </w:tc>
        <w:tc>
          <w:tcPr>
            <w:tcW w:w="1170" w:type="dxa"/>
          </w:tcPr>
          <w:p w:rsidR="005055ED" w:rsidRPr="000A2FBF" w:rsidRDefault="005055ED" w:rsidP="00D44620">
            <w:pPr>
              <w:tabs>
                <w:tab w:val="left" w:pos="-1440"/>
                <w:tab w:val="left" w:pos="-720"/>
              </w:tabs>
              <w:jc w:val="both"/>
            </w:pPr>
          </w:p>
        </w:tc>
        <w:tc>
          <w:tcPr>
            <w:tcW w:w="4219" w:type="dxa"/>
          </w:tcPr>
          <w:p w:rsidR="005055ED" w:rsidRPr="005055ED" w:rsidRDefault="005055ED" w:rsidP="00D44620">
            <w:pPr>
              <w:jc w:val="both"/>
              <w:rPr>
                <w:b/>
                <w:bCs/>
                <w:lang w:val="en-US"/>
              </w:rPr>
            </w:pPr>
          </w:p>
        </w:tc>
      </w:tr>
      <w:tr w:rsidR="005055ED" w:rsidRPr="000A2FBF" w:rsidTr="005055ED">
        <w:trPr>
          <w:trHeight w:val="360"/>
        </w:trPr>
        <w:tc>
          <w:tcPr>
            <w:tcW w:w="1170" w:type="dxa"/>
          </w:tcPr>
          <w:p w:rsidR="005055ED" w:rsidRDefault="005055ED" w:rsidP="00D44620">
            <w:pPr>
              <w:tabs>
                <w:tab w:val="left" w:pos="-1440"/>
                <w:tab w:val="left" w:pos="-720"/>
              </w:tabs>
              <w:jc w:val="both"/>
              <w:rPr>
                <w:bCs/>
                <w:lang w:val="en-GB"/>
              </w:rPr>
            </w:pPr>
          </w:p>
        </w:tc>
        <w:tc>
          <w:tcPr>
            <w:tcW w:w="3060" w:type="dxa"/>
          </w:tcPr>
          <w:p w:rsidR="005055ED" w:rsidRDefault="005055ED" w:rsidP="005055ED">
            <w:pPr>
              <w:tabs>
                <w:tab w:val="left" w:pos="-1440"/>
                <w:tab w:val="left" w:pos="-720"/>
              </w:tabs>
              <w:rPr>
                <w:bCs/>
                <w:lang w:val="en-GB"/>
              </w:rPr>
            </w:pPr>
            <w:r>
              <w:rPr>
                <w:bCs/>
                <w:lang w:val="en-GB"/>
              </w:rPr>
              <w:t>Greenpeace Canada</w:t>
            </w:r>
          </w:p>
        </w:tc>
        <w:tc>
          <w:tcPr>
            <w:tcW w:w="1170" w:type="dxa"/>
          </w:tcPr>
          <w:p w:rsidR="005055ED" w:rsidRPr="000A2FBF" w:rsidRDefault="005055ED" w:rsidP="00D44620">
            <w:pPr>
              <w:tabs>
                <w:tab w:val="left" w:pos="-1440"/>
                <w:tab w:val="left" w:pos="-720"/>
              </w:tabs>
              <w:jc w:val="both"/>
            </w:pPr>
          </w:p>
        </w:tc>
        <w:tc>
          <w:tcPr>
            <w:tcW w:w="4219" w:type="dxa"/>
          </w:tcPr>
          <w:p w:rsidR="005055ED" w:rsidRPr="005055ED" w:rsidRDefault="005055ED" w:rsidP="00D44620">
            <w:pPr>
              <w:jc w:val="both"/>
              <w:rPr>
                <w:b/>
                <w:bCs/>
                <w:lang w:val="en-US"/>
              </w:rPr>
            </w:pPr>
          </w:p>
        </w:tc>
      </w:tr>
      <w:tr w:rsidR="005055ED" w:rsidRPr="000A2FBF" w:rsidTr="005055ED">
        <w:trPr>
          <w:trHeight w:val="342"/>
        </w:trPr>
        <w:tc>
          <w:tcPr>
            <w:tcW w:w="1170" w:type="dxa"/>
          </w:tcPr>
          <w:p w:rsidR="005055ED" w:rsidRDefault="005055ED" w:rsidP="00D44620">
            <w:pPr>
              <w:tabs>
                <w:tab w:val="left" w:pos="-1440"/>
                <w:tab w:val="left" w:pos="-720"/>
              </w:tabs>
              <w:jc w:val="both"/>
              <w:rPr>
                <w:bCs/>
                <w:lang w:val="en-GB"/>
              </w:rPr>
            </w:pPr>
          </w:p>
        </w:tc>
        <w:tc>
          <w:tcPr>
            <w:tcW w:w="3060" w:type="dxa"/>
          </w:tcPr>
          <w:p w:rsidR="005055ED" w:rsidRDefault="005055ED" w:rsidP="005055ED">
            <w:pPr>
              <w:tabs>
                <w:tab w:val="left" w:pos="-1440"/>
                <w:tab w:val="left" w:pos="-720"/>
              </w:tabs>
              <w:rPr>
                <w:bCs/>
                <w:lang w:val="en-GB"/>
              </w:rPr>
            </w:pPr>
            <w:r>
              <w:rPr>
                <w:bCs/>
                <w:lang w:val="en-GB"/>
              </w:rPr>
              <w:t>Action Surface Rights Association</w:t>
            </w:r>
          </w:p>
        </w:tc>
        <w:tc>
          <w:tcPr>
            <w:tcW w:w="1170" w:type="dxa"/>
          </w:tcPr>
          <w:p w:rsidR="005055ED" w:rsidRPr="000A2FBF" w:rsidRDefault="005055ED" w:rsidP="00D44620">
            <w:pPr>
              <w:tabs>
                <w:tab w:val="left" w:pos="-1440"/>
                <w:tab w:val="left" w:pos="-720"/>
              </w:tabs>
              <w:jc w:val="both"/>
            </w:pPr>
          </w:p>
        </w:tc>
        <w:tc>
          <w:tcPr>
            <w:tcW w:w="4219" w:type="dxa"/>
          </w:tcPr>
          <w:p w:rsidR="005055ED" w:rsidRPr="005055ED" w:rsidRDefault="005055ED" w:rsidP="00D44620">
            <w:pPr>
              <w:jc w:val="both"/>
              <w:rPr>
                <w:b/>
                <w:bCs/>
                <w:lang w:val="en-US"/>
              </w:rPr>
            </w:pPr>
          </w:p>
        </w:tc>
      </w:tr>
      <w:tr w:rsidR="005055ED" w:rsidRPr="000A2FBF" w:rsidTr="005055ED">
        <w:trPr>
          <w:trHeight w:val="810"/>
        </w:trPr>
        <w:tc>
          <w:tcPr>
            <w:tcW w:w="1170" w:type="dxa"/>
          </w:tcPr>
          <w:p w:rsidR="005055ED" w:rsidRDefault="005055ED" w:rsidP="00D44620">
            <w:pPr>
              <w:tabs>
                <w:tab w:val="left" w:pos="-1440"/>
                <w:tab w:val="left" w:pos="-720"/>
              </w:tabs>
              <w:jc w:val="both"/>
              <w:rPr>
                <w:bCs/>
                <w:lang w:val="en-GB"/>
              </w:rPr>
            </w:pPr>
          </w:p>
        </w:tc>
        <w:tc>
          <w:tcPr>
            <w:tcW w:w="3060" w:type="dxa"/>
          </w:tcPr>
          <w:p w:rsidR="005055ED" w:rsidRDefault="005055ED" w:rsidP="005055ED">
            <w:pPr>
              <w:tabs>
                <w:tab w:val="left" w:pos="-1440"/>
                <w:tab w:val="left" w:pos="-720"/>
              </w:tabs>
              <w:rPr>
                <w:bCs/>
                <w:lang w:val="en-GB"/>
              </w:rPr>
            </w:pPr>
            <w:r>
              <w:rPr>
                <w:bCs/>
                <w:lang w:val="en-GB"/>
              </w:rPr>
              <w:t xml:space="preserve">Canadian Association of Insolvency and Restructuring Professionals </w:t>
            </w:r>
          </w:p>
        </w:tc>
        <w:tc>
          <w:tcPr>
            <w:tcW w:w="1170" w:type="dxa"/>
          </w:tcPr>
          <w:p w:rsidR="005055ED" w:rsidRPr="000A2FBF" w:rsidRDefault="005055ED" w:rsidP="00D44620">
            <w:pPr>
              <w:tabs>
                <w:tab w:val="left" w:pos="-1440"/>
                <w:tab w:val="left" w:pos="-720"/>
              </w:tabs>
              <w:jc w:val="both"/>
            </w:pPr>
          </w:p>
        </w:tc>
        <w:tc>
          <w:tcPr>
            <w:tcW w:w="4219" w:type="dxa"/>
          </w:tcPr>
          <w:p w:rsidR="005055ED" w:rsidRPr="005055ED" w:rsidRDefault="005055ED" w:rsidP="00D44620">
            <w:pPr>
              <w:jc w:val="both"/>
              <w:rPr>
                <w:b/>
                <w:bCs/>
                <w:lang w:val="en-US"/>
              </w:rPr>
            </w:pPr>
          </w:p>
        </w:tc>
      </w:tr>
      <w:tr w:rsidR="005055ED" w:rsidRPr="000A2FBF" w:rsidTr="005055ED">
        <w:trPr>
          <w:trHeight w:val="360"/>
        </w:trPr>
        <w:tc>
          <w:tcPr>
            <w:tcW w:w="1170" w:type="dxa"/>
          </w:tcPr>
          <w:p w:rsidR="005055ED" w:rsidRDefault="005055ED" w:rsidP="00D44620">
            <w:pPr>
              <w:tabs>
                <w:tab w:val="left" w:pos="-1440"/>
                <w:tab w:val="left" w:pos="-720"/>
              </w:tabs>
              <w:jc w:val="both"/>
              <w:rPr>
                <w:bCs/>
                <w:lang w:val="en-GB"/>
              </w:rPr>
            </w:pPr>
          </w:p>
        </w:tc>
        <w:tc>
          <w:tcPr>
            <w:tcW w:w="3060" w:type="dxa"/>
          </w:tcPr>
          <w:p w:rsidR="005055ED" w:rsidRDefault="005055ED" w:rsidP="005055ED">
            <w:pPr>
              <w:tabs>
                <w:tab w:val="left" w:pos="-1440"/>
                <w:tab w:val="left" w:pos="-720"/>
              </w:tabs>
              <w:rPr>
                <w:bCs/>
                <w:lang w:val="en-GB"/>
              </w:rPr>
            </w:pPr>
            <w:r>
              <w:rPr>
                <w:bCs/>
                <w:lang w:val="en-GB"/>
              </w:rPr>
              <w:t>Canadian Bankers’ Association</w:t>
            </w:r>
          </w:p>
        </w:tc>
        <w:tc>
          <w:tcPr>
            <w:tcW w:w="1170" w:type="dxa"/>
          </w:tcPr>
          <w:p w:rsidR="005055ED" w:rsidRPr="000A2FBF" w:rsidRDefault="005055ED" w:rsidP="00D44620">
            <w:pPr>
              <w:tabs>
                <w:tab w:val="left" w:pos="-1440"/>
                <w:tab w:val="left" w:pos="-720"/>
              </w:tabs>
              <w:jc w:val="both"/>
            </w:pPr>
          </w:p>
        </w:tc>
        <w:tc>
          <w:tcPr>
            <w:tcW w:w="4219" w:type="dxa"/>
          </w:tcPr>
          <w:p w:rsidR="005055ED" w:rsidRPr="005055ED" w:rsidRDefault="005055ED" w:rsidP="00D44620">
            <w:pPr>
              <w:jc w:val="both"/>
              <w:rPr>
                <w:b/>
                <w:bCs/>
                <w:lang w:val="en-US"/>
              </w:rPr>
            </w:pPr>
          </w:p>
        </w:tc>
      </w:tr>
      <w:tr w:rsidR="005055ED" w:rsidRPr="000A2FBF" w:rsidTr="005055ED">
        <w:tc>
          <w:tcPr>
            <w:tcW w:w="1170" w:type="dxa"/>
          </w:tcPr>
          <w:p w:rsidR="005055ED" w:rsidRDefault="005055ED" w:rsidP="00A83A35">
            <w:pPr>
              <w:tabs>
                <w:tab w:val="left" w:pos="-1440"/>
                <w:tab w:val="left" w:pos="-720"/>
              </w:tabs>
              <w:jc w:val="both"/>
              <w:rPr>
                <w:lang w:val="en-US"/>
              </w:rPr>
            </w:pPr>
            <w:r>
              <w:rPr>
                <w:lang w:val="en-US"/>
              </w:rPr>
              <w:t>IN / DANS</w:t>
            </w:r>
          </w:p>
        </w:tc>
        <w:tc>
          <w:tcPr>
            <w:tcW w:w="3060" w:type="dxa"/>
          </w:tcPr>
          <w:p w:rsidR="005055ED" w:rsidRPr="000A2FBF" w:rsidRDefault="005055ED" w:rsidP="005055ED">
            <w:pPr>
              <w:tabs>
                <w:tab w:val="left" w:pos="-1440"/>
                <w:tab w:val="left" w:pos="-720"/>
              </w:tabs>
              <w:jc w:val="both"/>
              <w:rPr>
                <w:lang w:val="en-US"/>
              </w:rPr>
            </w:pPr>
            <w:r>
              <w:rPr>
                <w:lang w:val="en-US"/>
              </w:rPr>
              <w:t>Orphan Well Association et al.</w:t>
            </w:r>
          </w:p>
          <w:p w:rsidR="005055ED" w:rsidRPr="000A2FBF" w:rsidRDefault="005055ED" w:rsidP="005055ED">
            <w:pPr>
              <w:tabs>
                <w:tab w:val="left" w:pos="-1440"/>
                <w:tab w:val="left" w:pos="-720"/>
              </w:tabs>
              <w:jc w:val="both"/>
              <w:rPr>
                <w:lang w:val="en-US"/>
              </w:rPr>
            </w:pPr>
          </w:p>
          <w:p w:rsidR="005055ED" w:rsidRPr="000A2FBF" w:rsidRDefault="005055ED" w:rsidP="005055ED">
            <w:pPr>
              <w:tabs>
                <w:tab w:val="left" w:pos="-1440"/>
                <w:tab w:val="left" w:pos="-720"/>
              </w:tabs>
              <w:jc w:val="both"/>
              <w:rPr>
                <w:lang w:val="fr-CA"/>
              </w:rPr>
            </w:pPr>
            <w:r w:rsidRPr="000A2FBF">
              <w:rPr>
                <w:lang w:val="en-US"/>
              </w:rPr>
              <w:tab/>
            </w:r>
            <w:r w:rsidRPr="000A2FBF">
              <w:rPr>
                <w:lang w:val="fr-CA"/>
              </w:rPr>
              <w:t>v. (</w:t>
            </w:r>
            <w:r>
              <w:rPr>
                <w:lang w:val="fr-CA"/>
              </w:rPr>
              <w:t>37627</w:t>
            </w:r>
            <w:r w:rsidRPr="000A2FBF">
              <w:rPr>
                <w:lang w:val="fr-CA"/>
              </w:rPr>
              <w:t>)</w:t>
            </w:r>
          </w:p>
          <w:p w:rsidR="005055ED" w:rsidRPr="000A2FBF" w:rsidRDefault="005055ED" w:rsidP="005055ED">
            <w:pPr>
              <w:tabs>
                <w:tab w:val="left" w:pos="-1440"/>
                <w:tab w:val="left" w:pos="-720"/>
              </w:tabs>
              <w:jc w:val="both"/>
              <w:rPr>
                <w:lang w:val="fr-CA"/>
              </w:rPr>
            </w:pPr>
          </w:p>
          <w:p w:rsidR="005055ED" w:rsidRPr="000A2FBF" w:rsidRDefault="005055ED" w:rsidP="005055ED">
            <w:pPr>
              <w:tabs>
                <w:tab w:val="left" w:pos="-1440"/>
                <w:tab w:val="left" w:pos="-720"/>
              </w:tabs>
              <w:jc w:val="both"/>
              <w:rPr>
                <w:lang w:val="fr-CA"/>
              </w:rPr>
            </w:pPr>
            <w:r>
              <w:rPr>
                <w:lang w:val="fr-CA"/>
              </w:rPr>
              <w:t xml:space="preserve">Grant </w:t>
            </w:r>
            <w:proofErr w:type="spellStart"/>
            <w:r>
              <w:rPr>
                <w:lang w:val="fr-CA"/>
              </w:rPr>
              <w:t>Thorton</w:t>
            </w:r>
            <w:proofErr w:type="spellEnd"/>
            <w:r>
              <w:rPr>
                <w:lang w:val="fr-CA"/>
              </w:rPr>
              <w:t xml:space="preserve"> Limited et al.</w:t>
            </w:r>
            <w:r w:rsidRPr="000A2FBF">
              <w:rPr>
                <w:lang w:val="fr-CA"/>
              </w:rPr>
              <w:t xml:space="preserve"> (</w:t>
            </w:r>
            <w:r>
              <w:rPr>
                <w:lang w:val="fr-CA"/>
              </w:rPr>
              <w:t>Alta.</w:t>
            </w:r>
            <w:r w:rsidRPr="000A2FBF">
              <w:rPr>
                <w:lang w:val="fr-CA"/>
              </w:rPr>
              <w:t>)</w:t>
            </w:r>
          </w:p>
        </w:tc>
        <w:tc>
          <w:tcPr>
            <w:tcW w:w="1170" w:type="dxa"/>
          </w:tcPr>
          <w:p w:rsidR="005055ED" w:rsidRPr="000A2FBF" w:rsidRDefault="005055ED" w:rsidP="00A83A35">
            <w:pPr>
              <w:tabs>
                <w:tab w:val="left" w:pos="-1440"/>
                <w:tab w:val="left" w:pos="-720"/>
              </w:tabs>
              <w:jc w:val="both"/>
              <w:rPr>
                <w:lang w:val="fr-CA"/>
              </w:rPr>
            </w:pPr>
          </w:p>
        </w:tc>
        <w:tc>
          <w:tcPr>
            <w:tcW w:w="4219" w:type="dxa"/>
          </w:tcPr>
          <w:p w:rsidR="005055ED" w:rsidRPr="000A2FBF" w:rsidRDefault="005055ED" w:rsidP="00A83A35">
            <w:pPr>
              <w:tabs>
                <w:tab w:val="left" w:pos="-1440"/>
                <w:tab w:val="left" w:pos="-720"/>
              </w:tabs>
              <w:jc w:val="both"/>
              <w:rPr>
                <w:lang w:val="fr-CA"/>
              </w:rPr>
            </w:pPr>
          </w:p>
        </w:tc>
      </w:tr>
    </w:tbl>
    <w:p w:rsidR="00513C30" w:rsidRDefault="00513C30" w:rsidP="00183454">
      <w:pPr>
        <w:tabs>
          <w:tab w:val="left" w:pos="-1440"/>
          <w:tab w:val="left" w:pos="-720"/>
        </w:tabs>
        <w:jc w:val="both"/>
        <w:rPr>
          <w:rFonts w:eastAsia="Times New Roman" w:cs="Times New Roman"/>
          <w:sz w:val="20"/>
          <w:szCs w:val="20"/>
          <w:lang w:val="fr-CA" w:eastAsia="en-CA"/>
        </w:rPr>
      </w:pPr>
    </w:p>
    <w:p w:rsidR="00D3587C" w:rsidRPr="000A2FBF" w:rsidRDefault="00D3587C" w:rsidP="00D3587C">
      <w:pPr>
        <w:tabs>
          <w:tab w:val="left" w:pos="-1440"/>
          <w:tab w:val="left" w:pos="-720"/>
        </w:tabs>
        <w:jc w:val="both"/>
        <w:rPr>
          <w:rFonts w:eastAsia="Times New Roman" w:cs="Times New Roman"/>
          <w:b/>
          <w:sz w:val="20"/>
          <w:szCs w:val="20"/>
          <w:lang w:val="en-US" w:eastAsia="en-CA"/>
        </w:rPr>
      </w:pPr>
      <w:r w:rsidRPr="000A2FBF">
        <w:rPr>
          <w:rFonts w:eastAsia="Times New Roman" w:cs="Times New Roman"/>
          <w:b/>
          <w:sz w:val="20"/>
          <w:szCs w:val="20"/>
          <w:lang w:val="en-US" w:eastAsia="en-CA"/>
        </w:rPr>
        <w:t>GRANTED / ACCUEILLIE</w:t>
      </w:r>
    </w:p>
    <w:p w:rsidR="00D3587C" w:rsidRDefault="00D3587C" w:rsidP="00D3587C">
      <w:pPr>
        <w:spacing w:line="233" w:lineRule="auto"/>
        <w:rPr>
          <w:rFonts w:cs="Times New Roman"/>
          <w:b/>
          <w:bCs/>
          <w:sz w:val="20"/>
          <w:szCs w:val="20"/>
        </w:rPr>
      </w:pPr>
    </w:p>
    <w:p w:rsidR="00D3587C" w:rsidRPr="00D3587C" w:rsidRDefault="00D3587C" w:rsidP="00D3587C">
      <w:pPr>
        <w:spacing w:line="233" w:lineRule="auto"/>
        <w:rPr>
          <w:rFonts w:cs="Times New Roman"/>
          <w:sz w:val="20"/>
          <w:szCs w:val="20"/>
        </w:rPr>
      </w:pPr>
      <w:r w:rsidRPr="00D3587C">
        <w:rPr>
          <w:rFonts w:cs="Times New Roman"/>
          <w:b/>
          <w:bCs/>
          <w:sz w:val="20"/>
          <w:szCs w:val="20"/>
        </w:rPr>
        <w:t xml:space="preserve">UPON APPLICATIONS </w:t>
      </w:r>
      <w:r w:rsidRPr="00D3587C">
        <w:rPr>
          <w:rFonts w:cs="Times New Roman"/>
          <w:sz w:val="20"/>
          <w:szCs w:val="20"/>
        </w:rPr>
        <w:t>by Ecojustice Canada Society; the Canadian Association of Petroleum Producers; Greenpeace Canada; the Action Surface Rights Association; the Canadian Association of Insolvency and Restructuring Professionals and the Canadian Bankers’ Association for leave to intervene in the above appeal;</w:t>
      </w:r>
    </w:p>
    <w:p w:rsidR="00D3587C" w:rsidRPr="00D3587C" w:rsidRDefault="00D3587C" w:rsidP="00D3587C">
      <w:pPr>
        <w:spacing w:line="233" w:lineRule="auto"/>
        <w:rPr>
          <w:rFonts w:cs="Times New Roman"/>
          <w:sz w:val="20"/>
          <w:szCs w:val="20"/>
        </w:rPr>
      </w:pPr>
    </w:p>
    <w:p w:rsidR="00D3587C" w:rsidRPr="00D3587C" w:rsidRDefault="00D3587C" w:rsidP="00D3587C">
      <w:pPr>
        <w:spacing w:line="233" w:lineRule="auto"/>
        <w:rPr>
          <w:rFonts w:cs="Times New Roman"/>
          <w:sz w:val="20"/>
          <w:szCs w:val="20"/>
        </w:rPr>
      </w:pPr>
      <w:r w:rsidRPr="00D3587C">
        <w:rPr>
          <w:rFonts w:cs="Times New Roman"/>
          <w:b/>
          <w:bCs/>
          <w:sz w:val="20"/>
          <w:szCs w:val="20"/>
        </w:rPr>
        <w:t>AND THE MATERIAL FILED</w:t>
      </w:r>
      <w:r w:rsidRPr="00D3587C">
        <w:rPr>
          <w:rFonts w:cs="Times New Roman"/>
          <w:sz w:val="20"/>
          <w:szCs w:val="20"/>
        </w:rPr>
        <w:t xml:space="preserve"> having been read;</w:t>
      </w:r>
    </w:p>
    <w:p w:rsidR="00D3587C" w:rsidRPr="00D3587C" w:rsidRDefault="00D3587C" w:rsidP="00D3587C">
      <w:pPr>
        <w:spacing w:line="233" w:lineRule="auto"/>
        <w:jc w:val="center"/>
        <w:rPr>
          <w:rFonts w:cs="Times New Roman"/>
          <w:sz w:val="20"/>
          <w:szCs w:val="20"/>
        </w:rPr>
      </w:pPr>
    </w:p>
    <w:p w:rsidR="00D3587C" w:rsidRPr="00D3587C" w:rsidRDefault="00D3587C" w:rsidP="00D3587C">
      <w:pPr>
        <w:spacing w:line="233" w:lineRule="auto"/>
        <w:rPr>
          <w:rFonts w:cs="Times New Roman"/>
          <w:b/>
          <w:bCs/>
          <w:sz w:val="20"/>
          <w:szCs w:val="20"/>
        </w:rPr>
      </w:pPr>
      <w:r w:rsidRPr="00D3587C">
        <w:rPr>
          <w:rFonts w:cs="Times New Roman"/>
          <w:b/>
          <w:bCs/>
          <w:sz w:val="20"/>
          <w:szCs w:val="20"/>
        </w:rPr>
        <w:t>IT IS HEREBY ORDERED THAT:</w:t>
      </w:r>
    </w:p>
    <w:p w:rsidR="00D3587C" w:rsidRPr="00D3587C" w:rsidRDefault="00D3587C" w:rsidP="00D3587C">
      <w:pPr>
        <w:spacing w:line="233" w:lineRule="auto"/>
        <w:rPr>
          <w:rFonts w:cs="Times New Roman"/>
          <w:sz w:val="20"/>
          <w:szCs w:val="20"/>
        </w:rPr>
      </w:pPr>
    </w:p>
    <w:p w:rsidR="00D3587C" w:rsidRPr="00D3587C" w:rsidRDefault="00D3587C" w:rsidP="00D3587C">
      <w:pPr>
        <w:spacing w:line="233" w:lineRule="auto"/>
        <w:rPr>
          <w:rFonts w:cs="Times New Roman"/>
          <w:sz w:val="20"/>
          <w:szCs w:val="20"/>
        </w:rPr>
      </w:pPr>
      <w:r w:rsidRPr="00D3587C">
        <w:rPr>
          <w:rFonts w:cs="Times New Roman"/>
          <w:sz w:val="20"/>
          <w:szCs w:val="20"/>
        </w:rPr>
        <w:t>The motions for leave to intervene are granted and the said six (6) interveners shall be entitled to each serve and file a factum not exceeding ten (10) pages in length on or before February 5, 2018.</w:t>
      </w:r>
    </w:p>
    <w:p w:rsidR="00D3587C" w:rsidRPr="00D3587C" w:rsidRDefault="00D3587C" w:rsidP="00D3587C">
      <w:pPr>
        <w:spacing w:line="233" w:lineRule="auto"/>
        <w:rPr>
          <w:rFonts w:cs="Times New Roman"/>
          <w:sz w:val="20"/>
          <w:szCs w:val="20"/>
        </w:rPr>
      </w:pPr>
    </w:p>
    <w:p w:rsidR="00D3587C" w:rsidRPr="00D3587C" w:rsidRDefault="00D3587C" w:rsidP="00D3587C">
      <w:pPr>
        <w:spacing w:line="228" w:lineRule="auto"/>
        <w:rPr>
          <w:rFonts w:cs="Times New Roman"/>
          <w:sz w:val="20"/>
          <w:szCs w:val="20"/>
        </w:rPr>
      </w:pPr>
      <w:r w:rsidRPr="00D3587C">
        <w:rPr>
          <w:rFonts w:cs="Times New Roman"/>
          <w:bCs/>
          <w:sz w:val="20"/>
          <w:szCs w:val="20"/>
        </w:rPr>
        <w:t>The said six (6) interveners</w:t>
      </w:r>
      <w:r w:rsidRPr="00D3587C">
        <w:rPr>
          <w:rFonts w:cs="Times New Roman"/>
          <w:sz w:val="20"/>
          <w:szCs w:val="20"/>
        </w:rPr>
        <w:t xml:space="preserve"> are each granted permission to present oral argument not exceeding five (5) minutes at the hearing of the appeal.</w:t>
      </w:r>
    </w:p>
    <w:p w:rsidR="00D3587C" w:rsidRPr="00D3587C" w:rsidRDefault="00D3587C" w:rsidP="00D3587C">
      <w:pPr>
        <w:spacing w:line="233" w:lineRule="auto"/>
        <w:rPr>
          <w:rFonts w:cs="Times New Roman"/>
          <w:sz w:val="20"/>
          <w:szCs w:val="20"/>
        </w:rPr>
      </w:pPr>
    </w:p>
    <w:p w:rsidR="00D3587C" w:rsidRPr="00743E0D" w:rsidRDefault="00D3587C" w:rsidP="00D3587C">
      <w:pPr>
        <w:spacing w:line="233" w:lineRule="auto"/>
        <w:rPr>
          <w:rFonts w:cs="Times New Roman"/>
          <w:sz w:val="20"/>
          <w:szCs w:val="20"/>
        </w:rPr>
      </w:pPr>
      <w:r w:rsidRPr="00743E0D">
        <w:rPr>
          <w:rFonts w:cs="Times New Roman"/>
          <w:sz w:val="20"/>
          <w:szCs w:val="20"/>
        </w:rPr>
        <w:t xml:space="preserve">The interveners are not entitled to raise new issues or to adduce further evidence or otherwise to supplement the record of the parties. </w:t>
      </w:r>
    </w:p>
    <w:p w:rsidR="00D3587C" w:rsidRPr="00D3587C" w:rsidRDefault="00D3587C" w:rsidP="00D3587C">
      <w:pPr>
        <w:spacing w:line="233" w:lineRule="auto"/>
        <w:rPr>
          <w:rFonts w:cs="Times New Roman"/>
          <w:sz w:val="20"/>
          <w:szCs w:val="20"/>
        </w:rPr>
      </w:pPr>
    </w:p>
    <w:p w:rsidR="00D3587C" w:rsidRPr="00D3587C" w:rsidRDefault="00D3587C" w:rsidP="00D3587C">
      <w:pPr>
        <w:spacing w:line="233" w:lineRule="auto"/>
        <w:rPr>
          <w:rFonts w:cs="Times New Roman"/>
          <w:sz w:val="20"/>
          <w:szCs w:val="20"/>
        </w:rPr>
      </w:pPr>
      <w:r w:rsidRPr="00D3587C">
        <w:rPr>
          <w:rFonts w:cs="Times New Roman"/>
          <w:sz w:val="20"/>
          <w:szCs w:val="20"/>
        </w:rPr>
        <w:t>Pursuant to Rule 59(1</w:t>
      </w:r>
      <w:proofErr w:type="gramStart"/>
      <w:r w:rsidRPr="00D3587C">
        <w:rPr>
          <w:rFonts w:cs="Times New Roman"/>
          <w:sz w:val="20"/>
          <w:szCs w:val="20"/>
        </w:rPr>
        <w:t>)(</w:t>
      </w:r>
      <w:proofErr w:type="gramEnd"/>
      <w:r w:rsidRPr="00D3587C">
        <w:rPr>
          <w:rFonts w:cs="Times New Roman"/>
          <w:i/>
          <w:iCs/>
          <w:sz w:val="20"/>
          <w:szCs w:val="20"/>
        </w:rPr>
        <w:t>a</w:t>
      </w:r>
      <w:r w:rsidRPr="00D3587C">
        <w:rPr>
          <w:rFonts w:cs="Times New Roman"/>
          <w:sz w:val="20"/>
          <w:szCs w:val="20"/>
        </w:rPr>
        <w:t xml:space="preserve">) of the </w:t>
      </w:r>
      <w:r w:rsidRPr="00D3587C">
        <w:rPr>
          <w:rFonts w:cs="Times New Roman"/>
          <w:i/>
          <w:iCs/>
          <w:sz w:val="20"/>
          <w:szCs w:val="20"/>
        </w:rPr>
        <w:t>Rules of the Supreme Court of Canada</w:t>
      </w:r>
      <w:r w:rsidRPr="00D3587C">
        <w:rPr>
          <w:rFonts w:cs="Times New Roman"/>
          <w:sz w:val="20"/>
          <w:szCs w:val="20"/>
        </w:rPr>
        <w:t>, the interveners shall pay to the appellants and respondents any additional disbursements occasioned to the appellants and respondents by their intervention.</w:t>
      </w:r>
    </w:p>
    <w:p w:rsidR="00D3587C" w:rsidRPr="00D3587C" w:rsidRDefault="00D3587C" w:rsidP="00D3587C">
      <w:pPr>
        <w:spacing w:line="233" w:lineRule="auto"/>
        <w:rPr>
          <w:rFonts w:cs="Times New Roman"/>
          <w:sz w:val="20"/>
          <w:szCs w:val="20"/>
        </w:rPr>
      </w:pPr>
    </w:p>
    <w:p w:rsidR="00D3587C" w:rsidRPr="00D3587C" w:rsidRDefault="00D3587C" w:rsidP="00D3587C">
      <w:pPr>
        <w:rPr>
          <w:rFonts w:cs="Times New Roman"/>
          <w:sz w:val="20"/>
          <w:szCs w:val="20"/>
          <w:lang w:eastAsia="fr-FR"/>
        </w:rPr>
      </w:pPr>
      <w:r w:rsidRPr="00D3587C">
        <w:rPr>
          <w:rFonts w:cs="Times New Roman"/>
          <w:sz w:val="20"/>
          <w:szCs w:val="20"/>
          <w:lang w:eastAsia="fr-FR"/>
        </w:rPr>
        <w:t>The request by Grant Thornton Limited and Alberta Treasury Branches to serve and file, jointly, a reply factum is dismissed.</w:t>
      </w:r>
    </w:p>
    <w:p w:rsidR="00D3587C" w:rsidRPr="00D3587C" w:rsidRDefault="00D3587C" w:rsidP="00D3587C">
      <w:pPr>
        <w:rPr>
          <w:rFonts w:cs="Times New Roman"/>
          <w:sz w:val="20"/>
          <w:szCs w:val="20"/>
        </w:rPr>
      </w:pPr>
    </w:p>
    <w:p w:rsidR="00D3587C" w:rsidRPr="00D3587C" w:rsidRDefault="00D3587C" w:rsidP="00D3587C">
      <w:pPr>
        <w:rPr>
          <w:rFonts w:cs="Times New Roman"/>
          <w:b/>
          <w:bCs/>
          <w:sz w:val="20"/>
          <w:szCs w:val="20"/>
        </w:rPr>
      </w:pPr>
      <w:r w:rsidRPr="00D3587C">
        <w:rPr>
          <w:rFonts w:cs="Times New Roman"/>
          <w:b/>
          <w:bCs/>
          <w:sz w:val="20"/>
          <w:szCs w:val="20"/>
        </w:rPr>
        <w:t>IT IS HEREBY FURTHER ORDERED THAT:</w:t>
      </w:r>
    </w:p>
    <w:p w:rsidR="00D3587C" w:rsidRPr="00D3587C" w:rsidRDefault="00D3587C" w:rsidP="00D3587C">
      <w:pPr>
        <w:rPr>
          <w:rFonts w:cs="Times New Roman"/>
          <w:b/>
          <w:bCs/>
          <w:sz w:val="20"/>
          <w:szCs w:val="20"/>
        </w:rPr>
      </w:pPr>
    </w:p>
    <w:p w:rsidR="00D3587C" w:rsidRPr="00D3587C" w:rsidRDefault="00D3587C" w:rsidP="00D3587C">
      <w:pPr>
        <w:spacing w:line="228" w:lineRule="auto"/>
        <w:rPr>
          <w:rFonts w:cs="Times New Roman"/>
          <w:sz w:val="20"/>
          <w:szCs w:val="20"/>
        </w:rPr>
      </w:pPr>
      <w:r w:rsidRPr="00D3587C">
        <w:rPr>
          <w:rFonts w:cs="Times New Roman"/>
          <w:sz w:val="20"/>
          <w:szCs w:val="20"/>
        </w:rPr>
        <w:t>The Attorney General of Canada, the Attorney General of Ontario, the Attorney General of British Columbia, the Attorney General of Saskatchewan and the Minister of Justice and Solicitor General of Alberta are each granted permission to present oral argument not exceeding five (5) minutes at the hearing of the appeal.</w:t>
      </w:r>
    </w:p>
    <w:p w:rsidR="00D3587C" w:rsidRPr="00D3587C" w:rsidRDefault="00D3587C" w:rsidP="00D3587C">
      <w:pPr>
        <w:rPr>
          <w:rFonts w:cs="Times New Roman"/>
          <w:sz w:val="20"/>
          <w:szCs w:val="20"/>
        </w:rPr>
      </w:pPr>
    </w:p>
    <w:p w:rsidR="00D3587C" w:rsidRPr="00D3587C" w:rsidRDefault="00D3587C" w:rsidP="00D3587C">
      <w:pPr>
        <w:rPr>
          <w:rFonts w:cs="Times New Roman"/>
          <w:b/>
          <w:sz w:val="20"/>
          <w:szCs w:val="20"/>
          <w:lang w:val="en-US"/>
        </w:rPr>
      </w:pPr>
    </w:p>
    <w:p w:rsidR="00253FFA" w:rsidRPr="00A4728F" w:rsidRDefault="00253FFA" w:rsidP="00D3587C">
      <w:pPr>
        <w:rPr>
          <w:rFonts w:cs="Times New Roman"/>
          <w:b/>
          <w:sz w:val="20"/>
          <w:szCs w:val="20"/>
          <w:lang w:val="en-US"/>
        </w:rPr>
      </w:pPr>
    </w:p>
    <w:p w:rsidR="00D3587C" w:rsidRPr="00D3587C" w:rsidRDefault="00D3587C" w:rsidP="00D3587C">
      <w:pPr>
        <w:rPr>
          <w:rFonts w:cs="Times New Roman"/>
          <w:sz w:val="20"/>
          <w:szCs w:val="20"/>
          <w:lang w:val="fr-CA"/>
        </w:rPr>
      </w:pPr>
      <w:r w:rsidRPr="00D3587C">
        <w:rPr>
          <w:rFonts w:cs="Times New Roman"/>
          <w:b/>
          <w:sz w:val="20"/>
          <w:szCs w:val="20"/>
          <w:lang w:val="fr-CA"/>
        </w:rPr>
        <w:t>À LA SUITE DES DEMANDES</w:t>
      </w:r>
      <w:r w:rsidRPr="00D3587C">
        <w:rPr>
          <w:rFonts w:cs="Times New Roman"/>
          <w:sz w:val="20"/>
          <w:szCs w:val="20"/>
          <w:lang w:val="fr-CA"/>
        </w:rPr>
        <w:t xml:space="preserve"> présentées par l’</w:t>
      </w:r>
      <w:proofErr w:type="spellStart"/>
      <w:r w:rsidRPr="00D3587C">
        <w:rPr>
          <w:rFonts w:cs="Times New Roman"/>
          <w:sz w:val="20"/>
          <w:szCs w:val="20"/>
          <w:lang w:val="fr-CA"/>
        </w:rPr>
        <w:t>Ecojustice</w:t>
      </w:r>
      <w:proofErr w:type="spellEnd"/>
      <w:r w:rsidRPr="00D3587C">
        <w:rPr>
          <w:rFonts w:cs="Times New Roman"/>
          <w:sz w:val="20"/>
          <w:szCs w:val="20"/>
          <w:lang w:val="fr-CA"/>
        </w:rPr>
        <w:t xml:space="preserve"> Canada Society, l’Association canadienne des producteurs pétroliers, Greenpeace Canada, l’Action Surface </w:t>
      </w:r>
      <w:proofErr w:type="spellStart"/>
      <w:r w:rsidRPr="00D3587C">
        <w:rPr>
          <w:rFonts w:cs="Times New Roman"/>
          <w:sz w:val="20"/>
          <w:szCs w:val="20"/>
          <w:lang w:val="fr-CA"/>
        </w:rPr>
        <w:t>Rights</w:t>
      </w:r>
      <w:proofErr w:type="spellEnd"/>
      <w:r w:rsidRPr="00D3587C">
        <w:rPr>
          <w:rFonts w:cs="Times New Roman"/>
          <w:sz w:val="20"/>
          <w:szCs w:val="20"/>
          <w:lang w:val="fr-CA"/>
        </w:rPr>
        <w:t xml:space="preserve"> Association, l’Association canadienne des professionnels de l’insolvabilité et de la réorganisation et l’Association de banquiers canadiens en autorisation d’intervenir dans l’appel;</w:t>
      </w:r>
    </w:p>
    <w:p w:rsidR="00D3587C" w:rsidRPr="00D3587C" w:rsidRDefault="00D3587C" w:rsidP="00D3587C">
      <w:pPr>
        <w:rPr>
          <w:rFonts w:cs="Times New Roman"/>
          <w:sz w:val="20"/>
          <w:szCs w:val="20"/>
          <w:lang w:val="fr-CA"/>
        </w:rPr>
      </w:pPr>
    </w:p>
    <w:p w:rsidR="00D3587C" w:rsidRPr="00D3587C" w:rsidRDefault="00D3587C" w:rsidP="00D3587C">
      <w:pPr>
        <w:rPr>
          <w:rFonts w:cs="Times New Roman"/>
          <w:sz w:val="20"/>
          <w:szCs w:val="20"/>
          <w:lang w:val="fr-CA"/>
        </w:rPr>
      </w:pPr>
      <w:r w:rsidRPr="00D3587C">
        <w:rPr>
          <w:rFonts w:cs="Times New Roman"/>
          <w:b/>
          <w:sz w:val="20"/>
          <w:szCs w:val="20"/>
          <w:lang w:val="fr-CA"/>
        </w:rPr>
        <w:t>ET APRÈS EXAMEN</w:t>
      </w:r>
      <w:r w:rsidRPr="00D3587C">
        <w:rPr>
          <w:rFonts w:cs="Times New Roman"/>
          <w:sz w:val="20"/>
          <w:szCs w:val="20"/>
          <w:lang w:val="fr-CA"/>
        </w:rPr>
        <w:t xml:space="preserve"> des documents déposés;</w:t>
      </w:r>
    </w:p>
    <w:p w:rsidR="00D3587C" w:rsidRPr="00D3587C" w:rsidRDefault="00D3587C" w:rsidP="00D3587C">
      <w:pPr>
        <w:rPr>
          <w:rFonts w:cs="Times New Roman"/>
          <w:sz w:val="20"/>
          <w:szCs w:val="20"/>
          <w:lang w:val="fr-CA"/>
        </w:rPr>
      </w:pPr>
    </w:p>
    <w:p w:rsidR="00D3587C" w:rsidRPr="00D3587C" w:rsidRDefault="00D3587C" w:rsidP="00D3587C">
      <w:pPr>
        <w:rPr>
          <w:rFonts w:cs="Times New Roman"/>
          <w:b/>
          <w:sz w:val="20"/>
          <w:szCs w:val="20"/>
          <w:lang w:val="fr-CA"/>
        </w:rPr>
      </w:pPr>
      <w:r w:rsidRPr="00D3587C">
        <w:rPr>
          <w:rFonts w:cs="Times New Roman"/>
          <w:b/>
          <w:sz w:val="20"/>
          <w:szCs w:val="20"/>
          <w:lang w:val="fr-CA"/>
        </w:rPr>
        <w:t>IL EST ORDONNÉ CE QUI SUIT :</w:t>
      </w:r>
    </w:p>
    <w:p w:rsidR="00D3587C" w:rsidRPr="00D3587C" w:rsidRDefault="00D3587C" w:rsidP="00D3587C">
      <w:pPr>
        <w:rPr>
          <w:rFonts w:cs="Times New Roman"/>
          <w:sz w:val="20"/>
          <w:szCs w:val="20"/>
          <w:lang w:val="fr-CA"/>
        </w:rPr>
      </w:pPr>
    </w:p>
    <w:p w:rsidR="00D3587C" w:rsidRPr="00D3587C" w:rsidRDefault="00D3587C" w:rsidP="00D3587C">
      <w:pPr>
        <w:spacing w:line="233" w:lineRule="auto"/>
        <w:rPr>
          <w:rFonts w:cs="Times New Roman"/>
          <w:sz w:val="20"/>
          <w:szCs w:val="20"/>
          <w:lang w:val="fr-CA"/>
        </w:rPr>
      </w:pPr>
      <w:r w:rsidRPr="00D3587C">
        <w:rPr>
          <w:rFonts w:cs="Times New Roman"/>
          <w:sz w:val="20"/>
          <w:szCs w:val="20"/>
          <w:lang w:val="fr-CA"/>
        </w:rPr>
        <w:t xml:space="preserve">Les requêtes en autorisation d’intervenir sont accueillies et les six (6) intervenants sont chacun autorisés à signifier et à déposer un mémoire d’au plus dix (10) pages au plus tard le 5 février 2018. </w:t>
      </w:r>
    </w:p>
    <w:p w:rsidR="00D3587C" w:rsidRPr="00D3587C" w:rsidRDefault="00D3587C" w:rsidP="00D3587C">
      <w:pPr>
        <w:spacing w:line="233" w:lineRule="auto"/>
        <w:rPr>
          <w:rFonts w:cs="Times New Roman"/>
          <w:sz w:val="20"/>
          <w:szCs w:val="20"/>
          <w:lang w:val="fr-CA"/>
        </w:rPr>
      </w:pPr>
    </w:p>
    <w:p w:rsidR="00D3587C" w:rsidRPr="00D3587C" w:rsidRDefault="00D3587C" w:rsidP="00D3587C">
      <w:pPr>
        <w:spacing w:line="233" w:lineRule="auto"/>
        <w:rPr>
          <w:rFonts w:cs="Times New Roman"/>
          <w:sz w:val="20"/>
          <w:szCs w:val="20"/>
          <w:lang w:val="fr-CA"/>
        </w:rPr>
      </w:pPr>
      <w:r w:rsidRPr="00D3587C">
        <w:rPr>
          <w:rFonts w:cs="Times New Roman"/>
          <w:sz w:val="20"/>
          <w:szCs w:val="20"/>
          <w:lang w:val="fr-CA"/>
        </w:rPr>
        <w:t>Les six (6) intervenants sont chacun autorisés à présenter une plaidoirie orale d’au plus cinq (5) minutes à l’audition de l’appel.</w:t>
      </w:r>
    </w:p>
    <w:p w:rsidR="00D3587C" w:rsidRPr="00D3587C" w:rsidRDefault="00D3587C" w:rsidP="00D3587C">
      <w:pPr>
        <w:spacing w:line="233" w:lineRule="auto"/>
        <w:rPr>
          <w:rFonts w:cs="Times New Roman"/>
          <w:sz w:val="20"/>
          <w:szCs w:val="20"/>
          <w:lang w:val="fr-CA"/>
        </w:rPr>
      </w:pPr>
    </w:p>
    <w:p w:rsidR="00D3587C" w:rsidRPr="00743E0D" w:rsidRDefault="00D3587C" w:rsidP="00D3587C">
      <w:pPr>
        <w:rPr>
          <w:rFonts w:cs="Times New Roman"/>
          <w:sz w:val="20"/>
          <w:szCs w:val="20"/>
          <w:lang w:val="fr-CA"/>
        </w:rPr>
      </w:pPr>
      <w:r w:rsidRPr="00743E0D">
        <w:rPr>
          <w:rFonts w:cs="Times New Roman"/>
          <w:sz w:val="20"/>
          <w:szCs w:val="20"/>
          <w:lang w:val="fr-CA"/>
        </w:rPr>
        <w:t>Les intervenants n'ont pas le droit de soulever de nouvelles questions, de produire d'autres éléments de preuve ni de compléter de quelque autre façon le dossier des parties.</w:t>
      </w:r>
    </w:p>
    <w:p w:rsidR="00D3587C" w:rsidRPr="00743E0D" w:rsidRDefault="00D3587C" w:rsidP="00D3587C">
      <w:pPr>
        <w:rPr>
          <w:rFonts w:cs="Times New Roman"/>
          <w:sz w:val="20"/>
          <w:szCs w:val="20"/>
          <w:lang w:val="fr-CA"/>
        </w:rPr>
      </w:pPr>
    </w:p>
    <w:p w:rsidR="00D3587C" w:rsidRPr="00D3587C" w:rsidRDefault="00D3587C" w:rsidP="00D3587C">
      <w:pPr>
        <w:rPr>
          <w:rFonts w:cs="Times New Roman"/>
          <w:sz w:val="20"/>
          <w:szCs w:val="20"/>
          <w:lang w:val="fr-CA"/>
        </w:rPr>
      </w:pPr>
      <w:r w:rsidRPr="00D3587C">
        <w:rPr>
          <w:rFonts w:cs="Times New Roman"/>
          <w:sz w:val="20"/>
          <w:szCs w:val="20"/>
          <w:lang w:val="fr-CA"/>
        </w:rPr>
        <w:t>Conformément à l'alinéa 59(1)</w:t>
      </w:r>
      <w:r w:rsidRPr="00D3587C">
        <w:rPr>
          <w:rFonts w:cs="Times New Roman"/>
          <w:i/>
          <w:sz w:val="20"/>
          <w:szCs w:val="20"/>
          <w:lang w:val="fr-CA"/>
        </w:rPr>
        <w:t>a</w:t>
      </w:r>
      <w:r w:rsidRPr="00D3587C">
        <w:rPr>
          <w:rFonts w:cs="Times New Roman"/>
          <w:sz w:val="20"/>
          <w:szCs w:val="20"/>
          <w:lang w:val="fr-CA"/>
        </w:rPr>
        <w:t xml:space="preserve">) des </w:t>
      </w:r>
      <w:r w:rsidRPr="00D3587C">
        <w:rPr>
          <w:rFonts w:cs="Times New Roman"/>
          <w:i/>
          <w:sz w:val="20"/>
          <w:szCs w:val="20"/>
          <w:lang w:val="fr-CA"/>
        </w:rPr>
        <w:t>Règles de la Cour suprême du Canada</w:t>
      </w:r>
      <w:r w:rsidRPr="00D3587C">
        <w:rPr>
          <w:rFonts w:cs="Times New Roman"/>
          <w:sz w:val="20"/>
          <w:szCs w:val="20"/>
          <w:lang w:val="fr-CA"/>
        </w:rPr>
        <w:t>, les intervenants paieront aux appelants et aux intimées tous débours supplémentaires résultant de leur intervention.</w:t>
      </w:r>
    </w:p>
    <w:p w:rsidR="00D3587C" w:rsidRPr="00D3587C" w:rsidRDefault="00D3587C" w:rsidP="00D3587C">
      <w:pPr>
        <w:spacing w:line="233" w:lineRule="auto"/>
        <w:rPr>
          <w:rFonts w:cs="Times New Roman"/>
          <w:sz w:val="20"/>
          <w:szCs w:val="20"/>
          <w:lang w:val="fr-CA"/>
        </w:rPr>
      </w:pPr>
    </w:p>
    <w:p w:rsidR="00D3587C" w:rsidRPr="00D3587C" w:rsidRDefault="00D3587C" w:rsidP="00D3587C">
      <w:pPr>
        <w:spacing w:line="233" w:lineRule="auto"/>
        <w:rPr>
          <w:rFonts w:cs="Times New Roman"/>
          <w:sz w:val="20"/>
          <w:szCs w:val="20"/>
          <w:lang w:val="fr-CA"/>
        </w:rPr>
      </w:pPr>
      <w:r w:rsidRPr="00D3587C">
        <w:rPr>
          <w:rFonts w:cs="Times New Roman"/>
          <w:sz w:val="20"/>
          <w:szCs w:val="20"/>
          <w:lang w:val="fr-CA"/>
        </w:rPr>
        <w:t xml:space="preserve">La demande de </w:t>
      </w:r>
      <w:r w:rsidRPr="00D3587C">
        <w:rPr>
          <w:rFonts w:cs="Times New Roman"/>
          <w:sz w:val="20"/>
          <w:szCs w:val="20"/>
          <w:lang w:val="fr-CA" w:eastAsia="fr-FR"/>
        </w:rPr>
        <w:t xml:space="preserve">Grant Thornton Limited et d’Alberta </w:t>
      </w:r>
      <w:proofErr w:type="spellStart"/>
      <w:r w:rsidRPr="00D3587C">
        <w:rPr>
          <w:rFonts w:cs="Times New Roman"/>
          <w:sz w:val="20"/>
          <w:szCs w:val="20"/>
          <w:lang w:val="fr-CA" w:eastAsia="fr-FR"/>
        </w:rPr>
        <w:t>Treasury</w:t>
      </w:r>
      <w:proofErr w:type="spellEnd"/>
      <w:r w:rsidRPr="00D3587C">
        <w:rPr>
          <w:rFonts w:cs="Times New Roman"/>
          <w:sz w:val="20"/>
          <w:szCs w:val="20"/>
          <w:lang w:val="fr-CA" w:eastAsia="fr-FR"/>
        </w:rPr>
        <w:t xml:space="preserve"> Branches</w:t>
      </w:r>
      <w:r w:rsidRPr="00D3587C">
        <w:rPr>
          <w:rFonts w:cs="Times New Roman"/>
          <w:sz w:val="20"/>
          <w:szCs w:val="20"/>
          <w:lang w:val="fr-CA"/>
        </w:rPr>
        <w:t xml:space="preserve"> pour être autorisées à signifier et à déposer conjointement un mémoire en réplique est rejetée.</w:t>
      </w:r>
    </w:p>
    <w:p w:rsidR="00D3587C" w:rsidRPr="00D3587C" w:rsidRDefault="00D3587C" w:rsidP="00D3587C">
      <w:pPr>
        <w:spacing w:line="233" w:lineRule="auto"/>
        <w:rPr>
          <w:rFonts w:cs="Times New Roman"/>
          <w:sz w:val="20"/>
          <w:szCs w:val="20"/>
          <w:lang w:val="fr-CA"/>
        </w:rPr>
      </w:pPr>
    </w:p>
    <w:p w:rsidR="00D3587C" w:rsidRPr="00D3587C" w:rsidRDefault="00D3587C" w:rsidP="00D3587C">
      <w:pPr>
        <w:rPr>
          <w:rFonts w:cs="Times New Roman"/>
          <w:b/>
          <w:sz w:val="20"/>
          <w:szCs w:val="20"/>
          <w:lang w:val="fr-CA"/>
        </w:rPr>
      </w:pPr>
      <w:r w:rsidRPr="00D3587C">
        <w:rPr>
          <w:rFonts w:cs="Times New Roman"/>
          <w:b/>
          <w:sz w:val="20"/>
          <w:szCs w:val="20"/>
          <w:lang w:val="fr-CA"/>
        </w:rPr>
        <w:t>IL EST EN OUTRE ORDONNÉ CE QUI SUIT :</w:t>
      </w:r>
    </w:p>
    <w:p w:rsidR="00D3587C" w:rsidRPr="00D3587C" w:rsidRDefault="00D3587C" w:rsidP="00D3587C">
      <w:pPr>
        <w:rPr>
          <w:rFonts w:cs="Times New Roman"/>
          <w:sz w:val="20"/>
          <w:szCs w:val="20"/>
          <w:lang w:val="fr-CA"/>
        </w:rPr>
      </w:pPr>
    </w:p>
    <w:p w:rsidR="00D3587C" w:rsidRPr="00D3587C" w:rsidRDefault="00D3587C" w:rsidP="00D3587C">
      <w:pPr>
        <w:spacing w:line="228" w:lineRule="auto"/>
        <w:rPr>
          <w:rFonts w:cs="Times New Roman"/>
          <w:sz w:val="20"/>
          <w:szCs w:val="20"/>
          <w:lang w:val="fr-CA"/>
        </w:rPr>
      </w:pPr>
      <w:r w:rsidRPr="00D3587C">
        <w:rPr>
          <w:rFonts w:cs="Times New Roman"/>
          <w:sz w:val="20"/>
          <w:szCs w:val="20"/>
          <w:lang w:val="fr-CA"/>
        </w:rPr>
        <w:t>Le procureur général du Canada, le procureur général de l’Ontario, le procureur général de la Colombie-Britannique, le procureur général de la Saskatchewan et le ministre de la Justice et solliciteur général de l’Alberta sont chacun autorisés à présenter une plaidoirie orale d’au plus cinq (5) minutes lors de l’audition de l’appel.</w:t>
      </w:r>
    </w:p>
    <w:p w:rsidR="00D3587C" w:rsidRPr="00012FDB" w:rsidRDefault="00D3587C" w:rsidP="00183454">
      <w:pPr>
        <w:tabs>
          <w:tab w:val="left" w:pos="-1440"/>
          <w:tab w:val="left" w:pos="-720"/>
        </w:tabs>
        <w:jc w:val="both"/>
        <w:rPr>
          <w:rFonts w:eastAsia="Times New Roman" w:cs="Times New Roman"/>
          <w:sz w:val="20"/>
          <w:szCs w:val="20"/>
          <w:lang w:val="fr-CA" w:eastAsia="en-CA"/>
        </w:rPr>
      </w:pPr>
    </w:p>
    <w:p w:rsidR="00183454" w:rsidRPr="00012FDB" w:rsidRDefault="00183454" w:rsidP="00183454">
      <w:pPr>
        <w:tabs>
          <w:tab w:val="left" w:pos="-1440"/>
          <w:tab w:val="left" w:pos="-720"/>
        </w:tabs>
        <w:jc w:val="both"/>
        <w:rPr>
          <w:rFonts w:eastAsia="Times New Roman" w:cs="Times New Roman"/>
          <w:sz w:val="20"/>
          <w:szCs w:val="20"/>
          <w:lang w:val="fr-CA" w:eastAsia="en-CA"/>
        </w:rPr>
      </w:pPr>
    </w:p>
    <w:p w:rsidR="00CA2DEA" w:rsidRPr="006E5D7C" w:rsidRDefault="009C02F9"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34" style="width:2in;height:1pt" o:hrpct="0" o:hralign="center" o:hrstd="t" o:hrnoshade="t" o:hr="t" fillcolor="black [3213]" stroked="f"/>
        </w:pict>
      </w:r>
    </w:p>
    <w:p w:rsidR="00CA2DEA" w:rsidRPr="006E5D7C" w:rsidRDefault="00CA2DEA" w:rsidP="00CA2DEA">
      <w:pPr>
        <w:widowControl w:val="0"/>
        <w:rPr>
          <w:rFonts w:eastAsia="Times New Roman" w:cs="Times New Roman"/>
          <w:sz w:val="20"/>
          <w:szCs w:val="20"/>
          <w:lang w:val="en-US" w:eastAsia="en-CA"/>
        </w:rPr>
      </w:pPr>
    </w:p>
    <w:p w:rsidR="00D8108F" w:rsidRDefault="00D8108F">
      <w:pPr>
        <w:rPr>
          <w:sz w:val="20"/>
          <w:szCs w:val="20"/>
          <w:lang w:val="fr-CA"/>
        </w:rPr>
      </w:pPr>
      <w:r>
        <w:rPr>
          <w:sz w:val="20"/>
          <w:szCs w:val="20"/>
          <w:lang w:val="fr-CA"/>
        </w:rPr>
        <w:br w:type="page"/>
      </w:r>
    </w:p>
    <w:p w:rsidR="00D8108F" w:rsidRPr="00D8108F" w:rsidRDefault="00D8108F" w:rsidP="00D8108F">
      <w:pPr>
        <w:tabs>
          <w:tab w:val="left" w:pos="-1440"/>
          <w:tab w:val="left" w:pos="-720"/>
        </w:tabs>
        <w:jc w:val="both"/>
        <w:rPr>
          <w:rFonts w:eastAsia="Times New Roman" w:cs="Times New Roman"/>
          <w:sz w:val="20"/>
          <w:szCs w:val="20"/>
          <w:lang w:val="en-US" w:eastAsia="en-CA"/>
        </w:rPr>
      </w:pPr>
      <w:r w:rsidRPr="00D8108F">
        <w:rPr>
          <w:rFonts w:eastAsia="Times New Roman" w:cs="Times New Roman"/>
          <w:sz w:val="20"/>
          <w:szCs w:val="20"/>
          <w:lang w:val="en-US" w:eastAsia="en-CA"/>
        </w:rPr>
        <w:lastRenderedPageBreak/>
        <w:t>16.01.2018</w:t>
      </w:r>
    </w:p>
    <w:p w:rsidR="00D8108F" w:rsidRPr="00D8108F" w:rsidRDefault="00D8108F" w:rsidP="00D8108F">
      <w:pPr>
        <w:tabs>
          <w:tab w:val="left" w:pos="-1440"/>
          <w:tab w:val="left" w:pos="-720"/>
        </w:tabs>
        <w:jc w:val="both"/>
        <w:rPr>
          <w:rFonts w:eastAsia="Times New Roman" w:cs="Times New Roman"/>
          <w:sz w:val="20"/>
          <w:szCs w:val="20"/>
          <w:lang w:val="en-US" w:eastAsia="en-CA"/>
        </w:rPr>
      </w:pPr>
    </w:p>
    <w:p w:rsidR="00D8108F" w:rsidRPr="00D8108F" w:rsidRDefault="00D8108F" w:rsidP="00D8108F">
      <w:pPr>
        <w:rPr>
          <w:rFonts w:eastAsia="Times New Roman" w:cs="Times New Roman"/>
          <w:sz w:val="20"/>
          <w:szCs w:val="20"/>
          <w:lang w:val="en-US" w:eastAsia="en-CA"/>
        </w:rPr>
      </w:pPr>
      <w:r w:rsidRPr="00D8108F">
        <w:rPr>
          <w:rFonts w:eastAsia="Times New Roman" w:cs="Times New Roman"/>
          <w:sz w:val="20"/>
          <w:szCs w:val="20"/>
          <w:lang w:val="en-US" w:eastAsia="en-CA"/>
        </w:rPr>
        <w:t xml:space="preserve">Before / </w:t>
      </w:r>
      <w:proofErr w:type="spellStart"/>
      <w:r w:rsidRPr="00D8108F">
        <w:rPr>
          <w:rFonts w:eastAsia="Times New Roman" w:cs="Times New Roman"/>
          <w:sz w:val="20"/>
          <w:szCs w:val="20"/>
          <w:lang w:val="en-US" w:eastAsia="en-CA"/>
        </w:rPr>
        <w:t>Devant</w:t>
      </w:r>
      <w:proofErr w:type="spellEnd"/>
      <w:r w:rsidRPr="00D8108F">
        <w:rPr>
          <w:rFonts w:eastAsia="Times New Roman" w:cs="Times New Roman"/>
          <w:sz w:val="20"/>
          <w:szCs w:val="20"/>
          <w:lang w:val="en-US" w:eastAsia="en-CA"/>
        </w:rPr>
        <w:t>:   ABELLA, MOLDAVER, KARAKATSANIS, GASCON AND BROWN JJ.</w:t>
      </w:r>
    </w:p>
    <w:p w:rsidR="00D8108F" w:rsidRPr="00D8108F" w:rsidRDefault="00D8108F" w:rsidP="00D8108F">
      <w:pPr>
        <w:tabs>
          <w:tab w:val="left" w:pos="-1440"/>
          <w:tab w:val="left" w:pos="-720"/>
        </w:tabs>
        <w:jc w:val="both"/>
        <w:rPr>
          <w:rFonts w:eastAsia="Times New Roman" w:cs="Times New Roman"/>
          <w:sz w:val="20"/>
          <w:szCs w:val="20"/>
          <w:lang w:val="en-US"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1143"/>
        <w:gridCol w:w="4231"/>
      </w:tblGrid>
      <w:tr w:rsidR="00D8108F" w:rsidRPr="009C02F9" w:rsidTr="00A83A35">
        <w:tc>
          <w:tcPr>
            <w:tcW w:w="4245" w:type="dxa"/>
          </w:tcPr>
          <w:p w:rsidR="00D8108F" w:rsidRPr="00B52E84" w:rsidRDefault="00D8108F" w:rsidP="00D8108F">
            <w:pPr>
              <w:jc w:val="both"/>
              <w:rPr>
                <w:b/>
                <w:bCs/>
              </w:rPr>
            </w:pPr>
            <w:r w:rsidRPr="00D12F79">
              <w:rPr>
                <w:b/>
                <w:bCs/>
              </w:rPr>
              <w:t>Motion to amend a judgment</w:t>
            </w:r>
          </w:p>
        </w:tc>
        <w:tc>
          <w:tcPr>
            <w:tcW w:w="1143" w:type="dxa"/>
          </w:tcPr>
          <w:p w:rsidR="00D8108F" w:rsidRPr="000A2FBF" w:rsidRDefault="00D8108F" w:rsidP="00D8108F">
            <w:pPr>
              <w:tabs>
                <w:tab w:val="left" w:pos="-1440"/>
                <w:tab w:val="left" w:pos="-720"/>
              </w:tabs>
              <w:jc w:val="both"/>
            </w:pPr>
          </w:p>
          <w:p w:rsidR="00D8108F" w:rsidRPr="000A2FBF" w:rsidRDefault="00D8108F" w:rsidP="00D8108F">
            <w:pPr>
              <w:tabs>
                <w:tab w:val="left" w:pos="-1440"/>
                <w:tab w:val="left" w:pos="-720"/>
              </w:tabs>
              <w:jc w:val="both"/>
            </w:pPr>
          </w:p>
        </w:tc>
        <w:tc>
          <w:tcPr>
            <w:tcW w:w="4231" w:type="dxa"/>
          </w:tcPr>
          <w:p w:rsidR="00D8108F" w:rsidRPr="00B52E84" w:rsidRDefault="00D8108F" w:rsidP="00D8108F">
            <w:pPr>
              <w:jc w:val="both"/>
              <w:rPr>
                <w:b/>
                <w:bCs/>
                <w:lang w:val="fr-CA"/>
              </w:rPr>
            </w:pPr>
            <w:r w:rsidRPr="00D12F79">
              <w:rPr>
                <w:b/>
                <w:bCs/>
                <w:lang w:val="fr-CA"/>
              </w:rPr>
              <w:t>Requête en modification de jugement</w:t>
            </w:r>
          </w:p>
        </w:tc>
      </w:tr>
      <w:tr w:rsidR="00D8108F" w:rsidRPr="000A2FBF" w:rsidTr="00A83A35">
        <w:tc>
          <w:tcPr>
            <w:tcW w:w="4245" w:type="dxa"/>
          </w:tcPr>
          <w:p w:rsidR="00D8108F" w:rsidRPr="000A2FBF" w:rsidRDefault="00D8108F" w:rsidP="00A83A35">
            <w:pPr>
              <w:tabs>
                <w:tab w:val="left" w:pos="-1440"/>
                <w:tab w:val="left" w:pos="-720"/>
              </w:tabs>
              <w:jc w:val="both"/>
              <w:rPr>
                <w:lang w:val="en-US"/>
              </w:rPr>
            </w:pPr>
            <w:proofErr w:type="spellStart"/>
            <w:r>
              <w:rPr>
                <w:lang w:val="en-US"/>
              </w:rPr>
              <w:t>Teva</w:t>
            </w:r>
            <w:proofErr w:type="spellEnd"/>
            <w:r>
              <w:rPr>
                <w:lang w:val="en-US"/>
              </w:rPr>
              <w:t xml:space="preserve"> Canada Limited</w:t>
            </w:r>
          </w:p>
          <w:p w:rsidR="00D8108F" w:rsidRPr="000A2FBF" w:rsidRDefault="00D8108F" w:rsidP="00A83A35">
            <w:pPr>
              <w:tabs>
                <w:tab w:val="left" w:pos="-1440"/>
                <w:tab w:val="left" w:pos="-720"/>
              </w:tabs>
              <w:jc w:val="both"/>
              <w:rPr>
                <w:lang w:val="en-US"/>
              </w:rPr>
            </w:pPr>
          </w:p>
          <w:p w:rsidR="00D8108F" w:rsidRPr="00D8108F" w:rsidRDefault="00D8108F" w:rsidP="00A83A35">
            <w:pPr>
              <w:tabs>
                <w:tab w:val="left" w:pos="-1440"/>
                <w:tab w:val="left" w:pos="-720"/>
              </w:tabs>
              <w:jc w:val="both"/>
              <w:rPr>
                <w:lang w:val="en-US"/>
              </w:rPr>
            </w:pPr>
            <w:r w:rsidRPr="000A2FBF">
              <w:rPr>
                <w:lang w:val="en-US"/>
              </w:rPr>
              <w:tab/>
            </w:r>
            <w:r w:rsidRPr="00D8108F">
              <w:rPr>
                <w:lang w:val="en-US"/>
              </w:rPr>
              <w:t>v. (36918)</w:t>
            </w:r>
          </w:p>
          <w:p w:rsidR="00D8108F" w:rsidRPr="00D8108F" w:rsidRDefault="00D8108F" w:rsidP="00A83A35">
            <w:pPr>
              <w:tabs>
                <w:tab w:val="left" w:pos="-1440"/>
                <w:tab w:val="left" w:pos="-720"/>
              </w:tabs>
              <w:jc w:val="both"/>
              <w:rPr>
                <w:lang w:val="en-US"/>
              </w:rPr>
            </w:pPr>
          </w:p>
          <w:p w:rsidR="00D8108F" w:rsidRPr="00D8108F" w:rsidRDefault="00D8108F" w:rsidP="00D8108F">
            <w:pPr>
              <w:tabs>
                <w:tab w:val="left" w:pos="-1440"/>
                <w:tab w:val="left" w:pos="-720"/>
              </w:tabs>
              <w:jc w:val="both"/>
              <w:rPr>
                <w:lang w:val="en-US"/>
              </w:rPr>
            </w:pPr>
            <w:r>
              <w:rPr>
                <w:lang w:val="en-US"/>
              </w:rPr>
              <w:t>TD Canada Trust and Bank of Nova Scotia</w:t>
            </w:r>
            <w:r w:rsidRPr="00D8108F">
              <w:rPr>
                <w:lang w:val="en-US"/>
              </w:rPr>
              <w:t xml:space="preserve"> (</w:t>
            </w:r>
            <w:r>
              <w:rPr>
                <w:lang w:val="en-US"/>
              </w:rPr>
              <w:t>Ont</w:t>
            </w:r>
            <w:r w:rsidRPr="00D8108F">
              <w:rPr>
                <w:lang w:val="en-US"/>
              </w:rPr>
              <w:t>.)</w:t>
            </w:r>
          </w:p>
        </w:tc>
        <w:tc>
          <w:tcPr>
            <w:tcW w:w="1143" w:type="dxa"/>
          </w:tcPr>
          <w:p w:rsidR="00D8108F" w:rsidRPr="00D8108F" w:rsidRDefault="00D8108F" w:rsidP="00A83A35">
            <w:pPr>
              <w:tabs>
                <w:tab w:val="left" w:pos="-1440"/>
                <w:tab w:val="left" w:pos="-720"/>
              </w:tabs>
              <w:jc w:val="both"/>
              <w:rPr>
                <w:lang w:val="en-US"/>
              </w:rPr>
            </w:pPr>
          </w:p>
        </w:tc>
        <w:tc>
          <w:tcPr>
            <w:tcW w:w="4231" w:type="dxa"/>
          </w:tcPr>
          <w:p w:rsidR="00D8108F" w:rsidRPr="00D8108F" w:rsidRDefault="00D8108F" w:rsidP="00A83A35">
            <w:pPr>
              <w:tabs>
                <w:tab w:val="left" w:pos="-1440"/>
                <w:tab w:val="left" w:pos="-720"/>
              </w:tabs>
              <w:jc w:val="both"/>
              <w:rPr>
                <w:lang w:val="en-US"/>
              </w:rPr>
            </w:pPr>
          </w:p>
        </w:tc>
      </w:tr>
    </w:tbl>
    <w:p w:rsidR="00CA2DEA" w:rsidRDefault="00CA2DEA" w:rsidP="0010587F">
      <w:pPr>
        <w:tabs>
          <w:tab w:val="left" w:pos="-1440"/>
          <w:tab w:val="left" w:pos="-720"/>
        </w:tabs>
        <w:jc w:val="both"/>
        <w:rPr>
          <w:sz w:val="20"/>
          <w:szCs w:val="20"/>
          <w:lang w:val="en-US"/>
        </w:rPr>
      </w:pPr>
    </w:p>
    <w:p w:rsidR="00D8108F" w:rsidRPr="00A4728F" w:rsidRDefault="00D8108F" w:rsidP="00D8108F">
      <w:pPr>
        <w:tabs>
          <w:tab w:val="left" w:pos="-1440"/>
          <w:tab w:val="left" w:pos="-720"/>
        </w:tabs>
        <w:jc w:val="both"/>
        <w:rPr>
          <w:rFonts w:eastAsia="Times New Roman" w:cs="Times New Roman"/>
          <w:b/>
          <w:sz w:val="20"/>
          <w:szCs w:val="20"/>
          <w:lang w:val="en-US" w:eastAsia="en-CA"/>
        </w:rPr>
      </w:pPr>
      <w:r w:rsidRPr="00A4728F">
        <w:rPr>
          <w:rFonts w:eastAsia="Times New Roman" w:cs="Times New Roman"/>
          <w:b/>
          <w:sz w:val="20"/>
          <w:szCs w:val="20"/>
          <w:lang w:val="en-US" w:eastAsia="en-CA"/>
        </w:rPr>
        <w:t>DISMISSED / REJETÉE</w:t>
      </w:r>
    </w:p>
    <w:p w:rsidR="00D8108F" w:rsidRDefault="00D8108F" w:rsidP="00D8108F">
      <w:pPr>
        <w:spacing w:line="233" w:lineRule="auto"/>
        <w:jc w:val="both"/>
        <w:rPr>
          <w:rFonts w:cs="Times New Roman"/>
          <w:b/>
          <w:sz w:val="20"/>
          <w:szCs w:val="24"/>
        </w:rPr>
      </w:pPr>
    </w:p>
    <w:p w:rsidR="00D8108F" w:rsidRDefault="00D8108F" w:rsidP="00D8108F">
      <w:pPr>
        <w:spacing w:line="233" w:lineRule="auto"/>
        <w:jc w:val="both"/>
        <w:rPr>
          <w:rFonts w:cs="Times New Roman"/>
          <w:b/>
          <w:sz w:val="20"/>
          <w:szCs w:val="24"/>
        </w:rPr>
      </w:pPr>
    </w:p>
    <w:p w:rsidR="00D8108F" w:rsidRPr="00D8108F" w:rsidRDefault="00D8108F" w:rsidP="00D8108F">
      <w:pPr>
        <w:spacing w:line="233" w:lineRule="auto"/>
        <w:jc w:val="both"/>
        <w:rPr>
          <w:rFonts w:cs="Times New Roman"/>
          <w:sz w:val="20"/>
          <w:szCs w:val="24"/>
        </w:rPr>
      </w:pPr>
      <w:r w:rsidRPr="00D8108F">
        <w:rPr>
          <w:rFonts w:cs="Times New Roman"/>
          <w:b/>
          <w:sz w:val="20"/>
          <w:szCs w:val="24"/>
        </w:rPr>
        <w:t>UPON APPLICATION</w:t>
      </w:r>
      <w:r w:rsidRPr="00D8108F">
        <w:rPr>
          <w:rFonts w:cs="Times New Roman"/>
          <w:sz w:val="20"/>
          <w:szCs w:val="24"/>
        </w:rPr>
        <w:t xml:space="preserve"> by the respondents to amend the judgment in the above appeal and to remand issues back to the Court of Appeal;</w:t>
      </w:r>
    </w:p>
    <w:p w:rsidR="00D8108F" w:rsidRPr="00D8108F" w:rsidRDefault="00D8108F" w:rsidP="00D8108F">
      <w:pPr>
        <w:spacing w:line="233" w:lineRule="auto"/>
        <w:jc w:val="both"/>
        <w:rPr>
          <w:rFonts w:cs="Times New Roman"/>
          <w:sz w:val="20"/>
          <w:szCs w:val="24"/>
        </w:rPr>
      </w:pPr>
    </w:p>
    <w:p w:rsidR="00D8108F" w:rsidRPr="00D8108F" w:rsidRDefault="00D8108F" w:rsidP="00D8108F">
      <w:pPr>
        <w:spacing w:line="233" w:lineRule="auto"/>
        <w:jc w:val="both"/>
        <w:rPr>
          <w:rFonts w:cs="Times New Roman"/>
          <w:sz w:val="20"/>
          <w:szCs w:val="24"/>
        </w:rPr>
      </w:pPr>
      <w:r w:rsidRPr="00D8108F">
        <w:rPr>
          <w:rFonts w:cs="Times New Roman"/>
          <w:b/>
          <w:bCs/>
          <w:sz w:val="20"/>
          <w:szCs w:val="24"/>
        </w:rPr>
        <w:t>AND THE MATERIAL FILED</w:t>
      </w:r>
      <w:r w:rsidRPr="00D8108F">
        <w:rPr>
          <w:rFonts w:cs="Times New Roman"/>
          <w:sz w:val="20"/>
          <w:szCs w:val="24"/>
        </w:rPr>
        <w:t xml:space="preserve"> having been read;</w:t>
      </w:r>
    </w:p>
    <w:p w:rsidR="00D8108F" w:rsidRPr="00D8108F" w:rsidRDefault="00D8108F" w:rsidP="00D8108F">
      <w:pPr>
        <w:spacing w:line="233" w:lineRule="auto"/>
        <w:jc w:val="both"/>
        <w:rPr>
          <w:rFonts w:cs="Times New Roman"/>
          <w:sz w:val="20"/>
          <w:szCs w:val="24"/>
        </w:rPr>
      </w:pPr>
    </w:p>
    <w:p w:rsidR="00D8108F" w:rsidRPr="00D8108F" w:rsidRDefault="00D8108F" w:rsidP="00D8108F">
      <w:pPr>
        <w:spacing w:line="233" w:lineRule="auto"/>
        <w:jc w:val="both"/>
        <w:rPr>
          <w:rFonts w:cs="Times New Roman"/>
          <w:b/>
          <w:bCs/>
          <w:sz w:val="20"/>
          <w:szCs w:val="24"/>
        </w:rPr>
      </w:pPr>
      <w:r w:rsidRPr="00D8108F">
        <w:rPr>
          <w:rFonts w:cs="Times New Roman"/>
          <w:b/>
          <w:bCs/>
          <w:sz w:val="20"/>
          <w:szCs w:val="24"/>
        </w:rPr>
        <w:t>IT IS HEREBY ORDERED THAT:</w:t>
      </w:r>
    </w:p>
    <w:p w:rsidR="00D8108F" w:rsidRPr="00D8108F" w:rsidRDefault="00D8108F" w:rsidP="00D8108F">
      <w:pPr>
        <w:spacing w:line="233" w:lineRule="auto"/>
        <w:jc w:val="both"/>
        <w:rPr>
          <w:rFonts w:cs="Times New Roman"/>
          <w:b/>
          <w:bCs/>
          <w:sz w:val="20"/>
          <w:szCs w:val="24"/>
        </w:rPr>
      </w:pPr>
    </w:p>
    <w:p w:rsidR="00D8108F" w:rsidRPr="00D8108F" w:rsidRDefault="00D8108F" w:rsidP="00D8108F">
      <w:pPr>
        <w:jc w:val="both"/>
        <w:rPr>
          <w:rFonts w:cs="Times New Roman"/>
          <w:sz w:val="20"/>
          <w:szCs w:val="24"/>
        </w:rPr>
      </w:pPr>
      <w:r w:rsidRPr="00D8108F">
        <w:rPr>
          <w:rFonts w:cs="Times New Roman"/>
          <w:sz w:val="20"/>
          <w:szCs w:val="24"/>
        </w:rPr>
        <w:t>The motion is dismissed without costs.</w:t>
      </w:r>
    </w:p>
    <w:p w:rsidR="00D8108F" w:rsidRPr="00D8108F" w:rsidRDefault="00D8108F" w:rsidP="00D8108F">
      <w:pPr>
        <w:jc w:val="both"/>
        <w:rPr>
          <w:rFonts w:cs="Times New Roman"/>
          <w:sz w:val="20"/>
          <w:szCs w:val="24"/>
        </w:rPr>
      </w:pPr>
    </w:p>
    <w:p w:rsidR="00D8108F" w:rsidRPr="00A4728F" w:rsidRDefault="00D8108F" w:rsidP="00D8108F">
      <w:pPr>
        <w:spacing w:line="233" w:lineRule="auto"/>
        <w:jc w:val="both"/>
        <w:rPr>
          <w:rFonts w:cs="Times New Roman"/>
          <w:b/>
          <w:sz w:val="20"/>
          <w:szCs w:val="24"/>
          <w:lang w:val="en-US"/>
        </w:rPr>
      </w:pPr>
    </w:p>
    <w:p w:rsidR="00D8108F" w:rsidRPr="00A4728F" w:rsidRDefault="00D8108F" w:rsidP="00D8108F">
      <w:pPr>
        <w:spacing w:line="233" w:lineRule="auto"/>
        <w:jc w:val="both"/>
        <w:rPr>
          <w:rFonts w:cs="Times New Roman"/>
          <w:b/>
          <w:sz w:val="20"/>
          <w:szCs w:val="24"/>
          <w:lang w:val="en-US"/>
        </w:rPr>
      </w:pPr>
    </w:p>
    <w:p w:rsidR="00D8108F" w:rsidRPr="00D8108F" w:rsidRDefault="00D8108F" w:rsidP="00D8108F">
      <w:pPr>
        <w:spacing w:line="233" w:lineRule="auto"/>
        <w:jc w:val="both"/>
        <w:rPr>
          <w:rFonts w:cs="Times New Roman"/>
          <w:sz w:val="20"/>
          <w:szCs w:val="24"/>
          <w:lang w:val="fr-CA"/>
        </w:rPr>
      </w:pPr>
      <w:r w:rsidRPr="00D8108F">
        <w:rPr>
          <w:rFonts w:cs="Times New Roman"/>
          <w:b/>
          <w:sz w:val="20"/>
          <w:szCs w:val="24"/>
          <w:lang w:val="fr-CA"/>
        </w:rPr>
        <w:t xml:space="preserve">À LA SUITE DE LA DEMANDE </w:t>
      </w:r>
      <w:r w:rsidRPr="00D8108F">
        <w:rPr>
          <w:rFonts w:cs="Times New Roman"/>
          <w:sz w:val="20"/>
          <w:szCs w:val="24"/>
          <w:lang w:val="fr-CA"/>
        </w:rPr>
        <w:t>des intimées pour que le jugement dans l’appel soit modifié et les questions renvoyées à la Cour d’appel;</w:t>
      </w:r>
    </w:p>
    <w:p w:rsidR="00D8108F" w:rsidRPr="00D8108F" w:rsidRDefault="00D8108F" w:rsidP="00D8108F">
      <w:pPr>
        <w:spacing w:line="233" w:lineRule="auto"/>
        <w:jc w:val="both"/>
        <w:rPr>
          <w:rFonts w:cs="Times New Roman"/>
          <w:sz w:val="20"/>
          <w:szCs w:val="24"/>
          <w:lang w:val="fr-CA"/>
        </w:rPr>
      </w:pPr>
    </w:p>
    <w:p w:rsidR="00D8108F" w:rsidRPr="00D8108F" w:rsidRDefault="00D8108F" w:rsidP="00D8108F">
      <w:pPr>
        <w:spacing w:line="233" w:lineRule="auto"/>
        <w:jc w:val="both"/>
        <w:rPr>
          <w:rFonts w:cs="Times New Roman"/>
          <w:sz w:val="20"/>
          <w:szCs w:val="24"/>
          <w:lang w:val="fr-CA"/>
        </w:rPr>
      </w:pPr>
      <w:r w:rsidRPr="00D8108F">
        <w:rPr>
          <w:rFonts w:cs="Times New Roman"/>
          <w:b/>
          <w:sz w:val="20"/>
          <w:szCs w:val="24"/>
          <w:lang w:val="fr-CA"/>
        </w:rPr>
        <w:t>ET APRÈS EXAMEN</w:t>
      </w:r>
      <w:r w:rsidRPr="00D8108F">
        <w:rPr>
          <w:rFonts w:cs="Times New Roman"/>
          <w:sz w:val="20"/>
          <w:szCs w:val="24"/>
          <w:lang w:val="fr-CA"/>
        </w:rPr>
        <w:t xml:space="preserve"> des documents déposés, </w:t>
      </w:r>
    </w:p>
    <w:p w:rsidR="00D8108F" w:rsidRPr="00D8108F" w:rsidRDefault="00D8108F" w:rsidP="00D8108F">
      <w:pPr>
        <w:spacing w:line="233" w:lineRule="auto"/>
        <w:jc w:val="both"/>
        <w:rPr>
          <w:rFonts w:cs="Times New Roman"/>
          <w:sz w:val="20"/>
          <w:szCs w:val="24"/>
          <w:lang w:val="fr-CA"/>
        </w:rPr>
      </w:pPr>
    </w:p>
    <w:p w:rsidR="00D8108F" w:rsidRPr="00D8108F" w:rsidRDefault="00D8108F" w:rsidP="00D8108F">
      <w:pPr>
        <w:spacing w:line="233" w:lineRule="auto"/>
        <w:jc w:val="both"/>
        <w:rPr>
          <w:rFonts w:cs="Times New Roman"/>
          <w:b/>
          <w:sz w:val="20"/>
          <w:szCs w:val="24"/>
          <w:lang w:val="fr-CA"/>
        </w:rPr>
      </w:pPr>
      <w:r w:rsidRPr="00D8108F">
        <w:rPr>
          <w:rFonts w:cs="Times New Roman"/>
          <w:b/>
          <w:sz w:val="20"/>
          <w:szCs w:val="24"/>
          <w:lang w:val="fr-CA"/>
        </w:rPr>
        <w:t>IL EST ORDONNÉ CE QUI SUIT :</w:t>
      </w:r>
    </w:p>
    <w:p w:rsidR="00D8108F" w:rsidRPr="00D8108F" w:rsidRDefault="00D8108F" w:rsidP="00D8108F">
      <w:pPr>
        <w:spacing w:line="233" w:lineRule="auto"/>
        <w:jc w:val="both"/>
        <w:rPr>
          <w:rFonts w:cs="Times New Roman"/>
          <w:sz w:val="20"/>
          <w:szCs w:val="24"/>
          <w:lang w:val="fr-CA"/>
        </w:rPr>
      </w:pPr>
    </w:p>
    <w:p w:rsidR="00D8108F" w:rsidRPr="00D8108F" w:rsidRDefault="00D8108F" w:rsidP="00D8108F">
      <w:pPr>
        <w:spacing w:line="233" w:lineRule="auto"/>
        <w:jc w:val="both"/>
        <w:rPr>
          <w:rFonts w:cs="Times New Roman"/>
          <w:sz w:val="20"/>
          <w:szCs w:val="24"/>
          <w:lang w:val="fr-CA"/>
        </w:rPr>
      </w:pPr>
      <w:r w:rsidRPr="00D8108F">
        <w:rPr>
          <w:rFonts w:cs="Times New Roman"/>
          <w:sz w:val="20"/>
          <w:szCs w:val="24"/>
          <w:lang w:val="fr-CA"/>
        </w:rPr>
        <w:t>La requête est rejetée sans dépens.</w:t>
      </w:r>
    </w:p>
    <w:p w:rsidR="00D8108F" w:rsidRPr="00D8108F" w:rsidRDefault="00D8108F" w:rsidP="0010587F">
      <w:pPr>
        <w:tabs>
          <w:tab w:val="left" w:pos="-1440"/>
          <w:tab w:val="left" w:pos="-720"/>
        </w:tabs>
        <w:jc w:val="both"/>
        <w:rPr>
          <w:sz w:val="20"/>
          <w:szCs w:val="20"/>
          <w:lang w:val="fr-CA"/>
        </w:rPr>
      </w:pPr>
    </w:p>
    <w:p w:rsidR="00890FEB" w:rsidRPr="00D8108F" w:rsidRDefault="00890FEB" w:rsidP="00831CA9">
      <w:pPr>
        <w:jc w:val="both"/>
        <w:rPr>
          <w:sz w:val="20"/>
          <w:szCs w:val="20"/>
          <w:lang w:val="fr-CA"/>
        </w:rPr>
      </w:pPr>
    </w:p>
    <w:p w:rsidR="00831CA9" w:rsidRPr="00D8108F" w:rsidRDefault="00831CA9" w:rsidP="00831CA9">
      <w:pPr>
        <w:jc w:val="both"/>
        <w:rPr>
          <w:sz w:val="20"/>
          <w:szCs w:val="20"/>
          <w:lang w:val="fr-CA"/>
        </w:rPr>
        <w:sectPr w:rsidR="00831CA9" w:rsidRPr="00D8108F" w:rsidSect="00831CA9">
          <w:headerReference w:type="even" r:id="rId18"/>
          <w:headerReference w:type="default" r:id="rId19"/>
          <w:footerReference w:type="even" r:id="rId20"/>
          <w:footerReference w:type="default" r:id="rId21"/>
          <w:headerReference w:type="first" r:id="rId22"/>
          <w:footerReference w:type="first" r:id="rId23"/>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9C02F9"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86340B" w:rsidP="005F1ED8">
            <w:pPr>
              <w:rPr>
                <w:sz w:val="20"/>
                <w:szCs w:val="20"/>
              </w:rPr>
            </w:pPr>
            <w:r>
              <w:rPr>
                <w:sz w:val="20"/>
                <w:szCs w:val="20"/>
              </w:rPr>
              <w:t>1</w:t>
            </w:r>
            <w:r w:rsidR="008012BA">
              <w:rPr>
                <w:sz w:val="20"/>
                <w:szCs w:val="20"/>
              </w:rPr>
              <w:t>1</w:t>
            </w:r>
            <w:r w:rsidRPr="003B3977">
              <w:rPr>
                <w:sz w:val="20"/>
                <w:szCs w:val="20"/>
              </w:rPr>
              <w:t>.</w:t>
            </w:r>
            <w:r w:rsidR="00E8544A">
              <w:rPr>
                <w:sz w:val="20"/>
                <w:szCs w:val="20"/>
              </w:rPr>
              <w:t>01</w:t>
            </w:r>
            <w:r w:rsidRPr="003B3977">
              <w:rPr>
                <w:sz w:val="20"/>
                <w:szCs w:val="20"/>
              </w:rPr>
              <w:t>.</w:t>
            </w:r>
            <w:r w:rsidR="00CE4869">
              <w:rPr>
                <w:sz w:val="20"/>
                <w:szCs w:val="20"/>
              </w:rPr>
              <w:t>2018</w:t>
            </w:r>
          </w:p>
          <w:p w:rsidR="00D243DB" w:rsidRDefault="00D243DB" w:rsidP="005F1ED8">
            <w:pPr>
              <w:rPr>
                <w:b/>
                <w:sz w:val="20"/>
                <w:szCs w:val="20"/>
              </w:rPr>
            </w:pPr>
          </w:p>
          <w:p w:rsidR="0086340B" w:rsidRPr="003B3977" w:rsidRDefault="008012BA" w:rsidP="005F1ED8">
            <w:pPr>
              <w:rPr>
                <w:b/>
                <w:sz w:val="20"/>
                <w:szCs w:val="20"/>
              </w:rPr>
            </w:pPr>
            <w:r>
              <w:rPr>
                <w:b/>
                <w:sz w:val="20"/>
                <w:szCs w:val="20"/>
              </w:rPr>
              <w:t>Jason Colling</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sidR="008012BA">
              <w:rPr>
                <w:b/>
                <w:sz w:val="20"/>
                <w:szCs w:val="20"/>
              </w:rPr>
              <w:t>7905</w:t>
            </w:r>
            <w:r w:rsidRPr="003B3977">
              <w:rPr>
                <w:b/>
                <w:sz w:val="20"/>
                <w:szCs w:val="20"/>
              </w:rPr>
              <w:t>)</w:t>
            </w:r>
          </w:p>
          <w:p w:rsidR="0086340B" w:rsidRPr="003B3977" w:rsidRDefault="0086340B" w:rsidP="005F1ED8">
            <w:pPr>
              <w:rPr>
                <w:b/>
                <w:sz w:val="20"/>
                <w:szCs w:val="20"/>
              </w:rPr>
            </w:pPr>
          </w:p>
          <w:p w:rsidR="0086340B" w:rsidRPr="003B3977" w:rsidRDefault="008012BA" w:rsidP="005F1ED8">
            <w:pPr>
              <w:rPr>
                <w:b/>
                <w:sz w:val="20"/>
                <w:szCs w:val="20"/>
              </w:rPr>
            </w:pPr>
            <w:r>
              <w:rPr>
                <w:b/>
                <w:sz w:val="20"/>
                <w:szCs w:val="20"/>
              </w:rPr>
              <w:t>Her Majesty the Queen</w:t>
            </w:r>
            <w:r w:rsidR="0086340B" w:rsidRPr="003B3977">
              <w:rPr>
                <w:b/>
                <w:sz w:val="20"/>
                <w:szCs w:val="20"/>
              </w:rPr>
              <w:t xml:space="preserve"> (</w:t>
            </w:r>
            <w:r>
              <w:rPr>
                <w:b/>
                <w:sz w:val="20"/>
                <w:szCs w:val="20"/>
              </w:rPr>
              <w:t>B.C.</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8012BA">
              <w:rPr>
                <w:sz w:val="20"/>
                <w:szCs w:val="20"/>
              </w:rPr>
              <w:t>As of Right</w:t>
            </w:r>
            <w:r w:rsidRPr="003B3977">
              <w:rPr>
                <w:sz w:val="20"/>
                <w:szCs w:val="20"/>
              </w:rPr>
              <w:t>)</w:t>
            </w:r>
          </w:p>
          <w:p w:rsidR="0086340B" w:rsidRPr="003B3977" w:rsidRDefault="0086340B" w:rsidP="005F1ED8">
            <w:pPr>
              <w:rPr>
                <w:sz w:val="20"/>
                <w:szCs w:val="20"/>
              </w:rPr>
            </w:pPr>
          </w:p>
          <w:p w:rsidR="0086340B" w:rsidRPr="003B3977" w:rsidRDefault="009C02F9" w:rsidP="005F1ED8">
            <w:pPr>
              <w:rPr>
                <w:sz w:val="20"/>
                <w:szCs w:val="20"/>
                <w:lang w:val="fr-CA"/>
              </w:rPr>
            </w:pPr>
            <w:r>
              <w:rPr>
                <w:sz w:val="20"/>
                <w:szCs w:val="20"/>
                <w:lang w:val="fr-CA"/>
              </w:rPr>
              <w:pict>
                <v:rect id="_x0000_i1037"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3B3977" w:rsidRDefault="0086340B" w:rsidP="005F1ED8">
            <w:pPr>
              <w:rPr>
                <w:sz w:val="20"/>
                <w:szCs w:val="20"/>
              </w:rPr>
            </w:pPr>
          </w:p>
        </w:tc>
      </w:tr>
      <w:tr w:rsidR="0086340B" w:rsidRPr="00130B0E" w:rsidTr="005F1ED8">
        <w:trPr>
          <w:cantSplit/>
        </w:trPr>
        <w:tc>
          <w:tcPr>
            <w:tcW w:w="2206" w:type="pct"/>
            <w:tcMar>
              <w:left w:w="0" w:type="dxa"/>
              <w:right w:w="0" w:type="dxa"/>
            </w:tcMar>
          </w:tcPr>
          <w:p w:rsidR="0086340B" w:rsidRPr="003B3977" w:rsidRDefault="0086340B" w:rsidP="005F1ED8">
            <w:pPr>
              <w:rPr>
                <w:sz w:val="20"/>
                <w:szCs w:val="20"/>
              </w:rPr>
            </w:pPr>
          </w:p>
          <w:p w:rsidR="0086340B" w:rsidRPr="003B3977" w:rsidRDefault="0086340B" w:rsidP="005F1ED8">
            <w:pPr>
              <w:rPr>
                <w:sz w:val="20"/>
                <w:szCs w:val="20"/>
              </w:rPr>
            </w:pP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130B0E" w:rsidRDefault="0086340B" w:rsidP="005F1ED8">
            <w:pPr>
              <w:rPr>
                <w:sz w:val="20"/>
                <w:szCs w:val="20"/>
                <w:lang w:val="fr-CA"/>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FF61EC">
            <w:pPr>
              <w:keepNext/>
              <w:keepLines/>
              <w:rPr>
                <w:b/>
                <w:szCs w:val="24"/>
              </w:rPr>
            </w:pPr>
            <w:r w:rsidRPr="00C50A5C">
              <w:rPr>
                <w:b/>
                <w:szCs w:val="24"/>
              </w:rPr>
              <w:lastRenderedPageBreak/>
              <w:t xml:space="preserve">AGENDA FOR </w:t>
            </w:r>
            <w:r w:rsidR="00FF61EC">
              <w:rPr>
                <w:b/>
                <w:szCs w:val="24"/>
              </w:rPr>
              <w:t>FEBRUARY</w:t>
            </w:r>
            <w:r w:rsidR="005F1ED8">
              <w:rPr>
                <w:b/>
                <w:szCs w:val="24"/>
              </w:rPr>
              <w:t xml:space="preserve"> </w:t>
            </w:r>
            <w:r w:rsidR="00CE4869">
              <w:rPr>
                <w:b/>
                <w:szCs w:val="24"/>
              </w:rPr>
              <w:t>2018</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FF61EC">
            <w:pPr>
              <w:keepNext/>
              <w:keepLines/>
              <w:rPr>
                <w:b/>
                <w:szCs w:val="24"/>
                <w:lang w:val="fr-CA"/>
              </w:rPr>
            </w:pPr>
            <w:r w:rsidRPr="00C50A5C">
              <w:rPr>
                <w:b/>
                <w:szCs w:val="24"/>
                <w:lang w:val="fr-CA"/>
              </w:rPr>
              <w:t>CALENDRIER D</w:t>
            </w:r>
            <w:r w:rsidR="0056248C">
              <w:rPr>
                <w:b/>
                <w:szCs w:val="24"/>
                <w:lang w:val="fr-CA"/>
              </w:rPr>
              <w:t xml:space="preserve">E </w:t>
            </w:r>
            <w:r w:rsidR="00FF61EC">
              <w:rPr>
                <w:b/>
                <w:szCs w:val="24"/>
                <w:lang w:val="fr-CA"/>
              </w:rPr>
              <w:t>FÉVRIER</w:t>
            </w:r>
            <w:r w:rsidRPr="00C50A5C">
              <w:rPr>
                <w:b/>
                <w:szCs w:val="24"/>
                <w:lang w:val="fr-CA"/>
              </w:rPr>
              <w:t xml:space="preserve"> </w:t>
            </w:r>
            <w:r w:rsidR="00CE4869">
              <w:rPr>
                <w:b/>
                <w:szCs w:val="24"/>
                <w:lang w:val="fr-CA"/>
              </w:rPr>
              <w:t>2018</w:t>
            </w:r>
          </w:p>
        </w:tc>
      </w:tr>
    </w:tbl>
    <w:p w:rsidR="004B66B4" w:rsidRPr="00DD0B49" w:rsidRDefault="004B66B4" w:rsidP="004B66B4">
      <w:pPr>
        <w:rPr>
          <w:b/>
          <w:sz w:val="20"/>
          <w:szCs w:val="20"/>
        </w:rPr>
      </w:pPr>
    </w:p>
    <w:p w:rsidR="005F1ED8" w:rsidRPr="00DD0B49" w:rsidRDefault="005F1ED8" w:rsidP="005F1ED8">
      <w:pPr>
        <w:rPr>
          <w:b/>
          <w:sz w:val="20"/>
          <w:szCs w:val="20"/>
        </w:rPr>
      </w:pPr>
      <w:r w:rsidRPr="00DD0B49">
        <w:rPr>
          <w:b/>
          <w:sz w:val="20"/>
          <w:szCs w:val="20"/>
        </w:rPr>
        <w:t xml:space="preserve">AGENDA for the weeks of </w:t>
      </w:r>
      <w:r w:rsidR="006C2FA3">
        <w:rPr>
          <w:b/>
          <w:sz w:val="20"/>
          <w:szCs w:val="20"/>
        </w:rPr>
        <w:t>February</w:t>
      </w:r>
      <w:r>
        <w:rPr>
          <w:b/>
          <w:sz w:val="20"/>
          <w:szCs w:val="20"/>
        </w:rPr>
        <w:t xml:space="preserve"> </w:t>
      </w:r>
      <w:r w:rsidR="006C2FA3">
        <w:rPr>
          <w:b/>
          <w:sz w:val="20"/>
          <w:szCs w:val="20"/>
        </w:rPr>
        <w:t>5</w:t>
      </w:r>
      <w:r w:rsidRPr="00DD0B49">
        <w:rPr>
          <w:b/>
          <w:sz w:val="20"/>
          <w:szCs w:val="20"/>
        </w:rPr>
        <w:t xml:space="preserve"> and </w:t>
      </w:r>
      <w:r>
        <w:rPr>
          <w:b/>
          <w:sz w:val="20"/>
          <w:szCs w:val="20"/>
        </w:rPr>
        <w:t>1</w:t>
      </w:r>
      <w:r w:rsidR="006C2FA3">
        <w:rPr>
          <w:b/>
          <w:sz w:val="20"/>
          <w:szCs w:val="20"/>
        </w:rPr>
        <w:t>2</w:t>
      </w:r>
      <w:r w:rsidRPr="00DD0B49">
        <w:rPr>
          <w:b/>
          <w:sz w:val="20"/>
          <w:szCs w:val="20"/>
        </w:rPr>
        <w:t xml:space="preserve">, </w:t>
      </w:r>
      <w:r w:rsidR="00CE4869">
        <w:rPr>
          <w:b/>
          <w:sz w:val="20"/>
          <w:szCs w:val="20"/>
        </w:rPr>
        <w:t>2018</w:t>
      </w:r>
      <w:r w:rsidRPr="00DD0B49">
        <w:rPr>
          <w:b/>
          <w:sz w:val="20"/>
          <w:szCs w:val="20"/>
        </w:rPr>
        <w:t>.</w:t>
      </w:r>
    </w:p>
    <w:p w:rsidR="005F1ED8" w:rsidRPr="00DD0B49" w:rsidRDefault="005F1ED8" w:rsidP="005F1ED8">
      <w:pPr>
        <w:rPr>
          <w:sz w:val="20"/>
          <w:szCs w:val="20"/>
          <w:lang w:val="fr-CA"/>
        </w:rPr>
      </w:pPr>
      <w:r w:rsidRPr="00DD0B49">
        <w:rPr>
          <w:b/>
          <w:sz w:val="20"/>
          <w:szCs w:val="20"/>
          <w:lang w:val="fr-CA"/>
        </w:rPr>
        <w:t xml:space="preserve">CALENDRIER de la semaine du </w:t>
      </w:r>
      <w:r w:rsidR="006C2FA3">
        <w:rPr>
          <w:b/>
          <w:sz w:val="20"/>
          <w:szCs w:val="20"/>
          <w:lang w:val="fr-CA"/>
        </w:rPr>
        <w:t>5</w:t>
      </w:r>
      <w:r>
        <w:rPr>
          <w:b/>
          <w:sz w:val="20"/>
          <w:szCs w:val="20"/>
          <w:lang w:val="fr-CA"/>
        </w:rPr>
        <w:t xml:space="preserve"> </w:t>
      </w:r>
      <w:r w:rsidR="006C2FA3">
        <w:rPr>
          <w:b/>
          <w:sz w:val="20"/>
          <w:szCs w:val="20"/>
          <w:lang w:val="fr-CA"/>
        </w:rPr>
        <w:t>février</w:t>
      </w:r>
      <w:r>
        <w:rPr>
          <w:b/>
          <w:sz w:val="20"/>
          <w:szCs w:val="20"/>
          <w:lang w:val="fr-CA"/>
        </w:rPr>
        <w:t xml:space="preserve"> </w:t>
      </w:r>
      <w:r w:rsidRPr="00DD0B49">
        <w:rPr>
          <w:b/>
          <w:sz w:val="20"/>
          <w:szCs w:val="20"/>
          <w:lang w:val="fr-CA"/>
        </w:rPr>
        <w:t xml:space="preserve">et celle du </w:t>
      </w:r>
      <w:r>
        <w:rPr>
          <w:b/>
          <w:sz w:val="20"/>
          <w:szCs w:val="20"/>
          <w:lang w:val="fr-CA"/>
        </w:rPr>
        <w:t>1</w:t>
      </w:r>
      <w:r w:rsidR="006C2FA3">
        <w:rPr>
          <w:b/>
          <w:sz w:val="20"/>
          <w:szCs w:val="20"/>
          <w:lang w:val="fr-CA"/>
        </w:rPr>
        <w:t>2</w:t>
      </w:r>
      <w:r w:rsidRPr="00DD0B49">
        <w:rPr>
          <w:b/>
          <w:sz w:val="20"/>
          <w:szCs w:val="20"/>
          <w:lang w:val="fr-CA"/>
        </w:rPr>
        <w:t xml:space="preserve"> </w:t>
      </w:r>
      <w:r w:rsidR="006C2FA3">
        <w:rPr>
          <w:b/>
          <w:sz w:val="20"/>
          <w:szCs w:val="20"/>
          <w:lang w:val="fr-CA"/>
        </w:rPr>
        <w:t>février</w:t>
      </w:r>
      <w:r w:rsidRPr="00DD0B49">
        <w:rPr>
          <w:b/>
          <w:sz w:val="20"/>
          <w:szCs w:val="20"/>
          <w:lang w:val="fr-CA"/>
        </w:rPr>
        <w:t xml:space="preserve"> </w:t>
      </w:r>
      <w:r w:rsidR="00CE4869">
        <w:rPr>
          <w:b/>
          <w:sz w:val="20"/>
          <w:szCs w:val="20"/>
          <w:lang w:val="fr-CA"/>
        </w:rPr>
        <w:t>2018</w:t>
      </w:r>
      <w:r w:rsidRPr="00DD0B49">
        <w:rPr>
          <w:b/>
          <w:sz w:val="20"/>
          <w:szCs w:val="20"/>
          <w:lang w:val="fr-CA"/>
        </w:rPr>
        <w:t>.</w:t>
      </w:r>
    </w:p>
    <w:p w:rsidR="005F1ED8" w:rsidRPr="00DD0B49" w:rsidRDefault="005F1ED8" w:rsidP="005F1ED8">
      <w:pPr>
        <w:rPr>
          <w:sz w:val="20"/>
          <w:szCs w:val="20"/>
          <w:lang w:val="fr-CA"/>
        </w:rPr>
      </w:pPr>
    </w:p>
    <w:p w:rsidR="005F1ED8" w:rsidRPr="00DD0B49" w:rsidRDefault="005F1ED8" w:rsidP="005F1ED8">
      <w:pPr>
        <w:rPr>
          <w:sz w:val="20"/>
          <w:szCs w:val="20"/>
        </w:rPr>
      </w:pPr>
      <w:r w:rsidRPr="00DD0B49">
        <w:rPr>
          <w:sz w:val="20"/>
          <w:szCs w:val="20"/>
        </w:rPr>
        <w:t xml:space="preserve">The Court will not be sitting during the weeks of </w:t>
      </w:r>
      <w:r w:rsidR="006C2FA3">
        <w:rPr>
          <w:sz w:val="20"/>
          <w:szCs w:val="20"/>
        </w:rPr>
        <w:t>February</w:t>
      </w:r>
      <w:r w:rsidR="00C01FCB">
        <w:rPr>
          <w:sz w:val="20"/>
          <w:szCs w:val="20"/>
        </w:rPr>
        <w:t xml:space="preserve">, </w:t>
      </w:r>
      <w:r w:rsidR="006C2FA3">
        <w:rPr>
          <w:sz w:val="20"/>
          <w:szCs w:val="20"/>
        </w:rPr>
        <w:t>19</w:t>
      </w:r>
      <w:r w:rsidRPr="00DD0B49">
        <w:rPr>
          <w:sz w:val="20"/>
          <w:szCs w:val="20"/>
        </w:rPr>
        <w:t xml:space="preserve"> and </w:t>
      </w:r>
      <w:r w:rsidR="006C2FA3">
        <w:rPr>
          <w:sz w:val="20"/>
          <w:szCs w:val="20"/>
        </w:rPr>
        <w:t>26</w:t>
      </w:r>
      <w:r w:rsidRPr="00DD0B49">
        <w:rPr>
          <w:sz w:val="20"/>
          <w:szCs w:val="20"/>
        </w:rPr>
        <w:t xml:space="preserve">, </w:t>
      </w:r>
      <w:r w:rsidR="00CE4869">
        <w:rPr>
          <w:sz w:val="20"/>
          <w:szCs w:val="20"/>
        </w:rPr>
        <w:t>2018</w:t>
      </w:r>
      <w:r w:rsidRPr="00DD0B49">
        <w:rPr>
          <w:sz w:val="20"/>
          <w:szCs w:val="20"/>
        </w:rPr>
        <w:t>.</w:t>
      </w:r>
    </w:p>
    <w:p w:rsidR="005F1ED8" w:rsidRPr="00DD0B49" w:rsidRDefault="005F1ED8" w:rsidP="005F1ED8">
      <w:pPr>
        <w:rPr>
          <w:sz w:val="20"/>
          <w:szCs w:val="20"/>
          <w:lang w:val="fr-CA"/>
        </w:rPr>
      </w:pPr>
      <w:r w:rsidRPr="00DD0B49">
        <w:rPr>
          <w:sz w:val="20"/>
          <w:szCs w:val="20"/>
          <w:lang w:val="fr-CA"/>
        </w:rPr>
        <w:t xml:space="preserve">La Cour ne siègera pas pendant les semaines du </w:t>
      </w:r>
      <w:r w:rsidR="006C2FA3">
        <w:rPr>
          <w:sz w:val="20"/>
          <w:szCs w:val="20"/>
          <w:lang w:val="fr-CA"/>
        </w:rPr>
        <w:t xml:space="preserve">19 </w:t>
      </w:r>
      <w:r w:rsidRPr="00DD0B49">
        <w:rPr>
          <w:sz w:val="20"/>
          <w:szCs w:val="20"/>
          <w:lang w:val="fr-CA"/>
        </w:rPr>
        <w:t xml:space="preserve">et du </w:t>
      </w:r>
      <w:r w:rsidR="006C2FA3">
        <w:rPr>
          <w:sz w:val="20"/>
          <w:szCs w:val="20"/>
          <w:lang w:val="fr-CA"/>
        </w:rPr>
        <w:t>26</w:t>
      </w:r>
      <w:r w:rsidRPr="00DD0B49">
        <w:rPr>
          <w:sz w:val="20"/>
          <w:szCs w:val="20"/>
          <w:lang w:val="fr-CA"/>
        </w:rPr>
        <w:t xml:space="preserve"> </w:t>
      </w:r>
      <w:r w:rsidR="00FB32B7">
        <w:rPr>
          <w:sz w:val="20"/>
          <w:szCs w:val="20"/>
          <w:lang w:val="fr-CA"/>
        </w:rPr>
        <w:t>février</w:t>
      </w:r>
      <w:r w:rsidRPr="00DD0B49">
        <w:rPr>
          <w:sz w:val="20"/>
          <w:szCs w:val="20"/>
          <w:lang w:val="fr-CA"/>
        </w:rPr>
        <w:t xml:space="preserve"> </w:t>
      </w:r>
      <w:r w:rsidR="00CE4869">
        <w:rPr>
          <w:sz w:val="20"/>
          <w:szCs w:val="20"/>
          <w:lang w:val="fr-CA"/>
        </w:rPr>
        <w:t>2018</w:t>
      </w:r>
      <w:r w:rsidRPr="00DD0B49">
        <w:rPr>
          <w:sz w:val="20"/>
          <w:szCs w:val="20"/>
          <w:lang w:val="fr-CA"/>
        </w:rPr>
        <w:t>.</w:t>
      </w:r>
    </w:p>
    <w:p w:rsidR="004B66B4" w:rsidRPr="00DD0B49" w:rsidRDefault="009C02F9" w:rsidP="004B66B4">
      <w:pPr>
        <w:rPr>
          <w:sz w:val="20"/>
          <w:szCs w:val="20"/>
        </w:rPr>
      </w:pPr>
      <w:r>
        <w:rPr>
          <w:sz w:val="20"/>
          <w:szCs w:val="20"/>
        </w:rPr>
        <w:pict>
          <v:rect id="_x0000_i1040" style="width:480.95pt;height:1pt" o:hralign="center" o:hrstd="t" o:hrnoshade="t" o:hr="t" fillcolor="black [3213]" stroked="f"/>
        </w:pict>
      </w:r>
    </w:p>
    <w:p w:rsidR="004B66B4" w:rsidRDefault="004B66B4" w:rsidP="004B66B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6C2FA3" w:rsidRPr="009C02F9" w:rsidTr="002B1E65">
        <w:trPr>
          <w:cantSplit/>
        </w:trPr>
        <w:tc>
          <w:tcPr>
            <w:tcW w:w="2398" w:type="dxa"/>
          </w:tcPr>
          <w:p w:rsidR="006C2FA3" w:rsidRPr="006C2FA3" w:rsidRDefault="006C2FA3" w:rsidP="00A83A35">
            <w:pPr>
              <w:rPr>
                <w:sz w:val="20"/>
                <w:szCs w:val="20"/>
              </w:rPr>
            </w:pPr>
            <w:r w:rsidRPr="006C2FA3">
              <w:rPr>
                <w:sz w:val="20"/>
                <w:szCs w:val="20"/>
              </w:rPr>
              <w:t>DATE OF HEARING /</w:t>
            </w:r>
          </w:p>
          <w:p w:rsidR="006C2FA3" w:rsidRPr="006C2FA3" w:rsidRDefault="006C2FA3" w:rsidP="00A83A35">
            <w:pPr>
              <w:rPr>
                <w:sz w:val="20"/>
                <w:szCs w:val="20"/>
              </w:rPr>
            </w:pPr>
            <w:r w:rsidRPr="006C2FA3">
              <w:rPr>
                <w:sz w:val="20"/>
                <w:szCs w:val="20"/>
              </w:rPr>
              <w:t>DATE D’AUDITION</w:t>
            </w:r>
          </w:p>
        </w:tc>
        <w:tc>
          <w:tcPr>
            <w:tcW w:w="7178" w:type="dxa"/>
          </w:tcPr>
          <w:p w:rsidR="006C2FA3" w:rsidRPr="006C2FA3" w:rsidRDefault="006C2FA3" w:rsidP="00A83A35">
            <w:pPr>
              <w:rPr>
                <w:sz w:val="20"/>
                <w:szCs w:val="20"/>
                <w:lang w:val="fr-CA"/>
              </w:rPr>
            </w:pPr>
            <w:r w:rsidRPr="006C2FA3">
              <w:rPr>
                <w:sz w:val="20"/>
                <w:szCs w:val="20"/>
                <w:lang w:val="fr-CA"/>
              </w:rPr>
              <w:t>NAME AND CASE NUMBER /</w:t>
            </w:r>
          </w:p>
          <w:p w:rsidR="006C2FA3" w:rsidRPr="006C2FA3" w:rsidRDefault="006C2FA3" w:rsidP="00A83A35">
            <w:pPr>
              <w:rPr>
                <w:sz w:val="20"/>
                <w:szCs w:val="20"/>
                <w:lang w:val="fr-CA"/>
              </w:rPr>
            </w:pPr>
            <w:r w:rsidRPr="006C2FA3">
              <w:rPr>
                <w:sz w:val="20"/>
                <w:szCs w:val="20"/>
                <w:lang w:val="fr-CA"/>
              </w:rPr>
              <w:t>NOM DE LA CAUSE ET NUMÉRO</w:t>
            </w:r>
          </w:p>
        </w:tc>
      </w:tr>
      <w:tr w:rsidR="006C2FA3" w:rsidRPr="006C2FA3" w:rsidTr="002B1E65">
        <w:trPr>
          <w:cantSplit/>
        </w:trPr>
        <w:tc>
          <w:tcPr>
            <w:tcW w:w="2398" w:type="dxa"/>
          </w:tcPr>
          <w:p w:rsidR="006C2FA3" w:rsidRPr="006C2FA3" w:rsidRDefault="006C2FA3" w:rsidP="00A83A35">
            <w:pPr>
              <w:rPr>
                <w:sz w:val="20"/>
              </w:rPr>
            </w:pPr>
            <w:r w:rsidRPr="006C2FA3">
              <w:rPr>
                <w:sz w:val="20"/>
              </w:rPr>
              <w:t>2018-02-06</w:t>
            </w:r>
          </w:p>
        </w:tc>
        <w:tc>
          <w:tcPr>
            <w:tcW w:w="7178" w:type="dxa"/>
          </w:tcPr>
          <w:p w:rsidR="006C2FA3" w:rsidRPr="006C2FA3" w:rsidRDefault="006C2FA3" w:rsidP="00A83A35">
            <w:pPr>
              <w:rPr>
                <w:sz w:val="20"/>
              </w:rPr>
            </w:pPr>
            <w:r w:rsidRPr="006C2FA3">
              <w:rPr>
                <w:rStyle w:val="SCCSsocChar"/>
              </w:rPr>
              <w:t xml:space="preserve">Kevin Patrick </w:t>
            </w:r>
            <w:proofErr w:type="spellStart"/>
            <w:r w:rsidRPr="006C2FA3">
              <w:rPr>
                <w:rStyle w:val="SCCSsocChar"/>
              </w:rPr>
              <w:t>Gubbins</w:t>
            </w:r>
            <w:proofErr w:type="spellEnd"/>
            <w:r w:rsidRPr="006C2FA3">
              <w:rPr>
                <w:rStyle w:val="SCCSsocChar"/>
              </w:rPr>
              <w:t xml:space="preserve"> v. Her Majesty the Queen</w:t>
            </w:r>
            <w:r w:rsidRPr="006C2FA3">
              <w:rPr>
                <w:sz w:val="20"/>
              </w:rPr>
              <w:t xml:space="preserve"> (Alta.) (Criminal) (By Leave) (37395)</w:t>
            </w:r>
          </w:p>
        </w:tc>
      </w:tr>
      <w:tr w:rsidR="006C2FA3" w:rsidRPr="006C2FA3" w:rsidTr="002B1E65">
        <w:trPr>
          <w:cantSplit/>
        </w:trPr>
        <w:tc>
          <w:tcPr>
            <w:tcW w:w="2398" w:type="dxa"/>
          </w:tcPr>
          <w:p w:rsidR="006C2FA3" w:rsidRPr="006C2FA3" w:rsidRDefault="006C2FA3" w:rsidP="00A83A35">
            <w:pPr>
              <w:rPr>
                <w:sz w:val="20"/>
              </w:rPr>
            </w:pPr>
            <w:r w:rsidRPr="006C2FA3">
              <w:rPr>
                <w:sz w:val="20"/>
              </w:rPr>
              <w:t>2018-02-06</w:t>
            </w:r>
          </w:p>
        </w:tc>
        <w:tc>
          <w:tcPr>
            <w:tcW w:w="7178" w:type="dxa"/>
          </w:tcPr>
          <w:p w:rsidR="006C2FA3" w:rsidRPr="006C2FA3" w:rsidRDefault="006C2FA3" w:rsidP="00A83A35">
            <w:pPr>
              <w:rPr>
                <w:sz w:val="20"/>
              </w:rPr>
            </w:pPr>
            <w:r w:rsidRPr="006C2FA3">
              <w:rPr>
                <w:rStyle w:val="SCCSsocChar"/>
              </w:rPr>
              <w:t xml:space="preserve">Darren John Chip </w:t>
            </w:r>
            <w:proofErr w:type="spellStart"/>
            <w:r w:rsidRPr="006C2FA3">
              <w:rPr>
                <w:rStyle w:val="SCCSsocChar"/>
              </w:rPr>
              <w:t>Vallentgoed</w:t>
            </w:r>
            <w:proofErr w:type="spellEnd"/>
            <w:r w:rsidRPr="006C2FA3">
              <w:rPr>
                <w:rStyle w:val="SCCSsocChar"/>
              </w:rPr>
              <w:t xml:space="preserve"> v. Her Majesty the Queen</w:t>
            </w:r>
            <w:r w:rsidRPr="006C2FA3">
              <w:rPr>
                <w:sz w:val="20"/>
              </w:rPr>
              <w:t xml:space="preserve"> (Alta.) (Criminal) (By Leave) (37403)</w:t>
            </w:r>
          </w:p>
        </w:tc>
      </w:tr>
      <w:tr w:rsidR="006C2FA3" w:rsidRPr="009C02F9" w:rsidTr="002B1E65">
        <w:trPr>
          <w:cantSplit/>
        </w:trPr>
        <w:tc>
          <w:tcPr>
            <w:tcW w:w="2398" w:type="dxa"/>
          </w:tcPr>
          <w:p w:rsidR="006C2FA3" w:rsidRPr="006C2FA3" w:rsidRDefault="006C2FA3" w:rsidP="00A83A35">
            <w:pPr>
              <w:rPr>
                <w:sz w:val="20"/>
              </w:rPr>
            </w:pPr>
            <w:r w:rsidRPr="006C2FA3">
              <w:rPr>
                <w:sz w:val="20"/>
              </w:rPr>
              <w:t>2018-02-07</w:t>
            </w:r>
          </w:p>
        </w:tc>
        <w:tc>
          <w:tcPr>
            <w:tcW w:w="7178" w:type="dxa"/>
          </w:tcPr>
          <w:p w:rsidR="006C2FA3" w:rsidRPr="006C2FA3" w:rsidRDefault="006C2FA3" w:rsidP="00A83A35">
            <w:pPr>
              <w:rPr>
                <w:sz w:val="20"/>
                <w:lang w:val="fr-CA"/>
              </w:rPr>
            </w:pPr>
            <w:r w:rsidRPr="006C2FA3">
              <w:rPr>
                <w:rStyle w:val="SCCSsocChar"/>
                <w:lang w:val="fr-CA"/>
              </w:rPr>
              <w:t xml:space="preserve">Sa Majesté la Reine c. Justine </w:t>
            </w:r>
            <w:proofErr w:type="spellStart"/>
            <w:r w:rsidRPr="006C2FA3">
              <w:rPr>
                <w:rStyle w:val="SCCSsocChar"/>
                <w:lang w:val="fr-CA"/>
              </w:rPr>
              <w:t>Awashish</w:t>
            </w:r>
            <w:proofErr w:type="spellEnd"/>
            <w:r w:rsidRPr="006C2FA3">
              <w:rPr>
                <w:sz w:val="20"/>
                <w:lang w:val="fr-CA"/>
              </w:rPr>
              <w:t xml:space="preserve"> (</w:t>
            </w:r>
            <w:proofErr w:type="spellStart"/>
            <w:r w:rsidRPr="006C2FA3">
              <w:rPr>
                <w:sz w:val="20"/>
                <w:lang w:val="fr-CA"/>
              </w:rPr>
              <w:t>Qc</w:t>
            </w:r>
            <w:proofErr w:type="spellEnd"/>
            <w:r w:rsidRPr="006C2FA3">
              <w:rPr>
                <w:sz w:val="20"/>
                <w:lang w:val="fr-CA"/>
              </w:rPr>
              <w:t>) (Criminelle) (Autorisation) (37207)</w:t>
            </w:r>
          </w:p>
        </w:tc>
      </w:tr>
      <w:tr w:rsidR="006C2FA3" w:rsidRPr="006C2FA3" w:rsidTr="002B1E65">
        <w:trPr>
          <w:cantSplit/>
        </w:trPr>
        <w:tc>
          <w:tcPr>
            <w:tcW w:w="2398" w:type="dxa"/>
          </w:tcPr>
          <w:p w:rsidR="006C2FA3" w:rsidRPr="006C2FA3" w:rsidRDefault="006C2FA3" w:rsidP="00A83A35">
            <w:pPr>
              <w:rPr>
                <w:sz w:val="20"/>
              </w:rPr>
            </w:pPr>
            <w:r w:rsidRPr="006C2FA3">
              <w:rPr>
                <w:sz w:val="20"/>
              </w:rPr>
              <w:t>2018-02-08</w:t>
            </w:r>
          </w:p>
        </w:tc>
        <w:tc>
          <w:tcPr>
            <w:tcW w:w="7178" w:type="dxa"/>
          </w:tcPr>
          <w:p w:rsidR="006C2FA3" w:rsidRPr="006C2FA3" w:rsidRDefault="006C2FA3" w:rsidP="00A83A35">
            <w:pPr>
              <w:rPr>
                <w:sz w:val="20"/>
              </w:rPr>
            </w:pPr>
            <w:r w:rsidRPr="006C2FA3">
              <w:rPr>
                <w:rStyle w:val="SCCSsocChar"/>
                <w:lang w:val="fr-CA"/>
              </w:rPr>
              <w:t xml:space="preserve">Michelle Constance Moore v. </w:t>
            </w:r>
            <w:proofErr w:type="spellStart"/>
            <w:r w:rsidRPr="006C2FA3">
              <w:rPr>
                <w:rStyle w:val="SCCSsocChar"/>
                <w:lang w:val="fr-CA"/>
              </w:rPr>
              <w:t>Risa</w:t>
            </w:r>
            <w:proofErr w:type="spellEnd"/>
            <w:r w:rsidRPr="006C2FA3">
              <w:rPr>
                <w:rStyle w:val="SCCSsocChar"/>
                <w:lang w:val="fr-CA"/>
              </w:rPr>
              <w:t xml:space="preserve"> Lorraine </w:t>
            </w:r>
            <w:proofErr w:type="spellStart"/>
            <w:r w:rsidRPr="006C2FA3">
              <w:rPr>
                <w:rStyle w:val="SCCSsocChar"/>
                <w:lang w:val="fr-CA"/>
              </w:rPr>
              <w:t>Sweet</w:t>
            </w:r>
            <w:proofErr w:type="spellEnd"/>
            <w:r w:rsidRPr="006C2FA3">
              <w:rPr>
                <w:sz w:val="20"/>
                <w:lang w:val="fr-CA"/>
              </w:rPr>
              <w:t xml:space="preserve"> (Ont.) </w:t>
            </w:r>
            <w:r w:rsidRPr="006C2FA3">
              <w:rPr>
                <w:sz w:val="20"/>
              </w:rPr>
              <w:t>(Civil) (By Leave) (37546)</w:t>
            </w:r>
          </w:p>
        </w:tc>
      </w:tr>
      <w:tr w:rsidR="006C2FA3" w:rsidRPr="006C2FA3" w:rsidTr="002B1E65">
        <w:trPr>
          <w:cantSplit/>
        </w:trPr>
        <w:tc>
          <w:tcPr>
            <w:tcW w:w="2398" w:type="dxa"/>
          </w:tcPr>
          <w:p w:rsidR="006C2FA3" w:rsidRPr="006C2FA3" w:rsidRDefault="006C2FA3" w:rsidP="00A83A35">
            <w:pPr>
              <w:rPr>
                <w:sz w:val="20"/>
              </w:rPr>
            </w:pPr>
            <w:r w:rsidRPr="006C2FA3">
              <w:rPr>
                <w:sz w:val="20"/>
              </w:rPr>
              <w:t>2018-02-09</w:t>
            </w:r>
          </w:p>
        </w:tc>
        <w:tc>
          <w:tcPr>
            <w:tcW w:w="7178" w:type="dxa"/>
          </w:tcPr>
          <w:p w:rsidR="006C2FA3" w:rsidRPr="006C2FA3" w:rsidRDefault="006C2FA3" w:rsidP="00A83A35">
            <w:pPr>
              <w:rPr>
                <w:sz w:val="20"/>
              </w:rPr>
            </w:pPr>
            <w:r w:rsidRPr="006C2FA3">
              <w:rPr>
                <w:rStyle w:val="SCCSsocChar"/>
              </w:rPr>
              <w:t>A.R. J.D. v. Her Majesty the Queen</w:t>
            </w:r>
            <w:r w:rsidRPr="006C2FA3">
              <w:rPr>
                <w:sz w:val="20"/>
              </w:rPr>
              <w:t xml:space="preserve"> (Alta.) (Criminal) (As of Right) (37715)</w:t>
            </w:r>
          </w:p>
        </w:tc>
      </w:tr>
      <w:tr w:rsidR="006C2FA3" w:rsidRPr="006C2FA3" w:rsidTr="002B1E65">
        <w:trPr>
          <w:cantSplit/>
        </w:trPr>
        <w:tc>
          <w:tcPr>
            <w:tcW w:w="2398" w:type="dxa"/>
          </w:tcPr>
          <w:p w:rsidR="006C2FA3" w:rsidRPr="006C2FA3" w:rsidRDefault="006C2FA3" w:rsidP="00A83A35">
            <w:pPr>
              <w:rPr>
                <w:sz w:val="20"/>
              </w:rPr>
            </w:pPr>
            <w:r w:rsidRPr="006C2FA3">
              <w:rPr>
                <w:sz w:val="20"/>
              </w:rPr>
              <w:t>2018-02-12</w:t>
            </w:r>
          </w:p>
        </w:tc>
        <w:tc>
          <w:tcPr>
            <w:tcW w:w="7178" w:type="dxa"/>
          </w:tcPr>
          <w:p w:rsidR="006C2FA3" w:rsidRPr="006C2FA3" w:rsidRDefault="006C2FA3" w:rsidP="00A83A35">
            <w:pPr>
              <w:rPr>
                <w:sz w:val="20"/>
              </w:rPr>
            </w:pPr>
            <w:r w:rsidRPr="006C2FA3">
              <w:rPr>
                <w:rStyle w:val="SCCSsocChar"/>
              </w:rPr>
              <w:t xml:space="preserve">Her Majesty the Queen v. Paul Trevor </w:t>
            </w:r>
            <w:proofErr w:type="spellStart"/>
            <w:r w:rsidRPr="006C2FA3">
              <w:rPr>
                <w:rStyle w:val="SCCSsocChar"/>
              </w:rPr>
              <w:t>Calnen</w:t>
            </w:r>
            <w:proofErr w:type="spellEnd"/>
            <w:r w:rsidRPr="006C2FA3">
              <w:rPr>
                <w:sz w:val="20"/>
              </w:rPr>
              <w:t xml:space="preserve"> (N.S.) (Criminal) (As of Right) (37707)</w:t>
            </w:r>
          </w:p>
        </w:tc>
      </w:tr>
      <w:tr w:rsidR="006C2FA3" w:rsidRPr="006C2FA3" w:rsidTr="002B1E65">
        <w:trPr>
          <w:cantSplit/>
        </w:trPr>
        <w:tc>
          <w:tcPr>
            <w:tcW w:w="2398" w:type="dxa"/>
          </w:tcPr>
          <w:p w:rsidR="006C2FA3" w:rsidRPr="006C2FA3" w:rsidRDefault="006C2FA3" w:rsidP="00A83A35">
            <w:pPr>
              <w:rPr>
                <w:sz w:val="20"/>
              </w:rPr>
            </w:pPr>
            <w:r w:rsidRPr="006C2FA3">
              <w:rPr>
                <w:sz w:val="20"/>
              </w:rPr>
              <w:t>2018-02-14</w:t>
            </w:r>
          </w:p>
        </w:tc>
        <w:tc>
          <w:tcPr>
            <w:tcW w:w="7178" w:type="dxa"/>
          </w:tcPr>
          <w:p w:rsidR="006C2FA3" w:rsidRPr="006C2FA3" w:rsidRDefault="006C2FA3" w:rsidP="00A83A35">
            <w:pPr>
              <w:rPr>
                <w:sz w:val="20"/>
              </w:rPr>
            </w:pPr>
            <w:r w:rsidRPr="006C2FA3">
              <w:rPr>
                <w:rStyle w:val="SCCSsocChar"/>
              </w:rPr>
              <w:t>G.T.D. v. Her Majesty the Queen</w:t>
            </w:r>
            <w:r w:rsidRPr="006C2FA3">
              <w:rPr>
                <w:sz w:val="20"/>
              </w:rPr>
              <w:t xml:space="preserve"> (Alta.) (Criminal) (As of Right) (37756)</w:t>
            </w:r>
          </w:p>
        </w:tc>
      </w:tr>
      <w:tr w:rsidR="006C2FA3" w:rsidRPr="006C2FA3" w:rsidTr="002B1E65">
        <w:trPr>
          <w:cantSplit/>
        </w:trPr>
        <w:tc>
          <w:tcPr>
            <w:tcW w:w="2398" w:type="dxa"/>
          </w:tcPr>
          <w:p w:rsidR="006C2FA3" w:rsidRPr="006C2FA3" w:rsidRDefault="006C2FA3" w:rsidP="00A83A35">
            <w:pPr>
              <w:rPr>
                <w:sz w:val="20"/>
              </w:rPr>
            </w:pPr>
            <w:r w:rsidRPr="006C2FA3">
              <w:rPr>
                <w:sz w:val="20"/>
              </w:rPr>
              <w:t>2018-02-15</w:t>
            </w:r>
          </w:p>
        </w:tc>
        <w:tc>
          <w:tcPr>
            <w:tcW w:w="7178" w:type="dxa"/>
          </w:tcPr>
          <w:p w:rsidR="006C2FA3" w:rsidRPr="006C2FA3" w:rsidRDefault="006C2FA3" w:rsidP="00A83A35">
            <w:pPr>
              <w:rPr>
                <w:sz w:val="20"/>
              </w:rPr>
            </w:pPr>
            <w:r w:rsidRPr="006C2FA3">
              <w:rPr>
                <w:rStyle w:val="SCCSsocChar"/>
              </w:rPr>
              <w:t>Orphan Well Association, et al. v. Grant Thornton Limited, et al.</w:t>
            </w:r>
            <w:r w:rsidRPr="006C2FA3">
              <w:rPr>
                <w:sz w:val="20"/>
              </w:rPr>
              <w:t xml:space="preserve"> (Alta.) (Civil) (By Leave) (37627)</w:t>
            </w:r>
          </w:p>
        </w:tc>
      </w:tr>
      <w:tr w:rsidR="006C2FA3" w:rsidRPr="006C2FA3" w:rsidTr="002B1E65">
        <w:trPr>
          <w:cantSplit/>
        </w:trPr>
        <w:tc>
          <w:tcPr>
            <w:tcW w:w="2398" w:type="dxa"/>
          </w:tcPr>
          <w:p w:rsidR="006C2FA3" w:rsidRPr="006C2FA3" w:rsidRDefault="006C2FA3" w:rsidP="00A83A35">
            <w:pPr>
              <w:rPr>
                <w:sz w:val="20"/>
              </w:rPr>
            </w:pPr>
            <w:r w:rsidRPr="006C2FA3">
              <w:rPr>
                <w:sz w:val="20"/>
              </w:rPr>
              <w:t>2018-02-16</w:t>
            </w:r>
          </w:p>
        </w:tc>
        <w:tc>
          <w:tcPr>
            <w:tcW w:w="7178" w:type="dxa"/>
          </w:tcPr>
          <w:p w:rsidR="006C2FA3" w:rsidRPr="006C2FA3" w:rsidRDefault="006C2FA3" w:rsidP="00A83A35">
            <w:pPr>
              <w:rPr>
                <w:sz w:val="20"/>
              </w:rPr>
            </w:pPr>
            <w:r w:rsidRPr="006C2FA3">
              <w:rPr>
                <w:rStyle w:val="SCCSsocChar"/>
              </w:rPr>
              <w:t>A.G.W. v. Her Majesty the Queen in Right of Alberta</w:t>
            </w:r>
            <w:r w:rsidRPr="006C2FA3">
              <w:rPr>
                <w:sz w:val="20"/>
              </w:rPr>
              <w:t xml:space="preserve"> (Alta.) (Criminal) (As of Right) (37795)</w:t>
            </w:r>
          </w:p>
        </w:tc>
      </w:tr>
    </w:tbl>
    <w:p w:rsidR="005F1ED8" w:rsidRDefault="005F1ED8" w:rsidP="004B66B4">
      <w:pPr>
        <w:rPr>
          <w:sz w:val="20"/>
          <w:szCs w:val="20"/>
          <w:lang w:val="fr-CA"/>
        </w:rPr>
      </w:pPr>
    </w:p>
    <w:p w:rsidR="004B66B4" w:rsidRPr="00DD0B49" w:rsidRDefault="009C02F9" w:rsidP="002868D0">
      <w:pPr>
        <w:jc w:val="both"/>
        <w:rPr>
          <w:sz w:val="20"/>
          <w:szCs w:val="20"/>
        </w:rPr>
      </w:pPr>
      <w:r>
        <w:rPr>
          <w:sz w:val="20"/>
          <w:szCs w:val="20"/>
          <w:lang w:val="fr-CA"/>
        </w:rPr>
        <w:pict>
          <v:rect id="_x0000_i1041"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Pr>
          <w:sz w:val="20"/>
          <w:szCs w:val="20"/>
        </w:rPr>
        <w:t>-</w:t>
      </w:r>
      <w:r w:rsidRPr="00DD0B49">
        <w:rPr>
          <w:sz w:val="20"/>
          <w:szCs w:val="20"/>
        </w:rPr>
        <w:t xml:space="preserve">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C01FCB" w:rsidRPr="00167E4C" w:rsidRDefault="00C01FCB" w:rsidP="00C01FCB">
      <w:pPr>
        <w:widowControl w:val="0"/>
        <w:rPr>
          <w:sz w:val="20"/>
          <w:szCs w:val="20"/>
          <w:lang w:val="fr-CA"/>
        </w:rPr>
      </w:pPr>
    </w:p>
    <w:bookmarkStart w:id="2" w:name="1"/>
    <w:bookmarkEnd w:id="2"/>
    <w:p w:rsidR="00BF3169" w:rsidRDefault="00C01FCB" w:rsidP="00BF3169">
      <w:pPr>
        <w:pStyle w:val="SCCLsocParty"/>
        <w:jc w:val="left"/>
        <w:rPr>
          <w:sz w:val="20"/>
          <w:szCs w:val="20"/>
          <w:lang w:val="en-US"/>
        </w:rPr>
      </w:pPr>
      <w:r w:rsidRPr="00167E4C">
        <w:rPr>
          <w:b/>
          <w:i/>
          <w:sz w:val="20"/>
          <w:szCs w:val="20"/>
          <w:lang w:val="en-CA"/>
        </w:rPr>
        <w:fldChar w:fldCharType="begin"/>
      </w:r>
      <w:r w:rsidRPr="00167E4C">
        <w:rPr>
          <w:b/>
          <w:sz w:val="20"/>
          <w:szCs w:val="20"/>
          <w:lang w:val="en-CA"/>
        </w:rPr>
        <w:instrText xml:space="preserve"> SEQ CHAPTER \h \r 1</w:instrText>
      </w:r>
      <w:r w:rsidRPr="00167E4C">
        <w:rPr>
          <w:b/>
          <w:i/>
          <w:sz w:val="20"/>
          <w:szCs w:val="20"/>
          <w:lang w:val="en-CA"/>
        </w:rPr>
        <w:fldChar w:fldCharType="end"/>
      </w:r>
      <w:r w:rsidR="00BF3169">
        <w:rPr>
          <w:b/>
          <w:sz w:val="20"/>
          <w:szCs w:val="20"/>
          <w:lang w:val="en-CA"/>
        </w:rPr>
        <w:t>37395</w:t>
      </w:r>
      <w:r w:rsidRPr="00167E4C">
        <w:rPr>
          <w:sz w:val="20"/>
          <w:szCs w:val="20"/>
          <w:lang w:val="en-CA"/>
        </w:rPr>
        <w:tab/>
      </w:r>
      <w:bookmarkStart w:id="3" w:name="3"/>
      <w:bookmarkEnd w:id="3"/>
      <w:r w:rsidR="00BF3169" w:rsidRPr="00BF3169">
        <w:rPr>
          <w:b/>
          <w:i/>
          <w:sz w:val="20"/>
          <w:szCs w:val="20"/>
          <w:lang w:val="en-US"/>
        </w:rPr>
        <w:t xml:space="preserve">Kevin Patrick </w:t>
      </w:r>
      <w:proofErr w:type="spellStart"/>
      <w:r w:rsidR="00BF3169" w:rsidRPr="00BF3169">
        <w:rPr>
          <w:b/>
          <w:i/>
          <w:sz w:val="20"/>
          <w:szCs w:val="20"/>
          <w:lang w:val="en-US"/>
        </w:rPr>
        <w:t>Gubbins</w:t>
      </w:r>
      <w:proofErr w:type="spellEnd"/>
      <w:r w:rsidR="00BF3169" w:rsidRPr="00BF3169">
        <w:rPr>
          <w:b/>
          <w:i/>
          <w:sz w:val="20"/>
          <w:szCs w:val="20"/>
          <w:lang w:val="en-US"/>
        </w:rPr>
        <w:t xml:space="preserve"> v. Her Majesty the Queen</w:t>
      </w:r>
      <w:r w:rsidRPr="00BF3169">
        <w:rPr>
          <w:sz w:val="20"/>
          <w:szCs w:val="20"/>
          <w:lang w:val="en-US"/>
        </w:rPr>
        <w:tab/>
      </w:r>
    </w:p>
    <w:p w:rsidR="00C01FCB" w:rsidRDefault="00BF3169" w:rsidP="00BF3169">
      <w:pPr>
        <w:widowControl w:val="0"/>
        <w:ind w:firstLine="720"/>
        <w:jc w:val="both"/>
        <w:rPr>
          <w:rFonts w:eastAsia="Calibri" w:cs="Times New Roman"/>
          <w:sz w:val="20"/>
          <w:szCs w:val="20"/>
          <w:lang w:val="en-US"/>
        </w:rPr>
      </w:pPr>
      <w:r w:rsidRPr="00BF3169">
        <w:rPr>
          <w:rFonts w:eastAsia="Calibri" w:cs="Times New Roman"/>
          <w:sz w:val="20"/>
          <w:szCs w:val="20"/>
          <w:lang w:val="en-US"/>
        </w:rPr>
        <w:t>(Alta.) (Criminal) (By Leave)</w:t>
      </w:r>
    </w:p>
    <w:p w:rsidR="00BF3169" w:rsidRPr="00167E4C" w:rsidRDefault="00BF3169" w:rsidP="00BF3169">
      <w:pPr>
        <w:widowControl w:val="0"/>
        <w:ind w:firstLine="720"/>
        <w:jc w:val="both"/>
        <w:rPr>
          <w:b/>
          <w:i/>
          <w:sz w:val="20"/>
          <w:szCs w:val="20"/>
        </w:rPr>
      </w:pPr>
    </w:p>
    <w:p w:rsidR="00BF3169" w:rsidRPr="00BF3169" w:rsidRDefault="00BF3169" w:rsidP="00BF3169">
      <w:pPr>
        <w:autoSpaceDE w:val="0"/>
        <w:autoSpaceDN w:val="0"/>
        <w:adjustRightInd w:val="0"/>
        <w:jc w:val="both"/>
        <w:rPr>
          <w:sz w:val="20"/>
          <w:szCs w:val="20"/>
        </w:rPr>
      </w:pPr>
      <w:r w:rsidRPr="00BF3169">
        <w:rPr>
          <w:sz w:val="20"/>
          <w:szCs w:val="20"/>
        </w:rPr>
        <w:t>Criminal law - Evidence - Disclosure - Criminal Code offences - Motor vehicles - Impaired driving or driving over the legal limit - Breathalyzer or blood sample demand - Approved instrument or device - Crown refused disclosure of maintenance records for breathalyzer devices to accused charged with driving with blood alcohol level exceeding limit - Whether maintenance records for breathalyzer devices subject to first party disclosure rules.</w:t>
      </w:r>
    </w:p>
    <w:p w:rsidR="00BF3169" w:rsidRPr="00BF3169" w:rsidRDefault="00BF3169" w:rsidP="00BF3169">
      <w:pPr>
        <w:autoSpaceDE w:val="0"/>
        <w:autoSpaceDN w:val="0"/>
        <w:adjustRightInd w:val="0"/>
        <w:jc w:val="both"/>
        <w:rPr>
          <w:sz w:val="20"/>
          <w:szCs w:val="20"/>
        </w:rPr>
      </w:pPr>
    </w:p>
    <w:p w:rsidR="00C01FCB" w:rsidRPr="00167E4C" w:rsidRDefault="00BF3169" w:rsidP="00BF3169">
      <w:pPr>
        <w:autoSpaceDE w:val="0"/>
        <w:autoSpaceDN w:val="0"/>
        <w:adjustRightInd w:val="0"/>
        <w:jc w:val="both"/>
        <w:rPr>
          <w:sz w:val="20"/>
          <w:szCs w:val="20"/>
        </w:rPr>
      </w:pPr>
      <w:r w:rsidRPr="00BF3169">
        <w:rPr>
          <w:sz w:val="20"/>
          <w:szCs w:val="20"/>
        </w:rPr>
        <w:t xml:space="preserve">The appellant, Mr. </w:t>
      </w:r>
      <w:proofErr w:type="spellStart"/>
      <w:r w:rsidRPr="00BF3169">
        <w:rPr>
          <w:sz w:val="20"/>
          <w:szCs w:val="20"/>
        </w:rPr>
        <w:t>Gubbins</w:t>
      </w:r>
      <w:proofErr w:type="spellEnd"/>
      <w:r w:rsidRPr="00BF3169">
        <w:rPr>
          <w:sz w:val="20"/>
          <w:szCs w:val="20"/>
        </w:rPr>
        <w:t xml:space="preserve">, was detained on March 10, 2014. Samples of his breath were analysed, which showed two blood alcohol readings of 120 mg/%, and he was charged with driving “over 80”. The respondent Crown provided the standard breathalyzer disclosure package, and Mr. </w:t>
      </w:r>
      <w:proofErr w:type="spellStart"/>
      <w:r w:rsidRPr="00BF3169">
        <w:rPr>
          <w:sz w:val="20"/>
          <w:szCs w:val="20"/>
        </w:rPr>
        <w:t>Gubbins</w:t>
      </w:r>
      <w:proofErr w:type="spellEnd"/>
      <w:r w:rsidRPr="00BF3169">
        <w:rPr>
          <w:sz w:val="20"/>
          <w:szCs w:val="20"/>
        </w:rPr>
        <w:t xml:space="preserve"> then demanded the maintenance records for the approved instrument since it was imported into Canada and first put into use. The Crown took the view that these records were not in the possession of the Crown, or even the police, but were actually held by the third party contractor that maintained the equipment. A </w:t>
      </w:r>
      <w:proofErr w:type="spellStart"/>
      <w:r w:rsidRPr="00BF3169">
        <w:rPr>
          <w:sz w:val="20"/>
          <w:szCs w:val="20"/>
        </w:rPr>
        <w:t>voir</w:t>
      </w:r>
      <w:proofErr w:type="spellEnd"/>
      <w:r w:rsidRPr="00BF3169">
        <w:rPr>
          <w:sz w:val="20"/>
          <w:szCs w:val="20"/>
        </w:rPr>
        <w:t xml:space="preserve"> dire was held, in which the Crown called expert evidence to demonstrate that the requested records were irrelevant to making full answer and defence. The trial judge concluded that she was bound by R. v. Kilpatrick, 2013 ABQB 5, and that the records were subject to first party </w:t>
      </w:r>
      <w:proofErr w:type="spellStart"/>
      <w:r w:rsidRPr="00BF3169">
        <w:rPr>
          <w:sz w:val="20"/>
          <w:szCs w:val="20"/>
        </w:rPr>
        <w:t>Stinchcombe</w:t>
      </w:r>
      <w:proofErr w:type="spellEnd"/>
      <w:r w:rsidRPr="00BF3169">
        <w:rPr>
          <w:sz w:val="20"/>
          <w:szCs w:val="20"/>
        </w:rPr>
        <w:t xml:space="preserve"> disclosure. She entered a stay. The Crown’s appeal of the stay was dismissed. The Court of Appeal, however, allowed the Crown’s further appeal, lifted the stay and sent the matter for trial.</w:t>
      </w:r>
    </w:p>
    <w:p w:rsidR="000B3C9A" w:rsidRPr="005F1ED8" w:rsidRDefault="009C02F9" w:rsidP="00C01FCB">
      <w:pPr>
        <w:tabs>
          <w:tab w:val="left" w:pos="-1440"/>
          <w:tab w:val="left" w:pos="-720"/>
        </w:tabs>
        <w:ind w:left="720" w:hanging="720"/>
        <w:jc w:val="both"/>
        <w:rPr>
          <w:sz w:val="20"/>
          <w:szCs w:val="20"/>
        </w:rPr>
      </w:pPr>
      <w:r>
        <w:rPr>
          <w:sz w:val="20"/>
          <w:szCs w:val="20"/>
          <w:lang w:val="fr-CA"/>
        </w:rPr>
        <w:pict>
          <v:rect id="_x0000_i1044" style="width:2in;height:1pt" o:hrpct="0" o:hralign="center" o:hrstd="t" o:hrnoshade="t" o:hr="t" fillcolor="black [3213]" stroked="f"/>
        </w:pict>
      </w:r>
    </w:p>
    <w:p w:rsidR="00830F2B" w:rsidRPr="00C344C4" w:rsidRDefault="00830F2B">
      <w:pPr>
        <w:rPr>
          <w:sz w:val="20"/>
          <w:szCs w:val="20"/>
          <w:lang w:val="en-US"/>
        </w:rPr>
      </w:pPr>
      <w:r w:rsidRPr="00C344C4">
        <w:rPr>
          <w:sz w:val="20"/>
          <w:szCs w:val="20"/>
          <w:lang w:val="en-US"/>
        </w:rPr>
        <w:br w:type="page"/>
      </w:r>
    </w:p>
    <w:p w:rsidR="00830F2B" w:rsidRPr="00830F2B" w:rsidRDefault="00830F2B" w:rsidP="00830F2B">
      <w:pPr>
        <w:pStyle w:val="SCCLsocParty"/>
        <w:jc w:val="left"/>
        <w:rPr>
          <w:sz w:val="20"/>
          <w:szCs w:val="20"/>
        </w:rPr>
      </w:pPr>
      <w:r w:rsidRPr="00167E4C">
        <w:rPr>
          <w:b/>
          <w:i/>
          <w:sz w:val="20"/>
          <w:szCs w:val="20"/>
          <w:lang w:val="en-CA"/>
        </w:rPr>
        <w:lastRenderedPageBreak/>
        <w:fldChar w:fldCharType="begin"/>
      </w:r>
      <w:r w:rsidRPr="00830F2B">
        <w:rPr>
          <w:b/>
          <w:sz w:val="20"/>
          <w:szCs w:val="20"/>
        </w:rPr>
        <w:instrText xml:space="preserve"> SEQ CHAPTER \h \r 1</w:instrText>
      </w:r>
      <w:r w:rsidRPr="00167E4C">
        <w:rPr>
          <w:b/>
          <w:i/>
          <w:sz w:val="20"/>
          <w:szCs w:val="20"/>
          <w:lang w:val="en-CA"/>
        </w:rPr>
        <w:fldChar w:fldCharType="end"/>
      </w:r>
      <w:r w:rsidRPr="00830F2B">
        <w:rPr>
          <w:b/>
          <w:sz w:val="20"/>
          <w:szCs w:val="20"/>
        </w:rPr>
        <w:t>37395</w:t>
      </w:r>
      <w:r w:rsidRPr="00830F2B">
        <w:rPr>
          <w:sz w:val="20"/>
          <w:szCs w:val="20"/>
        </w:rPr>
        <w:tab/>
      </w:r>
      <w:r w:rsidRPr="00830F2B">
        <w:rPr>
          <w:b/>
          <w:i/>
          <w:sz w:val="20"/>
          <w:szCs w:val="20"/>
        </w:rPr>
        <w:t xml:space="preserve">Kevin Patrick </w:t>
      </w:r>
      <w:proofErr w:type="spellStart"/>
      <w:r w:rsidRPr="00830F2B">
        <w:rPr>
          <w:b/>
          <w:i/>
          <w:sz w:val="20"/>
          <w:szCs w:val="20"/>
        </w:rPr>
        <w:t>Gubbins</w:t>
      </w:r>
      <w:proofErr w:type="spellEnd"/>
      <w:r w:rsidRPr="00830F2B">
        <w:rPr>
          <w:b/>
          <w:i/>
          <w:sz w:val="20"/>
          <w:szCs w:val="20"/>
        </w:rPr>
        <w:t xml:space="preserve"> v. Sa Majesté la Reine</w:t>
      </w:r>
      <w:r w:rsidRPr="00830F2B">
        <w:rPr>
          <w:sz w:val="20"/>
          <w:szCs w:val="20"/>
        </w:rPr>
        <w:tab/>
      </w:r>
    </w:p>
    <w:p w:rsidR="00830F2B" w:rsidRPr="00C344C4" w:rsidRDefault="00830F2B" w:rsidP="00830F2B">
      <w:pPr>
        <w:widowControl w:val="0"/>
        <w:ind w:firstLine="720"/>
        <w:jc w:val="both"/>
        <w:rPr>
          <w:rFonts w:eastAsia="Calibri" w:cs="Times New Roman"/>
          <w:sz w:val="20"/>
          <w:szCs w:val="20"/>
          <w:lang w:val="fr-CA"/>
        </w:rPr>
      </w:pPr>
      <w:r w:rsidRPr="00C344C4">
        <w:rPr>
          <w:rFonts w:eastAsia="Calibri" w:cs="Times New Roman"/>
          <w:sz w:val="20"/>
          <w:szCs w:val="20"/>
          <w:lang w:val="fr-CA"/>
        </w:rPr>
        <w:t>(</w:t>
      </w:r>
      <w:proofErr w:type="spellStart"/>
      <w:r w:rsidRPr="00C344C4">
        <w:rPr>
          <w:rFonts w:eastAsia="Calibri" w:cs="Times New Roman"/>
          <w:sz w:val="20"/>
          <w:szCs w:val="20"/>
          <w:lang w:val="fr-CA"/>
        </w:rPr>
        <w:t>Alb</w:t>
      </w:r>
      <w:proofErr w:type="spellEnd"/>
      <w:r w:rsidRPr="00C344C4">
        <w:rPr>
          <w:rFonts w:eastAsia="Calibri" w:cs="Times New Roman"/>
          <w:sz w:val="20"/>
          <w:szCs w:val="20"/>
          <w:lang w:val="fr-CA"/>
        </w:rPr>
        <w:t>.) (Criminelle) (Sur autorisation)</w:t>
      </w:r>
    </w:p>
    <w:p w:rsidR="00830F2B" w:rsidRPr="00C344C4" w:rsidRDefault="00830F2B" w:rsidP="00830F2B">
      <w:pPr>
        <w:widowControl w:val="0"/>
        <w:ind w:firstLine="720"/>
        <w:jc w:val="both"/>
        <w:rPr>
          <w:b/>
          <w:i/>
          <w:sz w:val="20"/>
          <w:szCs w:val="20"/>
          <w:lang w:val="fr-CA"/>
        </w:rPr>
      </w:pPr>
    </w:p>
    <w:p w:rsidR="00830F2B" w:rsidRPr="00830F2B" w:rsidRDefault="00830F2B" w:rsidP="00830F2B">
      <w:pPr>
        <w:jc w:val="both"/>
        <w:rPr>
          <w:sz w:val="20"/>
          <w:szCs w:val="20"/>
          <w:lang w:val="fr-CA"/>
        </w:rPr>
      </w:pPr>
      <w:r w:rsidRPr="00830F2B">
        <w:rPr>
          <w:sz w:val="20"/>
          <w:szCs w:val="20"/>
          <w:lang w:val="fr-CA"/>
        </w:rPr>
        <w:t xml:space="preserve">Droit criminel - Preuve - Communication de la preuve - Infractions au </w:t>
      </w:r>
      <w:r w:rsidRPr="00830F2B">
        <w:rPr>
          <w:i/>
          <w:sz w:val="20"/>
          <w:szCs w:val="20"/>
          <w:lang w:val="fr-CA"/>
        </w:rPr>
        <w:t xml:space="preserve">Code criminel </w:t>
      </w:r>
      <w:r w:rsidRPr="00830F2B">
        <w:rPr>
          <w:sz w:val="20"/>
          <w:szCs w:val="20"/>
          <w:lang w:val="fr-CA"/>
        </w:rPr>
        <w:t>- Véhicules automobiles - Conduite avec les facultés affaiblies ou conduite avec une alcoolémie supérieure à la limite permise - Échantillons d’haleine ou de sang demandés - Instrument ou appareil approuvé - Refus par le ministère public de communiquer les documents relatifs à l’entretien des alcootests à l’inculpé accusé de conduite avec une alcoolémie supérieure à la limite permise - Les documents relatifs à l’entretien des alcootests sont-ils assujettis aux règles de la communication de la preuve par la partie principale?</w:t>
      </w:r>
    </w:p>
    <w:p w:rsidR="00830F2B" w:rsidRPr="00830F2B" w:rsidRDefault="00830F2B" w:rsidP="00830F2B">
      <w:pPr>
        <w:widowControl w:val="0"/>
        <w:jc w:val="both"/>
        <w:rPr>
          <w:sz w:val="20"/>
          <w:szCs w:val="20"/>
          <w:lang w:val="fr-CA"/>
        </w:rPr>
      </w:pPr>
    </w:p>
    <w:p w:rsidR="00830F2B" w:rsidRPr="00830F2B" w:rsidRDefault="00830F2B" w:rsidP="00830F2B">
      <w:pPr>
        <w:jc w:val="both"/>
        <w:rPr>
          <w:sz w:val="20"/>
          <w:szCs w:val="20"/>
          <w:lang w:val="fr-CA"/>
        </w:rPr>
      </w:pPr>
      <w:r w:rsidRPr="00830F2B">
        <w:rPr>
          <w:sz w:val="20"/>
          <w:szCs w:val="20"/>
          <w:lang w:val="fr-CA"/>
        </w:rPr>
        <w:t>L’appelant, M. </w:t>
      </w:r>
      <w:proofErr w:type="spellStart"/>
      <w:r w:rsidRPr="00830F2B">
        <w:rPr>
          <w:sz w:val="20"/>
          <w:szCs w:val="20"/>
          <w:lang w:val="fr-CA"/>
        </w:rPr>
        <w:t>Gubbins</w:t>
      </w:r>
      <w:proofErr w:type="spellEnd"/>
      <w:r w:rsidRPr="00830F2B">
        <w:rPr>
          <w:sz w:val="20"/>
          <w:szCs w:val="20"/>
          <w:lang w:val="fr-CA"/>
        </w:rPr>
        <w:t>, a été détenu le 10 mars 2014. Des échantillons de son haleine ont été analysés et indiquaient deux taux d’alcoolémie de 120 mg/100 ml. Il a été accusé de conduite avec une alcoolémie supérieure à 80. Le ministère public intimé a communiqué les documents habituels relatifs à l’alcootest, et M. </w:t>
      </w:r>
      <w:proofErr w:type="spellStart"/>
      <w:r w:rsidRPr="00830F2B">
        <w:rPr>
          <w:sz w:val="20"/>
          <w:szCs w:val="20"/>
          <w:lang w:val="fr-CA"/>
        </w:rPr>
        <w:t>Gubbins</w:t>
      </w:r>
      <w:proofErr w:type="spellEnd"/>
      <w:r w:rsidRPr="00830F2B">
        <w:rPr>
          <w:sz w:val="20"/>
          <w:szCs w:val="20"/>
          <w:lang w:val="fr-CA"/>
        </w:rPr>
        <w:t xml:space="preserve"> a ensuite demandé d’obtenir les documents relatifs à l’entretien de l’instrument approuvé depuis son importation au Canada et sa première utilisation. Le ministère public a soutenu que ni lui ni la police n’avaient ces documents en sa possession, mais que ceux-ci étaient en la possession du tiers entrepreneur qui assurait l’entretien de l’équipement. Un voir-dire a eu lieu, lors duquel le ministère public a présenté une preuve d’expert pour démontrer que les documents demandés n’étaient pas pertinents dans le cadre de la défense pleine et entière de l’accusé. La juge du procès a conclu qu’elle était liée par la décision </w:t>
      </w:r>
      <w:r w:rsidRPr="00830F2B">
        <w:rPr>
          <w:i/>
          <w:sz w:val="20"/>
          <w:szCs w:val="20"/>
          <w:lang w:val="fr-CA"/>
        </w:rPr>
        <w:t>R. c. Kilpatrick</w:t>
      </w:r>
      <w:r w:rsidRPr="00830F2B">
        <w:rPr>
          <w:sz w:val="20"/>
          <w:szCs w:val="20"/>
          <w:lang w:val="fr-CA"/>
        </w:rPr>
        <w:t xml:space="preserve">, 2013 ABQB 5, et que les documents étaient assujettis à la communication qui incombe à la partie principale, établie dans </w:t>
      </w:r>
      <w:proofErr w:type="spellStart"/>
      <w:r w:rsidRPr="00830F2B">
        <w:rPr>
          <w:i/>
          <w:sz w:val="20"/>
          <w:szCs w:val="20"/>
          <w:lang w:val="fr-CA"/>
        </w:rPr>
        <w:t>Stinchcombe</w:t>
      </w:r>
      <w:proofErr w:type="spellEnd"/>
      <w:r w:rsidRPr="00830F2B">
        <w:rPr>
          <w:sz w:val="20"/>
          <w:szCs w:val="20"/>
          <w:lang w:val="fr-CA"/>
        </w:rPr>
        <w:t>. Elle a ordonné l’arrêt des procédures. L’appel du ministère public contre l’arrêt des procédures a été rejeté. Cependant, la Cour d’appel a accueilli l’appel subséquent du ministère public, a levé l’arrêt des procédures et a renvoyé l’affaire à procès.</w:t>
      </w:r>
    </w:p>
    <w:p w:rsidR="000B3C9A" w:rsidRPr="00830F2B" w:rsidRDefault="009C02F9" w:rsidP="000B3C9A">
      <w:pPr>
        <w:tabs>
          <w:tab w:val="left" w:pos="-1440"/>
          <w:tab w:val="left" w:pos="-720"/>
        </w:tabs>
        <w:ind w:left="720" w:hanging="720"/>
        <w:jc w:val="both"/>
        <w:rPr>
          <w:sz w:val="20"/>
          <w:szCs w:val="20"/>
        </w:rPr>
      </w:pPr>
      <w:r>
        <w:rPr>
          <w:sz w:val="20"/>
          <w:szCs w:val="20"/>
          <w:lang w:val="fr-CA"/>
        </w:rPr>
        <w:pict>
          <v:rect id="_x0000_i1045" style="width:2in;height:1pt" o:hrpct="0" o:hralign="center" o:hrstd="t" o:hrnoshade="t" o:hr="t" fillcolor="black [3213]" stroked="f"/>
        </w:pict>
      </w:r>
    </w:p>
    <w:p w:rsidR="00C01FCB" w:rsidRPr="00830F2B" w:rsidRDefault="000B3C9A" w:rsidP="00C46572">
      <w:pPr>
        <w:tabs>
          <w:tab w:val="left" w:pos="-1440"/>
          <w:tab w:val="left" w:pos="-720"/>
        </w:tabs>
        <w:ind w:left="720" w:hanging="720"/>
        <w:jc w:val="both"/>
        <w:rPr>
          <w:lang w:val="fr-CA"/>
        </w:rPr>
      </w:pPr>
      <w:r w:rsidRPr="00830F2B">
        <w:rPr>
          <w:lang w:val="fr-CA"/>
        </w:rPr>
        <w:br w:type="page"/>
      </w:r>
    </w:p>
    <w:p w:rsidR="006213C0" w:rsidRPr="006213C0" w:rsidRDefault="006213C0" w:rsidP="006213C0">
      <w:pPr>
        <w:widowControl w:val="0"/>
        <w:ind w:left="720" w:hanging="720"/>
        <w:jc w:val="both"/>
        <w:rPr>
          <w:i/>
          <w:sz w:val="20"/>
        </w:rPr>
      </w:pPr>
      <w:r w:rsidRPr="006213C0">
        <w:rPr>
          <w:b/>
          <w:sz w:val="20"/>
        </w:rPr>
        <w:lastRenderedPageBreak/>
        <w:fldChar w:fldCharType="begin"/>
      </w:r>
      <w:r w:rsidRPr="006213C0">
        <w:rPr>
          <w:b/>
          <w:sz w:val="20"/>
        </w:rPr>
        <w:instrText xml:space="preserve"> SEQ CHAPTER \h \r 1</w:instrText>
      </w:r>
      <w:r w:rsidRPr="006213C0">
        <w:rPr>
          <w:b/>
          <w:sz w:val="20"/>
        </w:rPr>
        <w:fldChar w:fldCharType="end"/>
      </w:r>
      <w:r w:rsidRPr="006213C0">
        <w:rPr>
          <w:b/>
          <w:sz w:val="20"/>
        </w:rPr>
        <w:t>37403</w:t>
      </w:r>
      <w:r w:rsidRPr="006213C0">
        <w:rPr>
          <w:sz w:val="20"/>
        </w:rPr>
        <w:tab/>
      </w:r>
      <w:r w:rsidRPr="006213C0">
        <w:rPr>
          <w:b/>
          <w:i/>
          <w:sz w:val="20"/>
        </w:rPr>
        <w:t xml:space="preserve">Darren John Chip </w:t>
      </w:r>
      <w:proofErr w:type="spellStart"/>
      <w:r w:rsidRPr="006213C0">
        <w:rPr>
          <w:b/>
          <w:i/>
          <w:sz w:val="20"/>
        </w:rPr>
        <w:t>Vallentgoed</w:t>
      </w:r>
      <w:proofErr w:type="spellEnd"/>
      <w:r w:rsidRPr="006213C0">
        <w:rPr>
          <w:b/>
          <w:i/>
          <w:sz w:val="20"/>
        </w:rPr>
        <w:t xml:space="preserve"> v. Her Majesty the Queen</w:t>
      </w:r>
    </w:p>
    <w:p w:rsidR="006213C0" w:rsidRPr="006213C0" w:rsidRDefault="006213C0" w:rsidP="006213C0">
      <w:pPr>
        <w:widowControl w:val="0"/>
        <w:ind w:firstLine="720"/>
        <w:jc w:val="both"/>
        <w:rPr>
          <w:sz w:val="20"/>
        </w:rPr>
      </w:pPr>
      <w:r w:rsidRPr="006213C0">
        <w:rPr>
          <w:sz w:val="20"/>
        </w:rPr>
        <w:t>(Alta.) (Criminal) (By Leave)</w:t>
      </w:r>
    </w:p>
    <w:p w:rsidR="006213C0" w:rsidRPr="006213C0" w:rsidRDefault="006213C0" w:rsidP="006213C0">
      <w:pPr>
        <w:widowControl w:val="0"/>
        <w:jc w:val="both"/>
        <w:rPr>
          <w:sz w:val="20"/>
        </w:rPr>
      </w:pPr>
    </w:p>
    <w:p w:rsidR="006213C0" w:rsidRPr="006213C0" w:rsidRDefault="006213C0" w:rsidP="006213C0">
      <w:pPr>
        <w:jc w:val="both"/>
        <w:rPr>
          <w:sz w:val="20"/>
          <w:szCs w:val="24"/>
        </w:rPr>
      </w:pPr>
      <w:r w:rsidRPr="006213C0">
        <w:rPr>
          <w:sz w:val="20"/>
          <w:szCs w:val="24"/>
        </w:rPr>
        <w:t xml:space="preserve">Criminal law - Evidence - Disclosure - </w:t>
      </w:r>
      <w:r w:rsidRPr="006213C0">
        <w:rPr>
          <w:i/>
          <w:sz w:val="20"/>
          <w:szCs w:val="24"/>
        </w:rPr>
        <w:t>Criminal Code</w:t>
      </w:r>
      <w:r w:rsidRPr="006213C0">
        <w:rPr>
          <w:sz w:val="20"/>
          <w:szCs w:val="24"/>
        </w:rPr>
        <w:t xml:space="preserve"> offences - Motor vehicles - Impaired driving or driving over the legal limit - Breathalyzer or blood sample demand - Approved instrument or device - Crown refused disclosure of maintenance records for breathalyzer devices to accused charged with driving with blood alcohol level exceeding limit - Whether maintenance records for breathalyzer devices subject to first party disclosure rules, or third party - Whether Court of Appeal erred in holding that Crown and police services are not required to “bridge gap” between first and third party disclosure by disclosing maintenance records for approved instruments - Whether Court of Appeal erred in holding that comments in </w:t>
      </w:r>
      <w:r w:rsidRPr="006213C0">
        <w:rPr>
          <w:i/>
          <w:sz w:val="20"/>
          <w:szCs w:val="24"/>
        </w:rPr>
        <w:t xml:space="preserve">R. v. St-Onge </w:t>
      </w:r>
      <w:proofErr w:type="spellStart"/>
      <w:r w:rsidRPr="006213C0">
        <w:rPr>
          <w:i/>
          <w:sz w:val="20"/>
          <w:szCs w:val="24"/>
        </w:rPr>
        <w:t>Lamoureux</w:t>
      </w:r>
      <w:proofErr w:type="spellEnd"/>
      <w:r w:rsidRPr="006213C0">
        <w:rPr>
          <w:sz w:val="20"/>
          <w:szCs w:val="24"/>
        </w:rPr>
        <w:t>, 2012 SCC 57, did not bind it to find that maintenance records for approved instruments were subject to first party disclosure - Whether Court of Appeal erred in finding that, since maintenance records sought would not have been of assistance to accused on facts here, records were not subject to disclosure.</w:t>
      </w:r>
    </w:p>
    <w:p w:rsidR="006213C0" w:rsidRPr="006213C0" w:rsidRDefault="006213C0" w:rsidP="006213C0">
      <w:pPr>
        <w:widowControl w:val="0"/>
        <w:jc w:val="both"/>
        <w:rPr>
          <w:sz w:val="20"/>
        </w:rPr>
      </w:pPr>
    </w:p>
    <w:p w:rsidR="006213C0" w:rsidRPr="006213C0" w:rsidRDefault="006213C0" w:rsidP="006213C0">
      <w:pPr>
        <w:jc w:val="both"/>
        <w:rPr>
          <w:sz w:val="20"/>
        </w:rPr>
      </w:pPr>
      <w:r w:rsidRPr="006213C0">
        <w:rPr>
          <w:sz w:val="20"/>
          <w:szCs w:val="24"/>
        </w:rPr>
        <w:t>The appellant, Mr. </w:t>
      </w:r>
      <w:proofErr w:type="spellStart"/>
      <w:r w:rsidRPr="006213C0">
        <w:rPr>
          <w:sz w:val="20"/>
          <w:szCs w:val="24"/>
        </w:rPr>
        <w:t>Vallentgoed</w:t>
      </w:r>
      <w:proofErr w:type="spellEnd"/>
      <w:r w:rsidRPr="006213C0">
        <w:rPr>
          <w:sz w:val="20"/>
          <w:szCs w:val="24"/>
        </w:rPr>
        <w:t>, was detained on May 11, 2013. Samples of his breath were analysed, and showed blood alcohol readings of 130 mg/% and 120 mg/%, and he was charged with driving “over 80”. The initial respondent Crown disclosure did not include the maintenance records for the breathalyzer instrument. In addition to the standard disclosure package, Mr. </w:t>
      </w:r>
      <w:proofErr w:type="spellStart"/>
      <w:r w:rsidRPr="006213C0">
        <w:rPr>
          <w:sz w:val="20"/>
          <w:szCs w:val="24"/>
        </w:rPr>
        <w:t>Vallentgoed</w:t>
      </w:r>
      <w:proofErr w:type="spellEnd"/>
      <w:r w:rsidRPr="006213C0">
        <w:rPr>
          <w:sz w:val="20"/>
          <w:szCs w:val="24"/>
        </w:rPr>
        <w:t xml:space="preserve"> requested: (</w:t>
      </w:r>
      <w:proofErr w:type="spellStart"/>
      <w:r w:rsidRPr="006213C0">
        <w:rPr>
          <w:sz w:val="20"/>
          <w:szCs w:val="24"/>
        </w:rPr>
        <w:t>i</w:t>
      </w:r>
      <w:proofErr w:type="spellEnd"/>
      <w:r w:rsidRPr="006213C0">
        <w:rPr>
          <w:sz w:val="20"/>
          <w:szCs w:val="24"/>
        </w:rPr>
        <w:t>) detailed records of maintenance and annual inspections for the instrument for the previous two years; (ii) maintenance and annual inspection log for the past two years for the external simulator; and (iii) records showing the cumulative uses of the alcohol standard for a one month period before the testing. The Crown voluntarily produced the maintenance log, which disclosed that, in addition to annual maintenance, the machine had been sent out for repair the day after Mr. </w:t>
      </w:r>
      <w:proofErr w:type="spellStart"/>
      <w:r w:rsidRPr="006213C0">
        <w:rPr>
          <w:sz w:val="20"/>
          <w:szCs w:val="24"/>
        </w:rPr>
        <w:t>Vallentgoed</w:t>
      </w:r>
      <w:proofErr w:type="spellEnd"/>
      <w:r w:rsidRPr="006213C0">
        <w:rPr>
          <w:sz w:val="20"/>
          <w:szCs w:val="24"/>
        </w:rPr>
        <w:t xml:space="preserve"> was charged, two months before that, and two months before that. The defence requested detailed reports of the work performed on those dates as there was no information in this regard in the maintenance log provided. The Crown took the position that the rest of the maintenance records were third party records, were irrelevant, and would not be voluntarily produced. The Crown called expert evidence on the relevance of the maintenance records. The trial judge followed the decision in </w:t>
      </w:r>
      <w:r w:rsidRPr="006213C0">
        <w:rPr>
          <w:i/>
          <w:sz w:val="20"/>
          <w:szCs w:val="24"/>
        </w:rPr>
        <w:t>R. v. Black</w:t>
      </w:r>
      <w:r w:rsidRPr="006213C0">
        <w:rPr>
          <w:sz w:val="20"/>
          <w:szCs w:val="24"/>
        </w:rPr>
        <w:t>, 2011 ABCA 349, and found that since the additional records were not “the fruits of” Mr. </w:t>
      </w:r>
      <w:proofErr w:type="spellStart"/>
      <w:r w:rsidRPr="006213C0">
        <w:rPr>
          <w:sz w:val="20"/>
          <w:szCs w:val="24"/>
        </w:rPr>
        <w:t>Vallentgoed’s</w:t>
      </w:r>
      <w:proofErr w:type="spellEnd"/>
      <w:r w:rsidRPr="006213C0">
        <w:rPr>
          <w:sz w:val="20"/>
          <w:szCs w:val="24"/>
        </w:rPr>
        <w:t xml:space="preserve"> prosecution, and were not relevant, they were not subject to first party </w:t>
      </w:r>
      <w:proofErr w:type="spellStart"/>
      <w:r w:rsidRPr="006213C0">
        <w:rPr>
          <w:i/>
          <w:sz w:val="20"/>
          <w:szCs w:val="24"/>
        </w:rPr>
        <w:t>Stinchcombe</w:t>
      </w:r>
      <w:proofErr w:type="spellEnd"/>
      <w:r w:rsidRPr="006213C0">
        <w:rPr>
          <w:sz w:val="20"/>
          <w:szCs w:val="24"/>
        </w:rPr>
        <w:t xml:space="preserve"> disclosure. Mr. </w:t>
      </w:r>
      <w:proofErr w:type="spellStart"/>
      <w:r w:rsidRPr="006213C0">
        <w:rPr>
          <w:sz w:val="20"/>
          <w:szCs w:val="24"/>
        </w:rPr>
        <w:t>Vallentgoed</w:t>
      </w:r>
      <w:proofErr w:type="spellEnd"/>
      <w:r w:rsidRPr="006213C0">
        <w:rPr>
          <w:sz w:val="20"/>
          <w:szCs w:val="24"/>
        </w:rPr>
        <w:t xml:space="preserve"> was convicted. Mr. </w:t>
      </w:r>
      <w:proofErr w:type="spellStart"/>
      <w:r w:rsidRPr="006213C0">
        <w:rPr>
          <w:sz w:val="20"/>
          <w:szCs w:val="24"/>
        </w:rPr>
        <w:t>Vallentgoed’s</w:t>
      </w:r>
      <w:proofErr w:type="spellEnd"/>
      <w:r w:rsidRPr="006213C0">
        <w:rPr>
          <w:sz w:val="20"/>
          <w:szCs w:val="24"/>
        </w:rPr>
        <w:t xml:space="preserve"> summary conviction appeal was allowed, the matter remitted to the provincial court, the records requested by the defence ordered to be disclosed by the Crown, and a new trial ordered to take place after the disclosure is provided. The Court of Appeal, however, allowed the Crown’s appeal and restored Mr. </w:t>
      </w:r>
      <w:proofErr w:type="spellStart"/>
      <w:r w:rsidRPr="006213C0">
        <w:rPr>
          <w:sz w:val="20"/>
          <w:szCs w:val="24"/>
        </w:rPr>
        <w:t>Vallentgoed’s</w:t>
      </w:r>
      <w:proofErr w:type="spellEnd"/>
      <w:r w:rsidRPr="006213C0">
        <w:rPr>
          <w:sz w:val="20"/>
          <w:szCs w:val="24"/>
        </w:rPr>
        <w:t xml:space="preserve"> conviction.</w:t>
      </w:r>
    </w:p>
    <w:p w:rsidR="00C01FCB" w:rsidRPr="006213C0" w:rsidRDefault="009C02F9" w:rsidP="00782AE4">
      <w:pPr>
        <w:jc w:val="both"/>
        <w:rPr>
          <w:sz w:val="20"/>
          <w:szCs w:val="20"/>
        </w:rPr>
      </w:pPr>
      <w:r>
        <w:rPr>
          <w:sz w:val="20"/>
          <w:szCs w:val="20"/>
          <w:lang w:val="fr-CA"/>
        </w:rPr>
        <w:pict>
          <v:rect id="_x0000_i1046" style="width:2in;height:1pt" o:hrpct="0" o:hralign="center" o:hrstd="t" o:hrnoshade="t" o:hr="t" fillcolor="black [3213]" stroked="f"/>
        </w:pict>
      </w:r>
    </w:p>
    <w:p w:rsidR="006213C0" w:rsidRPr="006213C0" w:rsidRDefault="006213C0">
      <w:pPr>
        <w:rPr>
          <w:sz w:val="20"/>
          <w:szCs w:val="20"/>
          <w:lang w:val="en-US"/>
        </w:rPr>
      </w:pPr>
      <w:r w:rsidRPr="006213C0">
        <w:rPr>
          <w:sz w:val="20"/>
          <w:szCs w:val="20"/>
          <w:lang w:val="en-US"/>
        </w:rPr>
        <w:br w:type="page"/>
      </w:r>
    </w:p>
    <w:p w:rsidR="008913A3" w:rsidRPr="008913A3" w:rsidRDefault="008913A3" w:rsidP="008913A3">
      <w:pPr>
        <w:widowControl w:val="0"/>
        <w:ind w:left="720" w:hanging="720"/>
        <w:jc w:val="both"/>
        <w:rPr>
          <w:b/>
          <w:i/>
          <w:sz w:val="20"/>
          <w:szCs w:val="20"/>
          <w:lang w:val="fr-CA"/>
        </w:rPr>
      </w:pPr>
      <w:r w:rsidRPr="008913A3">
        <w:rPr>
          <w:b/>
          <w:sz w:val="20"/>
          <w:szCs w:val="20"/>
        </w:rPr>
        <w:lastRenderedPageBreak/>
        <w:fldChar w:fldCharType="begin"/>
      </w:r>
      <w:r w:rsidRPr="008913A3">
        <w:rPr>
          <w:b/>
          <w:sz w:val="20"/>
          <w:szCs w:val="20"/>
          <w:lang w:val="fr-CA"/>
        </w:rPr>
        <w:instrText xml:space="preserve"> SEQ CHAPTER \h \r 1</w:instrText>
      </w:r>
      <w:r w:rsidRPr="008913A3">
        <w:rPr>
          <w:b/>
          <w:sz w:val="20"/>
          <w:szCs w:val="20"/>
          <w:lang w:val="en-US"/>
        </w:rPr>
        <w:fldChar w:fldCharType="end"/>
      </w:r>
      <w:r w:rsidRPr="008913A3">
        <w:rPr>
          <w:b/>
          <w:sz w:val="20"/>
          <w:szCs w:val="20"/>
          <w:lang w:val="fr-CA"/>
        </w:rPr>
        <w:t>37403</w:t>
      </w:r>
      <w:r w:rsidRPr="008913A3">
        <w:rPr>
          <w:sz w:val="20"/>
          <w:szCs w:val="20"/>
          <w:lang w:val="fr-CA"/>
        </w:rPr>
        <w:tab/>
      </w:r>
      <w:r w:rsidRPr="008913A3">
        <w:rPr>
          <w:b/>
          <w:i/>
          <w:sz w:val="20"/>
          <w:szCs w:val="20"/>
          <w:lang w:val="fr-CA"/>
        </w:rPr>
        <w:t xml:space="preserve">Darren John Chip </w:t>
      </w:r>
      <w:proofErr w:type="spellStart"/>
      <w:r w:rsidRPr="008913A3">
        <w:rPr>
          <w:b/>
          <w:i/>
          <w:sz w:val="20"/>
          <w:szCs w:val="20"/>
          <w:lang w:val="fr-CA"/>
        </w:rPr>
        <w:t>Vallentgoed</w:t>
      </w:r>
      <w:proofErr w:type="spellEnd"/>
      <w:r w:rsidRPr="008913A3">
        <w:rPr>
          <w:b/>
          <w:i/>
          <w:sz w:val="20"/>
          <w:szCs w:val="20"/>
          <w:lang w:val="fr-CA"/>
        </w:rPr>
        <w:t xml:space="preserve"> c. Sa Majesté la Reine</w:t>
      </w:r>
    </w:p>
    <w:p w:rsidR="008913A3" w:rsidRPr="008913A3" w:rsidRDefault="008913A3" w:rsidP="008913A3">
      <w:pPr>
        <w:widowControl w:val="0"/>
        <w:ind w:firstLine="720"/>
        <w:jc w:val="both"/>
        <w:rPr>
          <w:sz w:val="20"/>
          <w:szCs w:val="20"/>
          <w:lang w:val="fr-CA"/>
        </w:rPr>
      </w:pPr>
      <w:r w:rsidRPr="008913A3">
        <w:rPr>
          <w:sz w:val="20"/>
          <w:szCs w:val="20"/>
          <w:lang w:val="fr-CA"/>
        </w:rPr>
        <w:t>(</w:t>
      </w:r>
      <w:proofErr w:type="spellStart"/>
      <w:r w:rsidRPr="008913A3">
        <w:rPr>
          <w:sz w:val="20"/>
          <w:szCs w:val="20"/>
          <w:lang w:val="fr-CA"/>
        </w:rPr>
        <w:t>Alb</w:t>
      </w:r>
      <w:proofErr w:type="spellEnd"/>
      <w:r w:rsidRPr="008913A3">
        <w:rPr>
          <w:sz w:val="20"/>
          <w:szCs w:val="20"/>
          <w:lang w:val="fr-CA"/>
        </w:rPr>
        <w:t>.) (Criminelle) (Sur autorisation)</w:t>
      </w:r>
    </w:p>
    <w:p w:rsidR="008913A3" w:rsidRPr="008913A3" w:rsidRDefault="008913A3" w:rsidP="008913A3">
      <w:pPr>
        <w:widowControl w:val="0"/>
        <w:jc w:val="both"/>
        <w:rPr>
          <w:sz w:val="20"/>
          <w:szCs w:val="20"/>
          <w:lang w:val="fr-CA"/>
        </w:rPr>
      </w:pPr>
    </w:p>
    <w:p w:rsidR="008913A3" w:rsidRPr="008913A3" w:rsidRDefault="008913A3" w:rsidP="008913A3">
      <w:pPr>
        <w:jc w:val="both"/>
        <w:rPr>
          <w:sz w:val="20"/>
          <w:szCs w:val="20"/>
          <w:lang w:val="fr-CA"/>
        </w:rPr>
      </w:pPr>
      <w:r w:rsidRPr="008913A3">
        <w:rPr>
          <w:sz w:val="20"/>
          <w:szCs w:val="20"/>
          <w:lang w:val="fr-CA"/>
        </w:rPr>
        <w:t xml:space="preserve">Droit criminel - Preuve - Communication de la preuve - Infractions au </w:t>
      </w:r>
      <w:r w:rsidRPr="008913A3">
        <w:rPr>
          <w:i/>
          <w:sz w:val="20"/>
          <w:szCs w:val="20"/>
          <w:lang w:val="fr-CA"/>
        </w:rPr>
        <w:t>Code criminel</w:t>
      </w:r>
      <w:r w:rsidRPr="008913A3">
        <w:rPr>
          <w:sz w:val="20"/>
          <w:szCs w:val="20"/>
          <w:lang w:val="fr-CA"/>
        </w:rPr>
        <w:t xml:space="preserve"> - Véhicules automobiles - Conduite avec les facultés affaiblies ou conduite avec une alcoolémie supérieure à la limite permise - Échantillons d’haleine ou de sang demandés - Instrument ou appareil approuvé - Refus par le ministère public de communiquer les documents relatifs à l’entretien des alcootests à l’inculpé accusé de conduite avec une alcoolémie supérieure à la limite permise - Les documents relatifs à l’entretien des alcootests sont-ils assujettis aux règles de la communication par la partie principale, ou à celles de la communication par un tiers? - La Cour d’appel a-t-elle eu tort de conclure que le ministère public et les services policiers ne sont pas tenus de « réduire l’écart » entre la communication de la preuve par la partie principale et la communication d’éléments de preuve par un tiers en communiquant les dossiers relatifs à l’entretien d’appareils approuvés? - La Cour d’appel a-t-elle eu tort de conclure que les commentaires dans l’arrêt </w:t>
      </w:r>
      <w:r w:rsidRPr="008913A3">
        <w:rPr>
          <w:i/>
          <w:sz w:val="20"/>
          <w:szCs w:val="20"/>
          <w:lang w:val="fr-CA"/>
        </w:rPr>
        <w:t>R. c. St-</w:t>
      </w:r>
      <w:proofErr w:type="spellStart"/>
      <w:r w:rsidRPr="008913A3">
        <w:rPr>
          <w:i/>
          <w:sz w:val="20"/>
          <w:szCs w:val="20"/>
          <w:lang w:val="fr-CA"/>
        </w:rPr>
        <w:t>Onge</w:t>
      </w:r>
      <w:proofErr w:type="spellEnd"/>
      <w:r w:rsidRPr="008913A3">
        <w:rPr>
          <w:i/>
          <w:sz w:val="20"/>
          <w:szCs w:val="20"/>
          <w:lang w:val="fr-CA"/>
        </w:rPr>
        <w:t xml:space="preserve"> Lamoureux</w:t>
      </w:r>
      <w:r w:rsidRPr="008913A3">
        <w:rPr>
          <w:sz w:val="20"/>
          <w:szCs w:val="20"/>
          <w:lang w:val="fr-CA"/>
        </w:rPr>
        <w:t>, 2102 CSC 57 ne l’obligeaient pas de conclure que les dossiers d’entretien relatifs à l’entretien d’appareils approuvés devaient être communiqués par la partie principale? - La Cour d’appel a-t-elle eu tort de conclure que, puisque les dossiers relatifs à l’entretien demandés n’auraient pas été utiles à l’accusé en l’espèce, il n’était pas nécessaire de les communiquer?</w:t>
      </w:r>
    </w:p>
    <w:p w:rsidR="008913A3" w:rsidRPr="008913A3" w:rsidRDefault="008913A3" w:rsidP="008913A3">
      <w:pPr>
        <w:widowControl w:val="0"/>
        <w:jc w:val="both"/>
        <w:rPr>
          <w:sz w:val="20"/>
          <w:szCs w:val="20"/>
          <w:lang w:val="fr-CA"/>
        </w:rPr>
      </w:pPr>
    </w:p>
    <w:p w:rsidR="008913A3" w:rsidRDefault="008913A3" w:rsidP="008913A3">
      <w:pPr>
        <w:jc w:val="both"/>
        <w:rPr>
          <w:sz w:val="20"/>
          <w:szCs w:val="20"/>
          <w:lang w:val="fr-CA"/>
        </w:rPr>
      </w:pPr>
      <w:r w:rsidRPr="008913A3">
        <w:rPr>
          <w:sz w:val="20"/>
          <w:szCs w:val="20"/>
          <w:lang w:val="fr-CA"/>
        </w:rPr>
        <w:t>L’appelant, M. </w:t>
      </w:r>
      <w:proofErr w:type="spellStart"/>
      <w:r w:rsidRPr="008913A3">
        <w:rPr>
          <w:sz w:val="20"/>
          <w:szCs w:val="20"/>
          <w:lang w:val="fr-CA"/>
        </w:rPr>
        <w:t>Vallentgoed</w:t>
      </w:r>
      <w:proofErr w:type="spellEnd"/>
      <w:r w:rsidRPr="008913A3">
        <w:rPr>
          <w:sz w:val="20"/>
          <w:szCs w:val="20"/>
          <w:lang w:val="fr-CA"/>
        </w:rPr>
        <w:t>, a été détenu le 11 mai 2013. Des échantillons de son haleine ont été analysés, et indiquaient des taux d’alcoolémie de 130 mg/100 ml et de 120 mg/100 ml. Il a été accusé de conduite avec une alcoolémie supérieure à 80. Les documents initialement communiqués par le ministère public intimé ne comprenaient pas les documents relatifs à l’entretien de l’alcootest. En plus des documents habituels communiqués, M. </w:t>
      </w:r>
      <w:proofErr w:type="spellStart"/>
      <w:r w:rsidRPr="008913A3">
        <w:rPr>
          <w:sz w:val="20"/>
          <w:szCs w:val="20"/>
          <w:lang w:val="fr-CA"/>
        </w:rPr>
        <w:t>Vallentgoed</w:t>
      </w:r>
      <w:proofErr w:type="spellEnd"/>
      <w:r w:rsidRPr="008913A3">
        <w:rPr>
          <w:sz w:val="20"/>
          <w:szCs w:val="20"/>
          <w:lang w:val="fr-CA"/>
        </w:rPr>
        <w:t xml:space="preserve"> a demandé d’obtenir les renseignements suivants : (i) les registres détaillés d’entretien et des inspections annuelles de l’instrument pour les deux dernières années; (ii) les registres d’entretien et des inspections annuelles du simulateur externe pour les deux dernières années; et (iii) les registres indiquant les utilisations cumulatives de l’alcool type pendant une période d’un mois avant qu’il subisse l’alcootest. Le ministère public a volontairement produit le registre d’entretien, qui indiquait qu’en plus de l’entretien annuel, la machine a subi des réparations le lendemain que M. </w:t>
      </w:r>
      <w:proofErr w:type="spellStart"/>
      <w:r w:rsidRPr="008913A3">
        <w:rPr>
          <w:sz w:val="20"/>
          <w:szCs w:val="20"/>
          <w:lang w:val="fr-CA"/>
        </w:rPr>
        <w:t>Vallentgoed</w:t>
      </w:r>
      <w:proofErr w:type="spellEnd"/>
      <w:r w:rsidRPr="008913A3">
        <w:rPr>
          <w:sz w:val="20"/>
          <w:szCs w:val="20"/>
          <w:lang w:val="fr-CA"/>
        </w:rPr>
        <w:t xml:space="preserve"> a été accusé, ainsi que deux mois avant et deux mois après. La défense a demandé d’obtenir les rapports détaillés des travaux effectués à ces dates, puisqu’il n’y avait aucun renseignement à ce sujet dans le registre d’entretien fourni. Le ministère public a soutenu que les autres documents relatifs à l’entretien étaient des documents de tiers, qu’ils n’étaient pas pertinents et qu’ils ne seraient pas volontairement produits. Il a présenté une preuve d’expert concernant la pertinence des documents relatifs à l’entretien. La juge du procès a suivi la décision dans </w:t>
      </w:r>
      <w:r w:rsidRPr="008913A3">
        <w:rPr>
          <w:i/>
          <w:sz w:val="20"/>
          <w:szCs w:val="20"/>
          <w:lang w:val="fr-CA"/>
        </w:rPr>
        <w:t>R. c. Black</w:t>
      </w:r>
      <w:r w:rsidRPr="008913A3">
        <w:rPr>
          <w:sz w:val="20"/>
          <w:szCs w:val="20"/>
          <w:lang w:val="fr-CA"/>
        </w:rPr>
        <w:t>, 2011 ABCA 349, et a conclu que puisque les documents additionnels n’étaient pas « les fruits de » la poursuite de M. </w:t>
      </w:r>
      <w:proofErr w:type="spellStart"/>
      <w:r w:rsidRPr="008913A3">
        <w:rPr>
          <w:sz w:val="20"/>
          <w:szCs w:val="20"/>
          <w:lang w:val="fr-CA"/>
        </w:rPr>
        <w:t>Vallentgoed</w:t>
      </w:r>
      <w:proofErr w:type="spellEnd"/>
      <w:r w:rsidRPr="008913A3">
        <w:rPr>
          <w:sz w:val="20"/>
          <w:szCs w:val="20"/>
          <w:lang w:val="fr-CA"/>
        </w:rPr>
        <w:t xml:space="preserve">, et qu’ils n’étaient pas pertinents, ils n’étaient donc pas assujettis à la communication par la partie principale établie dans </w:t>
      </w:r>
      <w:proofErr w:type="spellStart"/>
      <w:r w:rsidRPr="008913A3">
        <w:rPr>
          <w:i/>
          <w:sz w:val="20"/>
          <w:szCs w:val="20"/>
          <w:lang w:val="fr-CA"/>
        </w:rPr>
        <w:t>Stinchcombe</w:t>
      </w:r>
      <w:proofErr w:type="spellEnd"/>
      <w:r w:rsidRPr="008913A3">
        <w:rPr>
          <w:sz w:val="20"/>
          <w:szCs w:val="20"/>
          <w:lang w:val="fr-CA"/>
        </w:rPr>
        <w:t>. M. </w:t>
      </w:r>
      <w:proofErr w:type="spellStart"/>
      <w:r w:rsidRPr="008913A3">
        <w:rPr>
          <w:sz w:val="20"/>
          <w:szCs w:val="20"/>
          <w:lang w:val="fr-CA"/>
        </w:rPr>
        <w:t>Vallentgoed</w:t>
      </w:r>
      <w:proofErr w:type="spellEnd"/>
      <w:r w:rsidRPr="008913A3">
        <w:rPr>
          <w:sz w:val="20"/>
          <w:szCs w:val="20"/>
          <w:lang w:val="fr-CA"/>
        </w:rPr>
        <w:t xml:space="preserve"> a été déclaré coupable. L’appel de la déclaration de culpabilité de M. </w:t>
      </w:r>
      <w:proofErr w:type="spellStart"/>
      <w:r w:rsidRPr="008913A3">
        <w:rPr>
          <w:sz w:val="20"/>
          <w:szCs w:val="20"/>
          <w:lang w:val="fr-CA"/>
        </w:rPr>
        <w:t>Vallentgoed</w:t>
      </w:r>
      <w:proofErr w:type="spellEnd"/>
      <w:r w:rsidRPr="008913A3">
        <w:rPr>
          <w:sz w:val="20"/>
          <w:szCs w:val="20"/>
          <w:lang w:val="fr-CA"/>
        </w:rPr>
        <w:t xml:space="preserve"> par procédure sommaire a été accueilli, l’affaire a été renvoyée à la cour provinciale, le ministère public s’est vu ordonner de communiquer les documents demandés par la défense, et il a été ordonné qu’un nouveau procès soit tenu après que la communication a eu lieu. Cependant, la Cour d’appel a accueilli l’appel du ministère public et a rétabli la déclaration de culpabilité de M. </w:t>
      </w:r>
      <w:proofErr w:type="spellStart"/>
      <w:r w:rsidRPr="008913A3">
        <w:rPr>
          <w:sz w:val="20"/>
          <w:szCs w:val="20"/>
          <w:lang w:val="fr-CA"/>
        </w:rPr>
        <w:t>Vallentgoed</w:t>
      </w:r>
      <w:proofErr w:type="spellEnd"/>
      <w:r w:rsidRPr="008913A3">
        <w:rPr>
          <w:sz w:val="20"/>
          <w:szCs w:val="20"/>
          <w:lang w:val="fr-CA"/>
        </w:rPr>
        <w:t>.</w:t>
      </w:r>
    </w:p>
    <w:p w:rsidR="00233CE8" w:rsidRDefault="00233CE8" w:rsidP="008913A3">
      <w:pPr>
        <w:jc w:val="both"/>
        <w:rPr>
          <w:sz w:val="20"/>
          <w:szCs w:val="20"/>
          <w:lang w:val="fr-CA"/>
        </w:rPr>
      </w:pPr>
    </w:p>
    <w:p w:rsidR="00233CE8" w:rsidRPr="008913A3" w:rsidRDefault="009C02F9" w:rsidP="008913A3">
      <w:pPr>
        <w:jc w:val="both"/>
        <w:rPr>
          <w:sz w:val="20"/>
          <w:szCs w:val="20"/>
          <w:lang w:val="fr-CA"/>
        </w:rPr>
      </w:pPr>
      <w:r>
        <w:rPr>
          <w:sz w:val="20"/>
          <w:szCs w:val="20"/>
          <w:lang w:val="fr-CA"/>
        </w:rPr>
        <w:pict>
          <v:rect id="_x0000_i1047" style="width:2in;height:1pt" o:hrpct="0" o:hralign="center" o:hrstd="t" o:hrnoshade="t" o:hr="t" fillcolor="black [3213]" stroked="f"/>
        </w:pict>
      </w:r>
    </w:p>
    <w:p w:rsidR="008913A3" w:rsidRPr="008913A3" w:rsidRDefault="008913A3">
      <w:pPr>
        <w:rPr>
          <w:sz w:val="20"/>
          <w:szCs w:val="20"/>
          <w:lang w:val="fr-CA"/>
        </w:rPr>
      </w:pPr>
      <w:r w:rsidRPr="008913A3">
        <w:rPr>
          <w:sz w:val="20"/>
          <w:szCs w:val="20"/>
          <w:lang w:val="fr-CA"/>
        </w:rPr>
        <w:br w:type="page"/>
      </w:r>
    </w:p>
    <w:p w:rsidR="002516D6" w:rsidRPr="002516D6" w:rsidRDefault="002516D6" w:rsidP="002516D6">
      <w:pPr>
        <w:jc w:val="both"/>
        <w:rPr>
          <w:b/>
          <w:i/>
          <w:sz w:val="20"/>
          <w:szCs w:val="20"/>
          <w:lang w:val="en-US"/>
        </w:rPr>
      </w:pPr>
      <w:r w:rsidRPr="002516D6">
        <w:rPr>
          <w:b/>
          <w:sz w:val="20"/>
          <w:szCs w:val="20"/>
          <w:lang w:val="en-US"/>
        </w:rPr>
        <w:lastRenderedPageBreak/>
        <w:t>37207</w:t>
      </w:r>
      <w:r w:rsidRPr="002516D6">
        <w:rPr>
          <w:b/>
          <w:sz w:val="20"/>
          <w:szCs w:val="20"/>
          <w:lang w:val="en-US"/>
        </w:rPr>
        <w:tab/>
      </w:r>
      <w:r w:rsidRPr="002516D6">
        <w:rPr>
          <w:b/>
          <w:i/>
          <w:sz w:val="20"/>
          <w:szCs w:val="20"/>
        </w:rPr>
        <w:t>Her Majesty the Queen v</w:t>
      </w:r>
      <w:r w:rsidRPr="002516D6">
        <w:rPr>
          <w:b/>
          <w:i/>
          <w:sz w:val="20"/>
          <w:szCs w:val="20"/>
          <w:lang w:val="en-US"/>
        </w:rPr>
        <w:t xml:space="preserve">. Justine </w:t>
      </w:r>
      <w:proofErr w:type="spellStart"/>
      <w:r w:rsidRPr="002516D6">
        <w:rPr>
          <w:b/>
          <w:i/>
          <w:sz w:val="20"/>
          <w:szCs w:val="20"/>
          <w:lang w:val="en-US"/>
        </w:rPr>
        <w:t>Awashish</w:t>
      </w:r>
      <w:proofErr w:type="spellEnd"/>
    </w:p>
    <w:p w:rsidR="002516D6" w:rsidRPr="002516D6" w:rsidRDefault="002516D6" w:rsidP="002516D6">
      <w:pPr>
        <w:jc w:val="both"/>
        <w:rPr>
          <w:sz w:val="20"/>
          <w:szCs w:val="20"/>
          <w:lang w:val="en-US"/>
        </w:rPr>
      </w:pPr>
      <w:r w:rsidRPr="002516D6">
        <w:rPr>
          <w:sz w:val="20"/>
          <w:szCs w:val="20"/>
          <w:lang w:val="en-US"/>
        </w:rPr>
        <w:tab/>
        <w:t>(Que.) (Criminal) (By Leave)</w:t>
      </w:r>
    </w:p>
    <w:p w:rsidR="002516D6" w:rsidRPr="002516D6" w:rsidRDefault="002516D6" w:rsidP="002516D6">
      <w:pPr>
        <w:jc w:val="both"/>
        <w:rPr>
          <w:b/>
          <w:sz w:val="20"/>
          <w:szCs w:val="20"/>
          <w:lang w:val="en-US"/>
        </w:rPr>
      </w:pPr>
    </w:p>
    <w:p w:rsidR="002516D6" w:rsidRPr="002516D6" w:rsidRDefault="002516D6" w:rsidP="002516D6">
      <w:pPr>
        <w:jc w:val="both"/>
        <w:rPr>
          <w:sz w:val="20"/>
          <w:szCs w:val="20"/>
          <w:lang w:val="en-US"/>
        </w:rPr>
      </w:pPr>
      <w:r w:rsidRPr="002516D6">
        <w:rPr>
          <w:sz w:val="20"/>
          <w:szCs w:val="20"/>
          <w:lang w:val="en-US"/>
        </w:rPr>
        <w:t xml:space="preserve">Criminal law - Appeals - Interlocutory judgment - </w:t>
      </w:r>
      <w:r w:rsidRPr="002516D6">
        <w:rPr>
          <w:i/>
          <w:sz w:val="20"/>
          <w:szCs w:val="20"/>
          <w:lang w:val="en-US"/>
        </w:rPr>
        <w:t>Certiorari</w:t>
      </w:r>
      <w:r w:rsidRPr="002516D6">
        <w:rPr>
          <w:sz w:val="20"/>
          <w:szCs w:val="20"/>
          <w:lang w:val="en-US"/>
        </w:rPr>
        <w:t xml:space="preserve"> - Jurisdiction - Impaired driving - Disclosure - </w:t>
      </w:r>
      <w:r w:rsidRPr="002516D6">
        <w:rPr>
          <w:sz w:val="20"/>
          <w:szCs w:val="20"/>
        </w:rPr>
        <w:t xml:space="preserve">Whether court exceeds its jurisdiction by ordering Crown to inquire into existence of documents not characterized as “fruits of investigation” of which defence seeks disclosure on basis of </w:t>
      </w:r>
      <w:r w:rsidRPr="002516D6">
        <w:rPr>
          <w:i/>
          <w:sz w:val="20"/>
          <w:szCs w:val="20"/>
        </w:rPr>
        <w:t xml:space="preserve">St-Onge </w:t>
      </w:r>
      <w:proofErr w:type="spellStart"/>
      <w:r w:rsidRPr="002516D6">
        <w:rPr>
          <w:i/>
          <w:sz w:val="20"/>
          <w:szCs w:val="20"/>
        </w:rPr>
        <w:t>Lamoureux</w:t>
      </w:r>
      <w:proofErr w:type="spellEnd"/>
      <w:r w:rsidRPr="002516D6">
        <w:rPr>
          <w:sz w:val="20"/>
          <w:szCs w:val="20"/>
        </w:rPr>
        <w:t xml:space="preserve">, [2012] 3 S.C.R. 187, and into identity of holders of those documents without relevance being demonstrated, or whether in so doing it commits error of law on face of record - Whether court of appeal can limit Superior Court’s scope of review and right to apply for </w:t>
      </w:r>
      <w:r w:rsidRPr="002516D6">
        <w:rPr>
          <w:i/>
          <w:sz w:val="20"/>
          <w:szCs w:val="20"/>
        </w:rPr>
        <w:t>certiorari</w:t>
      </w:r>
      <w:r w:rsidRPr="002516D6">
        <w:rPr>
          <w:sz w:val="20"/>
          <w:szCs w:val="20"/>
        </w:rPr>
        <w:t xml:space="preserve"> against interlocutory decisions concerning disclosure of evidence to cases of excess of jurisdiction or [translation] “definitive violation of  fundamental right”, thereby excluding error of law on face of record.</w:t>
      </w:r>
    </w:p>
    <w:p w:rsidR="002516D6" w:rsidRPr="002516D6" w:rsidRDefault="002516D6" w:rsidP="002516D6">
      <w:pPr>
        <w:jc w:val="both"/>
        <w:rPr>
          <w:sz w:val="20"/>
          <w:szCs w:val="20"/>
          <w:lang w:val="en-US"/>
        </w:rPr>
      </w:pPr>
    </w:p>
    <w:p w:rsidR="002516D6" w:rsidRPr="00C344C4" w:rsidRDefault="002516D6" w:rsidP="002516D6">
      <w:pPr>
        <w:jc w:val="both"/>
        <w:rPr>
          <w:b/>
          <w:sz w:val="20"/>
          <w:szCs w:val="20"/>
          <w:lang w:val="en-US"/>
        </w:rPr>
      </w:pPr>
      <w:r w:rsidRPr="002516D6">
        <w:rPr>
          <w:sz w:val="20"/>
          <w:szCs w:val="20"/>
        </w:rPr>
        <w:t xml:space="preserve">Justine </w:t>
      </w:r>
      <w:proofErr w:type="spellStart"/>
      <w:r w:rsidRPr="002516D6">
        <w:rPr>
          <w:sz w:val="20"/>
          <w:szCs w:val="20"/>
        </w:rPr>
        <w:t>Awashish</w:t>
      </w:r>
      <w:proofErr w:type="spellEnd"/>
      <w:r w:rsidRPr="002516D6">
        <w:rPr>
          <w:sz w:val="20"/>
          <w:szCs w:val="20"/>
        </w:rPr>
        <w:t xml:space="preserve"> was charged with operating a vehicle with a blood alcohol level over the legal limit. Ms. </w:t>
      </w:r>
      <w:proofErr w:type="spellStart"/>
      <w:r w:rsidRPr="002516D6">
        <w:rPr>
          <w:sz w:val="20"/>
          <w:szCs w:val="20"/>
        </w:rPr>
        <w:t>Awashish</w:t>
      </w:r>
      <w:proofErr w:type="spellEnd"/>
      <w:r w:rsidRPr="002516D6">
        <w:rPr>
          <w:sz w:val="20"/>
          <w:szCs w:val="20"/>
        </w:rPr>
        <w:t xml:space="preserve"> filed a motion for disclosure accompanied by a </w:t>
      </w:r>
      <w:r w:rsidRPr="002516D6">
        <w:rPr>
          <w:i/>
          <w:sz w:val="20"/>
          <w:szCs w:val="20"/>
        </w:rPr>
        <w:t>McNeil</w:t>
      </w:r>
      <w:r w:rsidRPr="002516D6">
        <w:rPr>
          <w:sz w:val="20"/>
          <w:szCs w:val="20"/>
        </w:rPr>
        <w:t xml:space="preserve"> motion. Her purpose in doing so was to obtain an order requiring the Crown to tell her whether the information whose disclosure she was requesting existed and, if so, to tell her the identity of the persons holding that information. The Court of Québec allowed Ms. </w:t>
      </w:r>
      <w:proofErr w:type="spellStart"/>
      <w:r w:rsidRPr="002516D6">
        <w:rPr>
          <w:sz w:val="20"/>
          <w:szCs w:val="20"/>
        </w:rPr>
        <w:t>Awashish’s</w:t>
      </w:r>
      <w:proofErr w:type="spellEnd"/>
      <w:r w:rsidRPr="002516D6">
        <w:rPr>
          <w:sz w:val="20"/>
          <w:szCs w:val="20"/>
        </w:rPr>
        <w:t xml:space="preserve"> application. The Crown filed a motion for </w:t>
      </w:r>
      <w:r w:rsidRPr="002516D6">
        <w:rPr>
          <w:i/>
          <w:sz w:val="20"/>
          <w:szCs w:val="20"/>
        </w:rPr>
        <w:t>certiorari</w:t>
      </w:r>
      <w:r w:rsidRPr="002516D6">
        <w:rPr>
          <w:sz w:val="20"/>
          <w:szCs w:val="20"/>
        </w:rPr>
        <w:t>, which was granted by the Superior Court. The Court of Appeal allowed the appeal</w:t>
      </w:r>
      <w:r w:rsidRPr="00C344C4">
        <w:rPr>
          <w:sz w:val="20"/>
          <w:szCs w:val="20"/>
          <w:lang w:val="en-US"/>
        </w:rPr>
        <w:t>.</w:t>
      </w:r>
    </w:p>
    <w:p w:rsidR="005F263E" w:rsidRPr="00C344C4" w:rsidRDefault="009C02F9" w:rsidP="00782AE4">
      <w:pPr>
        <w:jc w:val="both"/>
        <w:rPr>
          <w:sz w:val="20"/>
          <w:szCs w:val="20"/>
          <w:lang w:val="en-US"/>
        </w:rPr>
      </w:pPr>
      <w:r>
        <w:rPr>
          <w:sz w:val="20"/>
          <w:szCs w:val="20"/>
          <w:lang w:val="fr-CA"/>
        </w:rPr>
        <w:pict>
          <v:rect id="_x0000_i1048" style="width:2in;height:1pt" o:hrpct="0" o:hralign="center" o:hrstd="t" o:hrnoshade="t" o:hr="t" fillcolor="black [3213]" stroked="f"/>
        </w:pict>
      </w:r>
    </w:p>
    <w:p w:rsidR="002516D6" w:rsidRPr="00C344C4" w:rsidRDefault="002516D6">
      <w:pPr>
        <w:rPr>
          <w:sz w:val="20"/>
          <w:szCs w:val="20"/>
          <w:lang w:val="en-US"/>
        </w:rPr>
      </w:pPr>
      <w:r w:rsidRPr="00C344C4">
        <w:rPr>
          <w:sz w:val="20"/>
          <w:szCs w:val="20"/>
          <w:lang w:val="en-US"/>
        </w:rPr>
        <w:br w:type="page"/>
      </w:r>
    </w:p>
    <w:p w:rsidR="002516D6" w:rsidRPr="00A4728F" w:rsidRDefault="002516D6" w:rsidP="002516D6">
      <w:pPr>
        <w:jc w:val="both"/>
        <w:rPr>
          <w:b/>
          <w:i/>
          <w:sz w:val="20"/>
          <w:szCs w:val="20"/>
          <w:lang w:val="fr-CA"/>
        </w:rPr>
      </w:pPr>
      <w:r w:rsidRPr="00A4728F">
        <w:rPr>
          <w:b/>
          <w:sz w:val="20"/>
          <w:szCs w:val="20"/>
          <w:lang w:val="fr-CA"/>
        </w:rPr>
        <w:lastRenderedPageBreak/>
        <w:t>37207</w:t>
      </w:r>
      <w:r w:rsidRPr="00A4728F">
        <w:rPr>
          <w:b/>
          <w:sz w:val="20"/>
          <w:szCs w:val="20"/>
          <w:lang w:val="fr-CA"/>
        </w:rPr>
        <w:tab/>
      </w:r>
      <w:r w:rsidRPr="00A4728F">
        <w:rPr>
          <w:b/>
          <w:i/>
          <w:sz w:val="20"/>
          <w:szCs w:val="20"/>
          <w:lang w:val="fr-CA"/>
        </w:rPr>
        <w:t xml:space="preserve">Sa Majesté la Reine c. Justine </w:t>
      </w:r>
      <w:proofErr w:type="spellStart"/>
      <w:r w:rsidRPr="00A4728F">
        <w:rPr>
          <w:b/>
          <w:i/>
          <w:sz w:val="20"/>
          <w:szCs w:val="20"/>
          <w:lang w:val="fr-CA"/>
        </w:rPr>
        <w:t>Awashish</w:t>
      </w:r>
      <w:proofErr w:type="spellEnd"/>
    </w:p>
    <w:p w:rsidR="002516D6" w:rsidRPr="002516D6" w:rsidRDefault="002516D6" w:rsidP="002516D6">
      <w:pPr>
        <w:jc w:val="both"/>
        <w:rPr>
          <w:sz w:val="20"/>
          <w:szCs w:val="20"/>
          <w:lang w:val="fr-CA"/>
        </w:rPr>
      </w:pPr>
      <w:r w:rsidRPr="00A4728F">
        <w:rPr>
          <w:sz w:val="20"/>
          <w:szCs w:val="20"/>
          <w:lang w:val="fr-CA"/>
        </w:rPr>
        <w:tab/>
      </w:r>
      <w:r w:rsidRPr="002516D6">
        <w:rPr>
          <w:sz w:val="20"/>
          <w:szCs w:val="20"/>
          <w:lang w:val="fr-CA"/>
        </w:rPr>
        <w:t>(</w:t>
      </w:r>
      <w:proofErr w:type="spellStart"/>
      <w:r w:rsidRPr="002516D6">
        <w:rPr>
          <w:sz w:val="20"/>
          <w:szCs w:val="20"/>
          <w:lang w:val="fr-CA"/>
        </w:rPr>
        <w:t>Qc</w:t>
      </w:r>
      <w:proofErr w:type="spellEnd"/>
      <w:r w:rsidRPr="002516D6">
        <w:rPr>
          <w:sz w:val="20"/>
          <w:szCs w:val="20"/>
          <w:lang w:val="fr-CA"/>
        </w:rPr>
        <w:t>) (Criminelle) (Autorisation)</w:t>
      </w:r>
    </w:p>
    <w:p w:rsidR="002516D6" w:rsidRPr="002516D6" w:rsidRDefault="002516D6" w:rsidP="002516D6">
      <w:pPr>
        <w:jc w:val="both"/>
        <w:rPr>
          <w:b/>
          <w:sz w:val="20"/>
          <w:szCs w:val="20"/>
          <w:lang w:val="fr-CA"/>
        </w:rPr>
      </w:pPr>
    </w:p>
    <w:p w:rsidR="002516D6" w:rsidRPr="002516D6" w:rsidRDefault="002516D6" w:rsidP="002516D6">
      <w:pPr>
        <w:jc w:val="both"/>
        <w:rPr>
          <w:sz w:val="20"/>
          <w:szCs w:val="20"/>
          <w:lang w:val="fr-CA"/>
        </w:rPr>
      </w:pPr>
      <w:r w:rsidRPr="002516D6">
        <w:rPr>
          <w:sz w:val="20"/>
          <w:szCs w:val="20"/>
          <w:lang w:val="fr-CA"/>
        </w:rPr>
        <w:t xml:space="preserve">Droit criminel - Appels - Jugement interlocutoire - </w:t>
      </w:r>
      <w:proofErr w:type="spellStart"/>
      <w:r w:rsidRPr="002516D6">
        <w:rPr>
          <w:i/>
          <w:sz w:val="20"/>
          <w:szCs w:val="20"/>
          <w:lang w:val="fr-CA"/>
        </w:rPr>
        <w:t>Certiorari</w:t>
      </w:r>
      <w:proofErr w:type="spellEnd"/>
      <w:r w:rsidRPr="002516D6">
        <w:rPr>
          <w:sz w:val="20"/>
          <w:szCs w:val="20"/>
          <w:lang w:val="fr-CA"/>
        </w:rPr>
        <w:t xml:space="preserve"> - Compétence - Conduite avec facultés affaiblies - Communication de la preuve - Une cour excède-t-elle sa compétence en ordonnant au Ministère public de faire enquête sur l’existence de documents non qualifiés de « fruits de l’enquête », dont la défense demande divulgation sur la base de l’arrêt </w:t>
      </w:r>
      <w:r w:rsidRPr="002516D6">
        <w:rPr>
          <w:i/>
          <w:sz w:val="20"/>
          <w:szCs w:val="20"/>
          <w:lang w:val="fr-CA"/>
        </w:rPr>
        <w:t>St-</w:t>
      </w:r>
      <w:proofErr w:type="spellStart"/>
      <w:r w:rsidRPr="002516D6">
        <w:rPr>
          <w:i/>
          <w:sz w:val="20"/>
          <w:szCs w:val="20"/>
          <w:lang w:val="fr-CA"/>
        </w:rPr>
        <w:t>Onge</w:t>
      </w:r>
      <w:proofErr w:type="spellEnd"/>
      <w:r w:rsidRPr="002516D6">
        <w:rPr>
          <w:i/>
          <w:sz w:val="20"/>
          <w:szCs w:val="20"/>
          <w:lang w:val="fr-CA"/>
        </w:rPr>
        <w:t xml:space="preserve"> Lamoureux</w:t>
      </w:r>
      <w:r w:rsidRPr="002516D6">
        <w:rPr>
          <w:sz w:val="20"/>
          <w:szCs w:val="20"/>
          <w:lang w:val="fr-CA"/>
        </w:rPr>
        <w:t xml:space="preserve">, [2012] 3 R.C.S. 187, et sur l’identité de leurs détenteurs, sans la démonstration de leur pertinence, ou comment-elle ainsi une erreur de droit manifeste eu égard au dossier? - Une cour d’appel peut-elle restreindre le champ de révision de la Cour supérieure et le droit de se pourvoir par </w:t>
      </w:r>
      <w:proofErr w:type="spellStart"/>
      <w:r w:rsidRPr="002516D6">
        <w:rPr>
          <w:sz w:val="20"/>
          <w:szCs w:val="20"/>
          <w:lang w:val="fr-CA"/>
        </w:rPr>
        <w:t>certiorari</w:t>
      </w:r>
      <w:proofErr w:type="spellEnd"/>
      <w:r w:rsidRPr="002516D6">
        <w:rPr>
          <w:sz w:val="20"/>
          <w:szCs w:val="20"/>
          <w:lang w:val="fr-CA"/>
        </w:rPr>
        <w:t xml:space="preserve"> contre des décisions interlocutoires concernant la divulgation de la preuve, aux seuls cas d’excès de compétence ou « d’atteinte définitive à un droit fondamentale », à l’exclusion de l’erreur de droit manifeste eu égard au dossier? »</w:t>
      </w:r>
    </w:p>
    <w:p w:rsidR="002516D6" w:rsidRPr="002516D6" w:rsidRDefault="002516D6" w:rsidP="002516D6">
      <w:pPr>
        <w:jc w:val="both"/>
        <w:rPr>
          <w:sz w:val="20"/>
          <w:szCs w:val="20"/>
          <w:lang w:val="fr-CA"/>
        </w:rPr>
      </w:pPr>
    </w:p>
    <w:p w:rsidR="002516D6" w:rsidRDefault="002516D6" w:rsidP="002516D6">
      <w:pPr>
        <w:jc w:val="both"/>
        <w:rPr>
          <w:sz w:val="20"/>
          <w:szCs w:val="20"/>
          <w:lang w:val="fr-CA"/>
        </w:rPr>
      </w:pPr>
      <w:r w:rsidRPr="002516D6">
        <w:rPr>
          <w:sz w:val="20"/>
          <w:szCs w:val="20"/>
          <w:lang w:val="fr-CA"/>
        </w:rPr>
        <w:t xml:space="preserve">Justine </w:t>
      </w:r>
      <w:proofErr w:type="spellStart"/>
      <w:r w:rsidRPr="002516D6">
        <w:rPr>
          <w:sz w:val="20"/>
          <w:szCs w:val="20"/>
          <w:lang w:val="fr-CA"/>
        </w:rPr>
        <w:t>Awashish</w:t>
      </w:r>
      <w:proofErr w:type="spellEnd"/>
      <w:r w:rsidRPr="002516D6">
        <w:rPr>
          <w:sz w:val="20"/>
          <w:szCs w:val="20"/>
          <w:lang w:val="fr-CA"/>
        </w:rPr>
        <w:t xml:space="preserve"> fait face à des accusations de conduite d’un véhicule avec une alcoolémie supérieure à la limite légale. Mme </w:t>
      </w:r>
      <w:proofErr w:type="spellStart"/>
      <w:r w:rsidRPr="002516D6">
        <w:rPr>
          <w:sz w:val="20"/>
          <w:szCs w:val="20"/>
          <w:lang w:val="fr-CA"/>
        </w:rPr>
        <w:t>Awashish</w:t>
      </w:r>
      <w:proofErr w:type="spellEnd"/>
      <w:r w:rsidRPr="002516D6">
        <w:rPr>
          <w:sz w:val="20"/>
          <w:szCs w:val="20"/>
          <w:lang w:val="fr-CA"/>
        </w:rPr>
        <w:t xml:space="preserve"> produit une requête en divulgation de la preuve à laquelle elle joint une requête de type </w:t>
      </w:r>
      <w:r w:rsidRPr="002516D6">
        <w:rPr>
          <w:i/>
          <w:sz w:val="20"/>
          <w:szCs w:val="20"/>
          <w:lang w:val="fr-CA"/>
        </w:rPr>
        <w:t>McNeil</w:t>
      </w:r>
      <w:r w:rsidRPr="002516D6">
        <w:rPr>
          <w:sz w:val="20"/>
          <w:szCs w:val="20"/>
          <w:lang w:val="fr-CA"/>
        </w:rPr>
        <w:t xml:space="preserve">. Elle désire ainsi obtenir une ordonnance enjoignant le ministère public à l’informer de l’existence ou non des renseignements dont elle demande la divulgation et, le cas échéant, de l’identité des personnes qui les détiennent. La Cour du Québec fait </w:t>
      </w:r>
      <w:proofErr w:type="gramStart"/>
      <w:r w:rsidRPr="002516D6">
        <w:rPr>
          <w:sz w:val="20"/>
          <w:szCs w:val="20"/>
          <w:lang w:val="fr-CA"/>
        </w:rPr>
        <w:t>droit</w:t>
      </w:r>
      <w:proofErr w:type="gramEnd"/>
      <w:r w:rsidRPr="002516D6">
        <w:rPr>
          <w:sz w:val="20"/>
          <w:szCs w:val="20"/>
          <w:lang w:val="fr-CA"/>
        </w:rPr>
        <w:t xml:space="preserve"> à la demande de Mme </w:t>
      </w:r>
      <w:proofErr w:type="spellStart"/>
      <w:r w:rsidRPr="002516D6">
        <w:rPr>
          <w:sz w:val="20"/>
          <w:szCs w:val="20"/>
          <w:lang w:val="fr-CA"/>
        </w:rPr>
        <w:t>Awashish</w:t>
      </w:r>
      <w:proofErr w:type="spellEnd"/>
      <w:r w:rsidRPr="002516D6">
        <w:rPr>
          <w:sz w:val="20"/>
          <w:szCs w:val="20"/>
          <w:lang w:val="fr-CA"/>
        </w:rPr>
        <w:t xml:space="preserve">. Le ministère public dépose une requête en </w:t>
      </w:r>
      <w:proofErr w:type="spellStart"/>
      <w:r w:rsidRPr="002516D6">
        <w:rPr>
          <w:i/>
          <w:sz w:val="20"/>
          <w:szCs w:val="20"/>
          <w:lang w:val="fr-CA"/>
        </w:rPr>
        <w:t>certiorari</w:t>
      </w:r>
      <w:proofErr w:type="spellEnd"/>
      <w:r w:rsidRPr="002516D6">
        <w:rPr>
          <w:sz w:val="20"/>
          <w:szCs w:val="20"/>
          <w:lang w:val="fr-CA"/>
        </w:rPr>
        <w:t>, qui est accueillie par la Cour supérieure. La Cour d’appel accueille l’appel.</w:t>
      </w:r>
    </w:p>
    <w:p w:rsidR="00233CE8" w:rsidRPr="002516D6" w:rsidRDefault="009C02F9" w:rsidP="002516D6">
      <w:pPr>
        <w:jc w:val="both"/>
        <w:rPr>
          <w:b/>
          <w:sz w:val="20"/>
          <w:szCs w:val="20"/>
          <w:lang w:val="fr-CA"/>
        </w:rPr>
      </w:pPr>
      <w:r>
        <w:rPr>
          <w:sz w:val="20"/>
          <w:szCs w:val="20"/>
          <w:lang w:val="fr-CA"/>
        </w:rPr>
        <w:pict>
          <v:rect id="_x0000_i1049" style="width:2in;height:1pt" o:hrpct="0" o:hralign="center" o:hrstd="t" o:hrnoshade="t" o:hr="t" fillcolor="black [3213]" stroked="f"/>
        </w:pict>
      </w:r>
    </w:p>
    <w:p w:rsidR="00037066" w:rsidRDefault="00037066">
      <w:pPr>
        <w:rPr>
          <w:sz w:val="20"/>
          <w:szCs w:val="20"/>
          <w:lang w:val="fr-CA"/>
        </w:rPr>
      </w:pPr>
      <w:r>
        <w:rPr>
          <w:sz w:val="20"/>
          <w:szCs w:val="20"/>
          <w:lang w:val="fr-CA"/>
        </w:rPr>
        <w:br w:type="page"/>
      </w:r>
    </w:p>
    <w:p w:rsidR="00037066" w:rsidRPr="00037066" w:rsidRDefault="00037066" w:rsidP="00037066">
      <w:pPr>
        <w:jc w:val="both"/>
        <w:rPr>
          <w:b/>
          <w:i/>
          <w:sz w:val="20"/>
          <w:szCs w:val="20"/>
          <w:lang w:val="fr-CA"/>
        </w:rPr>
      </w:pPr>
      <w:r w:rsidRPr="00037066">
        <w:rPr>
          <w:b/>
          <w:sz w:val="20"/>
          <w:szCs w:val="20"/>
        </w:rPr>
        <w:lastRenderedPageBreak/>
        <w:fldChar w:fldCharType="begin"/>
      </w:r>
      <w:r w:rsidRPr="00037066">
        <w:rPr>
          <w:b/>
          <w:sz w:val="20"/>
          <w:szCs w:val="20"/>
          <w:lang w:val="fr-CA"/>
        </w:rPr>
        <w:instrText xml:space="preserve"> SEQ CHAPTER \h \r 1</w:instrText>
      </w:r>
      <w:r w:rsidRPr="00037066">
        <w:rPr>
          <w:sz w:val="20"/>
          <w:szCs w:val="20"/>
          <w:lang w:val="fr-CA"/>
        </w:rPr>
        <w:fldChar w:fldCharType="end"/>
      </w:r>
      <w:r w:rsidRPr="00037066">
        <w:rPr>
          <w:b/>
          <w:sz w:val="20"/>
          <w:szCs w:val="20"/>
          <w:lang w:val="fr-CA"/>
        </w:rPr>
        <w:t>37546</w:t>
      </w:r>
      <w:r w:rsidRPr="00037066">
        <w:rPr>
          <w:sz w:val="20"/>
          <w:szCs w:val="20"/>
          <w:lang w:val="fr-CA"/>
        </w:rPr>
        <w:tab/>
      </w:r>
      <w:r w:rsidRPr="00037066">
        <w:rPr>
          <w:b/>
          <w:i/>
          <w:sz w:val="20"/>
          <w:szCs w:val="20"/>
          <w:lang w:val="fr-CA"/>
        </w:rPr>
        <w:t xml:space="preserve">Michelle Constance Moore v. </w:t>
      </w:r>
      <w:proofErr w:type="spellStart"/>
      <w:r w:rsidRPr="00037066">
        <w:rPr>
          <w:b/>
          <w:i/>
          <w:sz w:val="20"/>
          <w:szCs w:val="20"/>
          <w:lang w:val="fr-CA"/>
        </w:rPr>
        <w:t>Risa</w:t>
      </w:r>
      <w:proofErr w:type="spellEnd"/>
      <w:r w:rsidRPr="00037066">
        <w:rPr>
          <w:b/>
          <w:i/>
          <w:sz w:val="20"/>
          <w:szCs w:val="20"/>
          <w:lang w:val="fr-CA"/>
        </w:rPr>
        <w:t xml:space="preserve"> Lorraine </w:t>
      </w:r>
      <w:proofErr w:type="spellStart"/>
      <w:r w:rsidRPr="00037066">
        <w:rPr>
          <w:b/>
          <w:i/>
          <w:sz w:val="20"/>
          <w:szCs w:val="20"/>
          <w:lang w:val="fr-CA"/>
        </w:rPr>
        <w:t>Sweet</w:t>
      </w:r>
      <w:proofErr w:type="spellEnd"/>
    </w:p>
    <w:p w:rsidR="00037066" w:rsidRPr="00037066" w:rsidRDefault="00037066" w:rsidP="00037066">
      <w:pPr>
        <w:jc w:val="both"/>
        <w:rPr>
          <w:sz w:val="20"/>
          <w:szCs w:val="20"/>
        </w:rPr>
      </w:pPr>
      <w:r w:rsidRPr="00037066">
        <w:rPr>
          <w:b/>
          <w:sz w:val="20"/>
          <w:szCs w:val="20"/>
          <w:lang w:val="fr-CA"/>
        </w:rPr>
        <w:tab/>
      </w:r>
      <w:r w:rsidRPr="00037066">
        <w:rPr>
          <w:sz w:val="20"/>
          <w:szCs w:val="20"/>
        </w:rPr>
        <w:t>(Ont.) (Civil) (By Leave)</w:t>
      </w:r>
      <w:bookmarkStart w:id="4" w:name="4"/>
      <w:bookmarkEnd w:id="4"/>
    </w:p>
    <w:p w:rsidR="00037066" w:rsidRPr="00037066" w:rsidRDefault="00037066" w:rsidP="00037066">
      <w:pPr>
        <w:jc w:val="both"/>
        <w:rPr>
          <w:sz w:val="20"/>
          <w:szCs w:val="20"/>
        </w:rPr>
      </w:pPr>
    </w:p>
    <w:p w:rsidR="00037066" w:rsidRPr="00037066" w:rsidRDefault="00037066" w:rsidP="00037066">
      <w:pPr>
        <w:jc w:val="both"/>
        <w:rPr>
          <w:sz w:val="20"/>
          <w:szCs w:val="20"/>
          <w:lang w:val="en-US"/>
        </w:rPr>
      </w:pPr>
      <w:r w:rsidRPr="00037066">
        <w:rPr>
          <w:sz w:val="20"/>
          <w:szCs w:val="20"/>
          <w:lang w:val="en-US"/>
        </w:rPr>
        <w:t>Restitution - Unjust enrichment - Equity - Remedies - Constructive trust - Insurance - Appellant continuing to pay premiums for term life insurance policy of ex-spouse, unaware that he had changed his beneficiary designation to the respondent - Whether the disposition of law category of juristic reason operates in all instances of a beneficiary designation - Whether a remedial constructive trust is otherwise available in the absence of unjust enrichment and wrongful act.</w:t>
      </w:r>
    </w:p>
    <w:p w:rsidR="00037066" w:rsidRPr="00037066" w:rsidRDefault="00037066" w:rsidP="00037066">
      <w:pPr>
        <w:jc w:val="both"/>
        <w:rPr>
          <w:sz w:val="20"/>
          <w:szCs w:val="20"/>
          <w:lang w:val="en-US"/>
        </w:rPr>
      </w:pPr>
    </w:p>
    <w:p w:rsidR="00037066" w:rsidRPr="00037066" w:rsidRDefault="00037066" w:rsidP="00037066">
      <w:pPr>
        <w:jc w:val="both"/>
        <w:rPr>
          <w:sz w:val="20"/>
          <w:szCs w:val="20"/>
          <w:lang w:val="en-US"/>
        </w:rPr>
      </w:pPr>
      <w:r w:rsidRPr="00037066">
        <w:rPr>
          <w:sz w:val="20"/>
          <w:szCs w:val="20"/>
          <w:lang w:val="en-US"/>
        </w:rPr>
        <w:t xml:space="preserve">At issue in the appeal is entitlement to the proceeds of a $250,000 term life insurance policy obtained by M in 1985. At the time it was issued, the appellant and M were married with three children, and the appellant was named M’s beneficiary. The appellant and M separated in December 1999 and divorced in October 2003. In the summer of 2000, M moved in with the respondent, with whom he lived until his death. In September 2000, M executed a change of beneficiary form, designating the respondent as his irrevocable beneficiary under the policy. The respondent witnessed the change and the insurer recorded the change of beneficiary. </w:t>
      </w:r>
    </w:p>
    <w:p w:rsidR="00037066" w:rsidRPr="00037066" w:rsidRDefault="00037066" w:rsidP="00037066">
      <w:pPr>
        <w:jc w:val="both"/>
        <w:rPr>
          <w:sz w:val="20"/>
          <w:szCs w:val="20"/>
          <w:lang w:val="en-US"/>
        </w:rPr>
      </w:pPr>
    </w:p>
    <w:p w:rsidR="00037066" w:rsidRDefault="00037066" w:rsidP="00037066">
      <w:pPr>
        <w:jc w:val="both"/>
        <w:rPr>
          <w:sz w:val="20"/>
          <w:szCs w:val="20"/>
          <w:lang w:val="en-US"/>
        </w:rPr>
      </w:pPr>
      <w:r w:rsidRPr="00037066">
        <w:rPr>
          <w:sz w:val="20"/>
          <w:szCs w:val="20"/>
          <w:lang w:val="en-US"/>
        </w:rPr>
        <w:t xml:space="preserve">Until 2000, the policy’s annual premium of $507.50 was paid out of an account jointly held by the appellant and M. From 2000 until M’s death in spring of 2013, the appellant paid the premium from her own account. The appellant was not advised of or aware of the change of beneficiary, and only learned of it upon M’s death. The appellant and M had entered into a separation agreement May 2002, which was silent with respect to the policy. Upon M’s death, the proceeds of the policy were paid into court by the insurer pending the resolution of the competing claims by the appellant and the respondent. The appellant applied to the court, claiming unjust enrichment and asking the court to impose a constructive trust in her </w:t>
      </w:r>
      <w:proofErr w:type="spellStart"/>
      <w:r w:rsidRPr="00037066">
        <w:rPr>
          <w:sz w:val="20"/>
          <w:szCs w:val="20"/>
          <w:lang w:val="en-US"/>
        </w:rPr>
        <w:t>favour</w:t>
      </w:r>
      <w:proofErr w:type="spellEnd"/>
      <w:r w:rsidRPr="00037066">
        <w:rPr>
          <w:sz w:val="20"/>
          <w:szCs w:val="20"/>
          <w:lang w:val="en-US"/>
        </w:rPr>
        <w:t xml:space="preserve"> over the proceeds of the policy. She argued that she and M had agreed that if she paid the premiums, she would be entitled to receive the benefit of the policy as a way for M to support their children despite his financial irresponsibility. The Ontario Superior Court of Justice granted the application, holding that the proceeds were impressed with a constructive trust in </w:t>
      </w:r>
      <w:proofErr w:type="spellStart"/>
      <w:r w:rsidRPr="00037066">
        <w:rPr>
          <w:sz w:val="20"/>
          <w:szCs w:val="20"/>
          <w:lang w:val="en-US"/>
        </w:rPr>
        <w:t>favour</w:t>
      </w:r>
      <w:proofErr w:type="spellEnd"/>
      <w:r w:rsidRPr="00037066">
        <w:rPr>
          <w:sz w:val="20"/>
          <w:szCs w:val="20"/>
          <w:lang w:val="en-US"/>
        </w:rPr>
        <w:t xml:space="preserve"> of the appellant. The Court of Appeal for Ontario allowed the appeal, set aside the lower court decision, and held that while the appellant was entitled to be repaid her premiums, the respondent was to receive the balance of the proceeds. </w:t>
      </w:r>
      <w:proofErr w:type="spellStart"/>
      <w:r w:rsidRPr="00037066">
        <w:rPr>
          <w:sz w:val="20"/>
          <w:szCs w:val="20"/>
          <w:lang w:val="en-US"/>
        </w:rPr>
        <w:t>Lauwers</w:t>
      </w:r>
      <w:proofErr w:type="spellEnd"/>
      <w:r w:rsidRPr="00037066">
        <w:rPr>
          <w:sz w:val="20"/>
          <w:szCs w:val="20"/>
          <w:lang w:val="en-US"/>
        </w:rPr>
        <w:t xml:space="preserve"> J.A., dissenting, would have dismissed the appeal.</w:t>
      </w:r>
    </w:p>
    <w:p w:rsidR="00233CE8" w:rsidRDefault="00233CE8" w:rsidP="00037066">
      <w:pPr>
        <w:jc w:val="both"/>
        <w:rPr>
          <w:sz w:val="20"/>
          <w:szCs w:val="20"/>
          <w:lang w:val="en-US"/>
        </w:rPr>
      </w:pPr>
    </w:p>
    <w:p w:rsidR="00233CE8" w:rsidRPr="00037066" w:rsidRDefault="009C02F9" w:rsidP="00037066">
      <w:pPr>
        <w:jc w:val="both"/>
        <w:rPr>
          <w:sz w:val="20"/>
          <w:szCs w:val="20"/>
          <w:lang w:val="en-US"/>
        </w:rPr>
      </w:pPr>
      <w:r>
        <w:rPr>
          <w:sz w:val="20"/>
          <w:szCs w:val="20"/>
          <w:lang w:val="fr-CA"/>
        </w:rPr>
        <w:pict>
          <v:rect id="_x0000_i1050" style="width:2in;height:1pt" o:hrpct="0" o:hralign="center" o:hrstd="t" o:hrnoshade="t" o:hr="t" fillcolor="black [3213]" stroked="f"/>
        </w:pict>
      </w:r>
    </w:p>
    <w:p w:rsidR="00037066" w:rsidRPr="00C344C4" w:rsidRDefault="00037066">
      <w:pPr>
        <w:rPr>
          <w:sz w:val="20"/>
          <w:szCs w:val="20"/>
          <w:lang w:val="en-US"/>
        </w:rPr>
      </w:pPr>
      <w:r w:rsidRPr="00C344C4">
        <w:rPr>
          <w:sz w:val="20"/>
          <w:szCs w:val="20"/>
          <w:lang w:val="en-US"/>
        </w:rPr>
        <w:br w:type="page"/>
      </w:r>
    </w:p>
    <w:p w:rsidR="00037066" w:rsidRPr="00233CE8" w:rsidRDefault="00037066" w:rsidP="00037066">
      <w:pPr>
        <w:jc w:val="both"/>
        <w:rPr>
          <w:b/>
          <w:i/>
          <w:sz w:val="20"/>
          <w:szCs w:val="20"/>
          <w:lang w:val="fr-CA"/>
        </w:rPr>
      </w:pPr>
      <w:r w:rsidRPr="00037066">
        <w:rPr>
          <w:b/>
          <w:sz w:val="20"/>
          <w:szCs w:val="20"/>
        </w:rPr>
        <w:lastRenderedPageBreak/>
        <w:fldChar w:fldCharType="begin"/>
      </w:r>
      <w:r w:rsidRPr="00233CE8">
        <w:rPr>
          <w:b/>
          <w:sz w:val="20"/>
          <w:szCs w:val="20"/>
          <w:lang w:val="fr-CA"/>
        </w:rPr>
        <w:instrText xml:space="preserve"> SEQ CHAPTER \h \r 1</w:instrText>
      </w:r>
      <w:r w:rsidRPr="00037066">
        <w:rPr>
          <w:sz w:val="20"/>
          <w:szCs w:val="20"/>
          <w:lang w:val="fr-CA"/>
        </w:rPr>
        <w:fldChar w:fldCharType="end"/>
      </w:r>
      <w:r w:rsidRPr="00233CE8">
        <w:rPr>
          <w:b/>
          <w:sz w:val="20"/>
          <w:szCs w:val="20"/>
          <w:lang w:val="fr-CA"/>
        </w:rPr>
        <w:t>37546</w:t>
      </w:r>
      <w:r w:rsidRPr="00233CE8">
        <w:rPr>
          <w:sz w:val="20"/>
          <w:szCs w:val="20"/>
          <w:lang w:val="fr-CA"/>
        </w:rPr>
        <w:tab/>
      </w:r>
      <w:r w:rsidRPr="00233CE8">
        <w:rPr>
          <w:b/>
          <w:i/>
          <w:sz w:val="20"/>
          <w:szCs w:val="20"/>
          <w:lang w:val="fr-CA"/>
        </w:rPr>
        <w:t xml:space="preserve">Michelle Constance Moore c. </w:t>
      </w:r>
      <w:proofErr w:type="spellStart"/>
      <w:r w:rsidRPr="00233CE8">
        <w:rPr>
          <w:b/>
          <w:i/>
          <w:sz w:val="20"/>
          <w:szCs w:val="20"/>
          <w:lang w:val="fr-CA"/>
        </w:rPr>
        <w:t>Risa</w:t>
      </w:r>
      <w:proofErr w:type="spellEnd"/>
      <w:r w:rsidRPr="00233CE8">
        <w:rPr>
          <w:b/>
          <w:i/>
          <w:sz w:val="20"/>
          <w:szCs w:val="20"/>
          <w:lang w:val="fr-CA"/>
        </w:rPr>
        <w:t xml:space="preserve"> Lorraine </w:t>
      </w:r>
      <w:proofErr w:type="spellStart"/>
      <w:r w:rsidRPr="00233CE8">
        <w:rPr>
          <w:b/>
          <w:i/>
          <w:sz w:val="20"/>
          <w:szCs w:val="20"/>
          <w:lang w:val="fr-CA"/>
        </w:rPr>
        <w:t>Sweet</w:t>
      </w:r>
      <w:proofErr w:type="spellEnd"/>
    </w:p>
    <w:p w:rsidR="00037066" w:rsidRPr="00037066" w:rsidRDefault="00037066" w:rsidP="00037066">
      <w:pPr>
        <w:jc w:val="both"/>
        <w:rPr>
          <w:sz w:val="20"/>
          <w:szCs w:val="20"/>
          <w:lang w:val="fr-CA"/>
        </w:rPr>
      </w:pPr>
      <w:r w:rsidRPr="00233CE8">
        <w:rPr>
          <w:b/>
          <w:sz w:val="20"/>
          <w:szCs w:val="20"/>
          <w:lang w:val="fr-CA"/>
        </w:rPr>
        <w:tab/>
      </w:r>
      <w:r w:rsidRPr="00037066">
        <w:rPr>
          <w:sz w:val="20"/>
          <w:szCs w:val="20"/>
          <w:lang w:val="fr-CA"/>
        </w:rPr>
        <w:t>(Ont.) (Civile) (Sur autorisation)</w:t>
      </w:r>
    </w:p>
    <w:p w:rsidR="00037066" w:rsidRPr="00037066" w:rsidRDefault="00037066" w:rsidP="00037066">
      <w:pPr>
        <w:jc w:val="both"/>
        <w:rPr>
          <w:sz w:val="20"/>
          <w:szCs w:val="20"/>
          <w:lang w:val="fr-CA"/>
        </w:rPr>
      </w:pPr>
    </w:p>
    <w:p w:rsidR="00037066" w:rsidRPr="00037066" w:rsidRDefault="00037066" w:rsidP="00037066">
      <w:pPr>
        <w:jc w:val="both"/>
        <w:rPr>
          <w:sz w:val="20"/>
          <w:szCs w:val="20"/>
          <w:lang w:val="fr-CA"/>
        </w:rPr>
      </w:pPr>
      <w:r w:rsidRPr="00037066">
        <w:rPr>
          <w:sz w:val="20"/>
          <w:szCs w:val="20"/>
          <w:lang w:val="fr-CA"/>
        </w:rPr>
        <w:t xml:space="preserve">Restitution - Enrichissement injustifié - </w:t>
      </w:r>
      <w:proofErr w:type="spellStart"/>
      <w:r w:rsidRPr="00037066">
        <w:rPr>
          <w:sz w:val="20"/>
          <w:szCs w:val="20"/>
          <w:lang w:val="fr-CA"/>
        </w:rPr>
        <w:t>Equity</w:t>
      </w:r>
      <w:proofErr w:type="spellEnd"/>
      <w:r w:rsidRPr="00037066">
        <w:rPr>
          <w:sz w:val="20"/>
          <w:szCs w:val="20"/>
          <w:lang w:val="fr-CA"/>
        </w:rPr>
        <w:t xml:space="preserve"> - Recours - Fiducie par interprétation - Assurance - L’appelante a continué de payer les primes d’une police d’assurance temporaire sur la vie de l’ex-époux, ignorant que ce dernier avait modifié la désignation du bénéficiaire en faveur de l’intimée - La catégorie de motif juridique qu’est la disposition légale s’applique-t-elle dans tous les cas de désignation du bénéficiaire? - Une fiducie par interprétation à titre de réparation peut-elle être invoquée par ailleurs en l’absence d’enrichissement injustifié et d’acte fautif?</w:t>
      </w:r>
    </w:p>
    <w:p w:rsidR="00037066" w:rsidRPr="00037066" w:rsidRDefault="00037066" w:rsidP="00037066">
      <w:pPr>
        <w:jc w:val="both"/>
        <w:rPr>
          <w:sz w:val="20"/>
          <w:szCs w:val="20"/>
          <w:lang w:val="fr-CA"/>
        </w:rPr>
      </w:pPr>
    </w:p>
    <w:p w:rsidR="00037066" w:rsidRPr="00037066" w:rsidRDefault="00037066" w:rsidP="00037066">
      <w:pPr>
        <w:jc w:val="both"/>
        <w:rPr>
          <w:sz w:val="20"/>
          <w:szCs w:val="20"/>
          <w:lang w:val="fr-CA"/>
        </w:rPr>
      </w:pPr>
      <w:r w:rsidRPr="00037066">
        <w:rPr>
          <w:sz w:val="20"/>
          <w:szCs w:val="20"/>
          <w:lang w:val="fr-CA"/>
        </w:rPr>
        <w:t xml:space="preserve">La question en litige dans le pourvoi porte sur le droit au produit de 250 000 $ d’une police d’assurance temporaire sur la vie souscrite par M en 1985. Au moment où la police a été établie, l’appelante et M étaient mariés et avaient trois enfants et l’appelante avait été désignée bénéficiaire de M. L’appelante et M se sont séparés en 1999 et ils se sont divorcés en octobre 2003. À l’été 2000, M a emménagé avec l’intimée, avec qui il a vécu jusqu’à son décès. En septembre 2000, M a signé un formulaire de changement de bénéficiaire, désignant l’intimée comme la bénéficiaire irrévocable de la police. L’intimée a été témoin du changement et l’assureur a consigné le changement de bénéficiaire. </w:t>
      </w:r>
    </w:p>
    <w:p w:rsidR="00037066" w:rsidRPr="00037066" w:rsidRDefault="00037066" w:rsidP="00037066">
      <w:pPr>
        <w:jc w:val="both"/>
        <w:rPr>
          <w:sz w:val="20"/>
          <w:szCs w:val="20"/>
          <w:lang w:val="fr-CA"/>
        </w:rPr>
      </w:pPr>
    </w:p>
    <w:p w:rsidR="00037066" w:rsidRDefault="00037066" w:rsidP="00037066">
      <w:pPr>
        <w:jc w:val="both"/>
        <w:rPr>
          <w:sz w:val="20"/>
          <w:szCs w:val="20"/>
          <w:lang w:val="fr-CA"/>
        </w:rPr>
      </w:pPr>
      <w:r w:rsidRPr="00037066">
        <w:rPr>
          <w:sz w:val="20"/>
          <w:szCs w:val="20"/>
          <w:lang w:val="fr-CA"/>
        </w:rPr>
        <w:t xml:space="preserve">Jusqu’à 2000, la prime annuelle de la police, soit 507,50 $, avait été payée à partir d’un compte détenu conjointement par l’appelante et M. De 2000 jusqu’au décès de M au printemps 2013, l’appelante a payé la prime à partir de son propre compte. L’appelante n’avait pas été informée du changement de bénéficiaire et elle n’en a pris connaissance qu’au décès de M. l’appelante et M avaient conclu un accord de séparation en mai 2002, mais cet accord était silencieux quant à la police. Au décès de M, l’assureur a fait consigner au greffe le produit de la police en attendant le règlement des réclamations concurrentes de l’appelante et de l’intimée. L’appelante a présenté une demande au tribunal, alléguant l’enrichissement injustifié et demandant au tribunal d’imposer une fiducie par interprétation en sa faveur à l’égard du produit de la police. Selon l’appelante, elle et M avaient convenu que si elle payait les primes, elle aurait droit au produit de la police comme moyen d’aider M à subvenir aux besoins de leurs enfants, malgré son irresponsabilité financière. La Cour supérieure de justice de l’Ontario a accueilli la demande, statuant que le produit était l’objet d’une fiducie par interprétation en faveur de l’appelante. La Cour d’appel de l’Ontario a accueilli l’appel, annulé la décision de la juridiction inférieure et statué que même si l’appelante avait droit au remboursement des primes qu’elle avait payées, l’intimée devait recevoir le solde du produit. Le juge </w:t>
      </w:r>
      <w:proofErr w:type="spellStart"/>
      <w:r w:rsidRPr="00037066">
        <w:rPr>
          <w:sz w:val="20"/>
          <w:szCs w:val="20"/>
          <w:lang w:val="fr-CA"/>
        </w:rPr>
        <w:t>Lauwers</w:t>
      </w:r>
      <w:proofErr w:type="spellEnd"/>
      <w:r w:rsidRPr="00037066">
        <w:rPr>
          <w:sz w:val="20"/>
          <w:szCs w:val="20"/>
          <w:lang w:val="fr-CA"/>
        </w:rPr>
        <w:t>, dissident, était d’avis de rejeter l’appel</w:t>
      </w:r>
      <w:r w:rsidRPr="00C344C4">
        <w:rPr>
          <w:sz w:val="20"/>
          <w:szCs w:val="20"/>
          <w:lang w:val="fr-CA"/>
        </w:rPr>
        <w:t>.</w:t>
      </w:r>
    </w:p>
    <w:p w:rsidR="00233CE8" w:rsidRDefault="00233CE8" w:rsidP="00037066">
      <w:pPr>
        <w:jc w:val="both"/>
        <w:rPr>
          <w:sz w:val="20"/>
          <w:szCs w:val="20"/>
          <w:lang w:val="fr-CA"/>
        </w:rPr>
      </w:pPr>
    </w:p>
    <w:p w:rsidR="00233CE8" w:rsidRPr="00C344C4" w:rsidRDefault="009C02F9" w:rsidP="00037066">
      <w:pPr>
        <w:jc w:val="both"/>
        <w:rPr>
          <w:sz w:val="20"/>
          <w:szCs w:val="20"/>
          <w:lang w:val="fr-CA"/>
        </w:rPr>
      </w:pPr>
      <w:r>
        <w:rPr>
          <w:sz w:val="20"/>
          <w:szCs w:val="20"/>
          <w:lang w:val="fr-CA"/>
        </w:rPr>
        <w:pict>
          <v:rect id="_x0000_i1051" style="width:2in;height:1pt" o:hrpct="0" o:hralign="center" o:hrstd="t" o:hrnoshade="t" o:hr="t" fillcolor="black [3213]" stroked="f"/>
        </w:pict>
      </w:r>
    </w:p>
    <w:p w:rsidR="00037066" w:rsidRDefault="00037066">
      <w:pPr>
        <w:rPr>
          <w:sz w:val="20"/>
          <w:szCs w:val="20"/>
          <w:lang w:val="fr-CA"/>
        </w:rPr>
      </w:pPr>
      <w:r>
        <w:rPr>
          <w:sz w:val="20"/>
          <w:szCs w:val="20"/>
          <w:lang w:val="fr-CA"/>
        </w:rPr>
        <w:br w:type="page"/>
      </w:r>
    </w:p>
    <w:p w:rsidR="00037066" w:rsidRPr="00233CE8" w:rsidRDefault="00037066" w:rsidP="00037066">
      <w:pPr>
        <w:jc w:val="both"/>
        <w:rPr>
          <w:b/>
          <w:i/>
          <w:sz w:val="20"/>
          <w:szCs w:val="20"/>
          <w:lang w:val="en-US"/>
        </w:rPr>
      </w:pPr>
      <w:r w:rsidRPr="00037066">
        <w:rPr>
          <w:b/>
          <w:sz w:val="20"/>
          <w:szCs w:val="20"/>
        </w:rPr>
        <w:lastRenderedPageBreak/>
        <w:fldChar w:fldCharType="begin"/>
      </w:r>
      <w:r w:rsidRPr="00233CE8">
        <w:rPr>
          <w:b/>
          <w:sz w:val="20"/>
          <w:szCs w:val="20"/>
          <w:lang w:val="en-US"/>
        </w:rPr>
        <w:instrText xml:space="preserve"> SEQ CHAPTER \h \r 1</w:instrText>
      </w:r>
      <w:r w:rsidRPr="00037066">
        <w:rPr>
          <w:sz w:val="20"/>
          <w:szCs w:val="20"/>
          <w:lang w:val="fr-CA"/>
        </w:rPr>
        <w:fldChar w:fldCharType="end"/>
      </w:r>
      <w:r w:rsidRPr="00233CE8">
        <w:rPr>
          <w:b/>
          <w:sz w:val="20"/>
          <w:szCs w:val="20"/>
          <w:lang w:val="en-US"/>
        </w:rPr>
        <w:t>37715</w:t>
      </w:r>
      <w:r w:rsidRPr="00233CE8">
        <w:rPr>
          <w:sz w:val="20"/>
          <w:szCs w:val="20"/>
          <w:lang w:val="en-US"/>
        </w:rPr>
        <w:tab/>
      </w:r>
      <w:r w:rsidRPr="00233CE8">
        <w:rPr>
          <w:b/>
          <w:i/>
          <w:sz w:val="20"/>
          <w:szCs w:val="20"/>
          <w:lang w:val="en-US"/>
        </w:rPr>
        <w:t>A.R.J.D. v. Her Majesty the Queen</w:t>
      </w:r>
    </w:p>
    <w:p w:rsidR="00037066" w:rsidRPr="00037066" w:rsidRDefault="00037066" w:rsidP="00037066">
      <w:pPr>
        <w:ind w:firstLine="720"/>
        <w:jc w:val="both"/>
        <w:rPr>
          <w:sz w:val="20"/>
          <w:szCs w:val="20"/>
        </w:rPr>
      </w:pPr>
      <w:r w:rsidRPr="00037066">
        <w:rPr>
          <w:sz w:val="20"/>
          <w:szCs w:val="20"/>
        </w:rPr>
        <w:t>(Alta.) (Criminal) (As of Right)</w:t>
      </w:r>
    </w:p>
    <w:p w:rsidR="00037066" w:rsidRPr="00037066" w:rsidRDefault="00037066" w:rsidP="00037066">
      <w:pPr>
        <w:jc w:val="both"/>
        <w:rPr>
          <w:sz w:val="16"/>
          <w:szCs w:val="20"/>
        </w:rPr>
      </w:pPr>
    </w:p>
    <w:p w:rsidR="00037066" w:rsidRPr="00037066" w:rsidRDefault="00037066" w:rsidP="00037066">
      <w:pPr>
        <w:widowControl w:val="0"/>
        <w:jc w:val="both"/>
        <w:rPr>
          <w:smallCaps/>
          <w:sz w:val="20"/>
        </w:rPr>
      </w:pPr>
      <w:r w:rsidRPr="00037066">
        <w:rPr>
          <w:smallCaps/>
          <w:sz w:val="20"/>
        </w:rPr>
        <w:t>(publication ban on party) (publication ban in case)</w:t>
      </w:r>
    </w:p>
    <w:p w:rsidR="00037066" w:rsidRPr="00037066" w:rsidRDefault="00037066" w:rsidP="00037066">
      <w:pPr>
        <w:jc w:val="both"/>
        <w:rPr>
          <w:sz w:val="20"/>
          <w:szCs w:val="20"/>
        </w:rPr>
      </w:pPr>
    </w:p>
    <w:p w:rsidR="00037066" w:rsidRPr="00037066" w:rsidRDefault="00037066" w:rsidP="00037066">
      <w:pPr>
        <w:jc w:val="both"/>
        <w:rPr>
          <w:sz w:val="20"/>
          <w:szCs w:val="20"/>
          <w:lang w:val="en-US"/>
        </w:rPr>
      </w:pPr>
      <w:r w:rsidRPr="00037066">
        <w:rPr>
          <w:sz w:val="20"/>
          <w:szCs w:val="20"/>
          <w:lang w:val="en-US"/>
        </w:rPr>
        <w:t xml:space="preserve">Criminal law - Appeals - Sexual assault - Evidence - </w:t>
      </w:r>
      <w:proofErr w:type="spellStart"/>
      <w:r w:rsidRPr="00037066">
        <w:rPr>
          <w:sz w:val="20"/>
          <w:szCs w:val="20"/>
          <w:lang w:val="en-US"/>
        </w:rPr>
        <w:t>Behaviour</w:t>
      </w:r>
      <w:proofErr w:type="spellEnd"/>
      <w:r w:rsidRPr="00037066">
        <w:rPr>
          <w:sz w:val="20"/>
          <w:szCs w:val="20"/>
          <w:lang w:val="en-US"/>
        </w:rPr>
        <w:t xml:space="preserve"> of complainant - Whether Crown raised the necessary question of law as required under s. 676(1)(a) of the </w:t>
      </w:r>
      <w:r w:rsidRPr="00037066">
        <w:rPr>
          <w:i/>
          <w:sz w:val="20"/>
          <w:szCs w:val="20"/>
          <w:lang w:val="en-US"/>
        </w:rPr>
        <w:t>Criminal Code</w:t>
      </w:r>
      <w:r w:rsidRPr="00037066">
        <w:rPr>
          <w:sz w:val="20"/>
          <w:szCs w:val="20"/>
          <w:lang w:val="en-US"/>
        </w:rPr>
        <w:t xml:space="preserve"> - Whether trial judge erred by relying on stereotypical assumptions about how victim of sexual assault would behave.</w:t>
      </w:r>
    </w:p>
    <w:p w:rsidR="00037066" w:rsidRPr="00037066" w:rsidRDefault="00037066" w:rsidP="00037066">
      <w:pPr>
        <w:jc w:val="both"/>
        <w:rPr>
          <w:sz w:val="20"/>
          <w:szCs w:val="20"/>
          <w:lang w:val="en-US"/>
        </w:rPr>
      </w:pPr>
    </w:p>
    <w:p w:rsidR="00037066" w:rsidRPr="00037066" w:rsidRDefault="00037066" w:rsidP="00037066">
      <w:pPr>
        <w:jc w:val="both"/>
        <w:rPr>
          <w:sz w:val="20"/>
          <w:szCs w:val="20"/>
          <w:lang w:val="en-US"/>
        </w:rPr>
      </w:pPr>
      <w:r w:rsidRPr="00037066">
        <w:rPr>
          <w:sz w:val="20"/>
          <w:szCs w:val="20"/>
          <w:lang w:val="en-US"/>
        </w:rPr>
        <w:t xml:space="preserve">The appellant was acquitted at trial of three sexual offences alleged to have been committed against his stepdaughter: one count of sexual assault (s. 271 of the </w:t>
      </w:r>
      <w:r w:rsidRPr="00037066">
        <w:rPr>
          <w:i/>
          <w:sz w:val="20"/>
          <w:szCs w:val="20"/>
          <w:lang w:val="en-US"/>
        </w:rPr>
        <w:t>Criminal Code</w:t>
      </w:r>
      <w:r w:rsidRPr="00037066">
        <w:rPr>
          <w:sz w:val="20"/>
          <w:szCs w:val="20"/>
          <w:lang w:val="en-US"/>
        </w:rPr>
        <w:t xml:space="preserve">) and two counts of sexual interference (s. 151 of the </w:t>
      </w:r>
      <w:r w:rsidRPr="00037066">
        <w:rPr>
          <w:i/>
          <w:sz w:val="20"/>
          <w:szCs w:val="20"/>
          <w:lang w:val="en-US"/>
        </w:rPr>
        <w:t>Criminal Code</w:t>
      </w:r>
      <w:r w:rsidRPr="00037066">
        <w:rPr>
          <w:sz w:val="20"/>
          <w:szCs w:val="20"/>
          <w:lang w:val="en-US"/>
        </w:rPr>
        <w:t>). The complainant testified that over a number of years, when she was between the ages of 11 and 16, the appellant touched her sexually numerous times. The appellant denied the allegations.</w:t>
      </w:r>
    </w:p>
    <w:p w:rsidR="00037066" w:rsidRPr="00037066" w:rsidRDefault="00037066" w:rsidP="00037066">
      <w:pPr>
        <w:jc w:val="both"/>
        <w:rPr>
          <w:sz w:val="20"/>
          <w:szCs w:val="20"/>
          <w:lang w:val="en-US"/>
        </w:rPr>
      </w:pPr>
    </w:p>
    <w:p w:rsidR="00037066" w:rsidRDefault="00037066" w:rsidP="00037066">
      <w:pPr>
        <w:jc w:val="both"/>
        <w:rPr>
          <w:sz w:val="20"/>
          <w:szCs w:val="20"/>
        </w:rPr>
      </w:pPr>
      <w:r w:rsidRPr="00037066">
        <w:rPr>
          <w:sz w:val="20"/>
          <w:szCs w:val="20"/>
          <w:lang w:val="en-US"/>
        </w:rPr>
        <w:t xml:space="preserve">The Crown appealed the acquittals. The majority in the Court of Appeal allowed the appeal, set aside the acquittals and ordered a new trial. It was of the view that the trial judge erred by relying on an impermissible stereotype, or myth, about the </w:t>
      </w:r>
      <w:proofErr w:type="spellStart"/>
      <w:r w:rsidRPr="00037066">
        <w:rPr>
          <w:sz w:val="20"/>
          <w:szCs w:val="20"/>
          <w:lang w:val="en-US"/>
        </w:rPr>
        <w:t>behaviour</w:t>
      </w:r>
      <w:proofErr w:type="spellEnd"/>
      <w:r w:rsidRPr="00037066">
        <w:rPr>
          <w:sz w:val="20"/>
          <w:szCs w:val="20"/>
          <w:lang w:val="en-US"/>
        </w:rPr>
        <w:t xml:space="preserve"> of sexual assault victims in assessing the complainant’s credibility and acquitting the accused. </w:t>
      </w:r>
      <w:proofErr w:type="spellStart"/>
      <w:r w:rsidRPr="00037066">
        <w:rPr>
          <w:sz w:val="20"/>
          <w:szCs w:val="20"/>
          <w:lang w:val="en-US"/>
        </w:rPr>
        <w:t>Slatter</w:t>
      </w:r>
      <w:proofErr w:type="spellEnd"/>
      <w:r w:rsidRPr="00037066">
        <w:rPr>
          <w:sz w:val="20"/>
          <w:szCs w:val="20"/>
          <w:lang w:val="en-US"/>
        </w:rPr>
        <w:t xml:space="preserve"> J.A., dissenting, would have dismissed the appeal. In his opinion, the Crown had not shown that the trial judge made the asserted error.</w:t>
      </w:r>
      <w:r w:rsidRPr="00037066">
        <w:rPr>
          <w:sz w:val="20"/>
          <w:szCs w:val="20"/>
        </w:rPr>
        <w:t xml:space="preserve"> </w:t>
      </w:r>
    </w:p>
    <w:p w:rsidR="00233CE8" w:rsidRDefault="00233CE8" w:rsidP="00037066">
      <w:pPr>
        <w:jc w:val="both"/>
        <w:rPr>
          <w:sz w:val="20"/>
          <w:szCs w:val="20"/>
        </w:rPr>
      </w:pPr>
    </w:p>
    <w:p w:rsidR="00233CE8" w:rsidRPr="00037066" w:rsidRDefault="009C02F9" w:rsidP="00037066">
      <w:pPr>
        <w:jc w:val="both"/>
        <w:rPr>
          <w:sz w:val="20"/>
          <w:szCs w:val="20"/>
        </w:rPr>
      </w:pPr>
      <w:r>
        <w:rPr>
          <w:sz w:val="20"/>
          <w:szCs w:val="20"/>
          <w:lang w:val="fr-CA"/>
        </w:rPr>
        <w:pict>
          <v:rect id="_x0000_i1052" style="width:2in;height:1pt" o:hrpct="0" o:hralign="center" o:hrstd="t" o:hrnoshade="t" o:hr="t" fillcolor="black [3213]" stroked="f"/>
        </w:pict>
      </w:r>
    </w:p>
    <w:p w:rsidR="00037066" w:rsidRDefault="00037066">
      <w:pPr>
        <w:rPr>
          <w:sz w:val="20"/>
          <w:szCs w:val="20"/>
        </w:rPr>
      </w:pPr>
      <w:r>
        <w:rPr>
          <w:sz w:val="20"/>
          <w:szCs w:val="20"/>
        </w:rPr>
        <w:br w:type="page"/>
      </w:r>
    </w:p>
    <w:p w:rsidR="00037066" w:rsidRPr="00037066" w:rsidRDefault="00037066" w:rsidP="00037066">
      <w:pPr>
        <w:widowControl w:val="0"/>
        <w:ind w:left="720" w:hanging="720"/>
        <w:jc w:val="both"/>
        <w:rPr>
          <w:rFonts w:eastAsia="Times New Roman" w:cs="Times New Roman"/>
          <w:b/>
          <w:i/>
          <w:sz w:val="20"/>
          <w:szCs w:val="20"/>
          <w:lang w:val="fr-CA" w:eastAsia="en-CA"/>
        </w:rPr>
      </w:pPr>
      <w:r w:rsidRPr="00037066">
        <w:rPr>
          <w:rFonts w:eastAsia="Times New Roman" w:cs="Times New Roman"/>
          <w:b/>
          <w:sz w:val="20"/>
          <w:szCs w:val="20"/>
          <w:lang w:val="fr-CA" w:eastAsia="en-CA"/>
        </w:rPr>
        <w:lastRenderedPageBreak/>
        <w:fldChar w:fldCharType="begin"/>
      </w:r>
      <w:r w:rsidRPr="00037066">
        <w:rPr>
          <w:rFonts w:eastAsia="Times New Roman" w:cs="Times New Roman"/>
          <w:b/>
          <w:sz w:val="20"/>
          <w:szCs w:val="20"/>
          <w:lang w:val="fr-CA" w:eastAsia="en-CA"/>
        </w:rPr>
        <w:instrText xml:space="preserve"> SEQ CHAPTER \h \r 1</w:instrText>
      </w:r>
      <w:r w:rsidRPr="00037066">
        <w:rPr>
          <w:rFonts w:eastAsia="Times New Roman" w:cs="Times New Roman"/>
          <w:b/>
          <w:sz w:val="20"/>
          <w:szCs w:val="20"/>
          <w:lang w:val="fr-CA" w:eastAsia="en-CA"/>
        </w:rPr>
        <w:fldChar w:fldCharType="end"/>
      </w:r>
      <w:r w:rsidRPr="00037066">
        <w:rPr>
          <w:rFonts w:eastAsia="Times New Roman" w:cs="Times New Roman"/>
          <w:b/>
          <w:sz w:val="20"/>
          <w:szCs w:val="20"/>
          <w:lang w:val="fr-CA" w:eastAsia="en-CA"/>
        </w:rPr>
        <w:t>37715</w:t>
      </w:r>
      <w:r w:rsidRPr="00037066">
        <w:rPr>
          <w:rFonts w:eastAsia="Times New Roman" w:cs="Times New Roman"/>
          <w:sz w:val="20"/>
          <w:szCs w:val="20"/>
          <w:lang w:val="fr-CA" w:eastAsia="en-CA"/>
        </w:rPr>
        <w:tab/>
      </w:r>
      <w:r w:rsidRPr="00037066">
        <w:rPr>
          <w:rFonts w:eastAsia="Times New Roman" w:cs="Times New Roman"/>
          <w:b/>
          <w:i/>
          <w:sz w:val="20"/>
          <w:szCs w:val="20"/>
          <w:lang w:val="fr-CA" w:eastAsia="en-CA"/>
        </w:rPr>
        <w:t>A.R.J.D. c. Sa Majesté la Reine</w:t>
      </w:r>
    </w:p>
    <w:p w:rsidR="00037066" w:rsidRPr="00037066" w:rsidRDefault="00037066" w:rsidP="00037066">
      <w:pPr>
        <w:widowControl w:val="0"/>
        <w:ind w:left="1440" w:hanging="720"/>
        <w:jc w:val="both"/>
        <w:rPr>
          <w:rFonts w:eastAsia="Times New Roman" w:cs="Times New Roman"/>
          <w:sz w:val="20"/>
          <w:szCs w:val="20"/>
          <w:lang w:val="fr-CA" w:eastAsia="en-CA"/>
        </w:rPr>
      </w:pPr>
      <w:r w:rsidRPr="00037066">
        <w:rPr>
          <w:rFonts w:eastAsia="Times New Roman" w:cs="Times New Roman"/>
          <w:sz w:val="20"/>
          <w:szCs w:val="20"/>
          <w:lang w:val="fr-CA" w:eastAsia="en-CA"/>
        </w:rPr>
        <w:t>(</w:t>
      </w:r>
      <w:proofErr w:type="spellStart"/>
      <w:r w:rsidRPr="00037066">
        <w:rPr>
          <w:rFonts w:eastAsia="Times New Roman" w:cs="Times New Roman"/>
          <w:sz w:val="20"/>
          <w:szCs w:val="20"/>
          <w:lang w:val="fr-CA" w:eastAsia="en-CA"/>
        </w:rPr>
        <w:t>Alb</w:t>
      </w:r>
      <w:proofErr w:type="spellEnd"/>
      <w:r w:rsidRPr="00037066">
        <w:rPr>
          <w:rFonts w:eastAsia="Times New Roman" w:cs="Times New Roman"/>
          <w:sz w:val="20"/>
          <w:szCs w:val="20"/>
          <w:lang w:val="fr-CA" w:eastAsia="en-CA"/>
        </w:rPr>
        <w:t>.) (Criminelle) (De plein droit)</w:t>
      </w:r>
    </w:p>
    <w:p w:rsidR="00037066" w:rsidRPr="00037066" w:rsidRDefault="00037066" w:rsidP="00037066">
      <w:pPr>
        <w:widowControl w:val="0"/>
        <w:jc w:val="both"/>
        <w:rPr>
          <w:rFonts w:eastAsia="Times New Roman" w:cs="Times New Roman"/>
          <w:sz w:val="20"/>
          <w:szCs w:val="20"/>
          <w:lang w:val="fr-CA" w:eastAsia="en-CA"/>
        </w:rPr>
      </w:pPr>
    </w:p>
    <w:p w:rsidR="00037066" w:rsidRPr="00037066" w:rsidRDefault="00037066" w:rsidP="00037066">
      <w:pPr>
        <w:widowControl w:val="0"/>
        <w:jc w:val="both"/>
        <w:rPr>
          <w:rFonts w:eastAsia="Times New Roman" w:cs="Times New Roman"/>
          <w:smallCaps/>
          <w:sz w:val="20"/>
          <w:szCs w:val="20"/>
          <w:lang w:val="fr-CA" w:eastAsia="en-CA"/>
        </w:rPr>
      </w:pPr>
      <w:r w:rsidRPr="00037066">
        <w:rPr>
          <w:rFonts w:eastAsia="Times New Roman" w:cs="Times New Roman"/>
          <w:smallCaps/>
          <w:sz w:val="20"/>
          <w:szCs w:val="20"/>
          <w:lang w:val="fr-CA" w:eastAsia="en-CA"/>
        </w:rPr>
        <w:t>(Ordonnance de non-publication visant une partie) (Ordonnance de non-publication dans le dossier)</w:t>
      </w:r>
    </w:p>
    <w:p w:rsidR="00037066" w:rsidRPr="00037066" w:rsidRDefault="00037066" w:rsidP="00037066">
      <w:pPr>
        <w:widowControl w:val="0"/>
        <w:jc w:val="both"/>
        <w:rPr>
          <w:rFonts w:eastAsia="Times New Roman" w:cs="Times New Roman"/>
          <w:sz w:val="20"/>
          <w:szCs w:val="20"/>
          <w:lang w:val="fr-CA" w:eastAsia="en-CA"/>
        </w:rPr>
      </w:pPr>
    </w:p>
    <w:p w:rsidR="00037066" w:rsidRPr="00037066" w:rsidRDefault="00037066" w:rsidP="00037066">
      <w:pPr>
        <w:widowControl w:val="0"/>
        <w:jc w:val="both"/>
        <w:rPr>
          <w:rFonts w:eastAsia="Times New Roman" w:cs="Times New Roman"/>
          <w:sz w:val="20"/>
          <w:szCs w:val="20"/>
          <w:lang w:val="fr-CA" w:eastAsia="en-CA"/>
        </w:rPr>
      </w:pPr>
      <w:r w:rsidRPr="00037066">
        <w:rPr>
          <w:rFonts w:eastAsia="Times New Roman" w:cs="Times New Roman"/>
          <w:sz w:val="20"/>
          <w:szCs w:val="20"/>
          <w:lang w:val="fr-CA" w:eastAsia="en-CA"/>
        </w:rPr>
        <w:t xml:space="preserve">Droit criminel - Appels - Agression sexuelle - Preuve - Comportement de la plaignante - Le ministère public </w:t>
      </w:r>
      <w:proofErr w:type="spellStart"/>
      <w:r w:rsidRPr="00037066">
        <w:rPr>
          <w:rFonts w:eastAsia="Times New Roman" w:cs="Times New Roman"/>
          <w:sz w:val="20"/>
          <w:szCs w:val="20"/>
          <w:lang w:val="fr-CA" w:eastAsia="en-CA"/>
        </w:rPr>
        <w:t>a-t-il</w:t>
      </w:r>
      <w:proofErr w:type="spellEnd"/>
      <w:r w:rsidRPr="00037066">
        <w:rPr>
          <w:rFonts w:eastAsia="Times New Roman" w:cs="Times New Roman"/>
          <w:sz w:val="20"/>
          <w:szCs w:val="20"/>
          <w:lang w:val="fr-CA" w:eastAsia="en-CA"/>
        </w:rPr>
        <w:t xml:space="preserve"> soulevé la question de droit nécessaire comme il est prescrit à l’al. 676(1)a) du </w:t>
      </w:r>
      <w:r w:rsidRPr="00037066">
        <w:rPr>
          <w:rFonts w:eastAsia="Times New Roman" w:cs="Times New Roman"/>
          <w:i/>
          <w:sz w:val="20"/>
          <w:szCs w:val="20"/>
          <w:lang w:val="fr-CA" w:eastAsia="en-CA"/>
        </w:rPr>
        <w:t>Code criminel</w:t>
      </w:r>
      <w:r w:rsidRPr="00037066">
        <w:rPr>
          <w:rFonts w:eastAsia="Times New Roman" w:cs="Times New Roman"/>
          <w:sz w:val="20"/>
          <w:szCs w:val="20"/>
          <w:lang w:val="fr-CA" w:eastAsia="en-CA"/>
        </w:rPr>
        <w:t xml:space="preserve">? - Le juge du procès </w:t>
      </w:r>
      <w:proofErr w:type="spellStart"/>
      <w:r w:rsidRPr="00037066">
        <w:rPr>
          <w:rFonts w:eastAsia="Times New Roman" w:cs="Times New Roman"/>
          <w:sz w:val="20"/>
          <w:szCs w:val="20"/>
          <w:lang w:val="fr-CA" w:eastAsia="en-CA"/>
        </w:rPr>
        <w:t>a-t-il</w:t>
      </w:r>
      <w:proofErr w:type="spellEnd"/>
      <w:r w:rsidRPr="00037066">
        <w:rPr>
          <w:rFonts w:eastAsia="Times New Roman" w:cs="Times New Roman"/>
          <w:sz w:val="20"/>
          <w:szCs w:val="20"/>
          <w:lang w:val="fr-CA" w:eastAsia="en-CA"/>
        </w:rPr>
        <w:t xml:space="preserve"> commis une erreur en s’appuyant sur des suppositions stéréotypées à propos de la manière dont une victime d’agression sexuelle se comporterait?</w:t>
      </w:r>
    </w:p>
    <w:p w:rsidR="00037066" w:rsidRPr="00037066" w:rsidRDefault="00037066" w:rsidP="00037066">
      <w:pPr>
        <w:widowControl w:val="0"/>
        <w:jc w:val="both"/>
        <w:rPr>
          <w:rFonts w:eastAsia="Times New Roman" w:cs="Times New Roman"/>
          <w:sz w:val="20"/>
          <w:szCs w:val="20"/>
          <w:lang w:val="fr-CA" w:eastAsia="en-CA"/>
        </w:rPr>
      </w:pPr>
    </w:p>
    <w:p w:rsidR="00037066" w:rsidRPr="00037066" w:rsidRDefault="00037066" w:rsidP="00037066">
      <w:pPr>
        <w:widowControl w:val="0"/>
        <w:jc w:val="both"/>
        <w:rPr>
          <w:rFonts w:eastAsia="Times New Roman" w:cs="Times New Roman"/>
          <w:sz w:val="20"/>
          <w:szCs w:val="20"/>
          <w:lang w:val="fr-CA" w:eastAsia="en-CA"/>
        </w:rPr>
      </w:pPr>
      <w:r w:rsidRPr="00037066">
        <w:rPr>
          <w:rFonts w:eastAsia="Times New Roman" w:cs="Times New Roman"/>
          <w:sz w:val="20"/>
          <w:szCs w:val="20"/>
          <w:lang w:val="fr-CA" w:eastAsia="en-CA"/>
        </w:rPr>
        <w:t xml:space="preserve">L’appelant a été acquitté à son procès relativement à trois infractions d’ordre sexuel qui auraient été commises contre sa belle-fille : un chef d’agression sexuelle (art. 271 du </w:t>
      </w:r>
      <w:r w:rsidRPr="00037066">
        <w:rPr>
          <w:rFonts w:eastAsia="Times New Roman" w:cs="Times New Roman"/>
          <w:i/>
          <w:sz w:val="20"/>
          <w:szCs w:val="20"/>
          <w:lang w:val="fr-CA" w:eastAsia="en-CA"/>
        </w:rPr>
        <w:t>Code criminel</w:t>
      </w:r>
      <w:r w:rsidRPr="00037066">
        <w:rPr>
          <w:rFonts w:eastAsia="Times New Roman" w:cs="Times New Roman"/>
          <w:sz w:val="20"/>
          <w:szCs w:val="20"/>
          <w:lang w:val="fr-CA" w:eastAsia="en-CA"/>
        </w:rPr>
        <w:t xml:space="preserve">) et deux chefs de contacts sexuels (art. 151 du </w:t>
      </w:r>
      <w:r w:rsidRPr="00037066">
        <w:rPr>
          <w:rFonts w:eastAsia="Times New Roman" w:cs="Times New Roman"/>
          <w:i/>
          <w:sz w:val="20"/>
          <w:szCs w:val="20"/>
          <w:lang w:val="fr-CA" w:eastAsia="en-CA"/>
        </w:rPr>
        <w:t>Code criminel</w:t>
      </w:r>
      <w:r w:rsidRPr="00037066">
        <w:rPr>
          <w:rFonts w:eastAsia="Times New Roman" w:cs="Times New Roman"/>
          <w:sz w:val="20"/>
          <w:szCs w:val="20"/>
          <w:lang w:val="fr-CA" w:eastAsia="en-CA"/>
        </w:rPr>
        <w:t>). La plaignante a témoigné que pendant plusieurs d’années, alors qu’elle était âgée entre 11 et 16 ans, l’appelant l’aurait touchée sexuellement à de multiples occasions. L’appelant a nié les allégations.</w:t>
      </w:r>
    </w:p>
    <w:p w:rsidR="00037066" w:rsidRPr="00037066" w:rsidRDefault="00037066" w:rsidP="00037066">
      <w:pPr>
        <w:widowControl w:val="0"/>
        <w:jc w:val="both"/>
        <w:rPr>
          <w:rFonts w:eastAsia="Times New Roman" w:cs="Times New Roman"/>
          <w:sz w:val="20"/>
          <w:szCs w:val="20"/>
          <w:lang w:val="fr-CA" w:eastAsia="en-CA"/>
        </w:rPr>
      </w:pPr>
    </w:p>
    <w:p w:rsidR="00037066" w:rsidRDefault="00037066" w:rsidP="00037066">
      <w:pPr>
        <w:widowControl w:val="0"/>
        <w:jc w:val="both"/>
        <w:rPr>
          <w:rFonts w:eastAsia="Times New Roman" w:cs="Times New Roman"/>
          <w:sz w:val="20"/>
          <w:szCs w:val="20"/>
          <w:lang w:val="fr-CA" w:eastAsia="en-CA"/>
        </w:rPr>
      </w:pPr>
      <w:r w:rsidRPr="00037066">
        <w:rPr>
          <w:rFonts w:eastAsia="Times New Roman" w:cs="Times New Roman"/>
          <w:sz w:val="20"/>
          <w:szCs w:val="20"/>
          <w:lang w:val="fr-CA" w:eastAsia="en-CA"/>
        </w:rPr>
        <w:t>Le ministère public a interjeté appel des acquittements. Les juges majoritaires ont accueilli l’appel, annulé les acquittements et ordonné la tenue d’un nouveau procès. Ils étaient d’avis que le juge du procès avait commis une erreur en s’appuyant sur un stéréotype, ou mythe, inadmissible, à propos du comportement des victimes d’agression sexuelle  dans l’appréciation de la crédibilité de la plaignante et l’acquittement de l’accusé. Le juge Slater, dissident, était d’avis de rejeter l’appel. À son avis, le ministère public n’avait pas établi que le juge du procès avait commis l’erreur alléguée.</w:t>
      </w:r>
    </w:p>
    <w:p w:rsidR="00233CE8" w:rsidRDefault="00233CE8" w:rsidP="00037066">
      <w:pPr>
        <w:widowControl w:val="0"/>
        <w:jc w:val="both"/>
        <w:rPr>
          <w:rFonts w:eastAsia="Times New Roman" w:cs="Times New Roman"/>
          <w:sz w:val="20"/>
          <w:szCs w:val="20"/>
          <w:lang w:val="fr-CA" w:eastAsia="en-CA"/>
        </w:rPr>
      </w:pPr>
    </w:p>
    <w:p w:rsidR="00233CE8" w:rsidRPr="00037066" w:rsidRDefault="009C02F9" w:rsidP="00037066">
      <w:pPr>
        <w:widowControl w:val="0"/>
        <w:jc w:val="both"/>
        <w:rPr>
          <w:rFonts w:eastAsia="Times New Roman" w:cs="Times New Roman"/>
          <w:sz w:val="20"/>
          <w:szCs w:val="20"/>
          <w:lang w:val="fr-CA" w:eastAsia="en-CA"/>
        </w:rPr>
      </w:pPr>
      <w:r>
        <w:rPr>
          <w:sz w:val="20"/>
          <w:szCs w:val="20"/>
          <w:lang w:val="fr-CA"/>
        </w:rPr>
        <w:pict>
          <v:rect id="_x0000_i1053" style="width:2in;height:1pt" o:hrpct="0" o:hralign="center" o:hrstd="t" o:hrnoshade="t" o:hr="t" fillcolor="black [3213]" stroked="f"/>
        </w:pict>
      </w:r>
    </w:p>
    <w:p w:rsidR="00037066" w:rsidRDefault="00037066">
      <w:pPr>
        <w:rPr>
          <w:sz w:val="20"/>
          <w:szCs w:val="20"/>
          <w:lang w:val="fr-CA"/>
        </w:rPr>
      </w:pPr>
      <w:r>
        <w:rPr>
          <w:sz w:val="20"/>
          <w:szCs w:val="20"/>
          <w:lang w:val="fr-CA"/>
        </w:rPr>
        <w:br w:type="page"/>
      </w:r>
    </w:p>
    <w:p w:rsidR="00037066" w:rsidRPr="00037066" w:rsidRDefault="00037066" w:rsidP="00037066">
      <w:pPr>
        <w:jc w:val="both"/>
        <w:rPr>
          <w:b/>
          <w:i/>
          <w:sz w:val="20"/>
          <w:szCs w:val="20"/>
        </w:rPr>
      </w:pPr>
      <w:r w:rsidRPr="00037066">
        <w:rPr>
          <w:b/>
          <w:sz w:val="20"/>
          <w:szCs w:val="20"/>
        </w:rPr>
        <w:lastRenderedPageBreak/>
        <w:fldChar w:fldCharType="begin"/>
      </w:r>
      <w:r w:rsidRPr="00037066">
        <w:rPr>
          <w:b/>
          <w:sz w:val="20"/>
          <w:szCs w:val="20"/>
          <w:lang w:val="en-US"/>
        </w:rPr>
        <w:instrText xml:space="preserve"> SEQ CHAPTER \h \r 1</w:instrText>
      </w:r>
      <w:r w:rsidRPr="00037066">
        <w:rPr>
          <w:sz w:val="20"/>
          <w:szCs w:val="20"/>
          <w:lang w:val="fr-CA"/>
        </w:rPr>
        <w:fldChar w:fldCharType="end"/>
      </w:r>
      <w:r w:rsidRPr="00037066">
        <w:rPr>
          <w:b/>
          <w:sz w:val="20"/>
          <w:szCs w:val="20"/>
        </w:rPr>
        <w:t>37707</w:t>
      </w:r>
      <w:r w:rsidRPr="00037066">
        <w:rPr>
          <w:sz w:val="20"/>
          <w:szCs w:val="20"/>
        </w:rPr>
        <w:tab/>
      </w:r>
      <w:r w:rsidRPr="00037066">
        <w:rPr>
          <w:b/>
          <w:i/>
          <w:sz w:val="20"/>
          <w:szCs w:val="20"/>
        </w:rPr>
        <w:t xml:space="preserve">Her Majesty the Queen v. Paul Trevor </w:t>
      </w:r>
      <w:proofErr w:type="spellStart"/>
      <w:r w:rsidRPr="00037066">
        <w:rPr>
          <w:b/>
          <w:i/>
          <w:sz w:val="20"/>
          <w:szCs w:val="20"/>
        </w:rPr>
        <w:t>Calnen</w:t>
      </w:r>
      <w:proofErr w:type="spellEnd"/>
    </w:p>
    <w:p w:rsidR="00037066" w:rsidRPr="00037066" w:rsidRDefault="00037066" w:rsidP="00037066">
      <w:pPr>
        <w:ind w:firstLine="720"/>
        <w:jc w:val="both"/>
        <w:rPr>
          <w:sz w:val="20"/>
          <w:szCs w:val="20"/>
        </w:rPr>
      </w:pPr>
      <w:r w:rsidRPr="00037066">
        <w:rPr>
          <w:sz w:val="20"/>
          <w:szCs w:val="20"/>
        </w:rPr>
        <w:t>(N.S.) (Criminal) (As of Right)</w:t>
      </w:r>
    </w:p>
    <w:p w:rsidR="00037066" w:rsidRPr="00037066" w:rsidRDefault="00037066" w:rsidP="00037066">
      <w:pPr>
        <w:jc w:val="both"/>
        <w:rPr>
          <w:sz w:val="20"/>
          <w:szCs w:val="20"/>
        </w:rPr>
      </w:pPr>
    </w:p>
    <w:p w:rsidR="00037066" w:rsidRPr="00037066" w:rsidRDefault="00037066" w:rsidP="00037066">
      <w:pPr>
        <w:jc w:val="both"/>
        <w:rPr>
          <w:sz w:val="20"/>
          <w:szCs w:val="20"/>
          <w:lang w:val="en-US"/>
        </w:rPr>
      </w:pPr>
      <w:r w:rsidRPr="00037066">
        <w:rPr>
          <w:sz w:val="20"/>
          <w:szCs w:val="20"/>
          <w:lang w:val="en-US"/>
        </w:rPr>
        <w:t>Criminal law - Charge to jury - Evidence - Post-offence conduct - Whether after-the-fact conduct evidence was capable of assisting jury in differentiating between murder and manslaughter - Whether directed verdict application should have been granted on second degree murder charge -</w:t>
      </w:r>
      <w:r w:rsidR="005A4E73">
        <w:rPr>
          <w:sz w:val="20"/>
          <w:szCs w:val="20"/>
          <w:lang w:val="en-US"/>
        </w:rPr>
        <w:t xml:space="preserve"> </w:t>
      </w:r>
      <w:r w:rsidRPr="00037066">
        <w:rPr>
          <w:sz w:val="20"/>
          <w:szCs w:val="20"/>
          <w:lang w:val="en-US"/>
        </w:rPr>
        <w:t>Whether trial judge properly instructed jury in regard to after-the-fact conduct evidence - Whether jury charge was deficient in regard to circumstantial evidence generally - What, if any, finding did majority of Court of Appeal reach on issue of unreasonable verdict.</w:t>
      </w:r>
    </w:p>
    <w:p w:rsidR="00037066" w:rsidRPr="00037066" w:rsidRDefault="00037066" w:rsidP="00037066">
      <w:pPr>
        <w:jc w:val="both"/>
        <w:rPr>
          <w:sz w:val="20"/>
          <w:szCs w:val="20"/>
          <w:lang w:val="en-US"/>
        </w:rPr>
      </w:pPr>
    </w:p>
    <w:p w:rsidR="00037066" w:rsidRDefault="00037066" w:rsidP="00037066">
      <w:pPr>
        <w:jc w:val="both"/>
        <w:rPr>
          <w:sz w:val="20"/>
          <w:szCs w:val="20"/>
          <w:lang w:val="en-US"/>
        </w:rPr>
      </w:pPr>
      <w:r w:rsidRPr="00037066">
        <w:rPr>
          <w:sz w:val="20"/>
          <w:szCs w:val="20"/>
          <w:lang w:val="en-US"/>
        </w:rPr>
        <w:t>Mr. </w:t>
      </w:r>
      <w:proofErr w:type="spellStart"/>
      <w:r w:rsidRPr="00037066">
        <w:rPr>
          <w:sz w:val="20"/>
          <w:szCs w:val="20"/>
          <w:lang w:val="en-US"/>
        </w:rPr>
        <w:t>Calnen</w:t>
      </w:r>
      <w:proofErr w:type="spellEnd"/>
      <w:r w:rsidRPr="00037066">
        <w:rPr>
          <w:sz w:val="20"/>
          <w:szCs w:val="20"/>
          <w:lang w:val="en-US"/>
        </w:rPr>
        <w:t xml:space="preserve"> was convicted by a jury of second degree murder in the death of his female partner, </w:t>
      </w:r>
      <w:proofErr w:type="spellStart"/>
      <w:r w:rsidRPr="00037066">
        <w:rPr>
          <w:sz w:val="20"/>
          <w:szCs w:val="20"/>
          <w:lang w:val="en-US"/>
        </w:rPr>
        <w:t>Reita</w:t>
      </w:r>
      <w:proofErr w:type="spellEnd"/>
      <w:r w:rsidRPr="00037066">
        <w:rPr>
          <w:sz w:val="20"/>
          <w:szCs w:val="20"/>
          <w:lang w:val="en-US"/>
        </w:rPr>
        <w:t xml:space="preserve"> Louise Jordan. He also pled guilty to two charges of indecently interfering with human remains. He denied causing Ms. Jordan’s death but admitted to burning her body and disposing of her ashes. The majority of the Crown’s evidence at trial consisted of circumstantial evidence, mainly related to Mr. </w:t>
      </w:r>
      <w:proofErr w:type="spellStart"/>
      <w:r w:rsidRPr="00037066">
        <w:rPr>
          <w:sz w:val="20"/>
          <w:szCs w:val="20"/>
          <w:lang w:val="en-US"/>
        </w:rPr>
        <w:t>Calnen’s</w:t>
      </w:r>
      <w:proofErr w:type="spellEnd"/>
      <w:r w:rsidRPr="00037066">
        <w:rPr>
          <w:sz w:val="20"/>
          <w:szCs w:val="20"/>
          <w:lang w:val="en-US"/>
        </w:rPr>
        <w:t xml:space="preserve"> after-the-fact conduct. Mr. </w:t>
      </w:r>
      <w:proofErr w:type="spellStart"/>
      <w:r w:rsidRPr="00037066">
        <w:rPr>
          <w:sz w:val="20"/>
          <w:szCs w:val="20"/>
          <w:lang w:val="en-US"/>
        </w:rPr>
        <w:t>Calnen</w:t>
      </w:r>
      <w:proofErr w:type="spellEnd"/>
      <w:r w:rsidRPr="00037066">
        <w:rPr>
          <w:sz w:val="20"/>
          <w:szCs w:val="20"/>
          <w:lang w:val="en-US"/>
        </w:rPr>
        <w:t xml:space="preserve"> appealed his murder conviction. The majority in the Court of Appeal allowed the appeal and set aside the conviction. It was of the view that the trial judge failed to properly instruct the jury on the limitations as to the use of after-the-fact evidence, and that a proper application of the limitations in the use of that evidence left the Crown unable to prove the requisite intent for a conviction for murder in this case. MacDonald C.J.N.S., dissenting, would have dismissed the appeal. In his opinion, the trial judge’s charge to the jury was legally correct, and the trial judge’s handling of the respondent’s after-the-fact conduct was error free.</w:t>
      </w:r>
    </w:p>
    <w:p w:rsidR="00233CE8" w:rsidRDefault="00233CE8" w:rsidP="00037066">
      <w:pPr>
        <w:jc w:val="both"/>
        <w:rPr>
          <w:sz w:val="20"/>
          <w:szCs w:val="20"/>
          <w:lang w:val="en-US"/>
        </w:rPr>
      </w:pPr>
    </w:p>
    <w:p w:rsidR="00233CE8" w:rsidRPr="00037066" w:rsidRDefault="009C02F9" w:rsidP="00037066">
      <w:pPr>
        <w:jc w:val="both"/>
        <w:rPr>
          <w:sz w:val="20"/>
          <w:szCs w:val="20"/>
        </w:rPr>
      </w:pPr>
      <w:r>
        <w:rPr>
          <w:sz w:val="20"/>
          <w:szCs w:val="20"/>
          <w:lang w:val="fr-CA"/>
        </w:rPr>
        <w:pict>
          <v:rect id="_x0000_i1054" style="width:2in;height:1pt" o:hrpct="0" o:hralign="center" o:hrstd="t" o:hrnoshade="t" o:hr="t" fillcolor="black [3213]" stroked="f"/>
        </w:pict>
      </w:r>
    </w:p>
    <w:p w:rsidR="00F20687" w:rsidRDefault="00F20687">
      <w:pPr>
        <w:rPr>
          <w:sz w:val="20"/>
          <w:szCs w:val="20"/>
        </w:rPr>
      </w:pPr>
      <w:r>
        <w:rPr>
          <w:sz w:val="20"/>
          <w:szCs w:val="20"/>
        </w:rPr>
        <w:br w:type="page"/>
      </w:r>
    </w:p>
    <w:p w:rsidR="00F20687" w:rsidRPr="00F20687" w:rsidRDefault="00F20687" w:rsidP="00F20687">
      <w:pPr>
        <w:jc w:val="both"/>
        <w:rPr>
          <w:b/>
          <w:i/>
          <w:sz w:val="20"/>
          <w:szCs w:val="20"/>
          <w:lang w:val="fr-CA"/>
        </w:rPr>
      </w:pPr>
      <w:r w:rsidRPr="00F20687">
        <w:rPr>
          <w:b/>
          <w:sz w:val="20"/>
          <w:szCs w:val="20"/>
          <w:lang w:val="fr-CA"/>
        </w:rPr>
        <w:lastRenderedPageBreak/>
        <w:fldChar w:fldCharType="begin"/>
      </w:r>
      <w:r w:rsidRPr="00F20687">
        <w:rPr>
          <w:b/>
          <w:sz w:val="20"/>
          <w:szCs w:val="20"/>
          <w:lang w:val="fr-CA"/>
        </w:rPr>
        <w:instrText xml:space="preserve"> SEQ CHAPTER \h \r 1</w:instrText>
      </w:r>
      <w:r w:rsidRPr="00F20687">
        <w:rPr>
          <w:sz w:val="20"/>
          <w:szCs w:val="20"/>
        </w:rPr>
        <w:fldChar w:fldCharType="end"/>
      </w:r>
      <w:r w:rsidRPr="00F20687">
        <w:rPr>
          <w:b/>
          <w:sz w:val="20"/>
          <w:szCs w:val="20"/>
          <w:lang w:val="fr-CA"/>
        </w:rPr>
        <w:t>37707</w:t>
      </w:r>
      <w:r w:rsidRPr="00F20687">
        <w:rPr>
          <w:sz w:val="20"/>
          <w:szCs w:val="20"/>
          <w:lang w:val="fr-CA"/>
        </w:rPr>
        <w:tab/>
      </w:r>
      <w:r w:rsidRPr="00F20687">
        <w:rPr>
          <w:b/>
          <w:i/>
          <w:sz w:val="20"/>
          <w:szCs w:val="20"/>
          <w:lang w:val="fr-CA"/>
        </w:rPr>
        <w:t xml:space="preserve">Sa Majesté la Reine c. Paul Trevor </w:t>
      </w:r>
      <w:proofErr w:type="spellStart"/>
      <w:r w:rsidRPr="00F20687">
        <w:rPr>
          <w:b/>
          <w:i/>
          <w:sz w:val="20"/>
          <w:szCs w:val="20"/>
          <w:lang w:val="fr-CA"/>
        </w:rPr>
        <w:t>Calnen</w:t>
      </w:r>
      <w:proofErr w:type="spellEnd"/>
    </w:p>
    <w:p w:rsidR="00F20687" w:rsidRPr="00F20687" w:rsidRDefault="00F20687" w:rsidP="00F20687">
      <w:pPr>
        <w:ind w:firstLine="720"/>
        <w:jc w:val="both"/>
        <w:rPr>
          <w:sz w:val="20"/>
          <w:szCs w:val="20"/>
          <w:lang w:val="fr-CA"/>
        </w:rPr>
      </w:pPr>
      <w:r w:rsidRPr="00F20687">
        <w:rPr>
          <w:sz w:val="20"/>
          <w:szCs w:val="20"/>
          <w:lang w:val="fr-CA"/>
        </w:rPr>
        <w:t>(N.-É.) (Criminelle) (De plein droit)</w:t>
      </w:r>
    </w:p>
    <w:p w:rsidR="00F20687" w:rsidRPr="00F20687" w:rsidRDefault="00F20687" w:rsidP="00F20687">
      <w:pPr>
        <w:jc w:val="both"/>
        <w:rPr>
          <w:sz w:val="20"/>
          <w:szCs w:val="20"/>
          <w:lang w:val="fr-CA"/>
        </w:rPr>
      </w:pPr>
    </w:p>
    <w:p w:rsidR="00F20687" w:rsidRPr="00F20687" w:rsidRDefault="00F20687" w:rsidP="00F20687">
      <w:pPr>
        <w:jc w:val="both"/>
        <w:rPr>
          <w:sz w:val="20"/>
          <w:szCs w:val="20"/>
          <w:lang w:val="fr-CA"/>
        </w:rPr>
      </w:pPr>
      <w:r w:rsidRPr="00F20687">
        <w:rPr>
          <w:sz w:val="20"/>
          <w:szCs w:val="20"/>
          <w:lang w:val="fr-CA"/>
        </w:rPr>
        <w:t xml:space="preserve">Droit criminel - Exposé au jury - Preuve - Comportement postérieur à l’infraction - La preuve relative au comportement après le fait était-elle susceptible d’aider le jury à faire la différence entre un meurtre et un homicide involontaire coupable? - La demande de verdict imposé aurait-elle dû être accueillie relativement à l’accusation de meurtre au deuxième degré? - Le juge du procès </w:t>
      </w:r>
      <w:proofErr w:type="spellStart"/>
      <w:r w:rsidRPr="00F20687">
        <w:rPr>
          <w:sz w:val="20"/>
          <w:szCs w:val="20"/>
          <w:lang w:val="fr-CA"/>
        </w:rPr>
        <w:t>a-t-il</w:t>
      </w:r>
      <w:proofErr w:type="spellEnd"/>
      <w:r w:rsidRPr="00F20687">
        <w:rPr>
          <w:sz w:val="20"/>
          <w:szCs w:val="20"/>
          <w:lang w:val="fr-CA"/>
        </w:rPr>
        <w:t xml:space="preserve"> donné au jury des directives appropriées sur la preuve relative au comportement après le fait? - L’exposé au jury était-il déficient à l’égard de la preuve circonstancielle en général? - À quelle conclusion, le cas échéant, sont-ils arrivés les juges majoritaires de la Cour d’appel sur la question du verdict déraisonnable?</w:t>
      </w:r>
    </w:p>
    <w:p w:rsidR="00F20687" w:rsidRPr="00F20687" w:rsidRDefault="00F20687" w:rsidP="00F20687">
      <w:pPr>
        <w:jc w:val="both"/>
        <w:rPr>
          <w:sz w:val="20"/>
          <w:szCs w:val="20"/>
          <w:lang w:val="fr-CA"/>
        </w:rPr>
      </w:pPr>
    </w:p>
    <w:p w:rsidR="00414BC0" w:rsidRDefault="00F20687" w:rsidP="00F20687">
      <w:pPr>
        <w:jc w:val="both"/>
        <w:rPr>
          <w:sz w:val="20"/>
          <w:szCs w:val="20"/>
          <w:lang w:val="fr-CA"/>
        </w:rPr>
      </w:pPr>
      <w:r w:rsidRPr="00F20687">
        <w:rPr>
          <w:sz w:val="20"/>
          <w:szCs w:val="20"/>
          <w:lang w:val="fr-CA"/>
        </w:rPr>
        <w:t xml:space="preserve">Monsieur </w:t>
      </w:r>
      <w:proofErr w:type="spellStart"/>
      <w:r w:rsidRPr="00F20687">
        <w:rPr>
          <w:sz w:val="20"/>
          <w:szCs w:val="20"/>
          <w:lang w:val="fr-CA"/>
        </w:rPr>
        <w:t>Calnen</w:t>
      </w:r>
      <w:proofErr w:type="spellEnd"/>
      <w:r w:rsidRPr="00F20687">
        <w:rPr>
          <w:sz w:val="20"/>
          <w:szCs w:val="20"/>
          <w:lang w:val="fr-CA"/>
        </w:rPr>
        <w:t xml:space="preserve"> a été déclaré coupable par un jury de meurtre au deuxième degré relativement au décès de sa compagne, </w:t>
      </w:r>
      <w:proofErr w:type="spellStart"/>
      <w:r w:rsidRPr="00F20687">
        <w:rPr>
          <w:sz w:val="20"/>
          <w:szCs w:val="20"/>
          <w:lang w:val="fr-CA"/>
        </w:rPr>
        <w:t>Reita</w:t>
      </w:r>
      <w:proofErr w:type="spellEnd"/>
      <w:r w:rsidRPr="00F20687">
        <w:rPr>
          <w:sz w:val="20"/>
          <w:szCs w:val="20"/>
          <w:lang w:val="fr-CA"/>
        </w:rPr>
        <w:t xml:space="preserve"> Louise Jordan. Il a également plaidé coupable relativement à deux accusations d’avoir commis un outrage envers des restes humains. Il a nié avoir causé la mort de Mme Jordan, mais a avoué avoir brûlé son corps et avoir disposé de ses cendres. La preuve du ministère public au procès consistait surtout en de la preuve circonstancielle, liée principalement au comportement de M. </w:t>
      </w:r>
      <w:proofErr w:type="spellStart"/>
      <w:r w:rsidRPr="00F20687">
        <w:rPr>
          <w:sz w:val="20"/>
          <w:szCs w:val="20"/>
          <w:lang w:val="fr-CA"/>
        </w:rPr>
        <w:t>Calnen</w:t>
      </w:r>
      <w:proofErr w:type="spellEnd"/>
      <w:r w:rsidRPr="00F20687">
        <w:rPr>
          <w:sz w:val="20"/>
          <w:szCs w:val="20"/>
          <w:lang w:val="fr-CA"/>
        </w:rPr>
        <w:t xml:space="preserve"> après le fait. Monsieur </w:t>
      </w:r>
      <w:proofErr w:type="spellStart"/>
      <w:r w:rsidRPr="00F20687">
        <w:rPr>
          <w:sz w:val="20"/>
          <w:szCs w:val="20"/>
          <w:lang w:val="fr-CA"/>
        </w:rPr>
        <w:t>Calnen</w:t>
      </w:r>
      <w:proofErr w:type="spellEnd"/>
      <w:r w:rsidRPr="00F20687">
        <w:rPr>
          <w:sz w:val="20"/>
          <w:szCs w:val="20"/>
          <w:lang w:val="fr-CA"/>
        </w:rPr>
        <w:t xml:space="preserve"> a interjeté appel de sa déclaration de culpabilité pour meurtre. Les juges majoritaires de la Cour d’appel ont accueilli l’appel et annulé la déclaration de culpabilité. Les juges étaient d’avis que le juge du procès n’avait pas bien expliqué au jury les restrictions imposées à l’usage des éléments de preuve relatifs à des événements survenus après le fait et que si ces restrictions étaient correctement appliquées, le ministère public n’était pas en mesure de prouver l’intention nécessaire à une déclaration de culpabilité pour meurtre en l’espèce. Le juge en chef </w:t>
      </w:r>
      <w:proofErr w:type="spellStart"/>
      <w:r w:rsidRPr="00F20687">
        <w:rPr>
          <w:sz w:val="20"/>
          <w:szCs w:val="20"/>
          <w:lang w:val="fr-CA"/>
        </w:rPr>
        <w:t>MacDonald</w:t>
      </w:r>
      <w:proofErr w:type="spellEnd"/>
      <w:r w:rsidRPr="00F20687">
        <w:rPr>
          <w:sz w:val="20"/>
          <w:szCs w:val="20"/>
          <w:lang w:val="fr-CA"/>
        </w:rPr>
        <w:t>, dissident, était d’avis de rejeter l’appel. À son avis, l’exposé du juge du procès au jury était juridiquement correct et le juge du procès n’avait commis aucune erreur dans son traitement du comportement de l’intimé après le fait.</w:t>
      </w:r>
    </w:p>
    <w:p w:rsidR="00233CE8" w:rsidRDefault="00233CE8" w:rsidP="00F20687">
      <w:pPr>
        <w:jc w:val="both"/>
        <w:rPr>
          <w:sz w:val="20"/>
          <w:szCs w:val="20"/>
          <w:lang w:val="fr-CA"/>
        </w:rPr>
      </w:pPr>
    </w:p>
    <w:p w:rsidR="00233CE8" w:rsidRDefault="009C02F9" w:rsidP="00F20687">
      <w:pPr>
        <w:jc w:val="both"/>
        <w:rPr>
          <w:sz w:val="20"/>
          <w:szCs w:val="20"/>
          <w:lang w:val="fr-CA"/>
        </w:rPr>
      </w:pPr>
      <w:r>
        <w:rPr>
          <w:sz w:val="20"/>
          <w:szCs w:val="20"/>
          <w:lang w:val="fr-CA"/>
        </w:rPr>
        <w:pict>
          <v:rect id="_x0000_i1055" style="width:2in;height:1pt" o:hrpct="0" o:hralign="center" o:hrstd="t" o:hrnoshade="t" o:hr="t" fillcolor="black [3213]" stroked="f"/>
        </w:pict>
      </w:r>
    </w:p>
    <w:p w:rsidR="00414BC0" w:rsidRDefault="00414BC0">
      <w:pPr>
        <w:rPr>
          <w:sz w:val="20"/>
          <w:szCs w:val="20"/>
          <w:lang w:val="fr-CA"/>
        </w:rPr>
      </w:pPr>
      <w:r>
        <w:rPr>
          <w:sz w:val="20"/>
          <w:szCs w:val="20"/>
          <w:lang w:val="fr-CA"/>
        </w:rPr>
        <w:br w:type="page"/>
      </w:r>
    </w:p>
    <w:p w:rsidR="00414BC0" w:rsidRPr="00414BC0" w:rsidRDefault="00414BC0" w:rsidP="00414BC0">
      <w:pPr>
        <w:widowControl w:val="0"/>
        <w:ind w:left="720" w:hanging="720"/>
        <w:jc w:val="both"/>
        <w:rPr>
          <w:rFonts w:eastAsia="Times New Roman" w:cs="Times New Roman"/>
          <w:b/>
          <w:i/>
          <w:sz w:val="20"/>
          <w:szCs w:val="20"/>
          <w:lang w:eastAsia="en-CA"/>
        </w:rPr>
      </w:pPr>
      <w:r w:rsidRPr="00414BC0">
        <w:rPr>
          <w:rFonts w:eastAsia="Times New Roman" w:cs="Times New Roman"/>
          <w:b/>
          <w:sz w:val="20"/>
          <w:szCs w:val="20"/>
          <w:lang w:eastAsia="en-CA"/>
        </w:rPr>
        <w:lastRenderedPageBreak/>
        <w:fldChar w:fldCharType="begin"/>
      </w:r>
      <w:r w:rsidRPr="00414BC0">
        <w:rPr>
          <w:rFonts w:eastAsia="Times New Roman" w:cs="Times New Roman"/>
          <w:b/>
          <w:sz w:val="20"/>
          <w:szCs w:val="20"/>
          <w:lang w:val="en-US" w:eastAsia="en-CA"/>
        </w:rPr>
        <w:instrText xml:space="preserve"> SEQ CHAPTER \h \r 1</w:instrText>
      </w:r>
      <w:r w:rsidRPr="00414BC0">
        <w:rPr>
          <w:rFonts w:eastAsia="Times New Roman" w:cs="Times New Roman"/>
          <w:b/>
          <w:sz w:val="20"/>
          <w:szCs w:val="20"/>
          <w:lang w:val="en-US" w:eastAsia="en-CA"/>
        </w:rPr>
        <w:fldChar w:fldCharType="end"/>
      </w:r>
      <w:r w:rsidRPr="00414BC0">
        <w:rPr>
          <w:rFonts w:eastAsia="Times New Roman" w:cs="Times New Roman"/>
          <w:b/>
          <w:sz w:val="20"/>
          <w:szCs w:val="20"/>
          <w:lang w:eastAsia="en-CA"/>
        </w:rPr>
        <w:t>37756</w:t>
      </w:r>
      <w:r w:rsidRPr="00414BC0">
        <w:rPr>
          <w:rFonts w:eastAsia="Times New Roman" w:cs="Times New Roman"/>
          <w:sz w:val="20"/>
          <w:szCs w:val="20"/>
          <w:lang w:eastAsia="en-CA"/>
        </w:rPr>
        <w:tab/>
      </w:r>
      <w:r w:rsidRPr="00414BC0">
        <w:rPr>
          <w:rFonts w:eastAsia="Times New Roman" w:cs="Times New Roman"/>
          <w:b/>
          <w:i/>
          <w:sz w:val="20"/>
          <w:szCs w:val="20"/>
          <w:lang w:eastAsia="en-CA"/>
        </w:rPr>
        <w:t>G.T.D. v. Her Majesty the Queen</w:t>
      </w:r>
    </w:p>
    <w:p w:rsidR="00414BC0" w:rsidRPr="00414BC0" w:rsidRDefault="00414BC0" w:rsidP="00414BC0">
      <w:pPr>
        <w:widowControl w:val="0"/>
        <w:ind w:left="1440" w:hanging="720"/>
        <w:jc w:val="both"/>
        <w:rPr>
          <w:rFonts w:eastAsia="Times New Roman" w:cs="Times New Roman"/>
          <w:sz w:val="20"/>
          <w:szCs w:val="20"/>
          <w:lang w:eastAsia="en-CA"/>
        </w:rPr>
      </w:pPr>
      <w:r w:rsidRPr="00414BC0">
        <w:rPr>
          <w:rFonts w:eastAsia="Times New Roman" w:cs="Times New Roman"/>
          <w:sz w:val="20"/>
          <w:szCs w:val="20"/>
          <w:lang w:eastAsia="en-CA"/>
        </w:rPr>
        <w:t>(Alta.) (Criminal) (As of Right)</w:t>
      </w:r>
    </w:p>
    <w:p w:rsidR="00414BC0" w:rsidRPr="00414BC0" w:rsidRDefault="00414BC0" w:rsidP="00414BC0">
      <w:pPr>
        <w:widowControl w:val="0"/>
        <w:jc w:val="both"/>
        <w:rPr>
          <w:rFonts w:eastAsia="Times New Roman" w:cs="Times New Roman"/>
          <w:sz w:val="20"/>
          <w:szCs w:val="20"/>
          <w:lang w:eastAsia="en-CA"/>
        </w:rPr>
      </w:pPr>
    </w:p>
    <w:p w:rsidR="00414BC0" w:rsidRPr="00414BC0" w:rsidRDefault="00414BC0" w:rsidP="00414BC0">
      <w:pPr>
        <w:widowControl w:val="0"/>
        <w:jc w:val="both"/>
        <w:rPr>
          <w:rFonts w:eastAsia="Times New Roman" w:cs="Times New Roman"/>
          <w:smallCaps/>
          <w:sz w:val="20"/>
          <w:szCs w:val="20"/>
          <w:lang w:eastAsia="en-CA"/>
        </w:rPr>
      </w:pPr>
      <w:r w:rsidRPr="00414BC0">
        <w:rPr>
          <w:rFonts w:eastAsia="Times New Roman" w:cs="Times New Roman"/>
          <w:smallCaps/>
          <w:sz w:val="20"/>
          <w:szCs w:val="20"/>
          <w:lang w:eastAsia="en-CA"/>
        </w:rPr>
        <w:t>(publication ban on party) (publication ban in case)</w:t>
      </w:r>
    </w:p>
    <w:p w:rsidR="00414BC0" w:rsidRPr="00414BC0" w:rsidRDefault="00414BC0" w:rsidP="00414BC0">
      <w:pPr>
        <w:widowControl w:val="0"/>
        <w:jc w:val="both"/>
        <w:rPr>
          <w:rFonts w:eastAsia="Times New Roman" w:cs="Times New Roman"/>
          <w:sz w:val="20"/>
          <w:szCs w:val="20"/>
          <w:lang w:eastAsia="en-CA"/>
        </w:rPr>
      </w:pPr>
    </w:p>
    <w:p w:rsidR="00414BC0" w:rsidRPr="00414BC0" w:rsidRDefault="00414BC0" w:rsidP="00414BC0">
      <w:pPr>
        <w:widowControl w:val="0"/>
        <w:jc w:val="both"/>
        <w:rPr>
          <w:rFonts w:eastAsia="Times New Roman" w:cs="Times New Roman"/>
          <w:sz w:val="20"/>
          <w:szCs w:val="20"/>
          <w:lang w:eastAsia="en-CA"/>
        </w:rPr>
      </w:pPr>
      <w:r w:rsidRPr="00414BC0">
        <w:rPr>
          <w:rFonts w:eastAsia="Times New Roman" w:cs="Times New Roman"/>
          <w:sz w:val="20"/>
          <w:szCs w:val="20"/>
          <w:lang w:val="en-US" w:eastAsia="en-CA"/>
        </w:rPr>
        <w:t xml:space="preserve">Constitutional law - </w:t>
      </w:r>
      <w:r w:rsidRPr="00414BC0">
        <w:rPr>
          <w:rFonts w:eastAsia="Times New Roman" w:cs="Times New Roman"/>
          <w:i/>
          <w:sz w:val="20"/>
          <w:szCs w:val="20"/>
          <w:lang w:val="en-US" w:eastAsia="en-CA"/>
        </w:rPr>
        <w:t>Charter of Rights</w:t>
      </w:r>
      <w:r w:rsidRPr="00414BC0">
        <w:rPr>
          <w:rFonts w:eastAsia="Times New Roman" w:cs="Times New Roman"/>
          <w:sz w:val="20"/>
          <w:szCs w:val="20"/>
          <w:lang w:val="en-US" w:eastAsia="en-CA"/>
        </w:rPr>
        <w:t xml:space="preserve"> - Right to counsel - Remedy - Exclusion of evidence - Accused making statement to police after having indicated that he wanted to consult counsel - Trial judge refusing to exclude evidence resulting from statement - Court of Appeal holding that accused’s right to counsel under s. 10(</w:t>
      </w:r>
      <w:r w:rsidRPr="00414BC0">
        <w:rPr>
          <w:rFonts w:eastAsia="Times New Roman" w:cs="Times New Roman"/>
          <w:i/>
          <w:sz w:val="20"/>
          <w:szCs w:val="20"/>
          <w:lang w:val="en-US" w:eastAsia="en-CA"/>
        </w:rPr>
        <w:t>b</w:t>
      </w:r>
      <w:r w:rsidRPr="00414BC0">
        <w:rPr>
          <w:rFonts w:eastAsia="Times New Roman" w:cs="Times New Roman"/>
          <w:sz w:val="20"/>
          <w:szCs w:val="20"/>
          <w:lang w:val="en-US" w:eastAsia="en-CA"/>
        </w:rPr>
        <w:t xml:space="preserve">) of </w:t>
      </w:r>
      <w:r w:rsidRPr="00414BC0">
        <w:rPr>
          <w:rFonts w:eastAsia="Times New Roman" w:cs="Times New Roman"/>
          <w:i/>
          <w:sz w:val="20"/>
          <w:szCs w:val="20"/>
          <w:lang w:val="en-US" w:eastAsia="en-CA"/>
        </w:rPr>
        <w:t>Canadian Charter of Rights and Freedoms</w:t>
      </w:r>
      <w:r w:rsidRPr="00414BC0">
        <w:rPr>
          <w:rFonts w:eastAsia="Times New Roman" w:cs="Times New Roman"/>
          <w:sz w:val="20"/>
          <w:szCs w:val="20"/>
          <w:lang w:val="en-US" w:eastAsia="en-CA"/>
        </w:rPr>
        <w:t xml:space="preserve"> breached but admitting evidence - Whether Court of Appeal erred in holding that evidence obtained in violation of </w:t>
      </w:r>
      <w:r w:rsidRPr="00414BC0">
        <w:rPr>
          <w:rFonts w:eastAsia="Times New Roman" w:cs="Times New Roman"/>
          <w:i/>
          <w:sz w:val="20"/>
          <w:szCs w:val="20"/>
          <w:lang w:val="en-US" w:eastAsia="en-CA"/>
        </w:rPr>
        <w:t>Charter</w:t>
      </w:r>
      <w:r w:rsidRPr="00414BC0">
        <w:rPr>
          <w:rFonts w:eastAsia="Times New Roman" w:cs="Times New Roman"/>
          <w:sz w:val="20"/>
          <w:szCs w:val="20"/>
          <w:lang w:val="en-US" w:eastAsia="en-CA"/>
        </w:rPr>
        <w:t xml:space="preserve"> should nevertheless be admitted pursuant to s. 24(2).</w:t>
      </w:r>
    </w:p>
    <w:p w:rsidR="00414BC0" w:rsidRPr="00414BC0" w:rsidRDefault="00414BC0" w:rsidP="00414BC0">
      <w:pPr>
        <w:widowControl w:val="0"/>
        <w:jc w:val="both"/>
        <w:rPr>
          <w:rFonts w:eastAsia="Times New Roman" w:cs="Times New Roman"/>
          <w:sz w:val="20"/>
          <w:szCs w:val="20"/>
          <w:lang w:eastAsia="en-CA"/>
        </w:rPr>
      </w:pPr>
    </w:p>
    <w:p w:rsidR="00414BC0" w:rsidRDefault="00414BC0" w:rsidP="00414BC0">
      <w:pPr>
        <w:widowControl w:val="0"/>
        <w:jc w:val="both"/>
        <w:rPr>
          <w:rFonts w:eastAsia="Times New Roman" w:cs="Times New Roman"/>
          <w:sz w:val="20"/>
          <w:szCs w:val="20"/>
          <w:lang w:eastAsia="en-CA"/>
        </w:rPr>
      </w:pPr>
      <w:r w:rsidRPr="00414BC0">
        <w:rPr>
          <w:rFonts w:eastAsia="Times New Roman" w:cs="Times New Roman"/>
          <w:sz w:val="20"/>
          <w:szCs w:val="20"/>
          <w:lang w:eastAsia="en-CA"/>
        </w:rPr>
        <w:t>The appellant was convicted at trial of sexually assaulting a previous partner. He appealed his conviction, arguing that the trial judge should have excluded a statement that he made to police when he was arrested. It was not disputed that after the appellant had indicated to the arresting officer that he wished to consult counsel, the officer read a standard caution asking if the appellant wished to say anything, prompting a further statement from the appellant. The majority in the Court of Appeal dismissed the appeal. It was of the view that the form of caution read by the police officer generated a breach of the appellant’s right to counsel under s. 10(</w:t>
      </w:r>
      <w:r w:rsidRPr="00414BC0">
        <w:rPr>
          <w:rFonts w:eastAsia="Times New Roman" w:cs="Times New Roman"/>
          <w:i/>
          <w:sz w:val="20"/>
          <w:szCs w:val="20"/>
          <w:lang w:eastAsia="en-CA"/>
        </w:rPr>
        <w:t>b</w:t>
      </w:r>
      <w:r w:rsidRPr="00414BC0">
        <w:rPr>
          <w:rFonts w:eastAsia="Times New Roman" w:cs="Times New Roman"/>
          <w:sz w:val="20"/>
          <w:szCs w:val="20"/>
          <w:lang w:eastAsia="en-CA"/>
        </w:rPr>
        <w:t xml:space="preserve">) of the </w:t>
      </w:r>
      <w:r w:rsidRPr="00414BC0">
        <w:rPr>
          <w:rFonts w:eastAsia="Times New Roman" w:cs="Times New Roman"/>
          <w:i/>
          <w:sz w:val="20"/>
          <w:szCs w:val="20"/>
          <w:lang w:eastAsia="en-CA"/>
        </w:rPr>
        <w:t>Charter</w:t>
      </w:r>
      <w:r w:rsidRPr="00414BC0">
        <w:rPr>
          <w:rFonts w:eastAsia="Times New Roman" w:cs="Times New Roman"/>
          <w:sz w:val="20"/>
          <w:szCs w:val="20"/>
          <w:lang w:eastAsia="en-CA"/>
        </w:rPr>
        <w:t xml:space="preserve">, but that the breach was of minimal gravity and that admission of the resulting evidence would not bring the administration of justice into disrepute and did not need to be excluded as a remedy under s. 24(2) of the </w:t>
      </w:r>
      <w:r w:rsidRPr="00414BC0">
        <w:rPr>
          <w:rFonts w:eastAsia="Times New Roman" w:cs="Times New Roman"/>
          <w:i/>
          <w:sz w:val="20"/>
          <w:szCs w:val="20"/>
          <w:lang w:eastAsia="en-CA"/>
        </w:rPr>
        <w:t>Charter</w:t>
      </w:r>
      <w:r w:rsidRPr="00414BC0">
        <w:rPr>
          <w:rFonts w:eastAsia="Times New Roman" w:cs="Times New Roman"/>
          <w:sz w:val="20"/>
          <w:szCs w:val="20"/>
          <w:lang w:eastAsia="en-CA"/>
        </w:rPr>
        <w:t>. Veldhuis J.A., dissenting, would have allowed the appeal, set aside the conviction and ordered a new trial. In her opinion, the trial judge expressly relied upon the appellant’s statement to corroborate the complainant’s evidence; therefore, its admission was not harmless and the statement should have been excluded.</w:t>
      </w:r>
    </w:p>
    <w:p w:rsidR="00233CE8" w:rsidRDefault="00233CE8" w:rsidP="00414BC0">
      <w:pPr>
        <w:widowControl w:val="0"/>
        <w:jc w:val="both"/>
        <w:rPr>
          <w:rFonts w:eastAsia="Times New Roman" w:cs="Times New Roman"/>
          <w:sz w:val="20"/>
          <w:szCs w:val="20"/>
          <w:lang w:eastAsia="en-CA"/>
        </w:rPr>
      </w:pPr>
    </w:p>
    <w:p w:rsidR="00233CE8" w:rsidRPr="00414BC0" w:rsidRDefault="009C02F9" w:rsidP="00414BC0">
      <w:pPr>
        <w:widowControl w:val="0"/>
        <w:jc w:val="both"/>
        <w:rPr>
          <w:rFonts w:eastAsia="Times New Roman" w:cs="Times New Roman"/>
          <w:sz w:val="20"/>
          <w:szCs w:val="20"/>
          <w:lang w:eastAsia="en-CA"/>
        </w:rPr>
      </w:pPr>
      <w:r>
        <w:rPr>
          <w:sz w:val="20"/>
          <w:szCs w:val="20"/>
          <w:lang w:val="fr-CA"/>
        </w:rPr>
        <w:pict>
          <v:rect id="_x0000_i1056" style="width:2in;height:1pt" o:hrpct="0" o:hralign="center" o:hrstd="t" o:hrnoshade="t" o:hr="t" fillcolor="black [3213]" stroked="f"/>
        </w:pict>
      </w:r>
    </w:p>
    <w:p w:rsidR="007B4D34" w:rsidRDefault="007B4D34">
      <w:pPr>
        <w:rPr>
          <w:sz w:val="20"/>
          <w:szCs w:val="20"/>
        </w:rPr>
      </w:pPr>
      <w:r>
        <w:rPr>
          <w:sz w:val="20"/>
          <w:szCs w:val="20"/>
        </w:rPr>
        <w:br w:type="page"/>
      </w:r>
    </w:p>
    <w:p w:rsidR="007B4D34" w:rsidRPr="007B4D34" w:rsidRDefault="007B4D34" w:rsidP="007B4D34">
      <w:pPr>
        <w:widowControl w:val="0"/>
        <w:ind w:left="720" w:hanging="720"/>
        <w:jc w:val="both"/>
        <w:rPr>
          <w:b/>
          <w:i/>
          <w:sz w:val="20"/>
          <w:szCs w:val="20"/>
          <w:lang w:val="fr-CA"/>
        </w:rPr>
      </w:pPr>
      <w:r w:rsidRPr="007B4D34">
        <w:rPr>
          <w:b/>
          <w:sz w:val="20"/>
          <w:szCs w:val="20"/>
        </w:rPr>
        <w:lastRenderedPageBreak/>
        <w:fldChar w:fldCharType="begin"/>
      </w:r>
      <w:r w:rsidRPr="007B4D34">
        <w:rPr>
          <w:b/>
          <w:sz w:val="20"/>
          <w:szCs w:val="20"/>
          <w:lang w:val="fr-CA"/>
        </w:rPr>
        <w:instrText xml:space="preserve"> SEQ CHAPTER \h \r 1</w:instrText>
      </w:r>
      <w:r w:rsidRPr="007B4D34">
        <w:rPr>
          <w:b/>
          <w:sz w:val="20"/>
          <w:szCs w:val="20"/>
        </w:rPr>
        <w:fldChar w:fldCharType="end"/>
      </w:r>
      <w:r w:rsidRPr="007B4D34">
        <w:rPr>
          <w:b/>
          <w:sz w:val="20"/>
          <w:szCs w:val="20"/>
          <w:lang w:val="fr-CA"/>
        </w:rPr>
        <w:t>37756</w:t>
      </w:r>
      <w:r w:rsidRPr="007B4D34">
        <w:rPr>
          <w:sz w:val="20"/>
          <w:szCs w:val="20"/>
          <w:lang w:val="fr-CA"/>
        </w:rPr>
        <w:tab/>
      </w:r>
      <w:r w:rsidRPr="007B4D34">
        <w:rPr>
          <w:b/>
          <w:i/>
          <w:sz w:val="20"/>
          <w:szCs w:val="20"/>
          <w:lang w:val="fr-CA"/>
        </w:rPr>
        <w:t>G.T.D. c. Sa Majesté la Reine</w:t>
      </w:r>
    </w:p>
    <w:p w:rsidR="007B4D34" w:rsidRPr="007B4D34" w:rsidRDefault="007B4D34" w:rsidP="007B4D34">
      <w:pPr>
        <w:widowControl w:val="0"/>
        <w:ind w:left="1440" w:hanging="720"/>
        <w:jc w:val="both"/>
        <w:rPr>
          <w:sz w:val="20"/>
          <w:szCs w:val="20"/>
          <w:lang w:val="fr-CA"/>
        </w:rPr>
      </w:pPr>
      <w:r w:rsidRPr="007B4D34">
        <w:rPr>
          <w:sz w:val="20"/>
          <w:szCs w:val="20"/>
          <w:lang w:val="fr-CA"/>
        </w:rPr>
        <w:t>(</w:t>
      </w:r>
      <w:proofErr w:type="spellStart"/>
      <w:r w:rsidRPr="007B4D34">
        <w:rPr>
          <w:sz w:val="20"/>
          <w:szCs w:val="20"/>
          <w:lang w:val="fr-CA"/>
        </w:rPr>
        <w:t>Alb</w:t>
      </w:r>
      <w:proofErr w:type="spellEnd"/>
      <w:r w:rsidRPr="007B4D34">
        <w:rPr>
          <w:sz w:val="20"/>
          <w:szCs w:val="20"/>
          <w:lang w:val="fr-CA"/>
        </w:rPr>
        <w:t>.) (Criminelle) (De plein droit)</w:t>
      </w:r>
    </w:p>
    <w:p w:rsidR="007B4D34" w:rsidRPr="007B4D34" w:rsidRDefault="007B4D34" w:rsidP="007B4D34">
      <w:pPr>
        <w:widowControl w:val="0"/>
        <w:jc w:val="both"/>
        <w:rPr>
          <w:sz w:val="20"/>
          <w:szCs w:val="20"/>
          <w:lang w:val="fr-CA"/>
        </w:rPr>
      </w:pPr>
    </w:p>
    <w:p w:rsidR="007B4D34" w:rsidRPr="007B4D34" w:rsidRDefault="007B4D34" w:rsidP="007B4D34">
      <w:pPr>
        <w:widowControl w:val="0"/>
        <w:jc w:val="both"/>
        <w:rPr>
          <w:smallCaps/>
          <w:sz w:val="20"/>
          <w:szCs w:val="20"/>
          <w:lang w:val="fr-CA"/>
        </w:rPr>
      </w:pPr>
      <w:r w:rsidRPr="007B4D34">
        <w:rPr>
          <w:smallCaps/>
          <w:sz w:val="20"/>
          <w:szCs w:val="20"/>
          <w:lang w:val="fr-CA"/>
        </w:rPr>
        <w:t>(Ordonnance de non-publication visant une partie) (Ordonnance de non-publication dans le dossier)</w:t>
      </w:r>
    </w:p>
    <w:p w:rsidR="007B4D34" w:rsidRPr="007B4D34" w:rsidRDefault="007B4D34" w:rsidP="007B4D34">
      <w:pPr>
        <w:widowControl w:val="0"/>
        <w:jc w:val="both"/>
        <w:rPr>
          <w:sz w:val="20"/>
          <w:szCs w:val="20"/>
          <w:lang w:val="fr-CA"/>
        </w:rPr>
      </w:pPr>
    </w:p>
    <w:p w:rsidR="007B4D34" w:rsidRPr="007B4D34" w:rsidRDefault="007B4D34" w:rsidP="007B4D34">
      <w:pPr>
        <w:widowControl w:val="0"/>
        <w:jc w:val="both"/>
        <w:rPr>
          <w:sz w:val="20"/>
          <w:szCs w:val="20"/>
          <w:lang w:val="fr-CA"/>
        </w:rPr>
      </w:pPr>
      <w:r w:rsidRPr="007B4D34">
        <w:rPr>
          <w:sz w:val="20"/>
          <w:szCs w:val="20"/>
          <w:lang w:val="fr-CA"/>
        </w:rPr>
        <w:t xml:space="preserve">Droit constitutionnel - </w:t>
      </w:r>
      <w:r w:rsidRPr="007B4D34">
        <w:rPr>
          <w:i/>
          <w:sz w:val="20"/>
          <w:szCs w:val="20"/>
          <w:lang w:val="fr-CA"/>
        </w:rPr>
        <w:t>Charte des droits</w:t>
      </w:r>
      <w:r w:rsidRPr="007B4D34">
        <w:rPr>
          <w:sz w:val="20"/>
          <w:szCs w:val="20"/>
          <w:lang w:val="fr-CA"/>
        </w:rPr>
        <w:t xml:space="preserve"> - Droit à l’assistance d’un avocat - Réparation - Exclusion de la preuve - Accusé faisant une déclaration à la police après avoir mentionné qu’il voulait consulter un avocat - Refus de la juge du procès d’exclure les éléments de preuve découlant de la déclaration - Cour d’appel concluant qu’il y a eu violation du droit à l’assistance d’un avocat garanti à l’accusé par l’al. 10</w:t>
      </w:r>
      <w:r w:rsidRPr="007B4D34">
        <w:rPr>
          <w:i/>
          <w:sz w:val="20"/>
          <w:szCs w:val="20"/>
          <w:lang w:val="fr-CA"/>
        </w:rPr>
        <w:t>b</w:t>
      </w:r>
      <w:r w:rsidRPr="007B4D34">
        <w:rPr>
          <w:sz w:val="20"/>
          <w:szCs w:val="20"/>
          <w:lang w:val="fr-CA"/>
        </w:rPr>
        <w:t xml:space="preserve">) de la </w:t>
      </w:r>
      <w:r w:rsidRPr="007B4D34">
        <w:rPr>
          <w:i/>
          <w:sz w:val="20"/>
          <w:szCs w:val="20"/>
          <w:lang w:val="fr-CA"/>
        </w:rPr>
        <w:t>Charte canadienne des droits et libertés</w:t>
      </w:r>
      <w:r w:rsidRPr="007B4D34">
        <w:rPr>
          <w:sz w:val="20"/>
          <w:szCs w:val="20"/>
          <w:lang w:val="fr-CA"/>
        </w:rPr>
        <w:t xml:space="preserve"> mais admettant la preuve - La Cour d’appel a-t-elle eu tort de conclure que la preuve obtenue en violation de la </w:t>
      </w:r>
      <w:r w:rsidRPr="007B4D34">
        <w:rPr>
          <w:i/>
          <w:sz w:val="20"/>
          <w:szCs w:val="20"/>
          <w:lang w:val="fr-CA"/>
        </w:rPr>
        <w:t>Charte</w:t>
      </w:r>
      <w:r w:rsidRPr="007B4D34">
        <w:rPr>
          <w:sz w:val="20"/>
          <w:szCs w:val="20"/>
          <w:lang w:val="fr-CA"/>
        </w:rPr>
        <w:t xml:space="preserve"> doit néanmoins être admise en application du par. 24(2)?</w:t>
      </w:r>
    </w:p>
    <w:p w:rsidR="007B4D34" w:rsidRPr="007B4D34" w:rsidRDefault="007B4D34" w:rsidP="007B4D34">
      <w:pPr>
        <w:widowControl w:val="0"/>
        <w:jc w:val="both"/>
        <w:rPr>
          <w:sz w:val="20"/>
          <w:szCs w:val="20"/>
          <w:lang w:val="fr-CA"/>
        </w:rPr>
      </w:pPr>
    </w:p>
    <w:p w:rsidR="007B4D34" w:rsidRDefault="007B4D34" w:rsidP="007B4D34">
      <w:pPr>
        <w:widowControl w:val="0"/>
        <w:jc w:val="both"/>
        <w:rPr>
          <w:sz w:val="20"/>
          <w:szCs w:val="20"/>
          <w:lang w:val="fr-CA"/>
        </w:rPr>
      </w:pPr>
      <w:r w:rsidRPr="007B4D34">
        <w:rPr>
          <w:sz w:val="20"/>
          <w:szCs w:val="20"/>
          <w:lang w:val="fr-CA"/>
        </w:rPr>
        <w:t>À son procès, l’appelant a été reconnu coupable d’avoir agressé une ex-conjointe. Il a interjeté appel de sa déclaration de culpabilité au motif que la juge du procès aurait dû exclure une déclaration qu’il avait faite à la police au moment de son arrestation. Personne n’a contesté qu’après que l’appelant eut fait part au policier ayant procédé à l’arrestation de son vœu de consulter un avocat, le policier lui a lu un avertissement type demandant si l’appelant voulait dire quelque chose, ce qui a amené l’appelant à faire une autre déclaration. La Cour d’appel à la majorité a rejeté l’appel. Elle estimait que le genre d’avis lu par le policier a entraîné la violation du droit à l’assistance d’un avocat garanti à l’appelant par l’al. 10</w:t>
      </w:r>
      <w:r w:rsidRPr="007B4D34">
        <w:rPr>
          <w:i/>
          <w:sz w:val="20"/>
          <w:szCs w:val="20"/>
          <w:lang w:val="fr-CA"/>
        </w:rPr>
        <w:t>b</w:t>
      </w:r>
      <w:r w:rsidRPr="007B4D34">
        <w:rPr>
          <w:sz w:val="20"/>
          <w:szCs w:val="20"/>
          <w:lang w:val="fr-CA"/>
        </w:rPr>
        <w:t xml:space="preserve">) de la </w:t>
      </w:r>
      <w:r w:rsidRPr="007B4D34">
        <w:rPr>
          <w:i/>
          <w:sz w:val="20"/>
          <w:szCs w:val="20"/>
          <w:lang w:val="fr-CA"/>
        </w:rPr>
        <w:t>Charte</w:t>
      </w:r>
      <w:r w:rsidRPr="007B4D34">
        <w:rPr>
          <w:sz w:val="20"/>
          <w:szCs w:val="20"/>
          <w:lang w:val="fr-CA"/>
        </w:rPr>
        <w:t xml:space="preserve">, mais que la violation était minime, que l’admission de la preuve ainsi obtenue ne déconsidérerait pas l’administration de la justice et qu’il n’était pas nécessaire d’écarter cette preuve en guise de réparation conformément au </w:t>
      </w:r>
      <w:proofErr w:type="spellStart"/>
      <w:r w:rsidRPr="007B4D34">
        <w:rPr>
          <w:sz w:val="20"/>
          <w:szCs w:val="20"/>
          <w:lang w:val="fr-CA"/>
        </w:rPr>
        <w:t>par</w:t>
      </w:r>
      <w:proofErr w:type="spellEnd"/>
      <w:r w:rsidRPr="007B4D34">
        <w:rPr>
          <w:sz w:val="20"/>
          <w:szCs w:val="20"/>
          <w:lang w:val="fr-CA"/>
        </w:rPr>
        <w:t xml:space="preserve">. 24(2) de la </w:t>
      </w:r>
      <w:r w:rsidRPr="007B4D34">
        <w:rPr>
          <w:i/>
          <w:sz w:val="20"/>
          <w:szCs w:val="20"/>
          <w:lang w:val="fr-CA"/>
        </w:rPr>
        <w:t>Charte</w:t>
      </w:r>
      <w:r w:rsidRPr="007B4D34">
        <w:rPr>
          <w:sz w:val="20"/>
          <w:szCs w:val="20"/>
          <w:lang w:val="fr-CA"/>
        </w:rPr>
        <w:t>. La juge Veldhuis, dissidente, aurait accueilli l’appel, annulé la déclaration de culpabilité et ordonné la tenue d’un nouveau procès. À son avis, la juge du procès s’est expressément fondée sur la déclaration de l’appelant pour corroborer le témoignage de la plaignante; par conséquent, son admission n’était pas sans conséquence et la déclaration aurait dû être exclue.</w:t>
      </w:r>
    </w:p>
    <w:p w:rsidR="00233CE8" w:rsidRDefault="00233CE8" w:rsidP="007B4D34">
      <w:pPr>
        <w:widowControl w:val="0"/>
        <w:jc w:val="both"/>
        <w:rPr>
          <w:sz w:val="20"/>
          <w:szCs w:val="20"/>
          <w:lang w:val="fr-CA"/>
        </w:rPr>
      </w:pPr>
    </w:p>
    <w:p w:rsidR="00233CE8" w:rsidRPr="007B4D34" w:rsidRDefault="009C02F9" w:rsidP="007B4D34">
      <w:pPr>
        <w:widowControl w:val="0"/>
        <w:jc w:val="both"/>
        <w:rPr>
          <w:sz w:val="20"/>
          <w:szCs w:val="20"/>
          <w:lang w:val="fr-CA"/>
        </w:rPr>
      </w:pPr>
      <w:r>
        <w:rPr>
          <w:sz w:val="20"/>
          <w:szCs w:val="20"/>
          <w:lang w:val="fr-CA"/>
        </w:rPr>
        <w:pict>
          <v:rect id="_x0000_i1057" style="width:2in;height:1pt" o:hrpct="0" o:hralign="center" o:hrstd="t" o:hrnoshade="t" o:hr="t" fillcolor="black [3213]" stroked="f"/>
        </w:pict>
      </w:r>
    </w:p>
    <w:p w:rsidR="00F20687" w:rsidRPr="007B4D34" w:rsidRDefault="00F20687" w:rsidP="00F20687">
      <w:pPr>
        <w:jc w:val="both"/>
        <w:rPr>
          <w:sz w:val="20"/>
          <w:szCs w:val="20"/>
          <w:lang w:val="fr-CA"/>
        </w:rPr>
      </w:pPr>
    </w:p>
    <w:p w:rsidR="009A4F8D" w:rsidRDefault="009A4F8D">
      <w:pPr>
        <w:rPr>
          <w:sz w:val="20"/>
          <w:szCs w:val="20"/>
          <w:lang w:val="fr-CA"/>
        </w:rPr>
      </w:pPr>
      <w:r>
        <w:rPr>
          <w:sz w:val="20"/>
          <w:szCs w:val="20"/>
          <w:lang w:val="fr-CA"/>
        </w:rPr>
        <w:br w:type="page"/>
      </w:r>
    </w:p>
    <w:tbl>
      <w:tblPr>
        <w:tblW w:w="4793" w:type="pct"/>
        <w:tblLayout w:type="fixed"/>
        <w:tblCellMar>
          <w:left w:w="0" w:type="dxa"/>
          <w:bottom w:w="99" w:type="dxa"/>
          <w:right w:w="0" w:type="dxa"/>
        </w:tblCellMar>
        <w:tblLook w:val="04A0" w:firstRow="1" w:lastRow="0" w:firstColumn="1" w:lastColumn="0" w:noHBand="0" w:noVBand="1"/>
      </w:tblPr>
      <w:tblGrid>
        <w:gridCol w:w="728"/>
        <w:gridCol w:w="8493"/>
      </w:tblGrid>
      <w:tr w:rsidR="009A4F8D" w:rsidRPr="009A4F8D" w:rsidTr="00A83A35">
        <w:tc>
          <w:tcPr>
            <w:tcW w:w="395" w:type="pct"/>
          </w:tcPr>
          <w:p w:rsidR="009A4F8D" w:rsidRPr="009A4F8D" w:rsidRDefault="009A4F8D" w:rsidP="009A4F8D">
            <w:pPr>
              <w:jc w:val="both"/>
              <w:rPr>
                <w:sz w:val="20"/>
                <w:szCs w:val="20"/>
              </w:rPr>
            </w:pPr>
            <w:r w:rsidRPr="009A4F8D">
              <w:rPr>
                <w:b/>
                <w:sz w:val="20"/>
                <w:szCs w:val="20"/>
              </w:rPr>
              <w:lastRenderedPageBreak/>
              <w:t>37627</w:t>
            </w:r>
          </w:p>
        </w:tc>
        <w:tc>
          <w:tcPr>
            <w:tcW w:w="4605" w:type="pct"/>
          </w:tcPr>
          <w:p w:rsidR="009A4F8D" w:rsidRPr="009A4F8D" w:rsidRDefault="009A4F8D" w:rsidP="009A4F8D">
            <w:pPr>
              <w:jc w:val="both"/>
              <w:rPr>
                <w:b/>
                <w:i/>
                <w:sz w:val="20"/>
                <w:szCs w:val="20"/>
              </w:rPr>
            </w:pPr>
            <w:r w:rsidRPr="009A4F8D">
              <w:rPr>
                <w:b/>
                <w:i/>
                <w:sz w:val="20"/>
                <w:szCs w:val="20"/>
              </w:rPr>
              <w:t>Orphan Well Association, Alberta Energy Regulator v. Grant Thornton Limited, Alberta Treasury Branches</w:t>
            </w:r>
          </w:p>
          <w:p w:rsidR="009A4F8D" w:rsidRPr="009A4F8D" w:rsidRDefault="009A4F8D" w:rsidP="009A4F8D">
            <w:pPr>
              <w:jc w:val="both"/>
              <w:rPr>
                <w:b/>
                <w:sz w:val="20"/>
                <w:szCs w:val="20"/>
              </w:rPr>
            </w:pPr>
            <w:r w:rsidRPr="009A4F8D">
              <w:rPr>
                <w:b/>
                <w:sz w:val="20"/>
                <w:szCs w:val="20"/>
              </w:rPr>
              <w:t>- and -</w:t>
            </w:r>
          </w:p>
          <w:p w:rsidR="009A4F8D" w:rsidRPr="009A4F8D" w:rsidRDefault="009A4F8D" w:rsidP="009A4F8D">
            <w:pPr>
              <w:jc w:val="both"/>
              <w:rPr>
                <w:b/>
                <w:i/>
                <w:sz w:val="20"/>
                <w:szCs w:val="20"/>
              </w:rPr>
            </w:pPr>
            <w:r w:rsidRPr="009A4F8D">
              <w:rPr>
                <w:b/>
                <w:i/>
                <w:sz w:val="20"/>
                <w:szCs w:val="20"/>
              </w:rPr>
              <w:t>Attorney General of Canada, Attorney General of Ontario, Attorney General of British Columbia, Attorney General of Saskatchewan, Minister of Justice and Solicitor General of Alberta</w:t>
            </w:r>
          </w:p>
          <w:p w:rsidR="009A4F8D" w:rsidRPr="009A4F8D" w:rsidRDefault="009A4F8D" w:rsidP="009A4F8D">
            <w:pPr>
              <w:jc w:val="both"/>
              <w:rPr>
                <w:i/>
                <w:sz w:val="20"/>
                <w:szCs w:val="20"/>
              </w:rPr>
            </w:pPr>
            <w:r w:rsidRPr="009A4F8D">
              <w:rPr>
                <w:i/>
                <w:sz w:val="20"/>
                <w:szCs w:val="20"/>
              </w:rPr>
              <w:t>(</w:t>
            </w:r>
            <w:r w:rsidRPr="009A4F8D">
              <w:rPr>
                <w:sz w:val="20"/>
                <w:szCs w:val="20"/>
              </w:rPr>
              <w:t>Alta.) (Civil) (By Leave)</w:t>
            </w:r>
          </w:p>
        </w:tc>
      </w:tr>
      <w:tr w:rsidR="009A4F8D" w:rsidRPr="009A4F8D" w:rsidTr="00A83A35">
        <w:tc>
          <w:tcPr>
            <w:tcW w:w="5000" w:type="pct"/>
            <w:gridSpan w:val="2"/>
          </w:tcPr>
          <w:p w:rsidR="009A4F8D" w:rsidRPr="00C01DCD" w:rsidRDefault="009A4F8D" w:rsidP="009A4F8D">
            <w:pPr>
              <w:pStyle w:val="SCCBanSummary"/>
              <w:spacing w:after="240"/>
            </w:pPr>
            <w:r w:rsidRPr="009A4F8D">
              <w:rPr>
                <w:sz w:val="20"/>
              </w:rPr>
              <w:t>(Sealing order)</w:t>
            </w:r>
          </w:p>
        </w:tc>
      </w:tr>
      <w:tr w:rsidR="009A4F8D" w:rsidRPr="009A4F8D" w:rsidTr="00A83A35">
        <w:tc>
          <w:tcPr>
            <w:tcW w:w="5000" w:type="pct"/>
            <w:gridSpan w:val="2"/>
          </w:tcPr>
          <w:p w:rsidR="009A4F8D" w:rsidRPr="009A4F8D" w:rsidRDefault="009A4F8D" w:rsidP="009A4F8D">
            <w:pPr>
              <w:jc w:val="both"/>
              <w:rPr>
                <w:sz w:val="20"/>
                <w:szCs w:val="20"/>
              </w:rPr>
            </w:pPr>
            <w:r w:rsidRPr="009A4F8D">
              <w:rPr>
                <w:iCs/>
                <w:sz w:val="20"/>
                <w:szCs w:val="20"/>
                <w:lang w:val="en"/>
              </w:rPr>
              <w:t>Constitutional law - Division of powers - Federal paramountcy - Bankruptcy and insolvency - Provable claims - Natural resources - Oil and gas - Provincial energy regulator</w:t>
            </w:r>
            <w:r w:rsidRPr="009A4F8D">
              <w:rPr>
                <w:sz w:val="20"/>
                <w:szCs w:val="20"/>
                <w:lang w:val="en"/>
              </w:rPr>
              <w:t xml:space="preserve"> issuing orders requiring abandonment and remediation of bankrupt’s assets that trustee previously disclaimed - Whether </w:t>
            </w:r>
            <w:r w:rsidRPr="009A4F8D">
              <w:rPr>
                <w:sz w:val="20"/>
                <w:szCs w:val="20"/>
              </w:rPr>
              <w:t xml:space="preserve">the majority of the Alberta Court of Appeal erred in its application of </w:t>
            </w:r>
            <w:r w:rsidRPr="009A4F8D">
              <w:rPr>
                <w:i/>
                <w:iCs/>
                <w:sz w:val="20"/>
                <w:szCs w:val="20"/>
              </w:rPr>
              <w:t xml:space="preserve">Newfoundland and Labrador v. </w:t>
            </w:r>
            <w:proofErr w:type="spellStart"/>
            <w:r w:rsidRPr="009A4F8D">
              <w:rPr>
                <w:i/>
                <w:iCs/>
                <w:sz w:val="20"/>
                <w:szCs w:val="20"/>
              </w:rPr>
              <w:t>AbitibiBowater</w:t>
            </w:r>
            <w:proofErr w:type="spellEnd"/>
            <w:r w:rsidRPr="009A4F8D">
              <w:rPr>
                <w:i/>
                <w:iCs/>
                <w:sz w:val="20"/>
                <w:szCs w:val="20"/>
              </w:rPr>
              <w:t xml:space="preserve"> Inc.</w:t>
            </w:r>
            <w:r w:rsidRPr="009A4F8D">
              <w:rPr>
                <w:sz w:val="20"/>
                <w:szCs w:val="20"/>
              </w:rPr>
              <w:t xml:space="preserve">, 2012 SCC 67, </w:t>
            </w:r>
            <w:r w:rsidRPr="009A4F8D">
              <w:rPr>
                <w:sz w:val="20"/>
                <w:szCs w:val="20"/>
                <w:lang w:val="en"/>
              </w:rPr>
              <w:t>[2012] 3 S.C.R. 443</w:t>
            </w:r>
            <w:r w:rsidRPr="009A4F8D">
              <w:rPr>
                <w:sz w:val="20"/>
                <w:szCs w:val="20"/>
              </w:rPr>
              <w:t xml:space="preserve"> - Whether the majority erred in its application of the constitutional doctrine of paramountcy by finding that the Alberta oil and gas regulatory regime operationally conflicts with s. 14.06 of the </w:t>
            </w:r>
            <w:r w:rsidRPr="009A4F8D">
              <w:rPr>
                <w:i/>
                <w:iCs/>
                <w:sz w:val="20"/>
                <w:szCs w:val="20"/>
              </w:rPr>
              <w:t>Bankruptcy and Insolvency Act</w:t>
            </w:r>
            <w:r w:rsidRPr="009A4F8D">
              <w:rPr>
                <w:iCs/>
                <w:sz w:val="20"/>
                <w:szCs w:val="20"/>
              </w:rPr>
              <w:t>,</w:t>
            </w:r>
            <w:r w:rsidRPr="009A4F8D">
              <w:rPr>
                <w:i/>
                <w:iCs/>
                <w:sz w:val="20"/>
                <w:szCs w:val="20"/>
              </w:rPr>
              <w:t xml:space="preserve"> </w:t>
            </w:r>
            <w:r w:rsidRPr="009A4F8D">
              <w:rPr>
                <w:sz w:val="20"/>
                <w:szCs w:val="20"/>
              </w:rPr>
              <w:t xml:space="preserve">R.S.C. 1985, c. B-3 (“BIA”), and is inoperative to the extent of the conflict - Whether the majority erred in its application of the constitutional doctrine of paramountcy by finding that the Alberta oil and gas regulatory regime conflicts with or frustrates the federal purpose of managing the winding up of insolvent corporations and settling the priority of claims against them - Whether the majority erred in its broad interpretation of s. 14.06 of the BIA - Whether the majority erred in its interpretation and application </w:t>
            </w:r>
            <w:r w:rsidRPr="009A4F8D">
              <w:rPr>
                <w:iCs/>
                <w:sz w:val="20"/>
                <w:szCs w:val="20"/>
              </w:rPr>
              <w:t xml:space="preserve">of </w:t>
            </w:r>
            <w:proofErr w:type="spellStart"/>
            <w:r w:rsidRPr="009A4F8D">
              <w:rPr>
                <w:i/>
                <w:iCs/>
                <w:sz w:val="20"/>
                <w:szCs w:val="20"/>
              </w:rPr>
              <w:t>PanAmericana</w:t>
            </w:r>
            <w:proofErr w:type="spellEnd"/>
            <w:r w:rsidRPr="009A4F8D">
              <w:rPr>
                <w:i/>
                <w:iCs/>
                <w:sz w:val="20"/>
                <w:szCs w:val="20"/>
              </w:rPr>
              <w:t xml:space="preserve"> v. Northern Badger</w:t>
            </w:r>
            <w:r w:rsidRPr="009A4F8D">
              <w:rPr>
                <w:sz w:val="20"/>
                <w:szCs w:val="20"/>
              </w:rPr>
              <w:t xml:space="preserve">, 1991 ABCA 181, namely in its finding that the decision did not survive the 1997 amendments to the BIA - Whether the majority erred in finding that the Alberta legislation enforcing end of life obligations and the transfer of oil and gas assets subject to insolvency proceedings create an unauthorized priority in bankruptcy - </w:t>
            </w:r>
            <w:r w:rsidRPr="009A4F8D">
              <w:rPr>
                <w:i/>
                <w:iCs/>
                <w:sz w:val="20"/>
                <w:szCs w:val="20"/>
              </w:rPr>
              <w:t>Bankruptcy and Insolvency Act</w:t>
            </w:r>
            <w:r w:rsidRPr="009A4F8D">
              <w:rPr>
                <w:iCs/>
                <w:sz w:val="20"/>
                <w:szCs w:val="20"/>
              </w:rPr>
              <w:t>,</w:t>
            </w:r>
            <w:r w:rsidRPr="009A4F8D">
              <w:rPr>
                <w:i/>
                <w:iCs/>
                <w:sz w:val="20"/>
                <w:szCs w:val="20"/>
              </w:rPr>
              <w:t xml:space="preserve"> </w:t>
            </w:r>
            <w:r w:rsidRPr="009A4F8D">
              <w:rPr>
                <w:sz w:val="20"/>
                <w:szCs w:val="20"/>
              </w:rPr>
              <w:t xml:space="preserve">R.S.C. 1985, c. B-3, ss. 14.06, 136 - </w:t>
            </w:r>
            <w:r w:rsidRPr="009A4F8D">
              <w:rPr>
                <w:i/>
                <w:sz w:val="20"/>
                <w:szCs w:val="20"/>
              </w:rPr>
              <w:t>Oil and Gas Conservation Act</w:t>
            </w:r>
            <w:r w:rsidRPr="009A4F8D">
              <w:rPr>
                <w:sz w:val="20"/>
                <w:szCs w:val="20"/>
              </w:rPr>
              <w:t xml:space="preserve">, R.S.A. 2000, c. O-6, ss. 1(1)(cc), </w:t>
            </w:r>
            <w:r w:rsidRPr="009A4F8D">
              <w:rPr>
                <w:sz w:val="20"/>
                <w:szCs w:val="20"/>
                <w:lang w:val="en-US"/>
              </w:rPr>
              <w:t>27, 29, 30, 106</w:t>
            </w:r>
            <w:r w:rsidRPr="009A4F8D">
              <w:rPr>
                <w:sz w:val="20"/>
                <w:szCs w:val="20"/>
              </w:rPr>
              <w:t xml:space="preserve"> - </w:t>
            </w:r>
            <w:r w:rsidRPr="009A4F8D">
              <w:rPr>
                <w:i/>
                <w:sz w:val="20"/>
                <w:szCs w:val="20"/>
                <w:lang w:val="en"/>
              </w:rPr>
              <w:t xml:space="preserve">Pipeline Act, </w:t>
            </w:r>
            <w:r w:rsidRPr="009A4F8D">
              <w:rPr>
                <w:sz w:val="20"/>
                <w:szCs w:val="20"/>
                <w:lang w:val="en"/>
              </w:rPr>
              <w:t xml:space="preserve">R.S.A. 2000, c. P-15, ss. 1(1)(n), </w:t>
            </w:r>
            <w:r w:rsidRPr="009A4F8D">
              <w:rPr>
                <w:sz w:val="20"/>
                <w:szCs w:val="20"/>
                <w:lang w:val="en-US"/>
              </w:rPr>
              <w:t>23, 25, 26, 51.</w:t>
            </w:r>
          </w:p>
          <w:p w:rsidR="009A4F8D" w:rsidRPr="009A4F8D" w:rsidRDefault="009A4F8D" w:rsidP="009A4F8D">
            <w:pPr>
              <w:jc w:val="both"/>
              <w:rPr>
                <w:sz w:val="20"/>
                <w:szCs w:val="20"/>
              </w:rPr>
            </w:pPr>
          </w:p>
        </w:tc>
      </w:tr>
      <w:tr w:rsidR="009A4F8D" w:rsidRPr="009A4F8D" w:rsidTr="00A83A35">
        <w:tc>
          <w:tcPr>
            <w:tcW w:w="5000" w:type="pct"/>
            <w:gridSpan w:val="2"/>
          </w:tcPr>
          <w:p w:rsidR="009A4F8D" w:rsidRPr="009A4F8D" w:rsidRDefault="009A4F8D" w:rsidP="009A4F8D">
            <w:pPr>
              <w:jc w:val="both"/>
              <w:rPr>
                <w:sz w:val="20"/>
                <w:szCs w:val="20"/>
              </w:rPr>
            </w:pPr>
            <w:proofErr w:type="spellStart"/>
            <w:r w:rsidRPr="009A4F8D">
              <w:rPr>
                <w:sz w:val="20"/>
                <w:szCs w:val="20"/>
              </w:rPr>
              <w:t>Redwater</w:t>
            </w:r>
            <w:proofErr w:type="spellEnd"/>
            <w:r w:rsidRPr="009A4F8D">
              <w:rPr>
                <w:sz w:val="20"/>
                <w:szCs w:val="20"/>
              </w:rPr>
              <w:t xml:space="preserve"> Energy Corporation is a bankrupt company that held licences in oil and gas properties. Those properties included orphan wells that are at the end of their lives and are non-producing. The cost of remediation for disclaimed wells can exceed their value. The company’s receiver and subsequently its trustee in bankruptcy sought to disclaim the bankrupt’s interest in those wells but to sell the valuable assets. </w:t>
            </w:r>
          </w:p>
          <w:p w:rsidR="009A4F8D" w:rsidRPr="009A4F8D" w:rsidRDefault="009A4F8D" w:rsidP="009A4F8D">
            <w:pPr>
              <w:jc w:val="both"/>
              <w:rPr>
                <w:sz w:val="20"/>
                <w:szCs w:val="20"/>
              </w:rPr>
            </w:pPr>
          </w:p>
          <w:p w:rsidR="009A4F8D" w:rsidRPr="009A4F8D" w:rsidRDefault="009A4F8D" w:rsidP="009A4F8D">
            <w:pPr>
              <w:jc w:val="both"/>
              <w:rPr>
                <w:sz w:val="20"/>
                <w:szCs w:val="20"/>
              </w:rPr>
            </w:pPr>
            <w:r w:rsidRPr="009A4F8D">
              <w:rPr>
                <w:sz w:val="20"/>
                <w:szCs w:val="20"/>
              </w:rPr>
              <w:t xml:space="preserve">The Alberta Energy Regulator has specific end-of-life rules on how a spent well must be rendered environmentally safe. Disclaimed wells become the responsibility of the Regulator and the Orphan Well Association. In this case, the Regulator opposed the trustee’s disclaimer on the basis that the trustee had to comply with the end-of-life obligations prior to any distribution to the creditors. The Regulator issued abandonment and remediation orders in respect of the wells that had been disclaimed. The trustee did not comply with the orders. </w:t>
            </w:r>
          </w:p>
          <w:p w:rsidR="009A4F8D" w:rsidRPr="009A4F8D" w:rsidRDefault="009A4F8D" w:rsidP="009A4F8D">
            <w:pPr>
              <w:jc w:val="both"/>
              <w:rPr>
                <w:sz w:val="20"/>
                <w:szCs w:val="20"/>
              </w:rPr>
            </w:pPr>
          </w:p>
          <w:p w:rsidR="009A4F8D" w:rsidRPr="009A4F8D" w:rsidRDefault="009A4F8D" w:rsidP="009A4F8D">
            <w:pPr>
              <w:jc w:val="both"/>
              <w:rPr>
                <w:sz w:val="20"/>
                <w:szCs w:val="20"/>
              </w:rPr>
            </w:pPr>
            <w:r w:rsidRPr="009A4F8D">
              <w:rPr>
                <w:sz w:val="20"/>
                <w:szCs w:val="20"/>
              </w:rPr>
              <w:t>The Regulator and the Association applied to the Court of Queen’s Bench of Alberta, seeking compliance with the remediation orders. The trustee brought a cross-application for approval of the sale of some assets, and a ruling on the constitutionality of the Regulator’s position.</w:t>
            </w:r>
          </w:p>
        </w:tc>
      </w:tr>
    </w:tbl>
    <w:p w:rsidR="009A4F8D" w:rsidRPr="009A4F8D" w:rsidRDefault="009C02F9" w:rsidP="009A4F8D">
      <w:pPr>
        <w:jc w:val="both"/>
        <w:rPr>
          <w:sz w:val="20"/>
          <w:szCs w:val="20"/>
        </w:rPr>
      </w:pPr>
      <w:r>
        <w:rPr>
          <w:sz w:val="20"/>
          <w:szCs w:val="20"/>
          <w:lang w:val="fr-CA"/>
        </w:rPr>
        <w:pict>
          <v:rect id="_x0000_i1058" style="width:2in;height:1pt" o:hrpct="0" o:hralign="center" o:hrstd="t" o:hrnoshade="t" o:hr="t" fillcolor="black [3213]" stroked="f"/>
        </w:pict>
      </w:r>
    </w:p>
    <w:p w:rsidR="009A4F8D" w:rsidRDefault="009A4F8D">
      <w:pPr>
        <w:rPr>
          <w:sz w:val="20"/>
          <w:szCs w:val="20"/>
        </w:rPr>
      </w:pPr>
      <w:r>
        <w:rPr>
          <w:sz w:val="20"/>
          <w:szCs w:val="20"/>
        </w:rPr>
        <w:br w:type="page"/>
      </w:r>
    </w:p>
    <w:tbl>
      <w:tblPr>
        <w:tblW w:w="4793" w:type="pct"/>
        <w:tblLayout w:type="fixed"/>
        <w:tblCellMar>
          <w:left w:w="0" w:type="dxa"/>
          <w:bottom w:w="99" w:type="dxa"/>
          <w:right w:w="0" w:type="dxa"/>
        </w:tblCellMar>
        <w:tblLook w:val="04A0" w:firstRow="1" w:lastRow="0" w:firstColumn="1" w:lastColumn="0" w:noHBand="0" w:noVBand="1"/>
      </w:tblPr>
      <w:tblGrid>
        <w:gridCol w:w="728"/>
        <w:gridCol w:w="8493"/>
      </w:tblGrid>
      <w:tr w:rsidR="009A4F8D" w:rsidRPr="009A4F8D" w:rsidTr="00A83A35">
        <w:tc>
          <w:tcPr>
            <w:tcW w:w="395" w:type="pct"/>
          </w:tcPr>
          <w:p w:rsidR="009A4F8D" w:rsidRPr="009A4F8D" w:rsidRDefault="009A4F8D" w:rsidP="009A4F8D">
            <w:pPr>
              <w:jc w:val="both"/>
              <w:rPr>
                <w:sz w:val="20"/>
                <w:szCs w:val="20"/>
              </w:rPr>
            </w:pPr>
            <w:r w:rsidRPr="009A4F8D">
              <w:rPr>
                <w:b/>
                <w:sz w:val="20"/>
                <w:szCs w:val="20"/>
              </w:rPr>
              <w:lastRenderedPageBreak/>
              <w:t>37627</w:t>
            </w:r>
          </w:p>
        </w:tc>
        <w:tc>
          <w:tcPr>
            <w:tcW w:w="4605" w:type="pct"/>
          </w:tcPr>
          <w:p w:rsidR="009A4F8D" w:rsidRPr="009A4F8D" w:rsidRDefault="009A4F8D" w:rsidP="009A4F8D">
            <w:pPr>
              <w:jc w:val="both"/>
              <w:rPr>
                <w:b/>
                <w:i/>
                <w:sz w:val="20"/>
                <w:szCs w:val="20"/>
              </w:rPr>
            </w:pPr>
            <w:r w:rsidRPr="009A4F8D">
              <w:rPr>
                <w:b/>
                <w:i/>
                <w:sz w:val="20"/>
                <w:szCs w:val="20"/>
              </w:rPr>
              <w:t>Orphan Well Association, Alberta Energy Regulator c. Grant Thornton Limited, Alberta Treasury Branches</w:t>
            </w:r>
          </w:p>
          <w:p w:rsidR="009A4F8D" w:rsidRPr="009A4F8D" w:rsidRDefault="009A4F8D" w:rsidP="009A4F8D">
            <w:pPr>
              <w:jc w:val="both"/>
              <w:rPr>
                <w:b/>
                <w:sz w:val="20"/>
                <w:szCs w:val="20"/>
                <w:lang w:val="fr-CA"/>
              </w:rPr>
            </w:pPr>
            <w:r w:rsidRPr="009A4F8D">
              <w:rPr>
                <w:b/>
                <w:sz w:val="20"/>
                <w:szCs w:val="20"/>
                <w:lang w:val="fr-CA"/>
              </w:rPr>
              <w:t>- et -</w:t>
            </w:r>
          </w:p>
          <w:p w:rsidR="009A4F8D" w:rsidRPr="009A4F8D" w:rsidRDefault="009A4F8D" w:rsidP="009A4F8D">
            <w:pPr>
              <w:jc w:val="both"/>
              <w:rPr>
                <w:b/>
                <w:i/>
                <w:sz w:val="20"/>
                <w:szCs w:val="20"/>
                <w:lang w:val="fr-CA"/>
              </w:rPr>
            </w:pPr>
            <w:r w:rsidRPr="009A4F8D">
              <w:rPr>
                <w:b/>
                <w:i/>
                <w:sz w:val="20"/>
                <w:szCs w:val="20"/>
                <w:lang w:val="fr-CA"/>
              </w:rPr>
              <w:t>Procureur général du Canada, procureur général de l’Ontario, procureur général de la Colombie-Britannique, procureur général de la Saskatchewan, ministre de la  Justice et solliciteur général de l’Alberta</w:t>
            </w:r>
          </w:p>
          <w:p w:rsidR="009A4F8D" w:rsidRPr="009A4F8D" w:rsidRDefault="009A4F8D" w:rsidP="009A4F8D">
            <w:pPr>
              <w:jc w:val="both"/>
              <w:rPr>
                <w:sz w:val="20"/>
                <w:szCs w:val="20"/>
              </w:rPr>
            </w:pPr>
            <w:r w:rsidRPr="009A4F8D">
              <w:rPr>
                <w:sz w:val="20"/>
                <w:szCs w:val="20"/>
              </w:rPr>
              <w:t>(Alb.) (</w:t>
            </w:r>
            <w:proofErr w:type="spellStart"/>
            <w:r w:rsidRPr="009A4F8D">
              <w:rPr>
                <w:sz w:val="20"/>
                <w:szCs w:val="20"/>
              </w:rPr>
              <w:t>Civile</w:t>
            </w:r>
            <w:proofErr w:type="spellEnd"/>
            <w:r w:rsidRPr="009A4F8D">
              <w:rPr>
                <w:sz w:val="20"/>
                <w:szCs w:val="20"/>
              </w:rPr>
              <w:t xml:space="preserve">) (Sur </w:t>
            </w:r>
            <w:proofErr w:type="spellStart"/>
            <w:r w:rsidRPr="009A4F8D">
              <w:rPr>
                <w:sz w:val="20"/>
                <w:szCs w:val="20"/>
              </w:rPr>
              <w:t>autorisation</w:t>
            </w:r>
            <w:proofErr w:type="spellEnd"/>
            <w:r w:rsidRPr="009A4F8D">
              <w:rPr>
                <w:sz w:val="20"/>
                <w:szCs w:val="20"/>
              </w:rPr>
              <w:t>)</w:t>
            </w:r>
          </w:p>
        </w:tc>
      </w:tr>
      <w:tr w:rsidR="009A4F8D" w:rsidRPr="009C02F9" w:rsidTr="00A83A35">
        <w:tc>
          <w:tcPr>
            <w:tcW w:w="5000" w:type="pct"/>
            <w:gridSpan w:val="2"/>
          </w:tcPr>
          <w:p w:rsidR="009A4F8D" w:rsidRPr="00896C7C" w:rsidRDefault="009A4F8D" w:rsidP="009A4F8D">
            <w:pPr>
              <w:jc w:val="both"/>
              <w:rPr>
                <w:smallCaps/>
                <w:sz w:val="20"/>
                <w:szCs w:val="20"/>
                <w:lang w:val="fr-CA"/>
              </w:rPr>
            </w:pPr>
            <w:r w:rsidRPr="00896C7C">
              <w:rPr>
                <w:smallCaps/>
                <w:sz w:val="20"/>
                <w:szCs w:val="20"/>
                <w:lang w:val="fr-CA"/>
              </w:rPr>
              <w:t>(Ordonnance de mise sous scellés)</w:t>
            </w:r>
          </w:p>
          <w:p w:rsidR="009A4F8D" w:rsidRPr="009A4F8D" w:rsidRDefault="009A4F8D" w:rsidP="009A4F8D">
            <w:pPr>
              <w:jc w:val="both"/>
              <w:rPr>
                <w:iCs/>
                <w:sz w:val="20"/>
                <w:szCs w:val="20"/>
                <w:lang w:val="fr-CA"/>
              </w:rPr>
            </w:pPr>
          </w:p>
          <w:p w:rsidR="009A4F8D" w:rsidRPr="009A4F8D" w:rsidRDefault="009A4F8D" w:rsidP="009A4F8D">
            <w:pPr>
              <w:jc w:val="both"/>
              <w:rPr>
                <w:sz w:val="20"/>
                <w:szCs w:val="20"/>
                <w:lang w:val="fr-CA"/>
              </w:rPr>
            </w:pPr>
            <w:r w:rsidRPr="009A4F8D">
              <w:rPr>
                <w:iCs/>
                <w:sz w:val="20"/>
                <w:szCs w:val="20"/>
                <w:lang w:val="fr-CA"/>
              </w:rPr>
              <w:t xml:space="preserve">Droit constitutionnel - Partage des compétences - Prépondérance fédérale - Faillite et insolvabilité - Réclamations prouvables - Ressources naturelles - Pétrole et gaz - Organisme provincial de réglementation de l’énergie rendant des ordonnances portant abandon et décontamination des éléments d’actif du failli auxquels avait auparavant renoncé le syndic </w:t>
            </w:r>
            <w:r w:rsidRPr="009A4F8D">
              <w:rPr>
                <w:sz w:val="20"/>
                <w:szCs w:val="20"/>
                <w:lang w:val="fr-CA"/>
              </w:rPr>
              <w:t xml:space="preserve">- Les juges majoritaires de la Cour d’appel de l’Alberta ont-ils appliqué erronément </w:t>
            </w:r>
            <w:r w:rsidRPr="009A4F8D">
              <w:rPr>
                <w:i/>
                <w:iCs/>
                <w:sz w:val="20"/>
                <w:szCs w:val="20"/>
                <w:lang w:val="fr-CA"/>
              </w:rPr>
              <w:t xml:space="preserve">Terre-Neuve-et-Labrador c. </w:t>
            </w:r>
            <w:proofErr w:type="spellStart"/>
            <w:r w:rsidRPr="009A4F8D">
              <w:rPr>
                <w:i/>
                <w:iCs/>
                <w:sz w:val="20"/>
                <w:szCs w:val="20"/>
                <w:lang w:val="fr-CA"/>
              </w:rPr>
              <w:t>AbitibiBowater</w:t>
            </w:r>
            <w:proofErr w:type="spellEnd"/>
            <w:r w:rsidRPr="009A4F8D">
              <w:rPr>
                <w:i/>
                <w:iCs/>
                <w:sz w:val="20"/>
                <w:szCs w:val="20"/>
                <w:lang w:val="fr-CA"/>
              </w:rPr>
              <w:t xml:space="preserve"> Inc.</w:t>
            </w:r>
            <w:r w:rsidRPr="009A4F8D">
              <w:rPr>
                <w:sz w:val="20"/>
                <w:szCs w:val="20"/>
                <w:lang w:val="fr-CA"/>
              </w:rPr>
              <w:t xml:space="preserve">, 2012 CSC 67, [2012] 3 R.C.S. 443? - La majorité a-t-elle appliqué erronément la doctrine constitutionnelle de la prépondérance fédérale en concluant que l’application du régime albertain de réglementation du pétrole et du gaz entre en conflit avec l’art. 14.06 de la </w:t>
            </w:r>
            <w:r w:rsidRPr="009A4F8D">
              <w:rPr>
                <w:i/>
                <w:sz w:val="20"/>
                <w:szCs w:val="20"/>
                <w:lang w:val="fr-CA"/>
              </w:rPr>
              <w:t>Loi sur la faillite et l’insolvabilité</w:t>
            </w:r>
            <w:r w:rsidRPr="009A4F8D">
              <w:rPr>
                <w:iCs/>
                <w:sz w:val="20"/>
                <w:szCs w:val="20"/>
                <w:lang w:val="fr-CA"/>
              </w:rPr>
              <w:t>,</w:t>
            </w:r>
            <w:r w:rsidRPr="009A4F8D">
              <w:rPr>
                <w:i/>
                <w:iCs/>
                <w:sz w:val="20"/>
                <w:szCs w:val="20"/>
                <w:lang w:val="fr-CA"/>
              </w:rPr>
              <w:t xml:space="preserve"> </w:t>
            </w:r>
            <w:r w:rsidRPr="009A4F8D">
              <w:rPr>
                <w:iCs/>
                <w:sz w:val="20"/>
                <w:szCs w:val="20"/>
                <w:lang w:val="fr-CA"/>
              </w:rPr>
              <w:t>L.R.</w:t>
            </w:r>
            <w:r w:rsidRPr="009A4F8D">
              <w:rPr>
                <w:sz w:val="20"/>
                <w:szCs w:val="20"/>
                <w:lang w:val="fr-CA"/>
              </w:rPr>
              <w:t>C. 1985, c. B-3 (« LFI »), et est inopérante dans la mesure du conflit? - Les juges majoritaires ont-ils commis une erreur dans l’application de la doctrine constitutionnelle de la prépondérance fédérale en concluant que le régime albertain de réglementation du pétrole et du gaz entre en conflit ou entrave la réalisation de l’objectif fédéral de gérer la liquidation des sociétés insolvables et d’établir l’ordre de priorité des réclamations contre elles? - La majorité a-t-elle erré en interprétant largement l’art. 14.06 de la LFI? - Les juges majoritaires ont-ils commis une erreur dans l’interprétation et l’application de</w:t>
            </w:r>
            <w:r w:rsidRPr="009A4F8D">
              <w:rPr>
                <w:i/>
                <w:iCs/>
                <w:sz w:val="20"/>
                <w:szCs w:val="20"/>
                <w:lang w:val="fr-CA"/>
              </w:rPr>
              <w:t xml:space="preserve"> </w:t>
            </w:r>
            <w:proofErr w:type="spellStart"/>
            <w:r w:rsidRPr="009A4F8D">
              <w:rPr>
                <w:i/>
                <w:iCs/>
                <w:sz w:val="20"/>
                <w:szCs w:val="20"/>
                <w:lang w:val="fr-CA"/>
              </w:rPr>
              <w:t>PanAmericana</w:t>
            </w:r>
            <w:proofErr w:type="spellEnd"/>
            <w:r w:rsidRPr="009A4F8D">
              <w:rPr>
                <w:i/>
                <w:iCs/>
                <w:sz w:val="20"/>
                <w:szCs w:val="20"/>
                <w:lang w:val="fr-CA"/>
              </w:rPr>
              <w:t xml:space="preserve"> c. </w:t>
            </w:r>
            <w:proofErr w:type="spellStart"/>
            <w:r w:rsidRPr="009A4F8D">
              <w:rPr>
                <w:i/>
                <w:iCs/>
                <w:sz w:val="20"/>
                <w:szCs w:val="20"/>
                <w:lang w:val="fr-CA"/>
              </w:rPr>
              <w:t>Northern</w:t>
            </w:r>
            <w:proofErr w:type="spellEnd"/>
            <w:r w:rsidRPr="009A4F8D">
              <w:rPr>
                <w:i/>
                <w:iCs/>
                <w:sz w:val="20"/>
                <w:szCs w:val="20"/>
                <w:lang w:val="fr-CA"/>
              </w:rPr>
              <w:t xml:space="preserve"> Badger</w:t>
            </w:r>
            <w:r w:rsidRPr="009A4F8D">
              <w:rPr>
                <w:sz w:val="20"/>
                <w:szCs w:val="20"/>
                <w:lang w:val="fr-CA"/>
              </w:rPr>
              <w:t xml:space="preserve">, 1991 ABCA 181, à savoir sa conclusion selon laquelle la décision n’a pas survécu aux modifications apportées en 1997 à la LFI? - La majorité a-t-elle conclu à tort que la loi albertaine d’exécution des obligations visant les biens en fin de vie et de la cession des éléments d’actif pétroliers et gaziers sous réserve des procédures en matière d’insolvabilité crée une priorité non autorisée en cas de faillite? - </w:t>
            </w:r>
            <w:r w:rsidRPr="009A4F8D">
              <w:rPr>
                <w:i/>
                <w:sz w:val="20"/>
                <w:szCs w:val="20"/>
                <w:lang w:val="fr-CA"/>
              </w:rPr>
              <w:t>Loi sur la faillite et l’insolvabilité</w:t>
            </w:r>
            <w:r w:rsidRPr="009A4F8D">
              <w:rPr>
                <w:iCs/>
                <w:sz w:val="20"/>
                <w:szCs w:val="20"/>
                <w:lang w:val="fr-CA"/>
              </w:rPr>
              <w:t>,</w:t>
            </w:r>
            <w:r w:rsidRPr="009A4F8D">
              <w:rPr>
                <w:i/>
                <w:iCs/>
                <w:sz w:val="20"/>
                <w:szCs w:val="20"/>
                <w:lang w:val="fr-CA"/>
              </w:rPr>
              <w:t xml:space="preserve"> </w:t>
            </w:r>
            <w:r w:rsidRPr="009A4F8D">
              <w:rPr>
                <w:sz w:val="20"/>
                <w:szCs w:val="20"/>
                <w:lang w:val="fr-CA"/>
              </w:rPr>
              <w:t xml:space="preserve">R.S.C. 1985, c. B-3, art. 14.06, 136 - </w:t>
            </w:r>
            <w:proofErr w:type="spellStart"/>
            <w:r w:rsidRPr="009A4F8D">
              <w:rPr>
                <w:i/>
                <w:sz w:val="20"/>
                <w:szCs w:val="20"/>
                <w:lang w:val="fr-CA"/>
              </w:rPr>
              <w:t>Oil</w:t>
            </w:r>
            <w:proofErr w:type="spellEnd"/>
            <w:r w:rsidRPr="009A4F8D">
              <w:rPr>
                <w:i/>
                <w:sz w:val="20"/>
                <w:szCs w:val="20"/>
                <w:lang w:val="fr-CA"/>
              </w:rPr>
              <w:t xml:space="preserve"> and </w:t>
            </w:r>
            <w:proofErr w:type="spellStart"/>
            <w:r w:rsidRPr="009A4F8D">
              <w:rPr>
                <w:i/>
                <w:sz w:val="20"/>
                <w:szCs w:val="20"/>
                <w:lang w:val="fr-CA"/>
              </w:rPr>
              <w:t>Gas</w:t>
            </w:r>
            <w:proofErr w:type="spellEnd"/>
            <w:r w:rsidRPr="009A4F8D">
              <w:rPr>
                <w:i/>
                <w:sz w:val="20"/>
                <w:szCs w:val="20"/>
                <w:lang w:val="fr-CA"/>
              </w:rPr>
              <w:t xml:space="preserve"> Conservation </w:t>
            </w:r>
            <w:proofErr w:type="spellStart"/>
            <w:r w:rsidRPr="009A4F8D">
              <w:rPr>
                <w:i/>
                <w:sz w:val="20"/>
                <w:szCs w:val="20"/>
                <w:lang w:val="fr-CA"/>
              </w:rPr>
              <w:t>Act</w:t>
            </w:r>
            <w:proofErr w:type="spellEnd"/>
            <w:r w:rsidRPr="009A4F8D">
              <w:rPr>
                <w:sz w:val="20"/>
                <w:szCs w:val="20"/>
                <w:lang w:val="fr-CA"/>
              </w:rPr>
              <w:t>, R.S.A. 2000, c. O</w:t>
            </w:r>
            <w:r w:rsidRPr="009A4F8D">
              <w:rPr>
                <w:sz w:val="20"/>
                <w:szCs w:val="20"/>
                <w:lang w:val="fr-CA"/>
              </w:rPr>
              <w:noBreakHyphen/>
              <w:t>6, art. 1(1</w:t>
            </w:r>
            <w:proofErr w:type="gramStart"/>
            <w:r w:rsidRPr="009A4F8D">
              <w:rPr>
                <w:sz w:val="20"/>
                <w:szCs w:val="20"/>
                <w:lang w:val="fr-CA"/>
              </w:rPr>
              <w:t>)(</w:t>
            </w:r>
            <w:proofErr w:type="gramEnd"/>
            <w:r w:rsidRPr="009A4F8D">
              <w:rPr>
                <w:sz w:val="20"/>
                <w:szCs w:val="20"/>
                <w:lang w:val="fr-CA"/>
              </w:rPr>
              <w:t xml:space="preserve">cc), 27, 29, 30, 106 - </w:t>
            </w:r>
            <w:r w:rsidRPr="009A4F8D">
              <w:rPr>
                <w:i/>
                <w:sz w:val="20"/>
                <w:szCs w:val="20"/>
                <w:lang w:val="fr-CA"/>
              </w:rPr>
              <w:t xml:space="preserve">Pipeline </w:t>
            </w:r>
            <w:proofErr w:type="spellStart"/>
            <w:r w:rsidRPr="009A4F8D">
              <w:rPr>
                <w:i/>
                <w:sz w:val="20"/>
                <w:szCs w:val="20"/>
                <w:lang w:val="fr-CA"/>
              </w:rPr>
              <w:t>Act</w:t>
            </w:r>
            <w:proofErr w:type="spellEnd"/>
            <w:r w:rsidRPr="009A4F8D">
              <w:rPr>
                <w:sz w:val="20"/>
                <w:szCs w:val="20"/>
                <w:lang w:val="fr-CA"/>
              </w:rPr>
              <w:t>,</w:t>
            </w:r>
            <w:r w:rsidRPr="009A4F8D">
              <w:rPr>
                <w:i/>
                <w:sz w:val="20"/>
                <w:szCs w:val="20"/>
                <w:lang w:val="fr-CA"/>
              </w:rPr>
              <w:t xml:space="preserve"> </w:t>
            </w:r>
            <w:r w:rsidRPr="009A4F8D">
              <w:rPr>
                <w:sz w:val="20"/>
                <w:szCs w:val="20"/>
                <w:lang w:val="fr-CA"/>
              </w:rPr>
              <w:t>R.S.A. 2000, c. P-15, art. 1(1</w:t>
            </w:r>
            <w:proofErr w:type="gramStart"/>
            <w:r w:rsidRPr="009A4F8D">
              <w:rPr>
                <w:sz w:val="20"/>
                <w:szCs w:val="20"/>
                <w:lang w:val="fr-CA"/>
              </w:rPr>
              <w:t>)(</w:t>
            </w:r>
            <w:proofErr w:type="gramEnd"/>
            <w:r w:rsidRPr="009A4F8D">
              <w:rPr>
                <w:sz w:val="20"/>
                <w:szCs w:val="20"/>
                <w:lang w:val="fr-CA"/>
              </w:rPr>
              <w:t xml:space="preserve">n), 23, 25, 26, 51. </w:t>
            </w:r>
          </w:p>
        </w:tc>
      </w:tr>
    </w:tbl>
    <w:p w:rsidR="000B5E4B" w:rsidRDefault="009C02F9" w:rsidP="00782AE4">
      <w:pPr>
        <w:jc w:val="both"/>
        <w:rPr>
          <w:sz w:val="20"/>
          <w:szCs w:val="20"/>
          <w:lang w:val="fr-CA"/>
        </w:rPr>
      </w:pPr>
      <w:r>
        <w:rPr>
          <w:sz w:val="20"/>
          <w:szCs w:val="20"/>
          <w:lang w:val="fr-CA"/>
        </w:rPr>
        <w:pict>
          <v:rect id="_x0000_i1059" style="width:2in;height:1pt" o:hrpct="0" o:hralign="center" o:hrstd="t" o:hrnoshade="t" o:hr="t" fillcolor="black [3213]" stroked="f"/>
        </w:pict>
      </w:r>
    </w:p>
    <w:p w:rsidR="000B5E4B" w:rsidRDefault="000B5E4B">
      <w:pPr>
        <w:rPr>
          <w:sz w:val="20"/>
          <w:szCs w:val="20"/>
          <w:lang w:val="fr-CA"/>
        </w:rPr>
      </w:pPr>
      <w:r>
        <w:rPr>
          <w:sz w:val="20"/>
          <w:szCs w:val="20"/>
          <w:lang w:val="fr-CA"/>
        </w:rPr>
        <w:br w:type="page"/>
      </w:r>
    </w:p>
    <w:p w:rsidR="000B5E4B" w:rsidRPr="000B5E4B" w:rsidRDefault="000B5E4B" w:rsidP="000B5E4B">
      <w:pPr>
        <w:jc w:val="both"/>
        <w:rPr>
          <w:b/>
          <w:i/>
          <w:sz w:val="20"/>
          <w:szCs w:val="20"/>
        </w:rPr>
      </w:pPr>
      <w:r w:rsidRPr="000B5E4B">
        <w:rPr>
          <w:b/>
          <w:sz w:val="20"/>
          <w:szCs w:val="20"/>
        </w:rPr>
        <w:lastRenderedPageBreak/>
        <w:fldChar w:fldCharType="begin"/>
      </w:r>
      <w:r w:rsidRPr="000B5E4B">
        <w:rPr>
          <w:b/>
          <w:sz w:val="20"/>
          <w:szCs w:val="20"/>
          <w:lang w:val="en-US"/>
        </w:rPr>
        <w:instrText xml:space="preserve"> SEQ CHAPTER \h \r 1</w:instrText>
      </w:r>
      <w:r w:rsidRPr="000B5E4B">
        <w:rPr>
          <w:sz w:val="20"/>
          <w:szCs w:val="20"/>
          <w:lang w:val="fr-CA"/>
        </w:rPr>
        <w:fldChar w:fldCharType="end"/>
      </w:r>
      <w:r w:rsidRPr="000B5E4B">
        <w:rPr>
          <w:b/>
          <w:sz w:val="20"/>
          <w:szCs w:val="20"/>
        </w:rPr>
        <w:t>37795</w:t>
      </w:r>
      <w:r w:rsidRPr="000B5E4B">
        <w:rPr>
          <w:sz w:val="20"/>
          <w:szCs w:val="20"/>
        </w:rPr>
        <w:tab/>
      </w:r>
      <w:r w:rsidRPr="000B5E4B">
        <w:rPr>
          <w:b/>
          <w:i/>
          <w:sz w:val="20"/>
          <w:szCs w:val="20"/>
        </w:rPr>
        <w:t>A.G.W. v. Her Majesty the Queen</w:t>
      </w:r>
    </w:p>
    <w:p w:rsidR="000B5E4B" w:rsidRPr="000B5E4B" w:rsidRDefault="000B5E4B" w:rsidP="000B5E4B">
      <w:pPr>
        <w:ind w:firstLine="720"/>
        <w:jc w:val="both"/>
        <w:rPr>
          <w:sz w:val="20"/>
          <w:szCs w:val="20"/>
        </w:rPr>
      </w:pPr>
      <w:r w:rsidRPr="000B5E4B">
        <w:rPr>
          <w:sz w:val="20"/>
          <w:szCs w:val="20"/>
        </w:rPr>
        <w:t>(Alta.) (Criminal) (As of Right)</w:t>
      </w:r>
    </w:p>
    <w:p w:rsidR="000B5E4B" w:rsidRPr="000B5E4B" w:rsidRDefault="000B5E4B" w:rsidP="000B5E4B">
      <w:pPr>
        <w:jc w:val="both"/>
        <w:rPr>
          <w:sz w:val="20"/>
          <w:szCs w:val="20"/>
        </w:rPr>
      </w:pPr>
    </w:p>
    <w:p w:rsidR="000B5E4B" w:rsidRPr="000B5E4B" w:rsidRDefault="000B5E4B" w:rsidP="000B5E4B">
      <w:pPr>
        <w:widowControl w:val="0"/>
        <w:jc w:val="both"/>
        <w:rPr>
          <w:smallCaps/>
          <w:sz w:val="20"/>
        </w:rPr>
      </w:pPr>
      <w:r w:rsidRPr="000B5E4B">
        <w:rPr>
          <w:smallCaps/>
          <w:sz w:val="20"/>
        </w:rPr>
        <w:t>(publication ban on party) (publication ban in case)</w:t>
      </w:r>
    </w:p>
    <w:p w:rsidR="000B5E4B" w:rsidRPr="000B5E4B" w:rsidRDefault="000B5E4B" w:rsidP="000B5E4B">
      <w:pPr>
        <w:jc w:val="both"/>
        <w:rPr>
          <w:sz w:val="20"/>
          <w:szCs w:val="20"/>
        </w:rPr>
      </w:pPr>
    </w:p>
    <w:p w:rsidR="000B5E4B" w:rsidRPr="000B5E4B" w:rsidRDefault="000B5E4B" w:rsidP="000B5E4B">
      <w:pPr>
        <w:jc w:val="both"/>
        <w:rPr>
          <w:sz w:val="20"/>
          <w:szCs w:val="20"/>
          <w:lang w:val="en-US"/>
        </w:rPr>
      </w:pPr>
      <w:r w:rsidRPr="000B5E4B">
        <w:rPr>
          <w:sz w:val="20"/>
          <w:szCs w:val="20"/>
          <w:lang w:val="en-US"/>
        </w:rPr>
        <w:t>Criminal law - Appeals - Unreasonable verdict - Evidence - Credibility - Whether trial judge erred in law by failing to consider all evidence and its import in relation to ultimate issue of guilt or innocence and by failing to appreciate legal effect of factual findings - Whether trial judge erred in law by rendering an unreasonable verdict.</w:t>
      </w:r>
    </w:p>
    <w:p w:rsidR="000B5E4B" w:rsidRPr="000B5E4B" w:rsidRDefault="000B5E4B" w:rsidP="000B5E4B">
      <w:pPr>
        <w:jc w:val="both"/>
        <w:rPr>
          <w:sz w:val="20"/>
          <w:szCs w:val="20"/>
          <w:lang w:val="en-US"/>
        </w:rPr>
      </w:pPr>
    </w:p>
    <w:p w:rsidR="000B5E4B" w:rsidRDefault="000B5E4B" w:rsidP="000B5E4B">
      <w:pPr>
        <w:jc w:val="both"/>
        <w:rPr>
          <w:sz w:val="20"/>
          <w:szCs w:val="20"/>
          <w:lang w:val="en-US"/>
        </w:rPr>
      </w:pPr>
      <w:r w:rsidRPr="000B5E4B">
        <w:rPr>
          <w:sz w:val="20"/>
          <w:szCs w:val="20"/>
          <w:lang w:val="en-US"/>
        </w:rPr>
        <w:t>The accused was charged with sexual assault with a weapon. It was alleged that the accused threatened the complainant with two 8-inch knives and held a knife to the complainant’s throat as he assaulted her. The trial judge accepted the complainant’s evidence that a sexual assault had taken place, despite the accused’s denial of the allegations. However, he found the complainant’s evidence that a knife had been used in the assault to be unreliable. Therefore, he convicted the accused of the included offence of sexual assault. The accused appealed his conviction, arguing that the trial judge’s verdict was unreasonable and unsupported by the evidence. The majority in the Court of Appeal dismissed the appeal. It was of the view that the reasons of the trial judge, in the context of all of the evidence, disclosed that he was mindful of and addressed the contradictions in the evidence, that he did not believe the accused and that the offence of sexual assault was established beyond a reasonable doubt based upon the evidence of the complainant. Berger J.A., dissenting, would have allowed the appeal, quashed the conviction and substituted an acquittal. In his opinion, the verdict was tainted by significant errors of fact and law and was unreasonable.</w:t>
      </w:r>
    </w:p>
    <w:p w:rsidR="00233CE8" w:rsidRDefault="00233CE8" w:rsidP="000B5E4B">
      <w:pPr>
        <w:jc w:val="both"/>
        <w:rPr>
          <w:sz w:val="20"/>
          <w:szCs w:val="20"/>
          <w:lang w:val="en-US"/>
        </w:rPr>
      </w:pPr>
    </w:p>
    <w:p w:rsidR="00233CE8" w:rsidRPr="000B5E4B" w:rsidRDefault="009C02F9" w:rsidP="000B5E4B">
      <w:pPr>
        <w:jc w:val="both"/>
        <w:rPr>
          <w:sz w:val="20"/>
          <w:szCs w:val="20"/>
          <w:lang w:val="en-US"/>
        </w:rPr>
      </w:pPr>
      <w:r>
        <w:rPr>
          <w:sz w:val="20"/>
          <w:szCs w:val="20"/>
          <w:lang w:val="fr-CA"/>
        </w:rPr>
        <w:pict>
          <v:rect id="_x0000_i1060" style="width:2in;height:1pt" o:hrpct="0" o:hralign="center" o:hrstd="t" o:hrnoshade="t" o:hr="t" fillcolor="black [3213]" stroked="f"/>
        </w:pict>
      </w:r>
    </w:p>
    <w:p w:rsidR="000B5E4B" w:rsidRDefault="000B5E4B">
      <w:pPr>
        <w:rPr>
          <w:sz w:val="20"/>
          <w:szCs w:val="20"/>
          <w:lang w:val="en-US"/>
        </w:rPr>
      </w:pPr>
      <w:r>
        <w:rPr>
          <w:sz w:val="20"/>
          <w:szCs w:val="20"/>
          <w:lang w:val="en-US"/>
        </w:rPr>
        <w:br w:type="page"/>
      </w:r>
    </w:p>
    <w:p w:rsidR="000B5E4B" w:rsidRPr="000B5E4B" w:rsidRDefault="000B5E4B" w:rsidP="000B5E4B">
      <w:pPr>
        <w:widowControl w:val="0"/>
        <w:ind w:left="720" w:hanging="720"/>
        <w:jc w:val="both"/>
        <w:rPr>
          <w:b/>
          <w:i/>
          <w:sz w:val="20"/>
          <w:lang w:val="fr-CA"/>
        </w:rPr>
      </w:pPr>
      <w:r w:rsidRPr="000B5E4B">
        <w:rPr>
          <w:b/>
          <w:sz w:val="20"/>
          <w:lang w:val="fr-CA"/>
        </w:rPr>
        <w:lastRenderedPageBreak/>
        <w:fldChar w:fldCharType="begin"/>
      </w:r>
      <w:r w:rsidRPr="000B5E4B">
        <w:rPr>
          <w:b/>
          <w:sz w:val="20"/>
          <w:lang w:val="fr-CA"/>
        </w:rPr>
        <w:instrText xml:space="preserve"> SEQ CHAPTER \h \r 1</w:instrText>
      </w:r>
      <w:r w:rsidRPr="000B5E4B">
        <w:rPr>
          <w:b/>
          <w:sz w:val="20"/>
          <w:lang w:val="fr-CA"/>
        </w:rPr>
        <w:fldChar w:fldCharType="end"/>
      </w:r>
      <w:r w:rsidRPr="000B5E4B">
        <w:rPr>
          <w:b/>
          <w:sz w:val="20"/>
          <w:lang w:val="fr-CA"/>
        </w:rPr>
        <w:t>37795</w:t>
      </w:r>
      <w:r w:rsidRPr="000B5E4B">
        <w:rPr>
          <w:sz w:val="20"/>
          <w:lang w:val="fr-CA"/>
        </w:rPr>
        <w:tab/>
      </w:r>
      <w:r w:rsidRPr="000B5E4B">
        <w:rPr>
          <w:b/>
          <w:i/>
          <w:sz w:val="20"/>
          <w:lang w:val="fr-CA"/>
        </w:rPr>
        <w:t>A.G.W. c. Sa Majesté la Reine</w:t>
      </w:r>
    </w:p>
    <w:p w:rsidR="000B5E4B" w:rsidRPr="000B5E4B" w:rsidRDefault="000B5E4B" w:rsidP="000B5E4B">
      <w:pPr>
        <w:widowControl w:val="0"/>
        <w:ind w:left="1440" w:hanging="720"/>
        <w:jc w:val="both"/>
        <w:rPr>
          <w:sz w:val="20"/>
          <w:lang w:val="fr-CA"/>
        </w:rPr>
      </w:pPr>
      <w:r w:rsidRPr="000B5E4B">
        <w:rPr>
          <w:sz w:val="20"/>
          <w:lang w:val="fr-CA"/>
        </w:rPr>
        <w:t>(</w:t>
      </w:r>
      <w:proofErr w:type="spellStart"/>
      <w:r w:rsidRPr="000B5E4B">
        <w:rPr>
          <w:sz w:val="20"/>
          <w:lang w:val="fr-CA"/>
        </w:rPr>
        <w:t>Alb</w:t>
      </w:r>
      <w:proofErr w:type="spellEnd"/>
      <w:r w:rsidRPr="000B5E4B">
        <w:rPr>
          <w:sz w:val="20"/>
          <w:lang w:val="fr-CA"/>
        </w:rPr>
        <w:t>.) (Criminelle) (De plein droit)</w:t>
      </w:r>
    </w:p>
    <w:p w:rsidR="000B5E4B" w:rsidRPr="000B5E4B" w:rsidRDefault="000B5E4B" w:rsidP="000B5E4B">
      <w:pPr>
        <w:widowControl w:val="0"/>
        <w:jc w:val="both"/>
        <w:rPr>
          <w:sz w:val="20"/>
          <w:lang w:val="fr-CA"/>
        </w:rPr>
      </w:pPr>
    </w:p>
    <w:p w:rsidR="000B5E4B" w:rsidRPr="000B5E4B" w:rsidRDefault="000B5E4B" w:rsidP="000B5E4B">
      <w:pPr>
        <w:widowControl w:val="0"/>
        <w:jc w:val="both"/>
        <w:rPr>
          <w:smallCaps/>
          <w:sz w:val="20"/>
          <w:lang w:val="fr-CA"/>
        </w:rPr>
      </w:pPr>
      <w:r w:rsidRPr="000B5E4B">
        <w:rPr>
          <w:smallCaps/>
          <w:sz w:val="20"/>
          <w:lang w:val="fr-CA"/>
        </w:rPr>
        <w:t>(Ordonnance de non-publication visant une partie) (Ordonnance de non-publication dans le dossier)</w:t>
      </w:r>
    </w:p>
    <w:p w:rsidR="000B5E4B" w:rsidRPr="000B5E4B" w:rsidRDefault="000B5E4B" w:rsidP="000B5E4B">
      <w:pPr>
        <w:widowControl w:val="0"/>
        <w:jc w:val="both"/>
        <w:rPr>
          <w:sz w:val="20"/>
          <w:lang w:val="fr-CA"/>
        </w:rPr>
      </w:pPr>
    </w:p>
    <w:p w:rsidR="000B5E4B" w:rsidRPr="000B5E4B" w:rsidRDefault="000B5E4B" w:rsidP="000B5E4B">
      <w:pPr>
        <w:widowControl w:val="0"/>
        <w:jc w:val="both"/>
        <w:rPr>
          <w:sz w:val="20"/>
          <w:lang w:val="fr-CA"/>
        </w:rPr>
      </w:pPr>
      <w:r w:rsidRPr="000B5E4B">
        <w:rPr>
          <w:sz w:val="20"/>
          <w:lang w:val="fr-CA"/>
        </w:rPr>
        <w:t xml:space="preserve">Droit criminel - Appels - Verdict déraisonnable - Preuve - Crédibilité - Le juge du procès </w:t>
      </w:r>
      <w:proofErr w:type="spellStart"/>
      <w:r w:rsidRPr="000B5E4B">
        <w:rPr>
          <w:sz w:val="20"/>
          <w:lang w:val="fr-CA"/>
        </w:rPr>
        <w:t>a-t-il</w:t>
      </w:r>
      <w:proofErr w:type="spellEnd"/>
      <w:r w:rsidRPr="000B5E4B">
        <w:rPr>
          <w:sz w:val="20"/>
          <w:lang w:val="fr-CA"/>
        </w:rPr>
        <w:t xml:space="preserve"> commis une erreur de droit en omettant d’examiner toute la preuve et son importance en lien avec la question fondamentale de la culpabilité ou de l’innocence et en omettant d’apprécier l’effet juridique des conclusions de fait? - Le juge du procès </w:t>
      </w:r>
      <w:proofErr w:type="spellStart"/>
      <w:r w:rsidRPr="000B5E4B">
        <w:rPr>
          <w:sz w:val="20"/>
          <w:lang w:val="fr-CA"/>
        </w:rPr>
        <w:t>a-t-il</w:t>
      </w:r>
      <w:proofErr w:type="spellEnd"/>
      <w:r w:rsidRPr="000B5E4B">
        <w:rPr>
          <w:sz w:val="20"/>
          <w:lang w:val="fr-CA"/>
        </w:rPr>
        <w:t xml:space="preserve"> commis une erreur de droit en rendant un verdict déraisonnable?</w:t>
      </w:r>
    </w:p>
    <w:p w:rsidR="000B5E4B" w:rsidRPr="000B5E4B" w:rsidRDefault="000B5E4B" w:rsidP="000B5E4B">
      <w:pPr>
        <w:widowControl w:val="0"/>
        <w:jc w:val="both"/>
        <w:rPr>
          <w:sz w:val="20"/>
          <w:lang w:val="fr-CA"/>
        </w:rPr>
      </w:pPr>
    </w:p>
    <w:p w:rsidR="000B5E4B" w:rsidRPr="000B5E4B" w:rsidRDefault="000B5E4B" w:rsidP="000B5E4B">
      <w:pPr>
        <w:widowControl w:val="0"/>
        <w:jc w:val="both"/>
        <w:rPr>
          <w:sz w:val="20"/>
          <w:lang w:val="fr-CA"/>
        </w:rPr>
      </w:pPr>
      <w:r w:rsidRPr="000B5E4B">
        <w:rPr>
          <w:sz w:val="20"/>
          <w:lang w:val="fr-CA"/>
        </w:rPr>
        <w:t>L’accusé a été inculpé d’agression sexuelle armée. On allègue que l’accusé aurait menacé la plaignante avec deux couteaux de huit pouces et qu’il aurait mis un couteau sous la gorge de la victime pendant qu’il l’agressait. Le juge du procès a accepté le témoignage de la plaignante selon lequel une agression sexuelle avait eu lieu, malgré la dénégation par l’accusé des allégations. Toutefois, le juge a conclu que le témoignage de la plaignante selon lequel un couteau avait été utilisé dans l’agression n’était pas digne de foi. Il a donc déclaré l’accusé coupable de l’infraction incluse d’agression sexuelle. L’accusé a interjeté appel de la déclaration de culpabilité, plaidant que le verdict du juge du procès était déraisonnable et non étayé par la preuve. Les juges majoritaires de la Cour d’appel ont rejeté l’appel. Elles étaient d’avis que les motifs du juge du procès, dans le contexte de l’ensemble de la preuve, montraient que le juge était conscient des contradictions dans la preuve et qu’il en avait tenu compte, qu’il ne croyait pas l’accusé et que l’infraction d’agression sexuelle avait été établie hors de tout doute raisonnable sur le fondement du témoignage de la plaignante. Le juge Berger, dissident, était d’avis d’accueillir l’appel, d’annuler la déclaration de culpabilité et d’y substituer un acquittement. À son avis, le verdict était entaché d’importantes erreurs de fait et de droit et était déraisonnable.</w:t>
      </w:r>
    </w:p>
    <w:p w:rsidR="000B5E4B" w:rsidRDefault="009C02F9" w:rsidP="000B5E4B">
      <w:pPr>
        <w:widowControl w:val="0"/>
        <w:jc w:val="both"/>
        <w:rPr>
          <w:lang w:val="fr-CA"/>
        </w:rPr>
      </w:pPr>
      <w:r>
        <w:rPr>
          <w:sz w:val="20"/>
          <w:szCs w:val="20"/>
          <w:lang w:val="fr-CA"/>
        </w:rPr>
        <w:pict>
          <v:rect id="_x0000_i1061" style="width:2in;height:1pt" o:hrpct="0" o:hralign="center" o:hrstd="t" o:hrnoshade="t" o:hr="t" fillcolor="black [3213]" stroked="f"/>
        </w:pict>
      </w:r>
    </w:p>
    <w:p w:rsidR="002516D6" w:rsidRPr="000B5E4B" w:rsidRDefault="002516D6" w:rsidP="00782AE4">
      <w:pPr>
        <w:jc w:val="both"/>
        <w:rPr>
          <w:sz w:val="20"/>
          <w:szCs w:val="20"/>
          <w:lang w:val="fr-CA"/>
        </w:rPr>
      </w:pPr>
    </w:p>
    <w:p w:rsidR="008913A3" w:rsidRPr="000B5E4B" w:rsidRDefault="008913A3" w:rsidP="00782AE4">
      <w:pPr>
        <w:jc w:val="both"/>
        <w:rPr>
          <w:sz w:val="20"/>
          <w:szCs w:val="20"/>
          <w:lang w:val="fr-CA"/>
        </w:rPr>
      </w:pPr>
    </w:p>
    <w:p w:rsidR="008913A3" w:rsidRPr="000B5E4B" w:rsidRDefault="008913A3" w:rsidP="00782AE4">
      <w:pPr>
        <w:jc w:val="both"/>
        <w:rPr>
          <w:sz w:val="20"/>
          <w:szCs w:val="20"/>
          <w:lang w:val="fr-CA"/>
        </w:rPr>
        <w:sectPr w:rsidR="008913A3" w:rsidRPr="000B5E4B" w:rsidSect="005F263E">
          <w:headerReference w:type="default" r:id="rId36"/>
          <w:footerReference w:type="default" r:id="rId37"/>
          <w:headerReference w:type="first" r:id="rId38"/>
          <w:footerReference w:type="first" r:id="rId39"/>
          <w:pgSz w:w="12240" w:h="15840"/>
          <w:pgMar w:top="720" w:right="965" w:bottom="1080" w:left="1656" w:header="720" w:footer="965" w:gutter="0"/>
          <w:cols w:space="720"/>
          <w:titlePg/>
          <w:docGrid w:linePitch="326"/>
        </w:sectPr>
      </w:pPr>
    </w:p>
    <w:bookmarkStart w:id="5" w:name="QuickMark"/>
    <w:bookmarkEnd w:id="5"/>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13595D" w:rsidRPr="002E0C7E" w:rsidRDefault="0013595D" w:rsidP="0013595D">
      <w:pPr>
        <w:widowControl w:val="0"/>
        <w:spacing w:line="180" w:lineRule="auto"/>
        <w:rPr>
          <w:rFonts w:asciiTheme="minorHAnsi" w:hAnsiTheme="minorHAnsi" w:cstheme="minorHAnsi"/>
          <w:szCs w:val="24"/>
        </w:rPr>
      </w:pPr>
    </w:p>
    <w:p w:rsidR="0013595D" w:rsidRPr="00C01FCB" w:rsidRDefault="0013595D" w:rsidP="00C01FCB">
      <w:pPr>
        <w:widowControl w:val="0"/>
        <w:tabs>
          <w:tab w:val="center" w:pos="5400"/>
          <w:tab w:val="right" w:pos="10440"/>
        </w:tabs>
        <w:jc w:val="center"/>
        <w:rPr>
          <w:rFonts w:ascii="Arial" w:hAnsi="Arial"/>
          <w:sz w:val="36"/>
          <w:szCs w:val="36"/>
        </w:rPr>
      </w:pPr>
      <w:r w:rsidRPr="00C01FCB">
        <w:rPr>
          <w:rFonts w:ascii="Arial" w:hAnsi="Arial"/>
          <w:i/>
          <w:sz w:val="36"/>
          <w:szCs w:val="36"/>
        </w:rPr>
        <w:t xml:space="preserve">- </w:t>
      </w:r>
      <w:r w:rsidRPr="00C01FCB">
        <w:rPr>
          <w:rFonts w:ascii="Arial" w:hAnsi="Arial"/>
          <w:b/>
          <w:i/>
          <w:sz w:val="36"/>
          <w:szCs w:val="36"/>
        </w:rPr>
        <w:t>201</w:t>
      </w:r>
      <w:r w:rsidR="007E6F25">
        <w:rPr>
          <w:rFonts w:ascii="Arial" w:hAnsi="Arial"/>
          <w:b/>
          <w:i/>
          <w:sz w:val="36"/>
          <w:szCs w:val="36"/>
        </w:rPr>
        <w:t>7</w:t>
      </w:r>
      <w:r w:rsidRPr="00C01FCB">
        <w:rPr>
          <w:rFonts w:ascii="Arial" w:hAnsi="Arial"/>
          <w:i/>
          <w:sz w:val="36"/>
          <w:szCs w:val="36"/>
        </w:rPr>
        <w:t xml:space="preserve"> </w:t>
      </w:r>
      <w:r w:rsidR="00C01FCB" w:rsidRPr="00C01FCB">
        <w:rPr>
          <w:rFonts w:ascii="Arial" w:hAnsi="Arial"/>
          <w:i/>
          <w:sz w:val="36"/>
          <w:szCs w:val="36"/>
        </w:rPr>
        <w:t>-</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4"/>
        <w:gridCol w:w="478"/>
        <w:gridCol w:w="476"/>
        <w:gridCol w:w="475"/>
        <w:gridCol w:w="477"/>
        <w:gridCol w:w="475"/>
        <w:gridCol w:w="481"/>
        <w:gridCol w:w="287"/>
        <w:gridCol w:w="475"/>
        <w:gridCol w:w="477"/>
        <w:gridCol w:w="477"/>
        <w:gridCol w:w="477"/>
        <w:gridCol w:w="477"/>
        <w:gridCol w:w="477"/>
        <w:gridCol w:w="479"/>
        <w:gridCol w:w="293"/>
        <w:gridCol w:w="468"/>
        <w:gridCol w:w="468"/>
        <w:gridCol w:w="475"/>
        <w:gridCol w:w="470"/>
        <w:gridCol w:w="473"/>
        <w:gridCol w:w="473"/>
        <w:gridCol w:w="466"/>
      </w:tblGrid>
      <w:tr w:rsidR="007E6F25" w:rsidRPr="001A011F" w:rsidTr="00690B8B">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690B8B">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690B8B">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DECEMBER – DÉCEMBRE</w:t>
            </w:r>
          </w:p>
        </w:tc>
      </w:tr>
      <w:tr w:rsidR="007E6F25" w:rsidRPr="00256B02" w:rsidTr="00690B8B">
        <w:trPr>
          <w:trHeight w:val="216"/>
        </w:trPr>
        <w:tc>
          <w:tcPr>
            <w:tcW w:w="225" w:type="pct"/>
            <w:tcBorders>
              <w:top w:val="double" w:sz="6" w:space="0" w:color="auto"/>
              <w:left w:val="double" w:sz="6" w:space="0" w:color="auto"/>
              <w:bottom w:val="single" w:sz="4" w:space="0" w:color="000000" w:themeColor="text1"/>
            </w:tcBorders>
            <w:tcMar>
              <w:bottom w:w="43" w:type="dxa"/>
            </w:tcMar>
            <w:vAlign w:val="center"/>
          </w:tcPr>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7" w:type="pct"/>
            <w:tcBorders>
              <w:top w:val="double" w:sz="6" w:space="0" w:color="auto"/>
              <w:bottom w:val="single" w:sz="4" w:space="0" w:color="auto"/>
            </w:tcBorders>
            <w:tcMar>
              <w:bottom w:w="43" w:type="dxa"/>
            </w:tcMar>
            <w:vAlign w:val="center"/>
          </w:tcPr>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bottom w:val="single" w:sz="4" w:space="0" w:color="auto"/>
            </w:tcBorders>
            <w:tcMar>
              <w:bottom w:w="43" w:type="dxa"/>
            </w:tcMar>
            <w:vAlign w:val="center"/>
          </w:tcPr>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7" w:type="pct"/>
            <w:tcBorders>
              <w:top w:val="double" w:sz="6" w:space="0" w:color="auto"/>
              <w:right w:val="double" w:sz="6" w:space="0" w:color="auto"/>
            </w:tcBorders>
            <w:tcMar>
              <w:bottom w:w="43" w:type="dxa"/>
            </w:tcMar>
            <w:vAlign w:val="center"/>
          </w:tcPr>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bottom w:w="43" w:type="dxa"/>
            </w:tcMar>
            <w:vAlign w:val="center"/>
          </w:tcPr>
          <w:p w:rsidR="007E6F25" w:rsidRPr="001A011F" w:rsidRDefault="007E6F25" w:rsidP="00690B8B">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tcBorders>
            <w:tcMar>
              <w:bottom w:w="43" w:type="dxa"/>
            </w:tcMar>
            <w:vAlign w:val="center"/>
          </w:tcPr>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6" w:type="pct"/>
            <w:tcBorders>
              <w:top w:val="double" w:sz="6" w:space="0" w:color="auto"/>
            </w:tcBorders>
            <w:tcMar>
              <w:bottom w:w="43" w:type="dxa"/>
            </w:tcMar>
            <w:vAlign w:val="center"/>
          </w:tcPr>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6" w:type="pct"/>
            <w:tcBorders>
              <w:top w:val="double" w:sz="6" w:space="0" w:color="auto"/>
            </w:tcBorders>
            <w:tcMar>
              <w:bottom w:w="43" w:type="dxa"/>
            </w:tcMar>
            <w:vAlign w:val="center"/>
          </w:tcPr>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6" w:type="pct"/>
            <w:tcBorders>
              <w:top w:val="double" w:sz="6" w:space="0" w:color="auto"/>
              <w:right w:val="double" w:sz="6" w:space="0" w:color="auto"/>
            </w:tcBorders>
            <w:tcMar>
              <w:bottom w:w="43" w:type="dxa"/>
            </w:tcMar>
            <w:vAlign w:val="center"/>
          </w:tcPr>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bottom w:w="43" w:type="dxa"/>
            </w:tcMar>
            <w:vAlign w:val="center"/>
          </w:tcPr>
          <w:p w:rsidR="007E6F25" w:rsidRPr="001A011F" w:rsidRDefault="007E6F25" w:rsidP="00690B8B">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tcBorders>
            <w:tcMar>
              <w:bottom w:w="43" w:type="dxa"/>
            </w:tcMar>
            <w:vAlign w:val="center"/>
          </w:tcPr>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2" w:type="pct"/>
            <w:tcBorders>
              <w:top w:val="double" w:sz="6" w:space="0" w:color="auto"/>
            </w:tcBorders>
            <w:tcMar>
              <w:bottom w:w="43" w:type="dxa"/>
            </w:tcMar>
            <w:vAlign w:val="center"/>
          </w:tcPr>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5" w:type="pct"/>
            <w:tcBorders>
              <w:top w:val="double" w:sz="6" w:space="0" w:color="auto"/>
            </w:tcBorders>
            <w:tcMar>
              <w:bottom w:w="43" w:type="dxa"/>
            </w:tcMar>
            <w:vAlign w:val="center"/>
          </w:tcPr>
          <w:p w:rsidR="007E6F25" w:rsidRPr="001A011F" w:rsidRDefault="007E6F25" w:rsidP="00690B8B">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4" w:type="pct"/>
            <w:tcBorders>
              <w:top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4" w:type="pct"/>
            <w:tcBorders>
              <w:top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1" w:type="pct"/>
            <w:tcBorders>
              <w:top w:val="double" w:sz="6" w:space="0" w:color="auto"/>
              <w:right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690B8B">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800AD6" w:rsidRDefault="007E6F25" w:rsidP="00690B8B">
            <w:pPr>
              <w:jc w:val="center"/>
              <w:rPr>
                <w:rFonts w:ascii="Arial" w:hAnsi="Arial" w:cs="Arial"/>
                <w:b/>
                <w:sz w:val="13"/>
                <w:szCs w:val="13"/>
              </w:rPr>
            </w:pPr>
          </w:p>
          <w:p w:rsidR="007E6F25" w:rsidRPr="00C33804" w:rsidRDefault="007E6F25" w:rsidP="00690B8B">
            <w:pPr>
              <w:jc w:val="center"/>
              <w:rPr>
                <w:rFonts w:ascii="Arial" w:hAnsi="Arial" w:cs="Arial"/>
                <w:sz w:val="13"/>
                <w:szCs w:val="13"/>
              </w:rPr>
            </w:pPr>
            <w:r>
              <w:rPr>
                <w:rFonts w:ascii="Arial" w:hAnsi="Arial" w:cs="Arial"/>
                <w:sz w:val="13"/>
                <w:szCs w:val="13"/>
              </w:rPr>
              <w:t>2</w:t>
            </w:r>
          </w:p>
        </w:tc>
        <w:tc>
          <w:tcPr>
            <w:tcW w:w="226" w:type="pct"/>
            <w:tcBorders>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6</w:t>
            </w:r>
          </w:p>
        </w:tc>
        <w:tc>
          <w:tcPr>
            <w:tcW w:w="227" w:type="pct"/>
            <w:tcBorders>
              <w:left w:val="single" w:sz="4" w:space="0" w:color="000000" w:themeColor="text1"/>
              <w:right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7</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690B8B">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690B8B">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690B8B">
            <w:pPr>
              <w:jc w:val="center"/>
              <w:rPr>
                <w:rFonts w:ascii="Arial" w:hAnsi="Arial" w:cs="Arial"/>
                <w:sz w:val="13"/>
                <w:szCs w:val="13"/>
              </w:rPr>
            </w:pP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3</w:t>
            </w:r>
          </w:p>
        </w:tc>
        <w:tc>
          <w:tcPr>
            <w:tcW w:w="226" w:type="pct"/>
            <w:tcBorders>
              <w:bottom w:val="single" w:sz="4" w:space="0" w:color="auto"/>
              <w:right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690B8B">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p>
        </w:tc>
        <w:tc>
          <w:tcPr>
            <w:tcW w:w="222" w:type="pct"/>
            <w:tcMar>
              <w:bottom w:w="43" w:type="dxa"/>
            </w:tcMar>
            <w:vAlign w:val="bottom"/>
          </w:tcPr>
          <w:p w:rsidR="007E6F25" w:rsidRPr="00C33804" w:rsidRDefault="007E6F25" w:rsidP="00690B8B">
            <w:pPr>
              <w:jc w:val="center"/>
              <w:rPr>
                <w:rFonts w:ascii="Arial" w:hAnsi="Arial" w:cs="Arial"/>
                <w:sz w:val="13"/>
                <w:szCs w:val="13"/>
              </w:rPr>
            </w:pPr>
          </w:p>
        </w:tc>
        <w:tc>
          <w:tcPr>
            <w:tcW w:w="225" w:type="pct"/>
            <w:tcMar>
              <w:bottom w:w="43" w:type="dxa"/>
            </w:tcMar>
            <w:vAlign w:val="bottom"/>
          </w:tcPr>
          <w:p w:rsidR="007E6F25" w:rsidRPr="00C33804" w:rsidRDefault="007E6F25" w:rsidP="00690B8B">
            <w:pPr>
              <w:jc w:val="center"/>
              <w:rPr>
                <w:rFonts w:ascii="Arial" w:hAnsi="Arial" w:cs="Arial"/>
                <w:sz w:val="13"/>
                <w:szCs w:val="13"/>
              </w:rPr>
            </w:pPr>
          </w:p>
        </w:tc>
        <w:tc>
          <w:tcPr>
            <w:tcW w:w="223" w:type="pct"/>
            <w:tcMar>
              <w:bottom w:w="43" w:type="dxa"/>
            </w:tcMar>
            <w:vAlign w:val="bottom"/>
          </w:tcPr>
          <w:p w:rsidR="007E6F25" w:rsidRPr="00C33804" w:rsidRDefault="007E6F25" w:rsidP="00690B8B">
            <w:pPr>
              <w:jc w:val="center"/>
              <w:rPr>
                <w:rFonts w:ascii="Arial" w:hAnsi="Arial" w:cs="Arial"/>
                <w:sz w:val="13"/>
                <w:szCs w:val="13"/>
              </w:rPr>
            </w:pPr>
          </w:p>
        </w:tc>
        <w:tc>
          <w:tcPr>
            <w:tcW w:w="224" w:type="pct"/>
            <w:tcMar>
              <w:bottom w:w="43" w:type="dxa"/>
            </w:tcMar>
            <w:vAlign w:val="bottom"/>
          </w:tcPr>
          <w:p w:rsidR="007E6F25" w:rsidRPr="00C33804" w:rsidRDefault="007E6F25" w:rsidP="00690B8B">
            <w:pPr>
              <w:jc w:val="center"/>
              <w:rPr>
                <w:rFonts w:ascii="Arial" w:hAnsi="Arial" w:cs="Arial"/>
                <w:sz w:val="13"/>
                <w:szCs w:val="13"/>
              </w:rPr>
            </w:pPr>
          </w:p>
        </w:tc>
        <w:tc>
          <w:tcPr>
            <w:tcW w:w="224" w:type="pct"/>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w:t>
            </w:r>
          </w:p>
        </w:tc>
        <w:tc>
          <w:tcPr>
            <w:tcW w:w="221" w:type="pct"/>
            <w:tcBorders>
              <w:right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w:t>
            </w:r>
          </w:p>
        </w:tc>
      </w:tr>
      <w:tr w:rsidR="007E6F25" w:rsidRPr="00C33804" w:rsidTr="00690B8B">
        <w:trPr>
          <w:trHeight w:val="346"/>
        </w:trPr>
        <w:tc>
          <w:tcPr>
            <w:tcW w:w="225" w:type="pct"/>
            <w:tcBorders>
              <w:top w:val="single" w:sz="4" w:space="0" w:color="000000" w:themeColor="text1"/>
              <w:left w:val="double" w:sz="6" w:space="0" w:color="auto"/>
              <w:right w:val="double" w:sz="6" w:space="0" w:color="auto"/>
            </w:tcBorders>
            <w:shd w:val="clear" w:color="auto" w:fill="auto"/>
            <w:tcMar>
              <w:bottom w:w="43" w:type="dxa"/>
            </w:tcMar>
            <w:vAlign w:val="bottom"/>
          </w:tcPr>
          <w:p w:rsidR="007E6F25" w:rsidRPr="00CB2402" w:rsidRDefault="007E6F25" w:rsidP="00690B8B">
            <w:pPr>
              <w:jc w:val="center"/>
              <w:rPr>
                <w:rFonts w:ascii="Arial" w:hAnsi="Arial" w:cs="Arial"/>
                <w:sz w:val="13"/>
                <w:szCs w:val="13"/>
              </w:rPr>
            </w:pPr>
            <w:r w:rsidRPr="00CB2402">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690B8B">
            <w:pPr>
              <w:jc w:val="center"/>
              <w:rPr>
                <w:rFonts w:ascii="Arial" w:hAnsi="Arial" w:cs="Arial"/>
                <w:b/>
                <w:sz w:val="13"/>
                <w:szCs w:val="13"/>
              </w:rPr>
            </w:pPr>
            <w:r w:rsidRPr="00CB2402">
              <w:rPr>
                <w:rFonts w:ascii="Arial" w:hAnsi="Arial" w:cs="Arial"/>
                <w:b/>
                <w:sz w:val="13"/>
                <w:szCs w:val="13"/>
              </w:rPr>
              <w:t>H</w:t>
            </w:r>
          </w:p>
          <w:p w:rsidR="007E6F25" w:rsidRPr="00CB2402" w:rsidRDefault="007E6F25" w:rsidP="00690B8B">
            <w:pPr>
              <w:jc w:val="center"/>
              <w:rPr>
                <w:rFonts w:ascii="Arial" w:hAnsi="Arial" w:cs="Arial"/>
                <w:sz w:val="13"/>
                <w:szCs w:val="13"/>
              </w:rPr>
            </w:pPr>
            <w:r w:rsidRPr="00CB2402">
              <w:rPr>
                <w:rFonts w:ascii="Arial" w:hAnsi="Arial" w:cs="Arial"/>
                <w:sz w:val="13"/>
                <w:szCs w:val="13"/>
              </w:rPr>
              <w:t>9</w:t>
            </w:r>
          </w:p>
        </w:tc>
        <w:tc>
          <w:tcPr>
            <w:tcW w:w="226" w:type="pct"/>
            <w:tcBorders>
              <w:top w:val="single" w:sz="4" w:space="0" w:color="000000" w:themeColor="text1"/>
              <w:left w:val="double" w:sz="6" w:space="0" w:color="auto"/>
              <w:bottom w:val="single" w:sz="4" w:space="0" w:color="000000" w:themeColor="text1"/>
            </w:tcBorders>
            <w:shd w:val="clear" w:color="auto" w:fill="BFBFBF" w:themeFill="background1" w:themeFillShade="BF"/>
            <w:tcMar>
              <w:bottom w:w="43" w:type="dxa"/>
            </w:tcMar>
            <w:vAlign w:val="bottom"/>
          </w:tcPr>
          <w:p w:rsidR="007E6F25" w:rsidRPr="00CB2402" w:rsidRDefault="007E6F25" w:rsidP="00690B8B">
            <w:pPr>
              <w:jc w:val="center"/>
              <w:rPr>
                <w:rFonts w:ascii="Arial" w:hAnsi="Arial" w:cs="Arial"/>
                <w:sz w:val="13"/>
                <w:szCs w:val="13"/>
              </w:rPr>
            </w:pPr>
            <w:r w:rsidRPr="00CB2402">
              <w:rPr>
                <w:rFonts w:ascii="Arial" w:hAnsi="Arial" w:cs="Arial"/>
                <w:sz w:val="13"/>
                <w:szCs w:val="13"/>
              </w:rPr>
              <w:t>10</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B2402" w:rsidRDefault="007E6F25" w:rsidP="00690B8B">
            <w:pPr>
              <w:jc w:val="center"/>
              <w:rPr>
                <w:rFonts w:ascii="Arial" w:hAnsi="Arial" w:cs="Arial"/>
                <w:sz w:val="13"/>
                <w:szCs w:val="13"/>
              </w:rPr>
            </w:pPr>
            <w:r w:rsidRPr="00CB2402">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13</w:t>
            </w:r>
          </w:p>
        </w:tc>
        <w:tc>
          <w:tcPr>
            <w:tcW w:w="227" w:type="pct"/>
            <w:tcBorders>
              <w:right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14</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690B8B">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b/>
                <w:sz w:val="13"/>
                <w:szCs w:val="13"/>
              </w:rPr>
              <w:t>6</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B2402" w:rsidRDefault="007E6F25" w:rsidP="00690B8B">
            <w:pPr>
              <w:jc w:val="center"/>
              <w:rPr>
                <w:rFonts w:ascii="Arial" w:hAnsi="Arial" w:cs="Arial"/>
                <w:sz w:val="13"/>
                <w:szCs w:val="13"/>
              </w:rPr>
            </w:pPr>
            <w:r w:rsidRPr="00CB2402">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bottom w:w="43" w:type="dxa"/>
            </w:tcMar>
            <w:vAlign w:val="bottom"/>
          </w:tcPr>
          <w:p w:rsidR="007E6F25" w:rsidRPr="00CB2402" w:rsidRDefault="007E6F25" w:rsidP="00690B8B">
            <w:pPr>
              <w:jc w:val="center"/>
              <w:rPr>
                <w:rFonts w:ascii="Arial" w:hAnsi="Arial" w:cs="Arial"/>
                <w:sz w:val="13"/>
                <w:szCs w:val="13"/>
              </w:rPr>
            </w:pPr>
            <w:r w:rsidRPr="00CB2402">
              <w:rPr>
                <w:rFonts w:ascii="Arial" w:hAnsi="Arial" w:cs="Arial"/>
                <w:sz w:val="13"/>
                <w:szCs w:val="13"/>
              </w:rPr>
              <w:t>11</w:t>
            </w:r>
          </w:p>
        </w:tc>
        <w:tc>
          <w:tcPr>
            <w:tcW w:w="139" w:type="pct"/>
            <w:tcBorders>
              <w:top w:val="nil"/>
              <w:left w:val="double" w:sz="6" w:space="0" w:color="auto"/>
              <w:bottom w:val="nil"/>
              <w:right w:val="double" w:sz="6" w:space="0" w:color="auto"/>
            </w:tcBorders>
            <w:tcMar>
              <w:bottom w:w="43" w:type="dxa"/>
            </w:tcMar>
            <w:vAlign w:val="bottom"/>
          </w:tcPr>
          <w:p w:rsidR="007E6F25" w:rsidRPr="00CB2402" w:rsidRDefault="007E6F25" w:rsidP="00690B8B">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3</w:t>
            </w:r>
          </w:p>
        </w:tc>
        <w:tc>
          <w:tcPr>
            <w:tcW w:w="222" w:type="pct"/>
            <w:tcBorders>
              <w:bottom w:val="single" w:sz="4" w:space="0" w:color="auto"/>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4</w:t>
            </w:r>
          </w:p>
        </w:tc>
        <w:tc>
          <w:tcPr>
            <w:tcW w:w="225"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6</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7</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8</w:t>
            </w:r>
          </w:p>
        </w:tc>
        <w:tc>
          <w:tcPr>
            <w:tcW w:w="221" w:type="pct"/>
            <w:tcBorders>
              <w:right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9</w:t>
            </w:r>
          </w:p>
        </w:tc>
      </w:tr>
      <w:tr w:rsidR="007E6F25" w:rsidRPr="00C33804" w:rsidTr="00690B8B">
        <w:trPr>
          <w:trHeight w:val="346"/>
        </w:trPr>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15</w:t>
            </w:r>
          </w:p>
        </w:tc>
        <w:tc>
          <w:tcPr>
            <w:tcW w:w="227"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20</w:t>
            </w:r>
          </w:p>
        </w:tc>
        <w:tc>
          <w:tcPr>
            <w:tcW w:w="227" w:type="pct"/>
            <w:tcBorders>
              <w:right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690B8B">
            <w:pPr>
              <w:tabs>
                <w:tab w:val="center" w:pos="5220"/>
                <w:tab w:val="right" w:pos="10440"/>
              </w:tabs>
              <w:jc w:val="center"/>
              <w:rPr>
                <w:rFonts w:ascii="Arial" w:hAnsi="Arial" w:cs="Arial"/>
                <w:sz w:val="13"/>
                <w:szCs w:val="13"/>
              </w:rPr>
            </w:pPr>
          </w:p>
        </w:tc>
        <w:tc>
          <w:tcPr>
            <w:tcW w:w="225" w:type="pct"/>
            <w:tcBorders>
              <w:left w:val="double" w:sz="6" w:space="0" w:color="auto"/>
              <w:right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Default="007E6F25" w:rsidP="00690B8B">
            <w:pPr>
              <w:jc w:val="center"/>
              <w:rPr>
                <w:rFonts w:ascii="Arial" w:hAnsi="Arial" w:cs="Arial"/>
                <w:b/>
                <w:sz w:val="13"/>
                <w:szCs w:val="13"/>
              </w:rPr>
            </w:pPr>
            <w:r>
              <w:rPr>
                <w:rFonts w:ascii="Arial" w:hAnsi="Arial" w:cs="Arial"/>
                <w:b/>
                <w:sz w:val="13"/>
                <w:szCs w:val="13"/>
              </w:rPr>
              <w:t>H</w:t>
            </w:r>
          </w:p>
          <w:p w:rsidR="007E6F25" w:rsidRPr="00C33804" w:rsidRDefault="007E6F25" w:rsidP="00690B8B">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double" w:sz="6" w:space="0" w:color="auto"/>
              <w:bottom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17</w:t>
            </w:r>
          </w:p>
        </w:tc>
        <w:tc>
          <w:tcPr>
            <w:tcW w:w="226" w:type="pct"/>
            <w:tcBorders>
              <w:top w:val="single" w:sz="4" w:space="0" w:color="auto"/>
              <w:right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18</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690B8B">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1D41E3" w:rsidRDefault="007E6F25" w:rsidP="00690B8B">
            <w:pPr>
              <w:jc w:val="center"/>
              <w:rPr>
                <w:rFonts w:ascii="Arial" w:hAnsi="Arial" w:cs="Arial"/>
                <w:sz w:val="13"/>
                <w:szCs w:val="13"/>
              </w:rPr>
            </w:pPr>
            <w:r w:rsidRPr="001D41E3">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7E6F25" w:rsidRPr="001D41E3" w:rsidRDefault="007E6F25" w:rsidP="00690B8B">
            <w:pPr>
              <w:jc w:val="center"/>
              <w:rPr>
                <w:rFonts w:ascii="Arial" w:hAnsi="Arial" w:cs="Arial"/>
                <w:sz w:val="13"/>
                <w:szCs w:val="13"/>
              </w:rPr>
            </w:pPr>
            <w:r w:rsidRPr="001D41E3">
              <w:rPr>
                <w:rFonts w:ascii="Arial" w:hAnsi="Arial" w:cs="Arial"/>
                <w:sz w:val="13"/>
                <w:szCs w:val="13"/>
              </w:rPr>
              <w:t>11</w:t>
            </w:r>
          </w:p>
        </w:tc>
        <w:tc>
          <w:tcPr>
            <w:tcW w:w="225"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12</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13</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14</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15</w:t>
            </w:r>
          </w:p>
        </w:tc>
        <w:tc>
          <w:tcPr>
            <w:tcW w:w="221" w:type="pct"/>
            <w:tcBorders>
              <w:right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16</w:t>
            </w:r>
          </w:p>
        </w:tc>
      </w:tr>
      <w:tr w:rsidR="007E6F25" w:rsidRPr="00C33804" w:rsidTr="00690B8B">
        <w:trPr>
          <w:trHeight w:val="346"/>
        </w:trPr>
        <w:tc>
          <w:tcPr>
            <w:tcW w:w="225" w:type="pct"/>
            <w:tcBorders>
              <w:left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27</w:t>
            </w:r>
          </w:p>
        </w:tc>
        <w:tc>
          <w:tcPr>
            <w:tcW w:w="227" w:type="pct"/>
            <w:tcBorders>
              <w:right w:val="double" w:sz="6" w:space="0" w:color="auto"/>
            </w:tcBorders>
            <w:shd w:val="clear" w:color="auto" w:fill="FFFFFF" w:themeFill="background1"/>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690B8B">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19</w:t>
            </w:r>
          </w:p>
        </w:tc>
        <w:tc>
          <w:tcPr>
            <w:tcW w:w="226" w:type="pct"/>
            <w:tcBorders>
              <w:top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23</w:t>
            </w:r>
          </w:p>
        </w:tc>
        <w:tc>
          <w:tcPr>
            <w:tcW w:w="226" w:type="pct"/>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24</w:t>
            </w:r>
          </w:p>
        </w:tc>
        <w:tc>
          <w:tcPr>
            <w:tcW w:w="226" w:type="pct"/>
            <w:tcBorders>
              <w:right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25</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690B8B">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18</w:t>
            </w:r>
          </w:p>
        </w:tc>
        <w:tc>
          <w:tcPr>
            <w:tcW w:w="225" w:type="pct"/>
            <w:tcBorders>
              <w:left w:val="single" w:sz="4" w:space="0" w:color="000000" w:themeColor="text1"/>
              <w:bottom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19</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20</w:t>
            </w:r>
          </w:p>
        </w:tc>
        <w:tc>
          <w:tcPr>
            <w:tcW w:w="224" w:type="pct"/>
            <w:tcBorders>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22</w:t>
            </w:r>
          </w:p>
        </w:tc>
        <w:tc>
          <w:tcPr>
            <w:tcW w:w="221" w:type="pct"/>
            <w:tcBorders>
              <w:left w:val="single" w:sz="4" w:space="0" w:color="000000" w:themeColor="text1"/>
              <w:right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23</w:t>
            </w:r>
          </w:p>
        </w:tc>
      </w:tr>
      <w:tr w:rsidR="007E6F25" w:rsidRPr="00C33804" w:rsidTr="00690B8B">
        <w:trPr>
          <w:trHeight w:val="346"/>
        </w:trPr>
        <w:tc>
          <w:tcPr>
            <w:tcW w:w="225" w:type="pct"/>
            <w:tcBorders>
              <w:left w:val="double" w:sz="6" w:space="0" w:color="auto"/>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sidRPr="001D41E3">
              <w:rPr>
                <w:rFonts w:ascii="Arial" w:hAnsi="Arial" w:cs="Arial"/>
                <w:sz w:val="13"/>
                <w:szCs w:val="13"/>
              </w:rPr>
              <w:t>30</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31</w:t>
            </w:r>
          </w:p>
        </w:tc>
        <w:tc>
          <w:tcPr>
            <w:tcW w:w="225" w:type="pct"/>
            <w:tcBorders>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p>
        </w:tc>
        <w:tc>
          <w:tcPr>
            <w:tcW w:w="225" w:type="pct"/>
            <w:tcBorders>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p>
        </w:tc>
        <w:tc>
          <w:tcPr>
            <w:tcW w:w="227" w:type="pct"/>
            <w:tcBorders>
              <w:bottom w:val="double" w:sz="6" w:space="0" w:color="auto"/>
              <w:right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690B8B">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690B8B">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double" w:sz="6" w:space="0" w:color="auto"/>
            </w:tcBorders>
            <w:tcMar>
              <w:bottom w:w="43" w:type="dxa"/>
            </w:tcMar>
            <w:vAlign w:val="bottom"/>
          </w:tcPr>
          <w:p w:rsidR="007E6F25" w:rsidRPr="00CB2402" w:rsidRDefault="007E6F25" w:rsidP="00690B8B">
            <w:pPr>
              <w:rPr>
                <w:rFonts w:ascii="Arial" w:hAnsi="Arial" w:cs="Arial"/>
                <w:sz w:val="13"/>
                <w:szCs w:val="13"/>
              </w:rPr>
            </w:pPr>
            <w:r w:rsidRPr="00CB2402">
              <w:rPr>
                <w:rFonts w:ascii="Arial" w:hAnsi="Arial" w:cs="Arial"/>
                <w:sz w:val="13"/>
                <w:szCs w:val="13"/>
              </w:rPr>
              <w:t xml:space="preserve"> 24 /</w:t>
            </w:r>
          </w:p>
          <w:p w:rsidR="007E6F25" w:rsidRPr="00CB2402" w:rsidRDefault="007E6F25" w:rsidP="00690B8B">
            <w:pPr>
              <w:jc w:val="center"/>
              <w:rPr>
                <w:rFonts w:ascii="Arial" w:hAnsi="Arial" w:cs="Arial"/>
                <w:sz w:val="13"/>
                <w:szCs w:val="13"/>
              </w:rPr>
            </w:pPr>
            <w:r w:rsidRPr="00CB2402">
              <w:rPr>
                <w:rFonts w:ascii="Arial" w:hAnsi="Arial" w:cs="Arial"/>
                <w:sz w:val="13"/>
                <w:szCs w:val="13"/>
              </w:rPr>
              <w:t xml:space="preserve">     </w:t>
            </w:r>
            <w:r>
              <w:rPr>
                <w:rFonts w:ascii="Arial" w:hAnsi="Arial" w:cs="Arial"/>
                <w:sz w:val="13"/>
                <w:szCs w:val="13"/>
              </w:rPr>
              <w:t xml:space="preserve"> </w:t>
            </w:r>
            <w:r w:rsidRPr="00CB2402">
              <w:rPr>
                <w:rFonts w:ascii="Arial" w:hAnsi="Arial" w:cs="Arial"/>
                <w:sz w:val="13"/>
                <w:szCs w:val="13"/>
              </w:rPr>
              <w:t>31</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690B8B">
            <w:pPr>
              <w:jc w:val="center"/>
              <w:rPr>
                <w:rFonts w:ascii="Arial" w:hAnsi="Arial" w:cs="Arial"/>
                <w:b/>
                <w:sz w:val="13"/>
                <w:szCs w:val="13"/>
              </w:rPr>
            </w:pPr>
            <w:r w:rsidRPr="00CB2402">
              <w:rPr>
                <w:rFonts w:ascii="Arial" w:hAnsi="Arial" w:cs="Arial"/>
                <w:b/>
                <w:sz w:val="13"/>
                <w:szCs w:val="13"/>
              </w:rPr>
              <w:t>H</w:t>
            </w:r>
          </w:p>
          <w:p w:rsidR="007E6F25" w:rsidRPr="00CB2402" w:rsidRDefault="007E6F25" w:rsidP="00690B8B">
            <w:pPr>
              <w:jc w:val="center"/>
              <w:rPr>
                <w:rFonts w:ascii="Arial" w:hAnsi="Arial" w:cs="Arial"/>
                <w:sz w:val="13"/>
                <w:szCs w:val="13"/>
              </w:rPr>
            </w:pPr>
            <w:r w:rsidRPr="00CB2402">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690B8B">
            <w:pPr>
              <w:jc w:val="center"/>
              <w:rPr>
                <w:rFonts w:ascii="Arial" w:hAnsi="Arial" w:cs="Arial"/>
                <w:b/>
                <w:sz w:val="13"/>
                <w:szCs w:val="13"/>
              </w:rPr>
            </w:pPr>
            <w:r w:rsidRPr="00CB2402">
              <w:rPr>
                <w:rFonts w:ascii="Arial" w:hAnsi="Arial" w:cs="Arial"/>
                <w:b/>
                <w:sz w:val="13"/>
                <w:szCs w:val="13"/>
              </w:rPr>
              <w:t>H</w:t>
            </w:r>
          </w:p>
          <w:p w:rsidR="007E6F25" w:rsidRPr="00CB2402" w:rsidRDefault="007E6F25" w:rsidP="00690B8B">
            <w:pPr>
              <w:jc w:val="center"/>
              <w:rPr>
                <w:rFonts w:ascii="Arial" w:hAnsi="Arial" w:cs="Arial"/>
                <w:sz w:val="13"/>
                <w:szCs w:val="13"/>
              </w:rPr>
            </w:pPr>
            <w:r w:rsidRPr="00CB2402">
              <w:rPr>
                <w:rFonts w:ascii="Arial" w:hAnsi="Arial" w:cs="Arial"/>
                <w:sz w:val="13"/>
                <w:szCs w:val="13"/>
              </w:rPr>
              <w:t>26</w:t>
            </w:r>
          </w:p>
        </w:tc>
        <w:tc>
          <w:tcPr>
            <w:tcW w:w="223" w:type="pct"/>
            <w:tcBorders>
              <w:top w:val="single" w:sz="4" w:space="0" w:color="000000" w:themeColor="text1"/>
              <w:left w:val="double" w:sz="6" w:space="0" w:color="auto"/>
              <w:bottom w:val="double" w:sz="6" w:space="0" w:color="auto"/>
            </w:tcBorders>
            <w:shd w:val="clear" w:color="auto" w:fill="auto"/>
            <w:tcMar>
              <w:bottom w:w="43" w:type="dxa"/>
            </w:tcMar>
            <w:vAlign w:val="bottom"/>
          </w:tcPr>
          <w:p w:rsidR="007E6F25" w:rsidRPr="00CB2402" w:rsidRDefault="007E6F25" w:rsidP="00690B8B">
            <w:pPr>
              <w:jc w:val="center"/>
              <w:rPr>
                <w:rFonts w:ascii="Arial" w:hAnsi="Arial" w:cs="Arial"/>
                <w:sz w:val="13"/>
                <w:szCs w:val="13"/>
              </w:rPr>
            </w:pPr>
            <w:r w:rsidRPr="00CB2402">
              <w:rPr>
                <w:rFonts w:ascii="Arial" w:hAnsi="Arial" w:cs="Arial"/>
                <w:sz w:val="13"/>
                <w:szCs w:val="13"/>
              </w:rPr>
              <w:t>27</w:t>
            </w:r>
          </w:p>
        </w:tc>
        <w:tc>
          <w:tcPr>
            <w:tcW w:w="224" w:type="pct"/>
            <w:tcBorders>
              <w:top w:val="single" w:sz="4" w:space="0" w:color="000000" w:themeColor="text1"/>
              <w:bottom w:val="double" w:sz="6" w:space="0" w:color="auto"/>
              <w:right w:val="single" w:sz="4" w:space="0" w:color="auto"/>
            </w:tcBorders>
            <w:shd w:val="clear" w:color="auto" w:fill="auto"/>
            <w:tcMar>
              <w:bottom w:w="43" w:type="dxa"/>
            </w:tcMar>
            <w:vAlign w:val="bottom"/>
          </w:tcPr>
          <w:p w:rsidR="007E6F25" w:rsidRPr="00CB2402" w:rsidRDefault="007E6F25" w:rsidP="00690B8B">
            <w:pPr>
              <w:jc w:val="center"/>
              <w:rPr>
                <w:rFonts w:ascii="Arial" w:hAnsi="Arial" w:cs="Arial"/>
                <w:sz w:val="13"/>
                <w:szCs w:val="13"/>
              </w:rPr>
            </w:pPr>
            <w:r w:rsidRPr="00CB2402">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7E6F25" w:rsidRPr="001D41E3" w:rsidRDefault="007E6F25" w:rsidP="00690B8B">
            <w:pPr>
              <w:jc w:val="center"/>
              <w:rPr>
                <w:rFonts w:ascii="Arial" w:hAnsi="Arial" w:cs="Arial"/>
                <w:sz w:val="13"/>
                <w:szCs w:val="13"/>
              </w:rPr>
            </w:pPr>
            <w:r w:rsidRPr="001D41E3">
              <w:rPr>
                <w:rFonts w:ascii="Arial" w:hAnsi="Arial" w:cs="Arial"/>
                <w:sz w:val="13"/>
                <w:szCs w:val="13"/>
              </w:rPr>
              <w:t>29</w:t>
            </w:r>
          </w:p>
        </w:tc>
        <w:tc>
          <w:tcPr>
            <w:tcW w:w="221" w:type="pct"/>
            <w:tcBorders>
              <w:left w:val="single" w:sz="4" w:space="0" w:color="auto"/>
              <w:bottom w:val="double" w:sz="6" w:space="0" w:color="auto"/>
              <w:right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30</w:t>
            </w:r>
          </w:p>
        </w:tc>
      </w:tr>
    </w:tbl>
    <w:p w:rsidR="0013595D" w:rsidRPr="00D36093" w:rsidRDefault="0013595D" w:rsidP="0013595D">
      <w:pPr>
        <w:tabs>
          <w:tab w:val="center" w:pos="5220"/>
          <w:tab w:val="right" w:pos="10440"/>
        </w:tabs>
        <w:jc w:val="center"/>
        <w:rPr>
          <w:rFonts w:ascii="Arial" w:hAnsi="Arial" w:cs="Arial"/>
          <w:sz w:val="36"/>
          <w:szCs w:val="36"/>
        </w:rPr>
      </w:pPr>
      <w:r w:rsidRPr="00D36093">
        <w:rPr>
          <w:rFonts w:ascii="Arial" w:hAnsi="Arial" w:cs="Arial"/>
          <w:b/>
          <w:i/>
          <w:sz w:val="36"/>
          <w:szCs w:val="36"/>
        </w:rPr>
        <w:t xml:space="preserve"> - 201</w:t>
      </w:r>
      <w:r w:rsidR="007E6F25">
        <w:rPr>
          <w:rFonts w:ascii="Arial" w:hAnsi="Arial" w:cs="Arial"/>
          <w:b/>
          <w:i/>
          <w:sz w:val="36"/>
          <w:szCs w:val="36"/>
        </w:rPr>
        <w:t>8</w:t>
      </w:r>
      <w:r w:rsidRPr="00D36093">
        <w:rPr>
          <w:rFonts w:ascii="Arial" w:hAnsi="Arial" w:cs="Arial"/>
          <w:b/>
          <w:i/>
          <w:sz w:val="36"/>
          <w:szCs w:val="36"/>
        </w:rPr>
        <w:t xml:space="preserve"> -</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7"/>
        <w:gridCol w:w="477"/>
        <w:gridCol w:w="479"/>
        <w:gridCol w:w="477"/>
        <w:gridCol w:w="479"/>
        <w:gridCol w:w="477"/>
        <w:gridCol w:w="483"/>
        <w:gridCol w:w="289"/>
        <w:gridCol w:w="475"/>
        <w:gridCol w:w="477"/>
        <w:gridCol w:w="477"/>
        <w:gridCol w:w="477"/>
        <w:gridCol w:w="477"/>
        <w:gridCol w:w="477"/>
        <w:gridCol w:w="479"/>
        <w:gridCol w:w="293"/>
        <w:gridCol w:w="468"/>
        <w:gridCol w:w="468"/>
        <w:gridCol w:w="470"/>
        <w:gridCol w:w="468"/>
        <w:gridCol w:w="470"/>
        <w:gridCol w:w="468"/>
        <w:gridCol w:w="466"/>
      </w:tblGrid>
      <w:tr w:rsidR="007E6F25" w:rsidRPr="00256B02" w:rsidTr="007E6F25">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 xml:space="preserve">MARCH </w:t>
            </w:r>
            <w:r>
              <w:rPr>
                <w:rFonts w:ascii="Arial" w:hAnsi="Arial" w:cs="Arial"/>
                <w:b/>
                <w:sz w:val="13"/>
                <w:szCs w:val="13"/>
              </w:rPr>
              <w:t>–</w:t>
            </w:r>
            <w:r w:rsidRPr="00256B02">
              <w:rPr>
                <w:rFonts w:ascii="Arial" w:hAnsi="Arial" w:cs="Arial"/>
                <w:b/>
                <w:sz w:val="13"/>
                <w:szCs w:val="13"/>
              </w:rPr>
              <w:t xml:space="preserve"> MARS</w:t>
            </w:r>
          </w:p>
        </w:tc>
      </w:tr>
      <w:tr w:rsidR="007E6F25" w:rsidRPr="00256B02" w:rsidTr="00690B8B">
        <w:trPr>
          <w:trHeight w:val="216"/>
        </w:trPr>
        <w:tc>
          <w:tcPr>
            <w:tcW w:w="226" w:type="pct"/>
            <w:tcBorders>
              <w:top w:val="double" w:sz="6" w:space="0" w:color="auto"/>
              <w:left w:val="double" w:sz="6" w:space="0" w:color="auto"/>
              <w:bottom w:val="single" w:sz="4" w:space="0" w:color="000000" w:themeColor="text1"/>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bottom w:val="single" w:sz="4"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690B8B">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bottom w:w="43" w:type="dxa"/>
            </w:tcMar>
            <w:vAlign w:val="bottom"/>
          </w:tcPr>
          <w:p w:rsidR="007E6F25" w:rsidRPr="00C33804" w:rsidRDefault="007E6F25" w:rsidP="00690B8B">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bottom w:w="43" w:type="dxa"/>
            </w:tcMar>
            <w:vAlign w:val="bottom"/>
          </w:tcPr>
          <w:p w:rsidR="007E6F25" w:rsidRPr="00800AD6" w:rsidRDefault="007E6F25" w:rsidP="00690B8B">
            <w:pPr>
              <w:jc w:val="center"/>
              <w:rPr>
                <w:rFonts w:ascii="Arial" w:hAnsi="Arial" w:cs="Arial"/>
                <w:b/>
                <w:sz w:val="13"/>
                <w:szCs w:val="13"/>
              </w:rPr>
            </w:pPr>
            <w:r w:rsidRPr="00800AD6">
              <w:rPr>
                <w:rFonts w:ascii="Arial" w:hAnsi="Arial" w:cs="Arial"/>
                <w:b/>
                <w:sz w:val="13"/>
                <w:szCs w:val="13"/>
              </w:rPr>
              <w:t>H</w:t>
            </w:r>
          </w:p>
          <w:p w:rsidR="007E6F25" w:rsidRPr="00C33804" w:rsidRDefault="007E6F25" w:rsidP="00690B8B">
            <w:pPr>
              <w:jc w:val="center"/>
              <w:rPr>
                <w:rFonts w:ascii="Arial" w:hAnsi="Arial" w:cs="Arial"/>
                <w:sz w:val="13"/>
                <w:szCs w:val="13"/>
              </w:rPr>
            </w:pPr>
            <w:r>
              <w:rPr>
                <w:rFonts w:ascii="Arial" w:hAnsi="Arial" w:cs="Arial"/>
                <w:sz w:val="13"/>
                <w:szCs w:val="13"/>
              </w:rPr>
              <w:t>1</w:t>
            </w:r>
          </w:p>
        </w:tc>
        <w:tc>
          <w:tcPr>
            <w:tcW w:w="227" w:type="pct"/>
            <w:tcBorders>
              <w:left w:val="doub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5</w:t>
            </w:r>
          </w:p>
        </w:tc>
        <w:tc>
          <w:tcPr>
            <w:tcW w:w="228" w:type="pct"/>
            <w:tcBorders>
              <w:left w:val="single" w:sz="4" w:space="0" w:color="000000" w:themeColor="text1"/>
              <w:right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6</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690B8B">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690B8B">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690B8B">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690B8B">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w:t>
            </w:r>
          </w:p>
        </w:tc>
        <w:tc>
          <w:tcPr>
            <w:tcW w:w="226" w:type="pct"/>
            <w:tcBorders>
              <w:right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3</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690B8B">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p>
        </w:tc>
        <w:tc>
          <w:tcPr>
            <w:tcW w:w="222" w:type="pct"/>
            <w:tcMar>
              <w:bottom w:w="43" w:type="dxa"/>
            </w:tcMar>
            <w:vAlign w:val="bottom"/>
          </w:tcPr>
          <w:p w:rsidR="007E6F25" w:rsidRPr="00C33804" w:rsidRDefault="007E6F25" w:rsidP="00690B8B">
            <w:pPr>
              <w:jc w:val="center"/>
              <w:rPr>
                <w:rFonts w:ascii="Arial" w:hAnsi="Arial" w:cs="Arial"/>
                <w:sz w:val="13"/>
                <w:szCs w:val="13"/>
              </w:rPr>
            </w:pPr>
          </w:p>
        </w:tc>
        <w:tc>
          <w:tcPr>
            <w:tcW w:w="223" w:type="pct"/>
            <w:tcMar>
              <w:bottom w:w="43" w:type="dxa"/>
            </w:tcMar>
            <w:vAlign w:val="bottom"/>
          </w:tcPr>
          <w:p w:rsidR="007E6F25" w:rsidRPr="00C33804" w:rsidRDefault="007E6F25" w:rsidP="00690B8B">
            <w:pPr>
              <w:jc w:val="center"/>
              <w:rPr>
                <w:rFonts w:ascii="Arial" w:hAnsi="Arial" w:cs="Arial"/>
                <w:sz w:val="13"/>
                <w:szCs w:val="13"/>
              </w:rPr>
            </w:pPr>
          </w:p>
        </w:tc>
        <w:tc>
          <w:tcPr>
            <w:tcW w:w="222" w:type="pct"/>
            <w:tcMar>
              <w:bottom w:w="43" w:type="dxa"/>
            </w:tcMar>
            <w:vAlign w:val="bottom"/>
          </w:tcPr>
          <w:p w:rsidR="007E6F25" w:rsidRPr="00C33804" w:rsidRDefault="007E6F25" w:rsidP="00690B8B">
            <w:pPr>
              <w:jc w:val="center"/>
              <w:rPr>
                <w:rFonts w:ascii="Arial" w:hAnsi="Arial" w:cs="Arial"/>
                <w:sz w:val="13"/>
                <w:szCs w:val="13"/>
              </w:rPr>
            </w:pPr>
          </w:p>
        </w:tc>
        <w:tc>
          <w:tcPr>
            <w:tcW w:w="223" w:type="pct"/>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w:t>
            </w:r>
          </w:p>
        </w:tc>
        <w:tc>
          <w:tcPr>
            <w:tcW w:w="222" w:type="pct"/>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w:t>
            </w:r>
          </w:p>
        </w:tc>
        <w:tc>
          <w:tcPr>
            <w:tcW w:w="223" w:type="pct"/>
            <w:tcBorders>
              <w:right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3</w:t>
            </w:r>
          </w:p>
        </w:tc>
      </w:tr>
      <w:tr w:rsidR="007E6F25" w:rsidRPr="00C33804" w:rsidTr="00690B8B">
        <w:trPr>
          <w:trHeight w:val="346"/>
        </w:trPr>
        <w:tc>
          <w:tcPr>
            <w:tcW w:w="226" w:type="pct"/>
            <w:tcBorders>
              <w:top w:val="single" w:sz="4" w:space="0" w:color="000000" w:themeColor="text1"/>
              <w:left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7</w:t>
            </w:r>
          </w:p>
        </w:tc>
        <w:tc>
          <w:tcPr>
            <w:tcW w:w="226" w:type="pct"/>
            <w:tcBorders>
              <w:top w:val="doub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8</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10</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12</w:t>
            </w:r>
          </w:p>
        </w:tc>
        <w:tc>
          <w:tcPr>
            <w:tcW w:w="228" w:type="pct"/>
            <w:tcBorders>
              <w:right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13</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690B8B">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5</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9</w:t>
            </w:r>
          </w:p>
        </w:tc>
        <w:tc>
          <w:tcPr>
            <w:tcW w:w="226" w:type="pct"/>
            <w:tcBorders>
              <w:right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10</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690B8B">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4</w:t>
            </w:r>
          </w:p>
        </w:tc>
        <w:tc>
          <w:tcPr>
            <w:tcW w:w="222" w:type="pct"/>
            <w:tcBorders>
              <w:bottom w:val="single" w:sz="4"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6</w:t>
            </w:r>
          </w:p>
        </w:tc>
        <w:tc>
          <w:tcPr>
            <w:tcW w:w="222" w:type="pct"/>
            <w:tcBorders>
              <w:bottom w:val="single" w:sz="4" w:space="0" w:color="000000" w:themeColor="text1"/>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7</w:t>
            </w:r>
          </w:p>
        </w:tc>
        <w:tc>
          <w:tcPr>
            <w:tcW w:w="223" w:type="pct"/>
            <w:tcBorders>
              <w:bottom w:val="single" w:sz="4" w:space="0" w:color="000000" w:themeColor="text1"/>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8</w:t>
            </w:r>
          </w:p>
        </w:tc>
        <w:tc>
          <w:tcPr>
            <w:tcW w:w="222" w:type="pct"/>
            <w:tcBorders>
              <w:bottom w:val="single" w:sz="4" w:space="0" w:color="000000" w:themeColor="text1"/>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9</w:t>
            </w:r>
          </w:p>
        </w:tc>
        <w:tc>
          <w:tcPr>
            <w:tcW w:w="223" w:type="pct"/>
            <w:tcBorders>
              <w:right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10</w:t>
            </w:r>
          </w:p>
        </w:tc>
      </w:tr>
      <w:tr w:rsidR="007E6F25" w:rsidRPr="00C33804" w:rsidTr="00690B8B">
        <w:trPr>
          <w:trHeight w:val="346"/>
        </w:trPr>
        <w:tc>
          <w:tcPr>
            <w:tcW w:w="226"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19</w:t>
            </w:r>
          </w:p>
        </w:tc>
        <w:tc>
          <w:tcPr>
            <w:tcW w:w="228" w:type="pct"/>
            <w:tcBorders>
              <w:right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690B8B">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16</w:t>
            </w:r>
          </w:p>
        </w:tc>
        <w:tc>
          <w:tcPr>
            <w:tcW w:w="226" w:type="pct"/>
            <w:tcBorders>
              <w:right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17</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690B8B">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12</w:t>
            </w:r>
          </w:p>
        </w:tc>
        <w:tc>
          <w:tcPr>
            <w:tcW w:w="223"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13</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14</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15</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16</w:t>
            </w:r>
          </w:p>
        </w:tc>
        <w:tc>
          <w:tcPr>
            <w:tcW w:w="223" w:type="pct"/>
            <w:tcBorders>
              <w:right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17</w:t>
            </w:r>
          </w:p>
        </w:tc>
      </w:tr>
      <w:tr w:rsidR="007E6F25" w:rsidRPr="00C33804" w:rsidTr="00690B8B">
        <w:trPr>
          <w:trHeight w:val="346"/>
        </w:trPr>
        <w:tc>
          <w:tcPr>
            <w:tcW w:w="226" w:type="pct"/>
            <w:tcBorders>
              <w:left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24</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26</w:t>
            </w:r>
          </w:p>
        </w:tc>
        <w:tc>
          <w:tcPr>
            <w:tcW w:w="228" w:type="pct"/>
            <w:tcBorders>
              <w:right w:val="double" w:sz="6" w:space="0" w:color="auto"/>
            </w:tcBorders>
            <w:shd w:val="clear" w:color="auto" w:fill="FFFFFF" w:themeFill="background1"/>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690B8B">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19</w:t>
            </w:r>
          </w:p>
        </w:tc>
        <w:tc>
          <w:tcPr>
            <w:tcW w:w="226" w:type="pct"/>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23</w:t>
            </w:r>
          </w:p>
        </w:tc>
        <w:tc>
          <w:tcPr>
            <w:tcW w:w="226" w:type="pct"/>
            <w:tcBorders>
              <w:right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690B8B">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19</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20</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21</w:t>
            </w:r>
          </w:p>
        </w:tc>
        <w:tc>
          <w:tcPr>
            <w:tcW w:w="223" w:type="pct"/>
            <w:tcBorders>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23</w:t>
            </w:r>
          </w:p>
        </w:tc>
        <w:tc>
          <w:tcPr>
            <w:tcW w:w="223" w:type="pct"/>
            <w:tcBorders>
              <w:left w:val="single" w:sz="4" w:space="0" w:color="000000" w:themeColor="text1"/>
              <w:right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24</w:t>
            </w:r>
          </w:p>
        </w:tc>
      </w:tr>
      <w:tr w:rsidR="007E6F25" w:rsidRPr="00C33804" w:rsidTr="00690B8B">
        <w:trPr>
          <w:trHeight w:val="346"/>
        </w:trPr>
        <w:tc>
          <w:tcPr>
            <w:tcW w:w="226" w:type="pct"/>
            <w:tcBorders>
              <w:left w:val="double" w:sz="6" w:space="0" w:color="auto"/>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31</w:t>
            </w:r>
          </w:p>
        </w:tc>
        <w:tc>
          <w:tcPr>
            <w:tcW w:w="227" w:type="pct"/>
            <w:tcBorders>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p>
        </w:tc>
        <w:tc>
          <w:tcPr>
            <w:tcW w:w="228" w:type="pct"/>
            <w:tcBorders>
              <w:bottom w:val="double" w:sz="6" w:space="0" w:color="auto"/>
              <w:right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690B8B">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25</w:t>
            </w:r>
          </w:p>
        </w:tc>
        <w:tc>
          <w:tcPr>
            <w:tcW w:w="226" w:type="pct"/>
            <w:tcBorders>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690B8B">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28</w:t>
            </w:r>
          </w:p>
        </w:tc>
        <w:tc>
          <w:tcPr>
            <w:tcW w:w="223" w:type="pct"/>
            <w:tcBorders>
              <w:top w:val="single" w:sz="4" w:space="0" w:color="000000" w:themeColor="text1"/>
              <w:bottom w:val="double" w:sz="6" w:space="0" w:color="auto"/>
              <w:right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4A406E" w:rsidRDefault="007E6F25" w:rsidP="00690B8B">
            <w:pPr>
              <w:jc w:val="center"/>
              <w:rPr>
                <w:rFonts w:ascii="Arial" w:hAnsi="Arial" w:cs="Arial"/>
                <w:b/>
                <w:sz w:val="13"/>
                <w:szCs w:val="13"/>
              </w:rPr>
            </w:pPr>
            <w:r w:rsidRPr="004A406E">
              <w:rPr>
                <w:rFonts w:ascii="Arial" w:hAnsi="Arial" w:cs="Arial"/>
                <w:b/>
                <w:sz w:val="13"/>
                <w:szCs w:val="13"/>
              </w:rPr>
              <w:t>H</w:t>
            </w:r>
          </w:p>
          <w:p w:rsidR="007E6F25" w:rsidRPr="00C33804" w:rsidRDefault="007E6F25" w:rsidP="00690B8B">
            <w:pPr>
              <w:jc w:val="center"/>
              <w:rPr>
                <w:rFonts w:ascii="Arial" w:hAnsi="Arial" w:cs="Arial"/>
                <w:sz w:val="13"/>
                <w:szCs w:val="13"/>
              </w:rPr>
            </w:pPr>
            <w:r>
              <w:rPr>
                <w:rFonts w:ascii="Arial" w:hAnsi="Arial" w:cs="Arial"/>
                <w:sz w:val="13"/>
                <w:szCs w:val="13"/>
              </w:rPr>
              <w:t>30</w:t>
            </w:r>
          </w:p>
        </w:tc>
        <w:tc>
          <w:tcPr>
            <w:tcW w:w="223" w:type="pct"/>
            <w:tcBorders>
              <w:left w:val="double" w:sz="6" w:space="0" w:color="auto"/>
              <w:bottom w:val="double" w:sz="6" w:space="0" w:color="auto"/>
              <w:right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31</w:t>
            </w:r>
          </w:p>
        </w:tc>
      </w:tr>
      <w:tr w:rsidR="007E6F25" w:rsidRPr="00256B02" w:rsidTr="007E6F25">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JUNE – JUIN</w:t>
            </w:r>
          </w:p>
        </w:tc>
      </w:tr>
      <w:tr w:rsidR="007E6F25" w:rsidRPr="00256B02" w:rsidTr="00690B8B">
        <w:trPr>
          <w:trHeight w:val="216"/>
        </w:trPr>
        <w:tc>
          <w:tcPr>
            <w:tcW w:w="226" w:type="pct"/>
            <w:tcBorders>
              <w:top w:val="double" w:sz="6" w:space="0" w:color="auto"/>
              <w:left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90B8B">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690B8B">
        <w:trPr>
          <w:trHeight w:val="346"/>
        </w:trPr>
        <w:tc>
          <w:tcPr>
            <w:tcW w:w="226" w:type="pct"/>
            <w:tcBorders>
              <w:left w:val="double" w:sz="6" w:space="0" w:color="auto"/>
              <w:right w:val="double" w:sz="4"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7E6F25" w:rsidRPr="00800AD6" w:rsidRDefault="007E6F25" w:rsidP="00690B8B">
            <w:pPr>
              <w:jc w:val="center"/>
              <w:rPr>
                <w:rFonts w:ascii="Arial" w:hAnsi="Arial" w:cs="Arial"/>
                <w:b/>
                <w:sz w:val="13"/>
                <w:szCs w:val="13"/>
              </w:rPr>
            </w:pPr>
            <w:r w:rsidRPr="00800AD6">
              <w:rPr>
                <w:rFonts w:ascii="Arial" w:hAnsi="Arial" w:cs="Arial"/>
                <w:b/>
                <w:sz w:val="13"/>
                <w:szCs w:val="13"/>
              </w:rPr>
              <w:t>H</w:t>
            </w:r>
          </w:p>
          <w:p w:rsidR="007E6F25" w:rsidRPr="00C33804" w:rsidRDefault="007E6F25" w:rsidP="00690B8B">
            <w:pPr>
              <w:jc w:val="center"/>
              <w:rPr>
                <w:rFonts w:ascii="Arial" w:hAnsi="Arial" w:cs="Arial"/>
                <w:sz w:val="13"/>
                <w:szCs w:val="13"/>
              </w:rPr>
            </w:pPr>
            <w:r>
              <w:rPr>
                <w:rFonts w:ascii="Arial" w:hAnsi="Arial" w:cs="Arial"/>
                <w:sz w:val="13"/>
                <w:szCs w:val="13"/>
              </w:rPr>
              <w:t>2</w:t>
            </w:r>
          </w:p>
        </w:tc>
        <w:tc>
          <w:tcPr>
            <w:tcW w:w="227" w:type="pct"/>
            <w:tcBorders>
              <w:left w:val="double" w:sz="4" w:space="0" w:color="auto"/>
              <w:bottom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4</w:t>
            </w:r>
          </w:p>
        </w:tc>
        <w:tc>
          <w:tcPr>
            <w:tcW w:w="227" w:type="pct"/>
            <w:tcBorders>
              <w:bottom w:val="single" w:sz="4" w:space="0" w:color="000000" w:themeColor="text1"/>
              <w:right w:val="single" w:sz="4"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6</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7</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690B8B">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4</w:t>
            </w:r>
          </w:p>
        </w:tc>
        <w:tc>
          <w:tcPr>
            <w:tcW w:w="226" w:type="pct"/>
            <w:tcBorders>
              <w:right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690B8B">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p>
        </w:tc>
        <w:tc>
          <w:tcPr>
            <w:tcW w:w="222" w:type="pct"/>
            <w:tcBorders>
              <w:bottom w:val="single" w:sz="4" w:space="0" w:color="auto"/>
            </w:tcBorders>
            <w:shd w:val="clear" w:color="auto" w:fill="FFFFFF" w:themeFill="background1"/>
            <w:tcMar>
              <w:bottom w:w="43" w:type="dxa"/>
            </w:tcMar>
            <w:vAlign w:val="bottom"/>
          </w:tcPr>
          <w:p w:rsidR="007E6F25" w:rsidRPr="00C33804" w:rsidRDefault="007E6F25" w:rsidP="00690B8B">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690B8B">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690B8B">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690B8B">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w:t>
            </w:r>
          </w:p>
        </w:tc>
        <w:tc>
          <w:tcPr>
            <w:tcW w:w="223" w:type="pct"/>
            <w:tcBorders>
              <w:right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w:t>
            </w:r>
          </w:p>
        </w:tc>
      </w:tr>
      <w:tr w:rsidR="007E6F25" w:rsidRPr="00C33804" w:rsidTr="00690B8B">
        <w:trPr>
          <w:trHeight w:val="346"/>
        </w:trPr>
        <w:tc>
          <w:tcPr>
            <w:tcW w:w="226" w:type="pct"/>
            <w:tcBorders>
              <w:left w:val="double" w:sz="6" w:space="0" w:color="auto"/>
              <w:right w:val="single" w:sz="4"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shd w:val="clear" w:color="auto" w:fill="auto"/>
            <w:tcMar>
              <w:bottom w:w="43" w:type="dxa"/>
            </w:tcMar>
            <w:vAlign w:val="bottom"/>
          </w:tcPr>
          <w:p w:rsidR="007E6F25" w:rsidRDefault="007E6F25" w:rsidP="00690B8B">
            <w:pPr>
              <w:jc w:val="center"/>
              <w:rPr>
                <w:rFonts w:ascii="Arial" w:hAnsi="Arial" w:cs="Arial"/>
                <w:sz w:val="13"/>
                <w:szCs w:val="13"/>
              </w:rPr>
            </w:pPr>
          </w:p>
          <w:p w:rsidR="007E6F25" w:rsidRPr="00C33804" w:rsidRDefault="007E6F25" w:rsidP="00690B8B">
            <w:pPr>
              <w:jc w:val="center"/>
              <w:rPr>
                <w:rFonts w:ascii="Arial" w:hAnsi="Arial" w:cs="Arial"/>
                <w:sz w:val="13"/>
                <w:szCs w:val="13"/>
              </w:rPr>
            </w:pPr>
            <w:r>
              <w:rPr>
                <w:rFonts w:ascii="Arial" w:hAnsi="Arial" w:cs="Arial"/>
                <w:sz w:val="13"/>
                <w:szCs w:val="13"/>
              </w:rPr>
              <w:t>9</w:t>
            </w:r>
          </w:p>
        </w:tc>
        <w:tc>
          <w:tcPr>
            <w:tcW w:w="227"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11</w:t>
            </w:r>
          </w:p>
        </w:tc>
        <w:tc>
          <w:tcPr>
            <w:tcW w:w="227" w:type="pct"/>
            <w:tcBorders>
              <w:bottom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12</w:t>
            </w:r>
          </w:p>
        </w:tc>
        <w:tc>
          <w:tcPr>
            <w:tcW w:w="226" w:type="pct"/>
            <w:tcBorders>
              <w:top w:val="single" w:sz="4" w:space="0" w:color="auto"/>
              <w:bottom w:val="single" w:sz="4"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13</w:t>
            </w:r>
          </w:p>
        </w:tc>
        <w:tc>
          <w:tcPr>
            <w:tcW w:w="228" w:type="pct"/>
            <w:tcBorders>
              <w:right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14</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690B8B">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11</w:t>
            </w:r>
          </w:p>
        </w:tc>
        <w:tc>
          <w:tcPr>
            <w:tcW w:w="226" w:type="pct"/>
            <w:tcBorders>
              <w:right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690B8B">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4</w:t>
            </w:r>
          </w:p>
        </w:tc>
        <w:tc>
          <w:tcPr>
            <w:tcW w:w="223" w:type="pct"/>
            <w:tcBorders>
              <w:left w:val="single" w:sz="4" w:space="0" w:color="auto"/>
              <w:bottom w:val="single" w:sz="4" w:space="0" w:color="000000" w:themeColor="text1"/>
            </w:tcBorders>
            <w:shd w:val="clear" w:color="auto" w:fill="FFFFFF" w:themeFill="background1"/>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5</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6</w:t>
            </w: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7</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8</w:t>
            </w:r>
          </w:p>
        </w:tc>
        <w:tc>
          <w:tcPr>
            <w:tcW w:w="223" w:type="pct"/>
            <w:tcBorders>
              <w:right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9</w:t>
            </w:r>
          </w:p>
        </w:tc>
      </w:tr>
      <w:tr w:rsidR="007E6F25" w:rsidRPr="00C33804" w:rsidTr="00690B8B">
        <w:trPr>
          <w:trHeight w:val="346"/>
        </w:trPr>
        <w:tc>
          <w:tcPr>
            <w:tcW w:w="226"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16</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18</w:t>
            </w:r>
          </w:p>
        </w:tc>
        <w:tc>
          <w:tcPr>
            <w:tcW w:w="227" w:type="pct"/>
            <w:tcBorders>
              <w:top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20</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21</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690B8B">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14</w:t>
            </w:r>
          </w:p>
        </w:tc>
        <w:tc>
          <w:tcPr>
            <w:tcW w:w="226"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15</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18</w:t>
            </w:r>
          </w:p>
        </w:tc>
        <w:tc>
          <w:tcPr>
            <w:tcW w:w="226" w:type="pct"/>
            <w:tcBorders>
              <w:right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690B8B">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11</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12</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13</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14</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15</w:t>
            </w:r>
          </w:p>
        </w:tc>
        <w:tc>
          <w:tcPr>
            <w:tcW w:w="223" w:type="pct"/>
            <w:tcBorders>
              <w:right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16</w:t>
            </w:r>
          </w:p>
        </w:tc>
      </w:tr>
      <w:tr w:rsidR="007E6F25" w:rsidRPr="00C33804" w:rsidTr="00690B8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23</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25</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26</w:t>
            </w:r>
          </w:p>
        </w:tc>
        <w:tc>
          <w:tcPr>
            <w:tcW w:w="226" w:type="pct"/>
            <w:tcBorders>
              <w:top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27</w:t>
            </w:r>
          </w:p>
        </w:tc>
        <w:tc>
          <w:tcPr>
            <w:tcW w:w="228" w:type="pct"/>
            <w:tcBorders>
              <w:right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28</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690B8B">
            <w:pPr>
              <w:tabs>
                <w:tab w:val="center" w:pos="5220"/>
                <w:tab w:val="right" w:pos="10440"/>
              </w:tabs>
              <w:jc w:val="center"/>
              <w:rPr>
                <w:rFonts w:ascii="Arial" w:hAnsi="Arial" w:cs="Arial"/>
                <w:sz w:val="13"/>
                <w:szCs w:val="13"/>
              </w:rPr>
            </w:pPr>
          </w:p>
        </w:tc>
        <w:tc>
          <w:tcPr>
            <w:tcW w:w="225" w:type="pct"/>
            <w:tcBorders>
              <w:left w:val="double" w:sz="6" w:space="0" w:color="auto"/>
              <w:right w:val="double" w:sz="4"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bottom w:w="43" w:type="dxa"/>
            </w:tcMar>
            <w:vAlign w:val="bottom"/>
          </w:tcPr>
          <w:p w:rsidR="007E6F25" w:rsidRPr="00800AD6" w:rsidRDefault="007E6F25" w:rsidP="00690B8B">
            <w:pPr>
              <w:jc w:val="center"/>
              <w:rPr>
                <w:rFonts w:ascii="Arial" w:hAnsi="Arial" w:cs="Arial"/>
                <w:b/>
                <w:sz w:val="13"/>
                <w:szCs w:val="13"/>
              </w:rPr>
            </w:pPr>
            <w:r w:rsidRPr="00800AD6">
              <w:rPr>
                <w:rFonts w:ascii="Arial" w:hAnsi="Arial" w:cs="Arial"/>
                <w:b/>
                <w:sz w:val="13"/>
                <w:szCs w:val="13"/>
              </w:rPr>
              <w:t>H</w:t>
            </w:r>
          </w:p>
          <w:p w:rsidR="007E6F25" w:rsidRPr="00C33804" w:rsidRDefault="007E6F25" w:rsidP="00690B8B">
            <w:pPr>
              <w:jc w:val="center"/>
              <w:rPr>
                <w:rFonts w:ascii="Arial" w:hAnsi="Arial" w:cs="Arial"/>
                <w:sz w:val="13"/>
                <w:szCs w:val="13"/>
              </w:rPr>
            </w:pPr>
            <w:r>
              <w:rPr>
                <w:rFonts w:ascii="Arial" w:hAnsi="Arial" w:cs="Arial"/>
                <w:sz w:val="13"/>
                <w:szCs w:val="13"/>
              </w:rPr>
              <w:t>21</w:t>
            </w:r>
          </w:p>
        </w:tc>
        <w:tc>
          <w:tcPr>
            <w:tcW w:w="226" w:type="pct"/>
            <w:tcBorders>
              <w:left w:val="double" w:sz="4" w:space="0" w:color="auto"/>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22</w:t>
            </w:r>
          </w:p>
        </w:tc>
        <w:tc>
          <w:tcPr>
            <w:tcW w:w="226" w:type="pct"/>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23</w:t>
            </w:r>
          </w:p>
        </w:tc>
        <w:tc>
          <w:tcPr>
            <w:tcW w:w="226" w:type="pct"/>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24</w:t>
            </w:r>
          </w:p>
        </w:tc>
        <w:tc>
          <w:tcPr>
            <w:tcW w:w="226" w:type="pct"/>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25</w:t>
            </w:r>
          </w:p>
        </w:tc>
        <w:tc>
          <w:tcPr>
            <w:tcW w:w="226" w:type="pct"/>
            <w:tcBorders>
              <w:right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690B8B">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tcBorders>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18</w:t>
            </w:r>
          </w:p>
        </w:tc>
        <w:tc>
          <w:tcPr>
            <w:tcW w:w="223" w:type="pct"/>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19</w:t>
            </w:r>
          </w:p>
        </w:tc>
        <w:tc>
          <w:tcPr>
            <w:tcW w:w="222" w:type="pct"/>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20</w:t>
            </w:r>
          </w:p>
        </w:tc>
        <w:tc>
          <w:tcPr>
            <w:tcW w:w="223" w:type="pct"/>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21</w:t>
            </w:r>
          </w:p>
        </w:tc>
        <w:tc>
          <w:tcPr>
            <w:tcW w:w="222" w:type="pct"/>
            <w:shd w:val="clear" w:color="auto" w:fill="BFBFBF" w:themeFill="background1" w:themeFillShade="BF"/>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22</w:t>
            </w:r>
          </w:p>
        </w:tc>
        <w:tc>
          <w:tcPr>
            <w:tcW w:w="223" w:type="pct"/>
            <w:tcBorders>
              <w:right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23</w:t>
            </w:r>
          </w:p>
        </w:tc>
      </w:tr>
      <w:tr w:rsidR="007E6F25" w:rsidRPr="00C33804" w:rsidTr="00690B8B">
        <w:trPr>
          <w:trHeight w:val="346"/>
        </w:trPr>
        <w:tc>
          <w:tcPr>
            <w:tcW w:w="226" w:type="pct"/>
            <w:tcBorders>
              <w:top w:val="single" w:sz="4" w:space="0" w:color="000000" w:themeColor="text1"/>
              <w:left w:val="double" w:sz="6" w:space="0" w:color="auto"/>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29</w:t>
            </w:r>
          </w:p>
        </w:tc>
        <w:tc>
          <w:tcPr>
            <w:tcW w:w="226" w:type="pct"/>
            <w:tcBorders>
              <w:top w:val="single" w:sz="4" w:space="0" w:color="auto"/>
              <w:bottom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30</w:t>
            </w: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690B8B">
            <w:pPr>
              <w:rPr>
                <w:rFonts w:ascii="Arial" w:hAnsi="Arial" w:cs="Arial"/>
                <w:sz w:val="13"/>
                <w:szCs w:val="13"/>
              </w:rPr>
            </w:pP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p>
        </w:tc>
        <w:tc>
          <w:tcPr>
            <w:tcW w:w="228" w:type="pct"/>
            <w:tcBorders>
              <w:bottom w:val="double" w:sz="6" w:space="0" w:color="auto"/>
              <w:right w:val="double" w:sz="6" w:space="0" w:color="auto"/>
            </w:tcBorders>
            <w:shd w:val="clear" w:color="auto" w:fill="auto"/>
            <w:tcMar>
              <w:bottom w:w="43" w:type="dxa"/>
            </w:tcMar>
            <w:vAlign w:val="bottom"/>
          </w:tcPr>
          <w:p w:rsidR="007E6F25" w:rsidRPr="00C33804" w:rsidRDefault="007E6F25" w:rsidP="00690B8B">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690B8B">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27</w:t>
            </w:r>
          </w:p>
        </w:tc>
        <w:tc>
          <w:tcPr>
            <w:tcW w:w="226" w:type="pct"/>
            <w:tcBorders>
              <w:top w:val="double" w:sz="4" w:space="0" w:color="auto"/>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31</w:t>
            </w:r>
          </w:p>
        </w:tc>
        <w:tc>
          <w:tcPr>
            <w:tcW w:w="226" w:type="pct"/>
            <w:tcBorders>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690B8B">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24</w:t>
            </w:r>
          </w:p>
        </w:tc>
        <w:tc>
          <w:tcPr>
            <w:tcW w:w="222" w:type="pct"/>
            <w:tcBorders>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25</w:t>
            </w:r>
          </w:p>
        </w:tc>
        <w:tc>
          <w:tcPr>
            <w:tcW w:w="223" w:type="pct"/>
            <w:tcBorders>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26</w:t>
            </w:r>
          </w:p>
        </w:tc>
        <w:tc>
          <w:tcPr>
            <w:tcW w:w="222" w:type="pct"/>
            <w:tcBorders>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27</w:t>
            </w:r>
          </w:p>
        </w:tc>
        <w:tc>
          <w:tcPr>
            <w:tcW w:w="223" w:type="pct"/>
            <w:tcBorders>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28</w:t>
            </w:r>
          </w:p>
        </w:tc>
        <w:tc>
          <w:tcPr>
            <w:tcW w:w="222" w:type="pct"/>
            <w:tcBorders>
              <w:bottom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29</w:t>
            </w:r>
          </w:p>
        </w:tc>
        <w:tc>
          <w:tcPr>
            <w:tcW w:w="223" w:type="pct"/>
            <w:tcBorders>
              <w:bottom w:val="double" w:sz="6" w:space="0" w:color="auto"/>
              <w:right w:val="double" w:sz="6" w:space="0" w:color="auto"/>
            </w:tcBorders>
            <w:tcMar>
              <w:bottom w:w="43" w:type="dxa"/>
            </w:tcMar>
            <w:vAlign w:val="bottom"/>
          </w:tcPr>
          <w:p w:rsidR="007E6F25" w:rsidRPr="00C33804" w:rsidRDefault="007E6F25" w:rsidP="00690B8B">
            <w:pPr>
              <w:jc w:val="center"/>
              <w:rPr>
                <w:rFonts w:ascii="Arial" w:hAnsi="Arial" w:cs="Arial"/>
                <w:sz w:val="13"/>
                <w:szCs w:val="13"/>
              </w:rPr>
            </w:pPr>
            <w:r>
              <w:rPr>
                <w:rFonts w:ascii="Arial" w:hAnsi="Arial" w:cs="Arial"/>
                <w:sz w:val="13"/>
                <w:szCs w:val="13"/>
              </w:rPr>
              <w:t>30</w:t>
            </w:r>
          </w:p>
        </w:tc>
      </w:tr>
    </w:tbl>
    <w:p w:rsidR="0013595D" w:rsidRPr="002E0C7E" w:rsidRDefault="0013595D" w:rsidP="0013595D">
      <w:pPr>
        <w:widowControl w:val="0"/>
        <w:tabs>
          <w:tab w:val="center" w:pos="5400"/>
          <w:tab w:val="right" w:pos="10440"/>
        </w:tabs>
        <w:rPr>
          <w:rFonts w:ascii="Arial" w:hAnsi="Arial"/>
          <w:sz w:val="18"/>
        </w:rPr>
      </w:pPr>
    </w:p>
    <w:p w:rsidR="0013595D" w:rsidRPr="002E0C7E"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2E0C7E"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2E0C7E" w:rsidRDefault="0013595D" w:rsidP="00E942C2">
            <w:pPr>
              <w:widowControl w:val="0"/>
              <w:rPr>
                <w:rFonts w:ascii="Arial" w:hAnsi="Arial"/>
                <w:sz w:val="16"/>
              </w:rPr>
            </w:pPr>
            <w:r>
              <w:rPr>
                <w:rFonts w:ascii="Arial" w:hAnsi="Arial"/>
                <w:sz w:val="16"/>
              </w:rPr>
              <w:t>Sittings of the C</w:t>
            </w:r>
            <w:r w:rsidRPr="002E0C7E">
              <w:rPr>
                <w:rFonts w:ascii="Arial" w:hAnsi="Arial"/>
                <w:sz w:val="16"/>
              </w:rPr>
              <w:t>ourt:</w:t>
            </w:r>
          </w:p>
          <w:p w:rsidR="0013595D" w:rsidRPr="002E0C7E" w:rsidRDefault="0013595D" w:rsidP="00E942C2">
            <w:pPr>
              <w:widowControl w:val="0"/>
              <w:rPr>
                <w:rFonts w:ascii="Arial" w:hAnsi="Arial"/>
                <w:sz w:val="16"/>
              </w:rPr>
            </w:pPr>
            <w:r>
              <w:rPr>
                <w:rFonts w:ascii="Arial" w:hAnsi="Arial"/>
                <w:sz w:val="16"/>
              </w:rPr>
              <w:t>Séances de la C</w:t>
            </w:r>
            <w:r w:rsidRPr="002E0C7E">
              <w:rPr>
                <w:rFonts w:ascii="Arial" w:hAnsi="Arial"/>
                <w:sz w:val="16"/>
              </w:rPr>
              <w:t>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2E0C7E" w:rsidRDefault="0013595D" w:rsidP="00E942C2">
            <w:pPr>
              <w:widowControl w:val="0"/>
              <w:rPr>
                <w:rFonts w:ascii="Arial" w:hAnsi="Arial"/>
                <w:sz w:val="16"/>
              </w:rPr>
            </w:pPr>
          </w:p>
          <w:p w:rsidR="0013595D" w:rsidRPr="002E0C7E"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8</w:t>
            </w:r>
            <w:r w:rsidR="007E6F25">
              <w:rPr>
                <w:rFonts w:ascii="Arial" w:hAnsi="Arial"/>
                <w:b/>
                <w:sz w:val="16"/>
                <w:lang w:val="fr-CA"/>
              </w:rPr>
              <w:t>8</w:t>
            </w:r>
            <w:r w:rsidRPr="00B058C3">
              <w:rPr>
                <w:rFonts w:ascii="Arial" w:hAnsi="Arial"/>
                <w:b/>
                <w:sz w:val="16"/>
                <w:lang w:val="fr-CA"/>
              </w:rPr>
              <w:t xml:space="preserve">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13595D" w:rsidRPr="002E0C7E" w:rsidRDefault="007E6F25"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Pr>
                <w:rFonts w:ascii="Arial" w:hAnsi="Arial"/>
                <w:b/>
                <w:sz w:val="16"/>
                <w:lang w:val="fr-CA"/>
              </w:rPr>
              <w:t>2</w:t>
            </w:r>
            <w:r w:rsidR="0013595D" w:rsidRPr="002E0C7E">
              <w:rPr>
                <w:rFonts w:ascii="Arial" w:hAnsi="Arial"/>
                <w:b/>
                <w:sz w:val="16"/>
              </w:rPr>
              <w:t xml:space="preserve">    holidays during sitting days</w:t>
            </w:r>
            <w:r w:rsidR="0013595D">
              <w:rPr>
                <w:rFonts w:ascii="Arial" w:hAnsi="Arial"/>
                <w:b/>
                <w:sz w:val="16"/>
              </w:rPr>
              <w:t xml:space="preserve"> </w:t>
            </w:r>
            <w:r w:rsidR="0013595D" w:rsidRPr="002E0C7E">
              <w:rPr>
                <w:rFonts w:ascii="Arial" w:hAnsi="Arial"/>
                <w:b/>
                <w:sz w:val="16"/>
              </w:rPr>
              <w:t xml:space="preserve">/ </w:t>
            </w:r>
            <w:proofErr w:type="spellStart"/>
            <w:r w:rsidR="0013595D" w:rsidRPr="002E0C7E">
              <w:rPr>
                <w:rFonts w:ascii="Arial" w:hAnsi="Arial"/>
                <w:b/>
                <w:sz w:val="16"/>
              </w:rPr>
              <w:t>jours</w:t>
            </w:r>
            <w:proofErr w:type="spellEnd"/>
            <w:r w:rsidR="0013595D" w:rsidRPr="002E0C7E">
              <w:rPr>
                <w:rFonts w:ascii="Arial" w:hAnsi="Arial"/>
                <w:b/>
                <w:sz w:val="16"/>
              </w:rPr>
              <w:t xml:space="preserve"> </w:t>
            </w:r>
            <w:proofErr w:type="spellStart"/>
            <w:r w:rsidR="0013595D" w:rsidRPr="002E0C7E">
              <w:rPr>
                <w:rFonts w:ascii="Arial" w:hAnsi="Arial"/>
                <w:b/>
                <w:sz w:val="16"/>
              </w:rPr>
              <w:t>fériés</w:t>
            </w:r>
            <w:proofErr w:type="spellEnd"/>
            <w:r w:rsidR="0013595D" w:rsidRPr="002E0C7E">
              <w:rPr>
                <w:rFonts w:ascii="Arial" w:hAnsi="Arial"/>
                <w:b/>
                <w:sz w:val="16"/>
              </w:rPr>
              <w:t xml:space="preserve"> </w:t>
            </w:r>
            <w:proofErr w:type="spellStart"/>
            <w:r w:rsidR="0013595D" w:rsidRPr="002E0C7E">
              <w:rPr>
                <w:rFonts w:ascii="Arial" w:hAnsi="Arial"/>
                <w:b/>
                <w:sz w:val="16"/>
              </w:rPr>
              <w:t>durant</w:t>
            </w:r>
            <w:proofErr w:type="spellEnd"/>
            <w:r w:rsidR="0013595D" w:rsidRPr="002E0C7E">
              <w:rPr>
                <w:rFonts w:ascii="Arial" w:hAnsi="Arial"/>
                <w:b/>
                <w:sz w:val="16"/>
              </w:rPr>
              <w:t xml:space="preserve"> les sessions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40"/>
      <w:footerReference w:type="default" r:id="rId41"/>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A35" w:rsidRDefault="00A83A35" w:rsidP="00A87207">
      <w:r>
        <w:separator/>
      </w:r>
    </w:p>
  </w:endnote>
  <w:endnote w:type="continuationSeparator" w:id="0">
    <w:p w:rsidR="00A83A35" w:rsidRDefault="00A83A35"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35" w:rsidRDefault="009C02F9" w:rsidP="00A87207">
    <w:pPr>
      <w:pStyle w:val="Footer"/>
    </w:pPr>
    <w:r>
      <w:pict>
        <v:rect id="_x0000_i1029" style="width:480.95pt;height:1pt" o:hralign="center" o:hrstd="t" o:hrnoshade="t" o:hr="t" fillcolor="black [3213]" stroked="f"/>
      </w:pict>
    </w:r>
  </w:p>
  <w:p w:rsidR="00A83A35" w:rsidRPr="00B7374B" w:rsidRDefault="00A83A3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35" w:rsidRDefault="009C02F9">
    <w:pPr>
      <w:pStyle w:val="Footer"/>
      <w:rPr>
        <w:lang w:val="fr-CA"/>
      </w:rPr>
    </w:pPr>
    <w:r>
      <w:rPr>
        <w:lang w:val="fr-CA"/>
      </w:rPr>
      <w:pict>
        <v:rect id="_x0000_i1039" style="width:480.95pt;height:1pt" o:hralign="center" o:hrstd="t" o:hrnoshade="t" o:hr="t" fillcolor="black [3213]" stroked="f"/>
      </w:pict>
    </w:r>
  </w:p>
  <w:p w:rsidR="00A83A35" w:rsidRDefault="00A83A35" w:rsidP="00EB2B90">
    <w:pPr>
      <w:tabs>
        <w:tab w:val="center" w:pos="4680"/>
      </w:tabs>
    </w:pPr>
    <w:r>
      <w:tab/>
      <w:t xml:space="preserve">- </w:t>
    </w:r>
    <w:r>
      <w:fldChar w:fldCharType="begin"/>
    </w:r>
    <w:r>
      <w:instrText xml:space="preserve"> PAGE   \* MERGEFORMAT </w:instrText>
    </w:r>
    <w:r>
      <w:fldChar w:fldCharType="separate"/>
    </w:r>
    <w:r w:rsidR="009C02F9">
      <w:rPr>
        <w:noProof/>
      </w:rPr>
      <w:t>80</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35" w:rsidRDefault="00A83A3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A83A35" w:rsidRDefault="00A83A3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A83A35" w:rsidRDefault="00A83A35">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35" w:rsidRDefault="009C02F9" w:rsidP="0022323B">
    <w:r>
      <w:pict>
        <v:rect id="_x0000_i1042" style="width:480.95pt;height:1pt" o:hralign="center" o:hrstd="t" o:hrnoshade="t" o:hr="t" fillcolor="black [3213]" stroked="f"/>
      </w:pict>
    </w:r>
  </w:p>
  <w:p w:rsidR="00A83A35" w:rsidRDefault="00A83A35">
    <w:pPr>
      <w:tabs>
        <w:tab w:val="center" w:pos="4740"/>
      </w:tabs>
      <w:spacing w:line="0" w:lineRule="atLeast"/>
    </w:pPr>
    <w:r>
      <w:tab/>
      <w:t xml:space="preserve">- </w:t>
    </w:r>
    <w:r>
      <w:fldChar w:fldCharType="begin"/>
    </w:r>
    <w:r>
      <w:instrText xml:space="preserve"> PAGE   \* MERGEFORMAT </w:instrText>
    </w:r>
    <w:r>
      <w:fldChar w:fldCharType="separate"/>
    </w:r>
    <w:r>
      <w:rPr>
        <w:noProof/>
      </w:rPr>
      <w:t>506</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35" w:rsidRDefault="009C02F9" w:rsidP="0022323B">
    <w:r>
      <w:pict>
        <v:rect id="_x0000_i1043" style="width:480.95pt;height:1pt" o:hralign="center" o:hrstd="t" o:hrnoshade="t" o:hr="t" fillcolor="black [3213]" stroked="f"/>
      </w:pict>
    </w:r>
  </w:p>
  <w:p w:rsidR="00A83A35" w:rsidRDefault="00A83A35" w:rsidP="0022323B">
    <w:pPr>
      <w:tabs>
        <w:tab w:val="center" w:pos="4740"/>
      </w:tabs>
      <w:spacing w:line="0" w:lineRule="atLeast"/>
    </w:pPr>
    <w:r>
      <w:tab/>
      <w:t xml:space="preserve">- </w:t>
    </w:r>
    <w:r>
      <w:fldChar w:fldCharType="begin"/>
    </w:r>
    <w:r>
      <w:instrText xml:space="preserve"> PAGE   \* MERGEFORMAT </w:instrText>
    </w:r>
    <w:r>
      <w:fldChar w:fldCharType="separate"/>
    </w:r>
    <w:r w:rsidR="009C02F9">
      <w:rPr>
        <w:noProof/>
      </w:rPr>
      <w:t>81</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35" w:rsidRDefault="009C02F9" w:rsidP="0022323B">
    <w:r>
      <w:pict>
        <v:rect id="_x0000_i1062" style="width:480.95pt;height:1pt" o:hralign="center" o:hrstd="t" o:hrnoshade="t" o:hr="t" fillcolor="black [3213]" stroked="f"/>
      </w:pict>
    </w:r>
  </w:p>
  <w:p w:rsidR="00A83A35" w:rsidRDefault="00A83A35">
    <w:pPr>
      <w:tabs>
        <w:tab w:val="center" w:pos="4740"/>
      </w:tabs>
      <w:spacing w:line="0" w:lineRule="atLeast"/>
    </w:pPr>
    <w:r>
      <w:tab/>
      <w:t xml:space="preserve">- </w:t>
    </w:r>
    <w:r>
      <w:fldChar w:fldCharType="begin"/>
    </w:r>
    <w:r>
      <w:instrText xml:space="preserve"> PAGE   \* MERGEFORMAT </w:instrText>
    </w:r>
    <w:r>
      <w:fldChar w:fldCharType="separate"/>
    </w:r>
    <w:r w:rsidR="009C02F9">
      <w:rPr>
        <w:noProof/>
      </w:rPr>
      <w:t>92</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35" w:rsidRDefault="009C02F9" w:rsidP="0022323B">
    <w:r>
      <w:pict>
        <v:rect id="_x0000_i1063" style="width:480.95pt;height:1pt" o:hralign="center" o:hrstd="t" o:hrnoshade="t" o:hr="t" fillcolor="black [3213]" stroked="f"/>
      </w:pict>
    </w:r>
  </w:p>
  <w:p w:rsidR="00A83A35" w:rsidRDefault="00A83A35" w:rsidP="0022323B">
    <w:pPr>
      <w:tabs>
        <w:tab w:val="center" w:pos="4740"/>
      </w:tabs>
      <w:spacing w:line="0" w:lineRule="atLeast"/>
    </w:pPr>
    <w:r>
      <w:tab/>
      <w:t xml:space="preserve">- </w:t>
    </w:r>
    <w:r>
      <w:fldChar w:fldCharType="begin"/>
    </w:r>
    <w:r>
      <w:instrText xml:space="preserve"> PAGE   \* MERGEFORMAT </w:instrText>
    </w:r>
    <w:r>
      <w:fldChar w:fldCharType="separate"/>
    </w:r>
    <w:r w:rsidR="009C02F9">
      <w:rPr>
        <w:noProof/>
      </w:rPr>
      <w:t>82</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35" w:rsidRPr="00924065" w:rsidRDefault="00A83A35"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35" w:rsidRDefault="009C02F9" w:rsidP="00755F22">
    <w:pPr>
      <w:tabs>
        <w:tab w:val="left" w:pos="-1440"/>
        <w:tab w:val="left" w:pos="-720"/>
      </w:tabs>
    </w:pPr>
    <w:r>
      <w:pict>
        <v:rect id="_x0000_i1030" style="width:480.95pt;height:1pt" o:hralign="center" o:hrstd="t" o:hrnoshade="t" o:hr="t" fillcolor="black [3213]" stroked="f"/>
      </w:pict>
    </w:r>
  </w:p>
  <w:p w:rsidR="00A83A35" w:rsidRPr="00954D22" w:rsidRDefault="00A83A35"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9C02F9">
      <w:rPr>
        <w:noProof/>
        <w:szCs w:val="24"/>
      </w:rPr>
      <w:t>75</w:t>
    </w:r>
    <w:r>
      <w:rPr>
        <w:szCs w:val="24"/>
      </w:rPr>
      <w:fldChar w:fldCharType="end"/>
    </w:r>
    <w:r w:rsidRPr="00954D22">
      <w:rPr>
        <w:szCs w:val="24"/>
      </w:rPr>
      <w:t xml:space="preserve"> -</w:t>
    </w:r>
  </w:p>
  <w:p w:rsidR="00A83A35" w:rsidRDefault="00A83A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35" w:rsidRDefault="009C02F9" w:rsidP="00A87207">
    <w:pPr>
      <w:pStyle w:val="Footer"/>
    </w:pPr>
    <w:r>
      <w:pict>
        <v:rect id="_x0000_i1032" style="width:480.95pt;height:1pt" o:hralign="center" o:hrstd="t" o:hrnoshade="t" o:hr="t" fillcolor="black [3213]" stroked="f"/>
      </w:pict>
    </w:r>
  </w:p>
  <w:p w:rsidR="00A83A35" w:rsidRPr="00B7374B" w:rsidRDefault="00A83A3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35" w:rsidRDefault="009C02F9"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3" style="width:480.95pt;height:1pt" o:hralign="center" o:hrstd="t" o:hrnoshade="t" o:hr="t" fillcolor="black [3213]" stroked="f"/>
      </w:pict>
    </w:r>
  </w:p>
  <w:p w:rsidR="00A83A35" w:rsidRPr="00954D22" w:rsidRDefault="00A83A3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C02F9">
      <w:rPr>
        <w:noProof/>
        <w:szCs w:val="24"/>
      </w:rPr>
      <w:t>76</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35" w:rsidRDefault="00A83A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83A35" w:rsidRDefault="00A83A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83A35" w:rsidRDefault="00A83A35">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35" w:rsidRDefault="009C02F9" w:rsidP="00755F22">
    <w:pPr>
      <w:tabs>
        <w:tab w:val="left" w:pos="-1440"/>
        <w:tab w:val="left" w:pos="-720"/>
      </w:tabs>
    </w:pPr>
    <w:r>
      <w:pict>
        <v:rect id="_x0000_i1035" style="width:480.95pt;height:1pt" o:hralign="center" o:hrstd="t" o:hrnoshade="t" o:hr="t" fillcolor="black [3213]" stroked="f"/>
      </w:pict>
    </w:r>
  </w:p>
  <w:p w:rsidR="00A83A35" w:rsidRDefault="00A83A35" w:rsidP="00EB2B90">
    <w:pPr>
      <w:tabs>
        <w:tab w:val="center" w:pos="4680"/>
      </w:tabs>
    </w:pPr>
    <w:r>
      <w:tab/>
      <w:t xml:space="preserve">- </w:t>
    </w:r>
    <w:r>
      <w:fldChar w:fldCharType="begin"/>
    </w:r>
    <w:r>
      <w:instrText xml:space="preserve"> PAGE   \* MERGEFORMAT </w:instrText>
    </w:r>
    <w:r>
      <w:fldChar w:fldCharType="separate"/>
    </w:r>
    <w:r w:rsidR="009C02F9">
      <w:rPr>
        <w:noProof/>
      </w:rPr>
      <w:t>79</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35" w:rsidRDefault="009C02F9" w:rsidP="00EB2B90">
    <w:pPr>
      <w:tabs>
        <w:tab w:val="center" w:pos="4680"/>
      </w:tabs>
    </w:pPr>
    <w:r>
      <w:pict>
        <v:rect id="_x0000_i1036" style="width:480.95pt;height:1pt" o:hralign="center" o:hrstd="t" o:hrnoshade="t" o:hr="t" fillcolor="black [3213]" stroked="f"/>
      </w:pict>
    </w:r>
  </w:p>
  <w:p w:rsidR="00A83A35" w:rsidRPr="0031432F" w:rsidRDefault="00A83A35" w:rsidP="00EB2B90">
    <w:pPr>
      <w:tabs>
        <w:tab w:val="center" w:pos="4680"/>
      </w:tabs>
    </w:pPr>
    <w:r>
      <w:tab/>
      <w:t xml:space="preserve">- </w:t>
    </w:r>
    <w:r>
      <w:fldChar w:fldCharType="begin"/>
    </w:r>
    <w:r>
      <w:instrText xml:space="preserve"> PAGE   \* MERGEFORMAT </w:instrText>
    </w:r>
    <w:r>
      <w:fldChar w:fldCharType="separate"/>
    </w:r>
    <w:r w:rsidR="009C02F9">
      <w:rPr>
        <w:noProof/>
      </w:rPr>
      <w:t>77</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35" w:rsidRDefault="00A83A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83A35" w:rsidRDefault="00A83A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83A35" w:rsidRDefault="00A83A35">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35" w:rsidRDefault="009C02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8" style="width:480.95pt;height:1pt" o:hralign="center" o:hrstd="t" o:hrnoshade="t" o:hr="t" fillcolor="black [3213]" stroked="f"/>
      </w:pict>
    </w:r>
  </w:p>
  <w:p w:rsidR="00A83A35" w:rsidRDefault="00A83A35"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A35" w:rsidRDefault="00A83A35" w:rsidP="00A87207">
      <w:r>
        <w:separator/>
      </w:r>
    </w:p>
  </w:footnote>
  <w:footnote w:type="continuationSeparator" w:id="0">
    <w:p w:rsidR="00A83A35" w:rsidRDefault="00A83A35"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A83A35" w:rsidRPr="0044776A" w:rsidTr="00245129">
      <w:tc>
        <w:tcPr>
          <w:tcW w:w="4290" w:type="dxa"/>
          <w:tcMar>
            <w:left w:w="0" w:type="dxa"/>
            <w:right w:w="0" w:type="dxa"/>
          </w:tcMar>
        </w:tcPr>
        <w:p w:rsidR="00A83A35" w:rsidRPr="0044776A" w:rsidRDefault="00A83A35"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A83A35" w:rsidRPr="0044776A" w:rsidRDefault="00A83A35" w:rsidP="002E2327">
          <w:pPr>
            <w:keepNext/>
            <w:keepLines/>
            <w:tabs>
              <w:tab w:val="left" w:pos="-1440"/>
              <w:tab w:val="left" w:pos="-720"/>
            </w:tabs>
            <w:jc w:val="center"/>
            <w:rPr>
              <w:sz w:val="20"/>
              <w:szCs w:val="20"/>
            </w:rPr>
          </w:pPr>
        </w:p>
        <w:p w:rsidR="00A83A35" w:rsidRPr="0044776A" w:rsidRDefault="00A83A35" w:rsidP="002E2327">
          <w:pPr>
            <w:keepNext/>
            <w:keepLines/>
            <w:tabs>
              <w:tab w:val="left" w:pos="-1440"/>
              <w:tab w:val="left" w:pos="-720"/>
            </w:tabs>
            <w:jc w:val="center"/>
            <w:rPr>
              <w:sz w:val="20"/>
              <w:szCs w:val="20"/>
            </w:rPr>
          </w:pPr>
        </w:p>
        <w:p w:rsidR="00A83A35" w:rsidRPr="0044776A" w:rsidRDefault="00A83A35" w:rsidP="002E2327">
          <w:pPr>
            <w:keepNext/>
            <w:keepLines/>
            <w:tabs>
              <w:tab w:val="left" w:pos="-1440"/>
              <w:tab w:val="left" w:pos="-720"/>
            </w:tabs>
            <w:jc w:val="center"/>
            <w:rPr>
              <w:sz w:val="20"/>
              <w:szCs w:val="20"/>
            </w:rPr>
          </w:pPr>
        </w:p>
      </w:tc>
      <w:tc>
        <w:tcPr>
          <w:tcW w:w="4320" w:type="dxa"/>
          <w:tcMar>
            <w:left w:w="0" w:type="dxa"/>
            <w:right w:w="0" w:type="dxa"/>
          </w:tcMar>
        </w:tcPr>
        <w:p w:rsidR="00A83A35" w:rsidRPr="0044776A" w:rsidRDefault="00A83A35" w:rsidP="002E2327">
          <w:pPr>
            <w:keepLines/>
            <w:rPr>
              <w:sz w:val="20"/>
              <w:szCs w:val="20"/>
              <w:lang w:val="fr-CA"/>
            </w:rPr>
          </w:pPr>
          <w:r w:rsidRPr="0044776A">
            <w:rPr>
              <w:sz w:val="20"/>
              <w:szCs w:val="20"/>
              <w:lang w:val="fr-CA"/>
            </w:rPr>
            <w:t>DEMANDES D'AUTORISATION D'APPEL DÉPOSÉES</w:t>
          </w:r>
        </w:p>
      </w:tc>
    </w:tr>
  </w:tbl>
  <w:p w:rsidR="00A83A35" w:rsidRDefault="00A83A3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35" w:rsidRDefault="00A83A3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83A35">
      <w:tc>
        <w:tcPr>
          <w:tcW w:w="4200" w:type="dxa"/>
          <w:tcMar>
            <w:left w:w="0" w:type="dxa"/>
            <w:right w:w="0" w:type="dxa"/>
          </w:tcMar>
        </w:tcPr>
        <w:p w:rsidR="00A83A35" w:rsidRDefault="00A83A35">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A83A35" w:rsidRDefault="00A83A35">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A83A35" w:rsidRDefault="00A83A35">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A83A35" w:rsidRDefault="00A83A35">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A83A35" w:rsidRDefault="00A83A3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A83A35" w:rsidRDefault="00A83A3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83A35" w:rsidRPr="00C50A5C" w:rsidTr="00245129">
      <w:tc>
        <w:tcPr>
          <w:tcW w:w="4200" w:type="dxa"/>
          <w:tcMar>
            <w:left w:w="0" w:type="dxa"/>
            <w:right w:w="0" w:type="dxa"/>
          </w:tcMar>
        </w:tcPr>
        <w:p w:rsidR="00A83A35" w:rsidRPr="00C50A5C" w:rsidRDefault="00A83A35"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A83A35" w:rsidRPr="00C50A5C" w:rsidRDefault="00A83A35"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A83A35" w:rsidRPr="00C50A5C" w:rsidRDefault="00A83A35"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A83A35" w:rsidRPr="00C50A5C" w:rsidRDefault="00A83A35"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A83A35" w:rsidRDefault="00A83A35"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35" w:rsidRDefault="00A83A3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83A35" w:rsidRPr="005F263E" w:rsidTr="00245129">
      <w:tc>
        <w:tcPr>
          <w:tcW w:w="4200" w:type="dxa"/>
          <w:tcMar>
            <w:left w:w="0" w:type="dxa"/>
            <w:right w:w="0" w:type="dxa"/>
          </w:tcMar>
        </w:tcPr>
        <w:p w:rsidR="00A83A35" w:rsidRPr="005F263E" w:rsidRDefault="00A83A35"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A83A35" w:rsidRPr="005F263E" w:rsidRDefault="00A83A35" w:rsidP="00245129">
          <w:pPr>
            <w:keepNext/>
            <w:keepLines/>
            <w:tabs>
              <w:tab w:val="left" w:pos="-1440"/>
              <w:tab w:val="left" w:pos="-720"/>
            </w:tabs>
            <w:jc w:val="center"/>
            <w:rPr>
              <w:sz w:val="20"/>
              <w:szCs w:val="20"/>
            </w:rPr>
          </w:pPr>
        </w:p>
        <w:p w:rsidR="00A83A35" w:rsidRPr="005F263E" w:rsidRDefault="00A83A35" w:rsidP="00245129">
          <w:pPr>
            <w:keepNext/>
            <w:keepLines/>
            <w:tabs>
              <w:tab w:val="left" w:pos="-1440"/>
              <w:tab w:val="left" w:pos="-720"/>
            </w:tabs>
            <w:jc w:val="center"/>
            <w:rPr>
              <w:sz w:val="20"/>
              <w:szCs w:val="20"/>
            </w:rPr>
          </w:pPr>
        </w:p>
      </w:tc>
      <w:tc>
        <w:tcPr>
          <w:tcW w:w="4080" w:type="dxa"/>
          <w:tcMar>
            <w:left w:w="0" w:type="dxa"/>
            <w:right w:w="0" w:type="dxa"/>
          </w:tcMar>
        </w:tcPr>
        <w:p w:rsidR="00A83A35" w:rsidRPr="005F263E" w:rsidRDefault="00A83A35" w:rsidP="00245129">
          <w:pPr>
            <w:keepLines/>
            <w:tabs>
              <w:tab w:val="left" w:pos="-1440"/>
              <w:tab w:val="left" w:pos="-720"/>
            </w:tabs>
            <w:rPr>
              <w:sz w:val="20"/>
              <w:szCs w:val="20"/>
            </w:rPr>
          </w:pPr>
          <w:r w:rsidRPr="005F263E">
            <w:rPr>
              <w:sz w:val="20"/>
              <w:szCs w:val="20"/>
            </w:rPr>
            <w:t>RÉSUMÉS DES AFFAIRES</w:t>
          </w:r>
        </w:p>
      </w:tc>
    </w:tr>
  </w:tbl>
  <w:p w:rsidR="00A83A35" w:rsidRDefault="00A83A35" w:rsidP="005F263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35" w:rsidRDefault="00A83A3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35" w:rsidRDefault="00A83A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35" w:rsidRDefault="00A83A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83A35" w:rsidRPr="009E539D" w:rsidTr="00245129">
      <w:tc>
        <w:tcPr>
          <w:tcW w:w="4200" w:type="dxa"/>
          <w:tcMar>
            <w:left w:w="0" w:type="dxa"/>
            <w:right w:w="0" w:type="dxa"/>
          </w:tcMar>
        </w:tcPr>
        <w:p w:rsidR="00A83A35" w:rsidRPr="0044776A" w:rsidRDefault="00A83A35" w:rsidP="0044776A">
          <w:pPr>
            <w:keepNext/>
            <w:keepLines/>
            <w:widowControl w:val="0"/>
            <w:rPr>
              <w:sz w:val="20"/>
              <w:szCs w:val="20"/>
            </w:rPr>
          </w:pPr>
          <w:r>
            <w:rPr>
              <w:sz w:val="20"/>
              <w:szCs w:val="20"/>
            </w:rPr>
            <w:t>APPLICATIONS FOR LEAVE</w:t>
          </w:r>
        </w:p>
        <w:p w:rsidR="00A83A35" w:rsidRPr="0044776A" w:rsidRDefault="00A83A35"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A83A35" w:rsidRPr="0044776A" w:rsidRDefault="00A83A35" w:rsidP="0044776A">
          <w:pPr>
            <w:keepNext/>
            <w:keepLines/>
            <w:widowControl w:val="0"/>
            <w:jc w:val="center"/>
            <w:rPr>
              <w:sz w:val="20"/>
              <w:szCs w:val="20"/>
            </w:rPr>
          </w:pPr>
        </w:p>
        <w:p w:rsidR="00A83A35" w:rsidRPr="0044776A" w:rsidRDefault="00A83A35" w:rsidP="0044776A">
          <w:pPr>
            <w:keepNext/>
            <w:keepLines/>
            <w:widowControl w:val="0"/>
            <w:jc w:val="center"/>
            <w:rPr>
              <w:sz w:val="20"/>
              <w:szCs w:val="20"/>
            </w:rPr>
          </w:pPr>
        </w:p>
        <w:p w:rsidR="00A83A35" w:rsidRPr="0044776A" w:rsidRDefault="00A83A35" w:rsidP="0044776A">
          <w:pPr>
            <w:keepNext/>
            <w:keepLines/>
            <w:widowControl w:val="0"/>
            <w:jc w:val="center"/>
            <w:rPr>
              <w:sz w:val="20"/>
              <w:szCs w:val="20"/>
            </w:rPr>
          </w:pPr>
        </w:p>
      </w:tc>
      <w:tc>
        <w:tcPr>
          <w:tcW w:w="4080" w:type="dxa"/>
          <w:tcMar>
            <w:left w:w="0" w:type="dxa"/>
            <w:right w:w="0" w:type="dxa"/>
          </w:tcMar>
        </w:tcPr>
        <w:p w:rsidR="00A83A35" w:rsidRPr="0044776A" w:rsidRDefault="00A83A35" w:rsidP="0044776A">
          <w:pPr>
            <w:keepLines/>
            <w:widowControl w:val="0"/>
            <w:rPr>
              <w:sz w:val="20"/>
              <w:szCs w:val="20"/>
              <w:lang w:val="fr-CA"/>
            </w:rPr>
          </w:pPr>
          <w:r w:rsidRPr="0044776A">
            <w:rPr>
              <w:sz w:val="20"/>
              <w:szCs w:val="20"/>
              <w:lang w:val="fr-CA"/>
            </w:rPr>
            <w:t>DEMANDES SOUMISES À LA COUR DEPUIS LA DERNIÈRE PARUTION</w:t>
          </w:r>
        </w:p>
        <w:p w:rsidR="00A83A35" w:rsidRPr="0044776A" w:rsidRDefault="00A83A35" w:rsidP="0044776A">
          <w:pPr>
            <w:widowControl w:val="0"/>
            <w:rPr>
              <w:sz w:val="20"/>
              <w:szCs w:val="20"/>
              <w:lang w:val="fr-CA"/>
            </w:rPr>
          </w:pPr>
        </w:p>
      </w:tc>
    </w:tr>
  </w:tbl>
  <w:p w:rsidR="00A83A35" w:rsidRPr="002E2327" w:rsidRDefault="00A83A35">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35" w:rsidRDefault="00A83A3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A83A35">
      <w:tc>
        <w:tcPr>
          <w:tcW w:w="4230" w:type="dxa"/>
          <w:tcMar>
            <w:left w:w="0" w:type="dxa"/>
            <w:right w:w="0" w:type="dxa"/>
          </w:tcMar>
        </w:tcPr>
        <w:p w:rsidR="00A83A35" w:rsidRDefault="00A83A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83A35" w:rsidRDefault="00A83A3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83A35" w:rsidRDefault="00A83A3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83A35">
      <w:trPr>
        <w:gridAfter w:val="2"/>
        <w:wAfter w:w="5250" w:type="dxa"/>
      </w:trPr>
      <w:tc>
        <w:tcPr>
          <w:tcW w:w="4230" w:type="dxa"/>
          <w:tcMar>
            <w:left w:w="0" w:type="dxa"/>
            <w:right w:w="0" w:type="dxa"/>
          </w:tcMar>
        </w:tcPr>
        <w:p w:rsidR="00A83A35" w:rsidRDefault="00A83A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83A35" w:rsidRDefault="00A83A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A83A35" w:rsidRPr="00755F22" w:rsidTr="00245129">
      <w:tc>
        <w:tcPr>
          <w:tcW w:w="4230" w:type="dxa"/>
          <w:tcMar>
            <w:left w:w="0" w:type="dxa"/>
            <w:right w:w="0" w:type="dxa"/>
          </w:tcMar>
        </w:tcPr>
        <w:p w:rsidR="00A83A35" w:rsidRPr="00755F22" w:rsidRDefault="00A83A35" w:rsidP="00831CA9">
          <w:pPr>
            <w:keepNext/>
            <w:keepLines/>
            <w:rPr>
              <w:sz w:val="20"/>
              <w:szCs w:val="20"/>
            </w:rPr>
          </w:pPr>
          <w:r w:rsidRPr="00755F22">
            <w:rPr>
              <w:sz w:val="20"/>
              <w:szCs w:val="20"/>
            </w:rPr>
            <w:t>MOTIONS</w:t>
          </w:r>
        </w:p>
      </w:tc>
      <w:tc>
        <w:tcPr>
          <w:tcW w:w="1170" w:type="dxa"/>
          <w:tcMar>
            <w:left w:w="0" w:type="dxa"/>
            <w:right w:w="0" w:type="dxa"/>
          </w:tcMar>
        </w:tcPr>
        <w:p w:rsidR="00A83A35" w:rsidRPr="00755F22" w:rsidRDefault="00A83A35" w:rsidP="00831CA9">
          <w:pPr>
            <w:keepLines/>
            <w:jc w:val="center"/>
            <w:rPr>
              <w:sz w:val="20"/>
              <w:szCs w:val="20"/>
            </w:rPr>
          </w:pPr>
        </w:p>
        <w:p w:rsidR="00A83A35" w:rsidRPr="00755F22" w:rsidRDefault="00A83A35" w:rsidP="00831CA9">
          <w:pPr>
            <w:keepLines/>
            <w:tabs>
              <w:tab w:val="left" w:pos="-1440"/>
              <w:tab w:val="left" w:pos="-720"/>
            </w:tabs>
            <w:jc w:val="center"/>
            <w:rPr>
              <w:sz w:val="20"/>
              <w:szCs w:val="20"/>
            </w:rPr>
          </w:pPr>
        </w:p>
      </w:tc>
      <w:tc>
        <w:tcPr>
          <w:tcW w:w="4080" w:type="dxa"/>
          <w:tcMar>
            <w:left w:w="0" w:type="dxa"/>
            <w:right w:w="0" w:type="dxa"/>
          </w:tcMar>
        </w:tcPr>
        <w:p w:rsidR="00A83A35" w:rsidRPr="00BA6468" w:rsidRDefault="00A83A35" w:rsidP="00BA6468">
          <w:pPr>
            <w:keepLines/>
            <w:rPr>
              <w:sz w:val="20"/>
              <w:szCs w:val="20"/>
              <w:lang w:val="fr-CA"/>
            </w:rPr>
          </w:pPr>
          <w:r w:rsidRPr="00BA6468">
            <w:rPr>
              <w:sz w:val="20"/>
              <w:szCs w:val="20"/>
              <w:lang w:val="fr-CA"/>
            </w:rPr>
            <w:t>REQUÊTES</w:t>
          </w:r>
        </w:p>
      </w:tc>
    </w:tr>
  </w:tbl>
  <w:p w:rsidR="00A83A35" w:rsidRDefault="00A83A35" w:rsidP="00831CA9">
    <w:pPr>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35" w:rsidRDefault="00A83A3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83A35" w:rsidRPr="009E539D">
      <w:tc>
        <w:tcPr>
          <w:tcW w:w="4200" w:type="dxa"/>
          <w:tcMar>
            <w:left w:w="0" w:type="dxa"/>
            <w:right w:w="0" w:type="dxa"/>
          </w:tcMar>
        </w:tcPr>
        <w:p w:rsidR="00A83A35" w:rsidRDefault="00A83A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A83A35" w:rsidRDefault="00A83A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83A35" w:rsidRPr="00B01A03" w:rsidRDefault="00A83A3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A83A35" w:rsidRPr="00B01A03" w:rsidRDefault="00A83A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83A35" w:rsidRPr="00B01A03" w:rsidRDefault="00A83A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3A35" w:rsidRPr="009E539D" w:rsidTr="00245129">
      <w:tc>
        <w:tcPr>
          <w:tcW w:w="4200" w:type="dxa"/>
          <w:tcMar>
            <w:left w:w="0" w:type="dxa"/>
            <w:right w:w="0" w:type="dxa"/>
          </w:tcMar>
        </w:tcPr>
        <w:p w:rsidR="00A83A35" w:rsidRPr="00F40249" w:rsidRDefault="00A83A35"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A83A35" w:rsidRDefault="00A83A35" w:rsidP="00102926">
          <w:pPr>
            <w:keepNext/>
            <w:keepLines/>
            <w:tabs>
              <w:tab w:val="left" w:pos="-1440"/>
              <w:tab w:val="left" w:pos="-720"/>
            </w:tabs>
            <w:jc w:val="center"/>
            <w:rPr>
              <w:sz w:val="20"/>
              <w:szCs w:val="20"/>
            </w:rPr>
          </w:pPr>
        </w:p>
        <w:p w:rsidR="00A83A35" w:rsidRDefault="00A83A35" w:rsidP="00102926">
          <w:pPr>
            <w:keepNext/>
            <w:keepLines/>
            <w:tabs>
              <w:tab w:val="left" w:pos="-1440"/>
              <w:tab w:val="left" w:pos="-720"/>
            </w:tabs>
            <w:jc w:val="center"/>
            <w:rPr>
              <w:sz w:val="20"/>
              <w:szCs w:val="20"/>
            </w:rPr>
          </w:pPr>
        </w:p>
        <w:p w:rsidR="00A83A35" w:rsidRPr="00F40249" w:rsidRDefault="00A83A35" w:rsidP="00102926">
          <w:pPr>
            <w:keepNext/>
            <w:keepLines/>
            <w:tabs>
              <w:tab w:val="left" w:pos="-1440"/>
              <w:tab w:val="left" w:pos="-720"/>
            </w:tabs>
            <w:jc w:val="center"/>
            <w:rPr>
              <w:sz w:val="20"/>
              <w:szCs w:val="20"/>
            </w:rPr>
          </w:pPr>
        </w:p>
      </w:tc>
      <w:tc>
        <w:tcPr>
          <w:tcW w:w="4230" w:type="dxa"/>
          <w:tcMar>
            <w:left w:w="0" w:type="dxa"/>
            <w:right w:w="0" w:type="dxa"/>
          </w:tcMar>
        </w:tcPr>
        <w:p w:rsidR="00A83A35" w:rsidRPr="00F40249" w:rsidRDefault="00A83A35"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A83A35" w:rsidRPr="00B01A03" w:rsidRDefault="00A83A35"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08"/>
    <w:rsid w:val="00002704"/>
    <w:rsid w:val="00020DC3"/>
    <w:rsid w:val="0003223B"/>
    <w:rsid w:val="000327B2"/>
    <w:rsid w:val="00037066"/>
    <w:rsid w:val="0004528B"/>
    <w:rsid w:val="00064FBA"/>
    <w:rsid w:val="00091FA6"/>
    <w:rsid w:val="00096BD9"/>
    <w:rsid w:val="000B3C9A"/>
    <w:rsid w:val="000B40A2"/>
    <w:rsid w:val="000B4624"/>
    <w:rsid w:val="000B5E4B"/>
    <w:rsid w:val="000C0ACD"/>
    <w:rsid w:val="000C0D2A"/>
    <w:rsid w:val="000C5CE8"/>
    <w:rsid w:val="000E27A5"/>
    <w:rsid w:val="000E2959"/>
    <w:rsid w:val="000F0B60"/>
    <w:rsid w:val="00102926"/>
    <w:rsid w:val="0010587F"/>
    <w:rsid w:val="00111C6B"/>
    <w:rsid w:val="0012102B"/>
    <w:rsid w:val="00127DD1"/>
    <w:rsid w:val="0013369E"/>
    <w:rsid w:val="0013595D"/>
    <w:rsid w:val="00164E6D"/>
    <w:rsid w:val="00183454"/>
    <w:rsid w:val="001B157C"/>
    <w:rsid w:val="001B4006"/>
    <w:rsid w:val="001B5C23"/>
    <w:rsid w:val="001C214B"/>
    <w:rsid w:val="001D0D5F"/>
    <w:rsid w:val="001D6B8C"/>
    <w:rsid w:val="001F1F83"/>
    <w:rsid w:val="001F40DF"/>
    <w:rsid w:val="001F43F8"/>
    <w:rsid w:val="001F6B2D"/>
    <w:rsid w:val="002021A9"/>
    <w:rsid w:val="00211507"/>
    <w:rsid w:val="002139A7"/>
    <w:rsid w:val="00215F7C"/>
    <w:rsid w:val="0022323B"/>
    <w:rsid w:val="0022378B"/>
    <w:rsid w:val="00233CE8"/>
    <w:rsid w:val="002410B8"/>
    <w:rsid w:val="00242AEE"/>
    <w:rsid w:val="00245129"/>
    <w:rsid w:val="00245879"/>
    <w:rsid w:val="002516D6"/>
    <w:rsid w:val="00253236"/>
    <w:rsid w:val="00253FFA"/>
    <w:rsid w:val="00267FD5"/>
    <w:rsid w:val="00274D34"/>
    <w:rsid w:val="00283ED8"/>
    <w:rsid w:val="002868D0"/>
    <w:rsid w:val="002A008C"/>
    <w:rsid w:val="002A27D1"/>
    <w:rsid w:val="002A38DA"/>
    <w:rsid w:val="002A4AFA"/>
    <w:rsid w:val="002B1E65"/>
    <w:rsid w:val="002B516C"/>
    <w:rsid w:val="002D72EB"/>
    <w:rsid w:val="002E2327"/>
    <w:rsid w:val="002E3583"/>
    <w:rsid w:val="002E5576"/>
    <w:rsid w:val="0030050B"/>
    <w:rsid w:val="0030755E"/>
    <w:rsid w:val="00331B52"/>
    <w:rsid w:val="003359D3"/>
    <w:rsid w:val="00355967"/>
    <w:rsid w:val="00382C47"/>
    <w:rsid w:val="00384384"/>
    <w:rsid w:val="003866AE"/>
    <w:rsid w:val="003A7497"/>
    <w:rsid w:val="003B3977"/>
    <w:rsid w:val="003C24CB"/>
    <w:rsid w:val="003E1D4C"/>
    <w:rsid w:val="004137A0"/>
    <w:rsid w:val="00414BC0"/>
    <w:rsid w:val="00422D9A"/>
    <w:rsid w:val="00432989"/>
    <w:rsid w:val="00440E24"/>
    <w:rsid w:val="0044776A"/>
    <w:rsid w:val="00460AFC"/>
    <w:rsid w:val="0047471F"/>
    <w:rsid w:val="0049440F"/>
    <w:rsid w:val="004B195E"/>
    <w:rsid w:val="004B66B4"/>
    <w:rsid w:val="004B7F60"/>
    <w:rsid w:val="004C1AAC"/>
    <w:rsid w:val="004E1E0A"/>
    <w:rsid w:val="004F090E"/>
    <w:rsid w:val="00501F3C"/>
    <w:rsid w:val="005055ED"/>
    <w:rsid w:val="00513C30"/>
    <w:rsid w:val="0052229C"/>
    <w:rsid w:val="00527CC7"/>
    <w:rsid w:val="0056248C"/>
    <w:rsid w:val="00571CA4"/>
    <w:rsid w:val="00582136"/>
    <w:rsid w:val="005A4E73"/>
    <w:rsid w:val="005C6840"/>
    <w:rsid w:val="005F1ED8"/>
    <w:rsid w:val="005F263E"/>
    <w:rsid w:val="005F6494"/>
    <w:rsid w:val="00600252"/>
    <w:rsid w:val="00612A40"/>
    <w:rsid w:val="006213C0"/>
    <w:rsid w:val="0062714A"/>
    <w:rsid w:val="00653E29"/>
    <w:rsid w:val="00675479"/>
    <w:rsid w:val="00680709"/>
    <w:rsid w:val="00681F61"/>
    <w:rsid w:val="00690B8B"/>
    <w:rsid w:val="00696BF9"/>
    <w:rsid w:val="00697C62"/>
    <w:rsid w:val="006A329B"/>
    <w:rsid w:val="006A5035"/>
    <w:rsid w:val="006A7EB8"/>
    <w:rsid w:val="006B6926"/>
    <w:rsid w:val="006C2FA3"/>
    <w:rsid w:val="006C3F47"/>
    <w:rsid w:val="006C40BD"/>
    <w:rsid w:val="006C5F7A"/>
    <w:rsid w:val="006E06AF"/>
    <w:rsid w:val="006F350F"/>
    <w:rsid w:val="006F54B2"/>
    <w:rsid w:val="0072412A"/>
    <w:rsid w:val="00732DB7"/>
    <w:rsid w:val="0074238B"/>
    <w:rsid w:val="00743E0D"/>
    <w:rsid w:val="00745EF7"/>
    <w:rsid w:val="00755F22"/>
    <w:rsid w:val="00762008"/>
    <w:rsid w:val="00766E4A"/>
    <w:rsid w:val="007820CE"/>
    <w:rsid w:val="00782AE4"/>
    <w:rsid w:val="0079724F"/>
    <w:rsid w:val="007A3EAE"/>
    <w:rsid w:val="007B4D34"/>
    <w:rsid w:val="007B6FF1"/>
    <w:rsid w:val="007C04FC"/>
    <w:rsid w:val="007C3DB0"/>
    <w:rsid w:val="007C47C2"/>
    <w:rsid w:val="007D3E0F"/>
    <w:rsid w:val="007E35FF"/>
    <w:rsid w:val="007E4282"/>
    <w:rsid w:val="007E6F25"/>
    <w:rsid w:val="007F105B"/>
    <w:rsid w:val="007F387B"/>
    <w:rsid w:val="008012BA"/>
    <w:rsid w:val="00802863"/>
    <w:rsid w:val="008112A9"/>
    <w:rsid w:val="0081473A"/>
    <w:rsid w:val="00815B3C"/>
    <w:rsid w:val="0081610A"/>
    <w:rsid w:val="0082783A"/>
    <w:rsid w:val="00830F2B"/>
    <w:rsid w:val="00831CA9"/>
    <w:rsid w:val="00850E1F"/>
    <w:rsid w:val="0085476B"/>
    <w:rsid w:val="0086340B"/>
    <w:rsid w:val="008679F7"/>
    <w:rsid w:val="008902B1"/>
    <w:rsid w:val="00890FEB"/>
    <w:rsid w:val="008913A3"/>
    <w:rsid w:val="00895E7E"/>
    <w:rsid w:val="00896C7C"/>
    <w:rsid w:val="008A5C1A"/>
    <w:rsid w:val="008D292F"/>
    <w:rsid w:val="008E03DC"/>
    <w:rsid w:val="00902E51"/>
    <w:rsid w:val="00912452"/>
    <w:rsid w:val="00924065"/>
    <w:rsid w:val="00930D68"/>
    <w:rsid w:val="00932756"/>
    <w:rsid w:val="00932DB4"/>
    <w:rsid w:val="00941A4B"/>
    <w:rsid w:val="00946242"/>
    <w:rsid w:val="0095096B"/>
    <w:rsid w:val="00970CD3"/>
    <w:rsid w:val="009723FA"/>
    <w:rsid w:val="00984546"/>
    <w:rsid w:val="00996510"/>
    <w:rsid w:val="009A4F8D"/>
    <w:rsid w:val="009C02F9"/>
    <w:rsid w:val="009D1F15"/>
    <w:rsid w:val="009D555E"/>
    <w:rsid w:val="009E539D"/>
    <w:rsid w:val="009F3024"/>
    <w:rsid w:val="009F39BA"/>
    <w:rsid w:val="00A0355E"/>
    <w:rsid w:val="00A310AF"/>
    <w:rsid w:val="00A375D1"/>
    <w:rsid w:val="00A4728F"/>
    <w:rsid w:val="00A51D10"/>
    <w:rsid w:val="00A52A83"/>
    <w:rsid w:val="00A6552C"/>
    <w:rsid w:val="00A83A35"/>
    <w:rsid w:val="00A842E4"/>
    <w:rsid w:val="00A87207"/>
    <w:rsid w:val="00A935AA"/>
    <w:rsid w:val="00A956D3"/>
    <w:rsid w:val="00AB2201"/>
    <w:rsid w:val="00AD1D34"/>
    <w:rsid w:val="00AD3259"/>
    <w:rsid w:val="00AD7998"/>
    <w:rsid w:val="00AF1715"/>
    <w:rsid w:val="00AF3904"/>
    <w:rsid w:val="00B010C0"/>
    <w:rsid w:val="00B4740D"/>
    <w:rsid w:val="00B61629"/>
    <w:rsid w:val="00B7374B"/>
    <w:rsid w:val="00B746B5"/>
    <w:rsid w:val="00B90DC0"/>
    <w:rsid w:val="00BA116A"/>
    <w:rsid w:val="00BA5582"/>
    <w:rsid w:val="00BA6468"/>
    <w:rsid w:val="00BB1D44"/>
    <w:rsid w:val="00BD06DA"/>
    <w:rsid w:val="00BD4217"/>
    <w:rsid w:val="00BF25F3"/>
    <w:rsid w:val="00BF3169"/>
    <w:rsid w:val="00C01FCB"/>
    <w:rsid w:val="00C1697B"/>
    <w:rsid w:val="00C21644"/>
    <w:rsid w:val="00C21CB5"/>
    <w:rsid w:val="00C344C4"/>
    <w:rsid w:val="00C46376"/>
    <w:rsid w:val="00C46572"/>
    <w:rsid w:val="00C50A5C"/>
    <w:rsid w:val="00C50FDF"/>
    <w:rsid w:val="00C63381"/>
    <w:rsid w:val="00C661B7"/>
    <w:rsid w:val="00C73D06"/>
    <w:rsid w:val="00C73E1B"/>
    <w:rsid w:val="00C7556C"/>
    <w:rsid w:val="00C7583F"/>
    <w:rsid w:val="00C759B4"/>
    <w:rsid w:val="00C77713"/>
    <w:rsid w:val="00C85BB7"/>
    <w:rsid w:val="00CA2DEA"/>
    <w:rsid w:val="00CB3520"/>
    <w:rsid w:val="00CB43D5"/>
    <w:rsid w:val="00CC4D84"/>
    <w:rsid w:val="00CE198A"/>
    <w:rsid w:val="00CE4869"/>
    <w:rsid w:val="00CF08C8"/>
    <w:rsid w:val="00D004FC"/>
    <w:rsid w:val="00D243DB"/>
    <w:rsid w:val="00D3587C"/>
    <w:rsid w:val="00D44620"/>
    <w:rsid w:val="00D64901"/>
    <w:rsid w:val="00D76BDF"/>
    <w:rsid w:val="00D8108F"/>
    <w:rsid w:val="00D818B6"/>
    <w:rsid w:val="00D862C1"/>
    <w:rsid w:val="00D93B50"/>
    <w:rsid w:val="00D94028"/>
    <w:rsid w:val="00D94670"/>
    <w:rsid w:val="00D95B08"/>
    <w:rsid w:val="00DA46F6"/>
    <w:rsid w:val="00DA756F"/>
    <w:rsid w:val="00DD0B49"/>
    <w:rsid w:val="00DE0502"/>
    <w:rsid w:val="00DE349D"/>
    <w:rsid w:val="00E06DFA"/>
    <w:rsid w:val="00E20A0A"/>
    <w:rsid w:val="00E240C2"/>
    <w:rsid w:val="00E356C7"/>
    <w:rsid w:val="00E414CA"/>
    <w:rsid w:val="00E41A5A"/>
    <w:rsid w:val="00E45FE4"/>
    <w:rsid w:val="00E64FA7"/>
    <w:rsid w:val="00E75CFD"/>
    <w:rsid w:val="00E770CB"/>
    <w:rsid w:val="00E8544A"/>
    <w:rsid w:val="00E903A1"/>
    <w:rsid w:val="00E940EB"/>
    <w:rsid w:val="00E942C2"/>
    <w:rsid w:val="00E9703F"/>
    <w:rsid w:val="00EB2B90"/>
    <w:rsid w:val="00ED7E83"/>
    <w:rsid w:val="00EE091F"/>
    <w:rsid w:val="00EF4B63"/>
    <w:rsid w:val="00F0068D"/>
    <w:rsid w:val="00F0576D"/>
    <w:rsid w:val="00F14E6D"/>
    <w:rsid w:val="00F15EA8"/>
    <w:rsid w:val="00F16C8D"/>
    <w:rsid w:val="00F20687"/>
    <w:rsid w:val="00F26C61"/>
    <w:rsid w:val="00F33CCE"/>
    <w:rsid w:val="00F40249"/>
    <w:rsid w:val="00F526C8"/>
    <w:rsid w:val="00F761A3"/>
    <w:rsid w:val="00F9272D"/>
    <w:rsid w:val="00F943AE"/>
    <w:rsid w:val="00F9518C"/>
    <w:rsid w:val="00FA316E"/>
    <w:rsid w:val="00FA3373"/>
    <w:rsid w:val="00FA59EF"/>
    <w:rsid w:val="00FB19A2"/>
    <w:rsid w:val="00FB32B7"/>
    <w:rsid w:val="00FB4A2E"/>
    <w:rsid w:val="00FF61EC"/>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223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8B"/>
    <w:rPr>
      <w:rFonts w:ascii="Segoe UI" w:hAnsi="Segoe UI" w:cs="Segoe UI"/>
      <w:sz w:val="18"/>
      <w:szCs w:val="18"/>
      <w:lang w:val="en-CA"/>
    </w:rPr>
  </w:style>
  <w:style w:type="paragraph" w:customStyle="1" w:styleId="SCCSsoc">
    <w:name w:val="SCC.Ssoc"/>
    <w:basedOn w:val="Normal"/>
    <w:next w:val="Normal"/>
    <w:link w:val="SCCSsocChar"/>
    <w:rsid w:val="006C2FA3"/>
    <w:rPr>
      <w:i/>
      <w:sz w:val="20"/>
      <w:szCs w:val="20"/>
    </w:rPr>
  </w:style>
  <w:style w:type="character" w:customStyle="1" w:styleId="SCCSsocChar">
    <w:name w:val="SCC.Ssoc Char"/>
    <w:basedOn w:val="DefaultParagraphFont"/>
    <w:link w:val="SCCSsoc"/>
    <w:rsid w:val="006C2FA3"/>
    <w:rPr>
      <w:i/>
      <w:sz w:val="20"/>
      <w:szCs w:val="20"/>
      <w:lang w:val="en-CA"/>
    </w:rPr>
  </w:style>
  <w:style w:type="paragraph" w:customStyle="1" w:styleId="SCCBanSummary">
    <w:name w:val="SCC.BanSummary"/>
    <w:basedOn w:val="Normal"/>
    <w:next w:val="Normal"/>
    <w:link w:val="SCCBanSummaryChar"/>
    <w:rsid w:val="009A4F8D"/>
    <w:pPr>
      <w:jc w:val="both"/>
    </w:pPr>
    <w:rPr>
      <w:smallCaps/>
    </w:rPr>
  </w:style>
  <w:style w:type="character" w:customStyle="1" w:styleId="SCCBanSummaryChar">
    <w:name w:val="SCC.BanSummary Char"/>
    <w:basedOn w:val="DefaultParagraphFont"/>
    <w:link w:val="SCCBanSummary"/>
    <w:rsid w:val="009A4F8D"/>
    <w:rPr>
      <w:smallCaps/>
      <w:lang w:val="en-CA"/>
    </w:rPr>
  </w:style>
  <w:style w:type="paragraph" w:customStyle="1" w:styleId="SCCAppellantInfoAppellantInfo">
    <w:name w:val="SCC.AppellantInfo.AppellantInfo"/>
    <w:basedOn w:val="Normal"/>
    <w:next w:val="Normal"/>
    <w:link w:val="SCCAppellantInfoAppellantInfoChar"/>
    <w:rsid w:val="00B746B5"/>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B746B5"/>
    <w:rPr>
      <w:rFonts w:eastAsia="Calibri" w:cs="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 w:id="1017191540">
      <w:bodyDiv w:val="1"/>
      <w:marLeft w:val="0"/>
      <w:marRight w:val="0"/>
      <w:marTop w:val="0"/>
      <w:marBottom w:val="0"/>
      <w:divBdr>
        <w:top w:val="none" w:sz="0" w:space="0" w:color="auto"/>
        <w:left w:val="none" w:sz="0" w:space="0" w:color="auto"/>
        <w:bottom w:val="none" w:sz="0" w:space="0" w:color="auto"/>
        <w:right w:val="none" w:sz="0" w:space="0" w:color="auto"/>
      </w:divBdr>
    </w:div>
    <w:div w:id="1951233959">
      <w:bodyDiv w:val="1"/>
      <w:marLeft w:val="0"/>
      <w:marRight w:val="0"/>
      <w:marTop w:val="0"/>
      <w:marBottom w:val="0"/>
      <w:divBdr>
        <w:top w:val="none" w:sz="0" w:space="0" w:color="auto"/>
        <w:left w:val="none" w:sz="0" w:space="0" w:color="auto"/>
        <w:bottom w:val="none" w:sz="0" w:space="0" w:color="auto"/>
        <w:right w:val="none" w:sz="0" w:space="0" w:color="auto"/>
      </w:divBdr>
    </w:div>
    <w:div w:id="1989242543">
      <w:bodyDiv w:val="1"/>
      <w:marLeft w:val="0"/>
      <w:marRight w:val="0"/>
      <w:marTop w:val="0"/>
      <w:marBottom w:val="0"/>
      <w:divBdr>
        <w:top w:val="none" w:sz="0" w:space="0" w:color="auto"/>
        <w:left w:val="none" w:sz="0" w:space="0" w:color="auto"/>
        <w:bottom w:val="none" w:sz="0" w:space="0" w:color="auto"/>
        <w:right w:val="none" w:sz="0" w:space="0" w:color="auto"/>
      </w:divBdr>
    </w:div>
    <w:div w:id="19981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E1CA4-0145-49CB-9D82-71E11738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28</Pages>
  <Words>8021</Words>
  <Characters>45725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2018-01-22T14:55:00Z</dcterms:created>
  <dcterms:modified xsi:type="dcterms:W3CDTF">2018-01-26T19:36:00Z</dcterms:modified>
</cp:coreProperties>
</file>